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AB0" w:rsidRDefault="00B74EC6">
      <w:pPr>
        <w:pStyle w:val="CorpoA"/>
        <w:spacing w:line="288" w:lineRule="auto"/>
        <w:jc w:val="both"/>
        <w:rPr>
          <w:rFonts w:ascii="Times New Roman" w:eastAsia="Times New Roman" w:hAnsi="Times New Roman" w:cs="Times New Roman"/>
          <w:b/>
          <w:bCs/>
          <w:sz w:val="24"/>
          <w:szCs w:val="24"/>
          <w:lang w:val="en-US"/>
        </w:rPr>
      </w:pPr>
      <w:proofErr w:type="gramStart"/>
      <w:r>
        <w:rPr>
          <w:rFonts w:ascii="Times New Roman" w:hAnsi="Times New Roman"/>
          <w:b/>
          <w:bCs/>
          <w:sz w:val="24"/>
          <w:szCs w:val="24"/>
          <w:lang w:val="en-US"/>
        </w:rPr>
        <w:t>OBSERVATIONS ON THE CRIME OF TORTURE IN THE ITALIAN CRIMINAL CODE.</w:t>
      </w:r>
      <w:proofErr w:type="gramEnd"/>
    </w:p>
    <w:p w:rsidR="007B1AB0" w:rsidRDefault="007B1AB0">
      <w:pPr>
        <w:pStyle w:val="CorpoA"/>
        <w:spacing w:line="288" w:lineRule="auto"/>
        <w:jc w:val="both"/>
        <w:rPr>
          <w:rFonts w:ascii="Times New Roman" w:eastAsia="Times New Roman" w:hAnsi="Times New Roman" w:cs="Times New Roman"/>
          <w:b/>
          <w:bCs/>
          <w:sz w:val="24"/>
          <w:szCs w:val="24"/>
          <w:lang w:val="en-US"/>
        </w:rPr>
      </w:pP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Although since 1988 - the year of the ratification of the United Nations Convention against Torture and Other Cruel, Inhuman or Degrading Treatment or Punishment, which was signed in New </w:t>
      </w:r>
      <w:r>
        <w:rPr>
          <w:rFonts w:ascii="Times New Roman" w:hAnsi="Times New Roman"/>
          <w:sz w:val="24"/>
          <w:szCs w:val="24"/>
          <w:lang w:val="en-US"/>
        </w:rPr>
        <w:t>York in 1984 (CAT) - Italy has had the international obligation of recognizing this crime, only in July 2017 did Italy introduce the crime of torture into the Italian criminal code.</w:t>
      </w: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After a comprehensive parliamentary procedure, Article 1 of Law no. 110 of</w:t>
      </w:r>
      <w:r>
        <w:rPr>
          <w:rFonts w:ascii="Times New Roman" w:hAnsi="Times New Roman"/>
          <w:sz w:val="24"/>
          <w:szCs w:val="24"/>
          <w:lang w:val="en-US"/>
        </w:rPr>
        <w:t xml:space="preserve"> 2017 introduced into the criminal code - in Title XII (Offenses against the person), Sect. III (Crimes against moral freedom) - </w:t>
      </w:r>
      <w:r>
        <w:rPr>
          <w:rFonts w:ascii="Times New Roman" w:hAnsi="Times New Roman"/>
          <w:b/>
          <w:bCs/>
          <w:sz w:val="24"/>
          <w:szCs w:val="24"/>
          <w:lang w:val="en-US"/>
        </w:rPr>
        <w:t>torture crimes</w:t>
      </w:r>
      <w:r>
        <w:rPr>
          <w:rFonts w:ascii="Times New Roman" w:hAnsi="Times New Roman"/>
          <w:sz w:val="24"/>
          <w:szCs w:val="24"/>
          <w:lang w:val="en-US"/>
        </w:rPr>
        <w:t xml:space="preserve"> (Article 613-bis) and </w:t>
      </w:r>
      <w:r>
        <w:rPr>
          <w:rFonts w:ascii="Times New Roman" w:hAnsi="Times New Roman"/>
          <w:b/>
          <w:bCs/>
          <w:sz w:val="24"/>
          <w:szCs w:val="24"/>
          <w:lang w:val="en-US"/>
        </w:rPr>
        <w:t>instigation of torture</w:t>
      </w:r>
      <w:r>
        <w:rPr>
          <w:rFonts w:ascii="Times New Roman" w:hAnsi="Times New Roman"/>
          <w:sz w:val="24"/>
          <w:szCs w:val="24"/>
          <w:lang w:val="en-US"/>
        </w:rPr>
        <w:t xml:space="preserve"> (Article 613-ter). </w:t>
      </w:r>
      <w:proofErr w:type="gramStart"/>
      <w:r>
        <w:rPr>
          <w:rFonts w:ascii="Times New Roman" w:hAnsi="Times New Roman"/>
          <w:sz w:val="24"/>
          <w:szCs w:val="24"/>
          <w:lang w:val="en-US"/>
        </w:rPr>
        <w:t>Article.</w:t>
      </w:r>
      <w:proofErr w:type="gramEnd"/>
      <w:r>
        <w:rPr>
          <w:rFonts w:ascii="Times New Roman" w:hAnsi="Times New Roman"/>
          <w:sz w:val="24"/>
          <w:szCs w:val="24"/>
          <w:lang w:val="en-US"/>
        </w:rPr>
        <w:t xml:space="preserve"> 2 </w:t>
      </w:r>
      <w:proofErr w:type="gramStart"/>
      <w:r>
        <w:rPr>
          <w:rFonts w:ascii="Times New Roman" w:hAnsi="Times New Roman"/>
          <w:sz w:val="24"/>
          <w:szCs w:val="24"/>
          <w:lang w:val="en-US"/>
        </w:rPr>
        <w:t>modifies</w:t>
      </w:r>
      <w:proofErr w:type="gramEnd"/>
      <w:r>
        <w:rPr>
          <w:rFonts w:ascii="Times New Roman" w:hAnsi="Times New Roman"/>
          <w:sz w:val="24"/>
          <w:szCs w:val="24"/>
          <w:lang w:val="en-US"/>
        </w:rPr>
        <w:t xml:space="preserve"> art. 191 of the criminal pro</w:t>
      </w:r>
      <w:r>
        <w:rPr>
          <w:rFonts w:ascii="Times New Roman" w:hAnsi="Times New Roman"/>
          <w:sz w:val="24"/>
          <w:szCs w:val="24"/>
          <w:lang w:val="en-US"/>
        </w:rPr>
        <w:t>cedure code concerning "unlawfully acquired evidence" by adding paragraph 2-bis, which prohibits the use of information or statements obtained through the offense of torture, except against persons charged with said offense and with the sole intent of prov</w:t>
      </w:r>
      <w:r>
        <w:rPr>
          <w:rFonts w:ascii="Times New Roman" w:hAnsi="Times New Roman"/>
          <w:sz w:val="24"/>
          <w:szCs w:val="24"/>
          <w:lang w:val="en-US"/>
        </w:rPr>
        <w:t xml:space="preserve">ing their penal responsibility. </w:t>
      </w:r>
      <w:proofErr w:type="gramStart"/>
      <w:r>
        <w:rPr>
          <w:rFonts w:ascii="Times New Roman" w:hAnsi="Times New Roman"/>
          <w:sz w:val="24"/>
          <w:szCs w:val="24"/>
          <w:lang w:val="en-US"/>
        </w:rPr>
        <w:t>Article.</w:t>
      </w:r>
      <w:proofErr w:type="gramEnd"/>
      <w:r>
        <w:rPr>
          <w:rFonts w:ascii="Times New Roman" w:hAnsi="Times New Roman"/>
          <w:sz w:val="24"/>
          <w:szCs w:val="24"/>
          <w:lang w:val="en-US"/>
        </w:rPr>
        <w:t xml:space="preserve"> 3 </w:t>
      </w:r>
      <w:proofErr w:type="gramStart"/>
      <w:r>
        <w:rPr>
          <w:rFonts w:ascii="Times New Roman" w:hAnsi="Times New Roman"/>
          <w:sz w:val="24"/>
          <w:szCs w:val="24"/>
          <w:lang w:val="en-US"/>
        </w:rPr>
        <w:t>amends</w:t>
      </w:r>
      <w:proofErr w:type="gramEnd"/>
      <w:r>
        <w:rPr>
          <w:rFonts w:ascii="Times New Roman" w:hAnsi="Times New Roman"/>
          <w:sz w:val="24"/>
          <w:szCs w:val="24"/>
          <w:lang w:val="en-US"/>
        </w:rPr>
        <w:t xml:space="preserve"> art. 19 of the </w:t>
      </w:r>
      <w:r>
        <w:rPr>
          <w:rFonts w:ascii="Times New Roman" w:hAnsi="Times New Roman"/>
          <w:sz w:val="24"/>
          <w:szCs w:val="24"/>
          <w:lang w:val="en-US"/>
        </w:rPr>
        <w:t>“</w:t>
      </w:r>
      <w:r>
        <w:rPr>
          <w:rFonts w:ascii="Times New Roman" w:hAnsi="Times New Roman"/>
          <w:sz w:val="24"/>
          <w:szCs w:val="24"/>
          <w:lang w:val="en-US"/>
        </w:rPr>
        <w:t>Consolidated Act on Immigration</w:t>
      </w:r>
      <w:r>
        <w:rPr>
          <w:rFonts w:ascii="Times New Roman" w:hAnsi="Times New Roman"/>
          <w:sz w:val="24"/>
          <w:szCs w:val="24"/>
          <w:lang w:val="en-US"/>
        </w:rPr>
        <w:t xml:space="preserve">” </w:t>
      </w:r>
      <w:r>
        <w:rPr>
          <w:rFonts w:ascii="Times New Roman" w:hAnsi="Times New Roman"/>
          <w:sz w:val="24"/>
          <w:szCs w:val="24"/>
          <w:lang w:val="en-US"/>
        </w:rPr>
        <w:t xml:space="preserve">regarding the principle of non-refoulement and, lastly, Art. 4 concerns immunity, including in international law, prohibiting recognition in </w:t>
      </w:r>
      <w:proofErr w:type="spellStart"/>
      <w:r>
        <w:rPr>
          <w:rFonts w:ascii="Times New Roman" w:hAnsi="Times New Roman"/>
          <w:sz w:val="24"/>
          <w:szCs w:val="24"/>
          <w:lang w:val="en-US"/>
        </w:rPr>
        <w:t>favour</w:t>
      </w:r>
      <w:proofErr w:type="spellEnd"/>
      <w:r>
        <w:rPr>
          <w:rFonts w:ascii="Times New Roman" w:hAnsi="Times New Roman"/>
          <w:sz w:val="24"/>
          <w:szCs w:val="24"/>
          <w:lang w:val="en-US"/>
        </w:rPr>
        <w:t xml:space="preserve"> of foreig</w:t>
      </w:r>
      <w:r>
        <w:rPr>
          <w:rFonts w:ascii="Times New Roman" w:hAnsi="Times New Roman"/>
          <w:sz w:val="24"/>
          <w:szCs w:val="24"/>
          <w:lang w:val="en-US"/>
        </w:rPr>
        <w:t>ners subjected to criminal proceedings or condemned for torture in another State or an International Tribunal.</w:t>
      </w:r>
    </w:p>
    <w:p w:rsidR="007B1AB0" w:rsidRDefault="007B1AB0">
      <w:pPr>
        <w:pStyle w:val="CorpoA"/>
        <w:spacing w:line="288" w:lineRule="auto"/>
        <w:jc w:val="both"/>
        <w:rPr>
          <w:rFonts w:ascii="Times New Roman" w:eastAsia="Times New Roman" w:hAnsi="Times New Roman" w:cs="Times New Roman"/>
          <w:sz w:val="24"/>
          <w:szCs w:val="24"/>
          <w:lang w:val="en-US"/>
        </w:rPr>
      </w:pP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In this short report, we propose to make some observations concerning the most critical points of the article 613-bis of the criminal code, in o</w:t>
      </w:r>
      <w:r>
        <w:rPr>
          <w:rFonts w:ascii="Times New Roman" w:hAnsi="Times New Roman"/>
          <w:sz w:val="24"/>
          <w:szCs w:val="24"/>
          <w:lang w:val="en-US"/>
        </w:rPr>
        <w:t>rder to request the intervention of this Committee.</w:t>
      </w: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b/>
          <w:bCs/>
          <w:sz w:val="24"/>
          <w:szCs w:val="24"/>
          <w:lang w:val="en-US"/>
        </w:rPr>
        <w:t>Article 613-bis of the criminal code</w:t>
      </w:r>
      <w:r>
        <w:rPr>
          <w:rFonts w:ascii="Times New Roman" w:hAnsi="Times New Roman"/>
          <w:sz w:val="24"/>
          <w:szCs w:val="24"/>
          <w:lang w:val="en-US"/>
        </w:rPr>
        <w:t xml:space="preserve"> punishes with </w:t>
      </w:r>
      <w:r>
        <w:rPr>
          <w:rFonts w:ascii="Times New Roman" w:hAnsi="Times New Roman"/>
          <w:b/>
          <w:bCs/>
          <w:sz w:val="24"/>
          <w:szCs w:val="24"/>
          <w:lang w:val="en-US"/>
        </w:rPr>
        <w:t>imprisonment from 4 to 10 years</w:t>
      </w:r>
      <w:r>
        <w:rPr>
          <w:rFonts w:ascii="Times New Roman" w:hAnsi="Times New Roman"/>
          <w:sz w:val="24"/>
          <w:szCs w:val="24"/>
          <w:lang w:val="en-US"/>
        </w:rPr>
        <w:t xml:space="preserve"> anyone who, with </w:t>
      </w:r>
      <w:r>
        <w:rPr>
          <w:rFonts w:ascii="Times New Roman" w:hAnsi="Times New Roman"/>
          <w:b/>
          <w:bCs/>
          <w:sz w:val="24"/>
          <w:szCs w:val="24"/>
          <w:lang w:val="en-US"/>
        </w:rPr>
        <w:t xml:space="preserve">serious </w:t>
      </w:r>
      <w:r>
        <w:rPr>
          <w:rFonts w:ascii="Times New Roman" w:hAnsi="Times New Roman"/>
          <w:sz w:val="24"/>
          <w:szCs w:val="24"/>
          <w:lang w:val="en-US"/>
        </w:rPr>
        <w:t xml:space="preserve">violence or threats or cruel acts, </w:t>
      </w:r>
      <w:r>
        <w:rPr>
          <w:rFonts w:ascii="Times New Roman" w:hAnsi="Times New Roman"/>
          <w:b/>
          <w:bCs/>
          <w:sz w:val="24"/>
          <w:szCs w:val="24"/>
          <w:lang w:val="en-US"/>
        </w:rPr>
        <w:t xml:space="preserve">causes acute physical sufferings or verifiable psychological </w:t>
      </w:r>
      <w:r>
        <w:rPr>
          <w:rFonts w:ascii="Times New Roman" w:hAnsi="Times New Roman"/>
          <w:b/>
          <w:bCs/>
          <w:sz w:val="24"/>
          <w:szCs w:val="24"/>
          <w:lang w:val="en-US"/>
        </w:rPr>
        <w:t>trauma</w:t>
      </w:r>
      <w:r>
        <w:rPr>
          <w:rFonts w:ascii="Times New Roman" w:hAnsi="Times New Roman"/>
          <w:sz w:val="24"/>
          <w:szCs w:val="24"/>
          <w:lang w:val="en-US"/>
        </w:rPr>
        <w:t xml:space="preserve"> to a person deprived of personal liberty, entrusted to the perpetrator</w:t>
      </w:r>
      <w:r>
        <w:rPr>
          <w:rFonts w:ascii="Times New Roman" w:hAnsi="Times New Roman"/>
          <w:sz w:val="24"/>
          <w:szCs w:val="24"/>
          <w:lang w:val="en-US"/>
        </w:rPr>
        <w:t>’</w:t>
      </w:r>
      <w:r>
        <w:rPr>
          <w:rFonts w:ascii="Times New Roman" w:hAnsi="Times New Roman"/>
          <w:sz w:val="24"/>
          <w:szCs w:val="24"/>
          <w:lang w:val="en-US"/>
        </w:rPr>
        <w:t xml:space="preserve">s custody, power, supervision, control, care, or assistance, or who is in a situation of </w:t>
      </w:r>
      <w:proofErr w:type="spellStart"/>
      <w:r>
        <w:rPr>
          <w:rFonts w:ascii="Times New Roman" w:hAnsi="Times New Roman"/>
          <w:sz w:val="24"/>
          <w:szCs w:val="24"/>
          <w:lang w:val="en-US"/>
        </w:rPr>
        <w:t>defencelessness</w:t>
      </w:r>
      <w:proofErr w:type="spellEnd"/>
      <w:r>
        <w:rPr>
          <w:rFonts w:ascii="Times New Roman" w:hAnsi="Times New Roman"/>
          <w:sz w:val="24"/>
          <w:szCs w:val="24"/>
          <w:lang w:val="en-US"/>
        </w:rPr>
        <w:t xml:space="preserve">, </w:t>
      </w:r>
      <w:r>
        <w:rPr>
          <w:rFonts w:ascii="Times New Roman" w:hAnsi="Times New Roman"/>
          <w:b/>
          <w:bCs/>
          <w:sz w:val="24"/>
          <w:szCs w:val="24"/>
          <w:lang w:val="en-US"/>
        </w:rPr>
        <w:t xml:space="preserve">if the action is committed with multiple </w:t>
      </w:r>
      <w:proofErr w:type="spellStart"/>
      <w:r>
        <w:rPr>
          <w:rFonts w:ascii="Times New Roman" w:hAnsi="Times New Roman"/>
          <w:b/>
          <w:bCs/>
          <w:sz w:val="24"/>
          <w:szCs w:val="24"/>
          <w:lang w:val="en-US"/>
        </w:rPr>
        <w:t>behaviours</w:t>
      </w:r>
      <w:proofErr w:type="spellEnd"/>
      <w:r>
        <w:rPr>
          <w:rFonts w:ascii="Times New Roman" w:hAnsi="Times New Roman"/>
          <w:b/>
          <w:bCs/>
          <w:sz w:val="24"/>
          <w:szCs w:val="24"/>
          <w:lang w:val="en-US"/>
        </w:rPr>
        <w:t xml:space="preserve"> or involves inhuman </w:t>
      </w:r>
      <w:r>
        <w:rPr>
          <w:rFonts w:ascii="Times New Roman" w:hAnsi="Times New Roman"/>
          <w:b/>
          <w:bCs/>
          <w:sz w:val="24"/>
          <w:szCs w:val="24"/>
          <w:lang w:val="en-US"/>
        </w:rPr>
        <w:t>and degrading treatment for the dignity of the person</w:t>
      </w:r>
      <w:r>
        <w:rPr>
          <w:rFonts w:ascii="Times New Roman" w:hAnsi="Times New Roman"/>
          <w:sz w:val="24"/>
          <w:szCs w:val="24"/>
          <w:lang w:val="en-US"/>
        </w:rPr>
        <w:t>.</w:t>
      </w:r>
    </w:p>
    <w:p w:rsidR="007B1AB0" w:rsidRDefault="007B1AB0">
      <w:pPr>
        <w:pStyle w:val="CorpoA"/>
        <w:spacing w:line="288" w:lineRule="auto"/>
        <w:jc w:val="both"/>
        <w:rPr>
          <w:rFonts w:ascii="Times New Roman" w:eastAsia="Times New Roman" w:hAnsi="Times New Roman" w:cs="Times New Roman"/>
          <w:sz w:val="24"/>
          <w:szCs w:val="24"/>
          <w:lang w:val="en-US"/>
        </w:rPr>
      </w:pP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The new reform has defined the crime of torture in a non-coinciding manner with the United Nations Convention of 1984, which, in particular, defines torture as the offense of the public officer. The c</w:t>
      </w:r>
      <w:r>
        <w:rPr>
          <w:rFonts w:ascii="Times New Roman" w:hAnsi="Times New Roman"/>
          <w:sz w:val="24"/>
          <w:szCs w:val="24"/>
          <w:lang w:val="en-US"/>
        </w:rPr>
        <w:t>rime of torture, on the contrary, is defined as a "</w:t>
      </w:r>
      <w:r>
        <w:rPr>
          <w:rFonts w:ascii="Times New Roman" w:hAnsi="Times New Roman"/>
          <w:b/>
          <w:bCs/>
          <w:sz w:val="24"/>
          <w:szCs w:val="24"/>
          <w:u w:val="single"/>
          <w:lang w:val="en-US"/>
        </w:rPr>
        <w:t>common offense</w:t>
      </w:r>
      <w:r>
        <w:rPr>
          <w:rFonts w:ascii="Times New Roman" w:hAnsi="Times New Roman"/>
          <w:sz w:val="24"/>
          <w:szCs w:val="24"/>
          <w:lang w:val="en-US"/>
        </w:rPr>
        <w:t xml:space="preserve">": this means that the offense could be attributed to </w:t>
      </w:r>
      <w:r>
        <w:rPr>
          <w:rFonts w:ascii="Times New Roman" w:hAnsi="Times New Roman"/>
          <w:b/>
          <w:bCs/>
          <w:i/>
          <w:iCs/>
          <w:sz w:val="24"/>
          <w:szCs w:val="24"/>
          <w:u w:val="single"/>
          <w:lang w:val="en-US"/>
        </w:rPr>
        <w:t>anyone</w:t>
      </w:r>
      <w:r>
        <w:rPr>
          <w:rFonts w:ascii="Times New Roman" w:hAnsi="Times New Roman"/>
          <w:sz w:val="24"/>
          <w:szCs w:val="24"/>
          <w:lang w:val="en-US"/>
        </w:rPr>
        <w:t>, not only to the public officer or public servant (considering how it is only viewed as an aggravating circumstance if a public of</w:t>
      </w:r>
      <w:r>
        <w:rPr>
          <w:rFonts w:ascii="Times New Roman" w:hAnsi="Times New Roman"/>
          <w:sz w:val="24"/>
          <w:szCs w:val="24"/>
          <w:lang w:val="en-US"/>
        </w:rPr>
        <w:t>ficer or public servant is the responsible person).</w:t>
      </w:r>
    </w:p>
    <w:p w:rsidR="007B1AB0" w:rsidRDefault="00B74EC6">
      <w:pPr>
        <w:pStyle w:val="CorpoA"/>
        <w:spacing w:line="288" w:lineRule="auto"/>
        <w:jc w:val="both"/>
        <w:rPr>
          <w:rFonts w:ascii="Times New Roman" w:eastAsia="Times New Roman" w:hAnsi="Times New Roman" w:cs="Times New Roman"/>
          <w:sz w:val="24"/>
          <w:szCs w:val="24"/>
          <w:lang w:val="en-US"/>
        </w:rPr>
      </w:pPr>
      <w:proofErr w:type="gramStart"/>
      <w:r>
        <w:rPr>
          <w:rFonts w:ascii="Times New Roman" w:hAnsi="Times New Roman"/>
          <w:sz w:val="24"/>
          <w:szCs w:val="24"/>
          <w:lang w:val="en-US"/>
        </w:rPr>
        <w:t>In addition, concerning the art.</w:t>
      </w:r>
      <w:proofErr w:type="gramEnd"/>
      <w:r>
        <w:rPr>
          <w:rFonts w:ascii="Times New Roman" w:hAnsi="Times New Roman"/>
          <w:sz w:val="24"/>
          <w:szCs w:val="24"/>
          <w:lang w:val="en-US"/>
        </w:rPr>
        <w:t xml:space="preserve"> </w:t>
      </w:r>
      <w:proofErr w:type="gramStart"/>
      <w:r>
        <w:rPr>
          <w:rFonts w:ascii="Times New Roman" w:hAnsi="Times New Roman"/>
          <w:sz w:val="24"/>
          <w:szCs w:val="24"/>
          <w:lang w:val="en-US"/>
        </w:rPr>
        <w:t xml:space="preserve">1 of the UN Convention of 1984, which stipulates a </w:t>
      </w:r>
      <w:r>
        <w:rPr>
          <w:rFonts w:ascii="Times New Roman" w:hAnsi="Times New Roman"/>
          <w:b/>
          <w:bCs/>
          <w:sz w:val="24"/>
          <w:szCs w:val="24"/>
          <w:lang w:val="en-US"/>
        </w:rPr>
        <w:t xml:space="preserve">free conduct </w:t>
      </w:r>
      <w:r>
        <w:rPr>
          <w:rFonts w:ascii="Times New Roman" w:hAnsi="Times New Roman"/>
          <w:sz w:val="24"/>
          <w:szCs w:val="24"/>
          <w:lang w:val="en-US"/>
        </w:rPr>
        <w:t>by the author of the offense, art.</w:t>
      </w:r>
      <w:proofErr w:type="gramEnd"/>
      <w:r>
        <w:rPr>
          <w:rFonts w:ascii="Times New Roman" w:hAnsi="Times New Roman"/>
          <w:sz w:val="24"/>
          <w:szCs w:val="24"/>
          <w:lang w:val="en-US"/>
        </w:rPr>
        <w:t xml:space="preserve"> 613-bis explicitly requires that torture be carried out through violence</w:t>
      </w:r>
      <w:r>
        <w:rPr>
          <w:rFonts w:ascii="Times New Roman" w:hAnsi="Times New Roman"/>
          <w:sz w:val="24"/>
          <w:szCs w:val="24"/>
          <w:lang w:val="en-US"/>
        </w:rPr>
        <w:t xml:space="preserve"> or serious threats or cruelties.</w:t>
      </w:r>
    </w:p>
    <w:p w:rsidR="007B1AB0" w:rsidRDefault="00B74EC6">
      <w:pPr>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The necessity of a </w:t>
      </w:r>
      <w:r>
        <w:rPr>
          <w:rFonts w:ascii="Times New Roman" w:hAnsi="Times New Roman"/>
          <w:b/>
          <w:bCs/>
          <w:sz w:val="24"/>
          <w:szCs w:val="24"/>
          <w:lang w:val="en-US"/>
        </w:rPr>
        <w:t>plurality of conducts</w:t>
      </w:r>
      <w:r>
        <w:rPr>
          <w:rFonts w:ascii="Times New Roman" w:hAnsi="Times New Roman"/>
          <w:sz w:val="24"/>
          <w:szCs w:val="24"/>
          <w:lang w:val="en-US"/>
        </w:rPr>
        <w:t xml:space="preserve"> does not seem to allow </w:t>
      </w:r>
      <w:proofErr w:type="gramStart"/>
      <w:r>
        <w:rPr>
          <w:rFonts w:ascii="Times New Roman" w:hAnsi="Times New Roman"/>
          <w:sz w:val="24"/>
          <w:szCs w:val="24"/>
          <w:lang w:val="en-US"/>
        </w:rPr>
        <w:t>to contest</w:t>
      </w:r>
      <w:proofErr w:type="gramEnd"/>
      <w:r>
        <w:rPr>
          <w:rFonts w:ascii="Times New Roman" w:hAnsi="Times New Roman"/>
          <w:sz w:val="24"/>
          <w:szCs w:val="24"/>
          <w:lang w:val="en-US"/>
        </w:rPr>
        <w:t xml:space="preserve"> the offense of torture in the presence of a single act of violence or threat. In the final part of the definition it is stated that the act is defi</w:t>
      </w:r>
      <w:r>
        <w:rPr>
          <w:rFonts w:ascii="Times New Roman" w:hAnsi="Times New Roman"/>
          <w:sz w:val="24"/>
          <w:szCs w:val="24"/>
          <w:lang w:val="en-US"/>
        </w:rPr>
        <w:t xml:space="preserve">ned as torture when it is committed with multiple conducts </w:t>
      </w:r>
      <w:r>
        <w:rPr>
          <w:rFonts w:ascii="Times New Roman" w:hAnsi="Times New Roman"/>
          <w:b/>
          <w:bCs/>
          <w:sz w:val="24"/>
          <w:szCs w:val="24"/>
          <w:lang w:val="en-US"/>
        </w:rPr>
        <w:t>and</w:t>
      </w:r>
      <w:r>
        <w:rPr>
          <w:rFonts w:ascii="Times New Roman" w:hAnsi="Times New Roman"/>
          <w:sz w:val="24"/>
          <w:szCs w:val="24"/>
          <w:lang w:val="en-US"/>
        </w:rPr>
        <w:t xml:space="preserve"> when it involves inhuman and degrading treatment (and this also seems to accept the definition of torture as a single act involving inhuman and degrading treatment); however, the reference, at </w:t>
      </w:r>
      <w:r>
        <w:rPr>
          <w:rFonts w:ascii="Times New Roman" w:hAnsi="Times New Roman"/>
          <w:sz w:val="24"/>
          <w:szCs w:val="24"/>
          <w:lang w:val="en-US"/>
        </w:rPr>
        <w:t xml:space="preserve">the beginning, to </w:t>
      </w:r>
      <w:r>
        <w:rPr>
          <w:rFonts w:ascii="Times New Roman" w:hAnsi="Times New Roman"/>
          <w:i/>
          <w:iCs/>
          <w:sz w:val="24"/>
          <w:szCs w:val="24"/>
          <w:lang w:val="en-US"/>
        </w:rPr>
        <w:t>acts of violence</w:t>
      </w:r>
      <w:r>
        <w:rPr>
          <w:rFonts w:ascii="Times New Roman" w:hAnsi="Times New Roman"/>
          <w:sz w:val="24"/>
          <w:szCs w:val="24"/>
          <w:lang w:val="en-US"/>
        </w:rPr>
        <w:t xml:space="preserve"> or </w:t>
      </w:r>
      <w:r>
        <w:rPr>
          <w:rFonts w:ascii="Times New Roman" w:hAnsi="Times New Roman"/>
          <w:i/>
          <w:iCs/>
          <w:sz w:val="24"/>
          <w:szCs w:val="24"/>
          <w:lang w:val="en-US"/>
        </w:rPr>
        <w:t>threats</w:t>
      </w:r>
      <w:r>
        <w:rPr>
          <w:rFonts w:ascii="Times New Roman" w:hAnsi="Times New Roman"/>
          <w:sz w:val="24"/>
          <w:szCs w:val="24"/>
          <w:lang w:val="en-US"/>
        </w:rPr>
        <w:t xml:space="preserve"> (with the use of the plural) seems to prevent any broad interpretation (to be defined as torture, acts of violence and threats must always be more than one, excluding a single act of violence or a single threat</w:t>
      </w:r>
      <w:r>
        <w:rPr>
          <w:rFonts w:ascii="Times New Roman" w:hAnsi="Times New Roman"/>
          <w:sz w:val="24"/>
          <w:szCs w:val="24"/>
          <w:lang w:val="en-US"/>
        </w:rPr>
        <w:t xml:space="preserve"> even when it has resulted in inhuman and degrading treatment).</w:t>
      </w:r>
    </w:p>
    <w:p w:rsidR="007B1AB0" w:rsidRDefault="007B1AB0">
      <w:pPr>
        <w:rPr>
          <w:rFonts w:ascii="Times New Roman" w:eastAsia="Times New Roman" w:hAnsi="Times New Roman" w:cs="Times New Roman"/>
          <w:sz w:val="24"/>
          <w:szCs w:val="24"/>
          <w:lang w:val="en-US"/>
        </w:rPr>
      </w:pPr>
    </w:p>
    <w:p w:rsidR="007B1AB0" w:rsidRDefault="00B74EC6">
      <w:pPr>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The crime of torture was then completely distorted by inserting as a modal requirement the reiteration of the conduct, transforming the crime of torture defined in art. 613-bis </w:t>
      </w:r>
      <w:proofErr w:type="spellStart"/>
      <w:proofErr w:type="gramStart"/>
      <w:r>
        <w:rPr>
          <w:rFonts w:ascii="Times New Roman" w:hAnsi="Times New Roman"/>
          <w:sz w:val="24"/>
          <w:szCs w:val="24"/>
          <w:lang w:val="en-US"/>
        </w:rPr>
        <w:t>c.p</w:t>
      </w:r>
      <w:proofErr w:type="spellEnd"/>
      <w:proofErr w:type="gramEnd"/>
      <w:r>
        <w:rPr>
          <w:rFonts w:ascii="Times New Roman" w:hAnsi="Times New Roman"/>
          <w:sz w:val="24"/>
          <w:szCs w:val="24"/>
          <w:lang w:val="en-US"/>
        </w:rPr>
        <w:t>. into an h</w:t>
      </w:r>
      <w:r>
        <w:rPr>
          <w:rFonts w:ascii="Times New Roman" w:hAnsi="Times New Roman"/>
          <w:sz w:val="24"/>
          <w:szCs w:val="24"/>
          <w:lang w:val="en-US"/>
        </w:rPr>
        <w:t>abitual offense. This approach shows little attention to the modern and subtle forms of torture, and it suggests the deliberate exclusion of the fact that numerous and reprehensible chronicle cases have now proven that torture is, most of all, committed in</w:t>
      </w:r>
      <w:r>
        <w:rPr>
          <w:rFonts w:ascii="Times New Roman" w:hAnsi="Times New Roman"/>
          <w:sz w:val="24"/>
          <w:szCs w:val="24"/>
          <w:lang w:val="en-US"/>
        </w:rPr>
        <w:t xml:space="preserve"> a single space-time context. </w:t>
      </w:r>
    </w:p>
    <w:p w:rsidR="007B1AB0" w:rsidRDefault="00B74EC6">
      <w:pPr>
        <w:jc w:val="both"/>
        <w:rPr>
          <w:rFonts w:ascii="Times New Roman" w:eastAsia="Times New Roman" w:hAnsi="Times New Roman" w:cs="Times New Roman"/>
          <w:sz w:val="24"/>
          <w:szCs w:val="24"/>
          <w:lang w:val="en-US"/>
        </w:rPr>
      </w:pPr>
      <w:r>
        <w:rPr>
          <w:rFonts w:ascii="Times New Roman" w:hAnsi="Times New Roman"/>
          <w:sz w:val="24"/>
          <w:szCs w:val="24"/>
          <w:lang w:val="en-US"/>
        </w:rPr>
        <w:t>The crime of torture then involves two alternative events, namely "acute physical sufferings" or "</w:t>
      </w:r>
      <w:r>
        <w:rPr>
          <w:rFonts w:ascii="Times New Roman" w:hAnsi="Times New Roman"/>
          <w:b/>
          <w:bCs/>
          <w:sz w:val="24"/>
          <w:szCs w:val="24"/>
          <w:lang w:val="en-US"/>
        </w:rPr>
        <w:t>verifiable psychological trauma</w:t>
      </w:r>
      <w:r>
        <w:rPr>
          <w:rFonts w:ascii="Times New Roman" w:hAnsi="Times New Roman"/>
          <w:sz w:val="24"/>
          <w:szCs w:val="24"/>
          <w:lang w:val="en-US"/>
        </w:rPr>
        <w:t>".</w:t>
      </w: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In addition to the lack of reference to "pain" (seen in the conventional law), the main criti</w:t>
      </w:r>
      <w:r>
        <w:rPr>
          <w:rFonts w:ascii="Times New Roman" w:hAnsi="Times New Roman"/>
          <w:sz w:val="24"/>
          <w:szCs w:val="24"/>
          <w:lang w:val="en-US"/>
        </w:rPr>
        <w:t>cal element of this part of the definition is the one enshrined in the evaluation of "verifiable psychological trauma".</w:t>
      </w: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This evaluation will inevitably lead to an application of the case only in disorders medically diagnosed, considered as diagnostic chang</w:t>
      </w:r>
      <w:r>
        <w:rPr>
          <w:rFonts w:ascii="Times New Roman" w:hAnsi="Times New Roman"/>
          <w:sz w:val="24"/>
          <w:szCs w:val="24"/>
          <w:lang w:val="en-US"/>
        </w:rPr>
        <w:t>es in the psychological sphere of the victim, or real illnesses.</w:t>
      </w: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This reconstruction is obviously not suitable to highlight the effects of the most modern torture techniques, also called no-touch, which could only create transient or simple anxiety disorde</w:t>
      </w:r>
      <w:r>
        <w:rPr>
          <w:rFonts w:ascii="Times New Roman" w:hAnsi="Times New Roman"/>
          <w:sz w:val="24"/>
          <w:szCs w:val="24"/>
          <w:lang w:val="en-US"/>
        </w:rPr>
        <w:t>rs.</w:t>
      </w: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Even in this respect, the Italian State cannot be considered respectful of the international obligation to incriminate torture.</w:t>
      </w: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Another serious anomaly is - as we have just mentioned - that the offense of torture is viewed as a common crime and the qua</w:t>
      </w:r>
      <w:r>
        <w:rPr>
          <w:rFonts w:ascii="Times New Roman" w:hAnsi="Times New Roman"/>
          <w:sz w:val="24"/>
          <w:szCs w:val="24"/>
          <w:lang w:val="en-US"/>
        </w:rPr>
        <w:t>lification of a public officer as a mere aggravating circumstance.</w:t>
      </w: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In fact, the case is aggravated - - if the above facts </w:t>
      </w:r>
      <w:r>
        <w:rPr>
          <w:rFonts w:ascii="Times New Roman" w:hAnsi="Times New Roman"/>
          <w:sz w:val="24"/>
          <w:szCs w:val="24"/>
          <w:lang w:val="en-US"/>
        </w:rPr>
        <w:t>“</w:t>
      </w:r>
      <w:r>
        <w:rPr>
          <w:rFonts w:ascii="Times New Roman" w:hAnsi="Times New Roman"/>
          <w:sz w:val="24"/>
          <w:szCs w:val="24"/>
          <w:lang w:val="en-US"/>
        </w:rPr>
        <w:t xml:space="preserve">are committed by a </w:t>
      </w:r>
      <w:r>
        <w:rPr>
          <w:rFonts w:ascii="Times New Roman" w:hAnsi="Times New Roman"/>
          <w:b/>
          <w:bCs/>
          <w:sz w:val="24"/>
          <w:szCs w:val="24"/>
          <w:lang w:val="en-US"/>
        </w:rPr>
        <w:t>public officer</w:t>
      </w:r>
      <w:r>
        <w:rPr>
          <w:rFonts w:ascii="Times New Roman" w:hAnsi="Times New Roman"/>
          <w:sz w:val="24"/>
          <w:szCs w:val="24"/>
          <w:lang w:val="en-US"/>
        </w:rPr>
        <w:t xml:space="preserve"> or by a </w:t>
      </w:r>
      <w:r>
        <w:rPr>
          <w:rFonts w:ascii="Times New Roman" w:hAnsi="Times New Roman"/>
          <w:b/>
          <w:bCs/>
          <w:sz w:val="24"/>
          <w:szCs w:val="24"/>
          <w:lang w:val="en-US"/>
        </w:rPr>
        <w:t>public servant</w:t>
      </w:r>
      <w:r>
        <w:rPr>
          <w:rFonts w:ascii="Times New Roman" w:hAnsi="Times New Roman"/>
          <w:sz w:val="24"/>
          <w:szCs w:val="24"/>
          <w:lang w:val="en-US"/>
        </w:rPr>
        <w:t xml:space="preserve">, with </w:t>
      </w:r>
      <w:r>
        <w:rPr>
          <w:rFonts w:ascii="Times New Roman" w:hAnsi="Times New Roman"/>
          <w:b/>
          <w:bCs/>
          <w:sz w:val="24"/>
          <w:szCs w:val="24"/>
          <w:lang w:val="en-US"/>
        </w:rPr>
        <w:t>abuse of power</w:t>
      </w:r>
      <w:r>
        <w:rPr>
          <w:rFonts w:ascii="Times New Roman" w:hAnsi="Times New Roman"/>
          <w:sz w:val="24"/>
          <w:szCs w:val="24"/>
          <w:lang w:val="en-US"/>
        </w:rPr>
        <w:t xml:space="preserve"> or in violation of the duties inherent to the function </w:t>
      </w:r>
      <w:r>
        <w:rPr>
          <w:rFonts w:ascii="Times New Roman" w:hAnsi="Times New Roman"/>
          <w:sz w:val="24"/>
          <w:szCs w:val="24"/>
          <w:lang w:val="en-US"/>
        </w:rPr>
        <w:t>or the service</w:t>
      </w:r>
      <w:r>
        <w:rPr>
          <w:rFonts w:ascii="Times New Roman" w:hAnsi="Times New Roman"/>
          <w:sz w:val="24"/>
          <w:szCs w:val="24"/>
          <w:lang w:val="en-US"/>
        </w:rPr>
        <w:t>”</w:t>
      </w:r>
      <w:r>
        <w:rPr>
          <w:rFonts w:ascii="Times New Roman" w:hAnsi="Times New Roman"/>
          <w:sz w:val="24"/>
          <w:szCs w:val="24"/>
          <w:lang w:val="en-US"/>
        </w:rPr>
        <w:t xml:space="preserve">, excluding from the area of </w:t>
      </w:r>
      <w:r>
        <w:rPr>
          <w:rFonts w:ascii="Times New Roman" w:hAnsi="Times New Roman"/>
          <w:sz w:val="24"/>
          <w:szCs w:val="24"/>
          <w:lang w:val="en-US"/>
        </w:rPr>
        <w:t>​​</w:t>
      </w:r>
      <w:r>
        <w:rPr>
          <w:rFonts w:ascii="Times New Roman" w:hAnsi="Times New Roman"/>
          <w:sz w:val="24"/>
          <w:szCs w:val="24"/>
          <w:lang w:val="en-US"/>
        </w:rPr>
        <w:t xml:space="preserve">punishment </w:t>
      </w:r>
      <w:r>
        <w:rPr>
          <w:rFonts w:ascii="Times New Roman" w:hAnsi="Times New Roman"/>
          <w:sz w:val="24"/>
          <w:szCs w:val="24"/>
          <w:lang w:val="en-US"/>
        </w:rPr>
        <w:t>“</w:t>
      </w:r>
      <w:r>
        <w:rPr>
          <w:rFonts w:ascii="Times New Roman" w:hAnsi="Times New Roman"/>
          <w:sz w:val="24"/>
          <w:szCs w:val="24"/>
          <w:lang w:val="en-US"/>
        </w:rPr>
        <w:t>the sufferings solely resulting from the execution of legitimate measures of deprivation or limitation of rights</w:t>
      </w:r>
      <w:r>
        <w:rPr>
          <w:rFonts w:ascii="Times New Roman" w:hAnsi="Times New Roman"/>
          <w:sz w:val="24"/>
          <w:szCs w:val="24"/>
          <w:lang w:val="en-US"/>
        </w:rPr>
        <w:t>”</w:t>
      </w:r>
      <w:r>
        <w:rPr>
          <w:rFonts w:ascii="Times New Roman" w:hAnsi="Times New Roman"/>
          <w:sz w:val="24"/>
          <w:szCs w:val="24"/>
          <w:lang w:val="en-US"/>
        </w:rPr>
        <w:t xml:space="preserve">. </w:t>
      </w: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In addition, the Parliament has defined the punishment, in the event of an aggrava</w:t>
      </w:r>
      <w:r>
        <w:rPr>
          <w:rFonts w:ascii="Times New Roman" w:hAnsi="Times New Roman"/>
          <w:sz w:val="24"/>
          <w:szCs w:val="24"/>
          <w:lang w:val="en-US"/>
        </w:rPr>
        <w:t xml:space="preserve">ting circumstance, with imprisonment </w:t>
      </w:r>
      <w:r>
        <w:rPr>
          <w:rFonts w:ascii="Times New Roman" w:hAnsi="Times New Roman"/>
          <w:b/>
          <w:bCs/>
          <w:sz w:val="24"/>
          <w:szCs w:val="24"/>
          <w:lang w:val="en-US"/>
        </w:rPr>
        <w:t>from 5 to 12 years</w:t>
      </w:r>
      <w:r>
        <w:rPr>
          <w:rFonts w:ascii="Times New Roman" w:hAnsi="Times New Roman"/>
          <w:sz w:val="24"/>
          <w:szCs w:val="24"/>
          <w:lang w:val="en-US"/>
        </w:rPr>
        <w:t xml:space="preserve"> (with respect to the basic punishment of 4 to 10 years imprisonment), which is therefore an aggravating circumstance, concerning the maximal penalty, inferior of one third, when aggravating circumstan</w:t>
      </w:r>
      <w:r>
        <w:rPr>
          <w:rFonts w:ascii="Times New Roman" w:hAnsi="Times New Roman"/>
          <w:sz w:val="24"/>
          <w:szCs w:val="24"/>
          <w:lang w:val="en-US"/>
        </w:rPr>
        <w:t xml:space="preserve">ces usually involve a "punishment of up to one third" - art. 64 criminal </w:t>
      </w:r>
      <w:proofErr w:type="gramStart"/>
      <w:r>
        <w:rPr>
          <w:rFonts w:ascii="Times New Roman" w:hAnsi="Times New Roman"/>
          <w:sz w:val="24"/>
          <w:szCs w:val="24"/>
          <w:lang w:val="en-US"/>
        </w:rPr>
        <w:t>code</w:t>
      </w:r>
      <w:proofErr w:type="gramEnd"/>
      <w:r>
        <w:rPr>
          <w:rFonts w:ascii="Times New Roman" w:hAnsi="Times New Roman"/>
          <w:sz w:val="24"/>
          <w:szCs w:val="24"/>
          <w:lang w:val="en-US"/>
        </w:rPr>
        <w:t xml:space="preserve">. </w:t>
      </w:r>
    </w:p>
    <w:p w:rsidR="007B1AB0" w:rsidRDefault="007B1AB0">
      <w:pPr>
        <w:pStyle w:val="CorpoA"/>
        <w:spacing w:line="288" w:lineRule="auto"/>
        <w:jc w:val="both"/>
        <w:rPr>
          <w:rFonts w:ascii="Times New Roman" w:eastAsia="Times New Roman" w:hAnsi="Times New Roman" w:cs="Times New Roman"/>
          <w:sz w:val="24"/>
          <w:szCs w:val="24"/>
          <w:lang w:val="en-US"/>
        </w:rPr>
      </w:pP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Even in this case, the national Parliament didn</w:t>
      </w:r>
      <w:r>
        <w:rPr>
          <w:rFonts w:ascii="Times New Roman" w:hAnsi="Times New Roman"/>
          <w:sz w:val="24"/>
          <w:szCs w:val="24"/>
          <w:lang w:val="en-US"/>
        </w:rPr>
        <w:t>’</w:t>
      </w:r>
      <w:r>
        <w:rPr>
          <w:rFonts w:ascii="Times New Roman" w:hAnsi="Times New Roman"/>
          <w:sz w:val="24"/>
          <w:szCs w:val="24"/>
          <w:lang w:val="en-US"/>
        </w:rPr>
        <w:t xml:space="preserve">t respect the supranational obligation laid down by CAT, where it is expected that torture be considered a crime committed by </w:t>
      </w:r>
      <w:r>
        <w:rPr>
          <w:rFonts w:ascii="Times New Roman" w:hAnsi="Times New Roman"/>
          <w:sz w:val="24"/>
          <w:szCs w:val="24"/>
          <w:lang w:val="en-US"/>
        </w:rPr>
        <w:t>the public officer (allowing in this way a similar punitive treatment for the torture committed by a private person or a public officer).</w:t>
      </w:r>
    </w:p>
    <w:p w:rsidR="007B1AB0" w:rsidRDefault="007B1AB0">
      <w:pPr>
        <w:pStyle w:val="CorpoA"/>
        <w:spacing w:line="288" w:lineRule="auto"/>
        <w:jc w:val="both"/>
        <w:rPr>
          <w:rFonts w:ascii="Times New Roman" w:eastAsia="Times New Roman" w:hAnsi="Times New Roman" w:cs="Times New Roman"/>
          <w:sz w:val="24"/>
          <w:szCs w:val="24"/>
          <w:lang w:val="en-US"/>
        </w:rPr>
      </w:pP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The real gap of protection from which our criminal order was affected, for which the Italian State has been repeatedl</w:t>
      </w:r>
      <w:r>
        <w:rPr>
          <w:rFonts w:ascii="Times New Roman" w:hAnsi="Times New Roman"/>
          <w:sz w:val="24"/>
          <w:szCs w:val="24"/>
          <w:lang w:val="en-US"/>
        </w:rPr>
        <w:t>y sanctioned, specifically concerned this meaning of torture, defined as judicial torture, punishment or discrimination, all reasons for which the international order loudly ask not only the criminalization of torture, but also the guarantee of an effectiv</w:t>
      </w:r>
      <w:r>
        <w:rPr>
          <w:rFonts w:ascii="Times New Roman" w:hAnsi="Times New Roman"/>
          <w:sz w:val="24"/>
          <w:szCs w:val="24"/>
          <w:lang w:val="en-US"/>
        </w:rPr>
        <w:t>e and actual punishment for the perpetrators.</w:t>
      </w:r>
    </w:p>
    <w:p w:rsidR="007B1AB0" w:rsidRDefault="007B1AB0">
      <w:pPr>
        <w:pStyle w:val="CorpoA"/>
        <w:spacing w:line="288" w:lineRule="auto"/>
        <w:jc w:val="both"/>
        <w:rPr>
          <w:rFonts w:ascii="Times New Roman" w:eastAsia="Times New Roman" w:hAnsi="Times New Roman" w:cs="Times New Roman"/>
          <w:sz w:val="24"/>
          <w:szCs w:val="24"/>
          <w:lang w:val="en-US"/>
        </w:rPr>
      </w:pPr>
    </w:p>
    <w:p w:rsidR="007B1AB0" w:rsidRDefault="00B74EC6">
      <w:pPr>
        <w:rPr>
          <w:rFonts w:ascii="Times New Roman" w:eastAsia="Times New Roman" w:hAnsi="Times New Roman" w:cs="Times New Roman"/>
          <w:sz w:val="24"/>
          <w:szCs w:val="24"/>
          <w:lang w:val="en-US"/>
        </w:rPr>
      </w:pPr>
      <w:r>
        <w:rPr>
          <w:rFonts w:ascii="Times New Roman" w:hAnsi="Times New Roman"/>
          <w:sz w:val="24"/>
          <w:szCs w:val="24"/>
          <w:lang w:val="en-US"/>
        </w:rPr>
        <w:lastRenderedPageBreak/>
        <w:t>The risk, rather than eliminating the additional negative value connected to the different and more serious sanction, is more concrete when considering the full operation of the principle of balancing heteroge</w:t>
      </w:r>
      <w:r>
        <w:rPr>
          <w:rFonts w:ascii="Times New Roman" w:hAnsi="Times New Roman"/>
          <w:sz w:val="24"/>
          <w:szCs w:val="24"/>
          <w:lang w:val="en-US"/>
        </w:rPr>
        <w:t xml:space="preserve">neous circumstances (aggravating and mitigating), as defined by art. </w:t>
      </w:r>
      <w:proofErr w:type="gramStart"/>
      <w:r>
        <w:rPr>
          <w:rFonts w:ascii="Times New Roman" w:hAnsi="Times New Roman"/>
          <w:sz w:val="24"/>
          <w:szCs w:val="24"/>
          <w:lang w:val="en-US"/>
        </w:rPr>
        <w:t>69 of the criminal code.</w:t>
      </w:r>
      <w:proofErr w:type="gramEnd"/>
    </w:p>
    <w:p w:rsidR="007B1AB0" w:rsidRDefault="00B74EC6">
      <w:pPr>
        <w:rPr>
          <w:rFonts w:ascii="Times New Roman" w:eastAsia="Times New Roman" w:hAnsi="Times New Roman" w:cs="Times New Roman"/>
          <w:sz w:val="24"/>
          <w:szCs w:val="24"/>
          <w:lang w:val="en-US"/>
        </w:rPr>
      </w:pPr>
      <w:r>
        <w:rPr>
          <w:rFonts w:ascii="Times New Roman" w:hAnsi="Times New Roman"/>
          <w:sz w:val="24"/>
          <w:szCs w:val="24"/>
          <w:lang w:val="en-US"/>
        </w:rPr>
        <w:t>The danger of creating, in this way, an ineffective case for the repression of the "State Torture" as a particularly serious form of human rights violation, makes</w:t>
      </w:r>
      <w:r>
        <w:rPr>
          <w:rFonts w:ascii="Times New Roman" w:hAnsi="Times New Roman"/>
          <w:sz w:val="24"/>
          <w:szCs w:val="24"/>
          <w:lang w:val="en-US"/>
        </w:rPr>
        <w:t xml:space="preserve"> curious the choice of giving up the introduction of an express ban of balancing, considering that it has been foreseen for many other offenses, including, for example, fraud in criminal proceeding and robbery.</w:t>
      </w: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It should also be noted that in the </w:t>
      </w:r>
      <w:r>
        <w:rPr>
          <w:rFonts w:ascii="Times New Roman" w:hAnsi="Times New Roman"/>
          <w:sz w:val="24"/>
          <w:szCs w:val="24"/>
          <w:lang w:val="en-US"/>
        </w:rPr>
        <w:t>conclusions and recommendations defined at the end of the 38th Session of Work in 2007, this Committee had expressed the opinion that the criminal repression of acts of torture, ensured by the criminal figures provided for in the Italian Criminal Code, sho</w:t>
      </w:r>
      <w:r>
        <w:rPr>
          <w:rFonts w:ascii="Times New Roman" w:hAnsi="Times New Roman"/>
          <w:sz w:val="24"/>
          <w:szCs w:val="24"/>
          <w:lang w:val="en-US"/>
        </w:rPr>
        <w:t>uld not be subjected to the discipline of prescription. The Committee proposed a reform of that discipline in order to ensure the full coherence with the obligations of the UN Convention against Torture, to make possible investigations, processes and punis</w:t>
      </w:r>
      <w:r>
        <w:rPr>
          <w:rFonts w:ascii="Times New Roman" w:hAnsi="Times New Roman"/>
          <w:sz w:val="24"/>
          <w:szCs w:val="24"/>
          <w:lang w:val="en-US"/>
        </w:rPr>
        <w:t>hment of such acts without time limits.</w:t>
      </w:r>
    </w:p>
    <w:p w:rsidR="007B1AB0" w:rsidRDefault="00B74EC6">
      <w:pPr>
        <w:rPr>
          <w:rFonts w:ascii="Times New Roman" w:eastAsia="Times New Roman" w:hAnsi="Times New Roman" w:cs="Times New Roman"/>
          <w:sz w:val="24"/>
          <w:szCs w:val="24"/>
          <w:lang w:val="en-US"/>
        </w:rPr>
      </w:pPr>
      <w:r>
        <w:rPr>
          <w:rFonts w:ascii="Times New Roman" w:hAnsi="Times New Roman"/>
          <w:sz w:val="24"/>
          <w:szCs w:val="24"/>
          <w:lang w:val="en-US"/>
        </w:rPr>
        <w:t>The solution to this problem would be to insert in the last paragraph of art. 157 of the criminal code (initially envisaged in the bill, but then excluded during the parliamentary proceedings), which defines the non-</w:t>
      </w:r>
      <w:r>
        <w:rPr>
          <w:rFonts w:ascii="Times New Roman" w:hAnsi="Times New Roman"/>
          <w:sz w:val="24"/>
          <w:szCs w:val="24"/>
          <w:lang w:val="en-US"/>
        </w:rPr>
        <w:t>applicability of statutory limitations to crimes punished with life imprisonment, the further reference to the criminal offenses committed through acts which can be qualified as acts of torture or inhuman or degrading treatment as detrimental to the values</w:t>
      </w:r>
      <w:r>
        <w:rPr>
          <w:rFonts w:ascii="Times New Roman" w:hAnsi="Times New Roman"/>
          <w:sz w:val="24"/>
          <w:szCs w:val="24"/>
          <w:lang w:val="en-US"/>
        </w:rPr>
        <w:t xml:space="preserve"> for which the international order guarantees an indispensable protection. The reform, approved in this way, obeys the ordinary terms of the prescription.</w:t>
      </w:r>
    </w:p>
    <w:p w:rsidR="007B1AB0" w:rsidRDefault="00B74EC6">
      <w:pPr>
        <w:rPr>
          <w:rFonts w:ascii="Times New Roman" w:eastAsia="Times New Roman" w:hAnsi="Times New Roman" w:cs="Times New Roman"/>
          <w:sz w:val="24"/>
          <w:szCs w:val="24"/>
          <w:lang w:val="en-US"/>
        </w:rPr>
      </w:pPr>
      <w:r>
        <w:rPr>
          <w:rFonts w:ascii="Times New Roman" w:hAnsi="Times New Roman"/>
          <w:sz w:val="24"/>
          <w:szCs w:val="24"/>
          <w:lang w:val="en-US"/>
        </w:rPr>
        <w:t>Finally, there is a further criticism concerning the fact that the reform does not consider providing</w:t>
      </w:r>
      <w:r>
        <w:rPr>
          <w:rFonts w:ascii="Times New Roman" w:hAnsi="Times New Roman"/>
          <w:sz w:val="24"/>
          <w:szCs w:val="24"/>
          <w:lang w:val="en-US"/>
        </w:rPr>
        <w:t xml:space="preserve"> a fund to support the victims, or any reparations as stipulated in art. </w:t>
      </w:r>
      <w:proofErr w:type="gramStart"/>
      <w:r>
        <w:rPr>
          <w:rFonts w:ascii="Times New Roman" w:hAnsi="Times New Roman"/>
          <w:sz w:val="24"/>
          <w:szCs w:val="24"/>
          <w:lang w:val="en-US"/>
        </w:rPr>
        <w:t>14 of CAT.</w:t>
      </w:r>
      <w:proofErr w:type="gramEnd"/>
    </w:p>
    <w:p w:rsidR="007B1AB0" w:rsidRDefault="007B1AB0">
      <w:pPr>
        <w:pStyle w:val="CorpoA"/>
        <w:spacing w:line="288" w:lineRule="auto"/>
        <w:jc w:val="both"/>
        <w:rPr>
          <w:rFonts w:ascii="Times New Roman" w:eastAsia="Times New Roman" w:hAnsi="Times New Roman" w:cs="Times New Roman"/>
          <w:sz w:val="24"/>
          <w:szCs w:val="24"/>
          <w:lang w:val="en-US"/>
        </w:rPr>
      </w:pP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So, the formulation proposed by the new art. 613 </w:t>
      </w:r>
      <w:proofErr w:type="spellStart"/>
      <w:r>
        <w:rPr>
          <w:rFonts w:ascii="Times New Roman" w:hAnsi="Times New Roman"/>
          <w:sz w:val="24"/>
          <w:szCs w:val="24"/>
          <w:lang w:val="en-US"/>
        </w:rPr>
        <w:t>bis</w:t>
      </w:r>
      <w:proofErr w:type="spellEnd"/>
      <w:r>
        <w:rPr>
          <w:rFonts w:ascii="Times New Roman" w:hAnsi="Times New Roman"/>
          <w:sz w:val="24"/>
          <w:szCs w:val="24"/>
          <w:lang w:val="en-US"/>
        </w:rPr>
        <w:t xml:space="preserve"> of the criminal code - after almost 30 years of waiting for this law - is profoundly different from the one adopted by</w:t>
      </w:r>
      <w:r>
        <w:rPr>
          <w:rFonts w:ascii="Times New Roman" w:hAnsi="Times New Roman"/>
          <w:sz w:val="24"/>
          <w:szCs w:val="24"/>
          <w:lang w:val="en-US"/>
        </w:rPr>
        <w:t xml:space="preserve"> CAT and outlined by international jurisprudence.</w:t>
      </w:r>
    </w:p>
    <w:p w:rsidR="007B1AB0" w:rsidRDefault="007B1AB0">
      <w:pPr>
        <w:pStyle w:val="CorpoA"/>
        <w:spacing w:line="288" w:lineRule="auto"/>
        <w:jc w:val="both"/>
        <w:rPr>
          <w:rFonts w:ascii="Times New Roman" w:eastAsia="Times New Roman" w:hAnsi="Times New Roman" w:cs="Times New Roman"/>
          <w:sz w:val="24"/>
          <w:szCs w:val="24"/>
          <w:lang w:val="en-US"/>
        </w:rPr>
      </w:pP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It seems paradoxical that the new law, which was approved thanks to the convictions of the European Court of Human Rights in response to the well-known facts of Genoa, could hardly be applied to the despic</w:t>
      </w:r>
      <w:r>
        <w:rPr>
          <w:rFonts w:ascii="Times New Roman" w:hAnsi="Times New Roman"/>
          <w:sz w:val="24"/>
          <w:szCs w:val="24"/>
          <w:lang w:val="en-US"/>
        </w:rPr>
        <w:t>able violence committed by police officers inside the Diaz-</w:t>
      </w:r>
      <w:proofErr w:type="spellStart"/>
      <w:r>
        <w:rPr>
          <w:rFonts w:ascii="Times New Roman" w:hAnsi="Times New Roman"/>
          <w:sz w:val="24"/>
          <w:szCs w:val="24"/>
          <w:lang w:val="en-US"/>
        </w:rPr>
        <w:t>Pertini</w:t>
      </w:r>
      <w:proofErr w:type="spellEnd"/>
      <w:r>
        <w:rPr>
          <w:rFonts w:ascii="Times New Roman" w:hAnsi="Times New Roman"/>
          <w:sz w:val="24"/>
          <w:szCs w:val="24"/>
          <w:lang w:val="en-US"/>
        </w:rPr>
        <w:t xml:space="preserve"> school, leaving, in this way, serious gaps in human rights protection.</w:t>
      </w:r>
    </w:p>
    <w:p w:rsidR="007B1AB0" w:rsidRDefault="007B1AB0">
      <w:pPr>
        <w:pStyle w:val="CorpoA"/>
        <w:spacing w:line="288" w:lineRule="auto"/>
        <w:jc w:val="both"/>
        <w:rPr>
          <w:rFonts w:ascii="Times New Roman" w:eastAsia="Times New Roman" w:hAnsi="Times New Roman" w:cs="Times New Roman"/>
          <w:sz w:val="24"/>
          <w:szCs w:val="24"/>
          <w:lang w:val="en-US"/>
        </w:rPr>
      </w:pPr>
    </w:p>
    <w:p w:rsidR="007B1AB0" w:rsidRDefault="00B74EC6">
      <w:pPr>
        <w:pStyle w:val="CorpoA"/>
        <w:spacing w:line="288" w:lineRule="auto"/>
        <w:jc w:val="both"/>
        <w:rPr>
          <w:rFonts w:ascii="Times New Roman" w:eastAsia="Times New Roman" w:hAnsi="Times New Roman" w:cs="Times New Roman"/>
          <w:sz w:val="24"/>
          <w:szCs w:val="24"/>
          <w:lang w:val="en-US"/>
        </w:rPr>
      </w:pPr>
      <w:r>
        <w:rPr>
          <w:rFonts w:ascii="Times New Roman" w:hAnsi="Times New Roman"/>
          <w:sz w:val="24"/>
          <w:szCs w:val="24"/>
          <w:lang w:val="en-US"/>
        </w:rPr>
        <w:t>The few points highlighted concerning the request of reiteration of the conducts, the risk of weakening the preventio</w:t>
      </w:r>
      <w:r>
        <w:rPr>
          <w:rFonts w:ascii="Times New Roman" w:hAnsi="Times New Roman"/>
          <w:sz w:val="24"/>
          <w:szCs w:val="24"/>
          <w:lang w:val="en-US"/>
        </w:rPr>
        <w:t xml:space="preserve">n and contrast of the so-called </w:t>
      </w:r>
      <w:r>
        <w:rPr>
          <w:rFonts w:ascii="Times New Roman" w:hAnsi="Times New Roman"/>
          <w:sz w:val="24"/>
          <w:szCs w:val="24"/>
          <w:lang w:val="en-US"/>
        </w:rPr>
        <w:t>“</w:t>
      </w:r>
      <w:r>
        <w:rPr>
          <w:rFonts w:ascii="Times New Roman" w:hAnsi="Times New Roman"/>
          <w:sz w:val="24"/>
          <w:szCs w:val="24"/>
          <w:lang w:val="en-US"/>
        </w:rPr>
        <w:t>State Torture</w:t>
      </w:r>
      <w:r>
        <w:rPr>
          <w:rFonts w:ascii="Times New Roman" w:hAnsi="Times New Roman"/>
          <w:sz w:val="24"/>
          <w:szCs w:val="24"/>
          <w:lang w:val="en-US"/>
        </w:rPr>
        <w:t xml:space="preserve">” </w:t>
      </w:r>
      <w:r>
        <w:rPr>
          <w:rFonts w:ascii="Times New Roman" w:hAnsi="Times New Roman"/>
          <w:sz w:val="24"/>
          <w:szCs w:val="24"/>
          <w:lang w:val="en-US"/>
        </w:rPr>
        <w:t>and of the areas of impunity connected to the prescription, amnesty, lead us to ask this Committee to formulate recommendations to the Italian State in order to amend this law introduced to overcome the criti</w:t>
      </w:r>
      <w:r>
        <w:rPr>
          <w:rFonts w:ascii="Times New Roman" w:hAnsi="Times New Roman"/>
          <w:sz w:val="24"/>
          <w:szCs w:val="24"/>
          <w:lang w:val="en-US"/>
        </w:rPr>
        <w:t>cal profiles already highlighted.</w:t>
      </w:r>
    </w:p>
    <w:p w:rsidR="007B1AB0" w:rsidRDefault="007B1AB0">
      <w:pPr>
        <w:pStyle w:val="CorpoA"/>
        <w:spacing w:line="288" w:lineRule="auto"/>
        <w:jc w:val="both"/>
        <w:rPr>
          <w:rFonts w:ascii="Times New Roman" w:eastAsia="Times New Roman" w:hAnsi="Times New Roman" w:cs="Times New Roman"/>
          <w:sz w:val="24"/>
          <w:szCs w:val="24"/>
          <w:lang w:val="en-US"/>
        </w:rPr>
      </w:pPr>
    </w:p>
    <w:p w:rsidR="007B1AB0" w:rsidRDefault="007B1AB0">
      <w:pPr>
        <w:pStyle w:val="CorpoA"/>
        <w:spacing w:line="288" w:lineRule="auto"/>
        <w:jc w:val="both"/>
        <w:rPr>
          <w:rFonts w:ascii="Times New Roman" w:eastAsia="Times New Roman" w:hAnsi="Times New Roman" w:cs="Times New Roman"/>
          <w:sz w:val="24"/>
          <w:szCs w:val="24"/>
          <w:lang w:val="en-US"/>
        </w:rPr>
      </w:pPr>
    </w:p>
    <w:p w:rsidR="007B1AB0" w:rsidRDefault="007B1AB0">
      <w:pPr>
        <w:pStyle w:val="CorpoA"/>
        <w:spacing w:line="288" w:lineRule="auto"/>
        <w:jc w:val="both"/>
        <w:rPr>
          <w:rFonts w:ascii="Times New Roman" w:eastAsia="Times New Roman" w:hAnsi="Times New Roman" w:cs="Times New Roman"/>
          <w:sz w:val="24"/>
          <w:szCs w:val="24"/>
          <w:lang w:val="en-US"/>
        </w:rPr>
      </w:pPr>
    </w:p>
    <w:p w:rsidR="007B1AB0" w:rsidRDefault="007B1AB0">
      <w:pPr>
        <w:pStyle w:val="CorpoA"/>
        <w:spacing w:line="288" w:lineRule="auto"/>
        <w:jc w:val="both"/>
        <w:rPr>
          <w:rFonts w:ascii="Times New Roman" w:eastAsia="Times New Roman" w:hAnsi="Times New Roman" w:cs="Times New Roman"/>
          <w:sz w:val="24"/>
          <w:szCs w:val="24"/>
          <w:lang w:val="en-US"/>
        </w:rPr>
      </w:pPr>
    </w:p>
    <w:p w:rsidR="007B1AB0" w:rsidRDefault="007B1AB0">
      <w:pPr>
        <w:pStyle w:val="CorpoA"/>
        <w:spacing w:line="288" w:lineRule="auto"/>
        <w:jc w:val="both"/>
        <w:rPr>
          <w:rFonts w:ascii="Times New Roman" w:eastAsia="Times New Roman" w:hAnsi="Times New Roman" w:cs="Times New Roman"/>
          <w:sz w:val="24"/>
          <w:szCs w:val="24"/>
          <w:lang w:val="en-US"/>
        </w:rPr>
      </w:pPr>
    </w:p>
    <w:p w:rsidR="007B1AB0" w:rsidRDefault="00B74EC6">
      <w:pPr>
        <w:pStyle w:val="CorpoA"/>
        <w:spacing w:line="288" w:lineRule="auto"/>
        <w:jc w:val="both"/>
        <w:rPr>
          <w:rFonts w:ascii="Times New Roman" w:eastAsia="Times New Roman" w:hAnsi="Times New Roman" w:cs="Times New Roman"/>
          <w:b/>
          <w:bCs/>
          <w:sz w:val="24"/>
          <w:szCs w:val="24"/>
          <w:lang w:val="en-US"/>
        </w:rPr>
      </w:pPr>
      <w:bookmarkStart w:id="0" w:name="_GoBack"/>
      <w:r>
        <w:rPr>
          <w:rFonts w:ascii="Times New Roman" w:hAnsi="Times New Roman"/>
          <w:b/>
          <w:bCs/>
          <w:sz w:val="24"/>
          <w:szCs w:val="24"/>
          <w:lang w:val="en-US"/>
        </w:rPr>
        <w:t>LEGAL TEAM ITALIA</w:t>
      </w:r>
      <w:bookmarkEnd w:id="0"/>
    </w:p>
    <w:p w:rsidR="007B1AB0" w:rsidRDefault="007B1AB0">
      <w:pPr>
        <w:pStyle w:val="CorpoA"/>
        <w:spacing w:line="288" w:lineRule="auto"/>
        <w:jc w:val="both"/>
        <w:rPr>
          <w:rFonts w:ascii="Times New Roman" w:eastAsia="Times New Roman" w:hAnsi="Times New Roman" w:cs="Times New Roman"/>
          <w:b/>
          <w:bCs/>
          <w:sz w:val="24"/>
          <w:szCs w:val="24"/>
          <w:lang w:val="en-US"/>
        </w:rPr>
      </w:pPr>
    </w:p>
    <w:p w:rsidR="007B1AB0" w:rsidRDefault="00B74EC6">
      <w:pPr>
        <w:pStyle w:val="CorpoA"/>
        <w:spacing w:line="288" w:lineRule="auto"/>
        <w:jc w:val="both"/>
        <w:rPr>
          <w:rFonts w:ascii="Times New Roman" w:eastAsia="Times New Roman" w:hAnsi="Times New Roman" w:cs="Times New Roman"/>
          <w:i/>
          <w:iCs/>
          <w:sz w:val="24"/>
          <w:szCs w:val="24"/>
          <w:lang w:val="en-US"/>
        </w:rPr>
      </w:pPr>
      <w:r>
        <w:rPr>
          <w:rFonts w:ascii="Times New Roman" w:hAnsi="Times New Roman"/>
          <w:i/>
          <w:iCs/>
          <w:sz w:val="24"/>
          <w:szCs w:val="24"/>
          <w:lang w:val="en-US"/>
        </w:rPr>
        <w:t xml:space="preserve">Legal Team Italia is an association of lawyers engaged in the protection of the rights of the weakest people, of movements, of migrants and of victims of state violence. The Association was created </w:t>
      </w:r>
      <w:r>
        <w:rPr>
          <w:rFonts w:ascii="Times New Roman" w:hAnsi="Times New Roman"/>
          <w:i/>
          <w:iCs/>
          <w:sz w:val="24"/>
          <w:szCs w:val="24"/>
          <w:lang w:val="en-US"/>
        </w:rPr>
        <w:t>after Genoa where we were present in July 2001 and where we saw the violence and torture inflicted on hundreds of demonstrators that we then defended in long national proceedings and at the European Court of Human Rights in Strasbourg.</w:t>
      </w:r>
    </w:p>
    <w:p w:rsidR="007B1AB0" w:rsidRDefault="007B1AB0">
      <w:pPr>
        <w:pStyle w:val="CorpoA"/>
        <w:spacing w:line="288" w:lineRule="auto"/>
        <w:jc w:val="both"/>
        <w:rPr>
          <w:rFonts w:ascii="Times New Roman" w:eastAsia="Times New Roman" w:hAnsi="Times New Roman" w:cs="Times New Roman"/>
          <w:sz w:val="24"/>
          <w:szCs w:val="24"/>
          <w:lang w:val="en-US"/>
        </w:rPr>
      </w:pPr>
    </w:p>
    <w:p w:rsidR="007B1AB0" w:rsidRDefault="007B1AB0">
      <w:pPr>
        <w:pStyle w:val="CorpoA"/>
        <w:spacing w:line="288" w:lineRule="auto"/>
        <w:jc w:val="both"/>
      </w:pPr>
    </w:p>
    <w:sectPr w:rsidR="007B1AB0">
      <w:headerReference w:type="default" r:id="rId7"/>
      <w:footerReference w:type="default" r:id="rId8"/>
      <w:pgSz w:w="11900" w:h="16840"/>
      <w:pgMar w:top="1417" w:right="1134" w:bottom="1134" w:left="1134"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74EC6">
      <w:pPr>
        <w:spacing w:after="0" w:line="240" w:lineRule="auto"/>
      </w:pPr>
      <w:r>
        <w:separator/>
      </w:r>
    </w:p>
  </w:endnote>
  <w:endnote w:type="continuationSeparator" w:id="0">
    <w:p w:rsidR="00000000" w:rsidRDefault="00B74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elvetica Neue">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AB0" w:rsidRDefault="007B1AB0">
    <w:pPr>
      <w:pStyle w:val="Intestazionee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74EC6">
      <w:pPr>
        <w:spacing w:after="0" w:line="240" w:lineRule="auto"/>
      </w:pPr>
      <w:r>
        <w:separator/>
      </w:r>
    </w:p>
  </w:footnote>
  <w:footnote w:type="continuationSeparator" w:id="0">
    <w:p w:rsidR="00000000" w:rsidRDefault="00B74E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AB0" w:rsidRDefault="007B1AB0">
    <w:pPr>
      <w:pStyle w:val="Intestazioneepidipagin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7B1AB0"/>
    <w:rsid w:val="007B1AB0"/>
    <w:rsid w:val="00B74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160" w:line="259" w:lineRule="auto"/>
    </w:pPr>
    <w:rPr>
      <w:rFonts w:ascii="Calibri" w:eastAsia="Calibri" w:hAnsi="Calibri" w:cs="Calibri"/>
      <w:color w:val="000000"/>
      <w:sz w:val="22"/>
      <w:szCs w:val="22"/>
      <w:u w:color="000000"/>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Intestazioneepidipagina">
    <w:name w:val="Intestazione e piè di pagina"/>
    <w:pPr>
      <w:tabs>
        <w:tab w:val="right" w:pos="9020"/>
      </w:tabs>
    </w:pPr>
    <w:rPr>
      <w:rFonts w:ascii="Helvetica Neue" w:hAnsi="Helvetica Neue" w:cs="Arial Unicode MS"/>
      <w:color w:val="000000"/>
      <w:sz w:val="24"/>
      <w:szCs w:val="24"/>
    </w:rPr>
  </w:style>
  <w:style w:type="paragraph" w:customStyle="1" w:styleId="CorpoA">
    <w:name w:val="Corpo A"/>
    <w:rPr>
      <w:rFonts w:ascii="Helvetica Neue" w:hAnsi="Helvetica Neue" w:cs="Arial Unicode MS"/>
      <w:color w:val="000000"/>
      <w:sz w:val="22"/>
      <w:szCs w:val="22"/>
      <w:u w:color="000000"/>
      <w:lang w:val="it-IT"/>
    </w:rPr>
  </w:style>
  <w:style w:type="paragraph" w:styleId="BalloonText">
    <w:name w:val="Balloon Text"/>
    <w:basedOn w:val="Normal"/>
    <w:link w:val="BalloonTextChar"/>
    <w:uiPriority w:val="99"/>
    <w:semiHidden/>
    <w:unhideWhenUsed/>
    <w:rsid w:val="00B74E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EC6"/>
    <w:rPr>
      <w:rFonts w:ascii="Tahoma" w:eastAsia="Calibri" w:hAnsi="Tahoma" w:cs="Tahoma"/>
      <w:color w:val="000000"/>
      <w:sz w:val="16"/>
      <w:szCs w:val="16"/>
      <w:u w:color="000000"/>
      <w:lang w:val="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160" w:line="259" w:lineRule="auto"/>
    </w:pPr>
    <w:rPr>
      <w:rFonts w:ascii="Calibri" w:eastAsia="Calibri" w:hAnsi="Calibri" w:cs="Calibri"/>
      <w:color w:val="000000"/>
      <w:sz w:val="22"/>
      <w:szCs w:val="22"/>
      <w:u w:color="000000"/>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Intestazioneepidipagina">
    <w:name w:val="Intestazione e piè di pagina"/>
    <w:pPr>
      <w:tabs>
        <w:tab w:val="right" w:pos="9020"/>
      </w:tabs>
    </w:pPr>
    <w:rPr>
      <w:rFonts w:ascii="Helvetica Neue" w:hAnsi="Helvetica Neue" w:cs="Arial Unicode MS"/>
      <w:color w:val="000000"/>
      <w:sz w:val="24"/>
      <w:szCs w:val="24"/>
    </w:rPr>
  </w:style>
  <w:style w:type="paragraph" w:customStyle="1" w:styleId="CorpoA">
    <w:name w:val="Corpo A"/>
    <w:rPr>
      <w:rFonts w:ascii="Helvetica Neue" w:hAnsi="Helvetica Neue" w:cs="Arial Unicode MS"/>
      <w:color w:val="000000"/>
      <w:sz w:val="22"/>
      <w:szCs w:val="22"/>
      <w:u w:color="000000"/>
      <w:lang w:val="it-IT"/>
    </w:rPr>
  </w:style>
  <w:style w:type="paragraph" w:styleId="BalloonText">
    <w:name w:val="Balloon Text"/>
    <w:basedOn w:val="Normal"/>
    <w:link w:val="BalloonTextChar"/>
    <w:uiPriority w:val="99"/>
    <w:semiHidden/>
    <w:unhideWhenUsed/>
    <w:rsid w:val="00B74E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EC6"/>
    <w:rPr>
      <w:rFonts w:ascii="Tahoma" w:eastAsia="Calibri" w:hAnsi="Tahoma" w:cs="Tahoma"/>
      <w:color w:val="000000"/>
      <w:sz w:val="16"/>
      <w:szCs w:val="16"/>
      <w:u w:color="000000"/>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Tema di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ema di Office">
      <a:majorFont>
        <a:latin typeface="Helvetica Neue"/>
        <a:ea typeface="Helvetica Neue"/>
        <a:cs typeface="Helvetica Neue"/>
      </a:majorFont>
      <a:minorFont>
        <a:latin typeface="Helvetica Neue"/>
        <a:ea typeface="Helvetica Neue"/>
        <a:cs typeface="Helvetica Neue"/>
      </a:minorFont>
    </a:fontScheme>
    <a:fmtScheme name="Tema di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8CDD6C-D8D6-4BD4-8CCA-AB30AC1E94E6}"/>
</file>

<file path=customXml/itemProps2.xml><?xml version="1.0" encoding="utf-8"?>
<ds:datastoreItem xmlns:ds="http://schemas.openxmlformats.org/officeDocument/2006/customXml" ds:itemID="{B28AF3A2-ABB6-4DEE-8EA8-B250101E1F8B}"/>
</file>

<file path=customXml/itemProps3.xml><?xml version="1.0" encoding="utf-8"?>
<ds:datastoreItem xmlns:ds="http://schemas.openxmlformats.org/officeDocument/2006/customXml" ds:itemID="{239E0146-5222-41CD-912B-704276029000}"/>
</file>

<file path=docProps/app.xml><?xml version="1.0" encoding="utf-8"?>
<Properties xmlns="http://schemas.openxmlformats.org/officeDocument/2006/extended-properties" xmlns:vt="http://schemas.openxmlformats.org/officeDocument/2006/docPropsVTypes">
  <Template>Normal.dotm</Template>
  <TotalTime>1</TotalTime>
  <Pages>4</Pages>
  <Words>1524</Words>
  <Characters>8687</Characters>
  <Application>Microsoft Office Word</Application>
  <DocSecurity>0</DocSecurity>
  <Lines>72</Lines>
  <Paragraphs>20</Paragraphs>
  <ScaleCrop>false</ScaleCrop>
  <Company/>
  <LinksUpToDate>false</LinksUpToDate>
  <CharactersWithSpaces>10191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Leoz Invernón</dc:creator>
  <cp:lastModifiedBy>United Nations</cp:lastModifiedBy>
  <cp:revision>2</cp:revision>
  <cp:lastPrinted>2017-10-10T08:29:00Z</cp:lastPrinted>
  <dcterms:created xsi:type="dcterms:W3CDTF">2017-10-10T08:48:00Z</dcterms:created>
  <dcterms:modified xsi:type="dcterms:W3CDTF">2017-10-10T08:48:00Z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