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487" w:rsidRPr="006D001C" w:rsidRDefault="00BF010A" w:rsidP="00607487">
      <w:pPr>
        <w:jc w:val="both"/>
        <w:rPr>
          <w:rFonts w:ascii="Times New Roman" w:hAnsi="Times New Roman" w:cs="Times New Roman"/>
          <w:bCs/>
          <w:iCs/>
          <w:sz w:val="24"/>
          <w:szCs w:val="24"/>
          <w:lang w:val="en-GB"/>
        </w:rPr>
      </w:pPr>
      <w:bookmarkStart w:id="0" w:name="_Toc75961271"/>
      <w:r w:rsidRPr="006D001C">
        <w:rPr>
          <w:rFonts w:ascii="Times New Roman" w:hAnsi="Times New Roman" w:cs="Times New Roman"/>
          <w:b/>
          <w:bCs/>
          <w:iCs/>
          <w:sz w:val="24"/>
          <w:szCs w:val="24"/>
          <w:lang w:val="en-AU"/>
        </w:rPr>
        <w:t xml:space="preserve">1. </w:t>
      </w:r>
      <w:r w:rsidR="00607487" w:rsidRPr="006D001C">
        <w:rPr>
          <w:rFonts w:ascii="Times New Roman" w:hAnsi="Times New Roman" w:cs="Times New Roman"/>
          <w:b/>
          <w:bCs/>
          <w:iCs/>
          <w:sz w:val="24"/>
          <w:szCs w:val="24"/>
          <w:lang w:val="en-AU"/>
        </w:rPr>
        <w:t>Visibility of the Convention, the Optional Protocol and the Committee’s general recommendations</w:t>
      </w:r>
      <w:bookmarkEnd w:id="0"/>
    </w:p>
    <w:p w:rsidR="00607487" w:rsidRPr="006D001C" w:rsidRDefault="00607487" w:rsidP="00607487">
      <w:pPr>
        <w:jc w:val="both"/>
        <w:rPr>
          <w:rFonts w:ascii="Times New Roman" w:hAnsi="Times New Roman" w:cs="Times New Roman"/>
          <w:b/>
          <w:bCs/>
          <w:i/>
          <w:iCs/>
          <w:color w:val="3B3838" w:themeColor="background2" w:themeShade="40"/>
          <w:spacing w:val="30"/>
          <w:sz w:val="24"/>
          <w:szCs w:val="24"/>
          <w:lang w:val="en-GB"/>
        </w:rPr>
      </w:pPr>
      <w:r w:rsidRPr="006D001C">
        <w:rPr>
          <w:rFonts w:ascii="Times New Roman" w:hAnsi="Times New Roman" w:cs="Times New Roman"/>
          <w:b/>
          <w:bCs/>
          <w:i/>
          <w:iCs/>
          <w:color w:val="3B3838" w:themeColor="background2" w:themeShade="40"/>
          <w:spacing w:val="30"/>
          <w:sz w:val="24"/>
          <w:szCs w:val="24"/>
          <w:lang w:val="en-GB"/>
        </w:rPr>
        <w:t>Trainings in the Hungarian judiciary and police</w:t>
      </w:r>
    </w:p>
    <w:p w:rsidR="00607487" w:rsidRPr="006D001C" w:rsidRDefault="00607487" w:rsidP="00607487">
      <w:pPr>
        <w:jc w:val="both"/>
        <w:rPr>
          <w:rFonts w:ascii="Times New Roman" w:hAnsi="Times New Roman" w:cs="Times New Roman"/>
          <w:bCs/>
          <w:iCs/>
          <w:sz w:val="24"/>
          <w:szCs w:val="24"/>
          <w:lang w:val="en-GB"/>
        </w:rPr>
      </w:pPr>
      <w:r w:rsidRPr="006D001C">
        <w:rPr>
          <w:rFonts w:ascii="Times New Roman" w:hAnsi="Times New Roman" w:cs="Times New Roman"/>
          <w:bCs/>
          <w:iCs/>
          <w:sz w:val="24"/>
          <w:szCs w:val="24"/>
          <w:lang w:val="en-GB"/>
        </w:rPr>
        <w:t xml:space="preserve">Under decree 2/2018 (I. 25) of the Hungarian National Police Headquarters (the HNP HQ), 240 police members were trained on handling domestic violence in 2018. The police staff gained insight into child-friendly justice, learned about recognizing abuse and communication methods with victims. The county (capital) police headquarters organized additional trainings during which the trained mentors passed on their knowledge, so in 2018 </w:t>
      </w:r>
      <w:proofErr w:type="gramStart"/>
      <w:r w:rsidRPr="006D001C">
        <w:rPr>
          <w:rFonts w:ascii="Times New Roman" w:hAnsi="Times New Roman" w:cs="Times New Roman"/>
          <w:bCs/>
          <w:iCs/>
          <w:sz w:val="24"/>
          <w:szCs w:val="24"/>
          <w:lang w:val="en-GB"/>
        </w:rPr>
        <w:t>a total of 7861</w:t>
      </w:r>
      <w:proofErr w:type="gramEnd"/>
      <w:r w:rsidRPr="006D001C">
        <w:rPr>
          <w:rFonts w:ascii="Times New Roman" w:hAnsi="Times New Roman" w:cs="Times New Roman"/>
          <w:bCs/>
          <w:iCs/>
          <w:sz w:val="24"/>
          <w:szCs w:val="24"/>
          <w:lang w:val="en-GB"/>
        </w:rPr>
        <w:t xml:space="preserve"> people were trained. At the end of 2019, another mentor training took place with the participation of 140 people.</w:t>
      </w:r>
    </w:p>
    <w:p w:rsidR="00607487" w:rsidRPr="006D001C" w:rsidRDefault="00607487" w:rsidP="00607487">
      <w:pPr>
        <w:jc w:val="both"/>
        <w:rPr>
          <w:rFonts w:ascii="Times New Roman" w:hAnsi="Times New Roman" w:cs="Times New Roman"/>
          <w:bCs/>
          <w:iCs/>
          <w:sz w:val="24"/>
          <w:szCs w:val="24"/>
          <w:lang w:val="en-GB"/>
        </w:rPr>
      </w:pPr>
      <w:r w:rsidRPr="006D001C">
        <w:rPr>
          <w:rFonts w:ascii="Times New Roman" w:hAnsi="Times New Roman" w:cs="Times New Roman"/>
          <w:bCs/>
          <w:iCs/>
          <w:sz w:val="24"/>
          <w:szCs w:val="24"/>
          <w:lang w:val="en-GB"/>
        </w:rPr>
        <w:t>In 2019 and 2020, altogether 187 police officers attended in the training of the Ministry of Human Resources ‘Identifying and Managing Harm of Domestic Violence and Trafficking in Human Beings’.</w:t>
      </w:r>
    </w:p>
    <w:p w:rsidR="00607487" w:rsidRPr="006D001C" w:rsidRDefault="00607487" w:rsidP="00607487">
      <w:pPr>
        <w:jc w:val="both"/>
        <w:rPr>
          <w:rFonts w:ascii="Times New Roman" w:hAnsi="Times New Roman" w:cs="Times New Roman"/>
          <w:bCs/>
          <w:iCs/>
          <w:sz w:val="24"/>
          <w:szCs w:val="24"/>
          <w:lang w:val="en-GB"/>
        </w:rPr>
      </w:pPr>
      <w:r w:rsidRPr="006D001C">
        <w:rPr>
          <w:rFonts w:ascii="Times New Roman" w:hAnsi="Times New Roman" w:cs="Times New Roman"/>
          <w:bCs/>
          <w:iCs/>
          <w:sz w:val="24"/>
          <w:szCs w:val="24"/>
          <w:lang w:val="en-GB"/>
        </w:rPr>
        <w:t xml:space="preserve">The Organization for Security and Cooperation in Europe has led a project on gender-based violence and domestic violence with the participation of Hungary, Bulgaria and Romania. The purpose of the project is exchanging information and sharing good practices in investigations and prosecutions of domestic violence, and raising awareness. As part of the 2019 project, the Police provided a so-called pocket card to law enforcement personnel arriving on the scene that indicated primary measures. This guide also placed special emphasis on the indicators of multiple, recurrent violence committed within the same family or relationship. Within the framework of the project, a curriculum was developed and </w:t>
      </w:r>
      <w:proofErr w:type="gramStart"/>
      <w:r w:rsidRPr="006D001C">
        <w:rPr>
          <w:rFonts w:ascii="Times New Roman" w:hAnsi="Times New Roman" w:cs="Times New Roman"/>
          <w:bCs/>
          <w:iCs/>
          <w:sz w:val="24"/>
          <w:szCs w:val="24"/>
          <w:lang w:val="en-GB"/>
        </w:rPr>
        <w:t>7</w:t>
      </w:r>
      <w:proofErr w:type="gramEnd"/>
      <w:r w:rsidRPr="006D001C">
        <w:rPr>
          <w:rFonts w:ascii="Times New Roman" w:hAnsi="Times New Roman" w:cs="Times New Roman"/>
          <w:bCs/>
          <w:iCs/>
          <w:sz w:val="24"/>
          <w:szCs w:val="24"/>
          <w:lang w:val="en-GB"/>
        </w:rPr>
        <w:t xml:space="preserve"> Hungarian trainers were trained, who passed on their knowledge to 18 police officers and 2 prosecutors. </w:t>
      </w:r>
    </w:p>
    <w:p w:rsidR="00366E56" w:rsidRPr="006D001C" w:rsidRDefault="00366E56" w:rsidP="00607487">
      <w:pPr>
        <w:jc w:val="both"/>
        <w:rPr>
          <w:rFonts w:ascii="Times New Roman" w:hAnsi="Times New Roman" w:cs="Times New Roman"/>
          <w:bCs/>
          <w:iCs/>
          <w:sz w:val="24"/>
          <w:szCs w:val="24"/>
          <w:lang w:val="en-GB"/>
        </w:rPr>
      </w:pPr>
      <w:r w:rsidRPr="006D001C">
        <w:rPr>
          <w:rFonts w:ascii="Times New Roman" w:hAnsi="Times New Roman" w:cs="Times New Roman"/>
          <w:sz w:val="24"/>
          <w:lang w:val="en-US"/>
        </w:rPr>
        <w:t>The HNP HQ Criminal Department held an online training for the heads of the criminal departments of the regional bodies on 15 December 2020 with 50 participants.</w:t>
      </w:r>
    </w:p>
    <w:p w:rsidR="00743369" w:rsidRPr="006D001C" w:rsidRDefault="00607487" w:rsidP="00607487">
      <w:pPr>
        <w:jc w:val="both"/>
        <w:rPr>
          <w:rFonts w:ascii="Times New Roman" w:hAnsi="Times New Roman" w:cs="Times New Roman"/>
          <w:bCs/>
          <w:iCs/>
          <w:sz w:val="24"/>
          <w:szCs w:val="24"/>
          <w:lang w:val="en-GB"/>
        </w:rPr>
      </w:pPr>
      <w:r w:rsidRPr="006D001C">
        <w:rPr>
          <w:rFonts w:ascii="Times New Roman" w:hAnsi="Times New Roman" w:cs="Times New Roman"/>
          <w:bCs/>
          <w:iCs/>
          <w:sz w:val="24"/>
          <w:szCs w:val="24"/>
          <w:lang w:val="en-GB"/>
        </w:rPr>
        <w:t xml:space="preserve">The Ministry of the Interior, in co-operation with the HNP HQ Criminal Department, continued the training of investigators, prosecutors and judges in 2020, attended by investigators from </w:t>
      </w:r>
      <w:proofErr w:type="gramStart"/>
      <w:r w:rsidRPr="006D001C">
        <w:rPr>
          <w:rFonts w:ascii="Times New Roman" w:hAnsi="Times New Roman" w:cs="Times New Roman"/>
          <w:bCs/>
          <w:iCs/>
          <w:sz w:val="24"/>
          <w:szCs w:val="24"/>
          <w:lang w:val="en-GB"/>
        </w:rPr>
        <w:t>9</w:t>
      </w:r>
      <w:proofErr w:type="gramEnd"/>
      <w:r w:rsidRPr="006D001C">
        <w:rPr>
          <w:rFonts w:ascii="Times New Roman" w:hAnsi="Times New Roman" w:cs="Times New Roman"/>
          <w:bCs/>
          <w:iCs/>
          <w:sz w:val="24"/>
          <w:szCs w:val="24"/>
          <w:lang w:val="en-GB"/>
        </w:rPr>
        <w:t xml:space="preserve"> counties. Due to the pandemic, the sensitization training </w:t>
      </w:r>
      <w:proofErr w:type="gramStart"/>
      <w:r w:rsidRPr="006D001C">
        <w:rPr>
          <w:rFonts w:ascii="Times New Roman" w:hAnsi="Times New Roman" w:cs="Times New Roman"/>
          <w:bCs/>
          <w:iCs/>
          <w:sz w:val="24"/>
          <w:szCs w:val="24"/>
          <w:lang w:val="en-GB"/>
        </w:rPr>
        <w:t>was held</w:t>
      </w:r>
      <w:proofErr w:type="gramEnd"/>
      <w:r w:rsidRPr="006D001C">
        <w:rPr>
          <w:rFonts w:ascii="Times New Roman" w:hAnsi="Times New Roman" w:cs="Times New Roman"/>
          <w:bCs/>
          <w:iCs/>
          <w:sz w:val="24"/>
          <w:szCs w:val="24"/>
          <w:lang w:val="en-GB"/>
        </w:rPr>
        <w:t xml:space="preserve"> online. The lectures touched on the sociological and criminological characteristics of human trafficking, amendments the Criminal Code, the rules for the application of special treatment and the victim support system.</w:t>
      </w:r>
    </w:p>
    <w:p w:rsidR="00743369" w:rsidRPr="006D001C" w:rsidRDefault="00BF010A" w:rsidP="00607487">
      <w:pPr>
        <w:jc w:val="both"/>
        <w:rPr>
          <w:rFonts w:ascii="Times New Roman" w:hAnsi="Times New Roman" w:cs="Times New Roman"/>
          <w:b/>
          <w:bCs/>
          <w:iCs/>
          <w:sz w:val="24"/>
          <w:szCs w:val="24"/>
          <w:lang w:val="en-AU"/>
        </w:rPr>
      </w:pPr>
      <w:bookmarkStart w:id="1" w:name="_Toc75961272"/>
      <w:r w:rsidRPr="006D001C">
        <w:rPr>
          <w:rFonts w:ascii="Times New Roman" w:hAnsi="Times New Roman" w:cs="Times New Roman"/>
          <w:b/>
          <w:bCs/>
          <w:iCs/>
          <w:sz w:val="24"/>
          <w:szCs w:val="24"/>
          <w:lang w:val="en-AU"/>
        </w:rPr>
        <w:t xml:space="preserve">2. </w:t>
      </w:r>
      <w:r w:rsidR="00743369" w:rsidRPr="006D001C">
        <w:rPr>
          <w:rFonts w:ascii="Times New Roman" w:hAnsi="Times New Roman" w:cs="Times New Roman"/>
          <w:b/>
          <w:bCs/>
          <w:iCs/>
          <w:sz w:val="24"/>
          <w:szCs w:val="24"/>
          <w:lang w:val="en-AU"/>
        </w:rPr>
        <w:t>Impact of the pandemic on women’s rights and gender equality</w:t>
      </w:r>
      <w:bookmarkEnd w:id="1"/>
    </w:p>
    <w:p w:rsidR="00743369" w:rsidRPr="006D001C" w:rsidRDefault="00743369" w:rsidP="00607487">
      <w:pPr>
        <w:jc w:val="both"/>
        <w:rPr>
          <w:rFonts w:ascii="Times New Roman" w:hAnsi="Times New Roman" w:cs="Times New Roman"/>
          <w:bCs/>
          <w:iCs/>
          <w:sz w:val="24"/>
          <w:szCs w:val="24"/>
          <w:lang w:val="en-GB"/>
        </w:rPr>
      </w:pPr>
      <w:r w:rsidRPr="006D001C">
        <w:rPr>
          <w:rFonts w:ascii="Times New Roman" w:hAnsi="Times New Roman" w:cs="Times New Roman"/>
          <w:b/>
          <w:i/>
          <w:color w:val="000000" w:themeColor="text1"/>
          <w:spacing w:val="30"/>
          <w:sz w:val="24"/>
          <w:szCs w:val="24"/>
          <w:lang w:val="en-AU"/>
        </w:rPr>
        <w:t>Ensuring childcare services</w:t>
      </w:r>
    </w:p>
    <w:p w:rsidR="002F180E" w:rsidRPr="006D001C" w:rsidRDefault="00743369" w:rsidP="002F180E">
      <w:pPr>
        <w:jc w:val="both"/>
        <w:rPr>
          <w:rFonts w:ascii="Times New Roman" w:hAnsi="Times New Roman" w:cs="Times New Roman"/>
          <w:bCs/>
          <w:iCs/>
          <w:sz w:val="24"/>
          <w:szCs w:val="24"/>
        </w:rPr>
      </w:pPr>
      <w:proofErr w:type="gramStart"/>
      <w:r w:rsidRPr="006D001C">
        <w:rPr>
          <w:rFonts w:ascii="Times New Roman" w:hAnsi="Times New Roman" w:cs="Times New Roman"/>
          <w:bCs/>
          <w:iCs/>
          <w:sz w:val="24"/>
          <w:szCs w:val="24"/>
          <w:lang w:val="en-GB"/>
        </w:rPr>
        <w:t>Workplace childcare service can be established by any employer</w:t>
      </w:r>
      <w:proofErr w:type="gramEnd"/>
      <w:r w:rsidRPr="006D001C">
        <w:rPr>
          <w:rFonts w:ascii="Times New Roman" w:hAnsi="Times New Roman" w:cs="Times New Roman"/>
          <w:bCs/>
          <w:iCs/>
          <w:sz w:val="24"/>
          <w:szCs w:val="24"/>
          <w:lang w:val="en-GB"/>
        </w:rPr>
        <w:t xml:space="preserve">. There is no operating licence needed for the establishment of the service; it is enough to report it to the given local authority/capital district authority and gain permission for operation from the governmental public health </w:t>
      </w:r>
      <w:r w:rsidRPr="006D001C">
        <w:rPr>
          <w:rFonts w:ascii="Times New Roman" w:hAnsi="Times New Roman" w:cs="Times New Roman"/>
          <w:bCs/>
          <w:iCs/>
          <w:sz w:val="24"/>
          <w:szCs w:val="24"/>
          <w:lang w:val="en-GB"/>
        </w:rPr>
        <w:lastRenderedPageBreak/>
        <w:t>institution. It is available for healthy children between 20 weeks -14 years of age for the period required by the parents but maximum between 6 am – 6 pm in small groups.</w:t>
      </w:r>
      <w:r w:rsidRPr="006D001C">
        <w:rPr>
          <w:rFonts w:ascii="Times New Roman" w:hAnsi="Times New Roman" w:cs="Times New Roman"/>
          <w:bCs/>
          <w:iCs/>
          <w:sz w:val="24"/>
          <w:szCs w:val="24"/>
        </w:rPr>
        <w:t xml:space="preserve"> </w:t>
      </w:r>
    </w:p>
    <w:p w:rsidR="001B4A51" w:rsidRDefault="001B4A51" w:rsidP="002F180E">
      <w:pPr>
        <w:jc w:val="both"/>
        <w:rPr>
          <w:rFonts w:ascii="Times New Roman" w:hAnsi="Times New Roman" w:cs="Times New Roman"/>
          <w:b/>
          <w:bCs/>
          <w:iCs/>
          <w:sz w:val="24"/>
          <w:szCs w:val="24"/>
          <w:lang w:val="en-GB"/>
        </w:rPr>
      </w:pPr>
      <w:r>
        <w:rPr>
          <w:rFonts w:ascii="Times New Roman" w:hAnsi="Times New Roman" w:cs="Times New Roman"/>
          <w:b/>
          <w:bCs/>
          <w:iCs/>
          <w:sz w:val="24"/>
          <w:szCs w:val="24"/>
          <w:lang w:val="en-GB"/>
        </w:rPr>
        <w:t>12. Gender-based violence against women – sexual coercion</w:t>
      </w:r>
    </w:p>
    <w:p w:rsidR="001B4A51" w:rsidRDefault="001B4A51" w:rsidP="002F180E">
      <w:pPr>
        <w:jc w:val="both"/>
        <w:rPr>
          <w:rFonts w:ascii="Times New Roman" w:hAnsi="Times New Roman" w:cs="Times New Roman"/>
          <w:b/>
          <w:bCs/>
          <w:iCs/>
          <w:sz w:val="24"/>
          <w:szCs w:val="24"/>
          <w:lang w:val="en-GB"/>
        </w:rPr>
      </w:pPr>
      <w:r>
        <w:rPr>
          <w:rFonts w:ascii="Times New Roman" w:hAnsi="Times New Roman" w:cs="Times New Roman"/>
          <w:b/>
          <w:bCs/>
          <w:iCs/>
          <w:noProof/>
          <w:sz w:val="24"/>
          <w:szCs w:val="24"/>
          <w:lang w:eastAsia="hu-HU"/>
        </w:rPr>
        <w:drawing>
          <wp:inline distT="0" distB="0" distL="0" distR="0">
            <wp:extent cx="5543550" cy="4791075"/>
            <wp:effectExtent l="19050" t="19050" r="19050" b="28575"/>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xual coercion.jpg"/>
                    <pic:cNvPicPr/>
                  </pic:nvPicPr>
                  <pic:blipFill>
                    <a:blip r:embed="rId7">
                      <a:extLst>
                        <a:ext uri="{28A0092B-C50C-407E-A947-70E740481C1C}">
                          <a14:useLocalDpi xmlns:a14="http://schemas.microsoft.com/office/drawing/2010/main" val="0"/>
                        </a:ext>
                      </a:extLst>
                    </a:blip>
                    <a:stretch>
                      <a:fillRect/>
                    </a:stretch>
                  </pic:blipFill>
                  <pic:spPr>
                    <a:xfrm>
                      <a:off x="0" y="0"/>
                      <a:ext cx="5543550" cy="4791075"/>
                    </a:xfrm>
                    <a:prstGeom prst="rect">
                      <a:avLst/>
                    </a:prstGeom>
                    <a:ln w="12700">
                      <a:solidFill>
                        <a:schemeClr val="tx1"/>
                      </a:solidFill>
                    </a:ln>
                  </pic:spPr>
                </pic:pic>
              </a:graphicData>
            </a:graphic>
          </wp:inline>
        </w:drawing>
      </w:r>
    </w:p>
    <w:p w:rsidR="00BF010A" w:rsidRPr="006D001C" w:rsidRDefault="00BF010A" w:rsidP="002F180E">
      <w:pPr>
        <w:jc w:val="both"/>
        <w:rPr>
          <w:rFonts w:ascii="Times New Roman" w:hAnsi="Times New Roman" w:cs="Times New Roman"/>
          <w:b/>
          <w:bCs/>
          <w:iCs/>
          <w:sz w:val="24"/>
          <w:szCs w:val="24"/>
          <w:lang w:val="en-GB"/>
        </w:rPr>
      </w:pPr>
      <w:r w:rsidRPr="006D001C">
        <w:rPr>
          <w:rFonts w:ascii="Times New Roman" w:hAnsi="Times New Roman" w:cs="Times New Roman"/>
          <w:b/>
          <w:bCs/>
          <w:iCs/>
          <w:sz w:val="24"/>
          <w:szCs w:val="24"/>
          <w:lang w:val="en-GB"/>
        </w:rPr>
        <w:lastRenderedPageBreak/>
        <w:t>14. Gender-based violence against women</w:t>
      </w:r>
      <w:r w:rsidR="001B4A51">
        <w:rPr>
          <w:rFonts w:ascii="Times New Roman" w:hAnsi="Times New Roman" w:cs="Times New Roman"/>
          <w:b/>
          <w:bCs/>
          <w:iCs/>
          <w:sz w:val="24"/>
          <w:szCs w:val="24"/>
          <w:lang w:val="en-GB"/>
        </w:rPr>
        <w:t xml:space="preserve"> – all forms of violence against women</w:t>
      </w:r>
    </w:p>
    <w:p w:rsidR="00BF010A" w:rsidRPr="006D001C" w:rsidRDefault="002F180E" w:rsidP="00607487">
      <w:pPr>
        <w:jc w:val="both"/>
        <w:rPr>
          <w:rFonts w:ascii="Times New Roman" w:hAnsi="Times New Roman" w:cs="Times New Roman"/>
          <w:bCs/>
          <w:iCs/>
          <w:sz w:val="24"/>
          <w:szCs w:val="24"/>
          <w:lang w:val="en-GB"/>
        </w:rPr>
      </w:pPr>
      <w:r w:rsidRPr="006D001C">
        <w:rPr>
          <w:rFonts w:ascii="Times New Roman" w:hAnsi="Times New Roman" w:cs="Times New Roman"/>
          <w:bCs/>
          <w:iCs/>
          <w:sz w:val="24"/>
          <w:szCs w:val="24"/>
          <w:lang w:val="en-GB"/>
        </w:rPr>
        <w:t xml:space="preserve">The sources of the below </w:t>
      </w:r>
      <w:r w:rsidRPr="006D001C">
        <w:rPr>
          <w:rFonts w:ascii="Times New Roman" w:eastAsia="Times New Roman" w:hAnsi="Times New Roman" w:cs="Times New Roman"/>
          <w:sz w:val="24"/>
          <w:szCs w:val="24"/>
          <w:lang w:eastAsia="hu-HU"/>
        </w:rPr>
        <w:t xml:space="preserve">is </w:t>
      </w:r>
      <w:proofErr w:type="spellStart"/>
      <w:r w:rsidRPr="006D001C">
        <w:rPr>
          <w:rFonts w:ascii="Times New Roman" w:eastAsia="Times New Roman" w:hAnsi="Times New Roman" w:cs="Times New Roman"/>
          <w:sz w:val="24"/>
          <w:szCs w:val="24"/>
          <w:lang w:eastAsia="hu-HU"/>
        </w:rPr>
        <w:t>the</w:t>
      </w:r>
      <w:proofErr w:type="spellEnd"/>
      <w:r w:rsidRPr="006D001C">
        <w:rPr>
          <w:rFonts w:ascii="Times New Roman" w:eastAsia="Times New Roman" w:hAnsi="Times New Roman" w:cs="Times New Roman"/>
          <w:sz w:val="24"/>
          <w:szCs w:val="24"/>
          <w:lang w:eastAsia="hu-HU"/>
        </w:rPr>
        <w:t xml:space="preserve"> </w:t>
      </w:r>
      <w:r w:rsidRPr="006D001C">
        <w:rPr>
          <w:rFonts w:ascii="Times New Roman" w:hAnsi="Times New Roman" w:cs="Times New Roman"/>
          <w:bCs/>
          <w:sz w:val="24"/>
          <w:szCs w:val="24"/>
          <w:lang w:val="en-GB"/>
        </w:rPr>
        <w:t xml:space="preserve">Unified System of Criminal Statistics of the Investigative Authorities and of Public Prosecution, 2020  </w:t>
      </w:r>
    </w:p>
    <w:tbl>
      <w:tblPr>
        <w:tblStyle w:val="Rcsostblzat"/>
        <w:tblW w:w="5000" w:type="pct"/>
        <w:tblLook w:val="04A0" w:firstRow="1" w:lastRow="0" w:firstColumn="1" w:lastColumn="0" w:noHBand="0" w:noVBand="1"/>
      </w:tblPr>
      <w:tblGrid>
        <w:gridCol w:w="4448"/>
        <w:gridCol w:w="719"/>
        <w:gridCol w:w="935"/>
        <w:gridCol w:w="1044"/>
        <w:gridCol w:w="954"/>
        <w:gridCol w:w="1391"/>
        <w:gridCol w:w="952"/>
        <w:gridCol w:w="758"/>
        <w:gridCol w:w="943"/>
        <w:gridCol w:w="904"/>
        <w:gridCol w:w="946"/>
      </w:tblGrid>
      <w:tr w:rsidR="002F180E" w:rsidRPr="006D001C" w:rsidTr="002F180E">
        <w:trPr>
          <w:trHeight w:val="1440"/>
        </w:trPr>
        <w:tc>
          <w:tcPr>
            <w:tcW w:w="1589" w:type="pct"/>
            <w:shd w:val="clear" w:color="auto" w:fill="BDD6EE" w:themeFill="accent1" w:themeFillTint="66"/>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 xml:space="preserve">  </w:t>
            </w:r>
          </w:p>
        </w:tc>
        <w:tc>
          <w:tcPr>
            <w:tcW w:w="591" w:type="pct"/>
            <w:gridSpan w:val="2"/>
            <w:shd w:val="clear" w:color="auto" w:fill="BDD6EE" w:themeFill="accent1" w:themeFillTint="66"/>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Children</w:t>
            </w:r>
          </w:p>
        </w:tc>
        <w:tc>
          <w:tcPr>
            <w:tcW w:w="714" w:type="pct"/>
            <w:gridSpan w:val="2"/>
            <w:shd w:val="clear" w:color="auto" w:fill="BDD6EE" w:themeFill="accent1" w:themeFillTint="66"/>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Juvenile</w:t>
            </w:r>
          </w:p>
        </w:tc>
        <w:tc>
          <w:tcPr>
            <w:tcW w:w="837" w:type="pct"/>
            <w:gridSpan w:val="2"/>
            <w:shd w:val="clear" w:color="auto" w:fill="BDD6EE" w:themeFill="accent1" w:themeFillTint="66"/>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Young adult</w:t>
            </w:r>
          </w:p>
        </w:tc>
        <w:tc>
          <w:tcPr>
            <w:tcW w:w="608" w:type="pct"/>
            <w:gridSpan w:val="2"/>
            <w:shd w:val="clear" w:color="auto" w:fill="BDD6EE" w:themeFill="accent1" w:themeFillTint="66"/>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Adult</w:t>
            </w:r>
          </w:p>
        </w:tc>
        <w:tc>
          <w:tcPr>
            <w:tcW w:w="662" w:type="pct"/>
            <w:gridSpan w:val="2"/>
            <w:shd w:val="clear" w:color="auto" w:fill="BDD6EE" w:themeFill="accent1" w:themeFillTint="66"/>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Elderly</w:t>
            </w:r>
          </w:p>
        </w:tc>
      </w:tr>
      <w:tr w:rsidR="002F180E" w:rsidRPr="006D001C" w:rsidTr="002F180E">
        <w:trPr>
          <w:trHeight w:val="315"/>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Criminal offence</w:t>
            </w:r>
          </w:p>
        </w:tc>
        <w:tc>
          <w:tcPr>
            <w:tcW w:w="257" w:type="pct"/>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Male</w:t>
            </w:r>
          </w:p>
        </w:tc>
        <w:tc>
          <w:tcPr>
            <w:tcW w:w="333" w:type="pct"/>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Female</w:t>
            </w:r>
          </w:p>
        </w:tc>
        <w:tc>
          <w:tcPr>
            <w:tcW w:w="373" w:type="pct"/>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Male</w:t>
            </w:r>
          </w:p>
        </w:tc>
        <w:tc>
          <w:tcPr>
            <w:tcW w:w="341" w:type="pct"/>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Female</w:t>
            </w:r>
          </w:p>
        </w:tc>
        <w:tc>
          <w:tcPr>
            <w:tcW w:w="497" w:type="pct"/>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Male</w:t>
            </w:r>
          </w:p>
        </w:tc>
        <w:tc>
          <w:tcPr>
            <w:tcW w:w="339" w:type="pct"/>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Female</w:t>
            </w:r>
          </w:p>
        </w:tc>
        <w:tc>
          <w:tcPr>
            <w:tcW w:w="271" w:type="pct"/>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Male</w:t>
            </w:r>
          </w:p>
        </w:tc>
        <w:tc>
          <w:tcPr>
            <w:tcW w:w="337" w:type="pct"/>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Female</w:t>
            </w:r>
          </w:p>
        </w:tc>
        <w:tc>
          <w:tcPr>
            <w:tcW w:w="323" w:type="pct"/>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Male</w:t>
            </w:r>
          </w:p>
        </w:tc>
        <w:tc>
          <w:tcPr>
            <w:tcW w:w="339" w:type="pct"/>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Female</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Slander</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11</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Fraud</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13</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10</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9</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Trafficking in Human Beings</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Homicide</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12</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9</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12</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27</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7</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13</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Voluntary Manslaughter</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Professional Misconduct</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Public Nuisance</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4</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15</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64</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75</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270</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16</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Failure to Provide Care</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Child Pornography</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9</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Exploitation of Child Prostitution</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Fraud Committed Using Information System</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6</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26</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41</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17</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27</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Larceny of Motor Vehicle</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12</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77</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54</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9</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9</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Driving Under the Influence of Alcohol</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4</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7</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 xml:space="preserve">Unlawful Appropriation </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Domestic Violence</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25</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28</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4</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18</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42</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12</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270</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13</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62</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Duress</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Coercion on the Part of the Authorities</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9</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Pandering</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6</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Cash-substitute Payment Instrument Fraud</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Plundering</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8</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10</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6</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lastRenderedPageBreak/>
              <w:t>Changing of the Custody of a Minor</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6</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Abuse of a Minor</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319</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335</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93</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82</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Preventing the Exercise of Visitation Rights</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27</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Living on earnings of prostitution</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7</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Causing a Road Accident</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21</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17</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8</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8</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16</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35</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104</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14</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96</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Theft</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21</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33</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214</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250</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68</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93</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Illegal Entry into Private Property</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33</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125</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8</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26</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Private Justice</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18</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6</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Robbery</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4</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4</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9</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Defamation</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4</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Vandalism</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7</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9</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67</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111</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13</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21</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Failure to Offer Aid or Assistance</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8</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Embezzlement</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19</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17</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9</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Violation of Personal Freedom</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6</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9</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52</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9</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Violence against Exposure</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Indecent Exposure</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Sexual Violence</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19</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65</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7</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4</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13</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Sexual Exploitation</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6</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8</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4</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Sexual Abuse</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15</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proofErr w:type="spellStart"/>
            <w:r w:rsidRPr="006D001C">
              <w:rPr>
                <w:rFonts w:ascii="Times New Roman" w:hAnsi="Times New Roman" w:cs="Times New Roman"/>
                <w:b/>
                <w:lang w:val="en-GB"/>
              </w:rPr>
              <w:t>Nonsupport</w:t>
            </w:r>
            <w:proofErr w:type="spellEnd"/>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7</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90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97</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852</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9</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11</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Withdrawal of Debt Security</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Battery</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102</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78</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15</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29</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36</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83</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216</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508</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62</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124</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Illicit Access to Data</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4</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Abuse of Prohibited Pornographic Footage</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r>
      <w:tr w:rsidR="002F180E" w:rsidRPr="006D001C" w:rsidTr="002F180E">
        <w:trPr>
          <w:trHeight w:val="300"/>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Harassment</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4</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7</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11</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58</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91</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691</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27</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72</w:t>
            </w:r>
          </w:p>
        </w:tc>
      </w:tr>
      <w:tr w:rsidR="002F180E" w:rsidRPr="006D001C" w:rsidTr="002F180E">
        <w:trPr>
          <w:trHeight w:val="315"/>
        </w:trPr>
        <w:tc>
          <w:tcPr>
            <w:tcW w:w="1589"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Extortion</w:t>
            </w:r>
          </w:p>
        </w:tc>
        <w:tc>
          <w:tcPr>
            <w:tcW w:w="25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7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4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49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71"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4</w:t>
            </w:r>
          </w:p>
        </w:tc>
        <w:tc>
          <w:tcPr>
            <w:tcW w:w="337"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4</w:t>
            </w:r>
          </w:p>
        </w:tc>
        <w:tc>
          <w:tcPr>
            <w:tcW w:w="32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9"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r>
      <w:tr w:rsidR="002F180E" w:rsidRPr="006D001C" w:rsidTr="002F180E">
        <w:trPr>
          <w:trHeight w:val="300"/>
        </w:trPr>
        <w:tc>
          <w:tcPr>
            <w:tcW w:w="1589" w:type="pct"/>
            <w:shd w:val="clear" w:color="auto" w:fill="FFF2CC" w:themeFill="accent4" w:themeFillTint="33"/>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Total</w:t>
            </w:r>
          </w:p>
        </w:tc>
        <w:tc>
          <w:tcPr>
            <w:tcW w:w="257" w:type="pct"/>
            <w:shd w:val="clear" w:color="auto" w:fill="FFF2CC" w:themeFill="accent4" w:themeFillTint="33"/>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524</w:t>
            </w:r>
          </w:p>
        </w:tc>
        <w:tc>
          <w:tcPr>
            <w:tcW w:w="333" w:type="pct"/>
            <w:shd w:val="clear" w:color="auto" w:fill="FFF2CC" w:themeFill="accent4" w:themeFillTint="33"/>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609</w:t>
            </w:r>
          </w:p>
        </w:tc>
        <w:tc>
          <w:tcPr>
            <w:tcW w:w="373" w:type="pct"/>
            <w:shd w:val="clear" w:color="auto" w:fill="FFF2CC" w:themeFill="accent4" w:themeFillTint="33"/>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138</w:t>
            </w:r>
          </w:p>
        </w:tc>
        <w:tc>
          <w:tcPr>
            <w:tcW w:w="341" w:type="pct"/>
            <w:shd w:val="clear" w:color="auto" w:fill="FFF2CC" w:themeFill="accent4" w:themeFillTint="33"/>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199</w:t>
            </w:r>
          </w:p>
        </w:tc>
        <w:tc>
          <w:tcPr>
            <w:tcW w:w="497" w:type="pct"/>
            <w:shd w:val="clear" w:color="auto" w:fill="FFF2CC" w:themeFill="accent4" w:themeFillTint="33"/>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135</w:t>
            </w:r>
          </w:p>
        </w:tc>
        <w:tc>
          <w:tcPr>
            <w:tcW w:w="339" w:type="pct"/>
            <w:shd w:val="clear" w:color="auto" w:fill="FFF2CC" w:themeFill="accent4" w:themeFillTint="33"/>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456</w:t>
            </w:r>
          </w:p>
        </w:tc>
        <w:tc>
          <w:tcPr>
            <w:tcW w:w="271" w:type="pct"/>
            <w:shd w:val="clear" w:color="auto" w:fill="FFF2CC" w:themeFill="accent4" w:themeFillTint="33"/>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1049</w:t>
            </w:r>
          </w:p>
        </w:tc>
        <w:tc>
          <w:tcPr>
            <w:tcW w:w="337" w:type="pct"/>
            <w:shd w:val="clear" w:color="auto" w:fill="FFF2CC" w:themeFill="accent4" w:themeFillTint="33"/>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3501</w:t>
            </w:r>
          </w:p>
        </w:tc>
        <w:tc>
          <w:tcPr>
            <w:tcW w:w="323" w:type="pct"/>
            <w:shd w:val="clear" w:color="auto" w:fill="FFF2CC" w:themeFill="accent4" w:themeFillTint="33"/>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278</w:t>
            </w:r>
          </w:p>
        </w:tc>
        <w:tc>
          <w:tcPr>
            <w:tcW w:w="339" w:type="pct"/>
            <w:shd w:val="clear" w:color="auto" w:fill="FFF2CC" w:themeFill="accent4" w:themeFillTint="33"/>
            <w:noWrap/>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633</w:t>
            </w:r>
          </w:p>
        </w:tc>
      </w:tr>
    </w:tbl>
    <w:p w:rsidR="002F180E" w:rsidRPr="006D001C" w:rsidRDefault="002F180E">
      <w:pPr>
        <w:rPr>
          <w:rFonts w:ascii="Times New Roman" w:hAnsi="Times New Roman" w:cs="Times New Roman"/>
        </w:rPr>
      </w:pPr>
    </w:p>
    <w:p w:rsidR="002F180E" w:rsidRPr="006D001C" w:rsidRDefault="002F180E">
      <w:pPr>
        <w:rPr>
          <w:rFonts w:ascii="Times New Roman" w:hAnsi="Times New Roman" w:cs="Times New Roman"/>
        </w:rPr>
      </w:pPr>
    </w:p>
    <w:tbl>
      <w:tblPr>
        <w:tblStyle w:val="Rcsostblzat"/>
        <w:tblW w:w="4998" w:type="pct"/>
        <w:tblInd w:w="5" w:type="dxa"/>
        <w:tblLook w:val="04A0" w:firstRow="1" w:lastRow="0" w:firstColumn="1" w:lastColumn="0" w:noHBand="0" w:noVBand="1"/>
      </w:tblPr>
      <w:tblGrid>
        <w:gridCol w:w="2973"/>
        <w:gridCol w:w="1274"/>
        <w:gridCol w:w="742"/>
        <w:gridCol w:w="937"/>
        <w:gridCol w:w="937"/>
        <w:gridCol w:w="937"/>
        <w:gridCol w:w="1518"/>
        <w:gridCol w:w="1072"/>
        <w:gridCol w:w="852"/>
        <w:gridCol w:w="877"/>
        <w:gridCol w:w="937"/>
        <w:gridCol w:w="937"/>
      </w:tblGrid>
      <w:tr w:rsidR="002F180E" w:rsidRPr="006D001C" w:rsidTr="00430091">
        <w:trPr>
          <w:trHeight w:val="367"/>
        </w:trPr>
        <w:tc>
          <w:tcPr>
            <w:tcW w:w="1062" w:type="pct"/>
            <w:vMerge w:val="restart"/>
            <w:tcBorders>
              <w:top w:val="nil"/>
              <w:left w:val="nil"/>
            </w:tcBorders>
            <w:shd w:val="clear" w:color="auto" w:fill="FFFFFF" w:themeFill="background1"/>
            <w:noWrap/>
          </w:tcPr>
          <w:p w:rsidR="002F180E" w:rsidRPr="006D001C" w:rsidRDefault="002F180E" w:rsidP="007E5758">
            <w:pPr>
              <w:rPr>
                <w:rFonts w:ascii="Times New Roman" w:hAnsi="Times New Roman" w:cs="Times New Roman"/>
                <w:b/>
                <w:bCs/>
                <w:lang w:val="en-GB"/>
              </w:rPr>
            </w:pPr>
          </w:p>
        </w:tc>
        <w:tc>
          <w:tcPr>
            <w:tcW w:w="3938" w:type="pct"/>
            <w:gridSpan w:val="11"/>
            <w:shd w:val="clear" w:color="auto" w:fill="BDD6EE" w:themeFill="accent1" w:themeFillTint="66"/>
          </w:tcPr>
          <w:p w:rsidR="002F180E" w:rsidRPr="006D001C" w:rsidRDefault="00430091" w:rsidP="00430091">
            <w:pPr>
              <w:jc w:val="center"/>
              <w:rPr>
                <w:rFonts w:ascii="Times New Roman" w:hAnsi="Times New Roman" w:cs="Times New Roman"/>
                <w:b/>
                <w:bCs/>
                <w:lang w:val="en-GB"/>
              </w:rPr>
            </w:pPr>
            <w:r w:rsidRPr="006D001C">
              <w:rPr>
                <w:rFonts w:ascii="Times New Roman" w:hAnsi="Times New Roman" w:cs="Times New Roman"/>
                <w:b/>
                <w:bCs/>
                <w:lang w:val="en-GB"/>
              </w:rPr>
              <w:t>Number of victims of domestic violence registered in police proceedings, broken down by the relationship between the perpetrator and the victim</w:t>
            </w:r>
          </w:p>
        </w:tc>
      </w:tr>
      <w:tr w:rsidR="002F180E" w:rsidRPr="006D001C" w:rsidTr="00430091">
        <w:trPr>
          <w:trHeight w:val="2190"/>
        </w:trPr>
        <w:tc>
          <w:tcPr>
            <w:tcW w:w="1062" w:type="pct"/>
            <w:vMerge/>
            <w:tcBorders>
              <w:left w:val="nil"/>
            </w:tcBorders>
            <w:shd w:val="clear" w:color="auto" w:fill="FFFFFF" w:themeFill="background1"/>
            <w:noWrap/>
            <w:hideMark/>
          </w:tcPr>
          <w:p w:rsidR="002F180E" w:rsidRPr="006D001C" w:rsidRDefault="002F180E" w:rsidP="007E5758">
            <w:pPr>
              <w:rPr>
                <w:rFonts w:ascii="Times New Roman" w:hAnsi="Times New Roman" w:cs="Times New Roman"/>
                <w:b/>
                <w:bCs/>
                <w:lang w:val="en-GB"/>
              </w:rPr>
            </w:pPr>
          </w:p>
        </w:tc>
        <w:tc>
          <w:tcPr>
            <w:tcW w:w="456" w:type="pct"/>
            <w:shd w:val="clear" w:color="auto" w:fill="BDD6EE" w:themeFill="accent1" w:themeFillTint="66"/>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 xml:space="preserve">Former spouse or partner of his/her direct relative </w:t>
            </w:r>
          </w:p>
        </w:tc>
        <w:tc>
          <w:tcPr>
            <w:tcW w:w="265" w:type="pct"/>
            <w:shd w:val="clear" w:color="auto" w:fill="BDD6EE" w:themeFill="accent1" w:themeFillTint="66"/>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Child</w:t>
            </w:r>
          </w:p>
        </w:tc>
        <w:tc>
          <w:tcPr>
            <w:tcW w:w="335" w:type="pct"/>
            <w:shd w:val="clear" w:color="auto" w:fill="BDD6EE" w:themeFill="accent1" w:themeFillTint="66"/>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Spouse, partner</w:t>
            </w:r>
          </w:p>
        </w:tc>
        <w:tc>
          <w:tcPr>
            <w:tcW w:w="335" w:type="pct"/>
            <w:shd w:val="clear" w:color="auto" w:fill="BDD6EE" w:themeFill="accent1" w:themeFillTint="66"/>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Direct relative of his/ her spouse or partner</w:t>
            </w:r>
          </w:p>
        </w:tc>
        <w:tc>
          <w:tcPr>
            <w:tcW w:w="335" w:type="pct"/>
            <w:shd w:val="clear" w:color="auto" w:fill="BDD6EE" w:themeFill="accent1" w:themeFillTint="66"/>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Sibling of his/ her spouse or partner</w:t>
            </w:r>
          </w:p>
        </w:tc>
        <w:tc>
          <w:tcPr>
            <w:tcW w:w="542" w:type="pct"/>
            <w:shd w:val="clear" w:color="auto" w:fill="BDD6EE" w:themeFill="accent1" w:themeFillTint="66"/>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Grandparent, great-grandparent</w:t>
            </w:r>
          </w:p>
        </w:tc>
        <w:tc>
          <w:tcPr>
            <w:tcW w:w="383" w:type="pct"/>
            <w:shd w:val="clear" w:color="auto" w:fill="BDD6EE" w:themeFill="accent1" w:themeFillTint="66"/>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Adoptive parent</w:t>
            </w:r>
          </w:p>
        </w:tc>
        <w:tc>
          <w:tcPr>
            <w:tcW w:w="304" w:type="pct"/>
            <w:shd w:val="clear" w:color="auto" w:fill="BDD6EE" w:themeFill="accent1" w:themeFillTint="66"/>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 xml:space="preserve">Parent </w:t>
            </w:r>
          </w:p>
        </w:tc>
        <w:tc>
          <w:tcPr>
            <w:tcW w:w="313" w:type="pct"/>
            <w:shd w:val="clear" w:color="auto" w:fill="BDD6EE" w:themeFill="accent1" w:themeFillTint="66"/>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Sibling</w:t>
            </w:r>
          </w:p>
        </w:tc>
        <w:tc>
          <w:tcPr>
            <w:tcW w:w="335" w:type="pct"/>
            <w:shd w:val="clear" w:color="auto" w:fill="BDD6EE" w:themeFill="accent1" w:themeFillTint="66"/>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Former partner or spouse of his/ her sibling</w:t>
            </w:r>
          </w:p>
        </w:tc>
        <w:tc>
          <w:tcPr>
            <w:tcW w:w="335" w:type="pct"/>
            <w:shd w:val="clear" w:color="auto" w:fill="BDD6EE" w:themeFill="accent1" w:themeFillTint="66"/>
            <w:hideMark/>
          </w:tcPr>
          <w:p w:rsidR="002F180E" w:rsidRPr="006D001C" w:rsidRDefault="002F180E" w:rsidP="007E5758">
            <w:pPr>
              <w:rPr>
                <w:rFonts w:ascii="Times New Roman" w:hAnsi="Times New Roman" w:cs="Times New Roman"/>
                <w:b/>
                <w:bCs/>
                <w:lang w:val="en-GB"/>
              </w:rPr>
            </w:pPr>
            <w:r w:rsidRPr="006D001C">
              <w:rPr>
                <w:rFonts w:ascii="Times New Roman" w:hAnsi="Times New Roman" w:cs="Times New Roman"/>
                <w:b/>
                <w:bCs/>
                <w:lang w:val="en-GB"/>
              </w:rPr>
              <w:t>Former spouse, partner</w:t>
            </w:r>
          </w:p>
        </w:tc>
      </w:tr>
      <w:tr w:rsidR="002F180E" w:rsidRPr="006D001C" w:rsidTr="00430091">
        <w:trPr>
          <w:trHeight w:val="300"/>
        </w:trPr>
        <w:tc>
          <w:tcPr>
            <w:tcW w:w="1062"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Trafficking in Human Beings</w:t>
            </w:r>
          </w:p>
        </w:tc>
        <w:tc>
          <w:tcPr>
            <w:tcW w:w="456"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26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542"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8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04"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1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r>
      <w:tr w:rsidR="002F180E" w:rsidRPr="006D001C" w:rsidTr="00430091">
        <w:trPr>
          <w:trHeight w:val="300"/>
        </w:trPr>
        <w:tc>
          <w:tcPr>
            <w:tcW w:w="1062"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Homicide</w:t>
            </w:r>
          </w:p>
        </w:tc>
        <w:tc>
          <w:tcPr>
            <w:tcW w:w="456"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10</w:t>
            </w:r>
          </w:p>
        </w:tc>
        <w:tc>
          <w:tcPr>
            <w:tcW w:w="26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11</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26</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542"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15</w:t>
            </w:r>
          </w:p>
        </w:tc>
        <w:tc>
          <w:tcPr>
            <w:tcW w:w="38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04"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31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r>
      <w:tr w:rsidR="002F180E" w:rsidRPr="006D001C" w:rsidTr="00430091">
        <w:trPr>
          <w:trHeight w:val="300"/>
        </w:trPr>
        <w:tc>
          <w:tcPr>
            <w:tcW w:w="1062"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Domestic Violence</w:t>
            </w:r>
          </w:p>
        </w:tc>
        <w:tc>
          <w:tcPr>
            <w:tcW w:w="456"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94</w:t>
            </w:r>
          </w:p>
        </w:tc>
        <w:tc>
          <w:tcPr>
            <w:tcW w:w="26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54</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235</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542"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51</w:t>
            </w:r>
          </w:p>
        </w:tc>
        <w:tc>
          <w:tcPr>
            <w:tcW w:w="38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12</w:t>
            </w:r>
          </w:p>
        </w:tc>
        <w:tc>
          <w:tcPr>
            <w:tcW w:w="304"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w:t>
            </w:r>
          </w:p>
        </w:tc>
        <w:tc>
          <w:tcPr>
            <w:tcW w:w="31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19</w:t>
            </w:r>
          </w:p>
        </w:tc>
      </w:tr>
      <w:tr w:rsidR="002F180E" w:rsidRPr="006D001C" w:rsidTr="00430091">
        <w:trPr>
          <w:trHeight w:val="300"/>
        </w:trPr>
        <w:tc>
          <w:tcPr>
            <w:tcW w:w="1062"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Sexual Violence</w:t>
            </w:r>
          </w:p>
        </w:tc>
        <w:tc>
          <w:tcPr>
            <w:tcW w:w="456"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w:t>
            </w:r>
          </w:p>
        </w:tc>
        <w:tc>
          <w:tcPr>
            <w:tcW w:w="26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31</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7</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542"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6</w:t>
            </w:r>
          </w:p>
        </w:tc>
        <w:tc>
          <w:tcPr>
            <w:tcW w:w="38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15</w:t>
            </w:r>
          </w:p>
        </w:tc>
        <w:tc>
          <w:tcPr>
            <w:tcW w:w="304"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1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16</w:t>
            </w:r>
          </w:p>
        </w:tc>
      </w:tr>
      <w:tr w:rsidR="002F180E" w:rsidRPr="006D001C" w:rsidTr="00430091">
        <w:trPr>
          <w:trHeight w:val="300"/>
        </w:trPr>
        <w:tc>
          <w:tcPr>
            <w:tcW w:w="1062"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Sexual Exploitation</w:t>
            </w:r>
          </w:p>
        </w:tc>
        <w:tc>
          <w:tcPr>
            <w:tcW w:w="456"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26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542"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8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4</w:t>
            </w:r>
          </w:p>
        </w:tc>
        <w:tc>
          <w:tcPr>
            <w:tcW w:w="304"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1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w:t>
            </w:r>
          </w:p>
        </w:tc>
      </w:tr>
      <w:tr w:rsidR="002F180E" w:rsidRPr="006D001C" w:rsidTr="00430091">
        <w:trPr>
          <w:trHeight w:val="300"/>
        </w:trPr>
        <w:tc>
          <w:tcPr>
            <w:tcW w:w="1062"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Sexual Abuse</w:t>
            </w:r>
          </w:p>
        </w:tc>
        <w:tc>
          <w:tcPr>
            <w:tcW w:w="456"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26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3</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542"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8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04"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1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0</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10</w:t>
            </w:r>
          </w:p>
        </w:tc>
      </w:tr>
      <w:tr w:rsidR="002F180E" w:rsidRPr="006D001C" w:rsidTr="00430091">
        <w:trPr>
          <w:trHeight w:val="300"/>
        </w:trPr>
        <w:tc>
          <w:tcPr>
            <w:tcW w:w="1062" w:type="pct"/>
            <w:shd w:val="clear" w:color="auto" w:fill="F2F2F2" w:themeFill="background1" w:themeFillShade="F2"/>
            <w:noWrap/>
            <w:hideMark/>
          </w:tcPr>
          <w:p w:rsidR="002F180E" w:rsidRPr="006D001C" w:rsidRDefault="002F180E" w:rsidP="007E5758">
            <w:pPr>
              <w:rPr>
                <w:rFonts w:ascii="Times New Roman" w:hAnsi="Times New Roman" w:cs="Times New Roman"/>
                <w:b/>
                <w:lang w:val="en-GB"/>
              </w:rPr>
            </w:pPr>
            <w:r w:rsidRPr="006D001C">
              <w:rPr>
                <w:rFonts w:ascii="Times New Roman" w:hAnsi="Times New Roman" w:cs="Times New Roman"/>
                <w:b/>
                <w:lang w:val="en-GB"/>
              </w:rPr>
              <w:t>Harassment</w:t>
            </w:r>
          </w:p>
        </w:tc>
        <w:tc>
          <w:tcPr>
            <w:tcW w:w="456"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564</w:t>
            </w:r>
          </w:p>
        </w:tc>
        <w:tc>
          <w:tcPr>
            <w:tcW w:w="26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19</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159</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13</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4</w:t>
            </w:r>
          </w:p>
        </w:tc>
        <w:tc>
          <w:tcPr>
            <w:tcW w:w="542"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76</w:t>
            </w:r>
          </w:p>
        </w:tc>
        <w:tc>
          <w:tcPr>
            <w:tcW w:w="38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50</w:t>
            </w:r>
          </w:p>
        </w:tc>
        <w:tc>
          <w:tcPr>
            <w:tcW w:w="304"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13</w:t>
            </w:r>
          </w:p>
        </w:tc>
        <w:tc>
          <w:tcPr>
            <w:tcW w:w="313"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8</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2</w:t>
            </w:r>
          </w:p>
        </w:tc>
        <w:tc>
          <w:tcPr>
            <w:tcW w:w="335" w:type="pct"/>
            <w:noWrap/>
            <w:hideMark/>
          </w:tcPr>
          <w:p w:rsidR="002F180E" w:rsidRPr="006D001C" w:rsidRDefault="002F180E" w:rsidP="007E5758">
            <w:pPr>
              <w:rPr>
                <w:rFonts w:ascii="Times New Roman" w:hAnsi="Times New Roman" w:cs="Times New Roman"/>
                <w:lang w:val="en-GB"/>
              </w:rPr>
            </w:pPr>
            <w:r w:rsidRPr="006D001C">
              <w:rPr>
                <w:rFonts w:ascii="Times New Roman" w:hAnsi="Times New Roman" w:cs="Times New Roman"/>
                <w:lang w:val="en-GB"/>
              </w:rPr>
              <w:t>5</w:t>
            </w:r>
          </w:p>
        </w:tc>
      </w:tr>
    </w:tbl>
    <w:p w:rsidR="00BF010A" w:rsidRPr="006D001C" w:rsidRDefault="00BF010A" w:rsidP="00607487">
      <w:pPr>
        <w:jc w:val="both"/>
        <w:rPr>
          <w:rFonts w:ascii="Times New Roman" w:hAnsi="Times New Roman" w:cs="Times New Roman"/>
          <w:b/>
          <w:bCs/>
          <w:iCs/>
          <w:sz w:val="24"/>
          <w:szCs w:val="24"/>
          <w:lang w:val="en-GB"/>
        </w:rPr>
      </w:pPr>
    </w:p>
    <w:p w:rsidR="002F180E" w:rsidRPr="006D001C" w:rsidRDefault="002F180E" w:rsidP="00607487">
      <w:pPr>
        <w:jc w:val="both"/>
        <w:rPr>
          <w:rFonts w:ascii="Times New Roman" w:hAnsi="Times New Roman" w:cs="Times New Roman"/>
          <w:b/>
          <w:bCs/>
          <w:iCs/>
          <w:sz w:val="24"/>
          <w:szCs w:val="24"/>
          <w:lang w:val="en-GB"/>
        </w:rPr>
      </w:pPr>
    </w:p>
    <w:p w:rsidR="00C72D9F" w:rsidRDefault="00C72D9F" w:rsidP="00C72D9F">
      <w:pPr>
        <w:rPr>
          <w:rFonts w:ascii="Times New Roman" w:hAnsi="Times New Roman" w:cs="Times New Roman"/>
          <w:b/>
          <w:bCs/>
          <w:iCs/>
          <w:sz w:val="24"/>
          <w:szCs w:val="24"/>
          <w:lang w:val="en-GB"/>
        </w:rPr>
      </w:pPr>
    </w:p>
    <w:p w:rsidR="001B4A51" w:rsidRDefault="001B4A51" w:rsidP="00C72D9F">
      <w:pPr>
        <w:rPr>
          <w:rFonts w:ascii="Times New Roman" w:hAnsi="Times New Roman" w:cs="Times New Roman"/>
          <w:b/>
          <w:bCs/>
          <w:iCs/>
          <w:sz w:val="24"/>
          <w:szCs w:val="24"/>
          <w:lang w:val="en-GB"/>
        </w:rPr>
      </w:pPr>
    </w:p>
    <w:p w:rsidR="001B4A51" w:rsidRDefault="001B4A51">
      <w:pPr>
        <w:rPr>
          <w:rFonts w:ascii="Times New Roman" w:hAnsi="Times New Roman" w:cs="Times New Roman"/>
          <w:b/>
          <w:bCs/>
          <w:iCs/>
          <w:sz w:val="24"/>
          <w:szCs w:val="24"/>
          <w:lang w:val="en-GB"/>
        </w:rPr>
      </w:pPr>
      <w:r>
        <w:rPr>
          <w:rFonts w:ascii="Times New Roman" w:hAnsi="Times New Roman" w:cs="Times New Roman"/>
          <w:b/>
          <w:bCs/>
          <w:iCs/>
          <w:sz w:val="24"/>
          <w:szCs w:val="24"/>
          <w:lang w:val="en-GB"/>
        </w:rPr>
        <w:br w:type="page"/>
      </w:r>
    </w:p>
    <w:p w:rsidR="00C72D9F" w:rsidRDefault="00C72D9F" w:rsidP="00C72D9F">
      <w:pPr>
        <w:rPr>
          <w:rFonts w:ascii="Times New Roman" w:hAnsi="Times New Roman" w:cs="Times New Roman"/>
          <w:b/>
          <w:bCs/>
          <w:iCs/>
          <w:sz w:val="24"/>
          <w:szCs w:val="24"/>
          <w:lang w:val="en-GB"/>
        </w:rPr>
        <w:sectPr w:rsidR="00C72D9F" w:rsidSect="002F180E">
          <w:pgSz w:w="16838" w:h="11906" w:orient="landscape"/>
          <w:pgMar w:top="1417" w:right="1417" w:bottom="1417" w:left="1417" w:header="708" w:footer="708" w:gutter="0"/>
          <w:cols w:space="708"/>
          <w:docGrid w:linePitch="360"/>
        </w:sectPr>
      </w:pPr>
    </w:p>
    <w:p w:rsidR="00C72D9F" w:rsidRDefault="00C72D9F" w:rsidP="00C72D9F">
      <w:pPr>
        <w:rPr>
          <w:rFonts w:ascii="Times New Roman" w:hAnsi="Times New Roman" w:cs="Times New Roman"/>
          <w:b/>
          <w:bCs/>
          <w:iCs/>
          <w:sz w:val="24"/>
          <w:szCs w:val="24"/>
          <w:lang w:val="en-GB"/>
        </w:rPr>
      </w:pPr>
      <w:r w:rsidRPr="006D001C">
        <w:rPr>
          <w:rFonts w:ascii="Times New Roman" w:hAnsi="Times New Roman" w:cs="Times New Roman"/>
          <w:b/>
          <w:bCs/>
          <w:iCs/>
          <w:sz w:val="24"/>
          <w:szCs w:val="24"/>
          <w:lang w:val="en-GB"/>
        </w:rPr>
        <w:lastRenderedPageBreak/>
        <w:t xml:space="preserve"> </w:t>
      </w:r>
      <w:r>
        <w:rPr>
          <w:rFonts w:ascii="Times New Roman" w:hAnsi="Times New Roman" w:cs="Times New Roman"/>
          <w:b/>
          <w:bCs/>
          <w:iCs/>
          <w:sz w:val="24"/>
          <w:szCs w:val="24"/>
          <w:lang w:val="en-GB"/>
        </w:rPr>
        <w:t>15. Trafficking in human beings</w:t>
      </w:r>
    </w:p>
    <w:p w:rsidR="00C72D9F" w:rsidRPr="006D001C" w:rsidRDefault="00C72D9F" w:rsidP="00C72D9F">
      <w:pPr>
        <w:rPr>
          <w:rFonts w:ascii="Times New Roman" w:hAnsi="Times New Roman" w:cs="Times New Roman"/>
          <w:b/>
          <w:bCs/>
          <w:iCs/>
          <w:sz w:val="24"/>
          <w:szCs w:val="24"/>
          <w:lang w:val="en-GB"/>
        </w:rPr>
      </w:pPr>
      <w:r>
        <w:rPr>
          <w:noProof/>
          <w:lang w:eastAsia="hu-HU"/>
        </w:rPr>
        <w:drawing>
          <wp:anchor distT="0" distB="0" distL="114300" distR="114300" simplePos="0" relativeHeight="251659264" behindDoc="0" locked="0" layoutInCell="1" allowOverlap="1" wp14:anchorId="0E6B392D" wp14:editId="427D318A">
            <wp:simplePos x="0" y="0"/>
            <wp:positionH relativeFrom="column">
              <wp:posOffset>4577080</wp:posOffset>
            </wp:positionH>
            <wp:positionV relativeFrom="paragraph">
              <wp:posOffset>219075</wp:posOffset>
            </wp:positionV>
            <wp:extent cx="4676775" cy="2564765"/>
            <wp:effectExtent l="0" t="0" r="9525" b="6985"/>
            <wp:wrapSquare wrapText="bothSides"/>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7496" t="23249" r="61403" b="46413"/>
                    <a:stretch/>
                  </pic:blipFill>
                  <pic:spPr bwMode="auto">
                    <a:xfrm>
                      <a:off x="0" y="0"/>
                      <a:ext cx="4676775" cy="2564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hu-HU"/>
        </w:rPr>
        <w:drawing>
          <wp:anchor distT="0" distB="0" distL="114300" distR="114300" simplePos="0" relativeHeight="251660288" behindDoc="0" locked="0" layoutInCell="1" allowOverlap="1" wp14:anchorId="57E24BD4" wp14:editId="1F83F5E9">
            <wp:simplePos x="0" y="0"/>
            <wp:positionH relativeFrom="column">
              <wp:posOffset>-287655</wp:posOffset>
            </wp:positionH>
            <wp:positionV relativeFrom="paragraph">
              <wp:posOffset>151765</wp:posOffset>
            </wp:positionV>
            <wp:extent cx="4676775" cy="2853055"/>
            <wp:effectExtent l="0" t="0" r="9525" b="4445"/>
            <wp:wrapSquare wrapText="bothSides"/>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9729" t="56140" r="62041" b="13239"/>
                    <a:stretch/>
                  </pic:blipFill>
                  <pic:spPr bwMode="auto">
                    <a:xfrm>
                      <a:off x="0" y="0"/>
                      <a:ext cx="4676775" cy="2853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D001C">
        <w:rPr>
          <w:rFonts w:ascii="Times New Roman" w:hAnsi="Times New Roman" w:cs="Times New Roman"/>
          <w:b/>
          <w:bCs/>
          <w:iCs/>
          <w:sz w:val="24"/>
          <w:szCs w:val="24"/>
          <w:lang w:val="en-GB"/>
        </w:rPr>
        <w:br w:type="page"/>
      </w:r>
    </w:p>
    <w:p w:rsidR="00C72D9F" w:rsidRPr="001B4A51" w:rsidRDefault="00C72D9F" w:rsidP="00C72D9F">
      <w:pPr>
        <w:rPr>
          <w:rFonts w:ascii="Times New Roman" w:hAnsi="Times New Roman" w:cs="Times New Roman"/>
          <w:b/>
          <w:bCs/>
          <w:iCs/>
          <w:sz w:val="24"/>
          <w:szCs w:val="24"/>
          <w:lang w:val="en-GB"/>
        </w:rPr>
        <w:sectPr w:rsidR="00C72D9F" w:rsidRPr="001B4A51" w:rsidSect="00C72D9F">
          <w:type w:val="continuous"/>
          <w:pgSz w:w="16838" w:h="11906" w:orient="landscape"/>
          <w:pgMar w:top="1417" w:right="1417" w:bottom="1417" w:left="1417" w:header="708" w:footer="708" w:gutter="0"/>
          <w:cols w:space="708"/>
          <w:docGrid w:linePitch="360"/>
        </w:sectPr>
      </w:pPr>
    </w:p>
    <w:p w:rsidR="004B4D6A" w:rsidRPr="006D001C" w:rsidRDefault="00BF010A" w:rsidP="00C72D9F">
      <w:pPr>
        <w:rPr>
          <w:rFonts w:ascii="Times New Roman" w:hAnsi="Times New Roman" w:cs="Times New Roman"/>
          <w:b/>
          <w:bCs/>
          <w:iCs/>
          <w:sz w:val="24"/>
          <w:szCs w:val="24"/>
        </w:rPr>
      </w:pPr>
      <w:r w:rsidRPr="006D001C">
        <w:rPr>
          <w:rFonts w:ascii="Times New Roman" w:hAnsi="Times New Roman" w:cs="Times New Roman"/>
          <w:b/>
          <w:bCs/>
          <w:iCs/>
          <w:sz w:val="24"/>
          <w:szCs w:val="24"/>
        </w:rPr>
        <w:lastRenderedPageBreak/>
        <w:t xml:space="preserve">19. </w:t>
      </w:r>
      <w:r w:rsidR="004B4D6A" w:rsidRPr="006D001C">
        <w:rPr>
          <w:rFonts w:ascii="Times New Roman" w:hAnsi="Times New Roman" w:cs="Times New Roman"/>
          <w:b/>
          <w:bCs/>
          <w:iCs/>
          <w:sz w:val="24"/>
          <w:szCs w:val="24"/>
        </w:rPr>
        <w:t>Health</w:t>
      </w:r>
    </w:p>
    <w:p w:rsidR="00B4334A" w:rsidRPr="006D001C" w:rsidRDefault="00B4334A" w:rsidP="00B4334A">
      <w:pPr>
        <w:jc w:val="both"/>
        <w:rPr>
          <w:rFonts w:ascii="Times New Roman" w:hAnsi="Times New Roman" w:cs="Times New Roman"/>
          <w:b/>
          <w:color w:val="3B3838" w:themeColor="background2" w:themeShade="40"/>
          <w:sz w:val="24"/>
          <w:szCs w:val="24"/>
          <w:u w:val="single"/>
          <w:lang w:val="en-GB"/>
        </w:rPr>
      </w:pPr>
      <w:r w:rsidRPr="006D001C">
        <w:rPr>
          <w:rFonts w:ascii="Times New Roman" w:hAnsi="Times New Roman" w:cs="Times New Roman"/>
          <w:b/>
          <w:color w:val="3B3838" w:themeColor="background2" w:themeShade="40"/>
          <w:sz w:val="24"/>
          <w:szCs w:val="24"/>
          <w:u w:val="single"/>
          <w:lang w:val="en-GB"/>
        </w:rPr>
        <w:t>HIV/AIDS – Gender distribution of registered HIV infected persons by year of verification</w:t>
      </w:r>
    </w:p>
    <w:p w:rsidR="00B4334A" w:rsidRPr="006D001C" w:rsidRDefault="00B4334A" w:rsidP="00B4334A">
      <w:pPr>
        <w:jc w:val="both"/>
        <w:rPr>
          <w:rFonts w:ascii="Times New Roman" w:hAnsi="Times New Roman" w:cs="Times New Roman"/>
          <w:b/>
          <w:sz w:val="24"/>
          <w:szCs w:val="24"/>
          <w:lang w:val="en-GB"/>
        </w:rPr>
      </w:pPr>
    </w:p>
    <w:tbl>
      <w:tblPr>
        <w:tblW w:w="5000" w:type="pct"/>
        <w:tblCellMar>
          <w:left w:w="70" w:type="dxa"/>
          <w:right w:w="70" w:type="dxa"/>
        </w:tblCellMar>
        <w:tblLook w:val="04A0" w:firstRow="1" w:lastRow="0" w:firstColumn="1" w:lastColumn="0" w:noHBand="0" w:noVBand="1"/>
      </w:tblPr>
      <w:tblGrid>
        <w:gridCol w:w="2814"/>
        <w:gridCol w:w="2699"/>
        <w:gridCol w:w="2755"/>
        <w:gridCol w:w="2844"/>
        <w:gridCol w:w="2872"/>
      </w:tblGrid>
      <w:tr w:rsidR="00B4334A" w:rsidRPr="006D001C" w:rsidTr="007E5758">
        <w:trPr>
          <w:trHeight w:val="557"/>
        </w:trPr>
        <w:tc>
          <w:tcPr>
            <w:tcW w:w="1006" w:type="pct"/>
            <w:tcBorders>
              <w:top w:val="single" w:sz="8" w:space="0" w:color="auto"/>
              <w:left w:val="single" w:sz="8" w:space="0" w:color="auto"/>
              <w:bottom w:val="single" w:sz="8" w:space="0" w:color="auto"/>
              <w:right w:val="single" w:sz="4" w:space="0" w:color="auto"/>
            </w:tcBorders>
            <w:shd w:val="clear" w:color="auto" w:fill="BDD6EE" w:themeFill="accent1" w:themeFillTint="66"/>
            <w:noWrap/>
            <w:vAlign w:val="center"/>
            <w:hideMark/>
          </w:tcPr>
          <w:p w:rsidR="00B4334A" w:rsidRPr="006D001C" w:rsidRDefault="00B4334A" w:rsidP="007E5758">
            <w:pPr>
              <w:jc w:val="both"/>
              <w:rPr>
                <w:rFonts w:ascii="Times New Roman" w:hAnsi="Times New Roman" w:cs="Times New Roman"/>
                <w:b/>
                <w:bCs/>
                <w:sz w:val="24"/>
                <w:szCs w:val="24"/>
                <w:lang w:val="en-GB"/>
              </w:rPr>
            </w:pPr>
            <w:r w:rsidRPr="006D001C">
              <w:rPr>
                <w:rFonts w:ascii="Times New Roman" w:hAnsi="Times New Roman" w:cs="Times New Roman"/>
                <w:b/>
                <w:bCs/>
                <w:sz w:val="24"/>
                <w:szCs w:val="24"/>
                <w:lang w:val="en-GB"/>
              </w:rPr>
              <w:t>Year</w:t>
            </w:r>
          </w:p>
        </w:tc>
        <w:tc>
          <w:tcPr>
            <w:tcW w:w="965" w:type="pct"/>
            <w:tcBorders>
              <w:top w:val="single" w:sz="8" w:space="0" w:color="auto"/>
              <w:left w:val="nil"/>
              <w:bottom w:val="single" w:sz="8" w:space="0" w:color="auto"/>
              <w:right w:val="single" w:sz="4" w:space="0" w:color="auto"/>
            </w:tcBorders>
            <w:shd w:val="clear" w:color="auto" w:fill="BDD6EE" w:themeFill="accent1" w:themeFillTint="66"/>
            <w:noWrap/>
            <w:vAlign w:val="center"/>
            <w:hideMark/>
          </w:tcPr>
          <w:p w:rsidR="00B4334A" w:rsidRPr="006D001C" w:rsidRDefault="00B4334A" w:rsidP="007E5758">
            <w:pPr>
              <w:jc w:val="both"/>
              <w:rPr>
                <w:rFonts w:ascii="Times New Roman" w:hAnsi="Times New Roman" w:cs="Times New Roman"/>
                <w:b/>
                <w:bCs/>
                <w:sz w:val="24"/>
                <w:szCs w:val="24"/>
                <w:lang w:val="en-GB"/>
              </w:rPr>
            </w:pPr>
            <w:r w:rsidRPr="006D001C">
              <w:rPr>
                <w:rFonts w:ascii="Times New Roman" w:hAnsi="Times New Roman" w:cs="Times New Roman"/>
                <w:b/>
                <w:bCs/>
                <w:sz w:val="24"/>
                <w:szCs w:val="24"/>
                <w:lang w:val="en-GB"/>
              </w:rPr>
              <w:t xml:space="preserve">Men </w:t>
            </w:r>
          </w:p>
        </w:tc>
        <w:tc>
          <w:tcPr>
            <w:tcW w:w="985" w:type="pct"/>
            <w:tcBorders>
              <w:top w:val="single" w:sz="8" w:space="0" w:color="auto"/>
              <w:left w:val="nil"/>
              <w:bottom w:val="single" w:sz="8" w:space="0" w:color="auto"/>
              <w:right w:val="single" w:sz="4" w:space="0" w:color="auto"/>
            </w:tcBorders>
            <w:shd w:val="clear" w:color="auto" w:fill="BDD6EE" w:themeFill="accent1" w:themeFillTint="66"/>
            <w:noWrap/>
            <w:vAlign w:val="center"/>
            <w:hideMark/>
          </w:tcPr>
          <w:p w:rsidR="00B4334A" w:rsidRPr="006D001C" w:rsidRDefault="00B4334A" w:rsidP="007E5758">
            <w:pPr>
              <w:jc w:val="both"/>
              <w:rPr>
                <w:rFonts w:ascii="Times New Roman" w:hAnsi="Times New Roman" w:cs="Times New Roman"/>
                <w:b/>
                <w:bCs/>
                <w:sz w:val="24"/>
                <w:szCs w:val="24"/>
                <w:lang w:val="en-GB"/>
              </w:rPr>
            </w:pPr>
            <w:r w:rsidRPr="006D001C">
              <w:rPr>
                <w:rFonts w:ascii="Times New Roman" w:hAnsi="Times New Roman" w:cs="Times New Roman"/>
                <w:b/>
                <w:bCs/>
                <w:sz w:val="24"/>
                <w:szCs w:val="24"/>
                <w:lang w:val="en-GB"/>
              </w:rPr>
              <w:t>Women</w:t>
            </w:r>
          </w:p>
        </w:tc>
        <w:tc>
          <w:tcPr>
            <w:tcW w:w="1017" w:type="pct"/>
            <w:tcBorders>
              <w:top w:val="single" w:sz="8" w:space="0" w:color="auto"/>
              <w:left w:val="nil"/>
              <w:bottom w:val="single" w:sz="8" w:space="0" w:color="auto"/>
              <w:right w:val="single" w:sz="4" w:space="0" w:color="auto"/>
            </w:tcBorders>
            <w:shd w:val="clear" w:color="auto" w:fill="BDD6EE" w:themeFill="accent1" w:themeFillTint="66"/>
            <w:noWrap/>
            <w:vAlign w:val="center"/>
            <w:hideMark/>
          </w:tcPr>
          <w:p w:rsidR="00B4334A" w:rsidRPr="006D001C" w:rsidRDefault="00B4334A" w:rsidP="007E5758">
            <w:pPr>
              <w:jc w:val="both"/>
              <w:rPr>
                <w:rFonts w:ascii="Times New Roman" w:hAnsi="Times New Roman" w:cs="Times New Roman"/>
                <w:b/>
                <w:bCs/>
                <w:sz w:val="24"/>
                <w:szCs w:val="24"/>
                <w:lang w:val="en-GB"/>
              </w:rPr>
            </w:pPr>
            <w:r w:rsidRPr="006D001C">
              <w:rPr>
                <w:rFonts w:ascii="Times New Roman" w:hAnsi="Times New Roman" w:cs="Times New Roman"/>
                <w:b/>
                <w:bCs/>
                <w:sz w:val="24"/>
                <w:szCs w:val="24"/>
                <w:lang w:val="en-GB"/>
              </w:rPr>
              <w:t>Unknown</w:t>
            </w:r>
          </w:p>
        </w:tc>
        <w:tc>
          <w:tcPr>
            <w:tcW w:w="1027" w:type="pct"/>
            <w:tcBorders>
              <w:top w:val="single" w:sz="8" w:space="0" w:color="auto"/>
              <w:left w:val="nil"/>
              <w:bottom w:val="single" w:sz="8" w:space="0" w:color="auto"/>
              <w:right w:val="single" w:sz="8" w:space="0" w:color="auto"/>
            </w:tcBorders>
            <w:shd w:val="clear" w:color="auto" w:fill="BDD6EE" w:themeFill="accent1" w:themeFillTint="66"/>
            <w:noWrap/>
            <w:vAlign w:val="center"/>
            <w:hideMark/>
          </w:tcPr>
          <w:p w:rsidR="00B4334A" w:rsidRPr="006D001C" w:rsidRDefault="00B4334A" w:rsidP="007E5758">
            <w:pPr>
              <w:jc w:val="both"/>
              <w:rPr>
                <w:rFonts w:ascii="Times New Roman" w:hAnsi="Times New Roman" w:cs="Times New Roman"/>
                <w:b/>
                <w:bCs/>
                <w:sz w:val="24"/>
                <w:szCs w:val="24"/>
                <w:lang w:val="en-GB"/>
              </w:rPr>
            </w:pPr>
            <w:r w:rsidRPr="006D001C">
              <w:rPr>
                <w:rFonts w:ascii="Times New Roman" w:hAnsi="Times New Roman" w:cs="Times New Roman"/>
                <w:b/>
                <w:bCs/>
                <w:sz w:val="24"/>
                <w:szCs w:val="24"/>
                <w:lang w:val="en-GB"/>
              </w:rPr>
              <w:t>Total</w:t>
            </w:r>
          </w:p>
        </w:tc>
      </w:tr>
      <w:tr w:rsidR="00B4334A" w:rsidRPr="006D001C" w:rsidTr="007E5758">
        <w:trPr>
          <w:trHeight w:val="598"/>
        </w:trPr>
        <w:tc>
          <w:tcPr>
            <w:tcW w:w="1006" w:type="pct"/>
            <w:tcBorders>
              <w:top w:val="nil"/>
              <w:left w:val="single" w:sz="4" w:space="0" w:color="auto"/>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b/>
                <w:sz w:val="24"/>
                <w:szCs w:val="24"/>
                <w:lang w:val="en-GB"/>
              </w:rPr>
            </w:pPr>
            <w:r w:rsidRPr="006D001C">
              <w:rPr>
                <w:rFonts w:ascii="Times New Roman" w:hAnsi="Times New Roman" w:cs="Times New Roman"/>
                <w:b/>
                <w:sz w:val="24"/>
                <w:szCs w:val="24"/>
                <w:lang w:val="en-GB"/>
              </w:rPr>
              <w:t>1985-2014</w:t>
            </w:r>
          </w:p>
        </w:tc>
        <w:tc>
          <w:tcPr>
            <w:tcW w:w="965" w:type="pct"/>
            <w:tcBorders>
              <w:top w:val="nil"/>
              <w:left w:val="nil"/>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2 207</w:t>
            </w:r>
          </w:p>
        </w:tc>
        <w:tc>
          <w:tcPr>
            <w:tcW w:w="985" w:type="pct"/>
            <w:tcBorders>
              <w:top w:val="nil"/>
              <w:left w:val="nil"/>
              <w:bottom w:val="single" w:sz="4" w:space="0" w:color="auto"/>
              <w:right w:val="single" w:sz="4" w:space="0" w:color="auto"/>
            </w:tcBorders>
            <w:shd w:val="clear" w:color="auto" w:fill="FFF2CC" w:themeFill="accent4" w:themeFillTint="33"/>
            <w:noWrap/>
            <w:vAlign w:val="center"/>
            <w:hideMark/>
          </w:tcPr>
          <w:p w:rsidR="00B4334A" w:rsidRPr="006D001C" w:rsidRDefault="00B4334A" w:rsidP="007E5758">
            <w:pPr>
              <w:jc w:val="both"/>
              <w:rPr>
                <w:rFonts w:ascii="Times New Roman" w:hAnsi="Times New Roman" w:cs="Times New Roman"/>
                <w:b/>
                <w:sz w:val="24"/>
                <w:szCs w:val="24"/>
                <w:lang w:val="en-GB"/>
              </w:rPr>
            </w:pPr>
            <w:r w:rsidRPr="006D001C">
              <w:rPr>
                <w:rFonts w:ascii="Times New Roman" w:hAnsi="Times New Roman" w:cs="Times New Roman"/>
                <w:b/>
                <w:sz w:val="24"/>
                <w:szCs w:val="24"/>
                <w:lang w:val="en-GB"/>
              </w:rPr>
              <w:t>297</w:t>
            </w:r>
          </w:p>
        </w:tc>
        <w:tc>
          <w:tcPr>
            <w:tcW w:w="1017" w:type="pct"/>
            <w:tcBorders>
              <w:top w:val="nil"/>
              <w:left w:val="nil"/>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341</w:t>
            </w:r>
          </w:p>
        </w:tc>
        <w:tc>
          <w:tcPr>
            <w:tcW w:w="1027" w:type="pct"/>
            <w:tcBorders>
              <w:top w:val="nil"/>
              <w:left w:val="nil"/>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2 845</w:t>
            </w:r>
          </w:p>
        </w:tc>
      </w:tr>
      <w:tr w:rsidR="00B4334A" w:rsidRPr="006D001C" w:rsidTr="007E5758">
        <w:trPr>
          <w:trHeight w:val="544"/>
        </w:trPr>
        <w:tc>
          <w:tcPr>
            <w:tcW w:w="1006" w:type="pct"/>
            <w:tcBorders>
              <w:top w:val="nil"/>
              <w:left w:val="single" w:sz="4" w:space="0" w:color="auto"/>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b/>
                <w:sz w:val="24"/>
                <w:szCs w:val="24"/>
                <w:lang w:val="en-GB"/>
              </w:rPr>
            </w:pPr>
            <w:r w:rsidRPr="006D001C">
              <w:rPr>
                <w:rFonts w:ascii="Times New Roman" w:hAnsi="Times New Roman" w:cs="Times New Roman"/>
                <w:b/>
                <w:sz w:val="24"/>
                <w:szCs w:val="24"/>
                <w:lang w:val="en-GB"/>
              </w:rPr>
              <w:t>2015</w:t>
            </w:r>
          </w:p>
        </w:tc>
        <w:tc>
          <w:tcPr>
            <w:tcW w:w="965" w:type="pct"/>
            <w:tcBorders>
              <w:top w:val="nil"/>
              <w:left w:val="nil"/>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196</w:t>
            </w:r>
          </w:p>
        </w:tc>
        <w:tc>
          <w:tcPr>
            <w:tcW w:w="985" w:type="pct"/>
            <w:tcBorders>
              <w:top w:val="nil"/>
              <w:left w:val="nil"/>
              <w:bottom w:val="single" w:sz="4" w:space="0" w:color="auto"/>
              <w:right w:val="single" w:sz="4" w:space="0" w:color="auto"/>
            </w:tcBorders>
            <w:shd w:val="clear" w:color="auto" w:fill="FFF2CC" w:themeFill="accent4" w:themeFillTint="33"/>
            <w:noWrap/>
            <w:vAlign w:val="center"/>
            <w:hideMark/>
          </w:tcPr>
          <w:p w:rsidR="00B4334A" w:rsidRPr="006D001C" w:rsidRDefault="00B4334A" w:rsidP="007E5758">
            <w:pPr>
              <w:jc w:val="both"/>
              <w:rPr>
                <w:rFonts w:ascii="Times New Roman" w:hAnsi="Times New Roman" w:cs="Times New Roman"/>
                <w:b/>
                <w:sz w:val="24"/>
                <w:szCs w:val="24"/>
                <w:lang w:val="en-GB"/>
              </w:rPr>
            </w:pPr>
            <w:r w:rsidRPr="006D001C">
              <w:rPr>
                <w:rFonts w:ascii="Times New Roman" w:hAnsi="Times New Roman" w:cs="Times New Roman"/>
                <w:b/>
                <w:sz w:val="24"/>
                <w:szCs w:val="24"/>
                <w:lang w:val="en-GB"/>
              </w:rPr>
              <w:t>26</w:t>
            </w:r>
          </w:p>
        </w:tc>
        <w:tc>
          <w:tcPr>
            <w:tcW w:w="1017" w:type="pct"/>
            <w:tcBorders>
              <w:top w:val="nil"/>
              <w:left w:val="nil"/>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49</w:t>
            </w:r>
          </w:p>
        </w:tc>
        <w:tc>
          <w:tcPr>
            <w:tcW w:w="1027" w:type="pct"/>
            <w:tcBorders>
              <w:top w:val="nil"/>
              <w:left w:val="nil"/>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271</w:t>
            </w:r>
          </w:p>
        </w:tc>
      </w:tr>
      <w:tr w:rsidR="00B4334A" w:rsidRPr="006D001C" w:rsidTr="007E5758">
        <w:trPr>
          <w:trHeight w:val="571"/>
        </w:trPr>
        <w:tc>
          <w:tcPr>
            <w:tcW w:w="1006" w:type="pct"/>
            <w:tcBorders>
              <w:top w:val="nil"/>
              <w:left w:val="single" w:sz="4" w:space="0" w:color="auto"/>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b/>
                <w:sz w:val="24"/>
                <w:szCs w:val="24"/>
                <w:lang w:val="en-GB"/>
              </w:rPr>
            </w:pPr>
            <w:r w:rsidRPr="006D001C">
              <w:rPr>
                <w:rFonts w:ascii="Times New Roman" w:hAnsi="Times New Roman" w:cs="Times New Roman"/>
                <w:b/>
                <w:sz w:val="24"/>
                <w:szCs w:val="24"/>
                <w:lang w:val="en-GB"/>
              </w:rPr>
              <w:t>2016</w:t>
            </w:r>
          </w:p>
        </w:tc>
        <w:tc>
          <w:tcPr>
            <w:tcW w:w="965" w:type="pct"/>
            <w:tcBorders>
              <w:top w:val="nil"/>
              <w:left w:val="nil"/>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171</w:t>
            </w:r>
          </w:p>
        </w:tc>
        <w:tc>
          <w:tcPr>
            <w:tcW w:w="985" w:type="pct"/>
            <w:tcBorders>
              <w:top w:val="nil"/>
              <w:left w:val="nil"/>
              <w:bottom w:val="single" w:sz="4" w:space="0" w:color="auto"/>
              <w:right w:val="single" w:sz="4" w:space="0" w:color="auto"/>
            </w:tcBorders>
            <w:shd w:val="clear" w:color="auto" w:fill="FFF2CC" w:themeFill="accent4" w:themeFillTint="33"/>
            <w:noWrap/>
            <w:vAlign w:val="center"/>
            <w:hideMark/>
          </w:tcPr>
          <w:p w:rsidR="00B4334A" w:rsidRPr="006D001C" w:rsidRDefault="00B4334A" w:rsidP="007E5758">
            <w:pPr>
              <w:jc w:val="both"/>
              <w:rPr>
                <w:rFonts w:ascii="Times New Roman" w:hAnsi="Times New Roman" w:cs="Times New Roman"/>
                <w:b/>
                <w:sz w:val="24"/>
                <w:szCs w:val="24"/>
                <w:lang w:val="en-GB"/>
              </w:rPr>
            </w:pPr>
            <w:r w:rsidRPr="006D001C">
              <w:rPr>
                <w:rFonts w:ascii="Times New Roman" w:hAnsi="Times New Roman" w:cs="Times New Roman"/>
                <w:b/>
                <w:sz w:val="24"/>
                <w:szCs w:val="24"/>
                <w:lang w:val="en-GB"/>
              </w:rPr>
              <w:t>21</w:t>
            </w:r>
          </w:p>
        </w:tc>
        <w:tc>
          <w:tcPr>
            <w:tcW w:w="1017" w:type="pct"/>
            <w:tcBorders>
              <w:top w:val="nil"/>
              <w:left w:val="nil"/>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36</w:t>
            </w:r>
          </w:p>
        </w:tc>
        <w:tc>
          <w:tcPr>
            <w:tcW w:w="1027" w:type="pct"/>
            <w:tcBorders>
              <w:top w:val="nil"/>
              <w:left w:val="nil"/>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228</w:t>
            </w:r>
          </w:p>
        </w:tc>
      </w:tr>
      <w:tr w:rsidR="00B4334A" w:rsidRPr="006D001C" w:rsidTr="007E5758">
        <w:trPr>
          <w:trHeight w:val="530"/>
        </w:trPr>
        <w:tc>
          <w:tcPr>
            <w:tcW w:w="1006" w:type="pct"/>
            <w:tcBorders>
              <w:top w:val="nil"/>
              <w:left w:val="single" w:sz="4" w:space="0" w:color="auto"/>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b/>
                <w:sz w:val="24"/>
                <w:szCs w:val="24"/>
                <w:lang w:val="en-GB"/>
              </w:rPr>
            </w:pPr>
            <w:r w:rsidRPr="006D001C">
              <w:rPr>
                <w:rFonts w:ascii="Times New Roman" w:hAnsi="Times New Roman" w:cs="Times New Roman"/>
                <w:b/>
                <w:sz w:val="24"/>
                <w:szCs w:val="24"/>
                <w:lang w:val="en-GB"/>
              </w:rPr>
              <w:t>2017</w:t>
            </w:r>
          </w:p>
        </w:tc>
        <w:tc>
          <w:tcPr>
            <w:tcW w:w="965" w:type="pct"/>
            <w:tcBorders>
              <w:top w:val="nil"/>
              <w:left w:val="nil"/>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148</w:t>
            </w:r>
          </w:p>
        </w:tc>
        <w:tc>
          <w:tcPr>
            <w:tcW w:w="985" w:type="pct"/>
            <w:tcBorders>
              <w:top w:val="nil"/>
              <w:left w:val="nil"/>
              <w:bottom w:val="single" w:sz="4" w:space="0" w:color="auto"/>
              <w:right w:val="single" w:sz="4" w:space="0" w:color="auto"/>
            </w:tcBorders>
            <w:shd w:val="clear" w:color="auto" w:fill="FFF2CC" w:themeFill="accent4" w:themeFillTint="33"/>
            <w:noWrap/>
            <w:vAlign w:val="center"/>
            <w:hideMark/>
          </w:tcPr>
          <w:p w:rsidR="00B4334A" w:rsidRPr="006D001C" w:rsidRDefault="00B4334A" w:rsidP="007E5758">
            <w:pPr>
              <w:jc w:val="both"/>
              <w:rPr>
                <w:rFonts w:ascii="Times New Roman" w:hAnsi="Times New Roman" w:cs="Times New Roman"/>
                <w:b/>
                <w:sz w:val="24"/>
                <w:szCs w:val="24"/>
                <w:lang w:val="en-GB"/>
              </w:rPr>
            </w:pPr>
            <w:r w:rsidRPr="006D001C">
              <w:rPr>
                <w:rFonts w:ascii="Times New Roman" w:hAnsi="Times New Roman" w:cs="Times New Roman"/>
                <w:b/>
                <w:sz w:val="24"/>
                <w:szCs w:val="24"/>
                <w:lang w:val="en-GB"/>
              </w:rPr>
              <w:t>18</w:t>
            </w:r>
          </w:p>
        </w:tc>
        <w:tc>
          <w:tcPr>
            <w:tcW w:w="1017" w:type="pct"/>
            <w:tcBorders>
              <w:top w:val="nil"/>
              <w:left w:val="nil"/>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57</w:t>
            </w:r>
          </w:p>
        </w:tc>
        <w:tc>
          <w:tcPr>
            <w:tcW w:w="1027" w:type="pct"/>
            <w:tcBorders>
              <w:top w:val="nil"/>
              <w:left w:val="nil"/>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223</w:t>
            </w:r>
          </w:p>
        </w:tc>
      </w:tr>
      <w:tr w:rsidR="00B4334A" w:rsidRPr="006D001C" w:rsidTr="007E5758">
        <w:trPr>
          <w:trHeight w:val="544"/>
        </w:trPr>
        <w:tc>
          <w:tcPr>
            <w:tcW w:w="1006" w:type="pct"/>
            <w:tcBorders>
              <w:top w:val="nil"/>
              <w:left w:val="single" w:sz="4" w:space="0" w:color="auto"/>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b/>
                <w:sz w:val="24"/>
                <w:szCs w:val="24"/>
                <w:lang w:val="en-GB"/>
              </w:rPr>
            </w:pPr>
            <w:r w:rsidRPr="006D001C">
              <w:rPr>
                <w:rFonts w:ascii="Times New Roman" w:hAnsi="Times New Roman" w:cs="Times New Roman"/>
                <w:b/>
                <w:sz w:val="24"/>
                <w:szCs w:val="24"/>
                <w:lang w:val="en-GB"/>
              </w:rPr>
              <w:t>2018</w:t>
            </w:r>
          </w:p>
        </w:tc>
        <w:tc>
          <w:tcPr>
            <w:tcW w:w="965" w:type="pct"/>
            <w:tcBorders>
              <w:top w:val="nil"/>
              <w:left w:val="nil"/>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195</w:t>
            </w:r>
          </w:p>
        </w:tc>
        <w:tc>
          <w:tcPr>
            <w:tcW w:w="985" w:type="pct"/>
            <w:tcBorders>
              <w:top w:val="nil"/>
              <w:left w:val="nil"/>
              <w:bottom w:val="single" w:sz="4" w:space="0" w:color="auto"/>
              <w:right w:val="single" w:sz="4" w:space="0" w:color="auto"/>
            </w:tcBorders>
            <w:shd w:val="clear" w:color="auto" w:fill="FFF2CC" w:themeFill="accent4" w:themeFillTint="33"/>
            <w:noWrap/>
            <w:vAlign w:val="center"/>
            <w:hideMark/>
          </w:tcPr>
          <w:p w:rsidR="00B4334A" w:rsidRPr="006D001C" w:rsidRDefault="00B4334A" w:rsidP="007E5758">
            <w:pPr>
              <w:jc w:val="both"/>
              <w:rPr>
                <w:rFonts w:ascii="Times New Roman" w:hAnsi="Times New Roman" w:cs="Times New Roman"/>
                <w:b/>
                <w:sz w:val="24"/>
                <w:szCs w:val="24"/>
                <w:lang w:val="en-GB"/>
              </w:rPr>
            </w:pPr>
            <w:r w:rsidRPr="006D001C">
              <w:rPr>
                <w:rFonts w:ascii="Times New Roman" w:hAnsi="Times New Roman" w:cs="Times New Roman"/>
                <w:b/>
                <w:sz w:val="24"/>
                <w:szCs w:val="24"/>
                <w:lang w:val="en-GB"/>
              </w:rPr>
              <w:t>8</w:t>
            </w:r>
          </w:p>
        </w:tc>
        <w:tc>
          <w:tcPr>
            <w:tcW w:w="1017" w:type="pct"/>
            <w:tcBorders>
              <w:top w:val="nil"/>
              <w:left w:val="nil"/>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26</w:t>
            </w:r>
          </w:p>
        </w:tc>
        <w:tc>
          <w:tcPr>
            <w:tcW w:w="1027" w:type="pct"/>
            <w:tcBorders>
              <w:top w:val="nil"/>
              <w:left w:val="nil"/>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229</w:t>
            </w:r>
          </w:p>
        </w:tc>
      </w:tr>
      <w:tr w:rsidR="00B4334A" w:rsidRPr="006D001C" w:rsidTr="007E5758">
        <w:trPr>
          <w:trHeight w:val="557"/>
        </w:trPr>
        <w:tc>
          <w:tcPr>
            <w:tcW w:w="1006" w:type="pct"/>
            <w:tcBorders>
              <w:top w:val="nil"/>
              <w:left w:val="single" w:sz="4" w:space="0" w:color="auto"/>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b/>
                <w:sz w:val="24"/>
                <w:szCs w:val="24"/>
                <w:lang w:val="en-GB"/>
              </w:rPr>
            </w:pPr>
            <w:r w:rsidRPr="006D001C">
              <w:rPr>
                <w:rFonts w:ascii="Times New Roman" w:hAnsi="Times New Roman" w:cs="Times New Roman"/>
                <w:b/>
                <w:sz w:val="24"/>
                <w:szCs w:val="24"/>
                <w:lang w:val="en-GB"/>
              </w:rPr>
              <w:t>2019</w:t>
            </w:r>
          </w:p>
        </w:tc>
        <w:tc>
          <w:tcPr>
            <w:tcW w:w="965" w:type="pct"/>
            <w:tcBorders>
              <w:top w:val="nil"/>
              <w:left w:val="nil"/>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208</w:t>
            </w:r>
          </w:p>
        </w:tc>
        <w:tc>
          <w:tcPr>
            <w:tcW w:w="985" w:type="pct"/>
            <w:tcBorders>
              <w:top w:val="nil"/>
              <w:left w:val="nil"/>
              <w:bottom w:val="single" w:sz="4" w:space="0" w:color="auto"/>
              <w:right w:val="single" w:sz="4" w:space="0" w:color="auto"/>
            </w:tcBorders>
            <w:shd w:val="clear" w:color="auto" w:fill="FFF2CC" w:themeFill="accent4" w:themeFillTint="33"/>
            <w:noWrap/>
            <w:vAlign w:val="center"/>
            <w:hideMark/>
          </w:tcPr>
          <w:p w:rsidR="00B4334A" w:rsidRPr="006D001C" w:rsidRDefault="00B4334A" w:rsidP="007E5758">
            <w:pPr>
              <w:jc w:val="both"/>
              <w:rPr>
                <w:rFonts w:ascii="Times New Roman" w:hAnsi="Times New Roman" w:cs="Times New Roman"/>
                <w:b/>
                <w:sz w:val="24"/>
                <w:szCs w:val="24"/>
                <w:lang w:val="en-GB"/>
              </w:rPr>
            </w:pPr>
            <w:r w:rsidRPr="006D001C">
              <w:rPr>
                <w:rFonts w:ascii="Times New Roman" w:hAnsi="Times New Roman" w:cs="Times New Roman"/>
                <w:b/>
                <w:sz w:val="24"/>
                <w:szCs w:val="24"/>
                <w:lang w:val="en-GB"/>
              </w:rPr>
              <w:t>16</w:t>
            </w:r>
          </w:p>
        </w:tc>
        <w:tc>
          <w:tcPr>
            <w:tcW w:w="1017" w:type="pct"/>
            <w:tcBorders>
              <w:top w:val="nil"/>
              <w:left w:val="nil"/>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14</w:t>
            </w:r>
          </w:p>
        </w:tc>
        <w:tc>
          <w:tcPr>
            <w:tcW w:w="1027" w:type="pct"/>
            <w:tcBorders>
              <w:top w:val="nil"/>
              <w:left w:val="nil"/>
              <w:bottom w:val="single" w:sz="4" w:space="0" w:color="auto"/>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238</w:t>
            </w:r>
          </w:p>
        </w:tc>
      </w:tr>
      <w:tr w:rsidR="00B4334A" w:rsidRPr="006D001C" w:rsidTr="007E5758">
        <w:trPr>
          <w:trHeight w:val="544"/>
        </w:trPr>
        <w:tc>
          <w:tcPr>
            <w:tcW w:w="1006" w:type="pct"/>
            <w:tcBorders>
              <w:top w:val="nil"/>
              <w:left w:val="single" w:sz="4" w:space="0" w:color="auto"/>
              <w:bottom w:val="nil"/>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b/>
                <w:sz w:val="24"/>
                <w:szCs w:val="24"/>
                <w:lang w:val="en-GB"/>
              </w:rPr>
            </w:pPr>
            <w:r w:rsidRPr="006D001C">
              <w:rPr>
                <w:rFonts w:ascii="Times New Roman" w:hAnsi="Times New Roman" w:cs="Times New Roman"/>
                <w:b/>
                <w:sz w:val="24"/>
                <w:szCs w:val="24"/>
                <w:lang w:val="en-GB"/>
              </w:rPr>
              <w:t>2020</w:t>
            </w:r>
          </w:p>
        </w:tc>
        <w:tc>
          <w:tcPr>
            <w:tcW w:w="965" w:type="pct"/>
            <w:tcBorders>
              <w:top w:val="nil"/>
              <w:left w:val="nil"/>
              <w:bottom w:val="nil"/>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166</w:t>
            </w:r>
          </w:p>
        </w:tc>
        <w:tc>
          <w:tcPr>
            <w:tcW w:w="985" w:type="pct"/>
            <w:tcBorders>
              <w:top w:val="nil"/>
              <w:left w:val="nil"/>
              <w:bottom w:val="nil"/>
              <w:right w:val="single" w:sz="4" w:space="0" w:color="auto"/>
            </w:tcBorders>
            <w:shd w:val="clear" w:color="auto" w:fill="FFF2CC" w:themeFill="accent4" w:themeFillTint="33"/>
            <w:noWrap/>
            <w:vAlign w:val="center"/>
            <w:hideMark/>
          </w:tcPr>
          <w:p w:rsidR="00B4334A" w:rsidRPr="006D001C" w:rsidRDefault="00B4334A" w:rsidP="007E5758">
            <w:pPr>
              <w:jc w:val="both"/>
              <w:rPr>
                <w:rFonts w:ascii="Times New Roman" w:hAnsi="Times New Roman" w:cs="Times New Roman"/>
                <w:b/>
                <w:sz w:val="24"/>
                <w:szCs w:val="24"/>
                <w:lang w:val="en-GB"/>
              </w:rPr>
            </w:pPr>
            <w:r w:rsidRPr="006D001C">
              <w:rPr>
                <w:rFonts w:ascii="Times New Roman" w:hAnsi="Times New Roman" w:cs="Times New Roman"/>
                <w:b/>
                <w:sz w:val="24"/>
                <w:szCs w:val="24"/>
                <w:lang w:val="en-GB"/>
              </w:rPr>
              <w:t>15</w:t>
            </w:r>
          </w:p>
        </w:tc>
        <w:tc>
          <w:tcPr>
            <w:tcW w:w="1017" w:type="pct"/>
            <w:tcBorders>
              <w:top w:val="nil"/>
              <w:left w:val="nil"/>
              <w:bottom w:val="nil"/>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20</w:t>
            </w:r>
          </w:p>
        </w:tc>
        <w:tc>
          <w:tcPr>
            <w:tcW w:w="1027" w:type="pct"/>
            <w:tcBorders>
              <w:top w:val="nil"/>
              <w:left w:val="nil"/>
              <w:bottom w:val="nil"/>
              <w:right w:val="single" w:sz="4" w:space="0" w:color="auto"/>
            </w:tcBorders>
            <w:shd w:val="clear" w:color="auto" w:fill="auto"/>
            <w:noWrap/>
            <w:vAlign w:val="center"/>
            <w:hideMark/>
          </w:tcPr>
          <w:p w:rsidR="00B4334A" w:rsidRPr="006D001C" w:rsidRDefault="00B4334A" w:rsidP="007E5758">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201</w:t>
            </w:r>
          </w:p>
        </w:tc>
      </w:tr>
      <w:tr w:rsidR="00B4334A" w:rsidRPr="006D001C" w:rsidTr="007E5758">
        <w:trPr>
          <w:trHeight w:val="584"/>
        </w:trPr>
        <w:tc>
          <w:tcPr>
            <w:tcW w:w="1006" w:type="pct"/>
            <w:tcBorders>
              <w:top w:val="single" w:sz="8" w:space="0" w:color="auto"/>
              <w:left w:val="single" w:sz="8" w:space="0" w:color="auto"/>
              <w:bottom w:val="single" w:sz="8" w:space="0" w:color="auto"/>
              <w:right w:val="single" w:sz="4" w:space="0" w:color="auto"/>
            </w:tcBorders>
            <w:shd w:val="clear" w:color="auto" w:fill="D0CECE" w:themeFill="background2" w:themeFillShade="E6"/>
            <w:noWrap/>
            <w:vAlign w:val="center"/>
            <w:hideMark/>
          </w:tcPr>
          <w:p w:rsidR="00B4334A" w:rsidRPr="006D001C" w:rsidRDefault="00B4334A" w:rsidP="007E5758">
            <w:pPr>
              <w:jc w:val="both"/>
              <w:rPr>
                <w:rFonts w:ascii="Times New Roman" w:hAnsi="Times New Roman" w:cs="Times New Roman"/>
                <w:b/>
                <w:bCs/>
                <w:sz w:val="24"/>
                <w:szCs w:val="24"/>
                <w:lang w:val="en-GB"/>
              </w:rPr>
            </w:pPr>
            <w:r w:rsidRPr="006D001C">
              <w:rPr>
                <w:rFonts w:ascii="Times New Roman" w:hAnsi="Times New Roman" w:cs="Times New Roman"/>
                <w:b/>
                <w:bCs/>
                <w:sz w:val="24"/>
                <w:szCs w:val="24"/>
                <w:lang w:val="en-GB"/>
              </w:rPr>
              <w:t>Total</w:t>
            </w:r>
          </w:p>
        </w:tc>
        <w:tc>
          <w:tcPr>
            <w:tcW w:w="965" w:type="pct"/>
            <w:tcBorders>
              <w:top w:val="single" w:sz="8" w:space="0" w:color="auto"/>
              <w:left w:val="nil"/>
              <w:bottom w:val="single" w:sz="8" w:space="0" w:color="auto"/>
              <w:right w:val="single" w:sz="4" w:space="0" w:color="auto"/>
            </w:tcBorders>
            <w:shd w:val="clear" w:color="auto" w:fill="D0CECE" w:themeFill="background2" w:themeFillShade="E6"/>
            <w:noWrap/>
            <w:vAlign w:val="center"/>
            <w:hideMark/>
          </w:tcPr>
          <w:p w:rsidR="00B4334A" w:rsidRPr="006D001C" w:rsidRDefault="00B4334A" w:rsidP="007E5758">
            <w:pPr>
              <w:jc w:val="both"/>
              <w:rPr>
                <w:rFonts w:ascii="Times New Roman" w:hAnsi="Times New Roman" w:cs="Times New Roman"/>
                <w:b/>
                <w:bCs/>
                <w:sz w:val="24"/>
                <w:szCs w:val="24"/>
                <w:lang w:val="en-GB"/>
              </w:rPr>
            </w:pPr>
            <w:r w:rsidRPr="006D001C">
              <w:rPr>
                <w:rFonts w:ascii="Times New Roman" w:hAnsi="Times New Roman" w:cs="Times New Roman"/>
                <w:b/>
                <w:bCs/>
                <w:sz w:val="24"/>
                <w:szCs w:val="24"/>
                <w:lang w:val="en-GB"/>
              </w:rPr>
              <w:t>3 291</w:t>
            </w:r>
          </w:p>
        </w:tc>
        <w:tc>
          <w:tcPr>
            <w:tcW w:w="985" w:type="pct"/>
            <w:tcBorders>
              <w:top w:val="single" w:sz="8" w:space="0" w:color="auto"/>
              <w:left w:val="nil"/>
              <w:bottom w:val="single" w:sz="8" w:space="0" w:color="auto"/>
              <w:right w:val="single" w:sz="4" w:space="0" w:color="auto"/>
            </w:tcBorders>
            <w:shd w:val="clear" w:color="auto" w:fill="FFF2CC" w:themeFill="accent4" w:themeFillTint="33"/>
            <w:noWrap/>
            <w:vAlign w:val="center"/>
            <w:hideMark/>
          </w:tcPr>
          <w:p w:rsidR="00B4334A" w:rsidRPr="006D001C" w:rsidRDefault="00B4334A" w:rsidP="007E5758">
            <w:pPr>
              <w:jc w:val="both"/>
              <w:rPr>
                <w:rFonts w:ascii="Times New Roman" w:hAnsi="Times New Roman" w:cs="Times New Roman"/>
                <w:b/>
                <w:bCs/>
                <w:sz w:val="24"/>
                <w:szCs w:val="24"/>
                <w:lang w:val="en-GB"/>
              </w:rPr>
            </w:pPr>
            <w:r w:rsidRPr="006D001C">
              <w:rPr>
                <w:rFonts w:ascii="Times New Roman" w:hAnsi="Times New Roman" w:cs="Times New Roman"/>
                <w:b/>
                <w:bCs/>
                <w:sz w:val="24"/>
                <w:szCs w:val="24"/>
                <w:lang w:val="en-GB"/>
              </w:rPr>
              <w:t>401</w:t>
            </w:r>
          </w:p>
        </w:tc>
        <w:tc>
          <w:tcPr>
            <w:tcW w:w="1017" w:type="pct"/>
            <w:tcBorders>
              <w:top w:val="single" w:sz="8" w:space="0" w:color="auto"/>
              <w:left w:val="nil"/>
              <w:bottom w:val="single" w:sz="8" w:space="0" w:color="auto"/>
              <w:right w:val="single" w:sz="4" w:space="0" w:color="auto"/>
            </w:tcBorders>
            <w:shd w:val="clear" w:color="auto" w:fill="D0CECE" w:themeFill="background2" w:themeFillShade="E6"/>
            <w:noWrap/>
            <w:vAlign w:val="center"/>
            <w:hideMark/>
          </w:tcPr>
          <w:p w:rsidR="00B4334A" w:rsidRPr="006D001C" w:rsidRDefault="00B4334A" w:rsidP="007E5758">
            <w:pPr>
              <w:jc w:val="both"/>
              <w:rPr>
                <w:rFonts w:ascii="Times New Roman" w:hAnsi="Times New Roman" w:cs="Times New Roman"/>
                <w:b/>
                <w:bCs/>
                <w:sz w:val="24"/>
                <w:szCs w:val="24"/>
                <w:lang w:val="en-GB"/>
              </w:rPr>
            </w:pPr>
            <w:r w:rsidRPr="006D001C">
              <w:rPr>
                <w:rFonts w:ascii="Times New Roman" w:hAnsi="Times New Roman" w:cs="Times New Roman"/>
                <w:b/>
                <w:bCs/>
                <w:sz w:val="24"/>
                <w:szCs w:val="24"/>
                <w:lang w:val="en-GB"/>
              </w:rPr>
              <w:t>543</w:t>
            </w:r>
          </w:p>
        </w:tc>
        <w:tc>
          <w:tcPr>
            <w:tcW w:w="1027" w:type="pct"/>
            <w:tcBorders>
              <w:top w:val="single" w:sz="8" w:space="0" w:color="auto"/>
              <w:left w:val="nil"/>
              <w:bottom w:val="single" w:sz="8" w:space="0" w:color="auto"/>
              <w:right w:val="single" w:sz="8" w:space="0" w:color="auto"/>
            </w:tcBorders>
            <w:shd w:val="clear" w:color="auto" w:fill="D0CECE" w:themeFill="background2" w:themeFillShade="E6"/>
            <w:noWrap/>
            <w:vAlign w:val="center"/>
            <w:hideMark/>
          </w:tcPr>
          <w:p w:rsidR="00B4334A" w:rsidRPr="006D001C" w:rsidRDefault="00B4334A" w:rsidP="007E5758">
            <w:pPr>
              <w:jc w:val="both"/>
              <w:rPr>
                <w:rFonts w:ascii="Times New Roman" w:hAnsi="Times New Roman" w:cs="Times New Roman"/>
                <w:b/>
                <w:bCs/>
                <w:sz w:val="24"/>
                <w:szCs w:val="24"/>
                <w:lang w:val="en-GB"/>
              </w:rPr>
            </w:pPr>
            <w:r w:rsidRPr="006D001C">
              <w:rPr>
                <w:rFonts w:ascii="Times New Roman" w:hAnsi="Times New Roman" w:cs="Times New Roman"/>
                <w:b/>
                <w:bCs/>
                <w:sz w:val="24"/>
                <w:szCs w:val="24"/>
                <w:lang w:val="en-GB"/>
              </w:rPr>
              <w:t>4 235</w:t>
            </w:r>
          </w:p>
        </w:tc>
      </w:tr>
    </w:tbl>
    <w:p w:rsidR="00B4334A" w:rsidRPr="006D001C" w:rsidRDefault="00B4334A" w:rsidP="00B4334A">
      <w:pPr>
        <w:jc w:val="both"/>
        <w:rPr>
          <w:rFonts w:ascii="Times New Roman" w:hAnsi="Times New Roman" w:cs="Times New Roman"/>
          <w:sz w:val="24"/>
          <w:szCs w:val="24"/>
          <w:lang w:val="en-GB"/>
        </w:rPr>
      </w:pPr>
    </w:p>
    <w:p w:rsidR="00B4334A" w:rsidRPr="006D001C" w:rsidRDefault="00B4334A" w:rsidP="00B4334A">
      <w:pPr>
        <w:jc w:val="both"/>
        <w:rPr>
          <w:rFonts w:ascii="Times New Roman" w:hAnsi="Times New Roman" w:cs="Times New Roman"/>
          <w:b/>
          <w:sz w:val="24"/>
          <w:szCs w:val="24"/>
          <w:lang w:val="en-GB"/>
        </w:rPr>
      </w:pPr>
    </w:p>
    <w:p w:rsidR="00B4334A" w:rsidRPr="006D001C" w:rsidRDefault="00B4334A" w:rsidP="00B4334A">
      <w:pPr>
        <w:jc w:val="both"/>
        <w:rPr>
          <w:rFonts w:ascii="Times New Roman" w:hAnsi="Times New Roman" w:cs="Times New Roman"/>
          <w:sz w:val="24"/>
          <w:szCs w:val="24"/>
          <w:u w:val="single"/>
        </w:rPr>
      </w:pPr>
      <w:r w:rsidRPr="006D001C">
        <w:rPr>
          <w:rFonts w:ascii="Times New Roman" w:hAnsi="Times New Roman" w:cs="Times New Roman"/>
          <w:i/>
          <w:sz w:val="24"/>
          <w:szCs w:val="24"/>
          <w:lang w:val="en-GB"/>
        </w:rPr>
        <w:t>Source: NNK Department of Disease and Infection Control, Unit of Epidemiological and vaccination surveillance.</w:t>
      </w:r>
      <w:r w:rsidRPr="006D001C">
        <w:rPr>
          <w:rFonts w:ascii="Times New Roman" w:hAnsi="Times New Roman" w:cs="Times New Roman"/>
          <w:b/>
          <w:iCs/>
          <w:sz w:val="24"/>
          <w:szCs w:val="24"/>
          <w:lang w:val="en-GB"/>
        </w:rPr>
        <w:t xml:space="preserve"> </w:t>
      </w:r>
      <w:hyperlink r:id="rId10" w:history="1">
        <w:r w:rsidRPr="006D001C">
          <w:rPr>
            <w:rStyle w:val="Hiperhivatkozs"/>
            <w:rFonts w:ascii="Times New Roman" w:hAnsi="Times New Roman" w:cs="Times New Roman"/>
            <w:sz w:val="24"/>
            <w:szCs w:val="24"/>
          </w:rPr>
          <w:t>https://www.antsz.hu/felso_menu/temaink/jarvany/hivaids/HIV_adatok/HIV_2020_eves</w:t>
        </w:r>
      </w:hyperlink>
    </w:p>
    <w:p w:rsidR="00B4334A" w:rsidRDefault="00B4334A" w:rsidP="00B4334A">
      <w:pPr>
        <w:jc w:val="both"/>
        <w:rPr>
          <w:rFonts w:ascii="Times New Roman" w:hAnsi="Times New Roman" w:cs="Times New Roman"/>
          <w:bCs/>
          <w:sz w:val="24"/>
          <w:szCs w:val="24"/>
        </w:rPr>
      </w:pPr>
    </w:p>
    <w:p w:rsidR="001B4A51" w:rsidRPr="006D001C" w:rsidRDefault="001B4A51" w:rsidP="00B4334A">
      <w:pPr>
        <w:jc w:val="both"/>
        <w:rPr>
          <w:rFonts w:ascii="Times New Roman" w:hAnsi="Times New Roman" w:cs="Times New Roman"/>
          <w:bCs/>
          <w:sz w:val="24"/>
          <w:szCs w:val="24"/>
        </w:rPr>
      </w:pPr>
      <w:bookmarkStart w:id="2" w:name="_GoBack"/>
      <w:bookmarkEnd w:id="2"/>
    </w:p>
    <w:p w:rsidR="009A2342" w:rsidRPr="006D001C" w:rsidRDefault="009A2342" w:rsidP="009A2342">
      <w:pPr>
        <w:spacing w:line="276" w:lineRule="auto"/>
        <w:jc w:val="both"/>
        <w:rPr>
          <w:rFonts w:ascii="Times New Roman" w:hAnsi="Times New Roman" w:cs="Times New Roman"/>
          <w:b/>
          <w:bCs/>
          <w:iCs/>
          <w:color w:val="3B3838" w:themeColor="background2" w:themeShade="40"/>
          <w:sz w:val="24"/>
          <w:szCs w:val="24"/>
          <w:u w:val="single"/>
          <w:lang w:val="en-GB"/>
        </w:rPr>
      </w:pPr>
      <w:r w:rsidRPr="006D001C">
        <w:rPr>
          <w:rFonts w:ascii="Times New Roman" w:hAnsi="Times New Roman" w:cs="Times New Roman"/>
          <w:b/>
          <w:bCs/>
          <w:iCs/>
          <w:color w:val="3B3838" w:themeColor="background2" w:themeShade="40"/>
          <w:sz w:val="24"/>
          <w:szCs w:val="24"/>
          <w:u w:val="single"/>
          <w:lang w:val="en-GB"/>
        </w:rPr>
        <w:lastRenderedPageBreak/>
        <w:t>Participation rate in the ‘Bring the screening closer to people’ program</w:t>
      </w:r>
    </w:p>
    <w:p w:rsidR="009A2342" w:rsidRPr="006D001C" w:rsidRDefault="009A2342" w:rsidP="009A2342">
      <w:pPr>
        <w:spacing w:line="276" w:lineRule="auto"/>
        <w:jc w:val="both"/>
        <w:rPr>
          <w:rFonts w:ascii="Times New Roman" w:hAnsi="Times New Roman" w:cs="Times New Roman"/>
          <w:bCs/>
          <w:iCs/>
          <w:sz w:val="24"/>
          <w:szCs w:val="24"/>
          <w:lang w:val="en-GB"/>
        </w:rPr>
      </w:pPr>
      <w:r w:rsidRPr="006D001C">
        <w:rPr>
          <w:rFonts w:ascii="Times New Roman" w:hAnsi="Times New Roman" w:cs="Times New Roman"/>
          <w:bCs/>
          <w:iCs/>
          <w:sz w:val="24"/>
          <w:szCs w:val="24"/>
          <w:lang w:val="en-GB"/>
        </w:rPr>
        <w:t xml:space="preserve">In 2019, 2,329 people from 31 ‘catching-up settlements’ and 609 people from 9 towns ‘in economic recovery’ took part in this program. In addition to this, in the framework of other programs initiated the Government Offices, Health Development Offices or foundations for health development activities, altogether 7,705 people </w:t>
      </w:r>
      <w:proofErr w:type="gramStart"/>
      <w:r w:rsidRPr="006D001C">
        <w:rPr>
          <w:rFonts w:ascii="Times New Roman" w:hAnsi="Times New Roman" w:cs="Times New Roman"/>
          <w:bCs/>
          <w:iCs/>
          <w:sz w:val="24"/>
          <w:szCs w:val="24"/>
          <w:lang w:val="en-GB"/>
        </w:rPr>
        <w:t>were examined</w:t>
      </w:r>
      <w:proofErr w:type="gramEnd"/>
      <w:r w:rsidRPr="006D001C">
        <w:rPr>
          <w:rFonts w:ascii="Times New Roman" w:hAnsi="Times New Roman" w:cs="Times New Roman"/>
          <w:bCs/>
          <w:iCs/>
          <w:sz w:val="24"/>
          <w:szCs w:val="24"/>
          <w:lang w:val="en-GB"/>
        </w:rPr>
        <w:t xml:space="preserve"> in 88 locations.</w:t>
      </w:r>
    </w:p>
    <w:p w:rsidR="009A2342" w:rsidRPr="006D001C" w:rsidRDefault="009A2342" w:rsidP="009A2342">
      <w:pPr>
        <w:spacing w:line="276" w:lineRule="auto"/>
        <w:jc w:val="both"/>
        <w:rPr>
          <w:rFonts w:ascii="Times New Roman" w:hAnsi="Times New Roman" w:cs="Times New Roman"/>
          <w:bCs/>
          <w:iCs/>
          <w:sz w:val="24"/>
          <w:szCs w:val="24"/>
          <w:lang w:val="en-GB"/>
        </w:rPr>
      </w:pPr>
      <w:r w:rsidRPr="006D001C">
        <w:rPr>
          <w:rFonts w:ascii="Times New Roman" w:hAnsi="Times New Roman" w:cs="Times New Roman"/>
          <w:bCs/>
          <w:iCs/>
          <w:sz w:val="24"/>
          <w:szCs w:val="24"/>
          <w:lang w:val="en-GB"/>
        </w:rPr>
        <w:t>In 2020, 2,740 people from 35 ‘catching-up settlements’ and 261 people from 2 towns ‘in economic recovery’ took part in this program. In addition to this, in the framework of other programs (see above), altogether 2,079 people were examined in 29 locations.</w:t>
      </w:r>
    </w:p>
    <w:p w:rsidR="009A2342" w:rsidRPr="006D001C" w:rsidRDefault="009A2342" w:rsidP="00B4334A">
      <w:pPr>
        <w:jc w:val="both"/>
        <w:rPr>
          <w:rFonts w:ascii="Times New Roman" w:hAnsi="Times New Roman" w:cs="Times New Roman"/>
          <w:bCs/>
          <w:sz w:val="24"/>
          <w:szCs w:val="24"/>
          <w:lang w:val="en-GB"/>
        </w:rPr>
      </w:pPr>
    </w:p>
    <w:p w:rsidR="00B4334A" w:rsidRPr="006D001C" w:rsidRDefault="004B4D6A" w:rsidP="00D96E07">
      <w:pPr>
        <w:jc w:val="both"/>
        <w:rPr>
          <w:rFonts w:ascii="Times New Roman" w:hAnsi="Times New Roman" w:cs="Times New Roman"/>
          <w:b/>
          <w:bCs/>
          <w:iCs/>
          <w:color w:val="3B3838" w:themeColor="background2" w:themeShade="40"/>
          <w:sz w:val="24"/>
          <w:szCs w:val="24"/>
          <w:u w:val="single"/>
        </w:rPr>
      </w:pPr>
      <w:r w:rsidRPr="006D001C">
        <w:rPr>
          <w:rFonts w:ascii="Times New Roman" w:hAnsi="Times New Roman" w:cs="Times New Roman"/>
          <w:b/>
          <w:bCs/>
          <w:iCs/>
          <w:color w:val="3B3838" w:themeColor="background2" w:themeShade="40"/>
          <w:sz w:val="24"/>
          <w:szCs w:val="24"/>
          <w:u w:val="single"/>
        </w:rPr>
        <w:t xml:space="preserve">The </w:t>
      </w:r>
      <w:proofErr w:type="spellStart"/>
      <w:r w:rsidRPr="006D001C">
        <w:rPr>
          <w:rFonts w:ascii="Times New Roman" w:hAnsi="Times New Roman" w:cs="Times New Roman"/>
          <w:b/>
          <w:bCs/>
          <w:iCs/>
          <w:color w:val="3B3838" w:themeColor="background2" w:themeShade="40"/>
          <w:sz w:val="24"/>
          <w:szCs w:val="24"/>
          <w:u w:val="single"/>
        </w:rPr>
        <w:t>elements</w:t>
      </w:r>
      <w:proofErr w:type="spellEnd"/>
      <w:r w:rsidRPr="006D001C">
        <w:rPr>
          <w:rFonts w:ascii="Times New Roman" w:hAnsi="Times New Roman" w:cs="Times New Roman"/>
          <w:b/>
          <w:bCs/>
          <w:iCs/>
          <w:color w:val="3B3838" w:themeColor="background2" w:themeShade="40"/>
          <w:sz w:val="24"/>
          <w:szCs w:val="24"/>
          <w:u w:val="single"/>
        </w:rPr>
        <w:t xml:space="preserve"> of </w:t>
      </w:r>
      <w:proofErr w:type="spellStart"/>
      <w:r w:rsidRPr="006D001C">
        <w:rPr>
          <w:rFonts w:ascii="Times New Roman" w:hAnsi="Times New Roman" w:cs="Times New Roman"/>
          <w:b/>
          <w:bCs/>
          <w:iCs/>
          <w:color w:val="3B3838" w:themeColor="background2" w:themeShade="40"/>
          <w:sz w:val="24"/>
          <w:szCs w:val="24"/>
          <w:u w:val="single"/>
        </w:rPr>
        <w:t>the</w:t>
      </w:r>
      <w:proofErr w:type="spellEnd"/>
      <w:r w:rsidRPr="006D001C">
        <w:rPr>
          <w:rFonts w:ascii="Times New Roman" w:hAnsi="Times New Roman" w:cs="Times New Roman"/>
          <w:b/>
          <w:bCs/>
          <w:iCs/>
          <w:color w:val="3B3838" w:themeColor="background2" w:themeShade="40"/>
          <w:sz w:val="24"/>
          <w:szCs w:val="24"/>
          <w:u w:val="single"/>
        </w:rPr>
        <w:t xml:space="preserve"> </w:t>
      </w:r>
      <w:r w:rsidRPr="006D001C">
        <w:rPr>
          <w:rFonts w:ascii="Times New Roman" w:hAnsi="Times New Roman" w:cs="Times New Roman"/>
          <w:b/>
          <w:bCs/>
          <w:iCs/>
          <w:color w:val="3B3838" w:themeColor="background2" w:themeShade="40"/>
          <w:sz w:val="24"/>
          <w:szCs w:val="24"/>
          <w:u w:val="single"/>
          <w:lang w:val="en-GB"/>
        </w:rPr>
        <w:t>complex prevention program in schools, launched in 2020</w:t>
      </w:r>
    </w:p>
    <w:p w:rsidR="00D96E07" w:rsidRPr="006D001C" w:rsidRDefault="00D96E07" w:rsidP="00D96E07">
      <w:pPr>
        <w:numPr>
          <w:ilvl w:val="0"/>
          <w:numId w:val="1"/>
        </w:numPr>
        <w:jc w:val="both"/>
        <w:rPr>
          <w:rFonts w:ascii="Times New Roman" w:hAnsi="Times New Roman" w:cs="Times New Roman"/>
          <w:bCs/>
          <w:i/>
          <w:iCs/>
          <w:sz w:val="24"/>
          <w:szCs w:val="24"/>
          <w:lang w:val="en-GB"/>
        </w:rPr>
      </w:pPr>
      <w:r w:rsidRPr="006D001C">
        <w:rPr>
          <w:rFonts w:ascii="Times New Roman" w:hAnsi="Times New Roman" w:cs="Times New Roman"/>
          <w:bCs/>
          <w:i/>
          <w:iCs/>
          <w:sz w:val="24"/>
          <w:szCs w:val="24"/>
          <w:lang w:val="en-GB"/>
        </w:rPr>
        <w:t>sub-program: Mental Hygiene Basic Training for Teachers</w:t>
      </w:r>
    </w:p>
    <w:p w:rsidR="00D96E07" w:rsidRPr="006D001C" w:rsidRDefault="00D96E07" w:rsidP="00D96E07">
      <w:pPr>
        <w:jc w:val="both"/>
        <w:rPr>
          <w:rFonts w:ascii="Times New Roman" w:hAnsi="Times New Roman" w:cs="Times New Roman"/>
          <w:bCs/>
          <w:iCs/>
          <w:sz w:val="24"/>
          <w:szCs w:val="24"/>
          <w:lang w:val="en-GB"/>
        </w:rPr>
      </w:pPr>
      <w:r w:rsidRPr="006D001C">
        <w:rPr>
          <w:rFonts w:ascii="Times New Roman" w:hAnsi="Times New Roman" w:cs="Times New Roman"/>
          <w:bCs/>
          <w:iCs/>
          <w:sz w:val="24"/>
          <w:szCs w:val="24"/>
          <w:lang w:val="en-GB"/>
        </w:rPr>
        <w:t>The first sub-program consists of a 30 hours accredited teacher training called ‘Mental Hygiene Basic Training for Teachers’, set up</w:t>
      </w:r>
      <w:r w:rsidRPr="006D001C">
        <w:rPr>
          <w:rFonts w:ascii="Times New Roman" w:hAnsi="Times New Roman" w:cs="Times New Roman"/>
          <w:bCs/>
          <w:i/>
          <w:iCs/>
          <w:sz w:val="24"/>
          <w:szCs w:val="24"/>
          <w:lang w:val="en-GB"/>
        </w:rPr>
        <w:t xml:space="preserve"> </w:t>
      </w:r>
      <w:r w:rsidRPr="006D001C">
        <w:rPr>
          <w:rFonts w:ascii="Times New Roman" w:hAnsi="Times New Roman" w:cs="Times New Roman"/>
          <w:bCs/>
          <w:iCs/>
          <w:sz w:val="24"/>
          <w:szCs w:val="24"/>
          <w:lang w:val="en-GB"/>
        </w:rPr>
        <w:t>by the Educational Authority. The purpose of the training is to strengthen teachers’ understanding of mental hygiene, thereby improving their personal and professional skills and abilities of conflict management.</w:t>
      </w:r>
    </w:p>
    <w:p w:rsidR="00D96E07" w:rsidRPr="006D001C" w:rsidRDefault="00D96E07" w:rsidP="00D96E07">
      <w:pPr>
        <w:numPr>
          <w:ilvl w:val="0"/>
          <w:numId w:val="1"/>
        </w:numPr>
        <w:jc w:val="both"/>
        <w:rPr>
          <w:rFonts w:ascii="Times New Roman" w:hAnsi="Times New Roman" w:cs="Times New Roman"/>
          <w:bCs/>
          <w:i/>
          <w:iCs/>
          <w:sz w:val="24"/>
          <w:szCs w:val="24"/>
          <w:lang w:val="en-GB"/>
        </w:rPr>
      </w:pPr>
      <w:r w:rsidRPr="006D001C">
        <w:rPr>
          <w:rFonts w:ascii="Times New Roman" w:hAnsi="Times New Roman" w:cs="Times New Roman"/>
          <w:bCs/>
          <w:i/>
          <w:iCs/>
          <w:sz w:val="24"/>
          <w:szCs w:val="24"/>
          <w:lang w:val="en-GB"/>
        </w:rPr>
        <w:t>sub-program: ‘You have someone to turn to” pilot program</w:t>
      </w:r>
    </w:p>
    <w:p w:rsidR="00D96E07" w:rsidRPr="006D001C" w:rsidRDefault="00D96E07" w:rsidP="00D96E07">
      <w:pPr>
        <w:jc w:val="both"/>
        <w:rPr>
          <w:rFonts w:ascii="Times New Roman" w:hAnsi="Times New Roman" w:cs="Times New Roman"/>
          <w:bCs/>
          <w:iCs/>
          <w:sz w:val="24"/>
          <w:szCs w:val="24"/>
          <w:lang w:val="en-GB"/>
        </w:rPr>
      </w:pPr>
      <w:r w:rsidRPr="006D001C">
        <w:rPr>
          <w:rFonts w:ascii="Times New Roman" w:hAnsi="Times New Roman" w:cs="Times New Roman"/>
          <w:bCs/>
          <w:iCs/>
          <w:sz w:val="24"/>
          <w:szCs w:val="24"/>
          <w:lang w:val="en-GB"/>
        </w:rPr>
        <w:t xml:space="preserve">Teachers may find themselves in a situation where they do not feel competent, or sufficiently prepared to solve a pedagogical situation related to problematic behaviours, intra-school conflicts or a violent manifestation (bullying). Setting up a professional group of psychologists, mental health professionals, medical practitioners (24 persons) can help institutions to manage these situations during the pilot program, which provides methodological support for the proper management of difficult pedagogical and behavioural situations based on a standardized protocol. </w:t>
      </w:r>
      <w:proofErr w:type="gramStart"/>
      <w:r w:rsidRPr="006D001C">
        <w:rPr>
          <w:rFonts w:ascii="Times New Roman" w:hAnsi="Times New Roman" w:cs="Times New Roman"/>
          <w:bCs/>
          <w:iCs/>
          <w:sz w:val="24"/>
          <w:szCs w:val="24"/>
          <w:lang w:val="en-GB"/>
        </w:rPr>
        <w:t>The work of the professional group, coordination of requests of teachers and direction of teachers to the appropriate specialist is assisted by three supervisors</w:t>
      </w:r>
      <w:proofErr w:type="gramEnd"/>
      <w:r w:rsidRPr="006D001C">
        <w:rPr>
          <w:rFonts w:ascii="Times New Roman" w:hAnsi="Times New Roman" w:cs="Times New Roman"/>
          <w:bCs/>
          <w:iCs/>
          <w:sz w:val="24"/>
          <w:szCs w:val="24"/>
          <w:lang w:val="en-GB"/>
        </w:rPr>
        <w:t xml:space="preserve">. </w:t>
      </w:r>
    </w:p>
    <w:p w:rsidR="00D96E07" w:rsidRPr="006D001C" w:rsidRDefault="00D96E07" w:rsidP="00D96E07">
      <w:pPr>
        <w:numPr>
          <w:ilvl w:val="0"/>
          <w:numId w:val="1"/>
        </w:numPr>
        <w:jc w:val="both"/>
        <w:rPr>
          <w:rFonts w:ascii="Times New Roman" w:hAnsi="Times New Roman" w:cs="Times New Roman"/>
          <w:bCs/>
          <w:i/>
          <w:iCs/>
          <w:sz w:val="24"/>
          <w:szCs w:val="24"/>
          <w:lang w:val="en-GB"/>
        </w:rPr>
      </w:pPr>
      <w:r w:rsidRPr="006D001C">
        <w:rPr>
          <w:rFonts w:ascii="Times New Roman" w:hAnsi="Times New Roman" w:cs="Times New Roman"/>
          <w:bCs/>
          <w:i/>
          <w:iCs/>
          <w:sz w:val="24"/>
          <w:szCs w:val="24"/>
          <w:lang w:val="en-GB"/>
        </w:rPr>
        <w:t>sub-program: Support for Full School Health Development through the implementation of preventive programs</w:t>
      </w:r>
    </w:p>
    <w:p w:rsidR="00D96E07" w:rsidRPr="006D001C" w:rsidRDefault="00D96E07" w:rsidP="00D96E07">
      <w:pPr>
        <w:jc w:val="both"/>
        <w:rPr>
          <w:rFonts w:ascii="Times New Roman" w:hAnsi="Times New Roman" w:cs="Times New Roman"/>
          <w:bCs/>
          <w:iCs/>
          <w:sz w:val="24"/>
          <w:szCs w:val="24"/>
          <w:lang w:val="en-GB"/>
        </w:rPr>
      </w:pPr>
      <w:r w:rsidRPr="006D001C">
        <w:rPr>
          <w:rFonts w:ascii="Times New Roman" w:hAnsi="Times New Roman" w:cs="Times New Roman"/>
          <w:bCs/>
          <w:iCs/>
          <w:sz w:val="24"/>
          <w:szCs w:val="24"/>
          <w:lang w:val="en-GB"/>
        </w:rPr>
        <w:t>Sub-program 3 directly targets children who require special attention.</w:t>
      </w:r>
      <w:r w:rsidRPr="006D001C">
        <w:rPr>
          <w:rFonts w:ascii="Times New Roman" w:hAnsi="Times New Roman" w:cs="Times New Roman"/>
          <w:bCs/>
          <w:iCs/>
          <w:sz w:val="24"/>
          <w:szCs w:val="24"/>
          <w:vertAlign w:val="superscript"/>
          <w:lang w:val="en-GB"/>
        </w:rPr>
        <w:footnoteReference w:id="1"/>
      </w:r>
      <w:r w:rsidRPr="006D001C">
        <w:rPr>
          <w:rFonts w:ascii="Times New Roman" w:hAnsi="Times New Roman" w:cs="Times New Roman"/>
          <w:bCs/>
          <w:iCs/>
          <w:sz w:val="24"/>
          <w:szCs w:val="24"/>
          <w:lang w:val="en-GB"/>
        </w:rPr>
        <w:t xml:space="preserve"> The purpose of the program is assist full health development, including the developmen</w:t>
      </w:r>
      <w:r w:rsidR="00FE308D" w:rsidRPr="006D001C">
        <w:rPr>
          <w:rFonts w:ascii="Times New Roman" w:hAnsi="Times New Roman" w:cs="Times New Roman"/>
          <w:bCs/>
          <w:iCs/>
          <w:sz w:val="24"/>
          <w:szCs w:val="24"/>
          <w:lang w:val="en-GB"/>
        </w:rPr>
        <w:t>t of physical and mental health. In line with this, v</w:t>
      </w:r>
      <w:r w:rsidRPr="006D001C">
        <w:rPr>
          <w:rFonts w:ascii="Times New Roman" w:hAnsi="Times New Roman" w:cs="Times New Roman"/>
          <w:bCs/>
          <w:iCs/>
          <w:sz w:val="24"/>
          <w:szCs w:val="24"/>
          <w:lang w:val="en-GB"/>
        </w:rPr>
        <w:t xml:space="preserve">arious health promotion, prevention programs (e.g. drug prevention, sexual education, </w:t>
      </w:r>
      <w:r w:rsidRPr="006D001C">
        <w:rPr>
          <w:rFonts w:ascii="Times New Roman" w:hAnsi="Times New Roman" w:cs="Times New Roman"/>
          <w:bCs/>
          <w:iCs/>
          <w:sz w:val="24"/>
          <w:szCs w:val="24"/>
          <w:lang w:val="en-GB"/>
        </w:rPr>
        <w:lastRenderedPageBreak/>
        <w:t xml:space="preserve">prevention of addictions, etc.) </w:t>
      </w:r>
      <w:proofErr w:type="gramStart"/>
      <w:r w:rsidRPr="006D001C">
        <w:rPr>
          <w:rFonts w:ascii="Times New Roman" w:hAnsi="Times New Roman" w:cs="Times New Roman"/>
          <w:bCs/>
          <w:iCs/>
          <w:sz w:val="24"/>
          <w:szCs w:val="24"/>
          <w:lang w:val="en-GB"/>
        </w:rPr>
        <w:t>are implemented</w:t>
      </w:r>
      <w:proofErr w:type="gramEnd"/>
      <w:r w:rsidRPr="006D001C">
        <w:rPr>
          <w:rFonts w:ascii="Times New Roman" w:hAnsi="Times New Roman" w:cs="Times New Roman"/>
          <w:bCs/>
          <w:iCs/>
          <w:sz w:val="24"/>
          <w:szCs w:val="24"/>
          <w:lang w:val="en-GB"/>
        </w:rPr>
        <w:t xml:space="preserve"> in institutions (general school, high school, vocational education, vocational education, vocational school, skill development school, educational and educational institution, co</w:t>
      </w:r>
      <w:r w:rsidR="00FE308D" w:rsidRPr="006D001C">
        <w:rPr>
          <w:rFonts w:ascii="Times New Roman" w:hAnsi="Times New Roman" w:cs="Times New Roman"/>
          <w:bCs/>
          <w:iCs/>
          <w:sz w:val="24"/>
          <w:szCs w:val="24"/>
          <w:lang w:val="en-GB"/>
        </w:rPr>
        <w:t xml:space="preserve">llege), taking into account </w:t>
      </w:r>
      <w:r w:rsidRPr="006D001C">
        <w:rPr>
          <w:rFonts w:ascii="Times New Roman" w:hAnsi="Times New Roman" w:cs="Times New Roman"/>
          <w:bCs/>
          <w:iCs/>
          <w:sz w:val="24"/>
          <w:szCs w:val="24"/>
          <w:lang w:val="en-GB"/>
        </w:rPr>
        <w:t>local needs.</w:t>
      </w:r>
    </w:p>
    <w:p w:rsidR="00D96E07" w:rsidRPr="006D001C" w:rsidRDefault="00D96E07" w:rsidP="00D96E07">
      <w:pPr>
        <w:numPr>
          <w:ilvl w:val="0"/>
          <w:numId w:val="1"/>
        </w:numPr>
        <w:jc w:val="both"/>
        <w:rPr>
          <w:rFonts w:ascii="Times New Roman" w:hAnsi="Times New Roman" w:cs="Times New Roman"/>
          <w:bCs/>
          <w:i/>
          <w:iCs/>
          <w:sz w:val="24"/>
          <w:szCs w:val="24"/>
          <w:lang w:val="en-GB"/>
        </w:rPr>
      </w:pPr>
      <w:r w:rsidRPr="006D001C">
        <w:rPr>
          <w:rFonts w:ascii="Times New Roman" w:hAnsi="Times New Roman" w:cs="Times New Roman"/>
          <w:bCs/>
          <w:i/>
          <w:iCs/>
          <w:sz w:val="24"/>
          <w:szCs w:val="24"/>
          <w:lang w:val="en-GB"/>
        </w:rPr>
        <w:t>sub-program: Exercise programs</w:t>
      </w:r>
    </w:p>
    <w:p w:rsidR="00DE017F" w:rsidRPr="006D001C" w:rsidRDefault="00D96E07" w:rsidP="00D96E07">
      <w:pPr>
        <w:jc w:val="both"/>
        <w:rPr>
          <w:rFonts w:ascii="Times New Roman" w:hAnsi="Times New Roman" w:cs="Times New Roman"/>
          <w:bCs/>
          <w:iCs/>
          <w:sz w:val="24"/>
          <w:szCs w:val="24"/>
          <w:lang w:val="en-GB"/>
        </w:rPr>
      </w:pPr>
      <w:r w:rsidRPr="006D001C">
        <w:rPr>
          <w:rFonts w:ascii="Times New Roman" w:hAnsi="Times New Roman" w:cs="Times New Roman"/>
          <w:bCs/>
          <w:iCs/>
          <w:sz w:val="24"/>
          <w:szCs w:val="24"/>
          <w:lang w:val="en-GB"/>
        </w:rPr>
        <w:t>The objective of the program</w:t>
      </w:r>
      <w:r w:rsidR="00FE308D" w:rsidRPr="006D001C">
        <w:rPr>
          <w:rFonts w:ascii="Times New Roman" w:hAnsi="Times New Roman" w:cs="Times New Roman"/>
          <w:bCs/>
          <w:iCs/>
          <w:sz w:val="24"/>
          <w:szCs w:val="24"/>
          <w:lang w:val="en-GB"/>
        </w:rPr>
        <w:t xml:space="preserve">, supported by the Hungarian School Sport Federation, </w:t>
      </w:r>
      <w:r w:rsidRPr="006D001C">
        <w:rPr>
          <w:rFonts w:ascii="Times New Roman" w:hAnsi="Times New Roman" w:cs="Times New Roman"/>
          <w:bCs/>
          <w:iCs/>
          <w:sz w:val="24"/>
          <w:szCs w:val="24"/>
          <w:lang w:val="en-GB"/>
        </w:rPr>
        <w:t>is to organize exercise based school sport festivals, events which take place not only in schools, but typically outside of school (e.g. public spaces, community environment, – parks, playgrounds – sport facilities, venues of commercial units, or in the nature, green spaces close to institutions).</w:t>
      </w:r>
    </w:p>
    <w:p w:rsidR="004B4D6A" w:rsidRPr="006D001C" w:rsidRDefault="004B4D6A" w:rsidP="00D96E07">
      <w:pPr>
        <w:jc w:val="both"/>
        <w:rPr>
          <w:rFonts w:ascii="Times New Roman" w:hAnsi="Times New Roman" w:cs="Times New Roman"/>
          <w:bCs/>
          <w:iCs/>
          <w:sz w:val="24"/>
          <w:szCs w:val="24"/>
          <w:lang w:val="en-GB"/>
        </w:rPr>
      </w:pPr>
    </w:p>
    <w:p w:rsidR="004B4D6A" w:rsidRPr="006D001C" w:rsidRDefault="004B4D6A" w:rsidP="004B4D6A">
      <w:pPr>
        <w:pStyle w:val="Listaszerbekezds"/>
        <w:spacing w:line="276" w:lineRule="auto"/>
        <w:ind w:left="0"/>
        <w:jc w:val="both"/>
        <w:rPr>
          <w:rFonts w:ascii="Times New Roman" w:hAnsi="Times New Roman" w:cs="Times New Roman"/>
          <w:b/>
          <w:bCs/>
          <w:iCs/>
          <w:sz w:val="24"/>
          <w:szCs w:val="24"/>
          <w:u w:val="single"/>
          <w:lang w:val="en-GB"/>
        </w:rPr>
      </w:pPr>
      <w:r w:rsidRPr="006D001C">
        <w:rPr>
          <w:rFonts w:ascii="Times New Roman" w:hAnsi="Times New Roman" w:cs="Times New Roman"/>
          <w:b/>
          <w:bCs/>
          <w:iCs/>
          <w:color w:val="3B3838" w:themeColor="background2" w:themeShade="40"/>
          <w:sz w:val="24"/>
          <w:szCs w:val="24"/>
          <w:u w:val="single"/>
          <w:lang w:val="en-GB"/>
        </w:rPr>
        <w:t>Measures to reduce drug-use in segregated areas</w:t>
      </w:r>
      <w:r w:rsidRPr="006D001C">
        <w:rPr>
          <w:rFonts w:ascii="Times New Roman" w:hAnsi="Times New Roman" w:cs="Times New Roman"/>
          <w:b/>
          <w:bCs/>
          <w:iCs/>
          <w:sz w:val="24"/>
          <w:szCs w:val="24"/>
          <w:u w:val="single"/>
          <w:lang w:val="en-GB"/>
        </w:rPr>
        <w:t xml:space="preserve"> </w:t>
      </w:r>
    </w:p>
    <w:p w:rsidR="004B4D6A" w:rsidRPr="006D001C" w:rsidRDefault="004B4D6A" w:rsidP="004B4D6A">
      <w:pPr>
        <w:jc w:val="both"/>
        <w:rPr>
          <w:rFonts w:ascii="Times New Roman" w:hAnsi="Times New Roman" w:cs="Times New Roman"/>
          <w:sz w:val="24"/>
          <w:szCs w:val="24"/>
          <w:lang w:val="en-GB"/>
        </w:rPr>
      </w:pPr>
      <w:r w:rsidRPr="006D001C">
        <w:rPr>
          <w:rFonts w:ascii="Times New Roman" w:hAnsi="Times New Roman" w:cs="Times New Roman"/>
          <w:bCs/>
          <w:iCs/>
          <w:sz w:val="24"/>
          <w:szCs w:val="24"/>
          <w:lang w:val="en-GB"/>
        </w:rPr>
        <w:t>The Ministry of Human Capacities</w:t>
      </w:r>
      <w:r w:rsidRPr="006D001C">
        <w:rPr>
          <w:rFonts w:ascii="Times New Roman" w:hAnsi="Times New Roman" w:cs="Times New Roman"/>
          <w:sz w:val="24"/>
          <w:szCs w:val="24"/>
          <w:lang w:val="en-GB"/>
        </w:rPr>
        <w:t xml:space="preserve"> launched research under the leadership of the Hungarian Association on Addictions, and set up a dedicated working to put forward policy responses.</w:t>
      </w:r>
    </w:p>
    <w:p w:rsidR="004B4D6A" w:rsidRPr="006D001C" w:rsidRDefault="004B4D6A" w:rsidP="004B4D6A">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 xml:space="preserve">Based on the concept prepared by this working group, a complex program </w:t>
      </w:r>
      <w:proofErr w:type="gramStart"/>
      <w:r w:rsidRPr="006D001C">
        <w:rPr>
          <w:rFonts w:ascii="Times New Roman" w:hAnsi="Times New Roman" w:cs="Times New Roman"/>
          <w:sz w:val="24"/>
          <w:szCs w:val="24"/>
          <w:lang w:val="en-GB"/>
        </w:rPr>
        <w:t>was launched</w:t>
      </w:r>
      <w:proofErr w:type="gramEnd"/>
      <w:r w:rsidRPr="006D001C">
        <w:rPr>
          <w:rFonts w:ascii="Times New Roman" w:hAnsi="Times New Roman" w:cs="Times New Roman"/>
          <w:sz w:val="24"/>
          <w:szCs w:val="24"/>
          <w:lang w:val="en-GB"/>
        </w:rPr>
        <w:t xml:space="preserve"> in 2020, in which 10-12 addiction consultants were trained about the special characteristics and problems of disadvantaged settlements and of people living in deep poverty. After the preparation, a training program </w:t>
      </w:r>
      <w:proofErr w:type="gramStart"/>
      <w:r w:rsidRPr="006D001C">
        <w:rPr>
          <w:rFonts w:ascii="Times New Roman" w:hAnsi="Times New Roman" w:cs="Times New Roman"/>
          <w:sz w:val="24"/>
          <w:szCs w:val="24"/>
          <w:lang w:val="en-GB"/>
        </w:rPr>
        <w:t>was delivered</w:t>
      </w:r>
      <w:proofErr w:type="gramEnd"/>
      <w:r w:rsidRPr="006D001C">
        <w:rPr>
          <w:rFonts w:ascii="Times New Roman" w:hAnsi="Times New Roman" w:cs="Times New Roman"/>
          <w:sz w:val="24"/>
          <w:szCs w:val="24"/>
          <w:lang w:val="en-GB"/>
        </w:rPr>
        <w:t xml:space="preserve"> to social workers working in 31 settlements to deepen their understanding about addictions. The </w:t>
      </w:r>
      <w:proofErr w:type="gramStart"/>
      <w:r w:rsidRPr="006D001C">
        <w:rPr>
          <w:rFonts w:ascii="Times New Roman" w:hAnsi="Times New Roman" w:cs="Times New Roman"/>
          <w:sz w:val="24"/>
          <w:szCs w:val="24"/>
          <w:lang w:val="en-GB"/>
        </w:rPr>
        <w:t>training was delivered by the National Association of Addiction Consultants</w:t>
      </w:r>
      <w:proofErr w:type="gramEnd"/>
      <w:r w:rsidRPr="006D001C">
        <w:rPr>
          <w:rFonts w:ascii="Times New Roman" w:hAnsi="Times New Roman" w:cs="Times New Roman"/>
          <w:sz w:val="24"/>
          <w:szCs w:val="24"/>
          <w:lang w:val="en-GB"/>
        </w:rPr>
        <w:t xml:space="preserve"> to 62-65 persons in 3-4 venues. In addition, in 27 settlements, the addiction consultants provided practical assistance to social workers. In four settlements with significant addiction problems, addiction consultants provided personal consultation concerned people and their relatives every 2-3 weeks. At the end of this pilot program, a practical guide </w:t>
      </w:r>
      <w:proofErr w:type="gramStart"/>
      <w:r w:rsidRPr="006D001C">
        <w:rPr>
          <w:rFonts w:ascii="Times New Roman" w:hAnsi="Times New Roman" w:cs="Times New Roman"/>
          <w:sz w:val="24"/>
          <w:szCs w:val="24"/>
          <w:lang w:val="en-GB"/>
        </w:rPr>
        <w:t>was issued</w:t>
      </w:r>
      <w:proofErr w:type="gramEnd"/>
      <w:r w:rsidRPr="006D001C">
        <w:rPr>
          <w:rFonts w:ascii="Times New Roman" w:hAnsi="Times New Roman" w:cs="Times New Roman"/>
          <w:sz w:val="24"/>
          <w:szCs w:val="24"/>
          <w:lang w:val="en-GB"/>
        </w:rPr>
        <w:t>, compiling the most important experiences, practical solutions and methods of intervention.</w:t>
      </w:r>
    </w:p>
    <w:p w:rsidR="004B4D6A" w:rsidRPr="006D001C" w:rsidRDefault="004B4D6A" w:rsidP="004B4D6A">
      <w:pPr>
        <w:jc w:val="both"/>
        <w:rPr>
          <w:rFonts w:ascii="Times New Roman" w:hAnsi="Times New Roman" w:cs="Times New Roman"/>
          <w:sz w:val="24"/>
          <w:szCs w:val="24"/>
          <w:lang w:val="en-GB"/>
        </w:rPr>
      </w:pPr>
    </w:p>
    <w:p w:rsidR="004B4D6A" w:rsidRPr="006D001C" w:rsidRDefault="004B4D6A" w:rsidP="004B4D6A">
      <w:pPr>
        <w:jc w:val="both"/>
        <w:rPr>
          <w:rFonts w:ascii="Times New Roman" w:hAnsi="Times New Roman" w:cs="Times New Roman"/>
          <w:sz w:val="24"/>
          <w:szCs w:val="24"/>
          <w:lang w:val="en-GB"/>
        </w:rPr>
      </w:pPr>
      <w:r w:rsidRPr="006D001C">
        <w:rPr>
          <w:rFonts w:ascii="Times New Roman" w:hAnsi="Times New Roman" w:cs="Times New Roman"/>
          <w:sz w:val="24"/>
          <w:szCs w:val="24"/>
          <w:lang w:val="en-GB"/>
        </w:rPr>
        <w:t>The budget of the program amounted to HUF 22,070,000 (approx. EUR 34,300) in 2020, and in 2021, HUF 70 million (approx. EUR 194,400) is allocated for the continuation.</w:t>
      </w:r>
    </w:p>
    <w:sectPr w:rsidR="004B4D6A" w:rsidRPr="006D001C" w:rsidSect="00C72D9F">
      <w:type w:val="continuous"/>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E07" w:rsidRDefault="00D96E07" w:rsidP="00D96E07">
      <w:pPr>
        <w:spacing w:after="0" w:line="240" w:lineRule="auto"/>
      </w:pPr>
      <w:r>
        <w:separator/>
      </w:r>
    </w:p>
  </w:endnote>
  <w:endnote w:type="continuationSeparator" w:id="0">
    <w:p w:rsidR="00D96E07" w:rsidRDefault="00D96E07" w:rsidP="00D96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E07" w:rsidRDefault="00D96E07" w:rsidP="00D96E07">
      <w:pPr>
        <w:spacing w:after="0" w:line="240" w:lineRule="auto"/>
      </w:pPr>
      <w:r>
        <w:separator/>
      </w:r>
    </w:p>
  </w:footnote>
  <w:footnote w:type="continuationSeparator" w:id="0">
    <w:p w:rsidR="00D96E07" w:rsidRDefault="00D96E07" w:rsidP="00D96E07">
      <w:pPr>
        <w:spacing w:after="0" w:line="240" w:lineRule="auto"/>
      </w:pPr>
      <w:r>
        <w:continuationSeparator/>
      </w:r>
    </w:p>
  </w:footnote>
  <w:footnote w:id="1">
    <w:p w:rsidR="00D96E07" w:rsidRPr="00E9372A" w:rsidRDefault="00D96E07" w:rsidP="00D96E07">
      <w:pPr>
        <w:pStyle w:val="Lbjegyzetszveg"/>
        <w:jc w:val="both"/>
        <w:rPr>
          <w:rFonts w:ascii="Times New Roman" w:hAnsi="Times New Roman" w:cs="Times New Roman"/>
        </w:rPr>
      </w:pPr>
      <w:r w:rsidRPr="00E9372A">
        <w:rPr>
          <w:rStyle w:val="Lbjegyzet-hivatkozs"/>
          <w:rFonts w:ascii="Times New Roman" w:hAnsi="Times New Roman" w:cs="Times New Roman"/>
        </w:rPr>
        <w:footnoteRef/>
      </w:r>
      <w:r w:rsidRPr="00E9372A">
        <w:rPr>
          <w:rFonts w:ascii="Times New Roman" w:hAnsi="Times New Roman" w:cs="Times New Roman"/>
        </w:rPr>
        <w:t xml:space="preserve"> </w:t>
      </w:r>
      <w:proofErr w:type="spellStart"/>
      <w:r>
        <w:rPr>
          <w:rFonts w:ascii="Times New Roman" w:hAnsi="Times New Roman" w:cs="Times New Roman"/>
        </w:rPr>
        <w:t>Pursuant</w:t>
      </w:r>
      <w:proofErr w:type="spellEnd"/>
      <w:r>
        <w:rPr>
          <w:rFonts w:ascii="Times New Roman" w:hAnsi="Times New Roman" w:cs="Times New Roman"/>
        </w:rPr>
        <w:t xml:space="preserve"> </w:t>
      </w:r>
      <w:proofErr w:type="spellStart"/>
      <w:r>
        <w:rPr>
          <w:rFonts w:ascii="Times New Roman" w:hAnsi="Times New Roman" w:cs="Times New Roman"/>
        </w:rPr>
        <w:t>to</w:t>
      </w:r>
      <w:proofErr w:type="spellEnd"/>
      <w:r>
        <w:rPr>
          <w:rFonts w:ascii="Times New Roman" w:hAnsi="Times New Roman" w:cs="Times New Roman"/>
        </w:rPr>
        <w:t xml:space="preserve"> </w:t>
      </w:r>
      <w:r w:rsidRPr="00E9372A">
        <w:rPr>
          <w:rFonts w:ascii="Times New Roman" w:hAnsi="Times New Roman" w:cs="Times New Roman"/>
        </w:rPr>
        <w:t xml:space="preserve">EMMI </w:t>
      </w:r>
      <w:proofErr w:type="spellStart"/>
      <w:r w:rsidRPr="00E9372A">
        <w:rPr>
          <w:rFonts w:ascii="Times New Roman" w:hAnsi="Times New Roman" w:cs="Times New Roman"/>
        </w:rPr>
        <w:t>Regulation</w:t>
      </w:r>
      <w:proofErr w:type="spellEnd"/>
      <w:r w:rsidRPr="00E9372A">
        <w:rPr>
          <w:rFonts w:ascii="Times New Roman" w:hAnsi="Times New Roman" w:cs="Times New Roman"/>
        </w:rPr>
        <w:t xml:space="preserve"> </w:t>
      </w:r>
      <w:proofErr w:type="gramStart"/>
      <w:r w:rsidRPr="00E9372A">
        <w:rPr>
          <w:rFonts w:ascii="Times New Roman" w:hAnsi="Times New Roman" w:cs="Times New Roman"/>
        </w:rPr>
        <w:t>No</w:t>
      </w:r>
      <w:proofErr w:type="gramEnd"/>
      <w:r w:rsidRPr="00E9372A">
        <w:rPr>
          <w:rFonts w:ascii="Times New Roman" w:hAnsi="Times New Roman" w:cs="Times New Roman"/>
        </w:rPr>
        <w:t xml:space="preserve">. 20/2012. (VIII. 31.) </w:t>
      </w:r>
      <w:proofErr w:type="spellStart"/>
      <w:r w:rsidRPr="00E9372A">
        <w:rPr>
          <w:rFonts w:ascii="Times New Roman" w:hAnsi="Times New Roman" w:cs="Times New Roman"/>
        </w:rPr>
        <w:t>on</w:t>
      </w:r>
      <w:proofErr w:type="spellEnd"/>
      <w:r w:rsidRPr="00E9372A">
        <w:rPr>
          <w:rFonts w:ascii="Times New Roman" w:hAnsi="Times New Roman" w:cs="Times New Roman"/>
        </w:rPr>
        <w:t xml:space="preserve"> </w:t>
      </w:r>
      <w:proofErr w:type="spellStart"/>
      <w:r w:rsidRPr="00E9372A">
        <w:rPr>
          <w:rFonts w:ascii="Times New Roman" w:hAnsi="Times New Roman" w:cs="Times New Roman"/>
        </w:rPr>
        <w:t>the</w:t>
      </w:r>
      <w:proofErr w:type="spellEnd"/>
      <w:r w:rsidRPr="00E9372A">
        <w:rPr>
          <w:rFonts w:ascii="Times New Roman" w:hAnsi="Times New Roman" w:cs="Times New Roman"/>
        </w:rPr>
        <w:t xml:space="preserve"> </w:t>
      </w:r>
      <w:proofErr w:type="spellStart"/>
      <w:r w:rsidRPr="00E9372A">
        <w:rPr>
          <w:rFonts w:ascii="Times New Roman" w:hAnsi="Times New Roman" w:cs="Times New Roman"/>
        </w:rPr>
        <w:t>operation</w:t>
      </w:r>
      <w:proofErr w:type="spellEnd"/>
      <w:r w:rsidRPr="00E9372A">
        <w:rPr>
          <w:rFonts w:ascii="Times New Roman" w:hAnsi="Times New Roman" w:cs="Times New Roman"/>
        </w:rPr>
        <w:t xml:space="preserve"> of </w:t>
      </w:r>
      <w:proofErr w:type="spellStart"/>
      <w:r w:rsidRPr="00E9372A">
        <w:rPr>
          <w:rFonts w:ascii="Times New Roman" w:hAnsi="Times New Roman" w:cs="Times New Roman"/>
        </w:rPr>
        <w:t>educational</w:t>
      </w:r>
      <w:proofErr w:type="spellEnd"/>
      <w:r w:rsidRPr="00E9372A">
        <w:rPr>
          <w:rFonts w:ascii="Times New Roman" w:hAnsi="Times New Roman" w:cs="Times New Roman"/>
        </w:rPr>
        <w:t xml:space="preserve"> </w:t>
      </w:r>
      <w:proofErr w:type="spellStart"/>
      <w:r w:rsidRPr="00E9372A">
        <w:rPr>
          <w:rFonts w:ascii="Times New Roman" w:hAnsi="Times New Roman" w:cs="Times New Roman"/>
        </w:rPr>
        <w:t>institutions</w:t>
      </w:r>
      <w:proofErr w:type="spellEnd"/>
      <w:r w:rsidRPr="00E9372A">
        <w:rPr>
          <w:rFonts w:ascii="Times New Roman" w:hAnsi="Times New Roman" w:cs="Times New Roman"/>
        </w:rPr>
        <w:t xml:space="preserve"> and </w:t>
      </w:r>
      <w:proofErr w:type="spellStart"/>
      <w:r w:rsidRPr="00E9372A">
        <w:rPr>
          <w:rFonts w:ascii="Times New Roman" w:hAnsi="Times New Roman" w:cs="Times New Roman"/>
        </w:rPr>
        <w:t>the</w:t>
      </w:r>
      <w:proofErr w:type="spellEnd"/>
      <w:r w:rsidRPr="00E9372A">
        <w:rPr>
          <w:rFonts w:ascii="Times New Roman" w:hAnsi="Times New Roman" w:cs="Times New Roman"/>
        </w:rPr>
        <w:t xml:space="preserve"> </w:t>
      </w:r>
      <w:proofErr w:type="spellStart"/>
      <w:r w:rsidRPr="00E9372A">
        <w:rPr>
          <w:rFonts w:ascii="Times New Roman" w:hAnsi="Times New Roman" w:cs="Times New Roman"/>
        </w:rPr>
        <w:t>naming</w:t>
      </w:r>
      <w:proofErr w:type="spellEnd"/>
      <w:r w:rsidRPr="00E9372A">
        <w:rPr>
          <w:rFonts w:ascii="Times New Roman" w:hAnsi="Times New Roman" w:cs="Times New Roman"/>
        </w:rPr>
        <w:t xml:space="preserve"> of </w:t>
      </w:r>
      <w:proofErr w:type="spellStart"/>
      <w:r w:rsidRPr="00E9372A">
        <w:rPr>
          <w:rFonts w:ascii="Times New Roman" w:hAnsi="Times New Roman" w:cs="Times New Roman"/>
        </w:rPr>
        <w:t>public</w:t>
      </w:r>
      <w:proofErr w:type="spellEnd"/>
      <w:r w:rsidRPr="00E9372A">
        <w:rPr>
          <w:rFonts w:ascii="Times New Roman" w:hAnsi="Times New Roman" w:cs="Times New Roman"/>
        </w:rPr>
        <w:t xml:space="preserve"> </w:t>
      </w:r>
      <w:proofErr w:type="spellStart"/>
      <w:r w:rsidRPr="00E9372A">
        <w:rPr>
          <w:rFonts w:ascii="Times New Roman" w:hAnsi="Times New Roman" w:cs="Times New Roman"/>
        </w:rPr>
        <w:t>education</w:t>
      </w:r>
      <w:proofErr w:type="spellEnd"/>
      <w:r w:rsidRPr="00E9372A">
        <w:rPr>
          <w:rFonts w:ascii="Times New Roman" w:hAnsi="Times New Roman" w:cs="Times New Roman"/>
        </w:rPr>
        <w:t xml:space="preserve"> </w:t>
      </w:r>
      <w:proofErr w:type="spellStart"/>
      <w:r w:rsidRPr="00E9372A">
        <w:rPr>
          <w:rFonts w:ascii="Times New Roman" w:hAnsi="Times New Roman" w:cs="Times New Roman"/>
        </w:rPr>
        <w:t>institutions</w:t>
      </w:r>
      <w:proofErr w:type="spellEnd"/>
      <w:r>
        <w:rPr>
          <w:rFonts w:ascii="Times New Roman" w:hAnsi="Times New Roman" w:cs="Times New Roman"/>
        </w:rPr>
        <w:t>.</w:t>
      </w:r>
      <w:r w:rsidRPr="00E9372A">
        <w:rPr>
          <w:rFonts w:ascii="Times New Roman" w:hAnsi="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94383"/>
    <w:multiLevelType w:val="hybridMultilevel"/>
    <w:tmpl w:val="EDE4EF5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D966A5C"/>
    <w:multiLevelType w:val="hybridMultilevel"/>
    <w:tmpl w:val="4826686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1ABE29B4"/>
    <w:multiLevelType w:val="hybridMultilevel"/>
    <w:tmpl w:val="86F28CC0"/>
    <w:lvl w:ilvl="0" w:tplc="3D16C36E">
      <w:start w:val="1"/>
      <w:numFmt w:val="decimal"/>
      <w:lvlText w:val="%1."/>
      <w:lvlJc w:val="left"/>
      <w:pPr>
        <w:ind w:left="720" w:hanging="360"/>
      </w:pPr>
      <w:rPr>
        <w:rFonts w:ascii="Times New Roman" w:hAnsi="Times New Roman" w:cs="Times New Roman" w:hint="default"/>
        <w:b w:val="0"/>
        <w:i/>
        <w:sz w:val="18"/>
        <w:szCs w:val="18"/>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A83"/>
    <w:rsid w:val="001B4A51"/>
    <w:rsid w:val="002F180E"/>
    <w:rsid w:val="00366E56"/>
    <w:rsid w:val="0039223F"/>
    <w:rsid w:val="00392A83"/>
    <w:rsid w:val="00430091"/>
    <w:rsid w:val="004B4D6A"/>
    <w:rsid w:val="00607487"/>
    <w:rsid w:val="00646285"/>
    <w:rsid w:val="006D001C"/>
    <w:rsid w:val="00743369"/>
    <w:rsid w:val="009A2342"/>
    <w:rsid w:val="00B4334A"/>
    <w:rsid w:val="00BF010A"/>
    <w:rsid w:val="00C72D9F"/>
    <w:rsid w:val="00D96E07"/>
    <w:rsid w:val="00DE017F"/>
    <w:rsid w:val="00FE308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1821B"/>
  <w15:chartTrackingRefBased/>
  <w15:docId w15:val="{67FA6959-7703-44EE-818F-DDDAFE3E5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D96E07"/>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aliases w:val="Footnote,Char1,labjegyzet_szo,Fußnotentext Char2,Fußnotentext Char Char1,Fußnotentext Char1 Char1 Char,Fußnotentext Char Char Char Char Char,Fußnotentext Char1 Char Char Char Char1,Fußnotentext Char Char Char,Footnote Text Imre, Char1,o"/>
    <w:basedOn w:val="Norml"/>
    <w:link w:val="LbjegyzetszvegChar"/>
    <w:uiPriority w:val="99"/>
    <w:unhideWhenUsed/>
    <w:qFormat/>
    <w:rsid w:val="00D96E07"/>
    <w:pPr>
      <w:spacing w:after="0" w:line="240" w:lineRule="auto"/>
    </w:pPr>
    <w:rPr>
      <w:sz w:val="20"/>
      <w:szCs w:val="20"/>
    </w:rPr>
  </w:style>
  <w:style w:type="character" w:customStyle="1" w:styleId="LbjegyzetszvegChar">
    <w:name w:val="Lábjegyzetszöveg Char"/>
    <w:aliases w:val="Footnote Char,Char1 Char,labjegyzet_szo Char,Fußnotentext Char2 Char,Fußnotentext Char Char1 Char,Fußnotentext Char1 Char1 Char Char,Fußnotentext Char Char Char Char Char Char,Fußnotentext Char1 Char Char Char Char1 Char,o Char"/>
    <w:basedOn w:val="Bekezdsalapbettpusa"/>
    <w:link w:val="Lbjegyzetszveg"/>
    <w:uiPriority w:val="99"/>
    <w:qFormat/>
    <w:rsid w:val="00D96E07"/>
    <w:rPr>
      <w:sz w:val="20"/>
      <w:szCs w:val="20"/>
    </w:rPr>
  </w:style>
  <w:style w:type="character" w:styleId="Lbjegyzet-hivatkozs">
    <w:name w:val="footnote reference"/>
    <w:aliases w:val="Footnote symbol,BVI fnr,(Diplomarbeit FZ),(Diplomarbeit FZ)1,(Diplomarbeit FZ)2,(Diplomarbeit FZ)3,(Diplomarbeit FZ)4,(Diplomarbeit FZ)5,SUPERS,Footnote Reference Arial,Footnote Reference Superscript,Footnote symboFußnotenzeichen"/>
    <w:basedOn w:val="Bekezdsalapbettpusa"/>
    <w:link w:val="FootnotesymbolCarZchn"/>
    <w:uiPriority w:val="99"/>
    <w:unhideWhenUsed/>
    <w:qFormat/>
    <w:rsid w:val="00D96E07"/>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l"/>
    <w:link w:val="Lbjegyzet-hivatkozs"/>
    <w:uiPriority w:val="99"/>
    <w:qFormat/>
    <w:rsid w:val="00D96E07"/>
    <w:pPr>
      <w:spacing w:line="240" w:lineRule="exact"/>
      <w:jc w:val="both"/>
    </w:pPr>
    <w:rPr>
      <w:vertAlign w:val="superscript"/>
    </w:rPr>
  </w:style>
  <w:style w:type="character" w:styleId="Hiperhivatkozs">
    <w:name w:val="Hyperlink"/>
    <w:basedOn w:val="Bekezdsalapbettpusa"/>
    <w:uiPriority w:val="99"/>
    <w:unhideWhenUsed/>
    <w:rsid w:val="00B4334A"/>
    <w:rPr>
      <w:color w:val="0563C1" w:themeColor="hyperlink"/>
      <w:u w:val="single"/>
    </w:rPr>
  </w:style>
  <w:style w:type="paragraph" w:styleId="Jegyzetszveg">
    <w:name w:val="annotation text"/>
    <w:basedOn w:val="Norml"/>
    <w:link w:val="JegyzetszvegChar"/>
    <w:uiPriority w:val="99"/>
    <w:semiHidden/>
    <w:unhideWhenUsed/>
    <w:rsid w:val="00743369"/>
    <w:pPr>
      <w:suppressAutoHyphens/>
      <w:spacing w:after="0" w:line="240" w:lineRule="auto"/>
    </w:pPr>
    <w:rPr>
      <w:rFonts w:ascii="Times New Roman" w:eastAsia="Times New Roman" w:hAnsi="Times New Roman" w:cs="Times New Roman"/>
      <w:sz w:val="20"/>
      <w:szCs w:val="20"/>
      <w:lang w:val="en-GB"/>
    </w:rPr>
  </w:style>
  <w:style w:type="character" w:customStyle="1" w:styleId="JegyzetszvegChar">
    <w:name w:val="Jegyzetszöveg Char"/>
    <w:basedOn w:val="Bekezdsalapbettpusa"/>
    <w:link w:val="Jegyzetszveg"/>
    <w:uiPriority w:val="99"/>
    <w:semiHidden/>
    <w:rsid w:val="00743369"/>
    <w:rPr>
      <w:rFonts w:ascii="Times New Roman" w:eastAsia="Times New Roman" w:hAnsi="Times New Roman" w:cs="Times New Roman"/>
      <w:sz w:val="20"/>
      <w:szCs w:val="20"/>
      <w:lang w:val="en-GB"/>
    </w:rPr>
  </w:style>
  <w:style w:type="character" w:styleId="Jegyzethivatkozs">
    <w:name w:val="annotation reference"/>
    <w:basedOn w:val="Bekezdsalapbettpusa"/>
    <w:uiPriority w:val="99"/>
    <w:semiHidden/>
    <w:unhideWhenUsed/>
    <w:rsid w:val="00743369"/>
    <w:rPr>
      <w:sz w:val="16"/>
      <w:szCs w:val="16"/>
    </w:rPr>
  </w:style>
  <w:style w:type="paragraph" w:styleId="Buborkszveg">
    <w:name w:val="Balloon Text"/>
    <w:basedOn w:val="Norml"/>
    <w:link w:val="BuborkszvegChar"/>
    <w:uiPriority w:val="99"/>
    <w:semiHidden/>
    <w:unhideWhenUsed/>
    <w:rsid w:val="00743369"/>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743369"/>
    <w:rPr>
      <w:rFonts w:ascii="Segoe UI" w:hAnsi="Segoe UI" w:cs="Segoe UI"/>
      <w:sz w:val="18"/>
      <w:szCs w:val="18"/>
    </w:rPr>
  </w:style>
  <w:style w:type="paragraph" w:styleId="Listaszerbekezds">
    <w:name w:val="List Paragraph"/>
    <w:aliases w:val="Számozott lista 1,Eszeri felsorolás,List Paragraph à moi,lista_2,List Paragraph1,Welt L Char,Welt L,Bullet List,FooterText,numbered,Paragraphe de liste1,Bulletr List Paragraph,列出段落,列出段落1,Listeafsnit1,リスト段落1,LISTA,List Paragraph"/>
    <w:basedOn w:val="Norml"/>
    <w:link w:val="ListaszerbekezdsChar"/>
    <w:uiPriority w:val="34"/>
    <w:qFormat/>
    <w:rsid w:val="004B4D6A"/>
    <w:pPr>
      <w:ind w:left="720"/>
      <w:contextualSpacing/>
    </w:pPr>
  </w:style>
  <w:style w:type="character" w:customStyle="1" w:styleId="ListaszerbekezdsChar">
    <w:name w:val="Listaszerű bekezdés Char"/>
    <w:aliases w:val="Számozott lista 1 Char,Eszeri felsorolás Char,List Paragraph à moi Char,lista_2 Char,List Paragraph1 Char,Welt L Char Char,Welt L Char1,Bullet List Char,FooterText Char,numbered Char,Paragraphe de liste1 Char,列出段落 Char"/>
    <w:link w:val="Listaszerbekezds"/>
    <w:uiPriority w:val="34"/>
    <w:qFormat/>
    <w:locked/>
    <w:rsid w:val="004B4D6A"/>
  </w:style>
  <w:style w:type="table" w:styleId="Rcsostblzat">
    <w:name w:val="Table Grid"/>
    <w:basedOn w:val="Normltblzat"/>
    <w:uiPriority w:val="39"/>
    <w:rsid w:val="002F18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2172271">
      <w:bodyDiv w:val="1"/>
      <w:marLeft w:val="0"/>
      <w:marRight w:val="0"/>
      <w:marTop w:val="0"/>
      <w:marBottom w:val="0"/>
      <w:divBdr>
        <w:top w:val="none" w:sz="0" w:space="0" w:color="auto"/>
        <w:left w:val="none" w:sz="0" w:space="0" w:color="auto"/>
        <w:bottom w:val="none" w:sz="0" w:space="0" w:color="auto"/>
        <w:right w:val="none" w:sz="0" w:space="0" w:color="auto"/>
      </w:divBdr>
    </w:div>
    <w:div w:id="1492258120">
      <w:bodyDiv w:val="1"/>
      <w:marLeft w:val="0"/>
      <w:marRight w:val="0"/>
      <w:marTop w:val="0"/>
      <w:marBottom w:val="0"/>
      <w:divBdr>
        <w:top w:val="none" w:sz="0" w:space="0" w:color="auto"/>
        <w:left w:val="none" w:sz="0" w:space="0" w:color="auto"/>
        <w:bottom w:val="none" w:sz="0" w:space="0" w:color="auto"/>
        <w:right w:val="none" w:sz="0" w:space="0" w:color="auto"/>
      </w:divBdr>
    </w:div>
    <w:div w:id="184616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yperlink" Target="https://www.antsz.hu/felso_menu/temaink/jarvany/hivaids/HIV_adatok/HIV_2020_eve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E0BE06-44B7-4034-B0FA-4E5B950ECA54}"/>
</file>

<file path=customXml/itemProps2.xml><?xml version="1.0" encoding="utf-8"?>
<ds:datastoreItem xmlns:ds="http://schemas.openxmlformats.org/officeDocument/2006/customXml" ds:itemID="{2A4E79CE-6AC9-4452-896E-E6014FD7D404}"/>
</file>

<file path=customXml/itemProps3.xml><?xml version="1.0" encoding="utf-8"?>
<ds:datastoreItem xmlns:ds="http://schemas.openxmlformats.org/officeDocument/2006/customXml" ds:itemID="{7CAA59F9-D963-4A9C-8717-F8788245E066}"/>
</file>

<file path=docProps/app.xml><?xml version="1.0" encoding="utf-8"?>
<Properties xmlns="http://schemas.openxmlformats.org/officeDocument/2006/extended-properties" xmlns:vt="http://schemas.openxmlformats.org/officeDocument/2006/docPropsVTypes">
  <Template>Normal</Template>
  <TotalTime>63</TotalTime>
  <Pages>9</Pages>
  <Words>1416</Words>
  <Characters>9772</Characters>
  <Application>Microsoft Office Word</Application>
  <DocSecurity>0</DocSecurity>
  <Lines>81</Lines>
  <Paragraphs>22</Paragraphs>
  <ScaleCrop>false</ScaleCrop>
  <HeadingPairs>
    <vt:vector size="2" baseType="variant">
      <vt:variant>
        <vt:lpstr>Cím</vt:lpstr>
      </vt:variant>
      <vt:variant>
        <vt:i4>1</vt:i4>
      </vt:variant>
    </vt:vector>
  </HeadingPairs>
  <TitlesOfParts>
    <vt:vector size="1" baseType="lpstr">
      <vt:lpstr/>
    </vt:vector>
  </TitlesOfParts>
  <Company>KKM</Company>
  <LinksUpToDate>false</LinksUpToDate>
  <CharactersWithSpaces>11166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Vittay Melinda dr.</dc:creator>
  <cp:keywords/>
  <dc:description/>
  <cp:lastModifiedBy>Vittay Melinda dr.</cp:lastModifiedBy>
  <cp:revision>8</cp:revision>
  <dcterms:created xsi:type="dcterms:W3CDTF">2021-06-30T09:00:00Z</dcterms:created>
  <dcterms:modified xsi:type="dcterms:W3CDTF">2021-07-05T15:08:00Z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