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52608" w14:textId="77777777" w:rsidR="000D18D0" w:rsidRDefault="00D52F5C">
      <w:r>
        <w:rPr>
          <w:noProof/>
        </w:rPr>
        <mc:AlternateContent>
          <mc:Choice Requires="wps">
            <w:drawing>
              <wp:anchor distT="0" distB="0" distL="114300" distR="114300" simplePos="0" relativeHeight="251657215" behindDoc="0" locked="0" layoutInCell="1" allowOverlap="1" wp14:anchorId="2784AE66" wp14:editId="28233F92">
                <wp:simplePos x="0" y="0"/>
                <wp:positionH relativeFrom="column">
                  <wp:posOffset>-1295400</wp:posOffset>
                </wp:positionH>
                <wp:positionV relativeFrom="paragraph">
                  <wp:posOffset>-914400</wp:posOffset>
                </wp:positionV>
                <wp:extent cx="8096250" cy="857250"/>
                <wp:effectExtent l="19050" t="19050" r="38100" b="47625"/>
                <wp:wrapNone/>
                <wp:docPr id="1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0" cy="857250"/>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B7AC04E" id="Rectangle 10" o:spid="_x0000_s1026" style="position:absolute;margin-left:-102pt;margin-top:-1in;width:637.5pt;height:6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" fillcolor="#9c6a6a [3209]" strokecolor="#f2f2f2 [3041]" strokeweight="3pt">
                <v:shadow on="t" color="#4e3434 [1609]" opacity=".5" offset="1pt"/>
              </v:rect>
            </w:pict>
          </mc:Fallback>
        </mc:AlternateContent>
      </w:r>
      <w:r>
        <w:rPr>
          <w:noProof/>
        </w:rPr>
        <mc:AlternateContent>
          <mc:Choice Requires="wps">
            <w:drawing>
              <wp:anchor distT="0" distB="0" distL="114300" distR="114300" simplePos="0" relativeHeight="251659264" behindDoc="0" locked="0" layoutInCell="1" allowOverlap="1" wp14:anchorId="6B4A8693" wp14:editId="25199AA2">
                <wp:simplePos x="0" y="0"/>
                <wp:positionH relativeFrom="column">
                  <wp:posOffset>3089910</wp:posOffset>
                </wp:positionH>
                <wp:positionV relativeFrom="paragraph">
                  <wp:posOffset>-961390</wp:posOffset>
                </wp:positionV>
                <wp:extent cx="2585720" cy="4225290"/>
                <wp:effectExtent l="22860" t="19685" r="39370" b="50800"/>
                <wp:wrapNone/>
                <wp:docPr id="1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5720" cy="4225290"/>
                        </a:xfrm>
                        <a:custGeom>
                          <a:avLst/>
                          <a:gdLst>
                            <a:gd name="T0" fmla="*/ 0 w 2170216"/>
                            <a:gd name="T1" fmla="*/ 0 h 4329430"/>
                            <a:gd name="T2" fmla="*/ 2585720 w 2170216"/>
                            <a:gd name="T3" fmla="*/ 0 h 4329430"/>
                            <a:gd name="T4" fmla="*/ 2585720 w 2170216"/>
                            <a:gd name="T5" fmla="*/ 3792721 h 4329430"/>
                            <a:gd name="T6" fmla="*/ 1343684 w 2170216"/>
                            <a:gd name="T7" fmla="*/ 4225290 h 4329430"/>
                            <a:gd name="T8" fmla="*/ 0 w 2170216"/>
                            <a:gd name="T9" fmla="*/ 3792721 h 4329430"/>
                            <a:gd name="T10" fmla="*/ 0 w 2170216"/>
                            <a:gd name="T11" fmla="*/ 0 h 4329430"/>
                            <a:gd name="T12" fmla="*/ 0 60000 65536"/>
                            <a:gd name="T13" fmla="*/ 0 60000 65536"/>
                            <a:gd name="T14" fmla="*/ 0 60000 65536"/>
                            <a:gd name="T15" fmla="*/ 0 60000 65536"/>
                            <a:gd name="T16" fmla="*/ 0 60000 65536"/>
                            <a:gd name="T17" fmla="*/ 0 60000 65536"/>
                            <a:gd name="T18" fmla="*/ 0 w 2170216"/>
                            <a:gd name="T19" fmla="*/ 0 h 4329430"/>
                            <a:gd name="T20" fmla="*/ 2170216 w 2170216"/>
                            <a:gd name="T21" fmla="*/ 4329430 h 4329430"/>
                          </a:gdLst>
                          <a:ahLst/>
                          <a:cxnLst>
                            <a:cxn ang="T12">
                              <a:pos x="T0" y="T1"/>
                            </a:cxn>
                            <a:cxn ang="T13">
                              <a:pos x="T2" y="T3"/>
                            </a:cxn>
                            <a:cxn ang="T14">
                              <a:pos x="T4" y="T5"/>
                            </a:cxn>
                            <a:cxn ang="T15">
                              <a:pos x="T6" y="T7"/>
                            </a:cxn>
                            <a:cxn ang="T16">
                              <a:pos x="T8" y="T9"/>
                            </a:cxn>
                            <a:cxn ang="T17">
                              <a:pos x="T10" y="T11"/>
                            </a:cxn>
                          </a:cxnLst>
                          <a:rect l="T18" t="T19" r="T20" b="T21"/>
                          <a:pathLst>
                            <a:path w="2170216" h="4329430">
                              <a:moveTo>
                                <a:pt x="0" y="0"/>
                              </a:moveTo>
                              <a:lnTo>
                                <a:pt x="2170216" y="0"/>
                              </a:lnTo>
                              <a:lnTo>
                                <a:pt x="2170216" y="3886200"/>
                              </a:lnTo>
                              <a:lnTo>
                                <a:pt x="1127765" y="4329430"/>
                              </a:lnTo>
                              <a:lnTo>
                                <a:pt x="0" y="3886200"/>
                              </a:lnTo>
                              <a:lnTo>
                                <a:pt x="0" y="0"/>
                              </a:lnTo>
                              <a:close/>
                            </a:path>
                          </a:pathLst>
                        </a:cu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txbx>
                        <w:txbxContent>
                          <w:p w14:paraId="4836555D" w14:textId="77777777" w:rsidR="00F239B5" w:rsidRPr="00F239B5" w:rsidRDefault="00F239B5" w:rsidP="00F239B5">
                            <w:pPr>
                              <w:jc w:val="center"/>
                              <w:rPr>
                                <w:rFonts w:asciiTheme="majorBidi" w:hAnsiTheme="majorBidi" w:cstheme="majorBidi"/>
                                <w:b/>
                                <w:bCs/>
                                <w:color w:val="FFE99C" w:themeColor="accent1" w:themeTint="66"/>
                                <w:sz w:val="72"/>
                                <w:szCs w:val="72"/>
                              </w:rPr>
                            </w:pPr>
                            <w:r w:rsidRPr="00F239B5">
                              <w:rPr>
                                <w:rFonts w:asciiTheme="majorBidi" w:hAnsiTheme="majorBidi" w:cstheme="majorBidi"/>
                                <w:b/>
                                <w:bCs/>
                                <w:color w:val="FFE99C" w:themeColor="accent1" w:themeTint="66"/>
                                <w:sz w:val="72"/>
                                <w:szCs w:val="72"/>
                              </w:rPr>
                              <w:t>IRAQ</w:t>
                            </w:r>
                          </w:p>
                          <w:p w14:paraId="6775B9FB" w14:textId="77777777" w:rsidR="00F239B5" w:rsidRPr="00F239B5" w:rsidRDefault="00F239B5" w:rsidP="00F239B5">
                            <w:pPr>
                              <w:jc w:val="center"/>
                              <w:rPr>
                                <w:rFonts w:cstheme="minorHAnsi"/>
                                <w:b/>
                                <w:bCs/>
                                <w:color w:val="FFE99C" w:themeColor="accent1" w:themeTint="66"/>
                                <w:sz w:val="28"/>
                                <w:szCs w:val="28"/>
                              </w:rPr>
                            </w:pPr>
                            <w:r w:rsidRPr="00F239B5">
                              <w:rPr>
                                <w:rFonts w:cstheme="minorHAnsi"/>
                                <w:b/>
                                <w:bCs/>
                                <w:color w:val="FFE99C" w:themeColor="accent1" w:themeTint="66"/>
                                <w:sz w:val="28"/>
                                <w:szCs w:val="28"/>
                              </w:rPr>
                              <w:t>Discrimination against Women</w:t>
                            </w:r>
                          </w:p>
                          <w:p w14:paraId="2A6CD349" w14:textId="77777777" w:rsidR="00B745BB" w:rsidRDefault="00B745BB" w:rsidP="0069403D">
                            <w:pPr>
                              <w:jc w:val="center"/>
                              <w:rPr>
                                <w:rFonts w:cstheme="minorHAnsi"/>
                                <w:b/>
                                <w:bCs/>
                                <w:sz w:val="28"/>
                                <w:szCs w:val="28"/>
                              </w:rPr>
                            </w:pPr>
                          </w:p>
                          <w:p w14:paraId="2BF27016" w14:textId="77777777" w:rsidR="00B745BB" w:rsidRDefault="00B745BB" w:rsidP="0069403D">
                            <w:pPr>
                              <w:jc w:val="center"/>
                              <w:rPr>
                                <w:rFonts w:cstheme="minorHAnsi"/>
                                <w:sz w:val="28"/>
                                <w:szCs w:val="28"/>
                              </w:rPr>
                            </w:pPr>
                          </w:p>
                          <w:p w14:paraId="0EC2CA4C" w14:textId="77777777" w:rsidR="00B745BB" w:rsidRDefault="00B745BB" w:rsidP="0069403D">
                            <w:pPr>
                              <w:jc w:val="center"/>
                              <w:rPr>
                                <w:rFonts w:cstheme="minorHAnsi"/>
                                <w:sz w:val="28"/>
                                <w:szCs w:val="28"/>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6B4A8693" id="Rectangle 2" o:spid="_x0000_s1026" style="position:absolute;margin-left:243.3pt;margin-top:-75.7pt;width:203.6pt;height:33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2170216,4329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" adj="-11796480,,5400" path="m,l2170216,r,3886200l1127765,4329430,,3886200,,xe" fillcolor="#9c6a6a [3209]" strokecolor="#f2f2f2 [3041]" strokeweight="3pt">
                <v:stroke joinstyle="miter"/>
                <v:shadow on="t" color="#4e3434 [1609]" opacity=".5" offset="1pt"/>
                <v:formulas/>
                <v:path arrowok="t" o:connecttype="custom" o:connectlocs="0,0;3080775,0;3080775,3701491;1600942,4123655;0,3701491;0,0" o:connectangles="0,0,0,0,0,0" textboxrect="0,0,2170216,4329430"/>
                <v:textbox>
                  <w:txbxContent>
                    <w:p w14:paraId="4836555D" w14:textId="77777777" w:rsidR="00F239B5" w:rsidRPr="00F239B5" w:rsidRDefault="00F239B5" w:rsidP="00F239B5">
                      <w:pPr>
                        <w:jc w:val="center"/>
                        <w:rPr>
                          <w:rFonts w:asciiTheme="majorBidi" w:hAnsiTheme="majorBidi" w:cstheme="majorBidi"/>
                          <w:b/>
                          <w:bCs/>
                          <w:color w:val="FFE99C" w:themeColor="accent1" w:themeTint="66"/>
                          <w:sz w:val="72"/>
                          <w:szCs w:val="72"/>
                        </w:rPr>
                      </w:pPr>
                      <w:r w:rsidRPr="00F239B5">
                        <w:rPr>
                          <w:rFonts w:asciiTheme="majorBidi" w:hAnsiTheme="majorBidi" w:cstheme="majorBidi"/>
                          <w:b/>
                          <w:bCs/>
                          <w:color w:val="FFE99C" w:themeColor="accent1" w:themeTint="66"/>
                          <w:sz w:val="72"/>
                          <w:szCs w:val="72"/>
                        </w:rPr>
                        <w:t>IRAQ</w:t>
                      </w:r>
                    </w:p>
                    <w:p w14:paraId="6775B9FB" w14:textId="77777777" w:rsidR="00F239B5" w:rsidRPr="00F239B5" w:rsidRDefault="00F239B5" w:rsidP="00F239B5">
                      <w:pPr>
                        <w:jc w:val="center"/>
                        <w:rPr>
                          <w:rFonts w:cstheme="minorHAnsi"/>
                          <w:b/>
                          <w:bCs/>
                          <w:color w:val="FFE99C" w:themeColor="accent1" w:themeTint="66"/>
                          <w:sz w:val="28"/>
                          <w:szCs w:val="28"/>
                        </w:rPr>
                      </w:pPr>
                      <w:r w:rsidRPr="00F239B5">
                        <w:rPr>
                          <w:rFonts w:cstheme="minorHAnsi"/>
                          <w:b/>
                          <w:bCs/>
                          <w:color w:val="FFE99C" w:themeColor="accent1" w:themeTint="66"/>
                          <w:sz w:val="28"/>
                          <w:szCs w:val="28"/>
                        </w:rPr>
                        <w:t>Discrimination against Women</w:t>
                      </w:r>
                    </w:p>
                    <w:p w14:paraId="2A6CD349" w14:textId="77777777" w:rsidR="00B745BB" w:rsidRDefault="00B745BB" w:rsidP="0069403D">
                      <w:pPr>
                        <w:jc w:val="center"/>
                        <w:rPr>
                          <w:rFonts w:cstheme="minorHAnsi"/>
                          <w:b/>
                          <w:bCs/>
                          <w:sz w:val="28"/>
                          <w:szCs w:val="28"/>
                        </w:rPr>
                      </w:pPr>
                    </w:p>
                    <w:p w14:paraId="2BF27016" w14:textId="77777777" w:rsidR="00B745BB" w:rsidRDefault="00B745BB" w:rsidP="0069403D">
                      <w:pPr>
                        <w:jc w:val="center"/>
                        <w:rPr>
                          <w:rFonts w:cstheme="minorHAnsi"/>
                          <w:sz w:val="28"/>
                          <w:szCs w:val="28"/>
                        </w:rPr>
                      </w:pPr>
                    </w:p>
                    <w:p w14:paraId="0EC2CA4C" w14:textId="77777777" w:rsidR="00B745BB" w:rsidRDefault="00B745BB" w:rsidP="0069403D">
                      <w:pPr>
                        <w:jc w:val="center"/>
                        <w:rPr>
                          <w:rFonts w:cstheme="minorHAnsi"/>
                          <w:sz w:val="28"/>
                          <w:szCs w:val="28"/>
                        </w:rPr>
                      </w:pPr>
                    </w:p>
                  </w:txbxContent>
                </v:textbox>
              </v:shape>
            </w:pict>
          </mc:Fallback>
        </mc:AlternateContent>
      </w:r>
      <w:r w:rsidR="00D82667">
        <w:rPr>
          <w:noProof/>
          <w:lang w:eastAsia="en-GB"/>
        </w:rPr>
        <w:drawing>
          <wp:anchor distT="0" distB="0" distL="114300" distR="114300" simplePos="0" relativeHeight="251658240" behindDoc="0" locked="0" layoutInCell="1" allowOverlap="1" wp14:anchorId="624DFB9C" wp14:editId="64BA89CE">
            <wp:simplePos x="0" y="0"/>
            <wp:positionH relativeFrom="column">
              <wp:posOffset>-13360</wp:posOffset>
            </wp:positionH>
            <wp:positionV relativeFrom="paragraph">
              <wp:posOffset>228600</wp:posOffset>
            </wp:positionV>
            <wp:extent cx="2171700" cy="2171700"/>
            <wp:effectExtent l="0" t="0" r="0" b="0"/>
            <wp:wrapNone/>
            <wp:docPr id="1" name="Picture 1" descr="A close up of a co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7znSSRO_400x4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anchor>
        </w:drawing>
      </w:r>
    </w:p>
    <w:p w14:paraId="7EF101C8" w14:textId="77777777" w:rsidR="000D18D0" w:rsidRDefault="000D18D0"/>
    <w:p w14:paraId="7EDE3FAD" w14:textId="77777777" w:rsidR="000D18D0" w:rsidRDefault="000D18D0"/>
    <w:p w14:paraId="2F3DD0F3" w14:textId="77777777" w:rsidR="000D18D0" w:rsidRDefault="000D18D0"/>
    <w:p w14:paraId="7185D2EA" w14:textId="77777777" w:rsidR="000D18D0" w:rsidRDefault="000D18D0"/>
    <w:p w14:paraId="35F956A4" w14:textId="77777777" w:rsidR="000D18D0" w:rsidRDefault="000D18D0"/>
    <w:p w14:paraId="397DA054" w14:textId="77777777" w:rsidR="000D18D0" w:rsidRDefault="000D18D0"/>
    <w:p w14:paraId="237C8CAF" w14:textId="77777777" w:rsidR="000D18D0" w:rsidRDefault="000D18D0"/>
    <w:p w14:paraId="7C2DEB10" w14:textId="77777777" w:rsidR="000D18D0" w:rsidRDefault="000D18D0"/>
    <w:p w14:paraId="089FCEAF" w14:textId="77777777" w:rsidR="00427C17" w:rsidRDefault="00427C17"/>
    <w:p w14:paraId="75C8CB70" w14:textId="77777777" w:rsidR="00427C17" w:rsidRDefault="00427C17"/>
    <w:p w14:paraId="33318CE9" w14:textId="77777777" w:rsidR="00427C17" w:rsidRDefault="00427C17"/>
    <w:p w14:paraId="0EF79EFD" w14:textId="77777777" w:rsidR="00427C17" w:rsidRDefault="00427C17"/>
    <w:p w14:paraId="4C9B094E" w14:textId="77777777" w:rsidR="000D18D0" w:rsidRPr="00AA58E0" w:rsidRDefault="000D18D0" w:rsidP="00AA58E0">
      <w:pPr>
        <w:jc w:val="center"/>
        <w:rPr>
          <w:sz w:val="32"/>
          <w:szCs w:val="32"/>
        </w:rPr>
      </w:pPr>
      <w:r w:rsidRPr="00AA58E0">
        <w:rPr>
          <w:sz w:val="32"/>
          <w:szCs w:val="32"/>
        </w:rPr>
        <w:t xml:space="preserve">Shadow </w:t>
      </w:r>
      <w:r w:rsidR="005801A5" w:rsidRPr="00AA58E0">
        <w:rPr>
          <w:sz w:val="32"/>
          <w:szCs w:val="32"/>
        </w:rPr>
        <w:t>R</w:t>
      </w:r>
      <w:r w:rsidRPr="00AA58E0">
        <w:rPr>
          <w:sz w:val="32"/>
          <w:szCs w:val="32"/>
        </w:rPr>
        <w:t xml:space="preserve">eport </w:t>
      </w:r>
      <w:r w:rsidR="005801A5" w:rsidRPr="00AA58E0">
        <w:rPr>
          <w:sz w:val="32"/>
          <w:szCs w:val="32"/>
        </w:rPr>
        <w:t xml:space="preserve">on Iraq </w:t>
      </w:r>
      <w:r w:rsidRPr="00AA58E0">
        <w:rPr>
          <w:sz w:val="32"/>
          <w:szCs w:val="32"/>
        </w:rPr>
        <w:t>submitted by</w:t>
      </w:r>
    </w:p>
    <w:p w14:paraId="72C0D46B" w14:textId="77777777" w:rsidR="000D18D0" w:rsidRPr="00A87CBB" w:rsidRDefault="000D18D0" w:rsidP="00AA58E0">
      <w:pPr>
        <w:jc w:val="center"/>
        <w:rPr>
          <w:rFonts w:ascii="Century Gothic" w:hAnsi="Century Gothic"/>
          <w:b/>
          <w:bCs/>
          <w:color w:val="C49A00" w:themeColor="accent1" w:themeShade="BF"/>
          <w:sz w:val="36"/>
          <w:szCs w:val="36"/>
        </w:rPr>
      </w:pPr>
      <w:r w:rsidRPr="00A87CBB">
        <w:rPr>
          <w:rFonts w:ascii="Century Gothic" w:hAnsi="Century Gothic"/>
          <w:b/>
          <w:bCs/>
          <w:color w:val="C49A00" w:themeColor="accent1" w:themeShade="BF"/>
          <w:sz w:val="36"/>
          <w:szCs w:val="36"/>
        </w:rPr>
        <w:t xml:space="preserve">Geneva International Centre </w:t>
      </w:r>
      <w:r w:rsidRPr="00A87CBB">
        <w:rPr>
          <w:rFonts w:ascii="Viner Hand ITC" w:hAnsi="Viner Hand ITC"/>
          <w:color w:val="C49A00" w:themeColor="accent1" w:themeShade="BF"/>
          <w:sz w:val="36"/>
          <w:szCs w:val="36"/>
        </w:rPr>
        <w:t>for</w:t>
      </w:r>
      <w:r w:rsidRPr="00A87CBB">
        <w:rPr>
          <w:rFonts w:ascii="Century Gothic" w:hAnsi="Century Gothic"/>
          <w:b/>
          <w:bCs/>
          <w:color w:val="C49A00" w:themeColor="accent1" w:themeShade="BF"/>
          <w:sz w:val="36"/>
          <w:szCs w:val="36"/>
        </w:rPr>
        <w:t xml:space="preserve"> Justice</w:t>
      </w:r>
      <w:r w:rsidR="0079679F" w:rsidRPr="00A87CBB">
        <w:rPr>
          <w:rFonts w:ascii="Century Gothic" w:hAnsi="Century Gothic"/>
          <w:b/>
          <w:bCs/>
          <w:color w:val="C49A00" w:themeColor="accent1" w:themeShade="BF"/>
          <w:sz w:val="36"/>
          <w:szCs w:val="36"/>
        </w:rPr>
        <w:t xml:space="preserve"> (GICJ)</w:t>
      </w:r>
    </w:p>
    <w:p w14:paraId="6AA1F9F7" w14:textId="77777777" w:rsidR="000D18D0" w:rsidRPr="00AA58E0" w:rsidRDefault="000D18D0" w:rsidP="00AA58E0">
      <w:pPr>
        <w:jc w:val="center"/>
        <w:rPr>
          <w:sz w:val="32"/>
          <w:szCs w:val="32"/>
        </w:rPr>
      </w:pPr>
      <w:r w:rsidRPr="00AA58E0">
        <w:rPr>
          <w:sz w:val="32"/>
          <w:szCs w:val="32"/>
        </w:rPr>
        <w:t>to the</w:t>
      </w:r>
    </w:p>
    <w:p w14:paraId="62FF648D" w14:textId="77777777" w:rsidR="000D18D0" w:rsidRPr="00AA58E0" w:rsidRDefault="000D18D0" w:rsidP="00AA58E0">
      <w:pPr>
        <w:jc w:val="center"/>
        <w:rPr>
          <w:b/>
          <w:bCs/>
          <w:color w:val="C49A00" w:themeColor="accent1" w:themeShade="BF"/>
          <w:sz w:val="36"/>
          <w:szCs w:val="36"/>
        </w:rPr>
      </w:pPr>
      <w:r w:rsidRPr="00AA58E0">
        <w:rPr>
          <w:b/>
          <w:bCs/>
          <w:color w:val="C49A00" w:themeColor="accent1" w:themeShade="BF"/>
          <w:sz w:val="36"/>
          <w:szCs w:val="36"/>
        </w:rPr>
        <w:t xml:space="preserve">Committee on the Elimination of </w:t>
      </w:r>
      <w:r w:rsidR="0052443E">
        <w:rPr>
          <w:b/>
          <w:bCs/>
          <w:color w:val="C49A00" w:themeColor="accent1" w:themeShade="BF"/>
          <w:sz w:val="36"/>
          <w:szCs w:val="36"/>
        </w:rPr>
        <w:t>All Forms of</w:t>
      </w:r>
      <w:r w:rsidRPr="00AA58E0">
        <w:rPr>
          <w:b/>
          <w:bCs/>
          <w:color w:val="C49A00" w:themeColor="accent1" w:themeShade="BF"/>
          <w:sz w:val="36"/>
          <w:szCs w:val="36"/>
        </w:rPr>
        <w:t xml:space="preserve"> Discrimination</w:t>
      </w:r>
      <w:r w:rsidR="0052443E">
        <w:rPr>
          <w:b/>
          <w:bCs/>
          <w:color w:val="C49A00" w:themeColor="accent1" w:themeShade="BF"/>
          <w:sz w:val="36"/>
          <w:szCs w:val="36"/>
        </w:rPr>
        <w:t xml:space="preserve"> </w:t>
      </w:r>
      <w:r w:rsidR="00C170CA">
        <w:rPr>
          <w:b/>
          <w:bCs/>
          <w:color w:val="C49A00" w:themeColor="accent1" w:themeShade="BF"/>
          <w:sz w:val="36"/>
          <w:szCs w:val="36"/>
        </w:rPr>
        <w:t>A</w:t>
      </w:r>
      <w:r w:rsidR="0052443E">
        <w:rPr>
          <w:b/>
          <w:bCs/>
          <w:color w:val="C49A00" w:themeColor="accent1" w:themeShade="BF"/>
          <w:sz w:val="36"/>
          <w:szCs w:val="36"/>
        </w:rPr>
        <w:t>gainst Women</w:t>
      </w:r>
    </w:p>
    <w:p w14:paraId="7AC15DAB" w14:textId="77777777" w:rsidR="008F1B36" w:rsidRDefault="000D18D0" w:rsidP="00AA58E0">
      <w:pPr>
        <w:jc w:val="center"/>
        <w:rPr>
          <w:sz w:val="32"/>
          <w:szCs w:val="32"/>
        </w:rPr>
      </w:pPr>
      <w:r w:rsidRPr="00AA58E0">
        <w:rPr>
          <w:sz w:val="32"/>
          <w:szCs w:val="32"/>
        </w:rPr>
        <w:t>7</w:t>
      </w:r>
      <w:r w:rsidR="0052443E">
        <w:rPr>
          <w:sz w:val="32"/>
          <w:szCs w:val="32"/>
        </w:rPr>
        <w:t>4</w:t>
      </w:r>
      <w:r w:rsidRPr="00AA58E0">
        <w:rPr>
          <w:sz w:val="32"/>
          <w:szCs w:val="32"/>
          <w:vertAlign w:val="superscript"/>
        </w:rPr>
        <w:t>th</w:t>
      </w:r>
      <w:r w:rsidRPr="00AA58E0">
        <w:rPr>
          <w:sz w:val="32"/>
          <w:szCs w:val="32"/>
        </w:rPr>
        <w:t xml:space="preserve"> Session</w:t>
      </w:r>
    </w:p>
    <w:p w14:paraId="67337144" w14:textId="77777777" w:rsidR="0079679F" w:rsidRDefault="0052443E" w:rsidP="002953F5">
      <w:pPr>
        <w:jc w:val="center"/>
        <w:rPr>
          <w:sz w:val="32"/>
          <w:szCs w:val="32"/>
        </w:rPr>
      </w:pPr>
      <w:r>
        <w:rPr>
          <w:sz w:val="32"/>
          <w:szCs w:val="32"/>
        </w:rPr>
        <w:t>21 October</w:t>
      </w:r>
      <w:r w:rsidR="000D18D0" w:rsidRPr="00AA58E0">
        <w:rPr>
          <w:sz w:val="32"/>
          <w:szCs w:val="32"/>
        </w:rPr>
        <w:t xml:space="preserve"> </w:t>
      </w:r>
      <w:r w:rsidR="008F1B36">
        <w:rPr>
          <w:sz w:val="32"/>
          <w:szCs w:val="32"/>
        </w:rPr>
        <w:t xml:space="preserve">– </w:t>
      </w:r>
      <w:r>
        <w:rPr>
          <w:sz w:val="32"/>
          <w:szCs w:val="32"/>
        </w:rPr>
        <w:t>8 Novem</w:t>
      </w:r>
      <w:r w:rsidR="000D18D0" w:rsidRPr="00AA58E0">
        <w:rPr>
          <w:sz w:val="32"/>
          <w:szCs w:val="32"/>
        </w:rPr>
        <w:t>ber 201</w:t>
      </w:r>
      <w:r>
        <w:rPr>
          <w:sz w:val="32"/>
          <w:szCs w:val="32"/>
        </w:rPr>
        <w:t>9</w:t>
      </w:r>
    </w:p>
    <w:p w14:paraId="3B8D1931" w14:textId="77777777" w:rsidR="006F11B4" w:rsidRDefault="00D52F5C" w:rsidP="002953F5">
      <w:pPr>
        <w:jc w:val="center"/>
        <w:rPr>
          <w:color w:val="C49A00"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63458085" wp14:editId="7C60629A">
                <wp:simplePos x="0" y="0"/>
                <wp:positionH relativeFrom="page">
                  <wp:posOffset>-1123950</wp:posOffset>
                </wp:positionH>
                <wp:positionV relativeFrom="paragraph">
                  <wp:posOffset>1087120</wp:posOffset>
                </wp:positionV>
                <wp:extent cx="9413240" cy="3241675"/>
                <wp:effectExtent l="19050" t="24765" r="35560" b="48260"/>
                <wp:wrapNone/>
                <wp:docPr id="1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13240" cy="3241675"/>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txbx>
                        <w:txbxContent>
                          <w:p w14:paraId="213BFEF4" w14:textId="77777777" w:rsidR="00B745BB" w:rsidRPr="00F239B5" w:rsidRDefault="00B745BB" w:rsidP="005801A5">
                            <w:pPr>
                              <w:jc w:val="center"/>
                              <w:rPr>
                                <w:b/>
                                <w:bCs/>
                                <w:color w:val="FFE99C" w:themeColor="accent1" w:themeTint="66"/>
                              </w:rPr>
                            </w:pPr>
                            <w:r w:rsidRPr="00F239B5">
                              <w:rPr>
                                <w:b/>
                                <w:bCs/>
                                <w:color w:val="FFE99C" w:themeColor="accent1" w:themeTint="66"/>
                              </w:rPr>
                              <w:t xml:space="preserve">Geneva International Centre </w:t>
                            </w:r>
                            <w:r w:rsidRPr="00F239B5">
                              <w:rPr>
                                <w:rFonts w:ascii="Viner Hand ITC" w:hAnsi="Viner Hand ITC"/>
                                <w:b/>
                                <w:bCs/>
                                <w:color w:val="FFE99C" w:themeColor="accent1" w:themeTint="66"/>
                              </w:rPr>
                              <w:t>for</w:t>
                            </w:r>
                            <w:r w:rsidRPr="00F239B5">
                              <w:rPr>
                                <w:b/>
                                <w:bCs/>
                                <w:color w:val="FFE99C" w:themeColor="accent1" w:themeTint="66"/>
                              </w:rPr>
                              <w:t xml:space="preserve"> Justice (GICJ)</w:t>
                            </w:r>
                          </w:p>
                          <w:p w14:paraId="15B0918A" w14:textId="77777777" w:rsidR="00B745BB" w:rsidRPr="00EB2267" w:rsidRDefault="00B745BB"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31CC05C5" w14:textId="77777777" w:rsidR="00B745BB" w:rsidRDefault="00B745BB" w:rsidP="005801A5">
                            <w:pPr>
                              <w:jc w:val="center"/>
                            </w:pPr>
                            <w:r w:rsidRPr="005801A5">
                              <w:rPr>
                                <w:b/>
                                <w:bCs/>
                              </w:rPr>
                              <w:t>Postal address</w:t>
                            </w:r>
                            <w:r w:rsidRPr="005801A5">
                              <w:t>: P.O. Box GICJ 598, Vernier, CH 1214 Geneva, Switzerland</w:t>
                            </w:r>
                          </w:p>
                          <w:p w14:paraId="7B06179A" w14:textId="77777777" w:rsidR="00B745BB" w:rsidRPr="005801A5" w:rsidRDefault="00B745BB" w:rsidP="005801A5">
                            <w:pPr>
                              <w:jc w:val="center"/>
                            </w:pPr>
                            <w:r w:rsidRPr="005801A5">
                              <w:rPr>
                                <w:b/>
                                <w:bCs/>
                              </w:rPr>
                              <w:t>Office</w:t>
                            </w:r>
                            <w:r w:rsidRPr="005801A5">
                              <w:t>: 150 Route de Ferney, CH 1211 Genev</w:t>
                            </w:r>
                            <w:r>
                              <w:t>a, Switzerland</w:t>
                            </w:r>
                          </w:p>
                          <w:p w14:paraId="33C46243" w14:textId="77777777" w:rsidR="00B745BB" w:rsidRPr="00A87CBB" w:rsidRDefault="00A51133" w:rsidP="005801A5">
                            <w:pPr>
                              <w:jc w:val="center"/>
                              <w:rPr>
                                <w:b/>
                                <w:bCs/>
                                <w:color w:val="FFFFFF" w:themeColor="background1"/>
                                <w:lang w:val="fr-FR"/>
                              </w:rPr>
                            </w:pPr>
                            <w:hyperlink r:id="rId9" w:history="1">
                              <w:r w:rsidR="00B745BB" w:rsidRPr="00A87CBB">
                                <w:rPr>
                                  <w:rStyle w:val="Hyperlink"/>
                                  <w:b/>
                                  <w:bCs/>
                                  <w:color w:val="FFFFFF" w:themeColor="background1"/>
                                  <w:u w:val="none"/>
                                  <w:lang w:val="fr-FR"/>
                                </w:rPr>
                                <w:t>www.gicj.org</w:t>
                              </w:r>
                            </w:hyperlink>
                          </w:p>
                          <w:p w14:paraId="0FFA6CCC" w14:textId="77777777" w:rsidR="00B745BB" w:rsidRPr="00AA58E0" w:rsidRDefault="00B745BB" w:rsidP="005801A5">
                            <w:pPr>
                              <w:jc w:val="center"/>
                              <w:rPr>
                                <w:b/>
                                <w:bCs/>
                                <w:lang w:val="fr-FR"/>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3458085" id="Rectangle 3" o:spid="_x0000_s1027" style="position:absolute;left:0;text-align:left;margin-left:-88.5pt;margin-top:85.6pt;width:741.2pt;height:255.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" fillcolor="#9c6a6a [3209]" strokecolor="#f2f2f2 [3041]" strokeweight="3pt">
                <v:shadow on="t" color="#4e3434 [1609]" opacity=".5" offset="1pt"/>
                <v:textbox>
                  <w:txbxContent>
                    <w:p w14:paraId="213BFEF4" w14:textId="77777777" w:rsidR="00B745BB" w:rsidRPr="00F239B5" w:rsidRDefault="00B745BB" w:rsidP="005801A5">
                      <w:pPr>
                        <w:jc w:val="center"/>
                        <w:rPr>
                          <w:b/>
                          <w:bCs/>
                          <w:color w:val="FFE99C" w:themeColor="accent1" w:themeTint="66"/>
                        </w:rPr>
                      </w:pPr>
                      <w:r w:rsidRPr="00F239B5">
                        <w:rPr>
                          <w:b/>
                          <w:bCs/>
                          <w:color w:val="FFE99C" w:themeColor="accent1" w:themeTint="66"/>
                        </w:rPr>
                        <w:t xml:space="preserve">Geneva International Centre </w:t>
                      </w:r>
                      <w:r w:rsidRPr="00F239B5">
                        <w:rPr>
                          <w:rFonts w:ascii="Viner Hand ITC" w:hAnsi="Viner Hand ITC"/>
                          <w:b/>
                          <w:bCs/>
                          <w:color w:val="FFE99C" w:themeColor="accent1" w:themeTint="66"/>
                        </w:rPr>
                        <w:t>for</w:t>
                      </w:r>
                      <w:r w:rsidRPr="00F239B5">
                        <w:rPr>
                          <w:b/>
                          <w:bCs/>
                          <w:color w:val="FFE99C" w:themeColor="accent1" w:themeTint="66"/>
                        </w:rPr>
                        <w:t xml:space="preserve"> Justice (GICJ)</w:t>
                      </w:r>
                    </w:p>
                    <w:p w14:paraId="15B0918A" w14:textId="77777777" w:rsidR="00B745BB" w:rsidRPr="00EB2267" w:rsidRDefault="00B745BB"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31CC05C5" w14:textId="77777777" w:rsidR="00B745BB" w:rsidRDefault="00B745BB" w:rsidP="005801A5">
                      <w:pPr>
                        <w:jc w:val="center"/>
                      </w:pPr>
                      <w:r w:rsidRPr="005801A5">
                        <w:rPr>
                          <w:b/>
                          <w:bCs/>
                        </w:rPr>
                        <w:t>Postal address</w:t>
                      </w:r>
                      <w:r w:rsidRPr="005801A5">
                        <w:t>: P.O. Box GICJ 598, Vernier, CH 1214 Geneva, Switzerland</w:t>
                      </w:r>
                    </w:p>
                    <w:p w14:paraId="7B06179A" w14:textId="77777777" w:rsidR="00B745BB" w:rsidRPr="005801A5" w:rsidRDefault="00B745BB" w:rsidP="005801A5">
                      <w:pPr>
                        <w:jc w:val="center"/>
                      </w:pPr>
                      <w:r w:rsidRPr="005801A5">
                        <w:rPr>
                          <w:b/>
                          <w:bCs/>
                        </w:rPr>
                        <w:t>Office</w:t>
                      </w:r>
                      <w:r w:rsidRPr="005801A5">
                        <w:t>: 150 Route de Ferney, CH 1211 Genev</w:t>
                      </w:r>
                      <w:r>
                        <w:t>a, Switzerland</w:t>
                      </w:r>
                    </w:p>
                    <w:p w14:paraId="33C46243" w14:textId="77777777" w:rsidR="00B745BB" w:rsidRPr="00A87CBB" w:rsidRDefault="00A51133" w:rsidP="005801A5">
                      <w:pPr>
                        <w:jc w:val="center"/>
                        <w:rPr>
                          <w:b/>
                          <w:bCs/>
                          <w:color w:val="FFFFFF" w:themeColor="background1"/>
                          <w:lang w:val="fr-FR"/>
                        </w:rPr>
                      </w:pPr>
                      <w:hyperlink r:id="rId10" w:history="1">
                        <w:r w:rsidR="00B745BB" w:rsidRPr="00A87CBB">
                          <w:rPr>
                            <w:rStyle w:val="Hyperlink"/>
                            <w:b/>
                            <w:bCs/>
                            <w:color w:val="FFFFFF" w:themeColor="background1"/>
                            <w:u w:val="none"/>
                            <w:lang w:val="fr-FR"/>
                          </w:rPr>
                          <w:t>www.gicj.org</w:t>
                        </w:r>
                      </w:hyperlink>
                    </w:p>
                    <w:p w14:paraId="0FFA6CCC" w14:textId="77777777" w:rsidR="00B745BB" w:rsidRPr="00AA58E0" w:rsidRDefault="00B745BB" w:rsidP="005801A5">
                      <w:pPr>
                        <w:jc w:val="center"/>
                        <w:rPr>
                          <w:b/>
                          <w:bCs/>
                          <w:lang w:val="fr-FR"/>
                        </w:rPr>
                      </w:pPr>
                    </w:p>
                  </w:txbxContent>
                </v:textbox>
                <w10:wrap anchorx="page"/>
              </v:rect>
            </w:pict>
          </mc:Fallback>
        </mc:AlternateContent>
      </w:r>
      <w:r w:rsidR="0079679F" w:rsidRPr="0079679F">
        <w:rPr>
          <w:sz w:val="32"/>
          <w:szCs w:val="32"/>
        </w:rPr>
        <w:t>Geneva, Switzerland</w:t>
      </w:r>
      <w:r w:rsidR="008159BD">
        <w:br w:type="page"/>
      </w:r>
    </w:p>
    <w:p w14:paraId="2F0C3E53" w14:textId="77777777" w:rsidR="00B365AC" w:rsidRDefault="00D52F5C">
      <w:pPr>
        <w:rPr>
          <w:color w:val="C49A00" w:themeColor="accent1" w:themeShade="BF"/>
          <w:sz w:val="32"/>
          <w:szCs w:val="32"/>
        </w:rPr>
      </w:pPr>
      <w:r>
        <w:rPr>
          <w:noProof/>
        </w:rPr>
        <w:lastRenderedPageBreak/>
        <mc:AlternateContent>
          <mc:Choice Requires="wps">
            <w:drawing>
              <wp:anchor distT="0" distB="0" distL="114300" distR="114300" simplePos="0" relativeHeight="251673600" behindDoc="0" locked="0" layoutInCell="1" allowOverlap="1" wp14:anchorId="18B3AA8E" wp14:editId="3FA2BFC2">
                <wp:simplePos x="0" y="0"/>
                <wp:positionH relativeFrom="column">
                  <wp:posOffset>-1038225</wp:posOffset>
                </wp:positionH>
                <wp:positionV relativeFrom="paragraph">
                  <wp:posOffset>-1018540</wp:posOffset>
                </wp:positionV>
                <wp:extent cx="9353550" cy="904875"/>
                <wp:effectExtent l="19050" t="19050" r="38100" b="66675"/>
                <wp:wrapNone/>
                <wp:docPr id="1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3550" cy="904875"/>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3CF5B11" id="Rectangle 13" o:spid="_x0000_s1026" style="position:absolute;margin-left:-81.75pt;margin-top:-80.2pt;width:736.5pt;height:7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" fillcolor="#9c6a6a [3209]" strokecolor="#f2f2f2 [3041]" strokeweight="3pt">
                <v:shadow on="t" color="#4e3434 [1609]" opacity=".5" offset="1pt"/>
              </v:rect>
            </w:pict>
          </mc:Fallback>
        </mc:AlternateContent>
      </w:r>
    </w:p>
    <w:p w14:paraId="03BFC19C" w14:textId="77777777" w:rsidR="00B365AC" w:rsidRDefault="00B365AC">
      <w:pPr>
        <w:rPr>
          <w:color w:val="C49A00" w:themeColor="accent1" w:themeShade="BF"/>
          <w:sz w:val="32"/>
          <w:szCs w:val="32"/>
        </w:rPr>
      </w:pPr>
    </w:p>
    <w:p w14:paraId="6E732DC6" w14:textId="77777777" w:rsidR="00F239B5" w:rsidRDefault="00D52F5C">
      <w:pPr>
        <w:rPr>
          <w:color w:val="C49A00" w:themeColor="accent1" w:themeShade="BF"/>
          <w:sz w:val="32"/>
          <w:szCs w:val="32"/>
        </w:rPr>
      </w:pPr>
      <w:bookmarkStart w:id="0" w:name="_GoBack"/>
      <w:r>
        <w:rPr>
          <w:noProof/>
          <w:color w:val="C49A00" w:themeColor="accent1" w:themeShade="BF"/>
          <w:sz w:val="32"/>
          <w:szCs w:val="32"/>
        </w:rPr>
        <mc:AlternateContent>
          <mc:Choice Requires="wps">
            <w:drawing>
              <wp:anchor distT="0" distB="0" distL="114300" distR="114300" simplePos="0" relativeHeight="251681792" behindDoc="0" locked="0" layoutInCell="1" allowOverlap="1" wp14:anchorId="61A35BD4" wp14:editId="5306B280">
                <wp:simplePos x="0" y="0"/>
                <wp:positionH relativeFrom="page">
                  <wp:posOffset>-266700</wp:posOffset>
                </wp:positionH>
                <wp:positionV relativeFrom="paragraph">
                  <wp:posOffset>7785735</wp:posOffset>
                </wp:positionV>
                <wp:extent cx="8572500" cy="1403985"/>
                <wp:effectExtent l="19050" t="27305" r="38100" b="4508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0" cy="1403985"/>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19EA97" id="Rectangle 14" o:spid="_x0000_s1026" style="position:absolute;margin-left:-21pt;margin-top:613.05pt;width:675pt;height:110.5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" fillcolor="#9c6a6a [3209]" strokecolor="#f2f2f2 [3041]" strokeweight="3pt">
                <v:shadow on="t" color="#4e3434 [1609]" opacity=".5" offset="1pt"/>
                <w10:wrap anchorx="page"/>
              </v:rect>
            </w:pict>
          </mc:Fallback>
        </mc:AlternateContent>
      </w:r>
      <w:bookmarkEnd w:id="0"/>
      <w:r w:rsidR="00F239B5">
        <w:rPr>
          <w:color w:val="C49A00" w:themeColor="accent1" w:themeShade="BF"/>
          <w:sz w:val="32"/>
          <w:szCs w:val="32"/>
        </w:rPr>
        <w:br w:type="page"/>
      </w:r>
    </w:p>
    <w:p w14:paraId="53AFF64C" w14:textId="77777777" w:rsidR="00B365AC" w:rsidRDefault="00D52F5C">
      <w:pPr>
        <w:rPr>
          <w:color w:val="C49A00" w:themeColor="accent1" w:themeShade="BF"/>
          <w:sz w:val="32"/>
          <w:szCs w:val="32"/>
        </w:rPr>
      </w:pPr>
      <w:r>
        <w:rPr>
          <w:noProof/>
          <w:color w:val="C49A00" w:themeColor="accent1" w:themeShade="BF"/>
          <w:sz w:val="32"/>
          <w:szCs w:val="32"/>
        </w:rPr>
        <w:lastRenderedPageBreak/>
        <mc:AlternateContent>
          <mc:Choice Requires="wps">
            <w:drawing>
              <wp:anchor distT="0" distB="0" distL="114300" distR="114300" simplePos="0" relativeHeight="251680768" behindDoc="0" locked="0" layoutInCell="1" allowOverlap="1" wp14:anchorId="42FAB436" wp14:editId="26E0620C">
                <wp:simplePos x="0" y="0"/>
                <wp:positionH relativeFrom="column">
                  <wp:posOffset>-1135982</wp:posOffset>
                </wp:positionH>
                <wp:positionV relativeFrom="paragraph">
                  <wp:posOffset>-1199482</wp:posOffset>
                </wp:positionV>
                <wp:extent cx="9353550" cy="1133442"/>
                <wp:effectExtent l="19050" t="19050" r="38100" b="4826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3550" cy="1133442"/>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BBA5F1B" id="Rectangle 13" o:spid="_x0000_s1026" style="position:absolute;margin-left:-89.45pt;margin-top:-94.45pt;width:736.5pt;height:89.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" fillcolor="#9c6a6a [3209]" strokecolor="#f2f2f2 [3041]" strokeweight="3pt">
                <v:shadow on="t" color="#4e3434 [1609]" opacity=".5" offset="1pt"/>
              </v:rect>
            </w:pict>
          </mc:Fallback>
        </mc:AlternateContent>
      </w:r>
    </w:p>
    <w:p w14:paraId="208894B5" w14:textId="77777777" w:rsidR="00B365AC" w:rsidRDefault="00B365AC">
      <w:pPr>
        <w:rPr>
          <w:color w:val="C49A00" w:themeColor="accent1" w:themeShade="BF"/>
          <w:sz w:val="32"/>
          <w:szCs w:val="32"/>
        </w:rPr>
      </w:pPr>
    </w:p>
    <w:p w14:paraId="32BDA817" w14:textId="77777777" w:rsidR="00B365AC" w:rsidRDefault="00B365AC">
      <w:pPr>
        <w:rPr>
          <w:color w:val="C49A00" w:themeColor="accent1" w:themeShade="BF"/>
          <w:sz w:val="32"/>
          <w:szCs w:val="32"/>
        </w:rPr>
      </w:pPr>
    </w:p>
    <w:p w14:paraId="30E64702" w14:textId="77777777" w:rsidR="00B365AC" w:rsidRDefault="00B365AC">
      <w:pPr>
        <w:rPr>
          <w:color w:val="C49A00" w:themeColor="accent1" w:themeShade="BF"/>
          <w:sz w:val="32"/>
          <w:szCs w:val="32"/>
        </w:rPr>
      </w:pPr>
    </w:p>
    <w:p w14:paraId="0D3EEA9A" w14:textId="77777777" w:rsidR="00B365AC" w:rsidRDefault="00D52F5C">
      <w:pPr>
        <w:rPr>
          <w:color w:val="C49A00" w:themeColor="accent1" w:themeShade="BF"/>
          <w:sz w:val="32"/>
          <w:szCs w:val="32"/>
        </w:rPr>
      </w:pPr>
      <w:r>
        <w:rPr>
          <w:noProof/>
          <w:color w:val="C49A00" w:themeColor="accent1" w:themeShade="BF"/>
          <w:sz w:val="32"/>
          <w:szCs w:val="32"/>
        </w:rPr>
        <mc:AlternateContent>
          <mc:Choice Requires="wps">
            <w:drawing>
              <wp:anchor distT="0" distB="0" distL="114300" distR="114300" simplePos="0" relativeHeight="251670528" behindDoc="0" locked="0" layoutInCell="1" allowOverlap="1" wp14:anchorId="091E2574" wp14:editId="648F845E">
                <wp:simplePos x="0" y="0"/>
                <wp:positionH relativeFrom="column">
                  <wp:posOffset>962025</wp:posOffset>
                </wp:positionH>
                <wp:positionV relativeFrom="paragraph">
                  <wp:posOffset>71120</wp:posOffset>
                </wp:positionV>
                <wp:extent cx="4017010" cy="3762375"/>
                <wp:effectExtent l="9525" t="13970" r="21590" b="33655"/>
                <wp:wrapNone/>
                <wp:docPr id="11"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7010" cy="3762375"/>
                        </a:xfrm>
                        <a:prstGeom prst="ellipse">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cmpd="sng">
                          <a:solidFill>
                            <a:schemeClr val="accent6">
                              <a:lumMod val="60000"/>
                              <a:lumOff val="40000"/>
                            </a:schemeClr>
                          </a:solidFill>
                          <a:prstDash val="solid"/>
                          <a:miter lim="800000"/>
                          <a:headEnd/>
                          <a:tailEnd/>
                        </a:ln>
                        <a:effectLst>
                          <a:outerShdw dist="28398" dir="3806097" algn="ctr" rotWithShape="0">
                            <a:schemeClr val="accent6">
                              <a:lumMod val="50000"/>
                              <a:lumOff val="0"/>
                              <a:alpha val="50000"/>
                            </a:schemeClr>
                          </a:outerShdw>
                        </a:effectLst>
                      </wps:spPr>
                      <wps:txbx>
                        <w:txbxContent>
                          <w:p w14:paraId="6B2B9E5B" w14:textId="77777777" w:rsidR="00B365AC" w:rsidRPr="00E80748" w:rsidRDefault="00B365AC" w:rsidP="00B365AC">
                            <w:pPr>
                              <w:ind w:right="26"/>
                              <w:jc w:val="center"/>
                              <w:rPr>
                                <w:rFonts w:asciiTheme="majorBidi" w:hAnsiTheme="majorBidi" w:cstheme="majorBidi"/>
                              </w:rPr>
                            </w:pPr>
                          </w:p>
                          <w:p w14:paraId="0366F376" w14:textId="77777777" w:rsidR="00B365AC" w:rsidRDefault="00B365AC" w:rsidP="00B365AC">
                            <w:pPr>
                              <w:ind w:right="26"/>
                              <w:jc w:val="center"/>
                              <w:rPr>
                                <w:rFonts w:asciiTheme="majorBidi" w:hAnsiTheme="majorBidi" w:cstheme="majorBidi"/>
                                <w:sz w:val="24"/>
                                <w:szCs w:val="24"/>
                              </w:rPr>
                            </w:pPr>
                            <w:r w:rsidRPr="00E80748">
                              <w:rPr>
                                <w:rFonts w:asciiTheme="majorBidi" w:hAnsiTheme="majorBidi" w:cstheme="majorBidi"/>
                                <w:sz w:val="24"/>
                                <w:szCs w:val="24"/>
                              </w:rPr>
                              <w:t xml:space="preserve">This document is submitted by Geneva International Centre for Justice (GICJ), as an alternative report for consideration by the Committee on the Elimination of </w:t>
                            </w:r>
                            <w:r w:rsidR="000B41CA" w:rsidRPr="00E80748">
                              <w:rPr>
                                <w:rFonts w:asciiTheme="majorBidi" w:hAnsiTheme="majorBidi" w:cstheme="majorBidi"/>
                                <w:sz w:val="24"/>
                                <w:szCs w:val="24"/>
                              </w:rPr>
                              <w:t>All Forms of</w:t>
                            </w:r>
                            <w:r w:rsidRPr="00E80748">
                              <w:rPr>
                                <w:rFonts w:asciiTheme="majorBidi" w:hAnsiTheme="majorBidi" w:cstheme="majorBidi"/>
                                <w:sz w:val="24"/>
                                <w:szCs w:val="24"/>
                              </w:rPr>
                              <w:t xml:space="preserve"> Discrimination </w:t>
                            </w:r>
                            <w:r w:rsidR="000B41CA" w:rsidRPr="00E80748">
                              <w:rPr>
                                <w:rFonts w:asciiTheme="majorBidi" w:hAnsiTheme="majorBidi" w:cstheme="majorBidi"/>
                                <w:sz w:val="24"/>
                                <w:szCs w:val="24"/>
                              </w:rPr>
                              <w:t xml:space="preserve">against Women </w:t>
                            </w:r>
                            <w:r w:rsidRPr="00E80748">
                              <w:rPr>
                                <w:rFonts w:asciiTheme="majorBidi" w:hAnsiTheme="majorBidi" w:cstheme="majorBidi"/>
                                <w:sz w:val="24"/>
                                <w:szCs w:val="24"/>
                              </w:rPr>
                              <w:t>(CED</w:t>
                            </w:r>
                            <w:r w:rsidR="000B41CA" w:rsidRPr="00E80748">
                              <w:rPr>
                                <w:rFonts w:asciiTheme="majorBidi" w:hAnsiTheme="majorBidi" w:cstheme="majorBidi"/>
                                <w:sz w:val="24"/>
                                <w:szCs w:val="24"/>
                              </w:rPr>
                              <w:t>AW</w:t>
                            </w:r>
                            <w:r w:rsidRPr="00E80748">
                              <w:rPr>
                                <w:rFonts w:asciiTheme="majorBidi" w:hAnsiTheme="majorBidi" w:cstheme="majorBidi"/>
                                <w:sz w:val="24"/>
                                <w:szCs w:val="24"/>
                              </w:rPr>
                              <w:t>) during its review of the State Party Report of Iraq.</w:t>
                            </w:r>
                          </w:p>
                          <w:p w14:paraId="1F96A6A6" w14:textId="77777777" w:rsidR="00F7551B" w:rsidRPr="00F7551B" w:rsidRDefault="00F7551B" w:rsidP="00B365AC">
                            <w:pPr>
                              <w:ind w:right="26"/>
                              <w:jc w:val="center"/>
                              <w:rPr>
                                <w:rFonts w:asciiTheme="majorBidi" w:hAnsiTheme="majorBidi" w:cstheme="majorBidi"/>
                                <w:sz w:val="28"/>
                                <w:szCs w:val="28"/>
                              </w:rPr>
                            </w:pPr>
                          </w:p>
                          <w:p w14:paraId="7183EB4B" w14:textId="77777777" w:rsidR="00B365AC" w:rsidRPr="00F7551B" w:rsidRDefault="000B41CA" w:rsidP="00B365AC">
                            <w:pPr>
                              <w:ind w:right="26"/>
                              <w:jc w:val="center"/>
                              <w:rPr>
                                <w:rFonts w:asciiTheme="majorBidi" w:hAnsiTheme="majorBidi" w:cstheme="majorBidi"/>
                                <w:sz w:val="28"/>
                                <w:szCs w:val="28"/>
                              </w:rPr>
                            </w:pPr>
                            <w:r w:rsidRPr="00F7551B">
                              <w:rPr>
                                <w:rFonts w:asciiTheme="majorBidi" w:hAnsiTheme="majorBidi" w:cstheme="majorBidi"/>
                                <w:sz w:val="28"/>
                                <w:szCs w:val="28"/>
                              </w:rPr>
                              <w:t>October</w:t>
                            </w:r>
                            <w:r w:rsidR="00B365AC" w:rsidRPr="00F7551B">
                              <w:rPr>
                                <w:rFonts w:asciiTheme="majorBidi" w:hAnsiTheme="majorBidi" w:cstheme="majorBidi"/>
                                <w:sz w:val="28"/>
                                <w:szCs w:val="28"/>
                              </w:rPr>
                              <w:t xml:space="preserve"> 201</w:t>
                            </w:r>
                            <w:r w:rsidRPr="00F7551B">
                              <w:rPr>
                                <w:rFonts w:asciiTheme="majorBidi" w:hAnsiTheme="majorBidi" w:cstheme="majorBidi"/>
                                <w:sz w:val="28"/>
                                <w:szCs w:val="28"/>
                              </w:rPr>
                              <w:t>9</w:t>
                            </w:r>
                          </w:p>
                          <w:p w14:paraId="6CE696E7" w14:textId="77777777" w:rsidR="00B365AC" w:rsidRPr="00E80748" w:rsidRDefault="00B365AC" w:rsidP="00B365AC">
                            <w:pPr>
                              <w:ind w:right="26"/>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091E2574" id="Oval 9" o:spid="_x0000_s1028" style="position:absolute;margin-left:75.75pt;margin-top:5.6pt;width:316.3pt;height:29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" fillcolor="#c3a5a5 [1945]" strokecolor="#c3a5a5 [1945]" strokeweight="1pt">
                <v:fill color2="#ebe1e1 [665]" angle="135" focus="50%" type="gradient"/>
                <v:stroke joinstyle="miter"/>
                <v:shadow on="t" color="#4e3434 [1609]" opacity=".5" offset="1pt"/>
                <v:textbox>
                  <w:txbxContent>
                    <w:p w14:paraId="6B2B9E5B" w14:textId="77777777" w:rsidR="00B365AC" w:rsidRPr="00E80748" w:rsidRDefault="00B365AC" w:rsidP="00B365AC">
                      <w:pPr>
                        <w:ind w:right="26"/>
                        <w:jc w:val="center"/>
                        <w:rPr>
                          <w:rFonts w:asciiTheme="majorBidi" w:hAnsiTheme="majorBidi" w:cstheme="majorBidi"/>
                        </w:rPr>
                      </w:pPr>
                    </w:p>
                    <w:p w14:paraId="0366F376" w14:textId="77777777" w:rsidR="00B365AC" w:rsidRDefault="00B365AC" w:rsidP="00B365AC">
                      <w:pPr>
                        <w:ind w:right="26"/>
                        <w:jc w:val="center"/>
                        <w:rPr>
                          <w:rFonts w:asciiTheme="majorBidi" w:hAnsiTheme="majorBidi" w:cstheme="majorBidi"/>
                          <w:sz w:val="24"/>
                          <w:szCs w:val="24"/>
                        </w:rPr>
                      </w:pPr>
                      <w:r w:rsidRPr="00E80748">
                        <w:rPr>
                          <w:rFonts w:asciiTheme="majorBidi" w:hAnsiTheme="majorBidi" w:cstheme="majorBidi"/>
                          <w:sz w:val="24"/>
                          <w:szCs w:val="24"/>
                        </w:rPr>
                        <w:t xml:space="preserve">This document is submitted by Geneva International Centre for Justice (GICJ), as an alternative report for consideration by the Committee on the Elimination of </w:t>
                      </w:r>
                      <w:r w:rsidR="000B41CA" w:rsidRPr="00E80748">
                        <w:rPr>
                          <w:rFonts w:asciiTheme="majorBidi" w:hAnsiTheme="majorBidi" w:cstheme="majorBidi"/>
                          <w:sz w:val="24"/>
                          <w:szCs w:val="24"/>
                        </w:rPr>
                        <w:t>All Forms of</w:t>
                      </w:r>
                      <w:r w:rsidRPr="00E80748">
                        <w:rPr>
                          <w:rFonts w:asciiTheme="majorBidi" w:hAnsiTheme="majorBidi" w:cstheme="majorBidi"/>
                          <w:sz w:val="24"/>
                          <w:szCs w:val="24"/>
                        </w:rPr>
                        <w:t xml:space="preserve"> Discrimination </w:t>
                      </w:r>
                      <w:r w:rsidR="000B41CA" w:rsidRPr="00E80748">
                        <w:rPr>
                          <w:rFonts w:asciiTheme="majorBidi" w:hAnsiTheme="majorBidi" w:cstheme="majorBidi"/>
                          <w:sz w:val="24"/>
                          <w:szCs w:val="24"/>
                        </w:rPr>
                        <w:t xml:space="preserve">against Women </w:t>
                      </w:r>
                      <w:r w:rsidRPr="00E80748">
                        <w:rPr>
                          <w:rFonts w:asciiTheme="majorBidi" w:hAnsiTheme="majorBidi" w:cstheme="majorBidi"/>
                          <w:sz w:val="24"/>
                          <w:szCs w:val="24"/>
                        </w:rPr>
                        <w:t>(CED</w:t>
                      </w:r>
                      <w:r w:rsidR="000B41CA" w:rsidRPr="00E80748">
                        <w:rPr>
                          <w:rFonts w:asciiTheme="majorBidi" w:hAnsiTheme="majorBidi" w:cstheme="majorBidi"/>
                          <w:sz w:val="24"/>
                          <w:szCs w:val="24"/>
                        </w:rPr>
                        <w:t>AW</w:t>
                      </w:r>
                      <w:r w:rsidRPr="00E80748">
                        <w:rPr>
                          <w:rFonts w:asciiTheme="majorBidi" w:hAnsiTheme="majorBidi" w:cstheme="majorBidi"/>
                          <w:sz w:val="24"/>
                          <w:szCs w:val="24"/>
                        </w:rPr>
                        <w:t>) during its review of the State Party Report of Iraq.</w:t>
                      </w:r>
                    </w:p>
                    <w:p w14:paraId="1F96A6A6" w14:textId="77777777" w:rsidR="00F7551B" w:rsidRPr="00F7551B" w:rsidRDefault="00F7551B" w:rsidP="00B365AC">
                      <w:pPr>
                        <w:ind w:right="26"/>
                        <w:jc w:val="center"/>
                        <w:rPr>
                          <w:rFonts w:asciiTheme="majorBidi" w:hAnsiTheme="majorBidi" w:cstheme="majorBidi"/>
                          <w:sz w:val="28"/>
                          <w:szCs w:val="28"/>
                        </w:rPr>
                      </w:pPr>
                    </w:p>
                    <w:p w14:paraId="7183EB4B" w14:textId="77777777" w:rsidR="00B365AC" w:rsidRPr="00F7551B" w:rsidRDefault="000B41CA" w:rsidP="00B365AC">
                      <w:pPr>
                        <w:ind w:right="26"/>
                        <w:jc w:val="center"/>
                        <w:rPr>
                          <w:rFonts w:asciiTheme="majorBidi" w:hAnsiTheme="majorBidi" w:cstheme="majorBidi"/>
                          <w:sz w:val="28"/>
                          <w:szCs w:val="28"/>
                        </w:rPr>
                      </w:pPr>
                      <w:r w:rsidRPr="00F7551B">
                        <w:rPr>
                          <w:rFonts w:asciiTheme="majorBidi" w:hAnsiTheme="majorBidi" w:cstheme="majorBidi"/>
                          <w:sz w:val="28"/>
                          <w:szCs w:val="28"/>
                        </w:rPr>
                        <w:t>October</w:t>
                      </w:r>
                      <w:r w:rsidR="00B365AC" w:rsidRPr="00F7551B">
                        <w:rPr>
                          <w:rFonts w:asciiTheme="majorBidi" w:hAnsiTheme="majorBidi" w:cstheme="majorBidi"/>
                          <w:sz w:val="28"/>
                          <w:szCs w:val="28"/>
                        </w:rPr>
                        <w:t xml:space="preserve"> 201</w:t>
                      </w:r>
                      <w:r w:rsidRPr="00F7551B">
                        <w:rPr>
                          <w:rFonts w:asciiTheme="majorBidi" w:hAnsiTheme="majorBidi" w:cstheme="majorBidi"/>
                          <w:sz w:val="28"/>
                          <w:szCs w:val="28"/>
                        </w:rPr>
                        <w:t>9</w:t>
                      </w:r>
                    </w:p>
                    <w:p w14:paraId="6CE696E7" w14:textId="77777777" w:rsidR="00B365AC" w:rsidRPr="00E80748" w:rsidRDefault="00B365AC" w:rsidP="00B365AC">
                      <w:pPr>
                        <w:ind w:right="26"/>
                        <w:jc w:val="center"/>
                      </w:pPr>
                    </w:p>
                  </w:txbxContent>
                </v:textbox>
              </v:oval>
            </w:pict>
          </mc:Fallback>
        </mc:AlternateContent>
      </w:r>
    </w:p>
    <w:p w14:paraId="41BAC560" w14:textId="77777777" w:rsidR="00B365AC" w:rsidRDefault="00B365AC">
      <w:pPr>
        <w:rPr>
          <w:color w:val="C49A00" w:themeColor="accent1" w:themeShade="BF"/>
          <w:sz w:val="32"/>
          <w:szCs w:val="32"/>
        </w:rPr>
      </w:pPr>
    </w:p>
    <w:p w14:paraId="3532CCE4" w14:textId="77777777" w:rsidR="00B365AC" w:rsidRDefault="00B365AC">
      <w:pPr>
        <w:rPr>
          <w:color w:val="C49A00" w:themeColor="accent1" w:themeShade="BF"/>
          <w:sz w:val="32"/>
          <w:szCs w:val="32"/>
        </w:rPr>
      </w:pPr>
    </w:p>
    <w:p w14:paraId="78EB1892" w14:textId="77777777" w:rsidR="00B365AC" w:rsidRDefault="00B365AC">
      <w:pPr>
        <w:rPr>
          <w:color w:val="C49A00" w:themeColor="accent1" w:themeShade="BF"/>
          <w:sz w:val="32"/>
          <w:szCs w:val="32"/>
        </w:rPr>
      </w:pPr>
    </w:p>
    <w:p w14:paraId="6E1A9FC2" w14:textId="77777777" w:rsidR="00B365AC" w:rsidRDefault="00B365AC">
      <w:pPr>
        <w:rPr>
          <w:color w:val="C49A00" w:themeColor="accent1" w:themeShade="BF"/>
          <w:sz w:val="32"/>
          <w:szCs w:val="32"/>
        </w:rPr>
      </w:pPr>
    </w:p>
    <w:p w14:paraId="0E6FC619" w14:textId="77777777" w:rsidR="00B365AC" w:rsidRDefault="00B365AC">
      <w:pPr>
        <w:rPr>
          <w:color w:val="C49A00" w:themeColor="accent1" w:themeShade="BF"/>
          <w:sz w:val="32"/>
          <w:szCs w:val="32"/>
        </w:rPr>
      </w:pPr>
    </w:p>
    <w:p w14:paraId="710F60DB" w14:textId="77777777" w:rsidR="00B365AC" w:rsidRDefault="00B365AC">
      <w:pPr>
        <w:rPr>
          <w:color w:val="C49A00" w:themeColor="accent1" w:themeShade="BF"/>
          <w:sz w:val="32"/>
          <w:szCs w:val="32"/>
        </w:rPr>
      </w:pPr>
    </w:p>
    <w:p w14:paraId="76039F1A" w14:textId="77777777" w:rsidR="00B365AC" w:rsidRDefault="00B365AC">
      <w:pPr>
        <w:rPr>
          <w:color w:val="C49A00" w:themeColor="accent1" w:themeShade="BF"/>
          <w:sz w:val="32"/>
          <w:szCs w:val="32"/>
        </w:rPr>
      </w:pPr>
    </w:p>
    <w:p w14:paraId="03FB97DE" w14:textId="77777777" w:rsidR="00B365AC" w:rsidRDefault="00B365AC">
      <w:pPr>
        <w:rPr>
          <w:color w:val="C49A00" w:themeColor="accent1" w:themeShade="BF"/>
          <w:sz w:val="32"/>
          <w:szCs w:val="32"/>
        </w:rPr>
      </w:pPr>
    </w:p>
    <w:p w14:paraId="65FDD705" w14:textId="77777777" w:rsidR="00B365AC" w:rsidRDefault="00B365AC">
      <w:pPr>
        <w:rPr>
          <w:color w:val="C49A00" w:themeColor="accent1" w:themeShade="BF"/>
          <w:sz w:val="32"/>
          <w:szCs w:val="32"/>
        </w:rPr>
      </w:pPr>
    </w:p>
    <w:p w14:paraId="562EBD92" w14:textId="77777777" w:rsidR="00B365AC" w:rsidRDefault="00D52F5C">
      <w:pPr>
        <w:rPr>
          <w:color w:val="C49A00" w:themeColor="accent1" w:themeShade="BF"/>
          <w:sz w:val="32"/>
          <w:szCs w:val="32"/>
        </w:rPr>
      </w:pPr>
      <w:r>
        <w:rPr>
          <w:noProof/>
        </w:rPr>
        <mc:AlternateContent>
          <mc:Choice Requires="wps">
            <w:drawing>
              <wp:anchor distT="0" distB="0" distL="114300" distR="114300" simplePos="0" relativeHeight="251675648" behindDoc="0" locked="0" layoutInCell="1" allowOverlap="1" wp14:anchorId="70D5F0F3" wp14:editId="5A897C35">
                <wp:simplePos x="0" y="0"/>
                <wp:positionH relativeFrom="page">
                  <wp:posOffset>-419100</wp:posOffset>
                </wp:positionH>
                <wp:positionV relativeFrom="paragraph">
                  <wp:posOffset>3331210</wp:posOffset>
                </wp:positionV>
                <wp:extent cx="8572500" cy="1275080"/>
                <wp:effectExtent l="19050" t="22860" r="38100" b="45085"/>
                <wp:wrapNone/>
                <wp:docPr id="1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0" cy="1275080"/>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B75B633" id="Rectangle 14" o:spid="_x0000_s1026" style="position:absolute;margin-left:-33pt;margin-top:262.3pt;width:675pt;height:100.4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" fillcolor="#9c6a6a [3209]" strokecolor="#f2f2f2 [3041]" strokeweight="3pt">
                <v:shadow on="t" color="#4e3434 [1609]" opacity=".5" offset="1pt"/>
                <w10:wrap anchorx="page"/>
              </v:rect>
            </w:pict>
          </mc:Fallback>
        </mc:AlternateContent>
      </w:r>
      <w:r w:rsidR="00B365AC">
        <w:rPr>
          <w:color w:val="C49A00" w:themeColor="accent1" w:themeShade="BF"/>
          <w:sz w:val="32"/>
          <w:szCs w:val="32"/>
        </w:rPr>
        <w:br w:type="page"/>
      </w:r>
    </w:p>
    <w:p w14:paraId="5A2B7350" w14:textId="77777777" w:rsidR="00B365AC" w:rsidRDefault="00B365AC">
      <w:pPr>
        <w:rPr>
          <w:color w:val="C49A00" w:themeColor="accent1" w:themeShade="BF"/>
          <w:sz w:val="32"/>
          <w:szCs w:val="32"/>
        </w:rPr>
      </w:pPr>
    </w:p>
    <w:p w14:paraId="4FF3A5C5" w14:textId="77777777" w:rsidR="00014F9C" w:rsidRDefault="00014F9C" w:rsidP="00AA58E0">
      <w:pPr>
        <w:jc w:val="center"/>
        <w:rPr>
          <w:color w:val="C49A00" w:themeColor="accent1" w:themeShade="BF"/>
          <w:sz w:val="32"/>
          <w:szCs w:val="32"/>
        </w:rPr>
      </w:pPr>
    </w:p>
    <w:p w14:paraId="512B4B03" w14:textId="77777777" w:rsidR="00D52F5C" w:rsidRDefault="00D52F5C" w:rsidP="00AA58E0">
      <w:pPr>
        <w:jc w:val="center"/>
        <w:rPr>
          <w:color w:val="C49A00" w:themeColor="accent1" w:themeShade="BF"/>
          <w:sz w:val="32"/>
          <w:szCs w:val="32"/>
        </w:rPr>
      </w:pPr>
    </w:p>
    <w:p w14:paraId="04E980C5" w14:textId="77777777" w:rsidR="00014F9C" w:rsidRDefault="00014F9C" w:rsidP="00AA58E0">
      <w:pPr>
        <w:jc w:val="center"/>
        <w:rPr>
          <w:color w:val="C49A00" w:themeColor="accent1" w:themeShade="BF"/>
          <w:sz w:val="32"/>
          <w:szCs w:val="32"/>
        </w:rPr>
      </w:pPr>
    </w:p>
    <w:p w14:paraId="0CFDAE68" w14:textId="77777777" w:rsidR="008159BD" w:rsidRPr="00E80748" w:rsidRDefault="00AA58E0" w:rsidP="00AA58E0">
      <w:pPr>
        <w:jc w:val="center"/>
        <w:rPr>
          <w:color w:val="846700" w:themeColor="accent1" w:themeShade="80"/>
          <w:sz w:val="32"/>
          <w:szCs w:val="32"/>
        </w:rPr>
      </w:pPr>
      <w:r w:rsidRPr="00E80748">
        <w:rPr>
          <w:color w:val="846700" w:themeColor="accent1" w:themeShade="80"/>
          <w:sz w:val="32"/>
          <w:szCs w:val="32"/>
        </w:rPr>
        <w:t>Contents</w:t>
      </w:r>
    </w:p>
    <w:p w14:paraId="7B187F07" w14:textId="77777777" w:rsidR="007F0DF6" w:rsidRPr="00E80748" w:rsidRDefault="00D52F5C" w:rsidP="00AA58E0">
      <w:pPr>
        <w:jc w:val="center"/>
        <w:rPr>
          <w:color w:val="846700" w:themeColor="accent1" w:themeShade="80"/>
          <w:sz w:val="32"/>
          <w:szCs w:val="32"/>
        </w:rPr>
      </w:pPr>
      <w:r>
        <w:rPr>
          <w:noProof/>
          <w:color w:val="846700" w:themeColor="accent1" w:themeShade="80"/>
          <w:sz w:val="32"/>
          <w:szCs w:val="32"/>
        </w:rPr>
        <mc:AlternateContent>
          <mc:Choice Requires="wps">
            <w:drawing>
              <wp:anchor distT="4294967294" distB="4294967294" distL="114300" distR="114300" simplePos="0" relativeHeight="251661312" behindDoc="0" locked="0" layoutInCell="1" allowOverlap="1" wp14:anchorId="676EE6AD" wp14:editId="24946A7E">
                <wp:simplePos x="0" y="0"/>
                <wp:positionH relativeFrom="column">
                  <wp:posOffset>0</wp:posOffset>
                </wp:positionH>
                <wp:positionV relativeFrom="paragraph">
                  <wp:posOffset>311149</wp:posOffset>
                </wp:positionV>
                <wp:extent cx="5719445" cy="0"/>
                <wp:effectExtent l="0" t="0" r="0" b="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944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95E6A2E" id="Straight Connector 4"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0,24.5pt" to="450.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" strokecolor="#ffca08 [3204]" strokeweight="1.5pt">
                <v:stroke joinstyle="miter"/>
                <o:lock v:ext="edit" shapetype="f"/>
              </v:line>
            </w:pict>
          </mc:Fallback>
        </mc:AlternateContent>
      </w:r>
    </w:p>
    <w:sdt>
      <w:sdtPr>
        <w:rPr>
          <w:rFonts w:eastAsiaTheme="minorHAnsi" w:cstheme="minorBidi"/>
          <w:b w:val="0"/>
          <w:color w:val="auto"/>
          <w:sz w:val="22"/>
          <w:szCs w:val="22"/>
        </w:rPr>
        <w:id w:val="1120794747"/>
        <w:docPartObj>
          <w:docPartGallery w:val="Table of Contents"/>
          <w:docPartUnique/>
        </w:docPartObj>
      </w:sdtPr>
      <w:sdtEndPr>
        <w:rPr>
          <w:rFonts w:asciiTheme="majorBidi" w:hAnsiTheme="majorBidi"/>
          <w:bCs/>
          <w:noProof/>
        </w:rPr>
      </w:sdtEndPr>
      <w:sdtContent>
        <w:p w14:paraId="75CE3909" w14:textId="77777777" w:rsidR="00AA58E0" w:rsidRPr="009B3CB7" w:rsidRDefault="00AA58E0" w:rsidP="00E80748">
          <w:pPr>
            <w:pStyle w:val="Heading1"/>
            <w:rPr>
              <w:rFonts w:asciiTheme="majorBidi" w:hAnsiTheme="majorBidi"/>
              <w:sz w:val="24"/>
              <w:szCs w:val="24"/>
            </w:rPr>
          </w:pPr>
        </w:p>
        <w:p w14:paraId="036EF41A" w14:textId="78B2AD47" w:rsidR="00F318AD" w:rsidRPr="00F318AD" w:rsidRDefault="00BD4A9D">
          <w:pPr>
            <w:pStyle w:val="TOC1"/>
            <w:tabs>
              <w:tab w:val="right" w:leader="dot" w:pos="9016"/>
            </w:tabs>
            <w:rPr>
              <w:rFonts w:asciiTheme="majorBidi" w:eastAsiaTheme="minorEastAsia" w:hAnsiTheme="majorBidi" w:cstheme="majorBidi"/>
              <w:noProof/>
              <w:lang w:eastAsia="en-GB"/>
            </w:rPr>
          </w:pPr>
          <w:r w:rsidRPr="00F318AD">
            <w:rPr>
              <w:rFonts w:asciiTheme="majorBidi" w:hAnsiTheme="majorBidi" w:cstheme="majorBidi"/>
              <w:b/>
              <w:bCs/>
              <w:noProof/>
              <w:sz w:val="24"/>
              <w:szCs w:val="24"/>
            </w:rPr>
            <w:fldChar w:fldCharType="begin"/>
          </w:r>
          <w:r w:rsidR="00AA58E0" w:rsidRPr="00F318AD">
            <w:rPr>
              <w:rFonts w:asciiTheme="majorBidi" w:hAnsiTheme="majorBidi" w:cstheme="majorBidi"/>
              <w:b/>
              <w:bCs/>
              <w:noProof/>
              <w:sz w:val="24"/>
              <w:szCs w:val="24"/>
            </w:rPr>
            <w:instrText xml:space="preserve"> TOC \o "1-3" \h \z \u </w:instrText>
          </w:r>
          <w:r w:rsidRPr="00F318AD">
            <w:rPr>
              <w:rFonts w:asciiTheme="majorBidi" w:hAnsiTheme="majorBidi" w:cstheme="majorBidi"/>
              <w:b/>
              <w:bCs/>
              <w:noProof/>
              <w:sz w:val="24"/>
              <w:szCs w:val="24"/>
            </w:rPr>
            <w:fldChar w:fldCharType="separate"/>
          </w:r>
          <w:hyperlink w:anchor="_Toc20731964" w:history="1">
            <w:r w:rsidR="00F318AD" w:rsidRPr="00F318AD">
              <w:rPr>
                <w:rStyle w:val="Hyperlink"/>
                <w:rFonts w:asciiTheme="majorBidi" w:hAnsiTheme="majorBidi" w:cstheme="majorBidi"/>
                <w:noProof/>
              </w:rPr>
              <w:t>Introduction</w:t>
            </w:r>
            <w:r w:rsidR="00F318AD" w:rsidRPr="00F318AD">
              <w:rPr>
                <w:rFonts w:asciiTheme="majorBidi" w:hAnsiTheme="majorBidi" w:cstheme="majorBidi"/>
                <w:noProof/>
                <w:webHidden/>
              </w:rPr>
              <w:tab/>
            </w:r>
            <w:r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_Toc20731964 \h </w:instrText>
            </w:r>
            <w:r w:rsidRPr="00F318AD">
              <w:rPr>
                <w:rFonts w:asciiTheme="majorBidi" w:hAnsiTheme="majorBidi" w:cstheme="majorBidi"/>
                <w:noProof/>
                <w:webHidden/>
              </w:rPr>
            </w:r>
            <w:r w:rsidRPr="00F318AD">
              <w:rPr>
                <w:rFonts w:asciiTheme="majorBidi" w:hAnsiTheme="majorBidi" w:cstheme="majorBidi"/>
                <w:noProof/>
                <w:webHidden/>
              </w:rPr>
              <w:fldChar w:fldCharType="separate"/>
            </w:r>
            <w:r w:rsidR="00A57E51">
              <w:rPr>
                <w:rFonts w:asciiTheme="majorBidi" w:hAnsiTheme="majorBidi" w:cstheme="majorBidi"/>
                <w:noProof/>
                <w:webHidden/>
              </w:rPr>
              <w:t>1</w:t>
            </w:r>
            <w:r w:rsidRPr="00F318AD">
              <w:rPr>
                <w:rFonts w:asciiTheme="majorBidi" w:hAnsiTheme="majorBidi" w:cstheme="majorBidi"/>
                <w:noProof/>
                <w:webHidden/>
              </w:rPr>
              <w:fldChar w:fldCharType="end"/>
            </w:r>
          </w:hyperlink>
        </w:p>
        <w:p w14:paraId="5297373A" w14:textId="57787F13" w:rsidR="00F318AD" w:rsidRPr="00F318AD" w:rsidRDefault="00A51133">
          <w:pPr>
            <w:pStyle w:val="TOC1"/>
            <w:tabs>
              <w:tab w:val="right" w:leader="dot" w:pos="9016"/>
            </w:tabs>
            <w:rPr>
              <w:rFonts w:asciiTheme="majorBidi" w:eastAsiaTheme="minorEastAsia" w:hAnsiTheme="majorBidi" w:cstheme="majorBidi"/>
              <w:noProof/>
              <w:lang w:eastAsia="en-GB"/>
            </w:rPr>
          </w:pPr>
          <w:hyperlink w:anchor="_Toc20731965" w:history="1">
            <w:r w:rsidR="00F318AD" w:rsidRPr="00F318AD">
              <w:rPr>
                <w:rStyle w:val="Hyperlink"/>
                <w:rFonts w:asciiTheme="majorBidi" w:hAnsiTheme="majorBidi" w:cstheme="majorBidi"/>
                <w:noProof/>
              </w:rPr>
              <w:t>Situation of Women in Iraq</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_Toc20731965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1</w:t>
            </w:r>
            <w:r w:rsidR="00BD4A9D" w:rsidRPr="00F318AD">
              <w:rPr>
                <w:rFonts w:asciiTheme="majorBidi" w:hAnsiTheme="majorBidi" w:cstheme="majorBidi"/>
                <w:noProof/>
                <w:webHidden/>
              </w:rPr>
              <w:fldChar w:fldCharType="end"/>
            </w:r>
          </w:hyperlink>
        </w:p>
        <w:p w14:paraId="0E2E853D" w14:textId="2C118462" w:rsidR="00F318AD" w:rsidRPr="00F318AD" w:rsidRDefault="00A51133">
          <w:pPr>
            <w:pStyle w:val="TOC2"/>
            <w:tabs>
              <w:tab w:val="right" w:leader="dot" w:pos="9016"/>
            </w:tabs>
            <w:rPr>
              <w:rFonts w:asciiTheme="majorBidi" w:eastAsiaTheme="minorEastAsia" w:hAnsiTheme="majorBidi" w:cstheme="majorBidi"/>
              <w:noProof/>
              <w:lang w:eastAsia="en-GB"/>
            </w:rPr>
          </w:pPr>
          <w:hyperlink w:anchor="_Toc20731966" w:history="1">
            <w:r w:rsidR="00F318AD" w:rsidRPr="00F318AD">
              <w:rPr>
                <w:rStyle w:val="Hyperlink"/>
                <w:rFonts w:asciiTheme="majorBidi" w:hAnsiTheme="majorBidi" w:cstheme="majorBidi"/>
                <w:noProof/>
              </w:rPr>
              <w:t>Women in the Political Scene</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_Toc20731966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1</w:t>
            </w:r>
            <w:r w:rsidR="00BD4A9D" w:rsidRPr="00F318AD">
              <w:rPr>
                <w:rFonts w:asciiTheme="majorBidi" w:hAnsiTheme="majorBidi" w:cstheme="majorBidi"/>
                <w:noProof/>
                <w:webHidden/>
              </w:rPr>
              <w:fldChar w:fldCharType="end"/>
            </w:r>
          </w:hyperlink>
        </w:p>
        <w:p w14:paraId="29BA2E7B" w14:textId="0AD215F5" w:rsidR="00F318AD" w:rsidRPr="00F318AD" w:rsidRDefault="00A51133">
          <w:pPr>
            <w:pStyle w:val="TOC2"/>
            <w:tabs>
              <w:tab w:val="right" w:leader="dot" w:pos="9016"/>
            </w:tabs>
            <w:rPr>
              <w:rFonts w:asciiTheme="majorBidi" w:eastAsiaTheme="minorEastAsia" w:hAnsiTheme="majorBidi" w:cstheme="majorBidi"/>
              <w:noProof/>
              <w:lang w:eastAsia="en-GB"/>
            </w:rPr>
          </w:pPr>
          <w:hyperlink w:anchor="_Toc20731967" w:history="1">
            <w:r w:rsidR="00F318AD" w:rsidRPr="00F318AD">
              <w:rPr>
                <w:rStyle w:val="Hyperlink"/>
                <w:rFonts w:asciiTheme="majorBidi" w:hAnsiTheme="majorBidi" w:cstheme="majorBidi"/>
                <w:noProof/>
              </w:rPr>
              <w:t>Forced Marriage</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_Toc20731967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2</w:t>
            </w:r>
            <w:r w:rsidR="00BD4A9D" w:rsidRPr="00F318AD">
              <w:rPr>
                <w:rFonts w:asciiTheme="majorBidi" w:hAnsiTheme="majorBidi" w:cstheme="majorBidi"/>
                <w:noProof/>
                <w:webHidden/>
              </w:rPr>
              <w:fldChar w:fldCharType="end"/>
            </w:r>
          </w:hyperlink>
        </w:p>
        <w:p w14:paraId="6695FCCC" w14:textId="13AFD177" w:rsidR="00F318AD" w:rsidRPr="00F318AD" w:rsidRDefault="00A51133">
          <w:pPr>
            <w:pStyle w:val="TOC2"/>
            <w:tabs>
              <w:tab w:val="right" w:leader="dot" w:pos="9016"/>
            </w:tabs>
            <w:rPr>
              <w:rFonts w:asciiTheme="majorBidi" w:eastAsiaTheme="minorEastAsia" w:hAnsiTheme="majorBidi" w:cstheme="majorBidi"/>
              <w:noProof/>
              <w:lang w:eastAsia="en-GB"/>
            </w:rPr>
          </w:pPr>
          <w:hyperlink w:anchor="_Toc20731968" w:history="1">
            <w:r w:rsidR="00F318AD" w:rsidRPr="00F318AD">
              <w:rPr>
                <w:rStyle w:val="Hyperlink"/>
                <w:rFonts w:asciiTheme="majorBidi" w:hAnsiTheme="majorBidi" w:cstheme="majorBidi"/>
                <w:noProof/>
              </w:rPr>
              <w:t>Iraq’s Criminal Law on Sexual Violence and Rape</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_Toc20731968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2</w:t>
            </w:r>
            <w:r w:rsidR="00BD4A9D" w:rsidRPr="00F318AD">
              <w:rPr>
                <w:rFonts w:asciiTheme="majorBidi" w:hAnsiTheme="majorBidi" w:cstheme="majorBidi"/>
                <w:noProof/>
                <w:webHidden/>
              </w:rPr>
              <w:fldChar w:fldCharType="end"/>
            </w:r>
          </w:hyperlink>
        </w:p>
        <w:p w14:paraId="23100F54" w14:textId="2EEFB09E" w:rsidR="00F318AD" w:rsidRPr="00F318AD" w:rsidRDefault="00A51133">
          <w:pPr>
            <w:pStyle w:val="TOC2"/>
            <w:tabs>
              <w:tab w:val="right" w:leader="dot" w:pos="9016"/>
            </w:tabs>
            <w:rPr>
              <w:rFonts w:asciiTheme="majorBidi" w:eastAsiaTheme="minorEastAsia" w:hAnsiTheme="majorBidi" w:cstheme="majorBidi"/>
              <w:noProof/>
              <w:lang w:eastAsia="en-GB"/>
            </w:rPr>
          </w:pPr>
          <w:hyperlink w:anchor="_Toc20731969" w:history="1">
            <w:r w:rsidR="00F318AD" w:rsidRPr="00F318AD">
              <w:rPr>
                <w:rStyle w:val="Hyperlink"/>
                <w:rFonts w:asciiTheme="majorBidi" w:hAnsiTheme="majorBidi" w:cstheme="majorBidi"/>
                <w:noProof/>
              </w:rPr>
              <w:t>Human Trafficking and Sexual Slavery</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_Toc20731969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3</w:t>
            </w:r>
            <w:r w:rsidR="00BD4A9D" w:rsidRPr="00F318AD">
              <w:rPr>
                <w:rFonts w:asciiTheme="majorBidi" w:hAnsiTheme="majorBidi" w:cstheme="majorBidi"/>
                <w:noProof/>
                <w:webHidden/>
              </w:rPr>
              <w:fldChar w:fldCharType="end"/>
            </w:r>
          </w:hyperlink>
        </w:p>
        <w:p w14:paraId="3A28CE9A" w14:textId="7F8F52F8" w:rsidR="00F318AD" w:rsidRPr="00F318AD" w:rsidRDefault="00A51133">
          <w:pPr>
            <w:pStyle w:val="TOC2"/>
            <w:tabs>
              <w:tab w:val="right" w:leader="dot" w:pos="9016"/>
            </w:tabs>
            <w:rPr>
              <w:rFonts w:asciiTheme="majorBidi" w:eastAsiaTheme="minorEastAsia" w:hAnsiTheme="majorBidi" w:cstheme="majorBidi"/>
              <w:noProof/>
              <w:lang w:eastAsia="en-GB"/>
            </w:rPr>
          </w:pPr>
          <w:hyperlink w:anchor="_Toc20731970" w:history="1">
            <w:r w:rsidR="00F318AD" w:rsidRPr="00F318AD">
              <w:rPr>
                <w:rStyle w:val="Hyperlink"/>
                <w:rFonts w:asciiTheme="majorBidi" w:hAnsiTheme="majorBidi" w:cstheme="majorBidi"/>
                <w:noProof/>
                <w:shd w:val="clear" w:color="auto" w:fill="FFFFFF"/>
              </w:rPr>
              <w:t>Honour Killings</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_Toc20731970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4</w:t>
            </w:r>
            <w:r w:rsidR="00BD4A9D" w:rsidRPr="00F318AD">
              <w:rPr>
                <w:rFonts w:asciiTheme="majorBidi" w:hAnsiTheme="majorBidi" w:cstheme="majorBidi"/>
                <w:noProof/>
                <w:webHidden/>
              </w:rPr>
              <w:fldChar w:fldCharType="end"/>
            </w:r>
          </w:hyperlink>
        </w:p>
        <w:p w14:paraId="4A8AAF8E" w14:textId="159E8257" w:rsidR="00F318AD" w:rsidRPr="00F318AD" w:rsidRDefault="00A51133">
          <w:pPr>
            <w:pStyle w:val="TOC2"/>
            <w:tabs>
              <w:tab w:val="right" w:leader="dot" w:pos="9016"/>
            </w:tabs>
            <w:rPr>
              <w:rFonts w:asciiTheme="majorBidi" w:eastAsiaTheme="minorEastAsia" w:hAnsiTheme="majorBidi" w:cstheme="majorBidi"/>
              <w:noProof/>
              <w:lang w:eastAsia="en-GB"/>
            </w:rPr>
          </w:pPr>
          <w:hyperlink w:anchor="_Toc20731971" w:history="1">
            <w:r w:rsidR="00F318AD" w:rsidRPr="00F318AD">
              <w:rPr>
                <w:rStyle w:val="Hyperlink"/>
                <w:rFonts w:asciiTheme="majorBidi" w:hAnsiTheme="majorBidi" w:cstheme="majorBidi"/>
                <w:noProof/>
              </w:rPr>
              <w:t>Stereotypes, Harmful Practices and Family Relations</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_Toc20731971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5</w:t>
            </w:r>
            <w:r w:rsidR="00BD4A9D" w:rsidRPr="00F318AD">
              <w:rPr>
                <w:rFonts w:asciiTheme="majorBidi" w:hAnsiTheme="majorBidi" w:cstheme="majorBidi"/>
                <w:noProof/>
                <w:webHidden/>
              </w:rPr>
              <w:fldChar w:fldCharType="end"/>
            </w:r>
          </w:hyperlink>
        </w:p>
        <w:p w14:paraId="457DAA9C" w14:textId="432D8F11" w:rsidR="00F318AD" w:rsidRPr="00F318AD" w:rsidRDefault="00A51133">
          <w:pPr>
            <w:pStyle w:val="TOC1"/>
            <w:tabs>
              <w:tab w:val="right" w:leader="dot" w:pos="9016"/>
            </w:tabs>
            <w:rPr>
              <w:rFonts w:asciiTheme="majorBidi" w:eastAsiaTheme="minorEastAsia" w:hAnsiTheme="majorBidi" w:cstheme="majorBidi"/>
              <w:noProof/>
              <w:lang w:eastAsia="en-GB"/>
            </w:rPr>
          </w:pPr>
          <w:hyperlink w:anchor="_Toc20731972" w:history="1">
            <w:r w:rsidR="00F318AD" w:rsidRPr="00F318AD">
              <w:rPr>
                <w:rStyle w:val="Hyperlink"/>
                <w:rFonts w:asciiTheme="majorBidi" w:hAnsiTheme="majorBidi" w:cstheme="majorBidi"/>
                <w:noProof/>
              </w:rPr>
              <w:t>Recommendations</w:t>
            </w:r>
            <w:r w:rsidR="00F318AD" w:rsidRPr="00F318AD">
              <w:rPr>
                <w:rFonts w:asciiTheme="majorBidi" w:hAnsiTheme="majorBidi" w:cstheme="majorBidi"/>
                <w:noProof/>
                <w:webHidden/>
              </w:rPr>
              <w:tab/>
            </w:r>
            <w:r w:rsidR="00BD4A9D" w:rsidRPr="00F318AD">
              <w:rPr>
                <w:rFonts w:asciiTheme="majorBidi" w:hAnsiTheme="majorBidi" w:cstheme="majorBidi"/>
                <w:noProof/>
                <w:webHidden/>
              </w:rPr>
              <w:fldChar w:fldCharType="begin"/>
            </w:r>
            <w:r w:rsidR="00F318AD" w:rsidRPr="00F318AD">
              <w:rPr>
                <w:rFonts w:asciiTheme="majorBidi" w:hAnsiTheme="majorBidi" w:cstheme="majorBidi"/>
                <w:noProof/>
                <w:webHidden/>
              </w:rPr>
              <w:instrText xml:space="preserve"> PAGEREF _Toc20731972 \h </w:instrText>
            </w:r>
            <w:r w:rsidR="00BD4A9D" w:rsidRPr="00F318AD">
              <w:rPr>
                <w:rFonts w:asciiTheme="majorBidi" w:hAnsiTheme="majorBidi" w:cstheme="majorBidi"/>
                <w:noProof/>
                <w:webHidden/>
              </w:rPr>
            </w:r>
            <w:r w:rsidR="00BD4A9D" w:rsidRPr="00F318AD">
              <w:rPr>
                <w:rFonts w:asciiTheme="majorBidi" w:hAnsiTheme="majorBidi" w:cstheme="majorBidi"/>
                <w:noProof/>
                <w:webHidden/>
              </w:rPr>
              <w:fldChar w:fldCharType="separate"/>
            </w:r>
            <w:r w:rsidR="00A57E51">
              <w:rPr>
                <w:rFonts w:asciiTheme="majorBidi" w:hAnsiTheme="majorBidi" w:cstheme="majorBidi"/>
                <w:noProof/>
                <w:webHidden/>
              </w:rPr>
              <w:t>6</w:t>
            </w:r>
            <w:r w:rsidR="00BD4A9D" w:rsidRPr="00F318AD">
              <w:rPr>
                <w:rFonts w:asciiTheme="majorBidi" w:hAnsiTheme="majorBidi" w:cstheme="majorBidi"/>
                <w:noProof/>
                <w:webHidden/>
              </w:rPr>
              <w:fldChar w:fldCharType="end"/>
            </w:r>
          </w:hyperlink>
        </w:p>
        <w:p w14:paraId="0106FC37" w14:textId="77777777" w:rsidR="00AA58E0" w:rsidRPr="007C6583" w:rsidRDefault="00BD4A9D">
          <w:pPr>
            <w:rPr>
              <w:rFonts w:asciiTheme="majorBidi" w:hAnsiTheme="majorBidi" w:cstheme="majorBidi"/>
            </w:rPr>
          </w:pPr>
          <w:r w:rsidRPr="00F318AD">
            <w:rPr>
              <w:rFonts w:asciiTheme="majorBidi" w:hAnsiTheme="majorBidi" w:cstheme="majorBidi"/>
              <w:b/>
              <w:bCs/>
              <w:noProof/>
              <w:sz w:val="24"/>
              <w:szCs w:val="24"/>
            </w:rPr>
            <w:fldChar w:fldCharType="end"/>
          </w:r>
        </w:p>
      </w:sdtContent>
    </w:sdt>
    <w:p w14:paraId="04067FC8" w14:textId="77777777" w:rsidR="00BC6621" w:rsidRPr="007C6583" w:rsidRDefault="00D52F5C">
      <w:pPr>
        <w:rPr>
          <w:rFonts w:asciiTheme="majorBidi" w:eastAsiaTheme="majorEastAsia" w:hAnsiTheme="majorBidi" w:cstheme="majorBidi"/>
          <w:color w:val="C49A00" w:themeColor="accent1" w:themeShade="BF"/>
          <w:sz w:val="32"/>
          <w:szCs w:val="32"/>
        </w:rPr>
      </w:pPr>
      <w:r>
        <w:rPr>
          <w:rFonts w:asciiTheme="majorBidi" w:hAnsiTheme="majorBidi" w:cstheme="majorBidi"/>
          <w:noProof/>
          <w:color w:val="FFCA08" w:themeColor="accent1"/>
          <w:sz w:val="32"/>
          <w:szCs w:val="32"/>
        </w:rPr>
        <mc:AlternateContent>
          <mc:Choice Requires="wps">
            <w:drawing>
              <wp:anchor distT="4294967294" distB="4294967294" distL="114300" distR="114300" simplePos="0" relativeHeight="251663360" behindDoc="0" locked="0" layoutInCell="1" allowOverlap="1" wp14:anchorId="6CC62FF9" wp14:editId="0A2B593F">
                <wp:simplePos x="0" y="0"/>
                <wp:positionH relativeFrom="column">
                  <wp:posOffset>-1905</wp:posOffset>
                </wp:positionH>
                <wp:positionV relativeFrom="paragraph">
                  <wp:posOffset>114934</wp:posOffset>
                </wp:positionV>
                <wp:extent cx="5719445" cy="0"/>
                <wp:effectExtent l="0" t="0" r="0" b="0"/>
                <wp:wrapNone/>
                <wp:docPr id="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944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9E05294" id="Straight Connector 7"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5pt,9.05pt" to="450.2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" strokecolor="#ffca08 [3204]" strokeweight="1.5pt">
                <v:stroke joinstyle="miter"/>
                <o:lock v:ext="edit" shapetype="f"/>
              </v:line>
            </w:pict>
          </mc:Fallback>
        </mc:AlternateContent>
      </w:r>
    </w:p>
    <w:p w14:paraId="0860DF2C" w14:textId="77777777" w:rsidR="00014F9C" w:rsidRDefault="00014F9C" w:rsidP="0003084C">
      <w:pPr>
        <w:ind w:left="1260" w:right="1286"/>
        <w:jc w:val="center"/>
        <w:rPr>
          <w:rFonts w:asciiTheme="majorBidi" w:hAnsiTheme="majorBidi" w:cstheme="majorBidi"/>
        </w:rPr>
      </w:pPr>
    </w:p>
    <w:p w14:paraId="075E4CD9" w14:textId="77777777" w:rsidR="00014F9C" w:rsidRDefault="00014F9C" w:rsidP="0003084C">
      <w:pPr>
        <w:ind w:left="1260" w:right="1286"/>
        <w:jc w:val="center"/>
        <w:rPr>
          <w:rFonts w:asciiTheme="majorBidi" w:hAnsiTheme="majorBidi" w:cstheme="majorBidi"/>
        </w:rPr>
      </w:pPr>
    </w:p>
    <w:p w14:paraId="47B6DB55" w14:textId="77777777" w:rsidR="00AA58E0" w:rsidRPr="00AA58E0" w:rsidRDefault="00AA58E0" w:rsidP="00AA58E0">
      <w:pPr>
        <w:sectPr w:rsidR="00AA58E0" w:rsidRPr="00AA58E0" w:rsidSect="00C342C7">
          <w:headerReference w:type="default" r:id="rId11"/>
          <w:footerReference w:type="default" r:id="rId12"/>
          <w:pgSz w:w="11906" w:h="16838"/>
          <w:pgMar w:top="1440" w:right="1440" w:bottom="1440" w:left="1440" w:header="708" w:footer="455" w:gutter="0"/>
          <w:pgNumType w:fmt="lowerRoman"/>
          <w:cols w:space="708"/>
          <w:titlePg/>
          <w:docGrid w:linePitch="360"/>
        </w:sectPr>
      </w:pPr>
    </w:p>
    <w:p w14:paraId="4D09283F" w14:textId="77777777" w:rsidR="005D7DD7" w:rsidRPr="00E80748" w:rsidRDefault="005D7DD7" w:rsidP="00E80748">
      <w:pPr>
        <w:pStyle w:val="Heading1"/>
      </w:pPr>
      <w:bookmarkStart w:id="1" w:name="_Toc20731964"/>
      <w:r w:rsidRPr="00E80748">
        <w:lastRenderedPageBreak/>
        <w:t>Introduction</w:t>
      </w:r>
      <w:bookmarkEnd w:id="1"/>
    </w:p>
    <w:p w14:paraId="7359D92B" w14:textId="77777777" w:rsidR="0052443E" w:rsidRPr="00F633B1" w:rsidRDefault="0052443E" w:rsidP="0052443E">
      <w:pPr>
        <w:pStyle w:val="ListParagraph"/>
      </w:pPr>
      <w:r w:rsidRPr="00F633B1">
        <w:t xml:space="preserve">Geneva International Centre for Justice (GICJ) is a non-profit, </w:t>
      </w:r>
      <w:r w:rsidRPr="00B36D2E">
        <w:t>international</w:t>
      </w:r>
      <w:r>
        <w:t xml:space="preserve"> </w:t>
      </w:r>
      <w:r w:rsidRPr="00F633B1">
        <w:t xml:space="preserve">non-governmental organisation dedicating its work to the promotion and reinforcement of commitments to the principles of human rights. With its headquarters in Geneva, the organisation observes human rights violations, documents and seeks justice for victims across the world. </w:t>
      </w:r>
    </w:p>
    <w:p w14:paraId="58ED301E" w14:textId="77777777" w:rsidR="0052443E" w:rsidRPr="00F7551B" w:rsidRDefault="0052443E" w:rsidP="00F7551B">
      <w:pPr>
        <w:pStyle w:val="ListParagraph"/>
      </w:pPr>
      <w:r w:rsidRPr="00F7551B">
        <w:t>GICJ is submitting this</w:t>
      </w:r>
      <w:r w:rsidR="003A6B64" w:rsidRPr="00F7551B">
        <w:t xml:space="preserve"> shadow</w:t>
      </w:r>
      <w:r w:rsidRPr="00F7551B">
        <w:t xml:space="preserve"> report </w:t>
      </w:r>
      <w:r w:rsidR="00F239B5" w:rsidRPr="00F7551B">
        <w:t xml:space="preserve">as </w:t>
      </w:r>
      <w:r w:rsidR="00F239B5" w:rsidRPr="00F7551B">
        <w:t xml:space="preserve">part of the review of the Republic of Iraq’s seventh periodic report </w:t>
      </w:r>
      <w:r w:rsidR="00F7551B" w:rsidRPr="00F7551B">
        <w:t xml:space="preserve">by the </w:t>
      </w:r>
      <w:r w:rsidR="00F7551B" w:rsidRPr="00F7551B">
        <w:t>Committee on the Elimination of Discrimination Against Women</w:t>
      </w:r>
      <w:r w:rsidR="00F7551B" w:rsidRPr="00F7551B">
        <w:t xml:space="preserve"> (CEDAW) in its</w:t>
      </w:r>
      <w:r w:rsidR="00F7551B" w:rsidRPr="00F7551B">
        <w:t xml:space="preserve"> 74</w:t>
      </w:r>
      <w:r w:rsidR="00F7551B" w:rsidRPr="00F7551B">
        <w:rPr>
          <w:vertAlign w:val="superscript"/>
        </w:rPr>
        <w:t>th</w:t>
      </w:r>
      <w:r w:rsidR="00F7551B" w:rsidRPr="00F7551B">
        <w:t xml:space="preserve"> session in Geneva, Switzerland, from 21 October to 8 November 2019. </w:t>
      </w:r>
      <w:r w:rsidR="00F7551B" w:rsidRPr="00F7551B">
        <w:t>The review is done according to</w:t>
      </w:r>
      <w:r w:rsidR="00F239B5" w:rsidRPr="00F7551B">
        <w:t xml:space="preserve"> article 18 of the Convention</w:t>
      </w:r>
      <w:r w:rsidR="00F239B5" w:rsidRPr="00F7551B">
        <w:t xml:space="preserve"> </w:t>
      </w:r>
      <w:r w:rsidR="00F239B5" w:rsidRPr="00F7551B">
        <w:t>on the Elimination of All Forms of Discrimination against Women (the Convention).</w:t>
      </w:r>
      <w:r w:rsidR="00F239B5" w:rsidRPr="00F7551B">
        <w:t xml:space="preserve"> </w:t>
      </w:r>
    </w:p>
    <w:p w14:paraId="1E5BE583" w14:textId="77777777" w:rsidR="0052443E" w:rsidRPr="00F633B1" w:rsidRDefault="0052443E" w:rsidP="0052443E">
      <w:pPr>
        <w:pStyle w:val="ListParagraph"/>
      </w:pPr>
      <w:r w:rsidRPr="00F633B1">
        <w:t>GICJ has been tackling injustice and human rights violations in Iraq since its establishment through its partnership with local lawyers and NGOs</w:t>
      </w:r>
      <w:r>
        <w:t xml:space="preserve"> in Iraq</w:t>
      </w:r>
      <w:r w:rsidRPr="00F633B1">
        <w:t>. GICJ is able to receive invaluable documentation and evidence of human rights violations on the ground. GICJ brings those violations and evidence to the relevant UN bodies and competent organisations in order to seek justice for all.</w:t>
      </w:r>
    </w:p>
    <w:p w14:paraId="46809AAC" w14:textId="77777777" w:rsidR="00656E41" w:rsidRDefault="0052443E" w:rsidP="00B40BA7">
      <w:pPr>
        <w:pStyle w:val="ListParagraph"/>
      </w:pPr>
      <w:r w:rsidRPr="00F633B1">
        <w:t>War and instability ever since</w:t>
      </w:r>
      <w:r w:rsidR="00854E58">
        <w:t xml:space="preserve"> the 2003 US-led invasion</w:t>
      </w:r>
      <w:r w:rsidRPr="00F633B1">
        <w:t xml:space="preserve"> </w:t>
      </w:r>
      <w:r>
        <w:t xml:space="preserve">have </w:t>
      </w:r>
      <w:r w:rsidRPr="00F633B1">
        <w:t xml:space="preserve">brought on different challenges for Iraqi women. </w:t>
      </w:r>
      <w:r w:rsidR="00854E58">
        <w:t>Once a major contributor</w:t>
      </w:r>
      <w:r w:rsidR="00B40BA7">
        <w:t xml:space="preserve"> to the Iraqi economy</w:t>
      </w:r>
      <w:r w:rsidR="00854E58">
        <w:t xml:space="preserve"> and an integral part</w:t>
      </w:r>
      <w:r w:rsidR="00B40BA7">
        <w:t xml:space="preserve"> of its society</w:t>
      </w:r>
      <w:r w:rsidR="00854E58">
        <w:t>, women today have seen a dec</w:t>
      </w:r>
      <w:r w:rsidR="00B40BA7">
        <w:t>line in their role and rights leaving them vulnerable to discrimination</w:t>
      </w:r>
      <w:r w:rsidR="00854E58">
        <w:t xml:space="preserve">.  </w:t>
      </w:r>
      <w:r w:rsidR="00854E58" w:rsidRPr="008C01F4">
        <w:t>The Iraqi state claims to be</w:t>
      </w:r>
      <w:r w:rsidRPr="008C01F4">
        <w:t xml:space="preserve"> giving women more rights in different areas of society and allowing them to become more active on the political scene</w:t>
      </w:r>
      <w:r w:rsidR="00854E58">
        <w:t xml:space="preserve"> by increasing female representation</w:t>
      </w:r>
      <w:r w:rsidR="00854E58" w:rsidRPr="00F239B5">
        <w:t xml:space="preserve">. </w:t>
      </w:r>
      <w:r w:rsidR="005A2510" w:rsidRPr="00F239B5">
        <w:t>In this sense</w:t>
      </w:r>
      <w:r w:rsidR="000F2C32" w:rsidRPr="00F239B5">
        <w:t>,</w:t>
      </w:r>
      <w:r w:rsidR="000F2C32">
        <w:t xml:space="preserve"> </w:t>
      </w:r>
      <w:r w:rsidR="000F2C32" w:rsidRPr="00F633B1">
        <w:t>more</w:t>
      </w:r>
      <w:r w:rsidRPr="00F633B1">
        <w:t xml:space="preserve"> women on the political scene </w:t>
      </w:r>
      <w:r>
        <w:t>will be</w:t>
      </w:r>
      <w:r w:rsidRPr="00F633B1">
        <w:t xml:space="preserve"> reflect</w:t>
      </w:r>
      <w:r>
        <w:t>ed</w:t>
      </w:r>
      <w:r w:rsidRPr="00F633B1">
        <w:t xml:space="preserve"> positively in </w:t>
      </w:r>
      <w:r>
        <w:t xml:space="preserve">the </w:t>
      </w:r>
      <w:r w:rsidRPr="00F633B1">
        <w:t xml:space="preserve">drafting </w:t>
      </w:r>
      <w:r>
        <w:t xml:space="preserve">of </w:t>
      </w:r>
      <w:r w:rsidRPr="00F633B1">
        <w:t>laws that favour equality</w:t>
      </w:r>
      <w:r>
        <w:t>.</w:t>
      </w:r>
      <w:r w:rsidRPr="00F633B1">
        <w:t xml:space="preserve"> </w:t>
      </w:r>
      <w:r>
        <w:t>B</w:t>
      </w:r>
      <w:r w:rsidRPr="00F633B1">
        <w:t>ut how much power do they really have in a country ruled by religion, sectarianism and deeply rooted in patriarchy</w:t>
      </w:r>
      <w:r>
        <w:t>,</w:t>
      </w:r>
      <w:r w:rsidRPr="00F633B1">
        <w:t xml:space="preserve"> as seen in many laws</w:t>
      </w:r>
      <w:r>
        <w:t>?</w:t>
      </w:r>
      <w:r w:rsidRPr="00F633B1">
        <w:t xml:space="preserve"> Have the mechanisms </w:t>
      </w:r>
      <w:r>
        <w:t xml:space="preserve">currently </w:t>
      </w:r>
      <w:r w:rsidRPr="00F633B1">
        <w:t>in place truly helped in achieving better equality</w:t>
      </w:r>
      <w:r w:rsidRPr="00656E41">
        <w:t xml:space="preserve">? </w:t>
      </w:r>
    </w:p>
    <w:p w14:paraId="4EBA8848" w14:textId="77777777" w:rsidR="005A2510" w:rsidRPr="00656E41" w:rsidRDefault="005A2510" w:rsidP="005A2510">
      <w:pPr>
        <w:pStyle w:val="ListParagraph"/>
      </w:pPr>
      <w:r>
        <w:t xml:space="preserve">Upon completion of this report, we have found that the Iraqi state has yet failed to implement its obligations under CEDAW especially articles 2, 5 and 16 of the Convention. </w:t>
      </w:r>
    </w:p>
    <w:p w14:paraId="650B1D27" w14:textId="77777777" w:rsidR="00785FD6" w:rsidRPr="0073232E" w:rsidRDefault="0052443E" w:rsidP="00E80748">
      <w:pPr>
        <w:pStyle w:val="Heading1"/>
      </w:pPr>
      <w:bookmarkStart w:id="2" w:name="_Toc20731965"/>
      <w:r>
        <w:t>Situation of Women in Iraq</w:t>
      </w:r>
      <w:bookmarkEnd w:id="2"/>
    </w:p>
    <w:p w14:paraId="766A49B1" w14:textId="77777777" w:rsidR="007C555F" w:rsidRPr="00E80748" w:rsidRDefault="0052443E" w:rsidP="00E80748">
      <w:pPr>
        <w:pStyle w:val="Heading2"/>
      </w:pPr>
      <w:bookmarkStart w:id="3" w:name="_Toc20731966"/>
      <w:r w:rsidRPr="00E80748">
        <w:t>Women in the Political Scene</w:t>
      </w:r>
      <w:bookmarkEnd w:id="3"/>
    </w:p>
    <w:p w14:paraId="6699F40C" w14:textId="77777777" w:rsidR="0052443E" w:rsidRPr="00F633B1" w:rsidRDefault="0052443E" w:rsidP="003A6B64">
      <w:pPr>
        <w:pStyle w:val="ListParagraph"/>
      </w:pPr>
      <w:r w:rsidRPr="00F633B1">
        <w:t xml:space="preserve">Since the last CEDAW report submitted by Iraq, the quota of female representation in parliament has not been increased from the minimum of 25% it </w:t>
      </w:r>
      <w:r>
        <w:t>was</w:t>
      </w:r>
      <w:r w:rsidRPr="00F633B1">
        <w:t xml:space="preserve"> set at based on the </w:t>
      </w:r>
      <w:r>
        <w:t>E</w:t>
      </w:r>
      <w:r w:rsidRPr="00F633B1">
        <w:t xml:space="preserve">lection Act </w:t>
      </w:r>
      <w:r>
        <w:t xml:space="preserve">(Law </w:t>
      </w:r>
      <w:r w:rsidRPr="00F633B1">
        <w:t>No. 16 of 2005</w:t>
      </w:r>
      <w:r>
        <w:t>)</w:t>
      </w:r>
      <w:r w:rsidRPr="00F633B1">
        <w:t>.</w:t>
      </w:r>
      <w:r>
        <w:t xml:space="preserve">  The State party mentions that in 2014 elections were held for the Council of </w:t>
      </w:r>
      <w:r w:rsidRPr="0052443E">
        <w:t>Representatives</w:t>
      </w:r>
      <w:r>
        <w:t>. Women represented 28% of the total number of candidates (2604 out of 9037).</w:t>
      </w:r>
      <w:r w:rsidRPr="00F633B1">
        <w:t xml:space="preserve"> An increase in female representation to achieve equality within a specific timeframe is necessary. Cabinet decision No. 99 of 2015 only mentions nominating a “proportion of women to senior positions”. </w:t>
      </w:r>
      <w:r w:rsidRPr="00B36D2E">
        <w:t>However,</w:t>
      </w:r>
      <w:r w:rsidR="003A6B64">
        <w:t xml:space="preserve"> SRSG for Iraq Ms. </w:t>
      </w:r>
      <w:proofErr w:type="spellStart"/>
      <w:r w:rsidR="003A6B64">
        <w:t>Hennis-Plasschaert</w:t>
      </w:r>
      <w:proofErr w:type="spellEnd"/>
      <w:r w:rsidR="003A6B64">
        <w:t xml:space="preserve"> has called the Iraqi state out on this: “up to this point, not one single </w:t>
      </w:r>
      <w:r w:rsidR="003A6B64">
        <w:lastRenderedPageBreak/>
        <w:t>woman has been confirmed in a ministerial role in the Iraqi government.”</w:t>
      </w:r>
      <w:r w:rsidR="003A6B64">
        <w:rPr>
          <w:rStyle w:val="FootnoteReference"/>
        </w:rPr>
        <w:footnoteReference w:id="1"/>
      </w:r>
      <w:r w:rsidRPr="00B36D2E">
        <w:t xml:space="preserve"> </w:t>
      </w:r>
      <w:r w:rsidRPr="00F633B1">
        <w:rPr>
          <w:shd w:val="clear" w:color="auto" w:fill="FFFFFF"/>
        </w:rPr>
        <w:t>Deputy Special Representative of the UN Secretary</w:t>
      </w:r>
      <w:r>
        <w:rPr>
          <w:shd w:val="clear" w:color="auto" w:fill="FFFFFF"/>
        </w:rPr>
        <w:t>-</w:t>
      </w:r>
      <w:r w:rsidRPr="00F633B1">
        <w:rPr>
          <w:shd w:val="clear" w:color="auto" w:fill="FFFFFF"/>
        </w:rPr>
        <w:t>General Alice Walpole has</w:t>
      </w:r>
      <w:r w:rsidR="003A6B64">
        <w:rPr>
          <w:shd w:val="clear" w:color="auto" w:fill="FFFFFF"/>
        </w:rPr>
        <w:t xml:space="preserve"> also</w:t>
      </w:r>
      <w:r w:rsidRPr="00F633B1">
        <w:rPr>
          <w:shd w:val="clear" w:color="auto" w:fill="FFFFFF"/>
        </w:rPr>
        <w:t xml:space="preserve"> recently urged the Iraqi government to enable the meaningful representation of women in the decision-making process in Iraq. She also stressed that the implementation of Security Council Resolution 1325 on Women, Peace and Security is crucial for the leadership of UNAMI.</w:t>
      </w:r>
      <w:r w:rsidRPr="00F633B1">
        <w:rPr>
          <w:rStyle w:val="FootnoteReference"/>
          <w:shd w:val="clear" w:color="auto" w:fill="FFFFFF"/>
        </w:rPr>
        <w:footnoteReference w:id="2"/>
      </w:r>
    </w:p>
    <w:p w14:paraId="3B346E2A" w14:textId="77777777" w:rsidR="00FC4520" w:rsidRPr="004531EB" w:rsidRDefault="0052443E" w:rsidP="00E80748">
      <w:pPr>
        <w:pStyle w:val="Heading2"/>
        <w:rPr>
          <w:highlight w:val="green"/>
        </w:rPr>
      </w:pPr>
      <w:bookmarkStart w:id="4" w:name="_Toc20731967"/>
      <w:r>
        <w:t>Forced Marriage</w:t>
      </w:r>
      <w:bookmarkEnd w:id="4"/>
    </w:p>
    <w:p w14:paraId="65731A1F" w14:textId="77777777" w:rsidR="0052443E" w:rsidRPr="00F633B1" w:rsidRDefault="0052443E" w:rsidP="0052443E">
      <w:pPr>
        <w:pStyle w:val="ListParagraph"/>
      </w:pPr>
      <w:r>
        <w:t xml:space="preserve">There is no age restriction and such a law </w:t>
      </w:r>
      <w:r w:rsidRPr="00F633B1">
        <w:t>leaves room</w:t>
      </w:r>
      <w:r>
        <w:t xml:space="preserve"> for physical and psychological abuse to occur with the </w:t>
      </w:r>
      <w:r w:rsidRPr="0052443E">
        <w:t>victims</w:t>
      </w:r>
      <w:r>
        <w:t xml:space="preserve"> having no recourse to justice. Article 9(2) stipulates</w:t>
      </w:r>
      <w:r w:rsidRPr="00F633B1">
        <w:t xml:space="preserve"> “No relative or other person has the right to force marriage on anyone, male or female, without their consent.</w:t>
      </w:r>
      <w:r>
        <w:t>”</w:t>
      </w:r>
      <w:r w:rsidRPr="00F633B1">
        <w:t xml:space="preserve"> Again, the article is too vague. It does not stipulate any age limit and can therefore also </w:t>
      </w:r>
      <w:r>
        <w:t xml:space="preserve">be a loophole </w:t>
      </w:r>
      <w:r w:rsidRPr="00F633B1">
        <w:t xml:space="preserve">for forced child marriages where a girl or woman </w:t>
      </w:r>
      <w:r>
        <w:t xml:space="preserve">is </w:t>
      </w:r>
      <w:r w:rsidRPr="00F633B1">
        <w:t>forced</w:t>
      </w:r>
      <w:r>
        <w:t xml:space="preserve"> by her family</w:t>
      </w:r>
      <w:r w:rsidRPr="00F633B1">
        <w:t xml:space="preserve"> to enter a marriage</w:t>
      </w:r>
      <w:r>
        <w:t xml:space="preserve"> due to societal</w:t>
      </w:r>
      <w:r w:rsidRPr="00F633B1">
        <w:t xml:space="preserve"> or economic factors such as poverty or “honour” or when women are given in marriage to settle </w:t>
      </w:r>
      <w:r>
        <w:t xml:space="preserve">tribal </w:t>
      </w:r>
      <w:r w:rsidRPr="00F633B1">
        <w:t>disputes</w:t>
      </w:r>
      <w:r>
        <w:t xml:space="preserve"> (</w:t>
      </w:r>
      <w:proofErr w:type="spellStart"/>
      <w:r>
        <w:rPr>
          <w:i/>
          <w:iCs/>
        </w:rPr>
        <w:t>f</w:t>
      </w:r>
      <w:r w:rsidRPr="00B9044D">
        <w:rPr>
          <w:i/>
          <w:iCs/>
        </w:rPr>
        <w:t>asliyah</w:t>
      </w:r>
      <w:proofErr w:type="spellEnd"/>
      <w:r>
        <w:t>)</w:t>
      </w:r>
      <w:r w:rsidRPr="00F633B1">
        <w:t xml:space="preserve">. </w:t>
      </w:r>
      <w:r>
        <w:t xml:space="preserve">Article 2(first) of the Domestic Violence Act (Kurdistan Region) No.8 of 2011 considers forced, arranged and child marriages as forms of domestic abuse. This is a step forward in protecting young girls and women from abuse and possible exposure to rape or trafficking. </w:t>
      </w:r>
    </w:p>
    <w:p w14:paraId="0BBE0170" w14:textId="77777777" w:rsidR="0052443E" w:rsidRPr="00F633B1" w:rsidRDefault="0052443E" w:rsidP="00E80748">
      <w:pPr>
        <w:pStyle w:val="Heading2"/>
      </w:pPr>
      <w:bookmarkStart w:id="5" w:name="_Toc20731968"/>
      <w:r>
        <w:t>Iraq’s Criminal Law on Sexual Violence and Rape</w:t>
      </w:r>
      <w:bookmarkEnd w:id="5"/>
    </w:p>
    <w:p w14:paraId="1349E7ED" w14:textId="77777777" w:rsidR="0052443E" w:rsidRDefault="0052443E" w:rsidP="0052443E">
      <w:pPr>
        <w:pStyle w:val="ListParagraph"/>
      </w:pPr>
      <w:r>
        <w:t>Article 393</w:t>
      </w:r>
      <w:r w:rsidRPr="0052443E">
        <w:t xml:space="preserve"> of the Penal Code d</w:t>
      </w:r>
      <w:r w:rsidRPr="006774DC">
        <w:t>efines</w:t>
      </w:r>
      <w:r>
        <w:t xml:space="preserve"> rape as “penetration or sodomy with no consent”. But consent is too vague and not clearly defined where the victim is not in a capacity to give consent (asleep, inebriated or under the influence of drugs) or where there is use of force, coercion or threat. The definition is too narrow compared to the one used by international criminal law (the Rome Statute of the ICC).</w:t>
      </w:r>
      <w:r>
        <w:rPr>
          <w:rStyle w:val="FootnoteReference"/>
        </w:rPr>
        <w:footnoteReference w:id="3"/>
      </w:r>
      <w:r>
        <w:t xml:space="preserve">  The use of force and incest are considered aggravating circumstances in the Iraqi law rather than circumstances affecting consent. This definition is outdated and in court can put the onus on the victim for not clearly saying no or not behaving in a certain way to refuse sex. Lesser penalties are established for “consensual sex” with a minor. This would be considered child sexual abuse under articles 34 and 35 of the CRC and should not be considered “consensual” or allowed lesser sentences.  Article 398</w:t>
      </w:r>
      <w:r w:rsidRPr="00F633B1">
        <w:t xml:space="preserve"> of the penal code is also still in force where a woman may be forced to marry her </w:t>
      </w:r>
      <w:r>
        <w:t xml:space="preserve">rapist especially if she or her family want to avoid shame or retaliation: “all criminal actions against the perpetrators of rape or sexual assault are null and void and any sentence that has passed is quashed if the perpetrator then lawfully marries the victim.” Marital rape is also not penalised. </w:t>
      </w:r>
    </w:p>
    <w:p w14:paraId="15533875" w14:textId="77777777" w:rsidR="0052443E" w:rsidRDefault="0052443E" w:rsidP="0052443E">
      <w:pPr>
        <w:pStyle w:val="ListParagraph"/>
      </w:pPr>
      <w:r>
        <w:lastRenderedPageBreak/>
        <w:t>Article 3 of the criminal procedure code establishes the prosecution for rape. There is a three-month limitation for filing a complaint about rape: The complaint must be lodged within three months of the victim becoming</w:t>
      </w:r>
      <w:r w:rsidRPr="00F633B1">
        <w:t xml:space="preserve"> aware of the crime </w:t>
      </w:r>
      <w:r>
        <w:t>(</w:t>
      </w:r>
      <w:r w:rsidRPr="00F633B1">
        <w:t>unless there was a compelling excuse that stopped the</w:t>
      </w:r>
      <w:r>
        <w:t>m</w:t>
      </w:r>
      <w:r w:rsidRPr="00F633B1">
        <w:t xml:space="preserve"> from coming forward</w:t>
      </w:r>
      <w:r>
        <w:t>)</w:t>
      </w:r>
      <w:r w:rsidRPr="00F633B1">
        <w:t xml:space="preserve"> or they lose their right</w:t>
      </w:r>
      <w:r>
        <w:t xml:space="preserve"> to justice</w:t>
      </w:r>
      <w:r w:rsidRPr="00F633B1">
        <w:t>. If the victim drops the charges she is no longer entitled to criminal justice</w:t>
      </w:r>
      <w:r>
        <w:t xml:space="preserve">. In a conservative society like Iraq where shame, virginity and honour seem to be highly valued even in the eyes of the judicial system, victims may not come forward immediately as they are ashamed or fear they will bring dishonour to their families. By putting such limitations on the filing of a rape complaint, Iraq is punishing the victims. Even after filing a complaint, </w:t>
      </w:r>
      <w:r w:rsidRPr="00F633B1">
        <w:t xml:space="preserve">the victim may be pressured into dropping the charges to avoid shame or stigma or </w:t>
      </w:r>
      <w:r>
        <w:t xml:space="preserve">due to </w:t>
      </w:r>
      <w:r w:rsidRPr="00F633B1">
        <w:t>threat</w:t>
      </w:r>
      <w:r>
        <w:t>s of</w:t>
      </w:r>
      <w:r w:rsidRPr="00F633B1">
        <w:t xml:space="preserve"> retaliation for reporting th</w:t>
      </w:r>
      <w:r>
        <w:t xml:space="preserve">e crime. </w:t>
      </w:r>
    </w:p>
    <w:p w14:paraId="34A98D50" w14:textId="77777777" w:rsidR="0052443E" w:rsidRDefault="0052443E" w:rsidP="00994576">
      <w:pPr>
        <w:pStyle w:val="ListParagraph"/>
      </w:pPr>
      <w:r>
        <w:t>On the matter of rape, t</w:t>
      </w:r>
      <w:r w:rsidRPr="0057160C">
        <w:t>he Cabinet issued Decision No. 92 (2014)</w:t>
      </w:r>
      <w:r>
        <w:t xml:space="preserve"> recognizing</w:t>
      </w:r>
      <w:r w:rsidRPr="0057160C">
        <w:t xml:space="preserve"> </w:t>
      </w:r>
      <w:r>
        <w:t xml:space="preserve">rape and other crimes </w:t>
      </w:r>
      <w:r w:rsidRPr="0057160C">
        <w:t xml:space="preserve">inflicted on Iraqi Yazidis, Turkmens, Christians and the </w:t>
      </w:r>
      <w:proofErr w:type="spellStart"/>
      <w:r w:rsidRPr="0057160C">
        <w:t>Shabak</w:t>
      </w:r>
      <w:proofErr w:type="spellEnd"/>
      <w:r w:rsidRPr="0057160C">
        <w:t xml:space="preserve"> and other minority groups by ISIL terrorist gangs as genocide. </w:t>
      </w:r>
      <w:r>
        <w:t xml:space="preserve">This is a good step toward justice for these victims. However, the State party has failed to document and prosecute militias affiliated with the Iraqi government (such as the ERD) that have assaulted and raped women solely based on suspicion of their husbands or their family members of being ISIL members or sympathisers. </w:t>
      </w:r>
      <w:r w:rsidR="00994576">
        <w:t>It’s regretful that the government has held no one accountable for such heinous crimes.</w:t>
      </w:r>
      <w:r>
        <w:t xml:space="preserve"> Households headed by women are targeted and threatened by Iraq’s armed forces. Women are faced with intimidation and harassment and punished for even fleeing areas suspected of falling under ISIL control. Punishments included being denied humanitarian aid and sexual exploitation at the hands of those armed </w:t>
      </w:r>
      <w:r w:rsidR="00994576" w:rsidRPr="00994576">
        <w:t>militias</w:t>
      </w:r>
      <w:r w:rsidRPr="00994576">
        <w:t>.</w:t>
      </w:r>
      <w:r>
        <w:t xml:space="preserve"> The State Party only seems to point the finger at crimes committed by ISIL but denies any wrongdoing by its own security and armed forces. </w:t>
      </w:r>
    </w:p>
    <w:p w14:paraId="679F015D" w14:textId="77777777" w:rsidR="0052443E" w:rsidRDefault="0052443E" w:rsidP="00E80748">
      <w:pPr>
        <w:pStyle w:val="Heading2"/>
      </w:pPr>
      <w:bookmarkStart w:id="6" w:name="_Toc20731969"/>
      <w:r>
        <w:t>H</w:t>
      </w:r>
      <w:r w:rsidRPr="00D27C4C">
        <w:t xml:space="preserve">uman </w:t>
      </w:r>
      <w:r>
        <w:t>T</w:t>
      </w:r>
      <w:r w:rsidRPr="00D27C4C">
        <w:t xml:space="preserve">rafficking and </w:t>
      </w:r>
      <w:r>
        <w:t>S</w:t>
      </w:r>
      <w:r w:rsidRPr="00D27C4C">
        <w:t xml:space="preserve">exual </w:t>
      </w:r>
      <w:r>
        <w:t>S</w:t>
      </w:r>
      <w:r w:rsidRPr="00D27C4C">
        <w:t>lavery</w:t>
      </w:r>
      <w:bookmarkEnd w:id="6"/>
    </w:p>
    <w:p w14:paraId="5A043BAE" w14:textId="77777777" w:rsidR="0052443E" w:rsidRDefault="0052443E" w:rsidP="0052443E">
      <w:pPr>
        <w:pStyle w:val="ListParagraph"/>
      </w:pPr>
      <w:r>
        <w:t>Ever since the US invasion of Iraq in 2003, up to 10,000 women and girls have been kidnapped or trafficked  for sexual slavery, prostitution or held for ransom.</w:t>
      </w:r>
      <w:r>
        <w:rPr>
          <w:rStyle w:val="FootnoteReference"/>
        </w:rPr>
        <w:footnoteReference w:id="4"/>
      </w:r>
      <w:r>
        <w:t xml:space="preserve"> The dissolution of the Iraqi army and other security institutions left the borders with zero security and control of the flow of people entering or exiting the country. The collapse of law and order has created the perfect environment for human trafficking to mushroom over the years.</w:t>
      </w:r>
    </w:p>
    <w:p w14:paraId="6F725574" w14:textId="77777777" w:rsidR="0052443E" w:rsidRPr="00994576" w:rsidRDefault="0052443E" w:rsidP="00994576">
      <w:pPr>
        <w:pStyle w:val="ListParagraph"/>
        <w:rPr>
          <w:shd w:val="clear" w:color="auto" w:fill="FFFFFF"/>
        </w:rPr>
      </w:pPr>
      <w:r>
        <w:rPr>
          <w:shd w:val="clear" w:color="auto" w:fill="FFFFFF"/>
        </w:rPr>
        <w:t xml:space="preserve">There is concern that top government officials might be complicit in protecting traffickers from investigation and prosecution. Continued allegations and reports coming from IDP camps have named military and security personnel as aiding the sexual exploitation and trafficking of women and </w:t>
      </w:r>
      <w:r w:rsidRPr="001905AB">
        <w:t>girls</w:t>
      </w:r>
      <w:r>
        <w:rPr>
          <w:shd w:val="clear" w:color="auto" w:fill="FFFFFF"/>
        </w:rPr>
        <w:t xml:space="preserve"> especially those with ties to ISIL. </w:t>
      </w:r>
      <w:r w:rsidRPr="00994576">
        <w:rPr>
          <w:shd w:val="clear" w:color="auto" w:fill="FFFFFF"/>
        </w:rPr>
        <w:t>The</w:t>
      </w:r>
      <w:r w:rsidR="00994576" w:rsidRPr="00994576">
        <w:rPr>
          <w:shd w:val="clear" w:color="auto" w:fill="FFFFFF"/>
        </w:rPr>
        <w:t xml:space="preserve"> government has unfortunately time and time again failed to </w:t>
      </w:r>
      <w:r w:rsidRPr="00994576">
        <w:rPr>
          <w:shd w:val="clear" w:color="auto" w:fill="FFFFFF"/>
        </w:rPr>
        <w:t>investigate or prosecute them.</w:t>
      </w:r>
      <w:r w:rsidRPr="00994576">
        <w:rPr>
          <w:rStyle w:val="FootnoteReference"/>
          <w:shd w:val="clear" w:color="auto" w:fill="FFFFFF"/>
        </w:rPr>
        <w:footnoteReference w:id="5"/>
      </w:r>
    </w:p>
    <w:p w14:paraId="10453BC7" w14:textId="77777777" w:rsidR="0052443E" w:rsidRPr="00393429" w:rsidRDefault="0052443E" w:rsidP="00994576">
      <w:pPr>
        <w:pStyle w:val="ListParagraph"/>
        <w:rPr>
          <w:shd w:val="clear" w:color="auto" w:fill="FFFFFF"/>
        </w:rPr>
      </w:pPr>
      <w:r>
        <w:t xml:space="preserve">Temporary marriages such as </w:t>
      </w:r>
      <w:proofErr w:type="spellStart"/>
      <w:r w:rsidRPr="0052443E">
        <w:rPr>
          <w:i/>
          <w:iCs/>
        </w:rPr>
        <w:t>muta’ah</w:t>
      </w:r>
      <w:proofErr w:type="spellEnd"/>
      <w:r>
        <w:t xml:space="preserve"> where </w:t>
      </w:r>
      <w:r w:rsidRPr="00B74309">
        <w:rPr>
          <w:shd w:val="clear" w:color="auto" w:fill="FFFFFF"/>
        </w:rPr>
        <w:t>the family receives a dowry from the husband and the marriage is terminated after a specified period</w:t>
      </w:r>
      <w:r>
        <w:rPr>
          <w:shd w:val="clear" w:color="auto" w:fill="FFFFFF"/>
        </w:rPr>
        <w:t xml:space="preserve"> have been used by men to traffic women into</w:t>
      </w:r>
      <w:r w:rsidR="00994576">
        <w:rPr>
          <w:shd w:val="clear" w:color="auto" w:fill="FFFFFF"/>
        </w:rPr>
        <w:t xml:space="preserve"> Iraq or neighbouring countries like Syria, Jordan and Kuwait </w:t>
      </w:r>
      <w:r>
        <w:rPr>
          <w:shd w:val="clear" w:color="auto" w:fill="FFFFFF"/>
        </w:rPr>
        <w:t xml:space="preserve">for the purpose of working in the sex </w:t>
      </w:r>
      <w:r w:rsidRPr="00994576">
        <w:rPr>
          <w:shd w:val="clear" w:color="auto" w:fill="FFFFFF"/>
        </w:rPr>
        <w:t>trade.</w:t>
      </w:r>
      <w:r w:rsidR="00994576">
        <w:rPr>
          <w:shd w:val="clear" w:color="auto" w:fill="FFFFFF"/>
        </w:rPr>
        <w:t xml:space="preserve"> </w:t>
      </w:r>
      <w:r>
        <w:rPr>
          <w:shd w:val="clear" w:color="auto" w:fill="FFFFFF"/>
        </w:rPr>
        <w:t xml:space="preserve">Women in IDP </w:t>
      </w:r>
      <w:r w:rsidRPr="001905AB">
        <w:t>camps</w:t>
      </w:r>
      <w:r>
        <w:rPr>
          <w:shd w:val="clear" w:color="auto" w:fill="FFFFFF"/>
        </w:rPr>
        <w:t xml:space="preserve"> and their children are at a </w:t>
      </w:r>
      <w:r>
        <w:rPr>
          <w:shd w:val="clear" w:color="auto" w:fill="FFFFFF"/>
        </w:rPr>
        <w:lastRenderedPageBreak/>
        <w:t>higher risk of falling victim to trafficking as they attempt to escape dire conditions and are lured with promises of work or money. However, Iraq does not specify in its report the measures taken to address the vulnerability of IDPs, refugees and returnees. The government also fails to identify victims of trafficking, and instead of receiving proper care they end up being penalized. The Ministry of Interior lacks a referral system, victim guidelines and poor coordination across the country. Authorities clearly lack understanding of trafficking and cannot identify victims of it.</w:t>
      </w:r>
      <w:r>
        <w:rPr>
          <w:rStyle w:val="FootnoteReference"/>
          <w:color w:val="252525"/>
          <w:shd w:val="clear" w:color="auto" w:fill="FFFFFF"/>
        </w:rPr>
        <w:footnoteReference w:id="6"/>
      </w:r>
    </w:p>
    <w:p w14:paraId="4B1305DA" w14:textId="77777777" w:rsidR="0052443E" w:rsidRDefault="0052443E" w:rsidP="00994576">
      <w:pPr>
        <w:pStyle w:val="ListParagraph"/>
      </w:pPr>
      <w:r w:rsidRPr="00F633B1">
        <w:t xml:space="preserve">Iraq has criminalized </w:t>
      </w:r>
      <w:r w:rsidRPr="00B36D2E">
        <w:rPr>
          <w:color w:val="252525"/>
          <w:shd w:val="clear" w:color="auto" w:fill="FFFFFF"/>
        </w:rPr>
        <w:t>human</w:t>
      </w:r>
      <w:r w:rsidRPr="00F633B1">
        <w:t xml:space="preserve"> trafficking and kidnapping. However</w:t>
      </w:r>
      <w:r>
        <w:t>,</w:t>
      </w:r>
      <w:r w:rsidRPr="00F633B1">
        <w:t xml:space="preserve"> sexual slavery is not outlawed. Under </w:t>
      </w:r>
      <w:r>
        <w:t>P</w:t>
      </w:r>
      <w:r w:rsidRPr="00F633B1">
        <w:t xml:space="preserve">enal </w:t>
      </w:r>
      <w:r>
        <w:t>C</w:t>
      </w:r>
      <w:r w:rsidRPr="00F633B1">
        <w:t xml:space="preserve">ode </w:t>
      </w:r>
      <w:r>
        <w:t xml:space="preserve">Article </w:t>
      </w:r>
      <w:r w:rsidRPr="00F633B1">
        <w:t xml:space="preserve">423, sex with </w:t>
      </w:r>
      <w:r>
        <w:t xml:space="preserve">a kidnapped </w:t>
      </w:r>
      <w:r w:rsidRPr="00F633B1">
        <w:t>woman over the age of 18 is</w:t>
      </w:r>
      <w:r>
        <w:t xml:space="preserve"> punishable by death but no parallel provisions protect</w:t>
      </w:r>
      <w:r w:rsidRPr="00F633B1">
        <w:t xml:space="preserve"> </w:t>
      </w:r>
      <w:r w:rsidR="00994576">
        <w:t>minors.</w:t>
      </w:r>
      <w:r w:rsidRPr="00F633B1">
        <w:t xml:space="preserve">  </w:t>
      </w:r>
      <w:r>
        <w:t xml:space="preserve">Regarding </w:t>
      </w:r>
      <w:r w:rsidRPr="00F633B1">
        <w:t>Law No. 28 of 2018 combating the trafficking in persons</w:t>
      </w:r>
      <w:r>
        <w:t>, t</w:t>
      </w:r>
      <w:r w:rsidRPr="00F633B1">
        <w:t>he kidnapping provision was amended to remove an exception if the perpetrator married the victim, unlike for rape and sexual assault. Former article 427 is no longer in force where “any criminal proceedings become void if the perpetrator of kidnap and rape lawfully marries the victim</w:t>
      </w:r>
      <w:r>
        <w:t>.</w:t>
      </w:r>
      <w:r w:rsidRPr="00F633B1">
        <w:t>”</w:t>
      </w:r>
      <w:r w:rsidRPr="00F633B1">
        <w:rPr>
          <w:rStyle w:val="FootnoteReference"/>
        </w:rPr>
        <w:footnoteReference w:id="7"/>
      </w:r>
      <w:r>
        <w:t xml:space="preserve"> This does offer some protection to victims by not having to face marrying a person that has sold them into slavery and exploited them. </w:t>
      </w:r>
      <w:r w:rsidRPr="001C3620">
        <w:t>The Iraqi government has</w:t>
      </w:r>
      <w:r>
        <w:t xml:space="preserve"> also</w:t>
      </w:r>
      <w:r w:rsidRPr="001C3620">
        <w:t xml:space="preserve"> created the Supreme Committee to Combat Human</w:t>
      </w:r>
      <w:r>
        <w:t xml:space="preserve"> </w:t>
      </w:r>
      <w:r w:rsidRPr="001C3620">
        <w:t>Trafficking; however, it does not have any real power to implement its recommendations</w:t>
      </w:r>
      <w:r>
        <w:t xml:space="preserve">. </w:t>
      </w:r>
    </w:p>
    <w:p w14:paraId="33D45DC1" w14:textId="77777777" w:rsidR="0052443E" w:rsidRPr="002E09D4" w:rsidRDefault="0052443E" w:rsidP="00E80748">
      <w:pPr>
        <w:pStyle w:val="Heading2"/>
      </w:pPr>
      <w:bookmarkStart w:id="7" w:name="_Toc20731970"/>
      <w:r>
        <w:rPr>
          <w:shd w:val="clear" w:color="auto" w:fill="FFFFFF"/>
        </w:rPr>
        <w:t>Honour Killings</w:t>
      </w:r>
      <w:bookmarkEnd w:id="7"/>
    </w:p>
    <w:p w14:paraId="751D7B9E" w14:textId="77777777" w:rsidR="0052443E" w:rsidRDefault="0052443E" w:rsidP="0052443E">
      <w:pPr>
        <w:pStyle w:val="ListParagraph"/>
      </w:pPr>
      <w:r>
        <w:t>This happens even</w:t>
      </w:r>
      <w:r w:rsidRPr="00F633B1">
        <w:t xml:space="preserve"> though </w:t>
      </w:r>
      <w:r>
        <w:t>A</w:t>
      </w:r>
      <w:r w:rsidRPr="00F633B1">
        <w:t xml:space="preserve">rticles 128, 130 and 131 </w:t>
      </w:r>
      <w:r>
        <w:t>of the Penal Code have been</w:t>
      </w:r>
      <w:r w:rsidRPr="00F633B1">
        <w:t xml:space="preserve"> amended to read that honour killing is not a justification for mitigation of sentence. </w:t>
      </w:r>
      <w:r>
        <w:t>Yet, t</w:t>
      </w:r>
      <w:r w:rsidRPr="00347BC2">
        <w:t>he state report talks of</w:t>
      </w:r>
      <w:r>
        <w:t xml:space="preserve"> “all</w:t>
      </w:r>
      <w:r w:rsidRPr="00347BC2">
        <w:t xml:space="preserve"> honourable motives</w:t>
      </w:r>
      <w:r>
        <w:t>”</w:t>
      </w:r>
      <w:r w:rsidRPr="00347BC2">
        <w:t xml:space="preserve"> </w:t>
      </w:r>
      <w:r>
        <w:t>as justification for mitigation.</w:t>
      </w:r>
      <w:r w:rsidRPr="00347BC2">
        <w:t xml:space="preserve"> </w:t>
      </w:r>
      <w:r>
        <w:t>T</w:t>
      </w:r>
      <w:r w:rsidRPr="00347BC2">
        <w:t xml:space="preserve">he report also refers to Sharia law and the conservative nature of the Iraqi society. Article 409 of the Penal </w:t>
      </w:r>
      <w:r>
        <w:t>C</w:t>
      </w:r>
      <w:r w:rsidRPr="00347BC2">
        <w:t xml:space="preserve">ode stipulates that if a man catches his wife or close female relative in an act of adultery and kills her, he may be granted mitigating circumstances. </w:t>
      </w:r>
      <w:r>
        <w:t>In addition, judges can</w:t>
      </w:r>
      <w:r w:rsidRPr="00F633B1">
        <w:t xml:space="preserve"> exercise discretion when handing out a sentence and can use “honour” as mitigating circumstances based on the facts of the case</w:t>
      </w:r>
      <w:r>
        <w:t>. Therefore,</w:t>
      </w:r>
      <w:r w:rsidRPr="00F633B1">
        <w:t xml:space="preserve"> </w:t>
      </w:r>
      <w:r>
        <w:t>g</w:t>
      </w:r>
      <w:r w:rsidRPr="00F633B1">
        <w:t xml:space="preserve">iven that </w:t>
      </w:r>
      <w:r>
        <w:t xml:space="preserve">1) </w:t>
      </w:r>
      <w:r w:rsidRPr="00F633B1">
        <w:t>most judges sitting on the bench are men</w:t>
      </w:r>
      <w:r>
        <w:t>,</w:t>
      </w:r>
      <w:r w:rsidRPr="00F633B1">
        <w:t xml:space="preserve"> and </w:t>
      </w:r>
      <w:r>
        <w:t xml:space="preserve">2) Iraqi </w:t>
      </w:r>
      <w:r w:rsidRPr="00F633B1">
        <w:t>society is deeply rooted in patriarchy</w:t>
      </w:r>
      <w:r>
        <w:t>,</w:t>
      </w:r>
      <w:r w:rsidRPr="00F633B1">
        <w:t xml:space="preserve"> and </w:t>
      </w:r>
      <w:r>
        <w:t xml:space="preserve">3) </w:t>
      </w:r>
      <w:r w:rsidRPr="00F633B1">
        <w:t>these particular articles are based on Sharia law, it is very probable that the judge may side with the male and grant mitigation in cases of honour killings or any honour crimes committed.</w:t>
      </w:r>
    </w:p>
    <w:p w14:paraId="071C59AF" w14:textId="77777777" w:rsidR="0052443E" w:rsidRPr="00347BC2" w:rsidRDefault="0052443E" w:rsidP="0052443E">
      <w:pPr>
        <w:pStyle w:val="ListParagraph"/>
        <w:rPr>
          <w:shd w:val="clear" w:color="auto" w:fill="FFFFFF"/>
        </w:rPr>
      </w:pPr>
      <w:r w:rsidRPr="00347BC2">
        <w:rPr>
          <w:shd w:val="clear" w:color="auto" w:fill="FFFFFF"/>
        </w:rPr>
        <w:t xml:space="preserve">Unsurprisingly, the same leniency is, however, not extended to women when they seek or get abortions. Article 417 of the </w:t>
      </w:r>
      <w:r>
        <w:rPr>
          <w:shd w:val="clear" w:color="auto" w:fill="FFFFFF"/>
        </w:rPr>
        <w:t>P</w:t>
      </w:r>
      <w:r w:rsidRPr="00347BC2">
        <w:rPr>
          <w:shd w:val="clear" w:color="auto" w:fill="FFFFFF"/>
        </w:rPr>
        <w:t xml:space="preserve">enal </w:t>
      </w:r>
      <w:r>
        <w:rPr>
          <w:shd w:val="clear" w:color="auto" w:fill="FFFFFF"/>
        </w:rPr>
        <w:t>C</w:t>
      </w:r>
      <w:r w:rsidRPr="00347BC2">
        <w:rPr>
          <w:shd w:val="clear" w:color="auto" w:fill="FFFFFF"/>
        </w:rPr>
        <w:t>ode criminalizes abortion.</w:t>
      </w:r>
      <w:r>
        <w:rPr>
          <w:rStyle w:val="FootnoteReference"/>
          <w:color w:val="201F1E"/>
          <w:shd w:val="clear" w:color="auto" w:fill="FFFFFF"/>
        </w:rPr>
        <w:footnoteReference w:id="8"/>
      </w:r>
      <w:r w:rsidRPr="00347BC2">
        <w:rPr>
          <w:shd w:val="clear" w:color="auto" w:fill="FFFFFF"/>
        </w:rPr>
        <w:t xml:space="preserve"> No exceptions or mitigation are provided even in cases of rape or foetal impairment.</w:t>
      </w:r>
      <w:r>
        <w:rPr>
          <w:rStyle w:val="FootnoteReference"/>
          <w:color w:val="201F1E"/>
          <w:shd w:val="clear" w:color="auto" w:fill="FFFFFF"/>
        </w:rPr>
        <w:footnoteReference w:id="9"/>
      </w:r>
      <w:r w:rsidRPr="00347BC2">
        <w:rPr>
          <w:shd w:val="clear" w:color="auto" w:fill="FFFFFF"/>
        </w:rPr>
        <w:t xml:space="preserve"> It is considered a legally mitigating circumstance if the pregnancy brings shame. In the eyes of the Iraqi law, an unborn child (even if it is the result of rape) and “honour” are deemed more valuable than the life of a woman or her wellbeing. With widespread systematic rape and </w:t>
      </w:r>
      <w:r w:rsidRPr="00347BC2">
        <w:rPr>
          <w:shd w:val="clear" w:color="auto" w:fill="FFFFFF"/>
        </w:rPr>
        <w:lastRenderedPageBreak/>
        <w:t xml:space="preserve">sex trafficking going on, women are seeking unsafe procedures to terminate unwanted pregnancies, resulting in serious health risks including sepsis, haemorrhaging and death. In fact, laws concerning abortion </w:t>
      </w:r>
      <w:r>
        <w:rPr>
          <w:shd w:val="clear" w:color="auto" w:fill="FFFFFF"/>
        </w:rPr>
        <w:t xml:space="preserve">in Iraq </w:t>
      </w:r>
      <w:r w:rsidRPr="00347BC2">
        <w:rPr>
          <w:shd w:val="clear" w:color="auto" w:fill="FFFFFF"/>
        </w:rPr>
        <w:t>have become more restrictive over the years</w:t>
      </w:r>
      <w:r>
        <w:rPr>
          <w:shd w:val="clear" w:color="auto" w:fill="FFFFFF"/>
        </w:rPr>
        <w:t>.</w:t>
      </w:r>
      <w:r>
        <w:rPr>
          <w:rStyle w:val="FootnoteReference"/>
          <w:color w:val="201F1E"/>
          <w:shd w:val="clear" w:color="auto" w:fill="FFFFFF"/>
        </w:rPr>
        <w:footnoteReference w:id="10"/>
      </w:r>
    </w:p>
    <w:p w14:paraId="65A936A9" w14:textId="77777777" w:rsidR="0052443E" w:rsidRPr="005110C7" w:rsidRDefault="0052443E" w:rsidP="00E80748">
      <w:pPr>
        <w:pStyle w:val="Heading2"/>
      </w:pPr>
      <w:bookmarkStart w:id="8" w:name="_Toc20731971"/>
      <w:r>
        <w:t>Stereotypes, Harmful Practices and Family Relations</w:t>
      </w:r>
      <w:bookmarkEnd w:id="8"/>
    </w:p>
    <w:p w14:paraId="27A2D20E" w14:textId="77777777" w:rsidR="0052443E" w:rsidRDefault="0052443E" w:rsidP="0052443E">
      <w:pPr>
        <w:pStyle w:val="ListParagraph"/>
      </w:pPr>
      <w:r>
        <w:t xml:space="preserve">The sectarian division in Iraq has aggravated existing and deep-rooted patriarchal, discriminatory practices such as guardianship of children, polygamy and considering women inferior to men (owing obedience to husbands). These have already been noted in the Committee’s previous concluding observations but are still perpetuated to this day. </w:t>
      </w:r>
    </w:p>
    <w:p w14:paraId="2C6122B4" w14:textId="77777777" w:rsidR="0052443E" w:rsidRDefault="0052443E" w:rsidP="0052443E">
      <w:pPr>
        <w:pStyle w:val="ListParagraph"/>
      </w:pPr>
      <w:r w:rsidRPr="00F633B1">
        <w:t>F</w:t>
      </w:r>
      <w:r>
        <w:t>emale genital mutilation (F</w:t>
      </w:r>
      <w:r w:rsidRPr="00F633B1">
        <w:t>GM</w:t>
      </w:r>
      <w:r>
        <w:t>)</w:t>
      </w:r>
      <w:r w:rsidRPr="00F633B1">
        <w:t xml:space="preserve">: </w:t>
      </w:r>
      <w:r>
        <w:t>In the last CEDAW report,</w:t>
      </w:r>
      <w:r>
        <w:rPr>
          <w:rStyle w:val="FootnoteReference"/>
        </w:rPr>
        <w:footnoteReference w:id="11"/>
      </w:r>
      <w:r>
        <w:t xml:space="preserve"> the Committee requested that the state party submit information on the prevalence of FGM in the Kurdistan region and in Kirkuk as well as establish laws that combat such practices. The State report only mentions a Survey done with UNICEF and the Heartland Alliance International that concluded that FGM in the Kurdistan region has reduced sharply. No figures are given to support this statement. In the matter of combating FGM, </w:t>
      </w:r>
      <w:r w:rsidRPr="0013203C">
        <w:t>Article 6 of the Kurdistan Region Domestic Viole</w:t>
      </w:r>
      <w:r>
        <w:t xml:space="preserve">nce Act No. 8 (2011) stipulates that conducting FGM is punishable by a sentence of between six months to two years with a fine ranging from one million dinars to five million dinars. The sentence is more severe for the perpetrator of FGM on minors. Outside of Kurdistan, there is no national law that criminalizes FGM.  </w:t>
      </w:r>
    </w:p>
    <w:p w14:paraId="257D0F09" w14:textId="77777777" w:rsidR="0052443E" w:rsidRDefault="0052443E" w:rsidP="0052443E">
      <w:pPr>
        <w:pStyle w:val="ListParagraph"/>
      </w:pPr>
      <w:r>
        <w:t>Domestic violence: Article</w:t>
      </w:r>
      <w:r w:rsidRPr="009C6C0E">
        <w:t xml:space="preserve"> 2(first) of the Domestic Violence Act (Kurdistan Region) No. 8 (2011)</w:t>
      </w:r>
      <w:r>
        <w:t xml:space="preserve"> does criminalise all forms of corporal punishment. This provides wives with legal protection in cases of spousal abuse. However, there is no federal domestic violence law covering the rest of Iraq, and worse, under article 41 of the Penal Code of 1969, a husband has the legal right to physically punish his wife.  </w:t>
      </w:r>
    </w:p>
    <w:p w14:paraId="49B69639" w14:textId="77777777" w:rsidR="0052443E" w:rsidRDefault="0052443E" w:rsidP="0052443E">
      <w:pPr>
        <w:pStyle w:val="ListParagraph"/>
      </w:pPr>
      <w:r>
        <w:t xml:space="preserve">Marriage, polygamy and divorce: Under the Personal Status law, the husband is required to maintain his wife and the wife owes him obedience. The father is the legal guardian of his minor children. Polygamy is permitted under the Personal Status law (subject to judicial authorisation). The conditions are stricter for polygamy in the Kurdistan Region. A husband can unilaterally divorce his wife (by repudiation or “talaq”). A woman may divorce on specified grounds or ask for a </w:t>
      </w:r>
      <w:proofErr w:type="spellStart"/>
      <w:r w:rsidRPr="00F318AD">
        <w:rPr>
          <w:i/>
          <w:iCs/>
        </w:rPr>
        <w:t>kula’a</w:t>
      </w:r>
      <w:proofErr w:type="spellEnd"/>
      <w:r>
        <w:t xml:space="preserve"> divorce without grounds and loses her financial rights (her dowry or </w:t>
      </w:r>
      <w:proofErr w:type="spellStart"/>
      <w:r w:rsidRPr="00F318AD">
        <w:rPr>
          <w:i/>
          <w:iCs/>
        </w:rPr>
        <w:t>mahr</w:t>
      </w:r>
      <w:proofErr w:type="spellEnd"/>
      <w:r>
        <w:t>). And in case of divorce, a woman has custody of her children up to the age of 10 (may be extended to the age of 15). Under these current laws, a</w:t>
      </w:r>
      <w:r w:rsidR="00F318AD">
        <w:t xml:space="preserve"> </w:t>
      </w:r>
      <w:r>
        <w:t xml:space="preserve">woman stands to lose a lot in case of divorce or risks being at the mercy of an abusive husband to whom she owes total obedience. </w:t>
      </w:r>
    </w:p>
    <w:p w14:paraId="7CADED42" w14:textId="77777777" w:rsidR="0052443E" w:rsidRDefault="0052443E" w:rsidP="0052443E">
      <w:pPr>
        <w:pStyle w:val="ListParagraph"/>
      </w:pPr>
      <w:r>
        <w:t xml:space="preserve">Inheritance:  Under the Personal Status law (based on Sharia law), women have a right to less inheritance than their male relatives. Daughters receive half the share sons receive and if there is no son, the inheritance is split with her uncles. This can leave women in financial difficulty when left with little to no inheritance in a society where they still rely on income from husbands or fathers. This is changing with households run by women and women having to work to support families, but it is unjust that a wife or daughter is to get less simply because she is a woman. </w:t>
      </w:r>
    </w:p>
    <w:p w14:paraId="3773F40A" w14:textId="77777777" w:rsidR="0052443E" w:rsidRDefault="0052443E" w:rsidP="0052443E">
      <w:pPr>
        <w:pStyle w:val="ListParagraph"/>
      </w:pPr>
      <w:r>
        <w:lastRenderedPageBreak/>
        <w:t>Adultery: Adultery is an offense under article 377 of the Penal Code. If committed by a wife, it is a misdemeanour and she may serve a sentence between three months and five years. The same sentence is applied to a husband but only if he commits the act in the family home. This is a clear double standard that makes it easier to prosecute women than men and holds wives to a higher legal standard than their husbands.</w:t>
      </w:r>
    </w:p>
    <w:p w14:paraId="7665EF3C" w14:textId="77777777" w:rsidR="00B365AC" w:rsidRPr="0073232E" w:rsidRDefault="00EB3EB3" w:rsidP="00E80748">
      <w:pPr>
        <w:pStyle w:val="Heading1"/>
      </w:pPr>
      <w:bookmarkStart w:id="9" w:name="_Toc20731972"/>
      <w:r w:rsidRPr="0073232E">
        <w:t>Recommendation</w:t>
      </w:r>
      <w:r w:rsidR="00F318AD">
        <w:t>s</w:t>
      </w:r>
      <w:bookmarkEnd w:id="9"/>
    </w:p>
    <w:p w14:paraId="3F97B533" w14:textId="77777777" w:rsidR="00F318AD" w:rsidRDefault="00F318AD" w:rsidP="00F318AD">
      <w:pPr>
        <w:pStyle w:val="ListParagraph"/>
      </w:pPr>
      <w:r>
        <w:t xml:space="preserve">Geneva </w:t>
      </w:r>
      <w:r w:rsidRPr="00F318AD">
        <w:t>International</w:t>
      </w:r>
      <w:r>
        <w:t xml:space="preserve"> Centre for Justice requests the Committee to recommend, in its concluding observations, Iraq do the following: </w:t>
      </w:r>
    </w:p>
    <w:p w14:paraId="3A0F4EA7" w14:textId="77777777" w:rsidR="00F318AD" w:rsidRDefault="00F318AD" w:rsidP="00F318AD">
      <w:pPr>
        <w:pStyle w:val="ListParagraph"/>
        <w:numPr>
          <w:ilvl w:val="0"/>
          <w:numId w:val="30"/>
        </w:numPr>
        <w:tabs>
          <w:tab w:val="left" w:pos="1080"/>
        </w:tabs>
        <w:ind w:left="900" w:hanging="540"/>
      </w:pPr>
      <w:r w:rsidRPr="00F633B1">
        <w:t>Eradicate practices of child marriage and make them punishable by law. Clearly define and outlaw child marriage “as any marriage where at least one of the parties is less than 18 years of age”.</w:t>
      </w:r>
    </w:p>
    <w:p w14:paraId="7849306F" w14:textId="77777777" w:rsidR="00F318AD" w:rsidRDefault="00F318AD" w:rsidP="00E62EAF">
      <w:pPr>
        <w:pStyle w:val="ListParagraph"/>
        <w:numPr>
          <w:ilvl w:val="0"/>
          <w:numId w:val="30"/>
        </w:numPr>
        <w:tabs>
          <w:tab w:val="left" w:pos="1080"/>
        </w:tabs>
        <w:ind w:left="900" w:hanging="540"/>
      </w:pPr>
      <w:r w:rsidRPr="00E06FA5">
        <w:rPr>
          <w:color w:val="201F1E"/>
          <w:shd w:val="clear" w:color="auto" w:fill="FFFFFF"/>
        </w:rPr>
        <w:t>Decriminalize abortion and allow rape victims access to</w:t>
      </w:r>
      <w:r w:rsidR="00E62EAF">
        <w:rPr>
          <w:color w:val="201F1E"/>
          <w:shd w:val="clear" w:color="auto" w:fill="FFFFFF"/>
        </w:rPr>
        <w:t xml:space="preserve"> justice,</w:t>
      </w:r>
      <w:r w:rsidRPr="00E06FA5">
        <w:rPr>
          <w:color w:val="201F1E"/>
          <w:shd w:val="clear" w:color="auto" w:fill="FFFFFF"/>
        </w:rPr>
        <w:t xml:space="preserve"> proper medical and psychological care including STIs </w:t>
      </w:r>
      <w:r w:rsidR="00E62EAF">
        <w:rPr>
          <w:color w:val="201F1E"/>
          <w:shd w:val="clear" w:color="auto" w:fill="FFFFFF"/>
        </w:rPr>
        <w:t xml:space="preserve">screenings. </w:t>
      </w:r>
    </w:p>
    <w:p w14:paraId="2AD41560" w14:textId="77777777" w:rsidR="00F318AD" w:rsidRDefault="00F318AD" w:rsidP="00F318AD">
      <w:pPr>
        <w:pStyle w:val="ListParagraph"/>
        <w:numPr>
          <w:ilvl w:val="0"/>
          <w:numId w:val="30"/>
        </w:numPr>
        <w:tabs>
          <w:tab w:val="left" w:pos="1080"/>
        </w:tabs>
        <w:ind w:left="900" w:hanging="540"/>
      </w:pPr>
      <w:r>
        <w:t xml:space="preserve">Raise awareness about the harmful effects of child marriages on girls and reject proposed legislative measures that would lower the minimum age of marriage. </w:t>
      </w:r>
    </w:p>
    <w:p w14:paraId="2544D1E1" w14:textId="77777777" w:rsidR="00F318AD" w:rsidRDefault="00F318AD" w:rsidP="00E62EAF">
      <w:pPr>
        <w:pStyle w:val="ListParagraph"/>
        <w:numPr>
          <w:ilvl w:val="0"/>
          <w:numId w:val="30"/>
        </w:numPr>
        <w:tabs>
          <w:tab w:val="left" w:pos="1080"/>
        </w:tabs>
        <w:ind w:left="900" w:hanging="540"/>
      </w:pPr>
      <w:r>
        <w:t>Implement the prohibition on “honour crimes” contained in articles 128, 130 or 131 of the Penal Code and severely punish perpetrators</w:t>
      </w:r>
      <w:r w:rsidRPr="00F633B1">
        <w:t>. Under no circumstances should “honour</w:t>
      </w:r>
      <w:r>
        <w:t>”</w:t>
      </w:r>
      <w:r w:rsidRPr="00F633B1">
        <w:t xml:space="preserve"> be a mitigating circumstance</w:t>
      </w:r>
      <w:r>
        <w:t xml:space="preserve"> and perpetrators should not be able to invoke the defence of “honour” to mitigate their crimes</w:t>
      </w:r>
      <w:r w:rsidRPr="00F633B1">
        <w:t xml:space="preserve">. Article 409 of the Penal code should </w:t>
      </w:r>
      <w:r w:rsidR="00E62EAF">
        <w:t>be repealed.</w:t>
      </w:r>
    </w:p>
    <w:p w14:paraId="5C345B96" w14:textId="77777777" w:rsidR="00F318AD" w:rsidRDefault="00F318AD" w:rsidP="00F318AD">
      <w:pPr>
        <w:pStyle w:val="ListParagraph"/>
        <w:numPr>
          <w:ilvl w:val="0"/>
          <w:numId w:val="30"/>
        </w:numPr>
        <w:tabs>
          <w:tab w:val="left" w:pos="1080"/>
        </w:tabs>
        <w:ind w:left="900" w:hanging="540"/>
      </w:pPr>
      <w:r w:rsidRPr="00BC4B1D">
        <w:t xml:space="preserve">Repeal </w:t>
      </w:r>
      <w:r>
        <w:t xml:space="preserve">Penal Code </w:t>
      </w:r>
      <w:r w:rsidRPr="00BC4B1D">
        <w:t>article 398 as it only hinders women from seeking justice and stop</w:t>
      </w:r>
      <w:r>
        <w:t>s</w:t>
      </w:r>
      <w:r w:rsidRPr="00BC4B1D">
        <w:t xml:space="preserve"> them from speaking out or reporting rape. Clearly define consent </w:t>
      </w:r>
      <w:r>
        <w:t xml:space="preserve">and rape </w:t>
      </w:r>
      <w:r w:rsidRPr="00BC4B1D">
        <w:t xml:space="preserve">in the penal code </w:t>
      </w:r>
      <w:r>
        <w:t xml:space="preserve">to avoid limiting the criminal accountability of the perpetrator. </w:t>
      </w:r>
    </w:p>
    <w:p w14:paraId="5FAA61D5" w14:textId="77777777" w:rsidR="00F318AD" w:rsidRDefault="00F318AD" w:rsidP="00F318AD">
      <w:pPr>
        <w:pStyle w:val="ListParagraph"/>
        <w:numPr>
          <w:ilvl w:val="0"/>
          <w:numId w:val="30"/>
        </w:numPr>
        <w:tabs>
          <w:tab w:val="left" w:pos="1080"/>
        </w:tabs>
        <w:ind w:left="900" w:hanging="540"/>
      </w:pPr>
      <w:r w:rsidRPr="00BC4B1D">
        <w:t xml:space="preserve">Put an end to harmful practices such as temporary marriages </w:t>
      </w:r>
      <w:proofErr w:type="spellStart"/>
      <w:r w:rsidRPr="00F318AD">
        <w:rPr>
          <w:i/>
          <w:iCs/>
        </w:rPr>
        <w:t>muta’ah</w:t>
      </w:r>
      <w:proofErr w:type="spellEnd"/>
      <w:r w:rsidRPr="00BC4B1D">
        <w:t xml:space="preserve"> and </w:t>
      </w:r>
      <w:proofErr w:type="spellStart"/>
      <w:r w:rsidRPr="00F318AD">
        <w:rPr>
          <w:i/>
          <w:iCs/>
        </w:rPr>
        <w:t>fasliyah</w:t>
      </w:r>
      <w:proofErr w:type="spellEnd"/>
      <w:r w:rsidRPr="00BC4B1D">
        <w:t xml:space="preserve"> (giving women away to resolve tribal disputes) in conformity with articles 2 and 5 of the Convention. Prosecute perpetrators of such marriages or any marriage contracted outside court, as those practices strip women of their civil rights.</w:t>
      </w:r>
      <w:r>
        <w:t xml:space="preserve"> </w:t>
      </w:r>
    </w:p>
    <w:p w14:paraId="26780824" w14:textId="77777777" w:rsidR="00F318AD" w:rsidRDefault="00F318AD" w:rsidP="00F318AD">
      <w:pPr>
        <w:pStyle w:val="ListParagraph"/>
        <w:numPr>
          <w:ilvl w:val="0"/>
          <w:numId w:val="30"/>
        </w:numPr>
        <w:tabs>
          <w:tab w:val="left" w:pos="1080"/>
        </w:tabs>
        <w:ind w:left="900" w:hanging="540"/>
      </w:pPr>
      <w:r>
        <w:t>Establish a concrete action plan to protect women in IDP camps from sexual exploitation, forced/child marriage and other forms of abuse. Train authorities to detect victims of trafficking and refer them to protective services.</w:t>
      </w:r>
    </w:p>
    <w:p w14:paraId="65DD05CC" w14:textId="77777777" w:rsidR="00776F4C" w:rsidRDefault="00776F4C" w:rsidP="00776F4C">
      <w:pPr>
        <w:rPr>
          <w:sz w:val="24"/>
          <w:szCs w:val="24"/>
        </w:rPr>
      </w:pPr>
    </w:p>
    <w:p w14:paraId="6B345034" w14:textId="77777777" w:rsidR="009B3CB7" w:rsidRPr="00A17311" w:rsidRDefault="009B3CB7" w:rsidP="00776F4C">
      <w:pPr>
        <w:rPr>
          <w:sz w:val="24"/>
          <w:szCs w:val="24"/>
        </w:rPr>
      </w:pPr>
    </w:p>
    <w:p w14:paraId="50F5C6B6" w14:textId="77777777" w:rsidR="00B365AC" w:rsidRDefault="00B365AC" w:rsidP="00EB3EB3">
      <w:pPr>
        <w:jc w:val="center"/>
      </w:pPr>
    </w:p>
    <w:p w14:paraId="7FD51CA3" w14:textId="77777777" w:rsidR="009B3CB7" w:rsidRDefault="009B3CB7">
      <w:r>
        <w:br w:type="page"/>
      </w:r>
    </w:p>
    <w:p w14:paraId="2DB8A854" w14:textId="77777777" w:rsidR="008E05F0" w:rsidRDefault="00D52F5C" w:rsidP="00EB3EB3">
      <w:pPr>
        <w:jc w:val="center"/>
        <w:rPr>
          <w:rFonts w:ascii="Times New Roman" w:hAnsi="Times New Roman"/>
          <w:sz w:val="24"/>
          <w:szCs w:val="24"/>
        </w:rPr>
      </w:pPr>
      <w:r>
        <w:rPr>
          <w:noProof/>
        </w:rPr>
        <w:lastRenderedPageBreak/>
        <mc:AlternateContent>
          <mc:Choice Requires="wps">
            <w:drawing>
              <wp:anchor distT="0" distB="0" distL="114300" distR="114300" simplePos="0" relativeHeight="251671552" behindDoc="0" locked="0" layoutInCell="1" allowOverlap="1" wp14:anchorId="3C0B8E0B" wp14:editId="225512C4">
                <wp:simplePos x="0" y="0"/>
                <wp:positionH relativeFrom="margin">
                  <wp:posOffset>226695</wp:posOffset>
                </wp:positionH>
                <wp:positionV relativeFrom="paragraph">
                  <wp:posOffset>2187575</wp:posOffset>
                </wp:positionV>
                <wp:extent cx="5464810" cy="5088255"/>
                <wp:effectExtent l="12700" t="6350" r="18415" b="29845"/>
                <wp:wrapNone/>
                <wp:docPr id="7"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4810" cy="5088255"/>
                        </a:xfrm>
                        <a:prstGeom prst="ellipse">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cmpd="sng">
                          <a:solidFill>
                            <a:schemeClr val="accent6">
                              <a:lumMod val="60000"/>
                              <a:lumOff val="40000"/>
                            </a:schemeClr>
                          </a:solidFill>
                          <a:prstDash val="solid"/>
                          <a:miter lim="800000"/>
                          <a:headEnd/>
                          <a:tailEnd/>
                        </a:ln>
                        <a:effectLst>
                          <a:outerShdw dist="28398" dir="3806097" algn="ctr" rotWithShape="0">
                            <a:schemeClr val="accent6">
                              <a:lumMod val="50000"/>
                              <a:lumOff val="0"/>
                              <a:alpha val="50000"/>
                            </a:schemeClr>
                          </a:outerShdw>
                        </a:effectLst>
                      </wps:spPr>
                      <wps:txbx>
                        <w:txbxContent>
                          <w:p w14:paraId="30DB8E34" w14:textId="77777777" w:rsidR="00B365AC" w:rsidRPr="00F239B5" w:rsidRDefault="00AA0715" w:rsidP="00F318AD">
                            <w:pPr>
                              <w:jc w:val="center"/>
                              <w:rPr>
                                <w:sz w:val="24"/>
                                <w:szCs w:val="24"/>
                              </w:rPr>
                            </w:pPr>
                            <w:r w:rsidRPr="00F239B5">
                              <w:rPr>
                                <w:sz w:val="24"/>
                                <w:szCs w:val="24"/>
                              </w:rPr>
                              <w:t xml:space="preserve">Geneva International Centre for Justice (GICJ) is an international, independent, non-profit, non-governmental organisation based in Geneva-Switzerland. GICJ has been tackling issues of justice and accountability pertaining to Iraq. GICJ maintains partnerships with various NGOs, lawyers and a vast civil society and </w:t>
                            </w:r>
                            <w:r w:rsidR="00B365AC" w:rsidRPr="00F239B5">
                              <w:rPr>
                                <w:sz w:val="24"/>
                                <w:szCs w:val="24"/>
                              </w:rPr>
                              <w:t xml:space="preserve">network within Iraq and the Middle East region. Through these channels, GICJ receives documentation and evidence of human rights violations and abuses in Iraq as they </w:t>
                            </w:r>
                            <w:r w:rsidRPr="00F239B5">
                              <w:rPr>
                                <w:sz w:val="24"/>
                                <w:szCs w:val="24"/>
                              </w:rPr>
                              <w:t>occur and report that</w:t>
                            </w:r>
                            <w:r w:rsidR="00B365AC" w:rsidRPr="00F239B5">
                              <w:rPr>
                                <w:sz w:val="24"/>
                                <w:szCs w:val="24"/>
                              </w:rPr>
                              <w:t xml:space="preserve"> </w:t>
                            </w:r>
                            <w:r w:rsidRPr="00F239B5">
                              <w:rPr>
                                <w:sz w:val="24"/>
                                <w:szCs w:val="24"/>
                              </w:rPr>
                              <w:t xml:space="preserve">to the </w:t>
                            </w:r>
                            <w:r w:rsidR="00B365AC" w:rsidRPr="00F239B5">
                              <w:rPr>
                                <w:sz w:val="24"/>
                                <w:szCs w:val="24"/>
                              </w:rPr>
                              <w:t xml:space="preserve">human rights </w:t>
                            </w:r>
                            <w:r w:rsidRPr="00F239B5">
                              <w:rPr>
                                <w:sz w:val="24"/>
                                <w:szCs w:val="24"/>
                              </w:rPr>
                              <w:t>bodies in Geneva</w:t>
                            </w:r>
                            <w:r w:rsidR="00F318AD" w:rsidRPr="00F239B5">
                              <w:rPr>
                                <w:sz w:val="24"/>
                                <w:szCs w:val="24"/>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3C0B8E0B" id="Oval 11" o:spid="_x0000_s1029" style="position:absolute;left:0;text-align:left;margin-left:17.85pt;margin-top:172.25pt;width:430.3pt;height:400.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" fillcolor="#c3a5a5 [1945]" strokecolor="#c3a5a5 [1945]" strokeweight="1pt">
                <v:fill color2="#ebe1e1 [665]" angle="135" focus="50%" type="gradient"/>
                <v:stroke joinstyle="miter"/>
                <v:shadow on="t" color="#4e3434 [1609]" opacity=".5" offset="1pt"/>
                <v:textbox>
                  <w:txbxContent>
                    <w:p w14:paraId="30DB8E34" w14:textId="77777777" w:rsidR="00B365AC" w:rsidRPr="00F239B5" w:rsidRDefault="00AA0715" w:rsidP="00F318AD">
                      <w:pPr>
                        <w:jc w:val="center"/>
                        <w:rPr>
                          <w:sz w:val="24"/>
                          <w:szCs w:val="24"/>
                        </w:rPr>
                      </w:pPr>
                      <w:r w:rsidRPr="00F239B5">
                        <w:rPr>
                          <w:sz w:val="24"/>
                          <w:szCs w:val="24"/>
                        </w:rPr>
                        <w:t xml:space="preserve">Geneva International Centre for Justice (GICJ) is an international, independent, non-profit, non-governmental organisation based in Geneva-Switzerland. GICJ has been tackling issues of justice and accountability pertaining to Iraq. GICJ maintains partnerships with various NGOs, lawyers and a vast civil society and </w:t>
                      </w:r>
                      <w:r w:rsidR="00B365AC" w:rsidRPr="00F239B5">
                        <w:rPr>
                          <w:sz w:val="24"/>
                          <w:szCs w:val="24"/>
                        </w:rPr>
                        <w:t xml:space="preserve">network within Iraq and the Middle East region. Through these channels, GICJ receives documentation and evidence of human rights violations and abuses in Iraq as they </w:t>
                      </w:r>
                      <w:r w:rsidRPr="00F239B5">
                        <w:rPr>
                          <w:sz w:val="24"/>
                          <w:szCs w:val="24"/>
                        </w:rPr>
                        <w:t>occur and report that</w:t>
                      </w:r>
                      <w:r w:rsidR="00B365AC" w:rsidRPr="00F239B5">
                        <w:rPr>
                          <w:sz w:val="24"/>
                          <w:szCs w:val="24"/>
                        </w:rPr>
                        <w:t xml:space="preserve"> </w:t>
                      </w:r>
                      <w:r w:rsidRPr="00F239B5">
                        <w:rPr>
                          <w:sz w:val="24"/>
                          <w:szCs w:val="24"/>
                        </w:rPr>
                        <w:t xml:space="preserve">to the </w:t>
                      </w:r>
                      <w:r w:rsidR="00B365AC" w:rsidRPr="00F239B5">
                        <w:rPr>
                          <w:sz w:val="24"/>
                          <w:szCs w:val="24"/>
                        </w:rPr>
                        <w:t xml:space="preserve">human rights </w:t>
                      </w:r>
                      <w:r w:rsidRPr="00F239B5">
                        <w:rPr>
                          <w:sz w:val="24"/>
                          <w:szCs w:val="24"/>
                        </w:rPr>
                        <w:t>bodies in Geneva</w:t>
                      </w:r>
                      <w:r w:rsidR="00F318AD" w:rsidRPr="00F239B5">
                        <w:rPr>
                          <w:sz w:val="24"/>
                          <w:szCs w:val="24"/>
                        </w:rPr>
                        <w:t>.</w:t>
                      </w:r>
                    </w:p>
                  </w:txbxContent>
                </v:textbox>
                <w10:wrap anchorx="margin"/>
              </v:oval>
            </w:pict>
          </mc:Fallback>
        </mc:AlternateContent>
      </w:r>
      <w:r>
        <w:rPr>
          <w:noProof/>
        </w:rPr>
        <mc:AlternateContent>
          <mc:Choice Requires="wps">
            <w:drawing>
              <wp:anchor distT="0" distB="0" distL="114300" distR="114300" simplePos="0" relativeHeight="251677696" behindDoc="0" locked="0" layoutInCell="1" allowOverlap="1" wp14:anchorId="34BDA9B8" wp14:editId="6B24BA61">
                <wp:simplePos x="0" y="0"/>
                <wp:positionH relativeFrom="margin">
                  <wp:posOffset>-1205230</wp:posOffset>
                </wp:positionH>
                <wp:positionV relativeFrom="paragraph">
                  <wp:posOffset>-1114425</wp:posOffset>
                </wp:positionV>
                <wp:extent cx="9772650" cy="971550"/>
                <wp:effectExtent l="19050" t="19050" r="38100" b="47625"/>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2650" cy="971550"/>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14D1D56" id="Rectangle 15" o:spid="_x0000_s1026" style="position:absolute;margin-left:-94.9pt;margin-top:-87.75pt;width:769.5pt;height:7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" fillcolor="#9c6a6a [3209]" strokecolor="#f2f2f2 [3041]" strokeweight="3pt">
                <v:shadow on="t" color="#4e3434 [1609]" opacity=".5" offset="1pt"/>
                <w10:wrap anchorx="margin"/>
              </v:rect>
            </w:pict>
          </mc:Fallback>
        </mc:AlternateContent>
      </w:r>
      <w:r>
        <w:rPr>
          <w:noProof/>
        </w:rPr>
        <mc:AlternateContent>
          <mc:Choice Requires="wps">
            <w:drawing>
              <wp:anchor distT="0" distB="0" distL="114300" distR="114300" simplePos="0" relativeHeight="251679744" behindDoc="0" locked="0" layoutInCell="1" allowOverlap="1" wp14:anchorId="7B0F0077" wp14:editId="0991BE5C">
                <wp:simplePos x="0" y="0"/>
                <wp:positionH relativeFrom="column">
                  <wp:posOffset>-1148080</wp:posOffset>
                </wp:positionH>
                <wp:positionV relativeFrom="paragraph">
                  <wp:posOffset>8905875</wp:posOffset>
                </wp:positionV>
                <wp:extent cx="8096250" cy="876300"/>
                <wp:effectExtent l="19050" t="19050" r="38100" b="47625"/>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0" cy="876300"/>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27E77AA" id="Rectangle 16" o:spid="_x0000_s1026" style="position:absolute;margin-left:-90.4pt;margin-top:701.25pt;width:637.5pt;height: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" fillcolor="#9c6a6a [3209]" strokecolor="#f2f2f2 [3041]" strokeweight="3pt">
                <v:shadow on="t" color="#4e3434 [1609]" opacity=".5" offset="1pt"/>
              </v:rect>
            </w:pict>
          </mc:Fallback>
        </mc:AlternateContent>
      </w:r>
      <w:r w:rsidR="008E05F0">
        <w:br w:type="page"/>
      </w:r>
    </w:p>
    <w:p w14:paraId="201E75F6" w14:textId="77777777" w:rsidR="008E05F0" w:rsidRDefault="00D52F5C" w:rsidP="008E05F0">
      <w:pPr>
        <w:pStyle w:val="Body"/>
        <w:numPr>
          <w:ilvl w:val="0"/>
          <w:numId w:val="0"/>
        </w:numPr>
        <w:tabs>
          <w:tab w:val="left" w:pos="1080"/>
        </w:tabs>
        <w:ind w:left="720" w:hanging="360"/>
      </w:pPr>
      <w:r>
        <w:rPr>
          <w:noProof/>
        </w:rPr>
        <w:lastRenderedPageBreak/>
        <mc:AlternateContent>
          <mc:Choice Requires="wps">
            <w:drawing>
              <wp:anchor distT="0" distB="0" distL="114300" distR="114300" simplePos="0" relativeHeight="251665408" behindDoc="1" locked="0" layoutInCell="1" allowOverlap="1" wp14:anchorId="37407CE7" wp14:editId="40048D93">
                <wp:simplePos x="0" y="0"/>
                <wp:positionH relativeFrom="page">
                  <wp:posOffset>-1485900</wp:posOffset>
                </wp:positionH>
                <wp:positionV relativeFrom="paragraph">
                  <wp:posOffset>-1228725</wp:posOffset>
                </wp:positionV>
                <wp:extent cx="9791700" cy="5612765"/>
                <wp:effectExtent l="19050" t="19050" r="38100" b="4508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1700" cy="5612765"/>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571702A" id="Rectangle 6" o:spid="_x0000_s1026" style="position:absolute;margin-left:-117pt;margin-top:-96.75pt;width:771pt;height:441.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" fillcolor="#9c6a6a [3209]" strokecolor="#f2f2f2 [3041]" strokeweight="3pt">
                <v:shadow on="t" color="#4e3434 [1609]" opacity=".5" offset="1pt"/>
                <w10:wrap anchorx="page"/>
              </v:rect>
            </w:pict>
          </mc:Fallback>
        </mc:AlternateContent>
      </w:r>
    </w:p>
    <w:p w14:paraId="4BA010DE" w14:textId="77777777" w:rsidR="008E05F0" w:rsidRDefault="008E05F0" w:rsidP="00E80748">
      <w:pPr>
        <w:pStyle w:val="Body"/>
        <w:numPr>
          <w:ilvl w:val="0"/>
          <w:numId w:val="0"/>
        </w:numPr>
        <w:tabs>
          <w:tab w:val="left" w:pos="1080"/>
        </w:tabs>
      </w:pPr>
      <w:r>
        <w:rPr>
          <w:noProof/>
          <w:lang w:eastAsia="en-GB"/>
        </w:rPr>
        <w:drawing>
          <wp:anchor distT="0" distB="0" distL="114300" distR="114300" simplePos="0" relativeHeight="251668480" behindDoc="0" locked="0" layoutInCell="1" allowOverlap="1" wp14:anchorId="09B80A36" wp14:editId="746C69DE">
            <wp:simplePos x="0" y="0"/>
            <wp:positionH relativeFrom="margin">
              <wp:align>center</wp:align>
            </wp:positionH>
            <wp:positionV relativeFrom="paragraph">
              <wp:posOffset>257810</wp:posOffset>
            </wp:positionV>
            <wp:extent cx="2002155" cy="1922780"/>
            <wp:effectExtent l="0" t="0" r="0" b="127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2155" cy="1922780"/>
                    </a:xfrm>
                    <a:prstGeom prst="rect">
                      <a:avLst/>
                    </a:prstGeom>
                    <a:noFill/>
                    <a:ln>
                      <a:noFill/>
                    </a:ln>
                  </pic:spPr>
                </pic:pic>
              </a:graphicData>
            </a:graphic>
          </wp:anchor>
        </w:drawing>
      </w:r>
    </w:p>
    <w:p w14:paraId="56B3FED2" w14:textId="77777777" w:rsidR="008E05F0" w:rsidRDefault="008E05F0" w:rsidP="008E05F0">
      <w:pPr>
        <w:pStyle w:val="Body"/>
        <w:numPr>
          <w:ilvl w:val="0"/>
          <w:numId w:val="0"/>
        </w:numPr>
        <w:tabs>
          <w:tab w:val="left" w:pos="1080"/>
        </w:tabs>
        <w:ind w:left="720" w:hanging="360"/>
      </w:pPr>
    </w:p>
    <w:p w14:paraId="5243A6E3" w14:textId="77777777" w:rsidR="008E05F0" w:rsidRDefault="008E05F0" w:rsidP="008E05F0">
      <w:pPr>
        <w:pStyle w:val="Body"/>
        <w:numPr>
          <w:ilvl w:val="0"/>
          <w:numId w:val="0"/>
        </w:numPr>
        <w:tabs>
          <w:tab w:val="left" w:pos="1080"/>
        </w:tabs>
        <w:ind w:left="720" w:hanging="360"/>
      </w:pPr>
    </w:p>
    <w:p w14:paraId="08664230" w14:textId="77777777" w:rsidR="008E05F0" w:rsidRDefault="008E05F0" w:rsidP="008E05F0">
      <w:pPr>
        <w:pStyle w:val="Body"/>
        <w:numPr>
          <w:ilvl w:val="0"/>
          <w:numId w:val="0"/>
        </w:numPr>
        <w:tabs>
          <w:tab w:val="left" w:pos="1080"/>
        </w:tabs>
        <w:ind w:left="720" w:hanging="360"/>
      </w:pPr>
    </w:p>
    <w:p w14:paraId="5605D83E" w14:textId="77777777" w:rsidR="008E05F0" w:rsidRDefault="008E05F0" w:rsidP="008E05F0">
      <w:pPr>
        <w:pStyle w:val="Body"/>
        <w:numPr>
          <w:ilvl w:val="0"/>
          <w:numId w:val="0"/>
        </w:numPr>
        <w:tabs>
          <w:tab w:val="left" w:pos="1080"/>
        </w:tabs>
        <w:ind w:left="720" w:hanging="360"/>
      </w:pPr>
    </w:p>
    <w:p w14:paraId="3945B431" w14:textId="77777777" w:rsidR="008E05F0" w:rsidRDefault="008E05F0" w:rsidP="008E05F0">
      <w:pPr>
        <w:pStyle w:val="Body"/>
        <w:numPr>
          <w:ilvl w:val="0"/>
          <w:numId w:val="0"/>
        </w:numPr>
        <w:tabs>
          <w:tab w:val="left" w:pos="1080"/>
        </w:tabs>
        <w:ind w:left="720" w:hanging="360"/>
      </w:pPr>
    </w:p>
    <w:p w14:paraId="421E8455" w14:textId="77777777" w:rsidR="008E05F0" w:rsidRDefault="008E05F0" w:rsidP="008E05F0">
      <w:pPr>
        <w:pStyle w:val="Body"/>
        <w:numPr>
          <w:ilvl w:val="0"/>
          <w:numId w:val="0"/>
        </w:numPr>
        <w:tabs>
          <w:tab w:val="left" w:pos="1080"/>
        </w:tabs>
        <w:ind w:left="720" w:hanging="360"/>
      </w:pPr>
    </w:p>
    <w:p w14:paraId="27C78420" w14:textId="77777777" w:rsidR="008E05F0" w:rsidRDefault="008E05F0" w:rsidP="008E05F0">
      <w:pPr>
        <w:pStyle w:val="Body"/>
        <w:numPr>
          <w:ilvl w:val="0"/>
          <w:numId w:val="0"/>
        </w:numPr>
        <w:tabs>
          <w:tab w:val="left" w:pos="1080"/>
        </w:tabs>
        <w:ind w:left="720" w:hanging="360"/>
      </w:pPr>
    </w:p>
    <w:p w14:paraId="2C2491E6" w14:textId="77777777" w:rsidR="008E05F0" w:rsidRDefault="008E05F0" w:rsidP="008E05F0">
      <w:pPr>
        <w:pStyle w:val="Body"/>
        <w:numPr>
          <w:ilvl w:val="0"/>
          <w:numId w:val="0"/>
        </w:numPr>
        <w:tabs>
          <w:tab w:val="left" w:pos="1080"/>
        </w:tabs>
        <w:ind w:left="720" w:hanging="360"/>
      </w:pPr>
    </w:p>
    <w:p w14:paraId="11FDE8F8" w14:textId="77777777" w:rsidR="008E05F0" w:rsidRDefault="008E05F0" w:rsidP="008E05F0">
      <w:pPr>
        <w:pStyle w:val="Body"/>
        <w:numPr>
          <w:ilvl w:val="0"/>
          <w:numId w:val="0"/>
        </w:numPr>
        <w:tabs>
          <w:tab w:val="left" w:pos="1080"/>
        </w:tabs>
        <w:ind w:left="720" w:hanging="360"/>
      </w:pPr>
    </w:p>
    <w:p w14:paraId="54DF1F59" w14:textId="77777777" w:rsidR="008E05F0" w:rsidRDefault="008E05F0" w:rsidP="008E05F0">
      <w:pPr>
        <w:pStyle w:val="Body"/>
        <w:numPr>
          <w:ilvl w:val="0"/>
          <w:numId w:val="0"/>
        </w:numPr>
        <w:tabs>
          <w:tab w:val="left" w:pos="1080"/>
        </w:tabs>
        <w:ind w:left="720" w:hanging="360"/>
      </w:pPr>
    </w:p>
    <w:p w14:paraId="0EC28E73" w14:textId="77777777" w:rsidR="008E05F0" w:rsidRDefault="008E05F0" w:rsidP="008E05F0">
      <w:pPr>
        <w:pStyle w:val="Body"/>
        <w:numPr>
          <w:ilvl w:val="0"/>
          <w:numId w:val="0"/>
        </w:numPr>
        <w:tabs>
          <w:tab w:val="left" w:pos="1080"/>
        </w:tabs>
        <w:ind w:left="720" w:hanging="360"/>
      </w:pPr>
    </w:p>
    <w:p w14:paraId="58DF8195" w14:textId="77777777" w:rsidR="008E05F0" w:rsidRDefault="008E05F0" w:rsidP="008E05F0">
      <w:pPr>
        <w:pStyle w:val="Body"/>
        <w:numPr>
          <w:ilvl w:val="0"/>
          <w:numId w:val="0"/>
        </w:numPr>
        <w:tabs>
          <w:tab w:val="left" w:pos="1080"/>
        </w:tabs>
        <w:ind w:left="720" w:hanging="360"/>
      </w:pPr>
    </w:p>
    <w:p w14:paraId="117B06A0" w14:textId="77777777" w:rsidR="008E05F0" w:rsidRDefault="0017574F" w:rsidP="008E05F0">
      <w:pPr>
        <w:pStyle w:val="Body"/>
        <w:numPr>
          <w:ilvl w:val="0"/>
          <w:numId w:val="0"/>
        </w:numPr>
        <w:tabs>
          <w:tab w:val="left" w:pos="1080"/>
        </w:tabs>
        <w:ind w:left="720" w:hanging="360"/>
      </w:pPr>
      <w:r>
        <w:rPr>
          <w:rFonts w:ascii="Century Gothic" w:hAnsi="Century Gothic" w:cs="Aharoni"/>
          <w:b/>
          <w:bCs/>
          <w:noProof/>
          <w:color w:val="1C1815" w:themeColor="text2" w:themeShade="80"/>
          <w:lang w:eastAsia="en-GB"/>
        </w:rPr>
        <w:drawing>
          <wp:anchor distT="0" distB="0" distL="114300" distR="114300" simplePos="0" relativeHeight="251669504" behindDoc="1" locked="0" layoutInCell="1" allowOverlap="1" wp14:anchorId="7E2668F3" wp14:editId="2295237F">
            <wp:simplePos x="0" y="0"/>
            <wp:positionH relativeFrom="column">
              <wp:posOffset>-1129030</wp:posOffset>
            </wp:positionH>
            <wp:positionV relativeFrom="paragraph">
              <wp:posOffset>225425</wp:posOffset>
            </wp:positionV>
            <wp:extent cx="8882380" cy="34766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82380" cy="3476625"/>
                    </a:xfrm>
                    <a:prstGeom prst="rect">
                      <a:avLst/>
                    </a:prstGeom>
                    <a:noFill/>
                  </pic:spPr>
                </pic:pic>
              </a:graphicData>
            </a:graphic>
          </wp:anchor>
        </w:drawing>
      </w:r>
    </w:p>
    <w:p w14:paraId="37B9E544" w14:textId="77777777" w:rsidR="008E05F0" w:rsidRDefault="008E05F0" w:rsidP="008E05F0">
      <w:pPr>
        <w:pStyle w:val="Body"/>
        <w:numPr>
          <w:ilvl w:val="0"/>
          <w:numId w:val="0"/>
        </w:numPr>
        <w:tabs>
          <w:tab w:val="left" w:pos="1080"/>
        </w:tabs>
        <w:ind w:left="720" w:hanging="360"/>
      </w:pPr>
    </w:p>
    <w:p w14:paraId="719D43EE" w14:textId="77777777" w:rsidR="008E05F0" w:rsidRPr="0017574F" w:rsidRDefault="008E05F0" w:rsidP="008E05F0">
      <w:pPr>
        <w:pStyle w:val="Body"/>
        <w:numPr>
          <w:ilvl w:val="0"/>
          <w:numId w:val="0"/>
        </w:numPr>
        <w:tabs>
          <w:tab w:val="left" w:pos="1080"/>
        </w:tabs>
        <w:ind w:left="720" w:hanging="360"/>
        <w:jc w:val="center"/>
        <w:rPr>
          <w:rFonts w:ascii="Century Gothic" w:hAnsi="Century Gothic"/>
          <w:b/>
          <w:bCs/>
          <w:color w:val="F3A873" w:themeColor="accent4" w:themeTint="99"/>
        </w:rPr>
      </w:pPr>
      <w:r w:rsidRPr="0017574F">
        <w:rPr>
          <w:rFonts w:ascii="Century Gothic" w:hAnsi="Century Gothic"/>
          <w:b/>
          <w:bCs/>
          <w:color w:val="F3A873" w:themeColor="accent4" w:themeTint="99"/>
        </w:rPr>
        <w:t>Geneva International Centre</w:t>
      </w:r>
      <w:r w:rsidRPr="0017574F">
        <w:rPr>
          <w:color w:val="F3A873" w:themeColor="accent4" w:themeTint="99"/>
        </w:rPr>
        <w:t xml:space="preserve"> </w:t>
      </w:r>
      <w:r w:rsidRPr="0017574F">
        <w:rPr>
          <w:rFonts w:ascii="Viner Hand ITC" w:hAnsi="Viner Hand ITC"/>
          <w:color w:val="F3A873" w:themeColor="accent4" w:themeTint="99"/>
        </w:rPr>
        <w:t>for</w:t>
      </w:r>
      <w:r w:rsidRPr="0017574F">
        <w:rPr>
          <w:color w:val="F3A873" w:themeColor="accent4" w:themeTint="99"/>
        </w:rPr>
        <w:t xml:space="preserve"> </w:t>
      </w:r>
      <w:r w:rsidRPr="0017574F">
        <w:rPr>
          <w:rFonts w:ascii="Century Gothic" w:hAnsi="Century Gothic"/>
          <w:b/>
          <w:bCs/>
          <w:color w:val="F3A873" w:themeColor="accent4" w:themeTint="99"/>
        </w:rPr>
        <w:t>Justice</w:t>
      </w:r>
    </w:p>
    <w:p w14:paraId="394406AF" w14:textId="77777777" w:rsidR="008E05F0" w:rsidRPr="0017574F" w:rsidRDefault="008E05F0" w:rsidP="008E05F0">
      <w:pPr>
        <w:pStyle w:val="Body"/>
        <w:numPr>
          <w:ilvl w:val="0"/>
          <w:numId w:val="0"/>
        </w:numPr>
        <w:tabs>
          <w:tab w:val="left" w:pos="1080"/>
        </w:tabs>
        <w:ind w:left="720" w:hanging="360"/>
        <w:jc w:val="center"/>
        <w:rPr>
          <w:b/>
          <w:bCs/>
          <w:color w:val="F3A873" w:themeColor="accent4" w:themeTint="99"/>
        </w:rPr>
      </w:pPr>
      <w:r w:rsidRPr="0017574F">
        <w:rPr>
          <w:rFonts w:ascii="Century Gothic" w:hAnsi="Century Gothic"/>
          <w:b/>
          <w:bCs/>
          <w:color w:val="F3A873" w:themeColor="accent4" w:themeTint="99"/>
        </w:rPr>
        <w:t xml:space="preserve"> (GICJ)</w:t>
      </w:r>
    </w:p>
    <w:p w14:paraId="01C13FEB" w14:textId="77777777" w:rsidR="008E05F0" w:rsidRPr="00E80748" w:rsidRDefault="008E05F0" w:rsidP="008E05F0">
      <w:pPr>
        <w:jc w:val="center"/>
        <w:rPr>
          <w:rFonts w:ascii="Century Gothic" w:hAnsi="Century Gothic" w:cs="Aharoni"/>
          <w:color w:val="FFFFFF" w:themeColor="background1"/>
          <w:lang w:val="en-US"/>
        </w:rPr>
      </w:pPr>
      <w:r w:rsidRPr="00E80748">
        <w:rPr>
          <w:rFonts w:ascii="Century Gothic" w:hAnsi="Century Gothic" w:cs="Aharoni"/>
          <w:b/>
          <w:bCs/>
          <w:color w:val="FFFFFF" w:themeColor="background1"/>
          <w:lang w:val="en-US"/>
        </w:rPr>
        <w:t>Postal address:</w:t>
      </w:r>
      <w:r w:rsidRPr="00E80748">
        <w:rPr>
          <w:rFonts w:ascii="Century Gothic" w:hAnsi="Century Gothic" w:cs="Aharoni"/>
          <w:color w:val="FFFFFF" w:themeColor="background1"/>
          <w:lang w:val="en-US"/>
        </w:rPr>
        <w:t xml:space="preserve">  P.O. Box: GICJ  598 CH-1214 Vernier</w:t>
      </w:r>
      <w:r w:rsidRPr="00E80748">
        <w:rPr>
          <w:rFonts w:ascii="Century Gothic" w:hAnsi="Century Gothic" w:cs="Aharoni"/>
          <w:color w:val="FFFFFF" w:themeColor="background1"/>
        </w:rPr>
        <w:t>,</w:t>
      </w:r>
      <w:r w:rsidRPr="00E80748">
        <w:rPr>
          <w:rFonts w:ascii="Century Gothic" w:hAnsi="Century Gothic" w:cs="Aharoni"/>
          <w:color w:val="FFFFFF" w:themeColor="background1"/>
          <w:lang w:val="en-US"/>
        </w:rPr>
        <w:t xml:space="preserve"> Geneva – Switzerland</w:t>
      </w:r>
    </w:p>
    <w:p w14:paraId="6DBDD3C4" w14:textId="77777777" w:rsidR="008E05F0" w:rsidRPr="00E80748" w:rsidRDefault="008E05F0" w:rsidP="008E05F0">
      <w:pPr>
        <w:jc w:val="center"/>
        <w:rPr>
          <w:rFonts w:ascii="Century Gothic" w:hAnsi="Century Gothic" w:cs="Aharoni"/>
          <w:color w:val="FFFFFF" w:themeColor="background1"/>
        </w:rPr>
      </w:pPr>
      <w:r w:rsidRPr="00E80748">
        <w:rPr>
          <w:rFonts w:ascii="Century Gothic" w:hAnsi="Century Gothic" w:cs="Aharoni"/>
          <w:color w:val="FFFFFF" w:themeColor="background1"/>
        </w:rPr>
        <w:t xml:space="preserve">Email: </w:t>
      </w:r>
      <w:hyperlink r:id="rId15" w:history="1">
        <w:r w:rsidRPr="00E80748">
          <w:rPr>
            <w:rStyle w:val="Hyperlink"/>
            <w:rFonts w:ascii="Century Gothic" w:hAnsi="Century Gothic" w:cs="Aharoni"/>
            <w:color w:val="FFFFFF" w:themeColor="background1"/>
            <w:u w:val="none"/>
          </w:rPr>
          <w:t>info@gicj.org</w:t>
        </w:r>
      </w:hyperlink>
      <w:r w:rsidRPr="00E80748">
        <w:rPr>
          <w:rFonts w:ascii="Century Gothic" w:hAnsi="Century Gothic" w:cs="Aharoni"/>
          <w:color w:val="FFFFFF" w:themeColor="background1"/>
        </w:rPr>
        <w:t xml:space="preserve">      </w:t>
      </w:r>
    </w:p>
    <w:p w14:paraId="2671E54B" w14:textId="77777777" w:rsidR="008E05F0" w:rsidRPr="00E80748" w:rsidRDefault="008E05F0" w:rsidP="008E05F0">
      <w:pPr>
        <w:jc w:val="center"/>
        <w:rPr>
          <w:rFonts w:ascii="Century Gothic" w:hAnsi="Century Gothic" w:cs="Aharoni"/>
          <w:color w:val="FFFFFF" w:themeColor="background1"/>
        </w:rPr>
      </w:pPr>
      <w:r w:rsidRPr="00E80748">
        <w:rPr>
          <w:rFonts w:ascii="Century Gothic" w:hAnsi="Century Gothic" w:cs="Aharoni"/>
          <w:color w:val="FFFFFF" w:themeColor="background1"/>
        </w:rPr>
        <w:t xml:space="preserve">    </w:t>
      </w:r>
      <w:r w:rsidRPr="00E80748">
        <w:rPr>
          <w:rFonts w:ascii="Century Gothic" w:hAnsi="Century Gothic" w:cs="Aharoni"/>
          <w:color w:val="FFFFFF" w:themeColor="background1"/>
          <w:lang w:val="en-US"/>
        </w:rPr>
        <w:t>Tel: +41 22 788 19 71</w:t>
      </w:r>
    </w:p>
    <w:p w14:paraId="7A76259D" w14:textId="77777777" w:rsidR="008E05F0" w:rsidRPr="00E80748" w:rsidRDefault="008E05F0" w:rsidP="008E05F0">
      <w:pPr>
        <w:jc w:val="center"/>
        <w:rPr>
          <w:rFonts w:ascii="Century Gothic" w:hAnsi="Century Gothic" w:cs="Aharoni"/>
          <w:color w:val="FFFFFF" w:themeColor="background1"/>
          <w:lang w:val="en-US"/>
        </w:rPr>
      </w:pPr>
      <w:r w:rsidRPr="00E80748">
        <w:rPr>
          <w:rFonts w:ascii="Century Gothic" w:hAnsi="Century Gothic" w:cs="Aharoni"/>
          <w:b/>
          <w:bCs/>
          <w:color w:val="FFFFFF" w:themeColor="background1"/>
          <w:lang w:val="en-US"/>
        </w:rPr>
        <w:t>Office:</w:t>
      </w:r>
      <w:r w:rsidRPr="00E80748">
        <w:rPr>
          <w:rFonts w:ascii="Century Gothic" w:hAnsi="Century Gothic" w:cs="Aharoni"/>
          <w:color w:val="FFFFFF" w:themeColor="background1"/>
          <w:lang w:val="en-US"/>
        </w:rPr>
        <w:t xml:space="preserve"> 150 Route de Ferney, CH 1211 Geneva 2 – Switzerland</w:t>
      </w:r>
    </w:p>
    <w:p w14:paraId="218E0128" w14:textId="77777777" w:rsidR="008E05F0" w:rsidRPr="00E80748" w:rsidRDefault="008E05F0" w:rsidP="008E05F0">
      <w:pPr>
        <w:jc w:val="center"/>
        <w:rPr>
          <w:rFonts w:ascii="Century Gothic" w:hAnsi="Century Gothic" w:cs="Aharoni"/>
          <w:color w:val="FFFFFF" w:themeColor="background1"/>
          <w:rtl/>
        </w:rPr>
      </w:pPr>
      <w:r w:rsidRPr="00E80748">
        <w:rPr>
          <w:rFonts w:ascii="Century Gothic" w:hAnsi="Century Gothic" w:cs="Aharoni"/>
          <w:b/>
          <w:bCs/>
          <w:color w:val="FFFFFF" w:themeColor="background1"/>
          <w:lang w:val="en-US"/>
        </w:rPr>
        <w:t>Facebook:</w:t>
      </w:r>
      <w:r w:rsidRPr="00E80748">
        <w:rPr>
          <w:rFonts w:ascii="Century Gothic" w:hAnsi="Century Gothic" w:cs="Aharoni"/>
          <w:color w:val="FFFFFF" w:themeColor="background1"/>
          <w:lang w:val="en-US"/>
        </w:rPr>
        <w:t xml:space="preserve"> </w:t>
      </w:r>
      <w:hyperlink r:id="rId16" w:history="1">
        <w:r w:rsidRPr="00E80748">
          <w:rPr>
            <w:rStyle w:val="Hyperlink"/>
            <w:rFonts w:ascii="Century Gothic" w:hAnsi="Century Gothic" w:cs="Aharoni"/>
            <w:color w:val="FFFFFF" w:themeColor="background1"/>
            <w:u w:val="none"/>
          </w:rPr>
          <w:t>https://www.facebook.com/GIC4J</w:t>
        </w:r>
      </w:hyperlink>
    </w:p>
    <w:p w14:paraId="5FCF1E97" w14:textId="77777777" w:rsidR="008E05F0" w:rsidRPr="00E80748" w:rsidRDefault="008E05F0" w:rsidP="008E05F0">
      <w:pPr>
        <w:jc w:val="center"/>
        <w:rPr>
          <w:rFonts w:ascii="Century Gothic" w:hAnsi="Century Gothic" w:cs="Aharoni"/>
          <w:color w:val="FFFFFF" w:themeColor="background1"/>
        </w:rPr>
      </w:pPr>
      <w:r w:rsidRPr="00E80748">
        <w:rPr>
          <w:rFonts w:ascii="Century Gothic" w:hAnsi="Century Gothic" w:cs="Aharoni"/>
          <w:b/>
          <w:bCs/>
          <w:color w:val="FFFFFF" w:themeColor="background1"/>
        </w:rPr>
        <w:t>Twitter:</w:t>
      </w:r>
      <w:r w:rsidRPr="00E80748">
        <w:rPr>
          <w:rFonts w:ascii="Century Gothic" w:hAnsi="Century Gothic" w:cs="Aharoni"/>
          <w:color w:val="FFFFFF" w:themeColor="background1"/>
        </w:rPr>
        <w:t xml:space="preserve"> @Geneva4Justice      </w:t>
      </w:r>
      <w:r w:rsidRPr="00E80748">
        <w:rPr>
          <w:rFonts w:ascii="Century Gothic" w:hAnsi="Century Gothic" w:cs="Aharoni"/>
          <w:b/>
          <w:bCs/>
          <w:color w:val="FFFFFF" w:themeColor="background1"/>
        </w:rPr>
        <w:t>Skype:</w:t>
      </w:r>
      <w:r w:rsidRPr="00E80748">
        <w:rPr>
          <w:rFonts w:ascii="Century Gothic" w:hAnsi="Century Gothic" w:cs="Aharoni"/>
          <w:color w:val="FFFFFF" w:themeColor="background1"/>
        </w:rPr>
        <w:t xml:space="preserve"> Geneva4</w:t>
      </w:r>
      <w:proofErr w:type="gramStart"/>
      <w:r w:rsidRPr="00E80748">
        <w:rPr>
          <w:rFonts w:ascii="Century Gothic" w:hAnsi="Century Gothic" w:cs="Aharoni"/>
          <w:color w:val="FFFFFF" w:themeColor="background1"/>
        </w:rPr>
        <w:t>Justice</w:t>
      </w:r>
      <w:r w:rsidRPr="00E80748">
        <w:rPr>
          <w:rFonts w:ascii="Century Gothic" w:hAnsi="Century Gothic" w:cs="Aharoni"/>
          <w:color w:val="FFFFFF" w:themeColor="background1"/>
          <w:rtl/>
        </w:rPr>
        <w:t xml:space="preserve">  </w:t>
      </w:r>
      <w:r w:rsidRPr="00E80748">
        <w:rPr>
          <w:rFonts w:ascii="Century Gothic" w:hAnsi="Century Gothic" w:cs="Aharoni"/>
          <w:b/>
          <w:bCs/>
          <w:color w:val="FFFFFF" w:themeColor="background1"/>
        </w:rPr>
        <w:t>Instagram</w:t>
      </w:r>
      <w:proofErr w:type="gramEnd"/>
      <w:r w:rsidRPr="00E80748">
        <w:rPr>
          <w:rFonts w:ascii="Century Gothic" w:hAnsi="Century Gothic" w:cs="Aharoni"/>
          <w:b/>
          <w:bCs/>
          <w:color w:val="FFFFFF" w:themeColor="background1"/>
        </w:rPr>
        <w:t>:</w:t>
      </w:r>
      <w:r w:rsidRPr="00E80748">
        <w:rPr>
          <w:rFonts w:ascii="Century Gothic" w:hAnsi="Century Gothic" w:cs="Aharoni"/>
          <w:color w:val="FFFFFF" w:themeColor="background1"/>
        </w:rPr>
        <w:t xml:space="preserve"> geneva4justice</w:t>
      </w:r>
    </w:p>
    <w:p w14:paraId="27D57680" w14:textId="77777777" w:rsidR="008E05F0" w:rsidRPr="008E05F0" w:rsidRDefault="00D52F5C" w:rsidP="008E05F0">
      <w:pPr>
        <w:jc w:val="center"/>
        <w:rPr>
          <w:rFonts w:ascii="Century Gothic" w:hAnsi="Century Gothic" w:cs="Aharoni"/>
          <w:b/>
          <w:bCs/>
          <w:color w:val="1C1815" w:themeColor="text2" w:themeShade="80"/>
        </w:rPr>
      </w:pPr>
      <w:r>
        <w:rPr>
          <w:noProof/>
          <w:color w:val="FFFFFF" w:themeColor="background1"/>
        </w:rPr>
        <mc:AlternateContent>
          <mc:Choice Requires="wps">
            <w:drawing>
              <wp:anchor distT="0" distB="0" distL="114300" distR="114300" simplePos="0" relativeHeight="251667456" behindDoc="0" locked="0" layoutInCell="1" allowOverlap="1" wp14:anchorId="4E7F844C" wp14:editId="0D032431">
                <wp:simplePos x="0" y="0"/>
                <wp:positionH relativeFrom="page">
                  <wp:posOffset>-2000250</wp:posOffset>
                </wp:positionH>
                <wp:positionV relativeFrom="paragraph">
                  <wp:posOffset>359410</wp:posOffset>
                </wp:positionV>
                <wp:extent cx="11049000" cy="3429000"/>
                <wp:effectExtent l="19050" t="19050" r="38100" b="4762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0" cy="3429000"/>
                        </a:xfrm>
                        <a:prstGeom prst="rect">
                          <a:avLst/>
                        </a:prstGeom>
                        <a:solidFill>
                          <a:schemeClr val="accent6">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977C847" id="Rectangle 8" o:spid="_x0000_s1026" style="position:absolute;margin-left:-157.5pt;margin-top:28.3pt;width:870pt;height:270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" fillcolor="#9c6a6a [3209]" strokecolor="#f2f2f2 [3041]" strokeweight="3pt">
                <v:shadow on="t" color="#4e3434 [1609]" opacity=".5" offset="1pt"/>
                <w10:wrap anchorx="page"/>
              </v:rect>
            </w:pict>
          </mc:Fallback>
        </mc:AlternateContent>
      </w:r>
      <w:r w:rsidR="008E05F0" w:rsidRPr="00E80748">
        <w:rPr>
          <w:rFonts w:ascii="Century Gothic" w:hAnsi="Century Gothic" w:cs="Aharoni"/>
          <w:b/>
          <w:bCs/>
          <w:color w:val="FFFFFF" w:themeColor="background1"/>
        </w:rPr>
        <w:t xml:space="preserve">Website: </w:t>
      </w:r>
      <w:r w:rsidR="008E05F0" w:rsidRPr="00E80748">
        <w:rPr>
          <w:rFonts w:ascii="Century Gothic" w:hAnsi="Century Gothic" w:cs="Aharoni"/>
          <w:color w:val="FFFFFF" w:themeColor="background1"/>
        </w:rPr>
        <w:t>www.gicj.org</w:t>
      </w:r>
    </w:p>
    <w:p w14:paraId="432FD8B4" w14:textId="77777777" w:rsidR="008E05F0" w:rsidRDefault="008E05F0" w:rsidP="008E05F0">
      <w:pPr>
        <w:pStyle w:val="Body"/>
        <w:numPr>
          <w:ilvl w:val="0"/>
          <w:numId w:val="0"/>
        </w:numPr>
        <w:tabs>
          <w:tab w:val="left" w:pos="1080"/>
        </w:tabs>
        <w:ind w:left="720" w:hanging="360"/>
      </w:pPr>
    </w:p>
    <w:p w14:paraId="1D9940D1" w14:textId="77777777" w:rsidR="008E05F0" w:rsidRDefault="008E05F0" w:rsidP="008E05F0">
      <w:pPr>
        <w:pStyle w:val="Body"/>
        <w:numPr>
          <w:ilvl w:val="0"/>
          <w:numId w:val="0"/>
        </w:numPr>
        <w:tabs>
          <w:tab w:val="left" w:pos="1080"/>
        </w:tabs>
        <w:ind w:left="720" w:hanging="360"/>
      </w:pPr>
    </w:p>
    <w:p w14:paraId="1B585A16" w14:textId="77777777" w:rsidR="008E05F0" w:rsidRPr="00C342C7" w:rsidRDefault="008E05F0" w:rsidP="008E05F0">
      <w:pPr>
        <w:pStyle w:val="Body"/>
        <w:numPr>
          <w:ilvl w:val="0"/>
          <w:numId w:val="0"/>
        </w:numPr>
        <w:tabs>
          <w:tab w:val="left" w:pos="1080"/>
        </w:tabs>
        <w:ind w:left="720" w:hanging="360"/>
      </w:pPr>
    </w:p>
    <w:sectPr w:rsidR="008E05F0" w:rsidRPr="00C342C7" w:rsidSect="001625C4">
      <w:footerReference w:type="first" r:id="rId1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8852D" w14:textId="77777777" w:rsidR="00A51133" w:rsidRDefault="00A51133" w:rsidP="00A837AA">
      <w:pPr>
        <w:spacing w:after="0" w:line="240" w:lineRule="auto"/>
      </w:pPr>
      <w:r>
        <w:separator/>
      </w:r>
    </w:p>
  </w:endnote>
  <w:endnote w:type="continuationSeparator" w:id="0">
    <w:p w14:paraId="5C56732C" w14:textId="77777777" w:rsidR="00A51133" w:rsidRDefault="00A51133" w:rsidP="00A8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3C725" w14:textId="77777777" w:rsidR="00B745BB" w:rsidRPr="008C0731" w:rsidRDefault="00B745BB">
    <w:pPr>
      <w:pStyle w:val="Footer"/>
      <w:jc w:val="center"/>
      <w:rPr>
        <w:sz w:val="24"/>
        <w:szCs w:val="24"/>
      </w:rPr>
    </w:pPr>
  </w:p>
  <w:p w14:paraId="06FB8F51" w14:textId="77777777" w:rsidR="00B745BB" w:rsidRDefault="00B74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91D84" w14:textId="77777777" w:rsidR="00B745BB" w:rsidRDefault="00B74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E11E2" w14:textId="77777777" w:rsidR="00A51133" w:rsidRDefault="00A51133" w:rsidP="00A837AA">
      <w:pPr>
        <w:spacing w:after="0" w:line="240" w:lineRule="auto"/>
      </w:pPr>
      <w:r>
        <w:separator/>
      </w:r>
    </w:p>
  </w:footnote>
  <w:footnote w:type="continuationSeparator" w:id="0">
    <w:p w14:paraId="5880FC2E" w14:textId="77777777" w:rsidR="00A51133" w:rsidRDefault="00A51133" w:rsidP="00A837AA">
      <w:pPr>
        <w:spacing w:after="0" w:line="240" w:lineRule="auto"/>
      </w:pPr>
      <w:r>
        <w:continuationSeparator/>
      </w:r>
    </w:p>
  </w:footnote>
  <w:footnote w:id="1">
    <w:p w14:paraId="414672B8" w14:textId="77777777" w:rsidR="003A6B64" w:rsidRPr="003A6B64" w:rsidRDefault="003A6B64" w:rsidP="003A6B64">
      <w:pPr>
        <w:pStyle w:val="FootnoteText"/>
      </w:pPr>
      <w:r>
        <w:rPr>
          <w:rStyle w:val="FootnoteReference"/>
        </w:rPr>
        <w:footnoteRef/>
      </w:r>
      <w:r>
        <w:t xml:space="preserve"> </w:t>
      </w:r>
      <w:r w:rsidRPr="003A6B64">
        <w:t xml:space="preserve">Statement by the SRSG for Iraq, Ms. Jeanine </w:t>
      </w:r>
      <w:proofErr w:type="spellStart"/>
      <w:r w:rsidRPr="003A6B64">
        <w:t>Hennis-Plasschaert</w:t>
      </w:r>
      <w:proofErr w:type="spellEnd"/>
      <w:r w:rsidRPr="003A6B64">
        <w:t xml:space="preserve"> International Women’s Day at the Council of Representatives, Baghdad, 10 March 2019</w:t>
      </w:r>
      <w:r>
        <w:t xml:space="preserve"> </w:t>
      </w:r>
    </w:p>
    <w:p w14:paraId="46ABCB85" w14:textId="77777777" w:rsidR="003A6B64" w:rsidRDefault="00A51133">
      <w:pPr>
        <w:pStyle w:val="FootnoteText"/>
      </w:pPr>
      <w:hyperlink r:id="rId1" w:history="1">
        <w:r w:rsidR="003A6B64">
          <w:rPr>
            <w:rStyle w:val="Hyperlink"/>
          </w:rPr>
          <w:t>http://www.uniraq.org/index.php?option=com_k2&amp;view=item&amp;id=10553:statement-by-the-srsg-for-iraq-ms-jeanine-hennis-plasschaert-international-women-s-day-at-the-council-of-representatives&amp;Itemid=714&amp;lang=en</w:t>
        </w:r>
      </w:hyperlink>
    </w:p>
  </w:footnote>
  <w:footnote w:id="2">
    <w:p w14:paraId="47AB7C84" w14:textId="77777777" w:rsidR="0052443E" w:rsidRPr="0052443E" w:rsidRDefault="0052443E" w:rsidP="0052443E">
      <w:pPr>
        <w:pStyle w:val="FootnoteText"/>
        <w:spacing w:line="276" w:lineRule="auto"/>
        <w:contextualSpacing/>
        <w:rPr>
          <w:rFonts w:asciiTheme="majorBidi" w:hAnsiTheme="majorBidi" w:cstheme="majorBidi"/>
        </w:rPr>
      </w:pPr>
      <w:r w:rsidRPr="0052443E">
        <w:rPr>
          <w:rStyle w:val="FootnoteReference"/>
          <w:rFonts w:asciiTheme="majorBidi" w:hAnsiTheme="majorBidi" w:cstheme="majorBidi"/>
        </w:rPr>
        <w:footnoteRef/>
      </w:r>
      <w:r w:rsidRPr="0052443E">
        <w:rPr>
          <w:rFonts w:asciiTheme="majorBidi" w:hAnsiTheme="majorBidi" w:cstheme="majorBidi"/>
        </w:rPr>
        <w:t xml:space="preserve"> </w:t>
      </w:r>
      <w:r w:rsidRPr="0052443E">
        <w:rPr>
          <w:rFonts w:asciiTheme="majorBidi" w:hAnsiTheme="majorBidi" w:cstheme="majorBidi"/>
          <w:color w:val="000000"/>
        </w:rPr>
        <w:t xml:space="preserve">UNAMI Urges </w:t>
      </w:r>
      <w:r w:rsidRPr="0052443E">
        <w:rPr>
          <w:rFonts w:asciiTheme="majorBidi" w:hAnsiTheme="majorBidi" w:cstheme="majorBidi"/>
        </w:rPr>
        <w:t>Inclusion</w:t>
      </w:r>
      <w:r w:rsidRPr="0052443E">
        <w:rPr>
          <w:rFonts w:asciiTheme="majorBidi" w:hAnsiTheme="majorBidi" w:cstheme="majorBidi"/>
          <w:color w:val="000000"/>
        </w:rPr>
        <w:t xml:space="preserve"> </w:t>
      </w:r>
      <w:r>
        <w:rPr>
          <w:rFonts w:asciiTheme="majorBidi" w:hAnsiTheme="majorBidi" w:cstheme="majorBidi"/>
          <w:color w:val="000000"/>
        </w:rPr>
        <w:t>o</w:t>
      </w:r>
      <w:r w:rsidRPr="0052443E">
        <w:rPr>
          <w:rFonts w:asciiTheme="majorBidi" w:hAnsiTheme="majorBidi" w:cstheme="majorBidi"/>
          <w:color w:val="000000"/>
        </w:rPr>
        <w:t xml:space="preserve">f Women </w:t>
      </w:r>
      <w:r>
        <w:rPr>
          <w:rFonts w:asciiTheme="majorBidi" w:hAnsiTheme="majorBidi" w:cstheme="majorBidi"/>
          <w:color w:val="000000"/>
        </w:rPr>
        <w:t>i</w:t>
      </w:r>
      <w:r w:rsidRPr="0052443E">
        <w:rPr>
          <w:rFonts w:asciiTheme="majorBidi" w:hAnsiTheme="majorBidi" w:cstheme="majorBidi"/>
          <w:color w:val="000000"/>
        </w:rPr>
        <w:t xml:space="preserve">n Politics </w:t>
      </w:r>
      <w:r>
        <w:rPr>
          <w:rFonts w:asciiTheme="majorBidi" w:hAnsiTheme="majorBidi" w:cstheme="majorBidi"/>
          <w:color w:val="000000"/>
        </w:rPr>
        <w:t>a</w:t>
      </w:r>
      <w:r w:rsidRPr="0052443E">
        <w:rPr>
          <w:rFonts w:asciiTheme="majorBidi" w:hAnsiTheme="majorBidi" w:cstheme="majorBidi"/>
          <w:color w:val="000000"/>
        </w:rPr>
        <w:t xml:space="preserve">nd Decision Making, </w:t>
      </w:r>
      <w:hyperlink r:id="rId2" w:history="1">
        <w:r w:rsidRPr="0052443E">
          <w:rPr>
            <w:rStyle w:val="Hyperlink"/>
            <w:rFonts w:asciiTheme="majorBidi" w:hAnsiTheme="majorBidi" w:cstheme="majorBidi"/>
          </w:rPr>
          <w:t>http://www.uniraq.org/index.php?option=com_k2&amp;view=item&amp;id=11591:unami-urges-inclusion-of-women-in-politics-and-decision-making&amp;Itemid=605&amp;lang=en</w:t>
        </w:r>
      </w:hyperlink>
    </w:p>
  </w:footnote>
  <w:footnote w:id="3">
    <w:p w14:paraId="18D4AD92" w14:textId="77777777" w:rsidR="0052443E" w:rsidRPr="0052443E" w:rsidRDefault="0052443E" w:rsidP="0052443E">
      <w:pPr>
        <w:pStyle w:val="FootnoteText"/>
        <w:spacing w:line="276" w:lineRule="auto"/>
        <w:contextualSpacing/>
        <w:rPr>
          <w:rFonts w:asciiTheme="majorBidi" w:hAnsiTheme="majorBidi" w:cstheme="majorBidi"/>
        </w:rPr>
      </w:pPr>
      <w:r w:rsidRPr="0052443E">
        <w:rPr>
          <w:rStyle w:val="FootnoteReference"/>
          <w:rFonts w:asciiTheme="majorBidi" w:hAnsiTheme="majorBidi" w:cstheme="majorBidi"/>
        </w:rPr>
        <w:footnoteRef/>
      </w:r>
      <w:r w:rsidRPr="0052443E">
        <w:rPr>
          <w:rFonts w:asciiTheme="majorBidi" w:hAnsiTheme="majorBidi" w:cstheme="majorBidi"/>
        </w:rPr>
        <w:t xml:space="preserve"> </w:t>
      </w:r>
      <w:r w:rsidRPr="0052443E">
        <w:rPr>
          <w:rFonts w:asciiTheme="majorBidi" w:hAnsiTheme="majorBidi" w:cstheme="majorBidi"/>
          <w:color w:val="000000"/>
        </w:rPr>
        <w:t xml:space="preserve">ICC Elements of </w:t>
      </w:r>
      <w:r w:rsidRPr="0052443E">
        <w:rPr>
          <w:rFonts w:asciiTheme="majorBidi" w:hAnsiTheme="majorBidi" w:cstheme="majorBidi"/>
        </w:rPr>
        <w:t>Crimes</w:t>
      </w:r>
      <w:r w:rsidRPr="0052443E">
        <w:rPr>
          <w:rFonts w:asciiTheme="majorBidi" w:hAnsiTheme="majorBidi" w:cstheme="majorBidi"/>
          <w:color w:val="000000"/>
        </w:rPr>
        <w:t xml:space="preserve"> art. 7(1)(g)-1, element 2. </w:t>
      </w:r>
      <w:hyperlink r:id="rId3" w:history="1">
        <w:r w:rsidRPr="0052443E">
          <w:rPr>
            <w:rStyle w:val="Hyperlink"/>
            <w:rFonts w:asciiTheme="majorBidi" w:hAnsiTheme="majorBidi" w:cstheme="majorBidi"/>
          </w:rPr>
          <w:t>https://www.icc-cpi.int/resource-library/Documents/RS-Eng.pdf</w:t>
        </w:r>
      </w:hyperlink>
    </w:p>
  </w:footnote>
  <w:footnote w:id="4">
    <w:p w14:paraId="321376CF" w14:textId="77777777" w:rsidR="0052443E" w:rsidRPr="0052443E" w:rsidRDefault="0052443E" w:rsidP="0052443E">
      <w:pPr>
        <w:pStyle w:val="FootnoteText"/>
        <w:spacing w:line="276" w:lineRule="auto"/>
        <w:contextualSpacing/>
        <w:rPr>
          <w:rFonts w:asciiTheme="majorBidi" w:hAnsiTheme="majorBidi" w:cstheme="majorBidi"/>
        </w:rPr>
      </w:pPr>
    </w:p>
  </w:footnote>
  <w:footnote w:id="5">
    <w:p w14:paraId="2FC1A297" w14:textId="77777777" w:rsidR="0052443E" w:rsidRPr="0052443E" w:rsidRDefault="0052443E" w:rsidP="0052443E">
      <w:pPr>
        <w:pStyle w:val="FootnoteText"/>
        <w:spacing w:line="276" w:lineRule="auto"/>
        <w:contextualSpacing/>
        <w:rPr>
          <w:rFonts w:asciiTheme="majorBidi" w:hAnsiTheme="majorBidi" w:cstheme="majorBidi"/>
          <w:b/>
          <w:bCs/>
        </w:rPr>
      </w:pPr>
      <w:r w:rsidRPr="0052443E">
        <w:rPr>
          <w:rStyle w:val="FootnoteReference"/>
          <w:rFonts w:asciiTheme="majorBidi" w:hAnsiTheme="majorBidi" w:cstheme="majorBidi"/>
        </w:rPr>
        <w:footnoteRef/>
      </w:r>
      <w:r w:rsidRPr="0052443E">
        <w:rPr>
          <w:rFonts w:asciiTheme="majorBidi" w:hAnsiTheme="majorBidi" w:cstheme="majorBidi"/>
        </w:rPr>
        <w:t xml:space="preserve"> 2019 Trafficking in Persons Report: Iraq </w:t>
      </w:r>
      <w:hyperlink r:id="rId4" w:history="1">
        <w:r w:rsidRPr="0052443E">
          <w:rPr>
            <w:rStyle w:val="Hyperlink"/>
            <w:rFonts w:asciiTheme="majorBidi" w:hAnsiTheme="majorBidi" w:cstheme="majorBidi"/>
          </w:rPr>
          <w:t>https://www.ecoi.net/en/document/2010829.html</w:t>
        </w:r>
      </w:hyperlink>
    </w:p>
  </w:footnote>
  <w:footnote w:id="6">
    <w:p w14:paraId="328747F5" w14:textId="77777777" w:rsidR="0052443E" w:rsidRPr="0052443E" w:rsidRDefault="0052443E" w:rsidP="0052443E">
      <w:pPr>
        <w:pStyle w:val="FootnoteText"/>
        <w:rPr>
          <w:rFonts w:asciiTheme="majorBidi" w:hAnsiTheme="majorBidi" w:cstheme="majorBidi"/>
        </w:rPr>
      </w:pPr>
    </w:p>
  </w:footnote>
  <w:footnote w:id="7">
    <w:p w14:paraId="0AE05853" w14:textId="77777777" w:rsidR="0052443E" w:rsidRPr="0052443E" w:rsidRDefault="0052443E" w:rsidP="0052443E">
      <w:pPr>
        <w:pStyle w:val="FootnoteText"/>
        <w:rPr>
          <w:rFonts w:asciiTheme="majorBidi" w:hAnsiTheme="majorBidi" w:cstheme="majorBidi"/>
        </w:rPr>
      </w:pPr>
      <w:r w:rsidRPr="0052443E">
        <w:rPr>
          <w:rStyle w:val="FootnoteReference"/>
          <w:rFonts w:asciiTheme="majorBidi" w:hAnsiTheme="majorBidi" w:cstheme="majorBidi"/>
        </w:rPr>
        <w:footnoteRef/>
      </w:r>
      <w:r w:rsidRPr="0052443E">
        <w:rPr>
          <w:rFonts w:asciiTheme="majorBidi" w:hAnsiTheme="majorBidi" w:cstheme="majorBidi"/>
        </w:rPr>
        <w:t xml:space="preserve">March 2018 Global Justice Center, Iraq’s Criminal Laws Preclude Justice For Women And Girls </w:t>
      </w:r>
      <w:hyperlink r:id="rId5" w:history="1">
        <w:r w:rsidRPr="0052443E">
          <w:rPr>
            <w:rStyle w:val="Hyperlink"/>
            <w:rFonts w:asciiTheme="majorBidi" w:hAnsiTheme="majorBidi" w:cstheme="majorBidi"/>
          </w:rPr>
          <w:t>http://globaljusticecenter.net/files/IraqiLawAnalysis.4.6.2018.pdf</w:t>
        </w:r>
      </w:hyperlink>
    </w:p>
  </w:footnote>
  <w:footnote w:id="8">
    <w:p w14:paraId="5BA92538" w14:textId="77777777" w:rsidR="0052443E" w:rsidRPr="0052443E" w:rsidRDefault="0052443E" w:rsidP="0052443E">
      <w:pPr>
        <w:pStyle w:val="FootnoteText"/>
        <w:rPr>
          <w:rFonts w:asciiTheme="majorBidi" w:hAnsiTheme="majorBidi" w:cstheme="majorBidi"/>
          <w:lang w:val="en-US"/>
        </w:rPr>
      </w:pPr>
      <w:r w:rsidRPr="0052443E">
        <w:rPr>
          <w:rStyle w:val="FootnoteReference"/>
          <w:rFonts w:asciiTheme="majorBidi" w:hAnsiTheme="majorBidi" w:cstheme="majorBidi"/>
        </w:rPr>
        <w:footnoteRef/>
      </w:r>
      <w:r w:rsidRPr="0052443E">
        <w:rPr>
          <w:rFonts w:asciiTheme="majorBidi" w:hAnsiTheme="majorBidi" w:cstheme="majorBidi"/>
        </w:rPr>
        <w:t xml:space="preserve"> </w:t>
      </w:r>
      <w:r w:rsidRPr="0052443E">
        <w:rPr>
          <w:rFonts w:asciiTheme="majorBidi" w:hAnsiTheme="majorBidi" w:cstheme="majorBidi"/>
          <w:lang w:val="en-US"/>
        </w:rPr>
        <w:t xml:space="preserve"> Iraq: Gender, justice &amp; the law </w:t>
      </w:r>
      <w:hyperlink r:id="rId6" w:history="1">
        <w:r w:rsidRPr="0052443E">
          <w:rPr>
            <w:rStyle w:val="Hyperlink"/>
            <w:rFonts w:asciiTheme="majorBidi" w:hAnsiTheme="majorBidi" w:cstheme="majorBidi"/>
          </w:rPr>
          <w:t>https://www.unescwa.org/sites/www.unescwa.org/files/events/files/iraq_country_summary_-_english.pdf</w:t>
        </w:r>
      </w:hyperlink>
    </w:p>
  </w:footnote>
  <w:footnote w:id="9">
    <w:p w14:paraId="0305B09C" w14:textId="77777777" w:rsidR="0052443E" w:rsidRPr="0052443E" w:rsidRDefault="0052443E" w:rsidP="0052443E">
      <w:pPr>
        <w:pStyle w:val="FootnoteText"/>
        <w:rPr>
          <w:rFonts w:asciiTheme="majorBidi" w:hAnsiTheme="majorBidi" w:cstheme="majorBidi"/>
          <w:lang w:val="en-US"/>
        </w:rPr>
      </w:pPr>
      <w:r w:rsidRPr="0052443E">
        <w:rPr>
          <w:rStyle w:val="FootnoteReference"/>
          <w:rFonts w:asciiTheme="majorBidi" w:hAnsiTheme="majorBidi" w:cstheme="majorBidi"/>
        </w:rPr>
        <w:footnoteRef/>
      </w:r>
      <w:r w:rsidRPr="0052443E">
        <w:rPr>
          <w:rFonts w:asciiTheme="majorBidi" w:hAnsiTheme="majorBidi" w:cstheme="majorBidi"/>
        </w:rPr>
        <w:t xml:space="preserve"> abortion policies and reproductive health around the world </w:t>
      </w:r>
      <w:hyperlink r:id="rId7" w:history="1">
        <w:r w:rsidRPr="0052443E">
          <w:rPr>
            <w:rStyle w:val="Hyperlink"/>
            <w:rFonts w:asciiTheme="majorBidi" w:hAnsiTheme="majorBidi" w:cstheme="majorBidi"/>
          </w:rPr>
          <w:t>https://www.un.org/en/development/desa/population/publications/pdf/policy/AbortionPoliciesReproductiveHealth.pdf</w:t>
        </w:r>
      </w:hyperlink>
    </w:p>
  </w:footnote>
  <w:footnote w:id="10">
    <w:p w14:paraId="0C550D4B" w14:textId="77777777" w:rsidR="0052443E" w:rsidRPr="0052443E" w:rsidRDefault="0052443E" w:rsidP="0052443E">
      <w:pPr>
        <w:pStyle w:val="FootnoteText"/>
        <w:rPr>
          <w:rFonts w:asciiTheme="majorBidi" w:hAnsiTheme="majorBidi" w:cstheme="majorBidi"/>
        </w:rPr>
      </w:pPr>
      <w:r w:rsidRPr="0052443E">
        <w:rPr>
          <w:rStyle w:val="FootnoteReference"/>
          <w:rFonts w:asciiTheme="majorBidi" w:hAnsiTheme="majorBidi" w:cstheme="majorBidi"/>
        </w:rPr>
        <w:footnoteRef/>
      </w:r>
      <w:r w:rsidRPr="0052443E">
        <w:rPr>
          <w:rFonts w:asciiTheme="majorBidi" w:hAnsiTheme="majorBidi" w:cstheme="majorBidi"/>
        </w:rPr>
        <w:t xml:space="preserve"> United Nations, </w:t>
      </w:r>
      <w:r w:rsidRPr="0052443E">
        <w:rPr>
          <w:rFonts w:asciiTheme="majorBidi" w:hAnsiTheme="majorBidi" w:cstheme="majorBidi"/>
          <w:i/>
          <w:iCs/>
        </w:rPr>
        <w:t>Abortion Policies and Reproductive Health Around the World</w:t>
      </w:r>
      <w:r w:rsidRPr="0052443E">
        <w:rPr>
          <w:rFonts w:asciiTheme="majorBidi" w:hAnsiTheme="majorBidi" w:cstheme="majorBidi"/>
        </w:rPr>
        <w:t>, annex 2 (2014)</w:t>
      </w:r>
    </w:p>
  </w:footnote>
  <w:footnote w:id="11">
    <w:p w14:paraId="35EBA7B4" w14:textId="77777777" w:rsidR="0052443E" w:rsidRPr="0052443E" w:rsidRDefault="0052443E" w:rsidP="0052443E">
      <w:pPr>
        <w:pStyle w:val="FootnoteText"/>
        <w:rPr>
          <w:rFonts w:asciiTheme="majorBidi" w:hAnsiTheme="majorBidi" w:cstheme="majorBidi"/>
        </w:rPr>
      </w:pPr>
      <w:r w:rsidRPr="0052443E">
        <w:rPr>
          <w:rStyle w:val="FootnoteReference"/>
          <w:rFonts w:asciiTheme="majorBidi" w:hAnsiTheme="majorBidi" w:cstheme="majorBidi"/>
        </w:rPr>
        <w:footnoteRef/>
      </w:r>
      <w:r w:rsidRPr="0052443E">
        <w:rPr>
          <w:rFonts w:asciiTheme="majorBidi" w:hAnsiTheme="majorBidi" w:cstheme="majorBidi"/>
        </w:rPr>
        <w:t xml:space="preserve"> CEDAW/C/IRQ/Q/4-6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8772B" w14:textId="77777777" w:rsidR="00B745BB" w:rsidRPr="00E80748" w:rsidRDefault="00B745BB" w:rsidP="007F0DF6">
    <w:pPr>
      <w:pStyle w:val="Header"/>
      <w:pBdr>
        <w:bottom w:val="single" w:sz="4" w:space="1" w:color="C49A00" w:themeColor="accent1" w:themeShade="BF"/>
      </w:pBdr>
      <w:tabs>
        <w:tab w:val="clear" w:pos="4513"/>
      </w:tabs>
      <w:rPr>
        <w:color w:val="846700" w:themeColor="accent1" w:themeShade="80"/>
      </w:rPr>
    </w:pPr>
    <w:r w:rsidRPr="00E80748">
      <w:rPr>
        <w:color w:val="846700" w:themeColor="accent1" w:themeShade="80"/>
      </w:rPr>
      <w:t xml:space="preserve">GICJ Shadow Report on Iraq to </w:t>
    </w:r>
    <w:r w:rsidR="0052443E" w:rsidRPr="00E80748">
      <w:rPr>
        <w:color w:val="846700" w:themeColor="accent1" w:themeShade="80"/>
      </w:rPr>
      <w:t>CEDAW</w:t>
    </w:r>
    <w:r w:rsidRPr="00E80748">
      <w:rPr>
        <w:color w:val="846700" w:themeColor="accent1" w:themeShade="80"/>
      </w:rPr>
      <w:tab/>
      <w:t xml:space="preserve">Page </w:t>
    </w:r>
    <w:r w:rsidR="00BD4A9D" w:rsidRPr="00E80748">
      <w:rPr>
        <w:color w:val="846700" w:themeColor="accent1" w:themeShade="80"/>
      </w:rPr>
      <w:fldChar w:fldCharType="begin"/>
    </w:r>
    <w:r w:rsidRPr="00E80748">
      <w:rPr>
        <w:color w:val="846700" w:themeColor="accent1" w:themeShade="80"/>
      </w:rPr>
      <w:instrText xml:space="preserve"> PAGE   \* MERGEFORMAT </w:instrText>
    </w:r>
    <w:r w:rsidR="00BD4A9D" w:rsidRPr="00E80748">
      <w:rPr>
        <w:color w:val="846700" w:themeColor="accent1" w:themeShade="80"/>
      </w:rPr>
      <w:fldChar w:fldCharType="separate"/>
    </w:r>
    <w:r w:rsidR="005A2510">
      <w:rPr>
        <w:noProof/>
        <w:color w:val="846700" w:themeColor="accent1" w:themeShade="80"/>
      </w:rPr>
      <w:t>1</w:t>
    </w:r>
    <w:r w:rsidR="00BD4A9D" w:rsidRPr="00E80748">
      <w:rPr>
        <w:color w:val="846700" w:themeColor="accent1" w:themeShade="80"/>
      </w:rPr>
      <w:fldChar w:fldCharType="end"/>
    </w:r>
  </w:p>
  <w:p w14:paraId="7B8098BD" w14:textId="77777777" w:rsidR="00B745BB" w:rsidRDefault="00B745BB" w:rsidP="007F0DF6">
    <w:pPr>
      <w:pStyle w:val="Header"/>
      <w:pBdr>
        <w:bottom w:val="single" w:sz="4" w:space="1" w:color="C49A00" w:themeColor="accent1" w:themeShade="BF"/>
      </w:pBdr>
      <w:tabs>
        <w:tab w:val="clear" w:pos="4513"/>
      </w:tabs>
      <w:rPr>
        <w:color w:val="C49A00" w:themeColor="accent1" w:themeShade="BF"/>
      </w:rPr>
    </w:pPr>
  </w:p>
  <w:p w14:paraId="0F708F10" w14:textId="77777777" w:rsidR="00B745BB" w:rsidRPr="007F0DF6" w:rsidRDefault="00B745BB" w:rsidP="00C342C7">
    <w:pPr>
      <w:pStyle w:val="Header"/>
      <w:tabs>
        <w:tab w:val="clear" w:pos="4513"/>
      </w:tabs>
      <w:rPr>
        <w:color w:val="C49A00"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67ADD"/>
    <w:multiLevelType w:val="hybridMultilevel"/>
    <w:tmpl w:val="A72CE0E2"/>
    <w:lvl w:ilvl="0" w:tplc="49662C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3261122"/>
    <w:multiLevelType w:val="hybridMultilevel"/>
    <w:tmpl w:val="E5F0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7485D"/>
    <w:multiLevelType w:val="hybridMultilevel"/>
    <w:tmpl w:val="4C76DC6E"/>
    <w:lvl w:ilvl="0" w:tplc="ED3E14B6">
      <w:start w:val="1"/>
      <w:numFmt w:val="decimal"/>
      <w:pStyle w:val="ListParagraph"/>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9E1617"/>
    <w:multiLevelType w:val="hybridMultilevel"/>
    <w:tmpl w:val="F95E30B8"/>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E35C1E"/>
    <w:multiLevelType w:val="hybridMultilevel"/>
    <w:tmpl w:val="8C70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6B4D9A"/>
    <w:multiLevelType w:val="hybridMultilevel"/>
    <w:tmpl w:val="9918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F86406"/>
    <w:multiLevelType w:val="hybridMultilevel"/>
    <w:tmpl w:val="2F0AFB44"/>
    <w:lvl w:ilvl="0" w:tplc="9F46C3B6">
      <w:start w:val="1"/>
      <w:numFmt w:val="decimal"/>
      <w:pStyle w:val="Body"/>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54729D6"/>
    <w:multiLevelType w:val="hybridMultilevel"/>
    <w:tmpl w:val="343AF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9712FA"/>
    <w:multiLevelType w:val="hybridMultilevel"/>
    <w:tmpl w:val="0568C96C"/>
    <w:lvl w:ilvl="0" w:tplc="B3EE1F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FE11D2A"/>
    <w:multiLevelType w:val="hybridMultilevel"/>
    <w:tmpl w:val="FBC2EE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4"/>
  </w:num>
  <w:num w:numId="5">
    <w:abstractNumId w:val="1"/>
  </w:num>
  <w:num w:numId="6">
    <w:abstractNumId w:val="5"/>
  </w:num>
  <w:num w:numId="7">
    <w:abstractNumId w:val="6"/>
  </w:num>
  <w:num w:numId="8">
    <w:abstractNumId w:val="6"/>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2"/>
  </w:num>
  <w:num w:numId="29">
    <w:abstractNumId w:val="7"/>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CA"/>
    <w:rsid w:val="00010CAA"/>
    <w:rsid w:val="00013951"/>
    <w:rsid w:val="00014F9C"/>
    <w:rsid w:val="00015257"/>
    <w:rsid w:val="000214E4"/>
    <w:rsid w:val="0002281B"/>
    <w:rsid w:val="00025AF3"/>
    <w:rsid w:val="0003084C"/>
    <w:rsid w:val="000845ED"/>
    <w:rsid w:val="000916EA"/>
    <w:rsid w:val="000A45CC"/>
    <w:rsid w:val="000B41CA"/>
    <w:rsid w:val="000B7E89"/>
    <w:rsid w:val="000C304A"/>
    <w:rsid w:val="000D18D0"/>
    <w:rsid w:val="000D4494"/>
    <w:rsid w:val="000E1BD1"/>
    <w:rsid w:val="000F0347"/>
    <w:rsid w:val="000F0BDE"/>
    <w:rsid w:val="000F2C32"/>
    <w:rsid w:val="00104418"/>
    <w:rsid w:val="001064CA"/>
    <w:rsid w:val="00114C10"/>
    <w:rsid w:val="001163DD"/>
    <w:rsid w:val="00117E60"/>
    <w:rsid w:val="00130F87"/>
    <w:rsid w:val="00144179"/>
    <w:rsid w:val="00160F67"/>
    <w:rsid w:val="00161D9C"/>
    <w:rsid w:val="001625C4"/>
    <w:rsid w:val="001720E3"/>
    <w:rsid w:val="0017574F"/>
    <w:rsid w:val="00187393"/>
    <w:rsid w:val="00196FC4"/>
    <w:rsid w:val="001A6A87"/>
    <w:rsid w:val="001B2B4B"/>
    <w:rsid w:val="001B45C2"/>
    <w:rsid w:val="001C67A8"/>
    <w:rsid w:val="001C7888"/>
    <w:rsid w:val="001D630C"/>
    <w:rsid w:val="001E0D60"/>
    <w:rsid w:val="001E19A6"/>
    <w:rsid w:val="001F7E1C"/>
    <w:rsid w:val="00207CD1"/>
    <w:rsid w:val="00223DDD"/>
    <w:rsid w:val="002360C8"/>
    <w:rsid w:val="00243D22"/>
    <w:rsid w:val="002456BF"/>
    <w:rsid w:val="002500B6"/>
    <w:rsid w:val="00253719"/>
    <w:rsid w:val="002542B2"/>
    <w:rsid w:val="002630AA"/>
    <w:rsid w:val="00263475"/>
    <w:rsid w:val="00266B8A"/>
    <w:rsid w:val="00282652"/>
    <w:rsid w:val="00292B94"/>
    <w:rsid w:val="0029420A"/>
    <w:rsid w:val="002953F5"/>
    <w:rsid w:val="002A6506"/>
    <w:rsid w:val="002B0BBD"/>
    <w:rsid w:val="002B131C"/>
    <w:rsid w:val="002C04E8"/>
    <w:rsid w:val="002D4C4E"/>
    <w:rsid w:val="002D4C9B"/>
    <w:rsid w:val="002D4D8C"/>
    <w:rsid w:val="002E219B"/>
    <w:rsid w:val="002E2589"/>
    <w:rsid w:val="002F22D4"/>
    <w:rsid w:val="002F3530"/>
    <w:rsid w:val="00300A6A"/>
    <w:rsid w:val="003041C4"/>
    <w:rsid w:val="00313126"/>
    <w:rsid w:val="00315E70"/>
    <w:rsid w:val="003165F8"/>
    <w:rsid w:val="00317B64"/>
    <w:rsid w:val="003274E6"/>
    <w:rsid w:val="003420D5"/>
    <w:rsid w:val="0034292A"/>
    <w:rsid w:val="003527EC"/>
    <w:rsid w:val="003542C3"/>
    <w:rsid w:val="00376F6E"/>
    <w:rsid w:val="00381D49"/>
    <w:rsid w:val="00384420"/>
    <w:rsid w:val="003900FD"/>
    <w:rsid w:val="003A6B64"/>
    <w:rsid w:val="003B7534"/>
    <w:rsid w:val="003D6655"/>
    <w:rsid w:val="003E4333"/>
    <w:rsid w:val="003E434F"/>
    <w:rsid w:val="003F0A22"/>
    <w:rsid w:val="003F1349"/>
    <w:rsid w:val="00401D41"/>
    <w:rsid w:val="00405C6B"/>
    <w:rsid w:val="00425513"/>
    <w:rsid w:val="00427C17"/>
    <w:rsid w:val="004301FC"/>
    <w:rsid w:val="00430814"/>
    <w:rsid w:val="00435C7A"/>
    <w:rsid w:val="004366A3"/>
    <w:rsid w:val="004371AD"/>
    <w:rsid w:val="00444579"/>
    <w:rsid w:val="004531EB"/>
    <w:rsid w:val="00463F2D"/>
    <w:rsid w:val="00466703"/>
    <w:rsid w:val="00473E20"/>
    <w:rsid w:val="004853FD"/>
    <w:rsid w:val="00486387"/>
    <w:rsid w:val="004A6740"/>
    <w:rsid w:val="004A6F30"/>
    <w:rsid w:val="004B10A8"/>
    <w:rsid w:val="004B173B"/>
    <w:rsid w:val="004D3396"/>
    <w:rsid w:val="004D41F9"/>
    <w:rsid w:val="004D7141"/>
    <w:rsid w:val="004E3953"/>
    <w:rsid w:val="004E7092"/>
    <w:rsid w:val="005043E1"/>
    <w:rsid w:val="00516D4C"/>
    <w:rsid w:val="005241ED"/>
    <w:rsid w:val="0052443E"/>
    <w:rsid w:val="0053533C"/>
    <w:rsid w:val="005547E7"/>
    <w:rsid w:val="00557461"/>
    <w:rsid w:val="0055746A"/>
    <w:rsid w:val="00573B1B"/>
    <w:rsid w:val="00577C1E"/>
    <w:rsid w:val="005801A5"/>
    <w:rsid w:val="005831E4"/>
    <w:rsid w:val="00592A58"/>
    <w:rsid w:val="005A1261"/>
    <w:rsid w:val="005A14E8"/>
    <w:rsid w:val="005A2510"/>
    <w:rsid w:val="005B7DA1"/>
    <w:rsid w:val="005C5BC8"/>
    <w:rsid w:val="005D7DD7"/>
    <w:rsid w:val="00630C64"/>
    <w:rsid w:val="00632063"/>
    <w:rsid w:val="00632B22"/>
    <w:rsid w:val="00632BD0"/>
    <w:rsid w:val="00643E10"/>
    <w:rsid w:val="006461C5"/>
    <w:rsid w:val="00656E41"/>
    <w:rsid w:val="00663ADB"/>
    <w:rsid w:val="00672F5C"/>
    <w:rsid w:val="00681B57"/>
    <w:rsid w:val="0069403D"/>
    <w:rsid w:val="006A3125"/>
    <w:rsid w:val="006A31EA"/>
    <w:rsid w:val="006A5B2E"/>
    <w:rsid w:val="006C7EE7"/>
    <w:rsid w:val="006D0C0E"/>
    <w:rsid w:val="006E2EE6"/>
    <w:rsid w:val="006E5949"/>
    <w:rsid w:val="006E791D"/>
    <w:rsid w:val="006F0985"/>
    <w:rsid w:val="006F11B4"/>
    <w:rsid w:val="006F19E6"/>
    <w:rsid w:val="006F1C12"/>
    <w:rsid w:val="006F212D"/>
    <w:rsid w:val="006F24BE"/>
    <w:rsid w:val="00705E5C"/>
    <w:rsid w:val="0071112C"/>
    <w:rsid w:val="00722E4D"/>
    <w:rsid w:val="007247E7"/>
    <w:rsid w:val="0073232E"/>
    <w:rsid w:val="00745007"/>
    <w:rsid w:val="00747F84"/>
    <w:rsid w:val="007677A0"/>
    <w:rsid w:val="00776F4C"/>
    <w:rsid w:val="007778A4"/>
    <w:rsid w:val="00781EBC"/>
    <w:rsid w:val="00785FD6"/>
    <w:rsid w:val="00792582"/>
    <w:rsid w:val="00792608"/>
    <w:rsid w:val="0079679F"/>
    <w:rsid w:val="007A12CF"/>
    <w:rsid w:val="007A56C5"/>
    <w:rsid w:val="007A6679"/>
    <w:rsid w:val="007C1E82"/>
    <w:rsid w:val="007C32DD"/>
    <w:rsid w:val="007C555F"/>
    <w:rsid w:val="007C6583"/>
    <w:rsid w:val="007E1840"/>
    <w:rsid w:val="007F0DF6"/>
    <w:rsid w:val="008159BD"/>
    <w:rsid w:val="00823117"/>
    <w:rsid w:val="00823A49"/>
    <w:rsid w:val="008323CA"/>
    <w:rsid w:val="0084212E"/>
    <w:rsid w:val="00845934"/>
    <w:rsid w:val="00852D41"/>
    <w:rsid w:val="00854E58"/>
    <w:rsid w:val="008634AB"/>
    <w:rsid w:val="00887ACC"/>
    <w:rsid w:val="00896CDD"/>
    <w:rsid w:val="008B2D94"/>
    <w:rsid w:val="008C01F4"/>
    <w:rsid w:val="008C0731"/>
    <w:rsid w:val="008C38B9"/>
    <w:rsid w:val="008D2907"/>
    <w:rsid w:val="008D4F96"/>
    <w:rsid w:val="008D553F"/>
    <w:rsid w:val="008D756B"/>
    <w:rsid w:val="008E05F0"/>
    <w:rsid w:val="008F1B36"/>
    <w:rsid w:val="008F781D"/>
    <w:rsid w:val="00902E35"/>
    <w:rsid w:val="00913F11"/>
    <w:rsid w:val="009159AE"/>
    <w:rsid w:val="00924DFA"/>
    <w:rsid w:val="00925E8D"/>
    <w:rsid w:val="0093164C"/>
    <w:rsid w:val="00933296"/>
    <w:rsid w:val="00935B48"/>
    <w:rsid w:val="00944970"/>
    <w:rsid w:val="00946317"/>
    <w:rsid w:val="00957811"/>
    <w:rsid w:val="00970E06"/>
    <w:rsid w:val="00976BB4"/>
    <w:rsid w:val="00984AB4"/>
    <w:rsid w:val="00994576"/>
    <w:rsid w:val="00995F01"/>
    <w:rsid w:val="009B3CB7"/>
    <w:rsid w:val="009D4C89"/>
    <w:rsid w:val="009E180D"/>
    <w:rsid w:val="009E32EF"/>
    <w:rsid w:val="009E3847"/>
    <w:rsid w:val="009F0CC2"/>
    <w:rsid w:val="009F3FDD"/>
    <w:rsid w:val="009F4C79"/>
    <w:rsid w:val="009F526E"/>
    <w:rsid w:val="009F7D20"/>
    <w:rsid w:val="00A038C9"/>
    <w:rsid w:val="00A11949"/>
    <w:rsid w:val="00A17311"/>
    <w:rsid w:val="00A26B5D"/>
    <w:rsid w:val="00A33D82"/>
    <w:rsid w:val="00A35673"/>
    <w:rsid w:val="00A42A95"/>
    <w:rsid w:val="00A42DC8"/>
    <w:rsid w:val="00A5033B"/>
    <w:rsid w:val="00A51133"/>
    <w:rsid w:val="00A57E51"/>
    <w:rsid w:val="00A64FDB"/>
    <w:rsid w:val="00A706CA"/>
    <w:rsid w:val="00A712C1"/>
    <w:rsid w:val="00A75BF2"/>
    <w:rsid w:val="00A75F6C"/>
    <w:rsid w:val="00A837AA"/>
    <w:rsid w:val="00A87CBB"/>
    <w:rsid w:val="00A9369F"/>
    <w:rsid w:val="00AA0715"/>
    <w:rsid w:val="00AA1A55"/>
    <w:rsid w:val="00AA58E0"/>
    <w:rsid w:val="00AB7233"/>
    <w:rsid w:val="00AC1A6F"/>
    <w:rsid w:val="00AE6EBF"/>
    <w:rsid w:val="00AF493E"/>
    <w:rsid w:val="00B010B4"/>
    <w:rsid w:val="00B21492"/>
    <w:rsid w:val="00B248CB"/>
    <w:rsid w:val="00B25958"/>
    <w:rsid w:val="00B35A79"/>
    <w:rsid w:val="00B365AC"/>
    <w:rsid w:val="00B40BA7"/>
    <w:rsid w:val="00B431A0"/>
    <w:rsid w:val="00B50B90"/>
    <w:rsid w:val="00B517D3"/>
    <w:rsid w:val="00B67910"/>
    <w:rsid w:val="00B701C7"/>
    <w:rsid w:val="00B745BB"/>
    <w:rsid w:val="00B82D27"/>
    <w:rsid w:val="00B9004C"/>
    <w:rsid w:val="00B91DFD"/>
    <w:rsid w:val="00BB1677"/>
    <w:rsid w:val="00BC32B7"/>
    <w:rsid w:val="00BC4BB8"/>
    <w:rsid w:val="00BC6621"/>
    <w:rsid w:val="00BD1ADA"/>
    <w:rsid w:val="00BD3E93"/>
    <w:rsid w:val="00BD4A9D"/>
    <w:rsid w:val="00BD4C8E"/>
    <w:rsid w:val="00BE0EA6"/>
    <w:rsid w:val="00BE20A2"/>
    <w:rsid w:val="00BE455F"/>
    <w:rsid w:val="00C12475"/>
    <w:rsid w:val="00C12872"/>
    <w:rsid w:val="00C170CA"/>
    <w:rsid w:val="00C342C7"/>
    <w:rsid w:val="00C45FBE"/>
    <w:rsid w:val="00C64A24"/>
    <w:rsid w:val="00C72B06"/>
    <w:rsid w:val="00CA15E9"/>
    <w:rsid w:val="00CC1BD1"/>
    <w:rsid w:val="00CE3FB5"/>
    <w:rsid w:val="00CF0605"/>
    <w:rsid w:val="00D118A3"/>
    <w:rsid w:val="00D21862"/>
    <w:rsid w:val="00D218A9"/>
    <w:rsid w:val="00D30BA5"/>
    <w:rsid w:val="00D3644F"/>
    <w:rsid w:val="00D515C2"/>
    <w:rsid w:val="00D52F5C"/>
    <w:rsid w:val="00D54ACF"/>
    <w:rsid w:val="00D608FB"/>
    <w:rsid w:val="00D64CBE"/>
    <w:rsid w:val="00D6592E"/>
    <w:rsid w:val="00D82667"/>
    <w:rsid w:val="00D96609"/>
    <w:rsid w:val="00D97039"/>
    <w:rsid w:val="00DA55F7"/>
    <w:rsid w:val="00DA72CF"/>
    <w:rsid w:val="00DB0F25"/>
    <w:rsid w:val="00DB1910"/>
    <w:rsid w:val="00DB4227"/>
    <w:rsid w:val="00DC05EB"/>
    <w:rsid w:val="00DF1AC2"/>
    <w:rsid w:val="00E2345A"/>
    <w:rsid w:val="00E26432"/>
    <w:rsid w:val="00E33A8F"/>
    <w:rsid w:val="00E62EAF"/>
    <w:rsid w:val="00E66896"/>
    <w:rsid w:val="00E72CB9"/>
    <w:rsid w:val="00E7690B"/>
    <w:rsid w:val="00E80748"/>
    <w:rsid w:val="00E8182E"/>
    <w:rsid w:val="00E861EC"/>
    <w:rsid w:val="00EA0EAA"/>
    <w:rsid w:val="00EA2AA2"/>
    <w:rsid w:val="00EA2BF4"/>
    <w:rsid w:val="00EA36D4"/>
    <w:rsid w:val="00EA5E6A"/>
    <w:rsid w:val="00EB2267"/>
    <w:rsid w:val="00EB2E29"/>
    <w:rsid w:val="00EB3A2B"/>
    <w:rsid w:val="00EB3EB3"/>
    <w:rsid w:val="00EB45F5"/>
    <w:rsid w:val="00EE4F5A"/>
    <w:rsid w:val="00F016A3"/>
    <w:rsid w:val="00F2186F"/>
    <w:rsid w:val="00F21F6F"/>
    <w:rsid w:val="00F239B5"/>
    <w:rsid w:val="00F2601E"/>
    <w:rsid w:val="00F27DB2"/>
    <w:rsid w:val="00F318AD"/>
    <w:rsid w:val="00F31C33"/>
    <w:rsid w:val="00F3461C"/>
    <w:rsid w:val="00F458C1"/>
    <w:rsid w:val="00F55E5A"/>
    <w:rsid w:val="00F56E40"/>
    <w:rsid w:val="00F57C6D"/>
    <w:rsid w:val="00F7551B"/>
    <w:rsid w:val="00F80635"/>
    <w:rsid w:val="00FA004E"/>
    <w:rsid w:val="00FA05A4"/>
    <w:rsid w:val="00FA610B"/>
    <w:rsid w:val="00FB5D08"/>
    <w:rsid w:val="00FC4520"/>
    <w:rsid w:val="00FC6C41"/>
    <w:rsid w:val="00FD219B"/>
    <w:rsid w:val="00FD2875"/>
    <w:rsid w:val="00FE5533"/>
    <w:rsid w:val="00FF1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BF07C"/>
  <w15:docId w15:val="{717E8693-A695-4238-90AA-9F5B151F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371AD"/>
  </w:style>
  <w:style w:type="paragraph" w:styleId="Heading1">
    <w:name w:val="heading 1"/>
    <w:basedOn w:val="Normal"/>
    <w:next w:val="Normal"/>
    <w:link w:val="Heading1Char"/>
    <w:uiPriority w:val="9"/>
    <w:qFormat/>
    <w:rsid w:val="00E80748"/>
    <w:pPr>
      <w:keepNext/>
      <w:keepLines/>
      <w:spacing w:before="360" w:after="120"/>
      <w:jc w:val="center"/>
      <w:outlineLvl w:val="0"/>
    </w:pPr>
    <w:rPr>
      <w:rFonts w:eastAsiaTheme="majorEastAsia" w:cstheme="majorBidi"/>
      <w:b/>
      <w:color w:val="846700" w:themeColor="accent1" w:themeShade="80"/>
      <w:sz w:val="32"/>
      <w:szCs w:val="32"/>
    </w:rPr>
  </w:style>
  <w:style w:type="paragraph" w:styleId="Heading2">
    <w:name w:val="heading 2"/>
    <w:basedOn w:val="Normal"/>
    <w:next w:val="Normal"/>
    <w:link w:val="Heading2Char"/>
    <w:uiPriority w:val="9"/>
    <w:unhideWhenUsed/>
    <w:qFormat/>
    <w:rsid w:val="00E80748"/>
    <w:pPr>
      <w:keepNext/>
      <w:keepLines/>
      <w:spacing w:before="40" w:after="0"/>
      <w:outlineLvl w:val="1"/>
    </w:pPr>
    <w:rPr>
      <w:rFonts w:asciiTheme="majorHAnsi" w:eastAsiaTheme="majorEastAsia" w:hAnsiTheme="majorHAnsi" w:cstheme="majorBidi"/>
      <w:b/>
      <w:color w:val="846700"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43E"/>
    <w:pPr>
      <w:numPr>
        <w:numId w:val="28"/>
      </w:numPr>
      <w:spacing w:line="276" w:lineRule="auto"/>
      <w:ind w:left="360"/>
      <w:contextualSpacing/>
    </w:pPr>
    <w:rPr>
      <w:rFonts w:asciiTheme="majorBidi" w:hAnsiTheme="majorBidi" w:cstheme="majorBidi"/>
      <w:sz w:val="24"/>
      <w:szCs w:val="24"/>
    </w:rPr>
  </w:style>
  <w:style w:type="paragraph" w:styleId="NormalWeb">
    <w:name w:val="Normal (Web)"/>
    <w:basedOn w:val="Normal"/>
    <w:uiPriority w:val="99"/>
    <w:unhideWhenUsed/>
    <w:rsid w:val="009F7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837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37AA"/>
    <w:rPr>
      <w:sz w:val="20"/>
      <w:szCs w:val="20"/>
    </w:rPr>
  </w:style>
  <w:style w:type="character" w:styleId="FootnoteReference">
    <w:name w:val="footnote reference"/>
    <w:basedOn w:val="DefaultParagraphFont"/>
    <w:uiPriority w:val="99"/>
    <w:semiHidden/>
    <w:unhideWhenUsed/>
    <w:rsid w:val="00A837AA"/>
    <w:rPr>
      <w:vertAlign w:val="superscript"/>
    </w:rPr>
  </w:style>
  <w:style w:type="paragraph" w:styleId="Header">
    <w:name w:val="header"/>
    <w:basedOn w:val="Normal"/>
    <w:link w:val="HeaderChar"/>
    <w:uiPriority w:val="99"/>
    <w:unhideWhenUsed/>
    <w:rsid w:val="008C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731"/>
  </w:style>
  <w:style w:type="paragraph" w:styleId="Footer">
    <w:name w:val="footer"/>
    <w:basedOn w:val="Normal"/>
    <w:link w:val="FooterChar"/>
    <w:uiPriority w:val="99"/>
    <w:unhideWhenUsed/>
    <w:rsid w:val="008C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731"/>
  </w:style>
  <w:style w:type="paragraph" w:styleId="BalloonText">
    <w:name w:val="Balloon Text"/>
    <w:basedOn w:val="Normal"/>
    <w:link w:val="BalloonTextChar"/>
    <w:uiPriority w:val="99"/>
    <w:semiHidden/>
    <w:unhideWhenUsed/>
    <w:rsid w:val="0055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61"/>
    <w:rPr>
      <w:rFonts w:ascii="Segoe UI" w:hAnsi="Segoe UI" w:cs="Segoe UI"/>
      <w:sz w:val="18"/>
      <w:szCs w:val="18"/>
    </w:rPr>
  </w:style>
  <w:style w:type="character" w:customStyle="1" w:styleId="Heading1Char">
    <w:name w:val="Heading 1 Char"/>
    <w:basedOn w:val="DefaultParagraphFont"/>
    <w:link w:val="Heading1"/>
    <w:uiPriority w:val="9"/>
    <w:rsid w:val="00E80748"/>
    <w:rPr>
      <w:rFonts w:eastAsiaTheme="majorEastAsia" w:cstheme="majorBidi"/>
      <w:b/>
      <w:color w:val="846700" w:themeColor="accent1" w:themeShade="80"/>
      <w:sz w:val="32"/>
      <w:szCs w:val="32"/>
    </w:rPr>
  </w:style>
  <w:style w:type="character" w:customStyle="1" w:styleId="Heading2Char">
    <w:name w:val="Heading 2 Char"/>
    <w:basedOn w:val="DefaultParagraphFont"/>
    <w:link w:val="Heading2"/>
    <w:uiPriority w:val="9"/>
    <w:rsid w:val="00E80748"/>
    <w:rPr>
      <w:rFonts w:asciiTheme="majorHAnsi" w:eastAsiaTheme="majorEastAsia" w:hAnsiTheme="majorHAnsi" w:cstheme="majorBidi"/>
      <w:b/>
      <w:color w:val="846700" w:themeColor="accent1" w:themeShade="80"/>
      <w:sz w:val="26"/>
      <w:szCs w:val="26"/>
    </w:rPr>
  </w:style>
  <w:style w:type="paragraph" w:customStyle="1" w:styleId="Body">
    <w:name w:val="Body"/>
    <w:basedOn w:val="Normal"/>
    <w:link w:val="BodyChar"/>
    <w:qFormat/>
    <w:rsid w:val="007A12CF"/>
    <w:pPr>
      <w:numPr>
        <w:numId w:val="7"/>
      </w:numPr>
    </w:pPr>
    <w:rPr>
      <w:rFonts w:ascii="Times New Roman" w:hAnsi="Times New Roman"/>
      <w:sz w:val="24"/>
      <w:szCs w:val="24"/>
    </w:rPr>
  </w:style>
  <w:style w:type="paragraph" w:customStyle="1" w:styleId="Footnote">
    <w:name w:val="Footnote"/>
    <w:basedOn w:val="FootnoteText"/>
    <w:link w:val="FootnoteChar"/>
    <w:qFormat/>
    <w:rsid w:val="00632B22"/>
    <w:rPr>
      <w:rFonts w:ascii="Times New Roman" w:hAnsi="Times New Roman"/>
    </w:rPr>
  </w:style>
  <w:style w:type="character" w:customStyle="1" w:styleId="BodyChar">
    <w:name w:val="Body Char"/>
    <w:basedOn w:val="DefaultParagraphFont"/>
    <w:link w:val="Body"/>
    <w:rsid w:val="007A12CF"/>
    <w:rPr>
      <w:rFonts w:ascii="Times New Roman" w:hAnsi="Times New Roman"/>
      <w:sz w:val="24"/>
      <w:szCs w:val="24"/>
    </w:rPr>
  </w:style>
  <w:style w:type="character" w:styleId="Hyperlink">
    <w:name w:val="Hyperlink"/>
    <w:basedOn w:val="DefaultParagraphFont"/>
    <w:uiPriority w:val="99"/>
    <w:unhideWhenUsed/>
    <w:rsid w:val="005801A5"/>
    <w:rPr>
      <w:color w:val="2998E3" w:themeColor="hyperlink"/>
      <w:u w:val="single"/>
    </w:rPr>
  </w:style>
  <w:style w:type="character" w:customStyle="1" w:styleId="FootnoteChar">
    <w:name w:val="Footnote Char"/>
    <w:basedOn w:val="FootnoteTextChar"/>
    <w:link w:val="Footnote"/>
    <w:rsid w:val="00632B22"/>
    <w:rPr>
      <w:rFonts w:ascii="Times New Roman" w:hAnsi="Times New Roman"/>
      <w:sz w:val="20"/>
      <w:szCs w:val="20"/>
    </w:rPr>
  </w:style>
  <w:style w:type="character" w:customStyle="1" w:styleId="UnresolvedMention1">
    <w:name w:val="Unresolved Mention1"/>
    <w:basedOn w:val="DefaultParagraphFont"/>
    <w:uiPriority w:val="99"/>
    <w:semiHidden/>
    <w:unhideWhenUsed/>
    <w:rsid w:val="005801A5"/>
    <w:rPr>
      <w:color w:val="605E5C"/>
      <w:shd w:val="clear" w:color="auto" w:fill="E1DFDD"/>
    </w:rPr>
  </w:style>
  <w:style w:type="paragraph" w:styleId="TOCHeading">
    <w:name w:val="TOC Heading"/>
    <w:basedOn w:val="Heading1"/>
    <w:next w:val="Normal"/>
    <w:uiPriority w:val="39"/>
    <w:unhideWhenUsed/>
    <w:qFormat/>
    <w:rsid w:val="00AA58E0"/>
    <w:pPr>
      <w:jc w:val="left"/>
      <w:outlineLvl w:val="9"/>
    </w:pPr>
    <w:rPr>
      <w:rFonts w:asciiTheme="majorHAnsi" w:hAnsiTheme="majorHAnsi"/>
      <w:lang w:val="en-US"/>
    </w:rPr>
  </w:style>
  <w:style w:type="paragraph" w:styleId="TOC1">
    <w:name w:val="toc 1"/>
    <w:basedOn w:val="Normal"/>
    <w:next w:val="Normal"/>
    <w:autoRedefine/>
    <w:uiPriority w:val="39"/>
    <w:unhideWhenUsed/>
    <w:rsid w:val="00AA58E0"/>
    <w:pPr>
      <w:spacing w:after="100"/>
    </w:pPr>
  </w:style>
  <w:style w:type="paragraph" w:styleId="TOC2">
    <w:name w:val="toc 2"/>
    <w:basedOn w:val="Normal"/>
    <w:next w:val="Normal"/>
    <w:autoRedefine/>
    <w:uiPriority w:val="39"/>
    <w:unhideWhenUsed/>
    <w:rsid w:val="00AA58E0"/>
    <w:pPr>
      <w:spacing w:after="100"/>
      <w:ind w:left="220"/>
    </w:pPr>
  </w:style>
  <w:style w:type="character" w:styleId="CommentReference">
    <w:name w:val="annotation reference"/>
    <w:basedOn w:val="DefaultParagraphFont"/>
    <w:uiPriority w:val="99"/>
    <w:semiHidden/>
    <w:unhideWhenUsed/>
    <w:rsid w:val="0052443E"/>
    <w:rPr>
      <w:sz w:val="16"/>
      <w:szCs w:val="16"/>
    </w:rPr>
  </w:style>
  <w:style w:type="paragraph" w:styleId="CommentText">
    <w:name w:val="annotation text"/>
    <w:basedOn w:val="Normal"/>
    <w:link w:val="CommentTextChar"/>
    <w:uiPriority w:val="99"/>
    <w:semiHidden/>
    <w:unhideWhenUsed/>
    <w:rsid w:val="0052443E"/>
    <w:pPr>
      <w:spacing w:line="240" w:lineRule="auto"/>
    </w:pPr>
    <w:rPr>
      <w:sz w:val="20"/>
      <w:szCs w:val="20"/>
    </w:rPr>
  </w:style>
  <w:style w:type="character" w:customStyle="1" w:styleId="CommentTextChar">
    <w:name w:val="Comment Text Char"/>
    <w:basedOn w:val="DefaultParagraphFont"/>
    <w:link w:val="CommentText"/>
    <w:uiPriority w:val="99"/>
    <w:semiHidden/>
    <w:rsid w:val="0052443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42214">
      <w:bodyDiv w:val="1"/>
      <w:marLeft w:val="0"/>
      <w:marRight w:val="0"/>
      <w:marTop w:val="0"/>
      <w:marBottom w:val="0"/>
      <w:divBdr>
        <w:top w:val="none" w:sz="0" w:space="0" w:color="auto"/>
        <w:left w:val="none" w:sz="0" w:space="0" w:color="auto"/>
        <w:bottom w:val="none" w:sz="0" w:space="0" w:color="auto"/>
        <w:right w:val="none" w:sz="0" w:space="0" w:color="auto"/>
      </w:divBdr>
    </w:div>
    <w:div w:id="398601204">
      <w:bodyDiv w:val="1"/>
      <w:marLeft w:val="0"/>
      <w:marRight w:val="0"/>
      <w:marTop w:val="0"/>
      <w:marBottom w:val="0"/>
      <w:divBdr>
        <w:top w:val="none" w:sz="0" w:space="0" w:color="auto"/>
        <w:left w:val="none" w:sz="0" w:space="0" w:color="auto"/>
        <w:bottom w:val="none" w:sz="0" w:space="0" w:color="auto"/>
        <w:right w:val="none" w:sz="0" w:space="0" w:color="auto"/>
      </w:divBdr>
    </w:div>
    <w:div w:id="404180231">
      <w:bodyDiv w:val="1"/>
      <w:marLeft w:val="0"/>
      <w:marRight w:val="0"/>
      <w:marTop w:val="0"/>
      <w:marBottom w:val="0"/>
      <w:divBdr>
        <w:top w:val="none" w:sz="0" w:space="0" w:color="auto"/>
        <w:left w:val="none" w:sz="0" w:space="0" w:color="auto"/>
        <w:bottom w:val="none" w:sz="0" w:space="0" w:color="auto"/>
        <w:right w:val="none" w:sz="0" w:space="0" w:color="auto"/>
      </w:divBdr>
    </w:div>
    <w:div w:id="1255092347">
      <w:bodyDiv w:val="1"/>
      <w:marLeft w:val="0"/>
      <w:marRight w:val="0"/>
      <w:marTop w:val="0"/>
      <w:marBottom w:val="0"/>
      <w:divBdr>
        <w:top w:val="none" w:sz="0" w:space="0" w:color="auto"/>
        <w:left w:val="none" w:sz="0" w:space="0" w:color="auto"/>
        <w:bottom w:val="none" w:sz="0" w:space="0" w:color="auto"/>
        <w:right w:val="none" w:sz="0" w:space="0" w:color="auto"/>
      </w:divBdr>
    </w:div>
    <w:div w:id="1664967503">
      <w:bodyDiv w:val="1"/>
      <w:marLeft w:val="0"/>
      <w:marRight w:val="0"/>
      <w:marTop w:val="0"/>
      <w:marBottom w:val="0"/>
      <w:divBdr>
        <w:top w:val="none" w:sz="0" w:space="0" w:color="auto"/>
        <w:left w:val="none" w:sz="0" w:space="0" w:color="auto"/>
        <w:bottom w:val="none" w:sz="0" w:space="0" w:color="auto"/>
        <w:right w:val="none" w:sz="0" w:space="0" w:color="auto"/>
      </w:divBdr>
    </w:div>
    <w:div w:id="1822037407">
      <w:bodyDiv w:val="1"/>
      <w:marLeft w:val="0"/>
      <w:marRight w:val="0"/>
      <w:marTop w:val="0"/>
      <w:marBottom w:val="0"/>
      <w:divBdr>
        <w:top w:val="none" w:sz="0" w:space="0" w:color="auto"/>
        <w:left w:val="none" w:sz="0" w:space="0" w:color="auto"/>
        <w:bottom w:val="none" w:sz="0" w:space="0" w:color="auto"/>
        <w:right w:val="none" w:sz="0" w:space="0" w:color="auto"/>
      </w:divBdr>
    </w:div>
    <w:div w:id="1991589242">
      <w:bodyDiv w:val="1"/>
      <w:marLeft w:val="0"/>
      <w:marRight w:val="0"/>
      <w:marTop w:val="0"/>
      <w:marBottom w:val="0"/>
      <w:divBdr>
        <w:top w:val="none" w:sz="0" w:space="0" w:color="auto"/>
        <w:left w:val="none" w:sz="0" w:space="0" w:color="auto"/>
        <w:bottom w:val="none" w:sz="0" w:space="0" w:color="auto"/>
        <w:right w:val="none" w:sz="0" w:space="0" w:color="auto"/>
      </w:divBdr>
    </w:div>
    <w:div w:id="2077318904">
      <w:bodyDiv w:val="1"/>
      <w:marLeft w:val="0"/>
      <w:marRight w:val="0"/>
      <w:marTop w:val="0"/>
      <w:marBottom w:val="0"/>
      <w:divBdr>
        <w:top w:val="none" w:sz="0" w:space="0" w:color="auto"/>
        <w:left w:val="none" w:sz="0" w:space="0" w:color="auto"/>
        <w:bottom w:val="none" w:sz="0" w:space="0" w:color="auto"/>
        <w:right w:val="none" w:sz="0" w:space="0" w:color="auto"/>
      </w:divBdr>
    </w:div>
    <w:div w:id="211697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facebook.com/GIC4J"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nfo@gicj.org" TargetMode="External"/><Relationship Id="rId10" Type="http://schemas.openxmlformats.org/officeDocument/2006/relationships/hyperlink" Target="http://www.gicj.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icj.org" TargetMode="External"/><Relationship Id="rId14" Type="http://schemas.openxmlformats.org/officeDocument/2006/relationships/image" Target="media/image3.pn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icc-cpi.int/resource-library/Documents/RS-Eng.pdf" TargetMode="External"/><Relationship Id="rId7" Type="http://schemas.openxmlformats.org/officeDocument/2006/relationships/hyperlink" Target="https://www.un.org/en/development/desa/population/publications/pdf/policy/AbortionPoliciesReproductiveHealth.pdf" TargetMode="External"/><Relationship Id="rId2" Type="http://schemas.openxmlformats.org/officeDocument/2006/relationships/hyperlink" Target="http://www.uniraq.org/index.php?option=com_k2&amp;view=item&amp;id=11591:unami-urges-inclusion-of-women-in-politics-and-decision-making&amp;Itemid=605&amp;lang=en" TargetMode="External"/><Relationship Id="rId1" Type="http://schemas.openxmlformats.org/officeDocument/2006/relationships/hyperlink" Target="http://www.uniraq.org/index.php?option=com_k2&amp;view=item&amp;id=10553:statement-by-the-srsg-for-iraq-ms-jeanine-hennis-plasschaert-international-women-s-day-at-the-council-of-representatives&amp;Itemid=714&amp;lang=en" TargetMode="External"/><Relationship Id="rId6" Type="http://schemas.openxmlformats.org/officeDocument/2006/relationships/hyperlink" Target="https://www.unescwa.org/sites/www.unescwa.org/files/events/files/iraq_country_summary_-_english.pdf" TargetMode="External"/><Relationship Id="rId5" Type="http://schemas.openxmlformats.org/officeDocument/2006/relationships/hyperlink" Target="http://globaljusticecenter.net/files/IraqiLawAnalysis.4.6.2018.pdf" TargetMode="External"/><Relationship Id="rId4" Type="http://schemas.openxmlformats.org/officeDocument/2006/relationships/hyperlink" Target="https://www.ecoi.net/en/document/2010829.html" TargetMode="Externa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8D1178-33E4-4030-A248-F8923E284AE7}">
  <ds:schemaRefs>
    <ds:schemaRef ds:uri="http://schemas.openxmlformats.org/officeDocument/2006/bibliography"/>
  </ds:schemaRefs>
</ds:datastoreItem>
</file>

<file path=customXml/itemProps2.xml><?xml version="1.0" encoding="utf-8"?>
<ds:datastoreItem xmlns:ds="http://schemas.openxmlformats.org/officeDocument/2006/customXml" ds:itemID="{4DDC7426-E58C-4D9E-A60A-18B9825F5BF7}"/>
</file>

<file path=customXml/itemProps3.xml><?xml version="1.0" encoding="utf-8"?>
<ds:datastoreItem xmlns:ds="http://schemas.openxmlformats.org/officeDocument/2006/customXml" ds:itemID="{A430EDF0-EDDA-467B-B996-B2D9A46F18CE}"/>
</file>

<file path=customXml/itemProps4.xml><?xml version="1.0" encoding="utf-8"?>
<ds:datastoreItem xmlns:ds="http://schemas.openxmlformats.org/officeDocument/2006/customXml" ds:itemID="{E51AB313-06AC-4F55-A7A0-E1CBC6A8C703}"/>
</file>

<file path=docProps/app.xml><?xml version="1.0" encoding="utf-8"?>
<Properties xmlns="http://schemas.openxmlformats.org/officeDocument/2006/extended-properties" xmlns:vt="http://schemas.openxmlformats.org/officeDocument/2006/docPropsVTypes">
  <Template>Normal</Template>
  <TotalTime>0</TotalTime>
  <Pages>12</Pages>
  <Words>2847</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GICJ</dc:creator>
  <cp:keywords/>
  <dc:description/>
  <cp:lastModifiedBy>GI CJ</cp:lastModifiedBy>
  <cp:revision>5</cp:revision>
  <cp:lastPrinted>2019-09-30T16:28:00Z</cp:lastPrinted>
  <dcterms:created xsi:type="dcterms:W3CDTF">2019-09-30T16:22:00Z</dcterms:created>
  <dcterms:modified xsi:type="dcterms:W3CDTF">2019-09-30T16:28:00Z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