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854CB" w14:textId="53D5A2AB" w:rsidR="00664A7D" w:rsidRDefault="00F64FD7" w:rsidP="00893DFC">
      <w:pPr>
        <w:tabs>
          <w:tab w:val="left" w:pos="1365"/>
        </w:tabs>
        <w:spacing w:before="100" w:beforeAutospacing="1" w:after="100" w:afterAutospacing="1" w:line="240" w:lineRule="auto"/>
        <w:rPr>
          <w:rFonts w:ascii="Times New Roman" w:eastAsia="Times New Roman" w:hAnsi="Times New Roman" w:cs="Times New Roman"/>
          <w:b/>
          <w:bCs/>
          <w:sz w:val="24"/>
          <w:szCs w:val="24"/>
          <w:lang w:val="en-GB" w:eastAsia="fr-FR"/>
        </w:rPr>
      </w:pPr>
      <w:r>
        <w:rPr>
          <w:noProof/>
        </w:rPr>
        <w:drawing>
          <wp:anchor distT="0" distB="0" distL="114300" distR="114300" simplePos="0" relativeHeight="251661312" behindDoc="0" locked="0" layoutInCell="1" hidden="0" allowOverlap="1" wp14:anchorId="56494BAA" wp14:editId="32173500">
            <wp:simplePos x="0" y="0"/>
            <wp:positionH relativeFrom="column">
              <wp:posOffset>1819550</wp:posOffset>
            </wp:positionH>
            <wp:positionV relativeFrom="paragraph">
              <wp:posOffset>340607</wp:posOffset>
            </wp:positionV>
            <wp:extent cx="2641689" cy="789333"/>
            <wp:effectExtent l="0" t="0" r="0" b="0"/>
            <wp:wrapNone/>
            <wp:docPr id="127221203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2646214" cy="790685"/>
                    </a:xfrm>
                    <a:prstGeom prst="rect">
                      <a:avLst/>
                    </a:prstGeom>
                    <a:ln/>
                  </pic:spPr>
                </pic:pic>
              </a:graphicData>
            </a:graphic>
            <wp14:sizeRelH relativeFrom="margin">
              <wp14:pctWidth>0</wp14:pctWidth>
            </wp14:sizeRelH>
            <wp14:sizeRelV relativeFrom="margin">
              <wp14:pctHeight>0</wp14:pctHeight>
            </wp14:sizeRelV>
          </wp:anchor>
        </w:drawing>
      </w:r>
      <w:r w:rsidR="00893DFC">
        <w:rPr>
          <w:rFonts w:ascii="Times New Roman" w:eastAsia="Times New Roman" w:hAnsi="Times New Roman" w:cs="Times New Roman"/>
          <w:b/>
          <w:bCs/>
          <w:sz w:val="24"/>
          <w:szCs w:val="24"/>
          <w:lang w:val="en-GB" w:eastAsia="fr-FR"/>
        </w:rPr>
        <w:tab/>
      </w:r>
    </w:p>
    <w:p w14:paraId="6CB9A9AA" w14:textId="466CB7D8" w:rsidR="00893DFC" w:rsidRDefault="00893DFC" w:rsidP="00DD60B0">
      <w:pPr>
        <w:spacing w:before="100" w:beforeAutospacing="1" w:after="100" w:afterAutospacing="1" w:line="240" w:lineRule="auto"/>
        <w:jc w:val="center"/>
        <w:rPr>
          <w:rFonts w:ascii="Times New Roman" w:eastAsia="Times New Roman" w:hAnsi="Times New Roman" w:cs="Times New Roman"/>
          <w:b/>
          <w:bCs/>
          <w:sz w:val="24"/>
          <w:szCs w:val="24"/>
          <w:lang w:val="en-GB" w:eastAsia="fr-FR"/>
        </w:rPr>
      </w:pPr>
    </w:p>
    <w:p w14:paraId="29AEC842" w14:textId="77777777" w:rsidR="00EB0340" w:rsidRDefault="00EB0340" w:rsidP="00893DFC">
      <w:pPr>
        <w:jc w:val="center"/>
        <w:rPr>
          <w:rFonts w:asciiTheme="majorHAnsi" w:hAnsiTheme="majorHAnsi"/>
          <w:b/>
          <w:color w:val="CC3300"/>
          <w:sz w:val="52"/>
          <w:szCs w:val="52"/>
          <w:lang w:val="en-US"/>
        </w:rPr>
      </w:pPr>
    </w:p>
    <w:p w14:paraId="31455C3A" w14:textId="77777777" w:rsidR="00EB0340" w:rsidRDefault="00EB0340" w:rsidP="00893DFC">
      <w:pPr>
        <w:jc w:val="center"/>
        <w:rPr>
          <w:rFonts w:asciiTheme="majorHAnsi" w:hAnsiTheme="majorHAnsi"/>
          <w:b/>
          <w:color w:val="CC3300"/>
          <w:sz w:val="52"/>
          <w:szCs w:val="52"/>
          <w:lang w:val="en-US"/>
        </w:rPr>
      </w:pPr>
    </w:p>
    <w:p w14:paraId="4CEFE527" w14:textId="1E0D8F1D" w:rsidR="00893DFC" w:rsidRPr="00B8404F" w:rsidRDefault="00893DFC" w:rsidP="00893DFC">
      <w:pPr>
        <w:jc w:val="center"/>
        <w:rPr>
          <w:rFonts w:ascii="Arial" w:hAnsi="Arial" w:cs="Arial"/>
          <w:color w:val="CC3300"/>
          <w:sz w:val="32"/>
          <w:szCs w:val="32"/>
          <w:lang w:val="en-US"/>
        </w:rPr>
      </w:pPr>
      <w:r w:rsidRPr="00B8404F">
        <w:rPr>
          <w:rFonts w:ascii="Arial" w:hAnsi="Arial" w:cs="Arial"/>
          <w:b/>
          <w:color w:val="CC3300"/>
          <w:sz w:val="32"/>
          <w:szCs w:val="32"/>
          <w:lang w:val="en-US"/>
        </w:rPr>
        <w:t xml:space="preserve">Situation of persons with </w:t>
      </w:r>
      <w:r w:rsidR="00F64FD7" w:rsidRPr="00B8404F">
        <w:rPr>
          <w:rFonts w:ascii="Arial" w:hAnsi="Arial" w:cs="Arial"/>
          <w:b/>
          <w:color w:val="CC3300"/>
          <w:sz w:val="32"/>
          <w:szCs w:val="32"/>
          <w:lang w:val="en-US"/>
        </w:rPr>
        <w:t xml:space="preserve">Disabilities in Slovakia </w:t>
      </w:r>
      <w:r w:rsidRPr="00B8404F">
        <w:rPr>
          <w:rFonts w:ascii="Arial" w:hAnsi="Arial" w:cs="Arial"/>
          <w:b/>
          <w:color w:val="CC3300"/>
          <w:sz w:val="32"/>
          <w:szCs w:val="32"/>
          <w:lang w:val="en-US"/>
        </w:rPr>
        <w:t xml:space="preserve"> </w:t>
      </w:r>
    </w:p>
    <w:p w14:paraId="2A36D8F8" w14:textId="77777777" w:rsidR="00893DFC" w:rsidRPr="00B8404F" w:rsidRDefault="00893DFC" w:rsidP="00893DFC">
      <w:pPr>
        <w:jc w:val="center"/>
        <w:rPr>
          <w:rFonts w:ascii="Arial" w:hAnsi="Arial" w:cs="Arial"/>
          <w:color w:val="000000" w:themeColor="text1"/>
          <w:sz w:val="32"/>
          <w:szCs w:val="32"/>
          <w:lang w:val="en-US"/>
        </w:rPr>
      </w:pPr>
    </w:p>
    <w:p w14:paraId="451B2F32" w14:textId="77777777" w:rsidR="00087C75" w:rsidRPr="00087C75" w:rsidRDefault="00893DFC" w:rsidP="00893DFC">
      <w:pPr>
        <w:jc w:val="center"/>
        <w:rPr>
          <w:rFonts w:ascii="Arial" w:hAnsi="Arial" w:cs="Arial"/>
          <w:color w:val="000000" w:themeColor="text1"/>
          <w:sz w:val="30"/>
          <w:szCs w:val="30"/>
          <w:lang w:val="en-US"/>
        </w:rPr>
      </w:pPr>
      <w:r w:rsidRPr="00087C75">
        <w:rPr>
          <w:rFonts w:ascii="Arial" w:hAnsi="Arial" w:cs="Arial"/>
          <w:color w:val="000000" w:themeColor="text1"/>
          <w:sz w:val="30"/>
          <w:szCs w:val="30"/>
          <w:lang w:val="en-US"/>
        </w:rPr>
        <w:t xml:space="preserve">Written Contribution: CRPD Examination of </w:t>
      </w:r>
      <w:r w:rsidR="00F64FD7" w:rsidRPr="00087C75">
        <w:rPr>
          <w:rFonts w:ascii="Arial" w:hAnsi="Arial" w:cs="Arial"/>
          <w:color w:val="000000" w:themeColor="text1"/>
          <w:sz w:val="30"/>
          <w:szCs w:val="30"/>
          <w:lang w:val="en-US"/>
        </w:rPr>
        <w:t>Slovakia</w:t>
      </w:r>
      <w:r w:rsidRPr="00087C75">
        <w:rPr>
          <w:rFonts w:ascii="Arial" w:hAnsi="Arial" w:cs="Arial"/>
          <w:color w:val="000000" w:themeColor="text1"/>
          <w:sz w:val="30"/>
          <w:szCs w:val="30"/>
          <w:lang w:val="en-US"/>
        </w:rPr>
        <w:t xml:space="preserve"> prior to the Session</w:t>
      </w:r>
      <w:r w:rsidR="00F64FD7" w:rsidRPr="00087C75">
        <w:rPr>
          <w:rFonts w:ascii="Arial" w:hAnsi="Arial" w:cs="Arial"/>
          <w:color w:val="000000" w:themeColor="text1"/>
          <w:sz w:val="30"/>
          <w:szCs w:val="30"/>
          <w:lang w:val="en-US"/>
        </w:rPr>
        <w:t xml:space="preserve"> </w:t>
      </w:r>
    </w:p>
    <w:p w14:paraId="152E66BB" w14:textId="74358ACF" w:rsidR="00893DFC" w:rsidRPr="00B8404F" w:rsidRDefault="00F64FD7" w:rsidP="00893DFC">
      <w:pPr>
        <w:jc w:val="center"/>
        <w:rPr>
          <w:rFonts w:ascii="Arial" w:hAnsi="Arial" w:cs="Arial"/>
          <w:color w:val="000000" w:themeColor="text1"/>
          <w:sz w:val="32"/>
          <w:szCs w:val="32"/>
          <w:lang w:val="en-US"/>
        </w:rPr>
      </w:pPr>
      <w:r w:rsidRPr="00B8404F">
        <w:rPr>
          <w:rFonts w:ascii="Arial" w:hAnsi="Arial" w:cs="Arial"/>
          <w:color w:val="000000" w:themeColor="text1"/>
          <w:sz w:val="32"/>
          <w:szCs w:val="32"/>
          <w:lang w:val="en-US"/>
        </w:rPr>
        <w:t>August</w:t>
      </w:r>
      <w:r w:rsidR="00893DFC" w:rsidRPr="00B8404F">
        <w:rPr>
          <w:rFonts w:ascii="Arial" w:hAnsi="Arial" w:cs="Arial"/>
          <w:color w:val="000000" w:themeColor="text1"/>
          <w:sz w:val="32"/>
          <w:szCs w:val="32"/>
          <w:lang w:val="en-US"/>
        </w:rPr>
        <w:t xml:space="preserve"> 202</w:t>
      </w:r>
      <w:r w:rsidRPr="00B8404F">
        <w:rPr>
          <w:rFonts w:ascii="Arial" w:hAnsi="Arial" w:cs="Arial"/>
          <w:color w:val="000000" w:themeColor="text1"/>
          <w:sz w:val="32"/>
          <w:szCs w:val="32"/>
          <w:lang w:val="en-US"/>
        </w:rPr>
        <w:t>6</w:t>
      </w:r>
    </w:p>
    <w:p w14:paraId="3027D619" w14:textId="77777777" w:rsidR="00664A7D" w:rsidRPr="00893DFC" w:rsidRDefault="00664A7D">
      <w:pPr>
        <w:rPr>
          <w:rFonts w:ascii="Times New Roman" w:eastAsia="Times New Roman" w:hAnsi="Times New Roman" w:cs="Times New Roman"/>
          <w:b/>
          <w:bCs/>
          <w:sz w:val="24"/>
          <w:szCs w:val="24"/>
          <w:lang w:val="en-US" w:eastAsia="fr-FR"/>
        </w:rPr>
      </w:pPr>
    </w:p>
    <w:p w14:paraId="034D3F79" w14:textId="77777777" w:rsidR="00664A7D" w:rsidRDefault="00664A7D">
      <w:pPr>
        <w:rPr>
          <w:rFonts w:ascii="Times New Roman" w:eastAsia="Times New Roman" w:hAnsi="Times New Roman" w:cs="Times New Roman"/>
          <w:b/>
          <w:bCs/>
          <w:sz w:val="24"/>
          <w:szCs w:val="24"/>
          <w:lang w:val="en-GB" w:eastAsia="fr-FR"/>
        </w:rPr>
      </w:pPr>
    </w:p>
    <w:p w14:paraId="4588B5E3" w14:textId="77777777" w:rsidR="00664A7D" w:rsidRDefault="00664A7D">
      <w:pPr>
        <w:rPr>
          <w:rFonts w:ascii="Times New Roman" w:eastAsia="Times New Roman" w:hAnsi="Times New Roman" w:cs="Times New Roman"/>
          <w:b/>
          <w:bCs/>
          <w:sz w:val="24"/>
          <w:szCs w:val="24"/>
          <w:lang w:val="en-GB" w:eastAsia="fr-FR"/>
        </w:rPr>
      </w:pPr>
    </w:p>
    <w:p w14:paraId="28B69066" w14:textId="77777777" w:rsidR="00664A7D" w:rsidRDefault="00664A7D">
      <w:pPr>
        <w:rPr>
          <w:rFonts w:ascii="Times New Roman" w:eastAsia="Times New Roman" w:hAnsi="Times New Roman" w:cs="Times New Roman"/>
          <w:b/>
          <w:bCs/>
          <w:sz w:val="24"/>
          <w:szCs w:val="24"/>
          <w:lang w:val="en-GB" w:eastAsia="fr-FR"/>
        </w:rPr>
      </w:pPr>
    </w:p>
    <w:p w14:paraId="7ECE55BE" w14:textId="77777777" w:rsidR="00664A7D" w:rsidRPr="00664A7D" w:rsidRDefault="00664A7D" w:rsidP="00664A7D">
      <w:pPr>
        <w:spacing w:after="0" w:line="240" w:lineRule="auto"/>
        <w:rPr>
          <w:rFonts w:ascii="Times New Roman" w:eastAsia="Times New Roman" w:hAnsi="Times New Roman" w:cs="Times New Roman"/>
          <w:sz w:val="24"/>
          <w:szCs w:val="24"/>
          <w:lang w:val="en-GB" w:eastAsia="fr-FR"/>
        </w:rPr>
      </w:pPr>
    </w:p>
    <w:p w14:paraId="05C46312" w14:textId="77777777" w:rsidR="00664A7D" w:rsidRPr="00664A7D" w:rsidRDefault="00664A7D" w:rsidP="00664A7D">
      <w:pPr>
        <w:spacing w:after="0" w:line="240" w:lineRule="auto"/>
        <w:rPr>
          <w:rFonts w:ascii="Times New Roman" w:eastAsia="Times New Roman" w:hAnsi="Times New Roman" w:cs="Times New Roman"/>
          <w:sz w:val="24"/>
          <w:szCs w:val="24"/>
          <w:lang w:val="en-GB" w:eastAsia="fr-FR"/>
        </w:rPr>
      </w:pPr>
    </w:p>
    <w:p w14:paraId="5A196601" w14:textId="77777777" w:rsidR="00664A7D" w:rsidRPr="00664A7D" w:rsidRDefault="00664A7D" w:rsidP="00664A7D">
      <w:pPr>
        <w:spacing w:after="0" w:line="240" w:lineRule="auto"/>
        <w:rPr>
          <w:rFonts w:ascii="Times New Roman" w:eastAsia="Times New Roman" w:hAnsi="Times New Roman" w:cs="Times New Roman"/>
          <w:sz w:val="24"/>
          <w:szCs w:val="24"/>
          <w:lang w:val="en-GB" w:eastAsia="fr-FR"/>
        </w:rPr>
      </w:pPr>
    </w:p>
    <w:p w14:paraId="1B6B249C" w14:textId="51011132" w:rsidR="00664A7D" w:rsidRPr="00B50033" w:rsidRDefault="00F64FD7" w:rsidP="00EB0340">
      <w:pPr>
        <w:spacing w:after="0" w:line="240" w:lineRule="auto"/>
        <w:jc w:val="right"/>
        <w:rPr>
          <w:rFonts w:eastAsia="Times New Roman" w:cstheme="minorHAnsi"/>
          <w:b/>
          <w:bCs/>
          <w:lang w:val="en-GB" w:eastAsia="fr-FR"/>
        </w:rPr>
      </w:pPr>
      <w:r w:rsidRPr="00B50033">
        <w:rPr>
          <w:rFonts w:eastAsia="Times New Roman" w:cstheme="minorHAnsi"/>
          <w:b/>
          <w:bCs/>
          <w:lang w:val="en-GB" w:eastAsia="fr-FR"/>
        </w:rPr>
        <w:t>July</w:t>
      </w:r>
      <w:r w:rsidR="00EB0340" w:rsidRPr="00B50033">
        <w:rPr>
          <w:rFonts w:eastAsia="Times New Roman" w:cstheme="minorHAnsi"/>
          <w:b/>
          <w:bCs/>
          <w:lang w:val="en-GB" w:eastAsia="fr-FR"/>
        </w:rPr>
        <w:t xml:space="preserve"> 202</w:t>
      </w:r>
      <w:r w:rsidRPr="00B50033">
        <w:rPr>
          <w:rFonts w:eastAsia="Times New Roman" w:cstheme="minorHAnsi"/>
          <w:b/>
          <w:bCs/>
          <w:lang w:val="en-GB" w:eastAsia="fr-FR"/>
        </w:rPr>
        <w:t>6</w:t>
      </w:r>
    </w:p>
    <w:p w14:paraId="78682BE4" w14:textId="77777777" w:rsidR="00664A7D" w:rsidRPr="00735C68" w:rsidRDefault="00664A7D" w:rsidP="00664A7D">
      <w:pPr>
        <w:spacing w:after="0" w:line="240" w:lineRule="auto"/>
        <w:rPr>
          <w:rFonts w:eastAsia="Times New Roman" w:cstheme="minorHAnsi"/>
          <w:lang w:val="en-GB" w:eastAsia="fr-FR"/>
        </w:rPr>
      </w:pPr>
    </w:p>
    <w:p w14:paraId="4F68C502" w14:textId="3CEB42BE" w:rsidR="00664A7D" w:rsidRPr="00664A7D" w:rsidRDefault="00664A7D" w:rsidP="00664A7D">
      <w:pPr>
        <w:spacing w:after="0" w:line="240" w:lineRule="auto"/>
        <w:rPr>
          <w:rFonts w:ascii="Times New Roman" w:eastAsia="Times New Roman" w:hAnsi="Times New Roman" w:cs="Times New Roman"/>
          <w:sz w:val="24"/>
          <w:szCs w:val="24"/>
          <w:lang w:val="en-GB" w:eastAsia="fr-FR"/>
        </w:rPr>
      </w:pPr>
    </w:p>
    <w:p w14:paraId="015ACF3F" w14:textId="423DF952" w:rsidR="00664A7D" w:rsidRPr="00664A7D" w:rsidRDefault="00664A7D" w:rsidP="00664A7D">
      <w:pPr>
        <w:spacing w:after="0" w:line="240" w:lineRule="auto"/>
        <w:rPr>
          <w:rFonts w:ascii="Times New Roman" w:eastAsia="Times New Roman" w:hAnsi="Times New Roman" w:cs="Times New Roman"/>
          <w:sz w:val="24"/>
          <w:szCs w:val="24"/>
          <w:lang w:val="en-GB" w:eastAsia="fr-FR"/>
        </w:rPr>
      </w:pPr>
    </w:p>
    <w:p w14:paraId="13CD5E7C" w14:textId="77777777" w:rsidR="00664A7D" w:rsidRPr="00664A7D" w:rsidRDefault="00664A7D" w:rsidP="00664A7D">
      <w:pPr>
        <w:spacing w:after="0" w:line="240" w:lineRule="auto"/>
        <w:rPr>
          <w:rFonts w:ascii="Times New Roman" w:eastAsia="Times New Roman" w:hAnsi="Times New Roman" w:cs="Times New Roman"/>
          <w:sz w:val="24"/>
          <w:szCs w:val="24"/>
          <w:lang w:val="en-GB" w:eastAsia="fr-FR"/>
        </w:rPr>
      </w:pPr>
    </w:p>
    <w:p w14:paraId="48AE702C" w14:textId="74A2C702" w:rsidR="00664A7D" w:rsidRDefault="00664A7D" w:rsidP="00664A7D">
      <w:pPr>
        <w:spacing w:after="0" w:line="240" w:lineRule="auto"/>
        <w:rPr>
          <w:rFonts w:ascii="Times New Roman" w:eastAsia="Times New Roman" w:hAnsi="Times New Roman" w:cs="Times New Roman"/>
          <w:sz w:val="24"/>
          <w:szCs w:val="24"/>
          <w:lang w:val="en-GB" w:eastAsia="fr-FR"/>
        </w:rPr>
      </w:pPr>
    </w:p>
    <w:p w14:paraId="23B9801B" w14:textId="77777777" w:rsidR="00735C68" w:rsidRPr="00B50033" w:rsidRDefault="00735C68" w:rsidP="00664A7D">
      <w:pPr>
        <w:spacing w:after="0" w:line="240" w:lineRule="auto"/>
        <w:rPr>
          <w:rFonts w:ascii="Times New Roman" w:eastAsia="Times New Roman" w:hAnsi="Times New Roman" w:cs="Times New Roman"/>
          <w:b/>
          <w:bCs/>
          <w:color w:val="C00000"/>
          <w:sz w:val="24"/>
          <w:szCs w:val="24"/>
          <w:lang w:val="en-GB" w:eastAsia="fr-FR"/>
        </w:rPr>
      </w:pPr>
    </w:p>
    <w:p w14:paraId="592BA3DB" w14:textId="77777777" w:rsidR="00B50033" w:rsidRDefault="00B50033" w:rsidP="00B50033">
      <w:pPr>
        <w:spacing w:after="0"/>
        <w:jc w:val="center"/>
        <w:rPr>
          <w:b/>
          <w:bCs/>
          <w:color w:val="C00000"/>
          <w:lang w:val="en-US"/>
        </w:rPr>
      </w:pPr>
    </w:p>
    <w:p w14:paraId="199B15A2" w14:textId="77777777" w:rsidR="00B50033" w:rsidRDefault="00B50033" w:rsidP="00B50033">
      <w:pPr>
        <w:spacing w:after="0"/>
        <w:jc w:val="center"/>
        <w:rPr>
          <w:b/>
          <w:bCs/>
          <w:color w:val="C00000"/>
          <w:lang w:val="en-US"/>
        </w:rPr>
      </w:pPr>
    </w:p>
    <w:p w14:paraId="3D2D060B" w14:textId="77777777" w:rsidR="00B50033" w:rsidRDefault="00B50033" w:rsidP="00B50033">
      <w:pPr>
        <w:spacing w:after="0"/>
        <w:jc w:val="center"/>
        <w:rPr>
          <w:b/>
          <w:bCs/>
          <w:color w:val="C00000"/>
          <w:lang w:val="en-US"/>
        </w:rPr>
      </w:pPr>
    </w:p>
    <w:p w14:paraId="5709F14A" w14:textId="77777777" w:rsidR="00B50033" w:rsidRDefault="00B50033" w:rsidP="00B50033">
      <w:pPr>
        <w:spacing w:after="0"/>
        <w:jc w:val="center"/>
        <w:rPr>
          <w:b/>
          <w:bCs/>
          <w:color w:val="C00000"/>
          <w:lang w:val="en-US"/>
        </w:rPr>
      </w:pPr>
    </w:p>
    <w:p w14:paraId="0185D93A" w14:textId="77777777" w:rsidR="00B50033" w:rsidRDefault="00B50033" w:rsidP="00B50033">
      <w:pPr>
        <w:spacing w:after="0"/>
        <w:jc w:val="center"/>
        <w:rPr>
          <w:b/>
          <w:bCs/>
          <w:color w:val="C00000"/>
          <w:lang w:val="en-US"/>
        </w:rPr>
      </w:pPr>
    </w:p>
    <w:p w14:paraId="062E8284" w14:textId="77777777" w:rsidR="00B50033" w:rsidRDefault="00B50033" w:rsidP="00B50033">
      <w:pPr>
        <w:spacing w:after="0"/>
        <w:jc w:val="center"/>
        <w:rPr>
          <w:b/>
          <w:bCs/>
          <w:color w:val="C00000"/>
          <w:lang w:val="en-US"/>
        </w:rPr>
      </w:pPr>
    </w:p>
    <w:p w14:paraId="48F1ED88" w14:textId="77777777" w:rsidR="00B50033" w:rsidRDefault="00B50033" w:rsidP="00B50033">
      <w:pPr>
        <w:spacing w:after="0"/>
        <w:jc w:val="center"/>
        <w:rPr>
          <w:b/>
          <w:bCs/>
          <w:color w:val="C00000"/>
          <w:lang w:val="en-US"/>
        </w:rPr>
      </w:pPr>
    </w:p>
    <w:p w14:paraId="1A5820BE" w14:textId="77777777" w:rsidR="00B50033" w:rsidRDefault="00B50033" w:rsidP="00B50033">
      <w:pPr>
        <w:spacing w:after="0"/>
        <w:jc w:val="center"/>
        <w:rPr>
          <w:b/>
          <w:bCs/>
          <w:color w:val="C00000"/>
          <w:lang w:val="en-US"/>
        </w:rPr>
      </w:pPr>
    </w:p>
    <w:p w14:paraId="03119E90" w14:textId="41ECD26B" w:rsidR="00B50033" w:rsidRPr="00B50033" w:rsidRDefault="00B50033" w:rsidP="00B50033">
      <w:pPr>
        <w:spacing w:after="0"/>
        <w:jc w:val="center"/>
        <w:rPr>
          <w:rFonts w:ascii="Arial" w:hAnsi="Arial" w:cs="Arial"/>
          <w:b/>
          <w:bCs/>
          <w:color w:val="EE0000"/>
          <w:lang w:val="en-US"/>
        </w:rPr>
      </w:pPr>
      <w:proofErr w:type="spellStart"/>
      <w:r w:rsidRPr="00B50033">
        <w:rPr>
          <w:rFonts w:ascii="Arial" w:hAnsi="Arial" w:cs="Arial"/>
          <w:b/>
          <w:bCs/>
          <w:color w:val="EE0000"/>
          <w:lang w:val="en-US"/>
        </w:rPr>
        <w:t>Fondation</w:t>
      </w:r>
      <w:proofErr w:type="spellEnd"/>
      <w:r w:rsidRPr="00B50033">
        <w:rPr>
          <w:rFonts w:ascii="Arial" w:hAnsi="Arial" w:cs="Arial"/>
          <w:b/>
          <w:bCs/>
          <w:color w:val="EE0000"/>
          <w:lang w:val="en-US"/>
        </w:rPr>
        <w:t xml:space="preserve"> Jérôme Lejeune</w:t>
      </w:r>
    </w:p>
    <w:p w14:paraId="57E0A45C" w14:textId="5170B420" w:rsidR="00B50033" w:rsidRPr="00B50033" w:rsidRDefault="00B50033" w:rsidP="00B50033">
      <w:pPr>
        <w:spacing w:after="0"/>
        <w:jc w:val="center"/>
        <w:rPr>
          <w:rFonts w:ascii="Arial" w:hAnsi="Arial" w:cs="Arial"/>
          <w:lang w:val="en-US"/>
        </w:rPr>
      </w:pPr>
      <w:proofErr w:type="spellStart"/>
      <w:r w:rsidRPr="00B50033">
        <w:rPr>
          <w:rFonts w:ascii="Arial" w:hAnsi="Arial" w:cs="Arial"/>
          <w:lang w:val="en-US"/>
        </w:rPr>
        <w:t>Recognised</w:t>
      </w:r>
      <w:proofErr w:type="spellEnd"/>
      <w:r w:rsidRPr="00B50033">
        <w:rPr>
          <w:rFonts w:ascii="Arial" w:hAnsi="Arial" w:cs="Arial"/>
          <w:lang w:val="en-US"/>
        </w:rPr>
        <w:t xml:space="preserve"> of Public Benefit in France</w:t>
      </w:r>
    </w:p>
    <w:p w14:paraId="600E48A5" w14:textId="77777777" w:rsidR="00B50033" w:rsidRPr="00B50033" w:rsidRDefault="00B50033" w:rsidP="00B50033">
      <w:pPr>
        <w:spacing w:after="0"/>
        <w:jc w:val="center"/>
        <w:rPr>
          <w:rFonts w:ascii="Arial" w:hAnsi="Arial" w:cs="Arial"/>
          <w:lang w:val="en-US"/>
        </w:rPr>
      </w:pPr>
      <w:r w:rsidRPr="00B50033">
        <w:rPr>
          <w:rFonts w:ascii="Arial" w:hAnsi="Arial" w:cs="Arial"/>
          <w:lang w:val="en-US"/>
        </w:rPr>
        <w:t>With Special Consultative Status (ECOSOC) to the United Nations</w:t>
      </w:r>
    </w:p>
    <w:p w14:paraId="1F05B903" w14:textId="77777777" w:rsidR="00B50033" w:rsidRPr="00B50033" w:rsidRDefault="00B50033" w:rsidP="00B50033">
      <w:pPr>
        <w:spacing w:after="0"/>
        <w:jc w:val="center"/>
        <w:rPr>
          <w:rFonts w:ascii="Arial" w:hAnsi="Arial" w:cs="Arial"/>
          <w:lang w:val="en-US"/>
        </w:rPr>
      </w:pPr>
      <w:r w:rsidRPr="00B50033">
        <w:rPr>
          <w:rFonts w:ascii="Arial" w:hAnsi="Arial" w:cs="Arial"/>
          <w:lang w:val="en-US"/>
        </w:rPr>
        <w:t>Member of the World Health Organization (WHO) Disability Health Equity Network</w:t>
      </w:r>
    </w:p>
    <w:p w14:paraId="7F0256F2" w14:textId="114E0239" w:rsidR="00B50033" w:rsidRPr="00B50033" w:rsidRDefault="00B50033" w:rsidP="00B50033">
      <w:pPr>
        <w:spacing w:after="0"/>
        <w:jc w:val="center"/>
        <w:rPr>
          <w:rFonts w:ascii="Arial" w:hAnsi="Arial" w:cs="Arial"/>
        </w:rPr>
      </w:pPr>
      <w:proofErr w:type="spellStart"/>
      <w:proofErr w:type="gramStart"/>
      <w:r w:rsidRPr="00B50033">
        <w:rPr>
          <w:rFonts w:ascii="Arial" w:hAnsi="Arial" w:cs="Arial"/>
        </w:rPr>
        <w:t>Headquarters</w:t>
      </w:r>
      <w:proofErr w:type="spellEnd"/>
      <w:r w:rsidRPr="00B50033">
        <w:rPr>
          <w:rFonts w:ascii="Arial" w:hAnsi="Arial" w:cs="Arial"/>
        </w:rPr>
        <w:t>:</w:t>
      </w:r>
      <w:proofErr w:type="gramEnd"/>
      <w:r w:rsidRPr="00B50033">
        <w:rPr>
          <w:rFonts w:ascii="Arial" w:hAnsi="Arial" w:cs="Arial"/>
        </w:rPr>
        <w:t xml:space="preserve"> 37 rue des Volontaires 75015 Paris – </w:t>
      </w:r>
      <w:proofErr w:type="gramStart"/>
      <w:r w:rsidRPr="00B50033">
        <w:rPr>
          <w:rFonts w:ascii="Arial" w:hAnsi="Arial" w:cs="Arial"/>
        </w:rPr>
        <w:t>Tel:</w:t>
      </w:r>
      <w:proofErr w:type="gramEnd"/>
      <w:r w:rsidRPr="00B50033">
        <w:rPr>
          <w:rFonts w:ascii="Arial" w:hAnsi="Arial" w:cs="Arial"/>
        </w:rPr>
        <w:t xml:space="preserve"> +33 (0)1 44 49 74 53</w:t>
      </w:r>
    </w:p>
    <w:p w14:paraId="404CABC2" w14:textId="71838383" w:rsidR="00B8404F" w:rsidRPr="00B50033" w:rsidRDefault="00B50033" w:rsidP="00B50033">
      <w:pPr>
        <w:spacing w:after="0"/>
        <w:jc w:val="center"/>
        <w:rPr>
          <w:rFonts w:ascii="Arial" w:hAnsi="Arial" w:cs="Arial"/>
          <w:lang w:val="en-US"/>
        </w:rPr>
      </w:pPr>
      <w:r w:rsidRPr="00B50033">
        <w:rPr>
          <w:rFonts w:ascii="Arial" w:hAnsi="Arial" w:cs="Arial"/>
          <w:lang w:val="en-US"/>
        </w:rPr>
        <w:t>Contact: mgouaida@fondationlejeune.org</w:t>
      </w:r>
    </w:p>
    <w:p w14:paraId="1BC363A6" w14:textId="77777777" w:rsidR="00B8404F" w:rsidRDefault="00B8404F" w:rsidP="00B8404F">
      <w:pPr>
        <w:jc w:val="both"/>
        <w:rPr>
          <w:rFonts w:ascii="Arial" w:eastAsia="Times New Roman" w:hAnsi="Arial" w:cs="Arial"/>
          <w:b/>
          <w:color w:val="FF0000"/>
          <w:lang w:val="en-GB" w:eastAsia="fr-FR"/>
        </w:rPr>
      </w:pPr>
    </w:p>
    <w:p w14:paraId="3E2297CA" w14:textId="1AA08963" w:rsidR="00664A7D" w:rsidRPr="00B8404F" w:rsidRDefault="00664A7D" w:rsidP="00B8404F">
      <w:pPr>
        <w:jc w:val="both"/>
        <w:rPr>
          <w:rFonts w:ascii="Arial" w:hAnsi="Arial" w:cs="Arial"/>
          <w:color w:val="FF0000"/>
          <w:lang w:val="en-US"/>
        </w:rPr>
      </w:pPr>
      <w:r w:rsidRPr="00B8404F">
        <w:rPr>
          <w:rFonts w:ascii="Arial" w:eastAsia="Times New Roman" w:hAnsi="Arial" w:cs="Arial"/>
          <w:b/>
          <w:color w:val="FF0000"/>
          <w:lang w:val="en-GB" w:eastAsia="fr-FR"/>
        </w:rPr>
        <w:t>Introduction</w:t>
      </w:r>
    </w:p>
    <w:p w14:paraId="502606F5" w14:textId="77777777" w:rsidR="00D5777A" w:rsidRPr="00B8404F" w:rsidRDefault="00D5777A" w:rsidP="00B8404F">
      <w:pPr>
        <w:jc w:val="both"/>
        <w:rPr>
          <w:rFonts w:ascii="Arial" w:hAnsi="Arial" w:cs="Arial"/>
          <w:lang w:val="en-US"/>
        </w:rPr>
      </w:pPr>
      <w:r w:rsidRPr="00B8404F">
        <w:rPr>
          <w:rFonts w:ascii="Arial" w:hAnsi="Arial" w:cs="Arial"/>
          <w:lang w:val="en-US"/>
        </w:rPr>
        <w:t xml:space="preserve">The Jérôme Lejeune Foundation is an international foundation with headquarters in Paris, France Created in 1995, after the death of Professor Jérôme Lejeune, the doctor who co-discovered the chromosomal origin of Down syndrome, it has been </w:t>
      </w:r>
      <w:proofErr w:type="spellStart"/>
      <w:r w:rsidRPr="00B8404F">
        <w:rPr>
          <w:rFonts w:ascii="Arial" w:hAnsi="Arial" w:cs="Arial"/>
          <w:lang w:val="en-US"/>
        </w:rPr>
        <w:t>recognised</w:t>
      </w:r>
      <w:proofErr w:type="spellEnd"/>
      <w:r w:rsidRPr="00B8404F">
        <w:rPr>
          <w:rFonts w:ascii="Arial" w:hAnsi="Arial" w:cs="Arial"/>
          <w:lang w:val="en-US"/>
        </w:rPr>
        <w:t xml:space="preserve"> as </w:t>
      </w:r>
      <w:r w:rsidRPr="00B8404F">
        <w:rPr>
          <w:rFonts w:ascii="Arial" w:hAnsi="Arial" w:cs="Arial"/>
          <w:b/>
          <w:lang w:val="en-US"/>
        </w:rPr>
        <w:t xml:space="preserve">an </w:t>
      </w:r>
      <w:proofErr w:type="spellStart"/>
      <w:r w:rsidRPr="00B8404F">
        <w:rPr>
          <w:rFonts w:ascii="Arial" w:hAnsi="Arial" w:cs="Arial"/>
          <w:b/>
          <w:lang w:val="en-US"/>
        </w:rPr>
        <w:t>organisation</w:t>
      </w:r>
      <w:proofErr w:type="spellEnd"/>
      <w:r w:rsidRPr="00B8404F">
        <w:rPr>
          <w:rFonts w:ascii="Arial" w:hAnsi="Arial" w:cs="Arial"/>
          <w:b/>
          <w:lang w:val="en-US"/>
        </w:rPr>
        <w:t xml:space="preserve"> of public benefit</w:t>
      </w:r>
      <w:r w:rsidRPr="00B8404F">
        <w:rPr>
          <w:rFonts w:ascii="Arial" w:hAnsi="Arial" w:cs="Arial"/>
          <w:vertAlign w:val="superscript"/>
        </w:rPr>
        <w:footnoteReference w:id="1"/>
      </w:r>
      <w:r w:rsidRPr="00B8404F">
        <w:rPr>
          <w:rFonts w:ascii="Arial" w:hAnsi="Arial" w:cs="Arial"/>
          <w:b/>
          <w:lang w:val="en-US"/>
        </w:rPr>
        <w:t xml:space="preserve"> </w:t>
      </w:r>
      <w:r w:rsidRPr="00B8404F">
        <w:rPr>
          <w:rFonts w:ascii="Arial" w:hAnsi="Arial" w:cs="Arial"/>
          <w:lang w:val="en-US"/>
        </w:rPr>
        <w:t xml:space="preserve">since 1996. The Lejeune Foundation has delegations Spain, Argentina, and in the United States of America. Being at the service of the </w:t>
      </w:r>
      <w:r w:rsidRPr="00B8404F">
        <w:rPr>
          <w:rFonts w:ascii="Arial" w:hAnsi="Arial" w:cs="Arial"/>
          <w:b/>
          <w:lang w:val="en-US"/>
        </w:rPr>
        <w:t>right to health</w:t>
      </w:r>
      <w:r w:rsidRPr="00B8404F">
        <w:rPr>
          <w:rFonts w:ascii="Arial" w:hAnsi="Arial" w:cs="Arial"/>
          <w:lang w:val="en-US"/>
        </w:rPr>
        <w:t xml:space="preserve"> of </w:t>
      </w:r>
      <w:r w:rsidRPr="00B8404F">
        <w:rPr>
          <w:rFonts w:ascii="Arial" w:hAnsi="Arial" w:cs="Arial"/>
          <w:b/>
          <w:lang w:val="en-US"/>
        </w:rPr>
        <w:t>persons with intellectual disabilities of genetic origin</w:t>
      </w:r>
      <w:r w:rsidRPr="00B8404F">
        <w:rPr>
          <w:rFonts w:ascii="Arial" w:hAnsi="Arial" w:cs="Arial"/>
          <w:lang w:val="en-US"/>
        </w:rPr>
        <w:t xml:space="preserve">: Fragile X, Rett and Angelman syndromes, etc. The most common and best known is Down syndrome (also called trisomy 21). The Jérôme Lejeune Foundation has three missions: </w:t>
      </w:r>
    </w:p>
    <w:p w14:paraId="5DE5D864" w14:textId="77777777" w:rsidR="00D5777A" w:rsidRPr="00B8404F" w:rsidRDefault="00D5777A" w:rsidP="00B8404F">
      <w:pPr>
        <w:ind w:firstLine="720"/>
        <w:jc w:val="both"/>
        <w:rPr>
          <w:rFonts w:ascii="Arial" w:hAnsi="Arial" w:cs="Arial"/>
          <w:lang w:val="en-US"/>
        </w:rPr>
      </w:pPr>
      <w:r w:rsidRPr="00B8404F">
        <w:rPr>
          <w:rFonts w:ascii="Arial" w:hAnsi="Arial" w:cs="Arial"/>
          <w:lang w:val="en-US"/>
        </w:rPr>
        <w:t xml:space="preserve">- medical research aimed at facilitating daily life and autonomy of persons with disabilities. </w:t>
      </w:r>
    </w:p>
    <w:p w14:paraId="55AB6A0A" w14:textId="77777777" w:rsidR="00D5777A" w:rsidRPr="00B8404F" w:rsidRDefault="00D5777A" w:rsidP="00B8404F">
      <w:pPr>
        <w:ind w:firstLine="720"/>
        <w:jc w:val="both"/>
        <w:rPr>
          <w:rFonts w:ascii="Arial" w:hAnsi="Arial" w:cs="Arial"/>
          <w:lang w:val="en-US"/>
        </w:rPr>
      </w:pPr>
      <w:r w:rsidRPr="00B8404F">
        <w:rPr>
          <w:rFonts w:ascii="Arial" w:hAnsi="Arial" w:cs="Arial"/>
          <w:lang w:val="en-US"/>
        </w:rPr>
        <w:t>- make the right to health a reality by offering medical consultations with qualified doctors.</w:t>
      </w:r>
    </w:p>
    <w:p w14:paraId="2C0FE92F" w14:textId="77777777" w:rsidR="00D5777A" w:rsidRPr="00B8404F" w:rsidRDefault="00D5777A" w:rsidP="00B8404F">
      <w:pPr>
        <w:ind w:firstLine="720"/>
        <w:jc w:val="both"/>
        <w:rPr>
          <w:rFonts w:ascii="Arial" w:hAnsi="Arial" w:cs="Arial"/>
          <w:lang w:val="en-US"/>
        </w:rPr>
      </w:pPr>
      <w:r w:rsidRPr="00B8404F">
        <w:rPr>
          <w:rFonts w:ascii="Arial" w:hAnsi="Arial" w:cs="Arial"/>
          <w:lang w:val="en-US"/>
        </w:rPr>
        <w:t>- protect the dignity of persons with disabilities.</w:t>
      </w:r>
    </w:p>
    <w:p w14:paraId="79718AF6" w14:textId="1BA4ECC5" w:rsidR="00D5777A" w:rsidRPr="00B8404F" w:rsidRDefault="00B96FB4" w:rsidP="00B8404F">
      <w:pPr>
        <w:jc w:val="both"/>
        <w:rPr>
          <w:rFonts w:ascii="Arial" w:hAnsi="Arial" w:cs="Arial"/>
          <w:lang w:val="en-US"/>
        </w:rPr>
      </w:pPr>
      <w:r w:rsidRPr="00B8404F">
        <w:rPr>
          <w:rFonts w:ascii="Arial" w:hAnsi="Arial" w:cs="Arial"/>
          <w:lang w:val="en-US"/>
        </w:rPr>
        <w:t xml:space="preserve">The Jerome Lejeune </w:t>
      </w:r>
      <w:r w:rsidR="00935061" w:rsidRPr="00B8404F">
        <w:rPr>
          <w:rFonts w:ascii="Arial" w:hAnsi="Arial" w:cs="Arial"/>
          <w:lang w:val="en-US"/>
        </w:rPr>
        <w:t>F</w:t>
      </w:r>
      <w:r w:rsidRPr="00B8404F">
        <w:rPr>
          <w:rFonts w:ascii="Arial" w:hAnsi="Arial" w:cs="Arial"/>
          <w:lang w:val="en-US"/>
        </w:rPr>
        <w:t xml:space="preserve">oundation is a global expert and leader advocate for the rights of persons with genetic intellectual disabilities. </w:t>
      </w:r>
    </w:p>
    <w:p w14:paraId="0056812C" w14:textId="6CA1E507" w:rsidR="00F64FD7" w:rsidRPr="00B8404F" w:rsidRDefault="00F64FD7" w:rsidP="00B8404F">
      <w:pPr>
        <w:spacing w:after="140" w:line="276" w:lineRule="auto"/>
        <w:jc w:val="both"/>
        <w:rPr>
          <w:rFonts w:ascii="Arial" w:hAnsi="Arial" w:cs="Arial"/>
          <w:lang w:val="en-GB"/>
        </w:rPr>
      </w:pPr>
      <w:r w:rsidRPr="00B8404F">
        <w:rPr>
          <w:rFonts w:ascii="Arial" w:hAnsi="Arial" w:cs="Arial"/>
          <w:lang w:val="en-GB"/>
        </w:rPr>
        <w:t xml:space="preserve">The </w:t>
      </w:r>
      <w:r w:rsidR="00C363C2" w:rsidRPr="00B8404F">
        <w:rPr>
          <w:rFonts w:ascii="Arial" w:hAnsi="Arial" w:cs="Arial"/>
          <w:lang w:val="en-GB"/>
        </w:rPr>
        <w:t xml:space="preserve">foundation </w:t>
      </w:r>
      <w:r w:rsidRPr="00B8404F">
        <w:rPr>
          <w:rFonts w:ascii="Arial" w:hAnsi="Arial" w:cs="Arial"/>
          <w:lang w:val="en-GB"/>
        </w:rPr>
        <w:t xml:space="preserve">welcomes the examination of </w:t>
      </w:r>
      <w:r w:rsidR="00C363C2" w:rsidRPr="00B8404F">
        <w:rPr>
          <w:rFonts w:ascii="Arial" w:hAnsi="Arial" w:cs="Arial"/>
          <w:lang w:val="en-GB"/>
        </w:rPr>
        <w:t>Slovakia</w:t>
      </w:r>
      <w:r w:rsidRPr="00B8404F">
        <w:rPr>
          <w:rFonts w:ascii="Arial" w:hAnsi="Arial" w:cs="Arial"/>
          <w:lang w:val="en-GB"/>
        </w:rPr>
        <w:t xml:space="preserve"> by the Committee on the Rights of Persons with Disabilities at its 35th session and respectfully submits the following observations to inform the Committee's dialogue with the State party. Slovakia's initial report was examined in 2016 (concluding observations CRPD/C/SVK/CO/1), and a list of issues prior to reporting for the combined second and third periodic reports was adopted in 2019 (CRPD/C/SVK/QPR/2-3). This contribution focuses on persistent and emerging concerns regarding the rights of women and girls with disabilities (article 6), health (article 25) and education (article 24), and draws the Committee's attention to a fourth, cross-cutting area of non-compliance concerning legal capacity and the right to physical and mental integrity (articles 12 and 17), which the Foundation considers central to Slovakia's ability to meet its obligations under the Convention.</w:t>
      </w:r>
    </w:p>
    <w:p w14:paraId="1941E52E" w14:textId="77777777" w:rsidR="00664A7D" w:rsidRPr="00B8404F" w:rsidRDefault="00664A7D" w:rsidP="00B8404F">
      <w:pPr>
        <w:spacing w:before="100" w:beforeAutospacing="1" w:after="100" w:afterAutospacing="1" w:line="240" w:lineRule="auto"/>
        <w:jc w:val="both"/>
        <w:rPr>
          <w:rFonts w:ascii="Arial" w:eastAsia="Times New Roman" w:hAnsi="Arial" w:cs="Arial"/>
          <w:lang w:val="en-GB" w:eastAsia="fr-FR"/>
        </w:rPr>
      </w:pPr>
      <w:r w:rsidRPr="00B8404F">
        <w:rPr>
          <w:rFonts w:ascii="Arial" w:eastAsia="Times New Roman" w:hAnsi="Arial" w:cs="Arial"/>
          <w:b/>
          <w:bCs/>
          <w:color w:val="FF0000"/>
          <w:lang w:val="en-GB" w:eastAsia="fr-FR"/>
        </w:rPr>
        <w:t>Article 6: Women with Disabilities</w:t>
      </w:r>
    </w:p>
    <w:p w14:paraId="35D6AEE0" w14:textId="77777777" w:rsidR="00C363C2" w:rsidRPr="00B8404F" w:rsidRDefault="00C363C2" w:rsidP="00B8404F">
      <w:pPr>
        <w:spacing w:after="140" w:line="276" w:lineRule="auto"/>
        <w:jc w:val="both"/>
        <w:rPr>
          <w:rFonts w:ascii="Arial" w:hAnsi="Arial" w:cs="Arial"/>
          <w:lang w:val="en-GB"/>
        </w:rPr>
      </w:pPr>
      <w:r w:rsidRPr="00B8404F">
        <w:rPr>
          <w:rFonts w:ascii="Arial" w:hAnsi="Arial" w:cs="Arial"/>
          <w:lang w:val="en-GB"/>
        </w:rPr>
        <w:t xml:space="preserve">Available evidence indicates that women with disabilities in Slovakia, as across the European Union, face a significantly higher risk of violence than both women without disabilities and men with disabilities. The EU Agency for Fundamental Rights' EU-wide survey on violence against women found that 34% of women with disabilities had experienced physical or sexual violence since the age of 15, compared with 19% of women without disabilities, and that 46% of women with disabilities had already experienced such violence before turning 15, against 20% of women without disabilities. The same survey found that 61% of women with disabilities reported sexual harassment since age 15. A 2021 EU-23 survey cited by the OECD found that 51% of women with a severe disability had experienced intimate-partner violence in their lifetime, compared with 33% of women without disability, and the European Parliament estimates women with disabilities are two to five times more likely to experience violence than </w:t>
      </w:r>
      <w:r w:rsidRPr="00B8404F">
        <w:rPr>
          <w:rFonts w:ascii="Arial" w:hAnsi="Arial" w:cs="Arial"/>
          <w:lang w:val="en-GB"/>
        </w:rPr>
        <w:lastRenderedPageBreak/>
        <w:t>other women. The Council of the European Union similarly reports that 17% of people with disabilities are victims of violence, against 8% of people without disabilities.</w:t>
      </w:r>
    </w:p>
    <w:p w14:paraId="07FF94DB" w14:textId="662F63C9" w:rsidR="00C363C2" w:rsidRPr="00B8404F" w:rsidRDefault="00C363C2" w:rsidP="00B8404F">
      <w:pPr>
        <w:spacing w:after="140" w:line="276" w:lineRule="auto"/>
        <w:jc w:val="both"/>
        <w:rPr>
          <w:rFonts w:ascii="Arial" w:hAnsi="Arial" w:cs="Arial"/>
          <w:lang w:val="en-GB"/>
        </w:rPr>
      </w:pPr>
      <w:r w:rsidRPr="00B8404F">
        <w:rPr>
          <w:rFonts w:ascii="Arial" w:hAnsi="Arial" w:cs="Arial"/>
          <w:lang w:val="en-GB"/>
        </w:rPr>
        <w:t xml:space="preserve">Slovakia does not appear to collect or publish disability-disaggregated national data on sex-based violence, which prevents the Committee, civil society and the State itself from assessing the real scale of the problem domestically. A recent and directly relevant precedent is the European Court of Human Rights' judgment in J.S. v. Slovakia (application no. 35767/23, 22 January 2026), which found a violation of Article 3 of the European Convention on Human Rights because Slovak courts had failed to assess years of domestic violence and had allowed excessive delays in the criminal proceedings. The Court noted Slovakia's non-ratification of the Istanbul Convention as a relevant contextual factor. While J.S. v. Slovakia did not concern a woman with a disability, it demonstrates a documented, current, structural weakness in how Slovak authorities investigate and adjudicate violence against women — a weakness that disproportionately harms women with disabilities, who face additional barriers to reporting, being believed, and being assessed as credible witnesses, particularly women with intellectual or psychosocial disabilities. </w:t>
      </w:r>
    </w:p>
    <w:p w14:paraId="72FE41FD" w14:textId="77777777" w:rsidR="00C363C2" w:rsidRPr="00B8404F" w:rsidRDefault="00C363C2" w:rsidP="00B8404F">
      <w:pPr>
        <w:spacing w:after="140" w:line="276" w:lineRule="auto"/>
        <w:jc w:val="both"/>
        <w:rPr>
          <w:rFonts w:ascii="Arial" w:hAnsi="Arial" w:cs="Arial"/>
          <w:lang w:val="en-GB"/>
        </w:rPr>
      </w:pPr>
      <w:r w:rsidRPr="00B8404F">
        <w:rPr>
          <w:rFonts w:ascii="Arial" w:hAnsi="Arial" w:cs="Arial"/>
          <w:lang w:val="en-GB"/>
        </w:rPr>
        <w:t>Slovakia also carries a documented history of forced and coercive sterilisation of women, disproportionately affecting Romani women, many with disabilities or perceived disabilities. The European Court of Human Rights found violations in V.C. v. Slovakia (2011) and I.G. and Others v. Slovakia (2012), and the UN Committee against Torture raised the same practice in 2009 (CAT/C/SVK/CO/2). The government apologised in 2021, but redress remains slow: a bill providing €12,000 per victim was only formulated in November 2025 and was still under parliamentary discussion as of the UN Human Rights Committee's dialogue with Slovakia in March 2026. No comparable scheme has been reported for women with disabilities outside the Romani community who experienced non-consensual sterilisation in institutional settings.</w:t>
      </w:r>
    </w:p>
    <w:p w14:paraId="1F367C1A" w14:textId="77777777" w:rsidR="00C363C2" w:rsidRPr="00B8404F" w:rsidRDefault="00C363C2" w:rsidP="00B8404F">
      <w:pPr>
        <w:pStyle w:val="ListParagraph"/>
        <w:numPr>
          <w:ilvl w:val="0"/>
          <w:numId w:val="32"/>
        </w:numPr>
        <w:spacing w:after="80" w:line="276" w:lineRule="auto"/>
        <w:contextualSpacing w:val="0"/>
        <w:jc w:val="both"/>
        <w:rPr>
          <w:rFonts w:ascii="Arial" w:hAnsi="Arial" w:cs="Arial"/>
          <w:lang w:val="en-GB"/>
        </w:rPr>
      </w:pPr>
      <w:r w:rsidRPr="00B8404F">
        <w:rPr>
          <w:rFonts w:ascii="Arial" w:hAnsi="Arial" w:cs="Arial"/>
          <w:lang w:val="en-GB"/>
        </w:rPr>
        <w:t>Slovakia remains one of a small group of EU member States that has not ratified the Istanbul Convention, which explicitly names forced sterilisation as violence against women and requires disaggregated data collection on violence against women with disabilities.</w:t>
      </w:r>
    </w:p>
    <w:p w14:paraId="0843A839" w14:textId="77777777" w:rsidR="00C363C2" w:rsidRPr="00B8404F" w:rsidRDefault="00C363C2" w:rsidP="00B8404F">
      <w:pPr>
        <w:pStyle w:val="ListParagraph"/>
        <w:numPr>
          <w:ilvl w:val="0"/>
          <w:numId w:val="32"/>
        </w:numPr>
        <w:spacing w:after="80" w:line="276" w:lineRule="auto"/>
        <w:contextualSpacing w:val="0"/>
        <w:jc w:val="both"/>
        <w:rPr>
          <w:rFonts w:ascii="Arial" w:hAnsi="Arial" w:cs="Arial"/>
          <w:lang w:val="en-GB"/>
        </w:rPr>
      </w:pPr>
      <w:r w:rsidRPr="00B8404F">
        <w:rPr>
          <w:rFonts w:ascii="Arial" w:hAnsi="Arial" w:cs="Arial"/>
          <w:lang w:val="en-GB"/>
        </w:rPr>
        <w:t>Slovakia has not adopted disability-specific protocols for identifying, referring and supporting women with disabilities who are victims of violence, particularly within closed institutional settings, addressed further below.</w:t>
      </w:r>
    </w:p>
    <w:p w14:paraId="6E8C7131" w14:textId="77777777" w:rsidR="00C363C2" w:rsidRPr="00B8404F" w:rsidRDefault="00C363C2" w:rsidP="00B8404F">
      <w:pPr>
        <w:spacing w:after="80" w:line="276" w:lineRule="auto"/>
        <w:jc w:val="both"/>
        <w:rPr>
          <w:rFonts w:ascii="Arial" w:hAnsi="Arial" w:cs="Arial"/>
          <w:lang w:val="en-GB"/>
        </w:rPr>
      </w:pPr>
    </w:p>
    <w:p w14:paraId="2793E364" w14:textId="658B1EA6" w:rsidR="00C363C2" w:rsidRPr="00B8404F" w:rsidRDefault="00C363C2" w:rsidP="00B8404F">
      <w:pPr>
        <w:spacing w:after="140" w:line="276" w:lineRule="auto"/>
        <w:jc w:val="both"/>
        <w:rPr>
          <w:rFonts w:ascii="Arial" w:hAnsi="Arial" w:cs="Arial"/>
          <w:lang w:val="en-GB"/>
        </w:rPr>
      </w:pPr>
      <w:r w:rsidRPr="00B8404F">
        <w:rPr>
          <w:rFonts w:ascii="Arial" w:hAnsi="Arial" w:cs="Arial"/>
          <w:lang w:val="en-GB"/>
        </w:rPr>
        <w:t>The Foundation also draws the Committee's particular attention to the situation of older women with disabilities, who make up the largest single group affected by Slovakia's continued reliance on institutional care. According to the most recent national statistics (Ministry of Labour, Social Affairs and Family, 2021 data, published by the Social Work Advisory Board, 2023/2025), 67.2% of the 46,577 people living in Slovak social care facilities are older persons, and women (28,128) outnumber men by roughly 10,000 in these facilities overall, reflecting the demographic weight of older women. Of the 52,062 available places nationally, 87% are in year-round residential settings with a strong institutional culture, and only a small fraction — 608 places — exist in genuine community-based supported housing.</w:t>
      </w:r>
    </w:p>
    <w:p w14:paraId="6F874094" w14:textId="77777777" w:rsidR="00C363C2" w:rsidRPr="00B8404F" w:rsidRDefault="00C363C2" w:rsidP="00B8404F">
      <w:pPr>
        <w:spacing w:after="140" w:line="276" w:lineRule="auto"/>
        <w:jc w:val="both"/>
        <w:rPr>
          <w:rFonts w:ascii="Arial" w:hAnsi="Arial" w:cs="Arial"/>
          <w:lang w:val="en-GB"/>
        </w:rPr>
      </w:pPr>
      <w:r w:rsidRPr="00B8404F">
        <w:rPr>
          <w:rFonts w:ascii="Arial" w:hAnsi="Arial" w:cs="Arial"/>
          <w:lang w:val="en-GB"/>
        </w:rPr>
        <w:t xml:space="preserve">An independent readiness assessment of 93 large-scale institutions, conducted using the WHO </w:t>
      </w:r>
      <w:proofErr w:type="spellStart"/>
      <w:r w:rsidRPr="00B8404F">
        <w:rPr>
          <w:rFonts w:ascii="Arial" w:hAnsi="Arial" w:cs="Arial"/>
          <w:lang w:val="en-GB"/>
        </w:rPr>
        <w:t>QualityRights</w:t>
      </w:r>
      <w:proofErr w:type="spellEnd"/>
      <w:r w:rsidRPr="00B8404F">
        <w:rPr>
          <w:rFonts w:ascii="Arial" w:hAnsi="Arial" w:cs="Arial"/>
          <w:lang w:val="en-GB"/>
        </w:rPr>
        <w:t xml:space="preserve"> Toolkit as part of Slovakia's national deinstitutionalisation project, found that only 6% of assessed facilities fully complied with protection from ill-treatment, while 51% had substantial shortcomings, and staff at 5% of facilities faced potential criminal liability for inaction. Only 7% of facilities fully guaranteed the right to the highest attainable standard of </w:t>
      </w:r>
      <w:r w:rsidRPr="00B8404F">
        <w:rPr>
          <w:rFonts w:ascii="Arial" w:hAnsi="Arial" w:cs="Arial"/>
          <w:lang w:val="en-GB"/>
        </w:rPr>
        <w:lastRenderedPageBreak/>
        <w:t xml:space="preserve">physical and mental health, with this right unmet or seriously deficient in half of all facilities assessed. Reported deficiencies included unlawful physical and non-corporeal restraints, unrecorded use of restraint linked to chronic understaffing, and a paternalistic institutional culture in which residents cannot decide whether to accept the service offered to them. This is consistent with the EU Agency for Fundamental Rights' November 2025 report, Places of Care = Places of </w:t>
      </w:r>
      <w:proofErr w:type="gramStart"/>
      <w:r w:rsidRPr="00B8404F">
        <w:rPr>
          <w:rFonts w:ascii="Arial" w:hAnsi="Arial" w:cs="Arial"/>
          <w:lang w:val="en-GB"/>
        </w:rPr>
        <w:t>Safety?,</w:t>
      </w:r>
      <w:proofErr w:type="gramEnd"/>
      <w:r w:rsidRPr="00B8404F">
        <w:rPr>
          <w:rFonts w:ascii="Arial" w:hAnsi="Arial" w:cs="Arial"/>
          <w:lang w:val="en-GB"/>
        </w:rPr>
        <w:t xml:space="preserve"> which found violence and neglect against people with disabilities in institutions to be a systemic, EU-wide problem — including verbal abuse, involuntary treatment, overmedication, arbitrary restraint, and physical and sexual violence — and specifically identified older people and people with intellectual disabilities as being at higher risk of abuse. Slovakia was one of ten EU countries where the FRA carried out in-depth qualitative research for that report.</w:t>
      </w:r>
    </w:p>
    <w:p w14:paraId="32C55205" w14:textId="77777777" w:rsidR="00C363C2" w:rsidRPr="00B8404F" w:rsidRDefault="00C363C2" w:rsidP="00B8404F">
      <w:pPr>
        <w:spacing w:after="140" w:line="276" w:lineRule="auto"/>
        <w:jc w:val="both"/>
        <w:rPr>
          <w:rFonts w:ascii="Arial" w:hAnsi="Arial" w:cs="Arial"/>
          <w:lang w:val="en-GB"/>
        </w:rPr>
      </w:pPr>
      <w:r w:rsidRPr="00B8404F">
        <w:rPr>
          <w:rFonts w:ascii="Arial" w:hAnsi="Arial" w:cs="Arial"/>
          <w:lang w:val="en-GB"/>
        </w:rPr>
        <w:t>Legal capacity data compounds this picture: 18.4% of all social-service users in Slovak care facilities are fully or partially deprived of legal capacity, rising to 50.45% among residents of social care homes for people with intellectual disabilities — the very facilities where older women with disabilities are most likely to live out their lives. In its 2016 concluding observations, the Committee was already "deeply concerned by the high number of institutionalized persons with disabilities, in particular women with disabilities" and found the pace of deinstitutionalisation "too slow and partial." Ten years on, the evidence indicates this concern remains valid: only 9% of assessed facilities provide services at the community level, and public opinion research cited in the same national assessment found that 93% of Slovaks would themselves choose community-based or home-based support if they needed it, against only 7% who would choose institutional care — underscoring that institutionalisation reflects a lack of alternatives rather than genuine preference.</w:t>
      </w:r>
    </w:p>
    <w:p w14:paraId="4888287C" w14:textId="7A814B2A" w:rsidR="00F17BB5" w:rsidRPr="00B8404F" w:rsidRDefault="00F17BB5" w:rsidP="00B8404F">
      <w:pPr>
        <w:spacing w:after="140" w:line="276" w:lineRule="auto"/>
        <w:jc w:val="both"/>
        <w:rPr>
          <w:rFonts w:ascii="Arial" w:hAnsi="Arial" w:cs="Arial"/>
          <w:lang w:val="en-GB"/>
        </w:rPr>
      </w:pPr>
      <w:r w:rsidRPr="00B8404F">
        <w:rPr>
          <w:rFonts w:ascii="Arial" w:hAnsi="Arial" w:cs="Arial"/>
          <w:lang w:val="en-GB"/>
        </w:rPr>
        <w:t xml:space="preserve">Article 12: Legal Capacity </w:t>
      </w:r>
    </w:p>
    <w:p w14:paraId="5FA49541" w14:textId="68B60C43" w:rsidR="00F17BB5" w:rsidRPr="00B8404F" w:rsidRDefault="00F17BB5" w:rsidP="00B8404F">
      <w:pPr>
        <w:spacing w:after="140" w:line="276" w:lineRule="auto"/>
        <w:jc w:val="both"/>
        <w:rPr>
          <w:rFonts w:ascii="Arial" w:hAnsi="Arial" w:cs="Arial"/>
          <w:lang w:val="en-GB"/>
        </w:rPr>
      </w:pPr>
      <w:r w:rsidRPr="00B8404F">
        <w:rPr>
          <w:rFonts w:ascii="Arial" w:hAnsi="Arial" w:cs="Arial"/>
          <w:lang w:val="en-GB"/>
        </w:rPr>
        <w:t xml:space="preserve">Slovakia has not completed the reform of its guardianship system recommended by the Committee in 2016 (CRPD/C/SVK/CO/1) and urged by the Council of Europe Commissioner for Human Rights since at least 2015. Persons with </w:t>
      </w:r>
      <w:r w:rsidRPr="00B8404F">
        <w:rPr>
          <w:rStyle w:val="Emphasis"/>
          <w:rFonts w:ascii="Arial" w:hAnsi="Arial" w:cs="Arial"/>
          <w:b/>
          <w:bCs/>
          <w:i w:val="0"/>
          <w:iCs w:val="0"/>
          <w:color w:val="767676"/>
          <w:shd w:val="clear" w:color="auto" w:fill="FFFFFF"/>
          <w:lang w:val="en-GB"/>
        </w:rPr>
        <w:t>Intellectual developmental disability (</w:t>
      </w:r>
      <w:proofErr w:type="gramStart"/>
      <w:r w:rsidRPr="00B8404F">
        <w:rPr>
          <w:rStyle w:val="Emphasis"/>
          <w:rFonts w:ascii="Arial" w:hAnsi="Arial" w:cs="Arial"/>
          <w:b/>
          <w:bCs/>
          <w:i w:val="0"/>
          <w:iCs w:val="0"/>
          <w:color w:val="767676"/>
          <w:shd w:val="clear" w:color="auto" w:fill="FFFFFF"/>
          <w:lang w:val="en-GB"/>
        </w:rPr>
        <w:t>IDD</w:t>
      </w:r>
      <w:r w:rsidRPr="00B8404F">
        <w:rPr>
          <w:rFonts w:ascii="Arial" w:hAnsi="Arial" w:cs="Arial"/>
          <w:lang w:val="en-GB"/>
        </w:rPr>
        <w:t xml:space="preserve">  can</w:t>
      </w:r>
      <w:proofErr w:type="gramEnd"/>
      <w:r w:rsidRPr="00B8404F">
        <w:rPr>
          <w:rFonts w:ascii="Arial" w:hAnsi="Arial" w:cs="Arial"/>
          <w:lang w:val="en-GB"/>
        </w:rPr>
        <w:t xml:space="preserve"> still be fully or partially deprived of legal capacity by court order. As set out above, this affects over half of residents of social care homes for people with intellectual disabilities, a population that includes a substantial number of older women. This unresolved gap is the legal precondition that has historically enabled forced sterilisation, non-consensual medical treatment, and institutional placement without free and informed consent, and it directly undermines the credibility afforded to women with disabilities as witnesses and complainants in violence cases, as illustrated by the </w:t>
      </w:r>
      <w:r w:rsidR="00B8404F" w:rsidRPr="00B8404F">
        <w:rPr>
          <w:rFonts w:ascii="Arial" w:hAnsi="Arial" w:cs="Arial"/>
          <w:lang w:val="en-GB"/>
        </w:rPr>
        <w:t>sex</w:t>
      </w:r>
      <w:r w:rsidRPr="00B8404F">
        <w:rPr>
          <w:rFonts w:ascii="Arial" w:hAnsi="Arial" w:cs="Arial"/>
          <w:lang w:val="en-GB"/>
        </w:rPr>
        <w:t>-sensitivity failures found in J.S. v. Slovakia.</w:t>
      </w:r>
    </w:p>
    <w:p w14:paraId="66FEDE0D" w14:textId="6A5684C2" w:rsidR="00F17BB5" w:rsidRPr="00B8404F" w:rsidRDefault="00F17BB5" w:rsidP="00B8404F">
      <w:pPr>
        <w:spacing w:before="100" w:beforeAutospacing="1" w:after="100" w:afterAutospacing="1" w:line="240" w:lineRule="auto"/>
        <w:jc w:val="both"/>
        <w:outlineLvl w:val="2"/>
        <w:rPr>
          <w:rFonts w:ascii="Arial" w:eastAsia="Times New Roman" w:hAnsi="Arial" w:cs="Arial"/>
          <w:b/>
          <w:bCs/>
          <w:color w:val="FF0000"/>
          <w:lang w:eastAsia="fr-FR"/>
        </w:rPr>
      </w:pPr>
      <w:r w:rsidRPr="00B8404F">
        <w:rPr>
          <w:rFonts w:ascii="Arial" w:eastAsia="Times New Roman" w:hAnsi="Arial" w:cs="Arial"/>
          <w:b/>
          <w:bCs/>
          <w:color w:val="FF0000"/>
          <w:lang w:eastAsia="fr-FR"/>
        </w:rPr>
        <w:t>Article 24: Education</w:t>
      </w:r>
    </w:p>
    <w:p w14:paraId="41348056" w14:textId="77777777" w:rsidR="00F17BB5" w:rsidRPr="00B8404F" w:rsidRDefault="00F17BB5" w:rsidP="00B8404F">
      <w:pPr>
        <w:spacing w:after="140" w:line="276" w:lineRule="auto"/>
        <w:jc w:val="both"/>
        <w:rPr>
          <w:rFonts w:ascii="Arial" w:hAnsi="Arial" w:cs="Arial"/>
          <w:lang w:val="en-GB"/>
        </w:rPr>
      </w:pPr>
      <w:r w:rsidRPr="00B8404F">
        <w:rPr>
          <w:rFonts w:ascii="Arial" w:hAnsi="Arial" w:cs="Arial"/>
          <w:lang w:val="en-GB"/>
        </w:rPr>
        <w:t>Slovakia continues to place a disproportionate share of Romani children — many formally or informally labelled as having a "mild intellectual disability" — in segregated special schools or classes. In December 2023 the European Commission referred Slovakia to the Court of Justice of the European Union for breaching the Racial Equality Directive on this basis; the practice is also directly relevant to article 24 of the Convention, since disability classification is reported to function, in practice, as one of the principal administrative vehicles through which segregation is implemented. A "two-shift" system, whereby segregated Roma classes are taught separate hours in overcrowded facilities, is expected to persist beyond 2026 despite government commitments, owing to slow progress in building integrated schools.</w:t>
      </w:r>
    </w:p>
    <w:p w14:paraId="3304260D" w14:textId="31D29220" w:rsidR="00F17BB5" w:rsidRPr="00B8404F" w:rsidRDefault="00F17BB5" w:rsidP="00B8404F">
      <w:pPr>
        <w:spacing w:after="140" w:line="276" w:lineRule="auto"/>
        <w:jc w:val="both"/>
        <w:rPr>
          <w:rFonts w:ascii="Arial" w:hAnsi="Arial" w:cs="Arial"/>
          <w:lang w:val="en-GB"/>
        </w:rPr>
      </w:pPr>
      <w:r w:rsidRPr="00B8404F">
        <w:rPr>
          <w:rFonts w:ascii="Arial" w:hAnsi="Arial" w:cs="Arial"/>
          <w:lang w:val="en-GB"/>
        </w:rPr>
        <w:lastRenderedPageBreak/>
        <w:t>On the positive side, the government adopted a Second Action Plan for the Implementation of the Strategy for an Inclusive Approach in Education (2025–2027) in December 2024, building on a 2021 Strategy for Inclusive Education until 2030. The Foundation welcomes this framework but notes that independent monitoring — including by the Committee itself in its follow-up dialogue — will be essential, given that the First Action Plan (2022–2024) coexisted with continued segregation on the ground. UNICEF-supported assessments further indicate that children with disabilities in Slovakia are between six and thirty times more likely to be placed in formal residential care than children without disabilities, a factor that itself interrupts access to inclusive mainstream education.</w:t>
      </w:r>
    </w:p>
    <w:p w14:paraId="20E6A1F5" w14:textId="0FA2931A" w:rsidR="00F17BB5" w:rsidRPr="00B8404F" w:rsidRDefault="00F17BB5" w:rsidP="00B8404F">
      <w:pPr>
        <w:spacing w:before="100" w:beforeAutospacing="1" w:after="100" w:afterAutospacing="1" w:line="240" w:lineRule="auto"/>
        <w:jc w:val="both"/>
        <w:outlineLvl w:val="2"/>
        <w:rPr>
          <w:rFonts w:ascii="Arial" w:eastAsia="Times New Roman" w:hAnsi="Arial" w:cs="Arial"/>
          <w:b/>
          <w:bCs/>
          <w:color w:val="FF0000"/>
          <w:lang w:val="en-GB" w:eastAsia="fr-FR"/>
        </w:rPr>
      </w:pPr>
      <w:r w:rsidRPr="00B8404F">
        <w:rPr>
          <w:rFonts w:ascii="Arial" w:eastAsia="Times New Roman" w:hAnsi="Arial" w:cs="Arial"/>
          <w:b/>
          <w:bCs/>
          <w:color w:val="FF0000"/>
          <w:lang w:val="en-GB" w:eastAsia="fr-FR"/>
        </w:rPr>
        <w:t>Article 25: Health</w:t>
      </w:r>
    </w:p>
    <w:p w14:paraId="7E4C7B18" w14:textId="77777777" w:rsidR="00F17BB5" w:rsidRPr="00B8404F" w:rsidRDefault="00C363C2" w:rsidP="00B8404F">
      <w:pPr>
        <w:spacing w:after="140" w:line="276" w:lineRule="auto"/>
        <w:jc w:val="both"/>
        <w:rPr>
          <w:rFonts w:ascii="Arial" w:hAnsi="Arial" w:cs="Arial"/>
          <w:lang w:val="en-GB"/>
        </w:rPr>
      </w:pPr>
      <w:r w:rsidRPr="00B8404F">
        <w:rPr>
          <w:rFonts w:ascii="Arial" w:hAnsi="Arial" w:cs="Arial"/>
          <w:lang w:val="en-GB"/>
        </w:rPr>
        <w:t>The institutional findings above are directly relevant to Article 25. Older women with disabilities living in residential care face compounded barriers to adequate healthcare: only 7% of assessed Slovak facilities fully guarantee the right to the highest attainable standard of physical and mental health, and over half of residents in social care homes receive psychiatric treatment, often accompanied by antidepressant medication, which the national assessment links to inadequate community-based mental-health alternatives rather than individualised clinical need.</w:t>
      </w:r>
    </w:p>
    <w:p w14:paraId="275D0E8D" w14:textId="5EA9F6D5" w:rsidR="00664A7D" w:rsidRPr="00F56D35" w:rsidRDefault="00F17BB5" w:rsidP="00B8404F">
      <w:pPr>
        <w:spacing w:after="140" w:line="276" w:lineRule="auto"/>
        <w:jc w:val="both"/>
        <w:rPr>
          <w:rFonts w:ascii="Arial" w:hAnsi="Arial" w:cs="Arial"/>
          <w:lang w:val="en-US"/>
        </w:rPr>
      </w:pPr>
      <w:r w:rsidRPr="00B8404F">
        <w:rPr>
          <w:rFonts w:ascii="Arial" w:hAnsi="Arial" w:cs="Arial"/>
          <w:lang w:val="en-GB"/>
        </w:rPr>
        <w:t xml:space="preserve">Persons with </w:t>
      </w:r>
      <w:r w:rsidRPr="00B8404F">
        <w:rPr>
          <w:rStyle w:val="Emphasis"/>
          <w:rFonts w:ascii="Arial" w:hAnsi="Arial" w:cs="Arial"/>
          <w:b/>
          <w:bCs/>
          <w:i w:val="0"/>
          <w:iCs w:val="0"/>
          <w:color w:val="767676"/>
          <w:shd w:val="clear" w:color="auto" w:fill="FFFFFF"/>
          <w:lang w:val="en-GB"/>
        </w:rPr>
        <w:t>Intellectual developmental disability (</w:t>
      </w:r>
      <w:proofErr w:type="gramStart"/>
      <w:r w:rsidRPr="00B8404F">
        <w:rPr>
          <w:rStyle w:val="Emphasis"/>
          <w:rFonts w:ascii="Arial" w:hAnsi="Arial" w:cs="Arial"/>
          <w:b/>
          <w:bCs/>
          <w:i w:val="0"/>
          <w:iCs w:val="0"/>
          <w:color w:val="767676"/>
          <w:shd w:val="clear" w:color="auto" w:fill="FFFFFF"/>
          <w:lang w:val="en-GB"/>
        </w:rPr>
        <w:t>IDD)  ,</w:t>
      </w:r>
      <w:proofErr w:type="gramEnd"/>
      <w:r w:rsidRPr="00B8404F">
        <w:rPr>
          <w:rStyle w:val="Emphasis"/>
          <w:rFonts w:ascii="Arial" w:hAnsi="Arial" w:cs="Arial"/>
          <w:b/>
          <w:bCs/>
          <w:i w:val="0"/>
          <w:iCs w:val="0"/>
          <w:color w:val="767676"/>
          <w:shd w:val="clear" w:color="auto" w:fill="FFFFFF"/>
          <w:lang w:val="en-GB"/>
        </w:rPr>
        <w:t xml:space="preserve"> </w:t>
      </w:r>
      <w:r w:rsidRPr="00B8404F">
        <w:rPr>
          <w:rFonts w:ascii="Arial" w:hAnsi="Arial" w:cs="Arial"/>
          <w:lang w:val="en-GB"/>
        </w:rPr>
        <w:t xml:space="preserve">including persons with Down syndrome, continue to face significant barriers in accessing healthcare in Slovakia, despite the guarantees provided under Article 25 of the Convention. </w:t>
      </w:r>
      <w:r w:rsidRPr="00F56D35">
        <w:rPr>
          <w:rFonts w:ascii="Arial" w:hAnsi="Arial" w:cs="Arial"/>
          <w:lang w:val="en-US"/>
        </w:rPr>
        <w:t xml:space="preserve">During its previous review of Slovakia, the Committee expressed concern about discrimination in access to healthcare services, the persistence of physical, communication and information barriers, and the denial of free and informed consent to medical treatment, particularly affecting persons with intellectual disabilities. The Committee accordingly recommended that Slovakia remove these barriers and ensure healthcare based on the free, prior and informed consent of all persons with disabilities. </w:t>
      </w:r>
      <w:r w:rsidRPr="00B8404F">
        <w:rPr>
          <w:rFonts w:ascii="Arial" w:hAnsi="Arial" w:cs="Arial"/>
          <w:lang w:val="en-GB"/>
        </w:rPr>
        <w:t xml:space="preserve">More recent reports by </w:t>
      </w:r>
      <w:proofErr w:type="spellStart"/>
      <w:r w:rsidRPr="00B8404F">
        <w:rPr>
          <w:rFonts w:ascii="Arial" w:hAnsi="Arial" w:cs="Arial"/>
          <w:lang w:val="en-GB"/>
        </w:rPr>
        <w:t>CoE</w:t>
      </w:r>
      <w:proofErr w:type="spellEnd"/>
      <w:r w:rsidRPr="00B8404F">
        <w:rPr>
          <w:rStyle w:val="FootnoteReference"/>
          <w:rFonts w:ascii="Arial" w:hAnsi="Arial" w:cs="Arial"/>
          <w:lang w:val="en-GB"/>
        </w:rPr>
        <w:footnoteReference w:id="2"/>
      </w:r>
      <w:r w:rsidRPr="00B8404F">
        <w:rPr>
          <w:rFonts w:ascii="Arial" w:hAnsi="Arial" w:cs="Arial"/>
          <w:lang w:val="en-GB"/>
        </w:rPr>
        <w:t xml:space="preserve"> indicate that persons with disabilities continue to experience unequal access to healthcare and other public services, while disability organisations have highlighted the lack of reasonable accommodation, accessible communication, and adequately trained healthcare professionals. </w:t>
      </w:r>
      <w:r w:rsidRPr="00F56D35">
        <w:rPr>
          <w:rFonts w:ascii="Arial" w:hAnsi="Arial" w:cs="Arial"/>
          <w:lang w:val="en-US"/>
        </w:rPr>
        <w:t xml:space="preserve">These barriers are particularly concerning for persons with Down syndrome, who have a higher prevalence of congenital heart disease, thyroid disorders, hearing and vision impairments, obstructive sleep apnoea, dementia and other co-occurring health conditions requiring regular multidisciplinary follow-up throughout life. However, Slovakia does not collect or publish comprehensive data on healthcare access, health outcomes or unmet medical needs for persons with intellectual disabilities or Down syndrome, making it difficult to identify disparities and monitor compliance with the Convention. The continued reliance on institutional care for many persons with intellectual disabilities further limits access to community-based, person-centred healthcare and reinforces health inequalities. The absence of systematic disability-inclusive healthcare pathways, together with insufficient professional training on intellectual disabilities and the lack of reasonable accommodation, places persons with Down syndrome at increased risk of delayed diagnosis, preventable health complications and poorer health outcomes, contrary to Articles 25 and 26 of the Convention. </w:t>
      </w:r>
    </w:p>
    <w:p w14:paraId="5AB79E5E" w14:textId="77777777" w:rsidR="00B8404F" w:rsidRPr="00B8404F" w:rsidRDefault="00B8404F" w:rsidP="00B8404F">
      <w:pPr>
        <w:spacing w:before="100" w:beforeAutospacing="1" w:after="100" w:afterAutospacing="1" w:line="240" w:lineRule="auto"/>
        <w:jc w:val="both"/>
        <w:outlineLvl w:val="2"/>
        <w:rPr>
          <w:rFonts w:ascii="Arial" w:eastAsia="Times New Roman" w:hAnsi="Arial" w:cs="Arial"/>
          <w:b/>
          <w:bCs/>
          <w:color w:val="EE0000"/>
          <w:lang w:eastAsia="en-GB"/>
        </w:rPr>
      </w:pPr>
      <w:r w:rsidRPr="00B8404F">
        <w:rPr>
          <w:rFonts w:ascii="Arial" w:eastAsia="Times New Roman" w:hAnsi="Arial" w:cs="Arial"/>
          <w:b/>
          <w:bCs/>
          <w:color w:val="EE0000"/>
          <w:lang w:eastAsia="en-GB"/>
        </w:rPr>
        <w:lastRenderedPageBreak/>
        <w:t>Recommendations</w:t>
      </w:r>
    </w:p>
    <w:p w14:paraId="51436D24" w14:textId="77777777" w:rsidR="00B8404F" w:rsidRPr="00B8404F" w:rsidRDefault="00B8404F" w:rsidP="00B8404F">
      <w:pPr>
        <w:spacing w:before="100" w:beforeAutospacing="1" w:after="100" w:afterAutospacing="1" w:line="240" w:lineRule="auto"/>
        <w:jc w:val="both"/>
        <w:rPr>
          <w:rFonts w:ascii="Arial" w:eastAsia="Times New Roman" w:hAnsi="Arial" w:cs="Arial"/>
          <w:lang w:eastAsia="en-GB"/>
        </w:rPr>
      </w:pPr>
      <w:r w:rsidRPr="00B8404F">
        <w:rPr>
          <w:rFonts w:ascii="Arial" w:eastAsia="Times New Roman" w:hAnsi="Arial" w:cs="Arial"/>
          <w:lang w:eastAsia="en-GB"/>
        </w:rPr>
        <w:t>The Jérôme Lejeune Foundation respectfully recommends that the Committee encourage Slovakia to:</w:t>
      </w:r>
    </w:p>
    <w:p w14:paraId="22BED49F" w14:textId="77777777" w:rsidR="00B8404F" w:rsidRPr="00B8404F" w:rsidRDefault="00B8404F" w:rsidP="00B8404F">
      <w:pPr>
        <w:numPr>
          <w:ilvl w:val="0"/>
          <w:numId w:val="34"/>
        </w:numPr>
        <w:spacing w:before="100" w:beforeAutospacing="1" w:after="100" w:afterAutospacing="1" w:line="240" w:lineRule="auto"/>
        <w:jc w:val="both"/>
        <w:rPr>
          <w:rFonts w:ascii="Arial" w:eastAsia="Times New Roman" w:hAnsi="Arial" w:cs="Arial"/>
          <w:lang w:eastAsia="en-GB"/>
        </w:rPr>
      </w:pPr>
      <w:r w:rsidRPr="00B8404F">
        <w:rPr>
          <w:rFonts w:ascii="Arial" w:eastAsia="Times New Roman" w:hAnsi="Arial" w:cs="Arial"/>
          <w:b/>
          <w:bCs/>
          <w:lang w:eastAsia="en-GB"/>
        </w:rPr>
        <w:t>Affirm the equal dignity and worth of every person with a disability</w:t>
      </w:r>
      <w:r w:rsidRPr="00B8404F">
        <w:rPr>
          <w:rFonts w:ascii="Arial" w:eastAsia="Times New Roman" w:hAnsi="Arial" w:cs="Arial"/>
          <w:lang w:eastAsia="en-GB"/>
        </w:rPr>
        <w:t>, including persons with intellectual disabilities and persons with Down syndrome, by ensuring that all legislation, public policies and healthcare practices fully respect Articles 1, 3 and 5 of the Convention.</w:t>
      </w:r>
    </w:p>
    <w:p w14:paraId="0DEFA9BD" w14:textId="77777777" w:rsidR="00B8404F" w:rsidRPr="00B8404F" w:rsidRDefault="00B8404F" w:rsidP="00B8404F">
      <w:pPr>
        <w:numPr>
          <w:ilvl w:val="0"/>
          <w:numId w:val="34"/>
        </w:numPr>
        <w:spacing w:before="100" w:beforeAutospacing="1" w:after="100" w:afterAutospacing="1" w:line="240" w:lineRule="auto"/>
        <w:jc w:val="both"/>
        <w:rPr>
          <w:rFonts w:ascii="Arial" w:eastAsia="Times New Roman" w:hAnsi="Arial" w:cs="Arial"/>
          <w:lang w:eastAsia="en-GB"/>
        </w:rPr>
      </w:pPr>
      <w:r w:rsidRPr="00B8404F">
        <w:rPr>
          <w:rFonts w:ascii="Arial" w:eastAsia="Times New Roman" w:hAnsi="Arial" w:cs="Arial"/>
          <w:b/>
          <w:bCs/>
          <w:lang w:eastAsia="en-GB"/>
        </w:rPr>
        <w:t>Accelerate deinstitutionalisation</w:t>
      </w:r>
      <w:r w:rsidRPr="00B8404F">
        <w:rPr>
          <w:rFonts w:ascii="Arial" w:eastAsia="Times New Roman" w:hAnsi="Arial" w:cs="Arial"/>
          <w:lang w:eastAsia="en-GB"/>
        </w:rPr>
        <w:t xml:space="preserve"> by establishing a clear, adequately funded timetable for replacing institutional care with accessible, community-based support services that enable independent living in accordance with Article 19 of the Convention.</w:t>
      </w:r>
    </w:p>
    <w:p w14:paraId="3E4F6032" w14:textId="77777777" w:rsidR="00B8404F" w:rsidRPr="00B8404F" w:rsidRDefault="00B8404F" w:rsidP="00B8404F">
      <w:pPr>
        <w:numPr>
          <w:ilvl w:val="0"/>
          <w:numId w:val="34"/>
        </w:numPr>
        <w:spacing w:before="100" w:beforeAutospacing="1" w:after="100" w:afterAutospacing="1" w:line="240" w:lineRule="auto"/>
        <w:jc w:val="both"/>
        <w:rPr>
          <w:rFonts w:ascii="Arial" w:eastAsia="Times New Roman" w:hAnsi="Arial" w:cs="Arial"/>
          <w:lang w:eastAsia="en-GB"/>
        </w:rPr>
      </w:pPr>
      <w:r w:rsidRPr="00B8404F">
        <w:rPr>
          <w:rFonts w:ascii="Arial" w:eastAsia="Times New Roman" w:hAnsi="Arial" w:cs="Arial"/>
          <w:b/>
          <w:bCs/>
          <w:lang w:eastAsia="en-GB"/>
        </w:rPr>
        <w:t>Complete the reform of the legal capacity framework</w:t>
      </w:r>
      <w:r w:rsidRPr="00B8404F">
        <w:rPr>
          <w:rFonts w:ascii="Arial" w:eastAsia="Times New Roman" w:hAnsi="Arial" w:cs="Arial"/>
          <w:lang w:eastAsia="en-GB"/>
        </w:rPr>
        <w:t xml:space="preserve"> by abolishing substitute decision-making regimes and establishing supported decision-making mechanisms that fully respect the will and preferences of persons with disabilities, in accordance with Article 12.</w:t>
      </w:r>
    </w:p>
    <w:p w14:paraId="062A4246" w14:textId="463E089B" w:rsidR="00B8404F" w:rsidRPr="00B8404F" w:rsidRDefault="00B8404F" w:rsidP="00B8404F">
      <w:pPr>
        <w:numPr>
          <w:ilvl w:val="0"/>
          <w:numId w:val="34"/>
        </w:numPr>
        <w:spacing w:before="100" w:beforeAutospacing="1" w:after="100" w:afterAutospacing="1" w:line="240" w:lineRule="auto"/>
        <w:jc w:val="both"/>
        <w:rPr>
          <w:rFonts w:ascii="Arial" w:eastAsia="Times New Roman" w:hAnsi="Arial" w:cs="Arial"/>
          <w:lang w:eastAsia="en-GB"/>
        </w:rPr>
      </w:pPr>
      <w:r w:rsidRPr="00B8404F">
        <w:rPr>
          <w:rFonts w:ascii="Arial" w:eastAsia="Times New Roman" w:hAnsi="Arial" w:cs="Arial"/>
          <w:b/>
          <w:bCs/>
          <w:lang w:eastAsia="en-GB"/>
        </w:rPr>
        <w:t>Guarantee equal access to healthcare</w:t>
      </w:r>
      <w:r w:rsidRPr="00B8404F">
        <w:rPr>
          <w:rFonts w:ascii="Arial" w:eastAsia="Times New Roman" w:hAnsi="Arial" w:cs="Arial"/>
          <w:lang w:eastAsia="en-GB"/>
        </w:rPr>
        <w:t xml:space="preserve"> by ensuring the provision of reasonable accommodation, accessible communication, informed consent, and non-discriminatory access to preventive, primary, specialised and emergency healthcare for persons with disabilities and persons with Down syndrome throughout their lives.</w:t>
      </w:r>
    </w:p>
    <w:p w14:paraId="1E3D1E52" w14:textId="54DCFB19" w:rsidR="00B8404F" w:rsidRPr="00B8404F" w:rsidRDefault="00B8404F" w:rsidP="00B8404F">
      <w:pPr>
        <w:numPr>
          <w:ilvl w:val="0"/>
          <w:numId w:val="34"/>
        </w:numPr>
        <w:spacing w:before="100" w:beforeAutospacing="1" w:after="100" w:afterAutospacing="1" w:line="240" w:lineRule="auto"/>
        <w:jc w:val="both"/>
        <w:rPr>
          <w:rFonts w:ascii="Arial" w:eastAsia="Times New Roman" w:hAnsi="Arial" w:cs="Arial"/>
          <w:lang w:eastAsia="en-GB"/>
        </w:rPr>
      </w:pPr>
      <w:r w:rsidRPr="00B8404F">
        <w:rPr>
          <w:rFonts w:ascii="Arial" w:eastAsia="Times New Roman" w:hAnsi="Arial" w:cs="Arial"/>
          <w:b/>
          <w:bCs/>
          <w:lang w:eastAsia="en-GB"/>
        </w:rPr>
        <w:t>Develop national multidisciplinary healthcare pathways</w:t>
      </w:r>
      <w:r w:rsidRPr="00B8404F">
        <w:rPr>
          <w:rFonts w:ascii="Arial" w:eastAsia="Times New Roman" w:hAnsi="Arial" w:cs="Arial"/>
          <w:lang w:eastAsia="en-GB"/>
        </w:rPr>
        <w:t xml:space="preserve"> for persons with Down syndrome and other disabilities, ensuring access to regular preventive health assessments and evidence-based clinical follow-up across the lifespan.</w:t>
      </w:r>
    </w:p>
    <w:p w14:paraId="29C0EDAE" w14:textId="0EE205CC" w:rsidR="00B8404F" w:rsidRPr="00B8404F" w:rsidRDefault="00B8404F" w:rsidP="00B8404F">
      <w:pPr>
        <w:numPr>
          <w:ilvl w:val="0"/>
          <w:numId w:val="34"/>
        </w:numPr>
        <w:spacing w:before="100" w:beforeAutospacing="1" w:after="100" w:afterAutospacing="1" w:line="240" w:lineRule="auto"/>
        <w:jc w:val="both"/>
        <w:rPr>
          <w:rFonts w:ascii="Arial" w:eastAsia="Times New Roman" w:hAnsi="Arial" w:cs="Arial"/>
          <w:lang w:eastAsia="en-GB"/>
        </w:rPr>
      </w:pPr>
      <w:r w:rsidRPr="00B8404F">
        <w:rPr>
          <w:rFonts w:ascii="Arial" w:eastAsia="Times New Roman" w:hAnsi="Arial" w:cs="Arial"/>
          <w:b/>
          <w:bCs/>
          <w:lang w:eastAsia="en-GB"/>
        </w:rPr>
        <w:t>Provide mandatory training</w:t>
      </w:r>
      <w:r w:rsidRPr="00B8404F">
        <w:rPr>
          <w:rFonts w:ascii="Arial" w:eastAsia="Times New Roman" w:hAnsi="Arial" w:cs="Arial"/>
          <w:lang w:eastAsia="en-GB"/>
        </w:rPr>
        <w:t xml:space="preserve"> for all healthcare professionals on the rights, communication needs and specific health conditions associated with Down syndrome, with particular emphasis on respectful, person-centred care.</w:t>
      </w:r>
    </w:p>
    <w:p w14:paraId="696B0765" w14:textId="1005219A" w:rsidR="00B8404F" w:rsidRPr="00B8404F" w:rsidRDefault="00B8404F" w:rsidP="00B8404F">
      <w:pPr>
        <w:numPr>
          <w:ilvl w:val="0"/>
          <w:numId w:val="34"/>
        </w:numPr>
        <w:spacing w:before="100" w:beforeAutospacing="1" w:after="100" w:afterAutospacing="1" w:line="240" w:lineRule="auto"/>
        <w:jc w:val="both"/>
        <w:rPr>
          <w:rFonts w:ascii="Arial" w:eastAsia="Times New Roman" w:hAnsi="Arial" w:cs="Arial"/>
          <w:lang w:eastAsia="en-GB"/>
        </w:rPr>
      </w:pPr>
      <w:r w:rsidRPr="00B8404F">
        <w:rPr>
          <w:rFonts w:ascii="Arial" w:eastAsia="Times New Roman" w:hAnsi="Arial" w:cs="Arial"/>
          <w:b/>
          <w:bCs/>
          <w:lang w:eastAsia="en-GB"/>
        </w:rPr>
        <w:t>Collect and publish comprehensive disability-disaggregated data</w:t>
      </w:r>
      <w:r w:rsidRPr="00B8404F">
        <w:rPr>
          <w:rFonts w:ascii="Arial" w:eastAsia="Times New Roman" w:hAnsi="Arial" w:cs="Arial"/>
          <w:lang w:eastAsia="en-GB"/>
        </w:rPr>
        <w:t>, including data relating to persons with Down syndrome, on health outcomes, access to healthcare, violence, education, institutionalisation and independent living, in accordance with Article 31 of the Convention.</w:t>
      </w:r>
    </w:p>
    <w:p w14:paraId="4A07B011" w14:textId="3CADC467" w:rsidR="00B8404F" w:rsidRPr="00B8404F" w:rsidRDefault="00B8404F" w:rsidP="00B8404F">
      <w:pPr>
        <w:numPr>
          <w:ilvl w:val="0"/>
          <w:numId w:val="34"/>
        </w:numPr>
        <w:spacing w:before="100" w:beforeAutospacing="1" w:after="100" w:afterAutospacing="1" w:line="240" w:lineRule="auto"/>
        <w:jc w:val="both"/>
        <w:rPr>
          <w:rFonts w:ascii="Arial" w:eastAsia="Times New Roman" w:hAnsi="Arial" w:cs="Arial"/>
          <w:lang w:eastAsia="en-GB"/>
        </w:rPr>
      </w:pPr>
      <w:r w:rsidRPr="00B8404F">
        <w:rPr>
          <w:rFonts w:ascii="Arial" w:eastAsia="Times New Roman" w:hAnsi="Arial" w:cs="Arial"/>
          <w:b/>
          <w:bCs/>
          <w:lang w:eastAsia="en-GB"/>
        </w:rPr>
        <w:t>Strengthen measures to prevent violence against women and girls with disabilities</w:t>
      </w:r>
      <w:r w:rsidRPr="00B8404F">
        <w:rPr>
          <w:rFonts w:ascii="Arial" w:eastAsia="Times New Roman" w:hAnsi="Arial" w:cs="Arial"/>
          <w:lang w:eastAsia="en-GB"/>
        </w:rPr>
        <w:t xml:space="preserve">, including by adopting disability-inclusive protection protocols, ensuring accessible reporting mechanisms, providing effective remedies for victims. </w:t>
      </w:r>
    </w:p>
    <w:p w14:paraId="23FA581D" w14:textId="4F847399" w:rsidR="00B8404F" w:rsidRPr="00B8404F" w:rsidRDefault="00B8404F" w:rsidP="00B8404F">
      <w:pPr>
        <w:numPr>
          <w:ilvl w:val="0"/>
          <w:numId w:val="34"/>
        </w:numPr>
        <w:spacing w:before="100" w:beforeAutospacing="1" w:after="100" w:afterAutospacing="1" w:line="240" w:lineRule="auto"/>
        <w:jc w:val="both"/>
        <w:rPr>
          <w:rFonts w:ascii="Arial" w:eastAsia="Times New Roman" w:hAnsi="Arial" w:cs="Arial"/>
          <w:lang w:eastAsia="en-GB"/>
        </w:rPr>
      </w:pPr>
      <w:r w:rsidRPr="00B8404F">
        <w:rPr>
          <w:rFonts w:ascii="Arial" w:eastAsia="Times New Roman" w:hAnsi="Arial" w:cs="Arial"/>
          <w:b/>
          <w:bCs/>
          <w:lang w:eastAsia="en-GB"/>
        </w:rPr>
        <w:t>Guarantee inclusive education</w:t>
      </w:r>
      <w:r w:rsidRPr="00B8404F">
        <w:rPr>
          <w:rFonts w:ascii="Arial" w:eastAsia="Times New Roman" w:hAnsi="Arial" w:cs="Arial"/>
          <w:lang w:eastAsia="en-GB"/>
        </w:rPr>
        <w:t xml:space="preserve"> by eliminating segregation on the basis of disability, ensuring adequate support in mainstream schools, and preventing the inappropriate classification of children with disabilities.</w:t>
      </w:r>
    </w:p>
    <w:p w14:paraId="4502F742" w14:textId="77D29425" w:rsidR="00B8404F" w:rsidRPr="00B8404F" w:rsidRDefault="00B8404F" w:rsidP="00B8404F">
      <w:pPr>
        <w:numPr>
          <w:ilvl w:val="0"/>
          <w:numId w:val="34"/>
        </w:numPr>
        <w:spacing w:before="100" w:beforeAutospacing="1" w:after="100" w:afterAutospacing="1" w:line="240" w:lineRule="auto"/>
        <w:jc w:val="both"/>
        <w:rPr>
          <w:rFonts w:ascii="Arial" w:eastAsia="Times New Roman" w:hAnsi="Arial" w:cs="Arial"/>
          <w:lang w:eastAsia="en-GB"/>
        </w:rPr>
      </w:pPr>
      <w:r w:rsidRPr="00B8404F">
        <w:rPr>
          <w:rFonts w:ascii="Arial" w:eastAsia="Times New Roman" w:hAnsi="Arial" w:cs="Arial"/>
          <w:b/>
          <w:bCs/>
          <w:lang w:eastAsia="en-GB"/>
        </w:rPr>
        <w:t>Ensure that all laws, policies and practices concerning persons with disabilities are grounded in the inherent dignity of every human being</w:t>
      </w:r>
      <w:r w:rsidRPr="00B8404F">
        <w:rPr>
          <w:rFonts w:ascii="Arial" w:eastAsia="Times New Roman" w:hAnsi="Arial" w:cs="Arial"/>
          <w:lang w:eastAsia="en-GB"/>
        </w:rPr>
        <w:t>, recognising that respect for human dignity is the foundation of all human rights and must guide healthcare, education, justice and social protection policies alike.</w:t>
      </w:r>
    </w:p>
    <w:p w14:paraId="38040BBE" w14:textId="77777777" w:rsidR="00664A7D" w:rsidRPr="00B8404F" w:rsidRDefault="0082715E" w:rsidP="00B8404F">
      <w:pPr>
        <w:spacing w:after="0" w:line="240" w:lineRule="auto"/>
        <w:jc w:val="both"/>
        <w:rPr>
          <w:rFonts w:ascii="Arial" w:eastAsia="Times New Roman" w:hAnsi="Arial" w:cs="Arial"/>
          <w:b/>
          <w:color w:val="FF0000"/>
          <w:lang w:val="en-GB" w:eastAsia="fr-FR"/>
        </w:rPr>
      </w:pPr>
      <w:r w:rsidRPr="00B8404F">
        <w:rPr>
          <w:rFonts w:ascii="Arial" w:eastAsia="Times New Roman" w:hAnsi="Arial" w:cs="Arial"/>
          <w:b/>
          <w:color w:val="FF0000"/>
          <w:lang w:val="en-GB" w:eastAsia="fr-FR"/>
        </w:rPr>
        <w:t xml:space="preserve">Conclusions </w:t>
      </w:r>
    </w:p>
    <w:p w14:paraId="5BC8550C" w14:textId="77777777" w:rsidR="00B8404F" w:rsidRPr="00B8404F" w:rsidRDefault="00B8404F" w:rsidP="00B8404F">
      <w:pPr>
        <w:pStyle w:val="isselectedend"/>
        <w:jc w:val="both"/>
        <w:rPr>
          <w:rFonts w:ascii="Arial" w:hAnsi="Arial" w:cs="Arial"/>
          <w:sz w:val="22"/>
          <w:szCs w:val="22"/>
        </w:rPr>
      </w:pPr>
      <w:r w:rsidRPr="00B8404F">
        <w:rPr>
          <w:rFonts w:ascii="Arial" w:hAnsi="Arial" w:cs="Arial"/>
          <w:sz w:val="22"/>
          <w:szCs w:val="22"/>
        </w:rPr>
        <w:t>The Jérôme Lejeune Foundation welcomes Slovakia's engagement with the Committee on the Rights of Persons with Disabilities and acknowledges the State party's constitutional recognition that every human being possesses inherent dignity. This principle, enshrined in the Constitution of the Slovak Republic, reflects the fundamental value upon which all human rights are built and is fully consistent with the object and purpose of the Convention on the Rights of Persons with Disabilities.</w:t>
      </w:r>
    </w:p>
    <w:p w14:paraId="2F7387F3" w14:textId="77777777" w:rsidR="00B8404F" w:rsidRPr="00B8404F" w:rsidRDefault="00B8404F" w:rsidP="00B8404F">
      <w:pPr>
        <w:pStyle w:val="isselectedend"/>
        <w:jc w:val="both"/>
        <w:rPr>
          <w:rFonts w:ascii="Arial" w:hAnsi="Arial" w:cs="Arial"/>
          <w:sz w:val="22"/>
          <w:szCs w:val="22"/>
        </w:rPr>
      </w:pPr>
      <w:r w:rsidRPr="00B8404F">
        <w:rPr>
          <w:rFonts w:ascii="Arial" w:hAnsi="Arial" w:cs="Arial"/>
          <w:sz w:val="22"/>
          <w:szCs w:val="22"/>
        </w:rPr>
        <w:t xml:space="preserve">However, constitutional recognition of human dignity must be translated into effective protection in practice. Despite legislative and policy efforts, persons with disabilities—particularly persons with intellectual disabilities and persons with Down syndrome—continue to encounter significant barriers to the enjoyment of their rights on an equal basis with others. </w:t>
      </w:r>
      <w:r w:rsidRPr="00B8404F">
        <w:rPr>
          <w:rFonts w:ascii="Arial" w:hAnsi="Arial" w:cs="Arial"/>
          <w:sz w:val="22"/>
          <w:szCs w:val="22"/>
        </w:rPr>
        <w:lastRenderedPageBreak/>
        <w:t>Persistent institutionalisation, restrictions on legal capacity, unequal access to healthcare, limited access to inclusive education, inadequate protection from violence, and the absence of disability-disaggregated data demonstrate that substantial gaps remain between Slovakia's legal commitments and their implementation.</w:t>
      </w:r>
    </w:p>
    <w:p w14:paraId="7E333FE7" w14:textId="77777777" w:rsidR="00B8404F" w:rsidRPr="00B8404F" w:rsidRDefault="00B8404F" w:rsidP="00B8404F">
      <w:pPr>
        <w:pStyle w:val="NormalWeb"/>
        <w:jc w:val="both"/>
        <w:rPr>
          <w:rFonts w:ascii="Arial" w:hAnsi="Arial" w:cs="Arial"/>
          <w:sz w:val="22"/>
          <w:szCs w:val="22"/>
          <w:lang w:val="en-GB"/>
        </w:rPr>
      </w:pPr>
      <w:r w:rsidRPr="00B8404F">
        <w:rPr>
          <w:rFonts w:ascii="Arial" w:hAnsi="Arial" w:cs="Arial"/>
          <w:sz w:val="22"/>
          <w:szCs w:val="22"/>
          <w:lang w:val="en-GB"/>
        </w:rPr>
        <w:t>The Foundation respectfully encourages the Committee to urge Slovakia to strengthen its efforts to ensure that every person with a disability, regardless of the nature or severity of their impairment, is recognised as a rights-holder whose inherent dignity, autonomy, equality and right to life are fully respected and protected throughout all stages of life.</w:t>
      </w:r>
    </w:p>
    <w:p w14:paraId="5E840536" w14:textId="77777777" w:rsidR="00B8404F" w:rsidRPr="00B8404F" w:rsidRDefault="00B8404F" w:rsidP="00B8404F">
      <w:pPr>
        <w:spacing w:after="90" w:line="276" w:lineRule="auto"/>
        <w:jc w:val="both"/>
        <w:rPr>
          <w:rFonts w:ascii="Arial" w:hAnsi="Arial" w:cs="Arial"/>
          <w:b/>
          <w:bCs/>
          <w:color w:val="EE0000"/>
          <w:lang w:val="en-GB"/>
        </w:rPr>
      </w:pPr>
      <w:r w:rsidRPr="00B8404F">
        <w:rPr>
          <w:rFonts w:ascii="Arial" w:hAnsi="Arial" w:cs="Arial"/>
          <w:b/>
          <w:bCs/>
          <w:color w:val="EE0000"/>
          <w:lang w:val="en-GB"/>
        </w:rPr>
        <w:t xml:space="preserve">Sources </w:t>
      </w:r>
    </w:p>
    <w:p w14:paraId="09C8CFDF" w14:textId="77777777" w:rsidR="00B8404F" w:rsidRPr="00B50033" w:rsidRDefault="00B8404F" w:rsidP="00B8404F">
      <w:pPr>
        <w:spacing w:after="40"/>
        <w:jc w:val="both"/>
        <w:rPr>
          <w:rFonts w:ascii="Arial" w:hAnsi="Arial" w:cs="Arial"/>
          <w:color w:val="000000" w:themeColor="text1"/>
          <w:sz w:val="18"/>
          <w:szCs w:val="18"/>
          <w:lang w:val="en-GB"/>
        </w:rPr>
      </w:pPr>
      <w:r w:rsidRPr="00B50033">
        <w:rPr>
          <w:rFonts w:ascii="Arial" w:hAnsi="Arial" w:cs="Arial"/>
          <w:color w:val="000000" w:themeColor="text1"/>
          <w:sz w:val="18"/>
          <w:szCs w:val="18"/>
          <w:lang w:val="en-GB"/>
        </w:rPr>
        <w:t>1. European Union Agency for Fundamental Rights, EU-wide survey on violence against women — Main results, 2014, and "Women with disabilities more likely to experience violence", Inclusion Europe summary, fra.europa.eu.</w:t>
      </w:r>
    </w:p>
    <w:p w14:paraId="358CA62B" w14:textId="7B6825BA" w:rsidR="00B8404F" w:rsidRPr="00B50033" w:rsidRDefault="00B8404F" w:rsidP="00B8404F">
      <w:pPr>
        <w:spacing w:after="40"/>
        <w:jc w:val="both"/>
        <w:rPr>
          <w:rFonts w:ascii="Arial" w:hAnsi="Arial" w:cs="Arial"/>
          <w:color w:val="000000" w:themeColor="text1"/>
          <w:sz w:val="18"/>
          <w:szCs w:val="18"/>
          <w:lang w:val="en-GB"/>
        </w:rPr>
      </w:pPr>
      <w:r w:rsidRPr="00B50033">
        <w:rPr>
          <w:rFonts w:ascii="Arial" w:hAnsi="Arial" w:cs="Arial"/>
          <w:color w:val="000000" w:themeColor="text1"/>
          <w:sz w:val="18"/>
          <w:szCs w:val="18"/>
          <w:lang w:val="en-GB"/>
        </w:rPr>
        <w:t>2. OECD, Gender Equality in a Changing World (2026), "Violence against women remains pervasive", citing EU-23 average, 2021, oecd.org; European Parliament, EPRS Briefing, "Women with disabilities", 2025.</w:t>
      </w:r>
    </w:p>
    <w:p w14:paraId="6FCF842E" w14:textId="77777777" w:rsidR="00B8404F" w:rsidRPr="00B50033" w:rsidRDefault="00B8404F" w:rsidP="00B8404F">
      <w:pPr>
        <w:spacing w:after="40"/>
        <w:jc w:val="both"/>
        <w:rPr>
          <w:rFonts w:ascii="Arial" w:hAnsi="Arial" w:cs="Arial"/>
          <w:color w:val="000000" w:themeColor="text1"/>
          <w:sz w:val="18"/>
          <w:szCs w:val="18"/>
          <w:lang w:val="en-GB"/>
        </w:rPr>
      </w:pPr>
      <w:r w:rsidRPr="00B50033">
        <w:rPr>
          <w:rFonts w:ascii="Arial" w:hAnsi="Arial" w:cs="Arial"/>
          <w:color w:val="000000" w:themeColor="text1"/>
          <w:sz w:val="18"/>
          <w:szCs w:val="18"/>
          <w:lang w:val="en-GB"/>
        </w:rPr>
        <w:t>3. Council of the European Union, "Disability in the EU: facts and figures", consilium.europa.eu.</w:t>
      </w:r>
    </w:p>
    <w:p w14:paraId="070EBA45" w14:textId="77777777" w:rsidR="00B8404F" w:rsidRPr="00B50033" w:rsidRDefault="00B8404F" w:rsidP="00B8404F">
      <w:pPr>
        <w:spacing w:after="40"/>
        <w:jc w:val="both"/>
        <w:rPr>
          <w:rFonts w:ascii="Arial" w:hAnsi="Arial" w:cs="Arial"/>
          <w:color w:val="000000" w:themeColor="text1"/>
          <w:sz w:val="18"/>
          <w:szCs w:val="18"/>
          <w:lang w:val="en-GB"/>
        </w:rPr>
      </w:pPr>
      <w:r w:rsidRPr="00B50033">
        <w:rPr>
          <w:rFonts w:ascii="Arial" w:hAnsi="Arial" w:cs="Arial"/>
          <w:color w:val="000000" w:themeColor="text1"/>
          <w:sz w:val="18"/>
          <w:szCs w:val="18"/>
          <w:lang w:val="en-GB"/>
        </w:rPr>
        <w:t>4. European Court of Human Rights, J.S. v. Slovakia, Appl. No. 35767/23, judgment of 22 January 2026; Fenestra, press release, 4 February 2026, fenestra.sk; Strasbourg Observers, case comment, 5 May 2026.</w:t>
      </w:r>
    </w:p>
    <w:p w14:paraId="5B0CAF93" w14:textId="77777777" w:rsidR="00B8404F" w:rsidRPr="00B50033" w:rsidRDefault="00B8404F" w:rsidP="00B8404F">
      <w:pPr>
        <w:spacing w:after="40"/>
        <w:jc w:val="both"/>
        <w:rPr>
          <w:rFonts w:ascii="Arial" w:hAnsi="Arial" w:cs="Arial"/>
          <w:color w:val="000000" w:themeColor="text1"/>
          <w:sz w:val="18"/>
          <w:szCs w:val="18"/>
          <w:lang w:val="en-GB"/>
        </w:rPr>
      </w:pPr>
      <w:r w:rsidRPr="00B50033">
        <w:rPr>
          <w:rFonts w:ascii="Arial" w:hAnsi="Arial" w:cs="Arial"/>
          <w:color w:val="000000" w:themeColor="text1"/>
          <w:sz w:val="18"/>
          <w:szCs w:val="18"/>
          <w:lang w:val="en-GB"/>
        </w:rPr>
        <w:t>5. European Court of Human Rights, V.C. v. Slovakia (Appl. No. 18968/07, 2011) and I.G. and Others v. Slovakia (Appl. No. 15966/04, 2012); UN Committee against Torture, CAT/C/SVK/CO/2 (2009).</w:t>
      </w:r>
    </w:p>
    <w:p w14:paraId="10B87153" w14:textId="77777777" w:rsidR="00B8404F" w:rsidRPr="00B50033" w:rsidRDefault="00B8404F" w:rsidP="00B8404F">
      <w:pPr>
        <w:spacing w:after="40"/>
        <w:jc w:val="both"/>
        <w:rPr>
          <w:rFonts w:ascii="Arial" w:hAnsi="Arial" w:cs="Arial"/>
          <w:color w:val="000000" w:themeColor="text1"/>
          <w:sz w:val="18"/>
          <w:szCs w:val="18"/>
          <w:lang w:val="en-GB"/>
        </w:rPr>
      </w:pPr>
      <w:r w:rsidRPr="00B50033">
        <w:rPr>
          <w:rFonts w:ascii="Arial" w:hAnsi="Arial" w:cs="Arial"/>
          <w:color w:val="000000" w:themeColor="text1"/>
          <w:sz w:val="18"/>
          <w:szCs w:val="18"/>
          <w:lang w:val="en-GB"/>
        </w:rPr>
        <w:t>6. UN Office at Geneva, meeting summary, Human Rights Committee dialogue with Slovakia, 145th session, March 2026, ungeneva.org.</w:t>
      </w:r>
    </w:p>
    <w:p w14:paraId="0EE0253E" w14:textId="77777777" w:rsidR="00B8404F" w:rsidRPr="00B50033" w:rsidRDefault="00B8404F" w:rsidP="00B8404F">
      <w:pPr>
        <w:spacing w:after="40"/>
        <w:jc w:val="both"/>
        <w:rPr>
          <w:rFonts w:ascii="Arial" w:hAnsi="Arial" w:cs="Arial"/>
          <w:color w:val="000000" w:themeColor="text1"/>
          <w:sz w:val="18"/>
          <w:szCs w:val="18"/>
          <w:lang w:val="en-GB"/>
        </w:rPr>
      </w:pPr>
      <w:r w:rsidRPr="00B50033">
        <w:rPr>
          <w:rFonts w:ascii="Arial" w:hAnsi="Arial" w:cs="Arial"/>
          <w:color w:val="000000" w:themeColor="text1"/>
          <w:sz w:val="18"/>
          <w:szCs w:val="18"/>
          <w:lang w:val="en-GB"/>
        </w:rPr>
        <w:t xml:space="preserve">7. </w:t>
      </w:r>
      <w:proofErr w:type="spellStart"/>
      <w:r w:rsidRPr="00B50033">
        <w:rPr>
          <w:rFonts w:ascii="Arial" w:hAnsi="Arial" w:cs="Arial"/>
          <w:color w:val="000000" w:themeColor="text1"/>
          <w:sz w:val="18"/>
          <w:szCs w:val="18"/>
          <w:lang w:val="en-GB"/>
        </w:rPr>
        <w:t>Cangárová</w:t>
      </w:r>
      <w:proofErr w:type="spellEnd"/>
      <w:r w:rsidRPr="00B50033">
        <w:rPr>
          <w:rFonts w:ascii="Arial" w:hAnsi="Arial" w:cs="Arial"/>
          <w:color w:val="000000" w:themeColor="text1"/>
          <w:sz w:val="18"/>
          <w:szCs w:val="18"/>
          <w:lang w:val="en-GB"/>
        </w:rPr>
        <w:t xml:space="preserve">, L. and Krupa, S., Deinstitutionalisation of Social Services in Slovakia — Country Analysis, Social Work Advisory Board (SWAB/RPSP), 2023/2025, rpsp.eu, including national data from the Ministry of Labour, Social Affairs and Family (2021) and the WHO </w:t>
      </w:r>
      <w:proofErr w:type="spellStart"/>
      <w:r w:rsidRPr="00B50033">
        <w:rPr>
          <w:rFonts w:ascii="Arial" w:hAnsi="Arial" w:cs="Arial"/>
          <w:color w:val="000000" w:themeColor="text1"/>
          <w:sz w:val="18"/>
          <w:szCs w:val="18"/>
          <w:lang w:val="en-GB"/>
        </w:rPr>
        <w:t>QualityRights</w:t>
      </w:r>
      <w:proofErr w:type="spellEnd"/>
      <w:r w:rsidRPr="00B50033">
        <w:rPr>
          <w:rFonts w:ascii="Arial" w:hAnsi="Arial" w:cs="Arial"/>
          <w:color w:val="000000" w:themeColor="text1"/>
          <w:sz w:val="18"/>
          <w:szCs w:val="18"/>
          <w:lang w:val="en-GB"/>
        </w:rPr>
        <w:t xml:space="preserve"> readiness assessment of 93 institutions.</w:t>
      </w:r>
    </w:p>
    <w:p w14:paraId="480175D1" w14:textId="77777777" w:rsidR="00B8404F" w:rsidRPr="00B50033" w:rsidRDefault="00B8404F" w:rsidP="00B8404F">
      <w:pPr>
        <w:spacing w:after="40"/>
        <w:jc w:val="both"/>
        <w:rPr>
          <w:rFonts w:ascii="Arial" w:hAnsi="Arial" w:cs="Arial"/>
          <w:color w:val="000000" w:themeColor="text1"/>
          <w:sz w:val="18"/>
          <w:szCs w:val="18"/>
          <w:lang w:val="en-GB"/>
        </w:rPr>
      </w:pPr>
      <w:r w:rsidRPr="00B50033">
        <w:rPr>
          <w:rFonts w:ascii="Arial" w:hAnsi="Arial" w:cs="Arial"/>
          <w:color w:val="000000" w:themeColor="text1"/>
          <w:sz w:val="18"/>
          <w:szCs w:val="18"/>
          <w:lang w:val="en-GB"/>
        </w:rPr>
        <w:t>8. European Union Agency for Fundamental Rights, Places of Care = Places of Safety? Violence against Persons with Disabilities in Institutions, 27 November 2025, fra.europa.eu.</w:t>
      </w:r>
    </w:p>
    <w:p w14:paraId="7B11B8E6" w14:textId="77777777" w:rsidR="00B8404F" w:rsidRPr="00B50033" w:rsidRDefault="00B8404F" w:rsidP="00B8404F">
      <w:pPr>
        <w:spacing w:after="40"/>
        <w:jc w:val="both"/>
        <w:rPr>
          <w:rFonts w:ascii="Arial" w:hAnsi="Arial" w:cs="Arial"/>
          <w:color w:val="000000" w:themeColor="text1"/>
          <w:sz w:val="18"/>
          <w:szCs w:val="18"/>
          <w:lang w:val="en-GB"/>
        </w:rPr>
      </w:pPr>
      <w:r w:rsidRPr="00B50033">
        <w:rPr>
          <w:rFonts w:ascii="Arial" w:hAnsi="Arial" w:cs="Arial"/>
          <w:color w:val="000000" w:themeColor="text1"/>
          <w:sz w:val="18"/>
          <w:szCs w:val="18"/>
          <w:lang w:val="en-GB"/>
        </w:rPr>
        <w:t>9. OHCHR, CRPD/C/SVK/CO/1 (Concluding observations on the initial report of Slovakia, 2016) and CRPD/C/SVK/QPR/2-3 (2019), ohchr.org.</w:t>
      </w:r>
    </w:p>
    <w:p w14:paraId="71EF57EC" w14:textId="77777777" w:rsidR="00B8404F" w:rsidRPr="00B50033" w:rsidRDefault="00B8404F" w:rsidP="00B8404F">
      <w:pPr>
        <w:spacing w:after="40"/>
        <w:jc w:val="both"/>
        <w:rPr>
          <w:rFonts w:ascii="Arial" w:hAnsi="Arial" w:cs="Arial"/>
          <w:color w:val="000000" w:themeColor="text1"/>
          <w:sz w:val="18"/>
          <w:szCs w:val="18"/>
          <w:lang w:val="en-GB"/>
        </w:rPr>
      </w:pPr>
      <w:r w:rsidRPr="00B50033">
        <w:rPr>
          <w:rFonts w:ascii="Arial" w:hAnsi="Arial" w:cs="Arial"/>
          <w:color w:val="000000" w:themeColor="text1"/>
          <w:sz w:val="18"/>
          <w:szCs w:val="18"/>
          <w:lang w:val="en-GB"/>
        </w:rPr>
        <w:t>10. UN Committee on Economic, Social and Cultural Rights, E/C.12/SVK/CO/2 (2012); CEDAW Committee, CEDAW/C/SVK/CO/4 (2008).</w:t>
      </w:r>
    </w:p>
    <w:p w14:paraId="060CE90E" w14:textId="77777777" w:rsidR="00B8404F" w:rsidRPr="00B50033" w:rsidRDefault="00B8404F" w:rsidP="00B8404F">
      <w:pPr>
        <w:spacing w:after="40"/>
        <w:jc w:val="both"/>
        <w:rPr>
          <w:rFonts w:ascii="Arial" w:hAnsi="Arial" w:cs="Arial"/>
          <w:color w:val="000000" w:themeColor="text1"/>
          <w:sz w:val="18"/>
          <w:szCs w:val="18"/>
          <w:lang w:val="en-GB"/>
        </w:rPr>
      </w:pPr>
      <w:r w:rsidRPr="00B50033">
        <w:rPr>
          <w:rFonts w:ascii="Arial" w:hAnsi="Arial" w:cs="Arial"/>
          <w:color w:val="000000" w:themeColor="text1"/>
          <w:sz w:val="18"/>
          <w:szCs w:val="18"/>
          <w:lang w:val="en-GB"/>
        </w:rPr>
        <w:t>11. European Commission, referral of Slovakia to the CJEU for breach of the Racial Equality Directive, December 2023; European Commission, Migration and Home Affairs, "Slovakia: New action plan advances inclusivity in education", January 2025; UNICEF / Inclusive Education Initiative, "Great Expectations: Being Ambitious for Children with Disabilities in Slovakia".</w:t>
      </w:r>
    </w:p>
    <w:p w14:paraId="38557C5A" w14:textId="77777777" w:rsidR="00B8404F" w:rsidRPr="00B8404F" w:rsidRDefault="00B8404F" w:rsidP="00B8404F">
      <w:pPr>
        <w:spacing w:after="140" w:line="276" w:lineRule="auto"/>
        <w:jc w:val="both"/>
        <w:rPr>
          <w:rFonts w:ascii="Arial" w:hAnsi="Arial" w:cs="Arial"/>
          <w:color w:val="000000" w:themeColor="text1"/>
          <w:lang w:val="en-GB"/>
        </w:rPr>
      </w:pPr>
    </w:p>
    <w:p w14:paraId="511F4CDC" w14:textId="1DDDA9D0" w:rsidR="009D1899" w:rsidRPr="00B8404F" w:rsidRDefault="009D1899" w:rsidP="00B8404F">
      <w:pPr>
        <w:pStyle w:val="NormalWeb"/>
        <w:jc w:val="both"/>
        <w:rPr>
          <w:rFonts w:ascii="Arial" w:hAnsi="Arial" w:cs="Arial"/>
          <w:color w:val="000000" w:themeColor="text1"/>
          <w:sz w:val="22"/>
          <w:szCs w:val="22"/>
          <w:lang w:val="en-GB"/>
        </w:rPr>
      </w:pPr>
    </w:p>
    <w:sectPr w:rsidR="009D1899" w:rsidRPr="00B8404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EE95F" w14:textId="77777777" w:rsidR="008D711A" w:rsidRDefault="008D711A" w:rsidP="00D5777A">
      <w:pPr>
        <w:spacing w:after="0" w:line="240" w:lineRule="auto"/>
      </w:pPr>
      <w:r>
        <w:separator/>
      </w:r>
    </w:p>
  </w:endnote>
  <w:endnote w:type="continuationSeparator" w:id="0">
    <w:p w14:paraId="1293DD18" w14:textId="77777777" w:rsidR="008D711A" w:rsidRDefault="008D711A" w:rsidP="00D57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75130" w14:textId="77777777" w:rsidR="008D711A" w:rsidRDefault="008D711A" w:rsidP="00D5777A">
      <w:pPr>
        <w:spacing w:after="0" w:line="240" w:lineRule="auto"/>
      </w:pPr>
      <w:r>
        <w:separator/>
      </w:r>
    </w:p>
  </w:footnote>
  <w:footnote w:type="continuationSeparator" w:id="0">
    <w:p w14:paraId="6D332439" w14:textId="77777777" w:rsidR="008D711A" w:rsidRDefault="008D711A" w:rsidP="00D5777A">
      <w:pPr>
        <w:spacing w:after="0" w:line="240" w:lineRule="auto"/>
      </w:pPr>
      <w:r>
        <w:continuationSeparator/>
      </w:r>
    </w:p>
  </w:footnote>
  <w:footnote w:id="1">
    <w:p w14:paraId="40D50C65" w14:textId="77777777" w:rsidR="00D5777A" w:rsidRPr="00E25FF6" w:rsidRDefault="00D5777A" w:rsidP="00D5777A">
      <w:pPr>
        <w:pBdr>
          <w:top w:val="nil"/>
          <w:left w:val="nil"/>
          <w:bottom w:val="nil"/>
          <w:right w:val="nil"/>
          <w:between w:val="nil"/>
        </w:pBdr>
        <w:rPr>
          <w:rFonts w:cstheme="minorHAnsi"/>
          <w:color w:val="000000"/>
          <w:sz w:val="18"/>
          <w:szCs w:val="18"/>
          <w:lang w:val="en-US"/>
        </w:rPr>
      </w:pPr>
      <w:r w:rsidRPr="00E25FF6">
        <w:rPr>
          <w:rStyle w:val="FootnoteReference"/>
          <w:rFonts w:cstheme="minorHAnsi"/>
          <w:sz w:val="18"/>
          <w:szCs w:val="18"/>
        </w:rPr>
        <w:footnoteRef/>
      </w:r>
      <w:r w:rsidRPr="00E25FF6">
        <w:rPr>
          <w:rFonts w:eastAsia="Cambria" w:cstheme="minorHAnsi"/>
          <w:color w:val="000000"/>
          <w:sz w:val="18"/>
          <w:szCs w:val="18"/>
          <w:lang w:val="en-US"/>
        </w:rPr>
        <w:t xml:space="preserve"> </w:t>
      </w:r>
      <w:r w:rsidRPr="00E25FF6">
        <w:rPr>
          <w:rFonts w:eastAsia="Calibri" w:cstheme="minorHAnsi"/>
          <w:color w:val="000000"/>
          <w:sz w:val="18"/>
          <w:szCs w:val="18"/>
          <w:lang w:val="en-US"/>
        </w:rPr>
        <w:t>with a general interest mission.</w:t>
      </w:r>
    </w:p>
  </w:footnote>
  <w:footnote w:id="2">
    <w:p w14:paraId="71C199AF" w14:textId="27BE72B0" w:rsidR="00F17BB5" w:rsidRPr="00F17BB5" w:rsidRDefault="00F17BB5">
      <w:pPr>
        <w:pStyle w:val="FootnoteText"/>
        <w:rPr>
          <w:lang w:val="en-US"/>
        </w:rPr>
      </w:pPr>
      <w:r>
        <w:rPr>
          <w:rStyle w:val="FootnoteReference"/>
        </w:rPr>
        <w:footnoteRef/>
      </w:r>
      <w:r w:rsidRPr="00F17BB5">
        <w:rPr>
          <w:lang w:val="en-US"/>
        </w:rPr>
        <w:t xml:space="preserve"> https://www.ecoi.net/en/document/2089720.html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53E"/>
    <w:multiLevelType w:val="multilevel"/>
    <w:tmpl w:val="56A46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B1EB6"/>
    <w:multiLevelType w:val="multilevel"/>
    <w:tmpl w:val="BCEAD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7027D"/>
    <w:multiLevelType w:val="multilevel"/>
    <w:tmpl w:val="2F00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254749"/>
    <w:multiLevelType w:val="multilevel"/>
    <w:tmpl w:val="1C789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7B2C96"/>
    <w:multiLevelType w:val="multilevel"/>
    <w:tmpl w:val="7EA4D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042295"/>
    <w:multiLevelType w:val="multilevel"/>
    <w:tmpl w:val="E03E48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301EF0"/>
    <w:multiLevelType w:val="multilevel"/>
    <w:tmpl w:val="2542C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A90F7E"/>
    <w:multiLevelType w:val="multilevel"/>
    <w:tmpl w:val="30047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820888"/>
    <w:multiLevelType w:val="multilevel"/>
    <w:tmpl w:val="04162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8E519D"/>
    <w:multiLevelType w:val="multilevel"/>
    <w:tmpl w:val="55E00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977640"/>
    <w:multiLevelType w:val="multilevel"/>
    <w:tmpl w:val="0A2C951A"/>
    <w:lvl w:ilvl="0">
      <w:start w:val="1"/>
      <w:numFmt w:val="decimal"/>
      <w:lvlText w:val="%1)"/>
      <w:lvlJc w:val="left"/>
      <w:pPr>
        <w:tabs>
          <w:tab w:val="num" w:pos="720"/>
        </w:tabs>
        <w:ind w:left="720" w:hanging="360"/>
      </w:pPr>
      <w:rPr>
        <w:rFonts w:asciiTheme="minorHAnsi" w:eastAsia="Times New Roman" w:hAnsiTheme="minorHAnsi" w:cstheme="minorHAns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703639"/>
    <w:multiLevelType w:val="multilevel"/>
    <w:tmpl w:val="C1A20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821EFD"/>
    <w:multiLevelType w:val="multilevel"/>
    <w:tmpl w:val="004A9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E578A7"/>
    <w:multiLevelType w:val="multilevel"/>
    <w:tmpl w:val="BBCCF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6F7854"/>
    <w:multiLevelType w:val="multilevel"/>
    <w:tmpl w:val="F084B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F37D19"/>
    <w:multiLevelType w:val="multilevel"/>
    <w:tmpl w:val="12408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0B7E09"/>
    <w:multiLevelType w:val="hybridMultilevel"/>
    <w:tmpl w:val="D2326F0C"/>
    <w:lvl w:ilvl="0" w:tplc="AE348F12">
      <w:start w:val="1"/>
      <w:numFmt w:val="bullet"/>
      <w:lvlText w:val="•"/>
      <w:lvlJc w:val="left"/>
      <w:pPr>
        <w:ind w:left="400" w:hanging="260"/>
      </w:pPr>
    </w:lvl>
    <w:lvl w:ilvl="1" w:tplc="0F7A0A66">
      <w:numFmt w:val="decimal"/>
      <w:lvlText w:val=""/>
      <w:lvlJc w:val="left"/>
    </w:lvl>
    <w:lvl w:ilvl="2" w:tplc="437408E4">
      <w:numFmt w:val="decimal"/>
      <w:lvlText w:val=""/>
      <w:lvlJc w:val="left"/>
    </w:lvl>
    <w:lvl w:ilvl="3" w:tplc="4C1C1F06">
      <w:numFmt w:val="decimal"/>
      <w:lvlText w:val=""/>
      <w:lvlJc w:val="left"/>
    </w:lvl>
    <w:lvl w:ilvl="4" w:tplc="7E6C800E">
      <w:numFmt w:val="decimal"/>
      <w:lvlText w:val=""/>
      <w:lvlJc w:val="left"/>
    </w:lvl>
    <w:lvl w:ilvl="5" w:tplc="F6AA9686">
      <w:numFmt w:val="decimal"/>
      <w:lvlText w:val=""/>
      <w:lvlJc w:val="left"/>
    </w:lvl>
    <w:lvl w:ilvl="6" w:tplc="38B85B2A">
      <w:numFmt w:val="decimal"/>
      <w:lvlText w:val=""/>
      <w:lvlJc w:val="left"/>
    </w:lvl>
    <w:lvl w:ilvl="7" w:tplc="EFA88114">
      <w:numFmt w:val="decimal"/>
      <w:lvlText w:val=""/>
      <w:lvlJc w:val="left"/>
    </w:lvl>
    <w:lvl w:ilvl="8" w:tplc="5E02E734">
      <w:numFmt w:val="decimal"/>
      <w:lvlText w:val=""/>
      <w:lvlJc w:val="left"/>
    </w:lvl>
  </w:abstractNum>
  <w:abstractNum w:abstractNumId="17" w15:restartNumberingAfterBreak="0">
    <w:nsid w:val="5164223F"/>
    <w:multiLevelType w:val="multilevel"/>
    <w:tmpl w:val="0AA0F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956374"/>
    <w:multiLevelType w:val="multilevel"/>
    <w:tmpl w:val="6C708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B359BC"/>
    <w:multiLevelType w:val="multilevel"/>
    <w:tmpl w:val="A72EF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966657"/>
    <w:multiLevelType w:val="multilevel"/>
    <w:tmpl w:val="C0121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8373F0"/>
    <w:multiLevelType w:val="multilevel"/>
    <w:tmpl w:val="11F42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667B4F"/>
    <w:multiLevelType w:val="multilevel"/>
    <w:tmpl w:val="CA98A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CE76E3"/>
    <w:multiLevelType w:val="multilevel"/>
    <w:tmpl w:val="51803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AA2C43"/>
    <w:multiLevelType w:val="multilevel"/>
    <w:tmpl w:val="9AB22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EF565C"/>
    <w:multiLevelType w:val="multilevel"/>
    <w:tmpl w:val="9C70D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BD6D03"/>
    <w:multiLevelType w:val="multilevel"/>
    <w:tmpl w:val="C332E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8D027C"/>
    <w:multiLevelType w:val="multilevel"/>
    <w:tmpl w:val="20D29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1B3580"/>
    <w:multiLevelType w:val="multilevel"/>
    <w:tmpl w:val="4002F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197BDE"/>
    <w:multiLevelType w:val="multilevel"/>
    <w:tmpl w:val="7EE2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EE6E7E"/>
    <w:multiLevelType w:val="multilevel"/>
    <w:tmpl w:val="3D541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F60F4D"/>
    <w:multiLevelType w:val="multilevel"/>
    <w:tmpl w:val="66509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2922A3"/>
    <w:multiLevelType w:val="hybridMultilevel"/>
    <w:tmpl w:val="EAB01EBE"/>
    <w:lvl w:ilvl="0" w:tplc="D424FBEC">
      <w:start w:val="1"/>
      <w:numFmt w:val="decimal"/>
      <w:lvlText w:val="%1."/>
      <w:lvlJc w:val="left"/>
      <w:pPr>
        <w:ind w:left="420" w:hanging="300"/>
      </w:pPr>
    </w:lvl>
    <w:lvl w:ilvl="1" w:tplc="2E1C3414">
      <w:numFmt w:val="decimal"/>
      <w:lvlText w:val=""/>
      <w:lvlJc w:val="left"/>
    </w:lvl>
    <w:lvl w:ilvl="2" w:tplc="649E6AAC">
      <w:numFmt w:val="decimal"/>
      <w:lvlText w:val=""/>
      <w:lvlJc w:val="left"/>
    </w:lvl>
    <w:lvl w:ilvl="3" w:tplc="E24AF4F2">
      <w:numFmt w:val="decimal"/>
      <w:lvlText w:val=""/>
      <w:lvlJc w:val="left"/>
    </w:lvl>
    <w:lvl w:ilvl="4" w:tplc="9BFCA61E">
      <w:numFmt w:val="decimal"/>
      <w:lvlText w:val=""/>
      <w:lvlJc w:val="left"/>
    </w:lvl>
    <w:lvl w:ilvl="5" w:tplc="7AD47BDA">
      <w:numFmt w:val="decimal"/>
      <w:lvlText w:val=""/>
      <w:lvlJc w:val="left"/>
    </w:lvl>
    <w:lvl w:ilvl="6" w:tplc="F96A07E8">
      <w:numFmt w:val="decimal"/>
      <w:lvlText w:val=""/>
      <w:lvlJc w:val="left"/>
    </w:lvl>
    <w:lvl w:ilvl="7" w:tplc="A96ACFD6">
      <w:numFmt w:val="decimal"/>
      <w:lvlText w:val=""/>
      <w:lvlJc w:val="left"/>
    </w:lvl>
    <w:lvl w:ilvl="8" w:tplc="C576BF80">
      <w:numFmt w:val="decimal"/>
      <w:lvlText w:val=""/>
      <w:lvlJc w:val="left"/>
    </w:lvl>
  </w:abstractNum>
  <w:abstractNum w:abstractNumId="33" w15:restartNumberingAfterBreak="0">
    <w:nsid w:val="7DD76C80"/>
    <w:multiLevelType w:val="multilevel"/>
    <w:tmpl w:val="5532E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6290183">
    <w:abstractNumId w:val="18"/>
  </w:num>
  <w:num w:numId="2" w16cid:durableId="169368677">
    <w:abstractNumId w:val="28"/>
  </w:num>
  <w:num w:numId="3" w16cid:durableId="1364287897">
    <w:abstractNumId w:val="3"/>
  </w:num>
  <w:num w:numId="4" w16cid:durableId="1908609053">
    <w:abstractNumId w:val="21"/>
  </w:num>
  <w:num w:numId="5" w16cid:durableId="436753636">
    <w:abstractNumId w:val="25"/>
  </w:num>
  <w:num w:numId="6" w16cid:durableId="1966231670">
    <w:abstractNumId w:val="15"/>
  </w:num>
  <w:num w:numId="7" w16cid:durableId="1603148424">
    <w:abstractNumId w:val="22"/>
  </w:num>
  <w:num w:numId="8" w16cid:durableId="447359652">
    <w:abstractNumId w:val="7"/>
  </w:num>
  <w:num w:numId="9" w16cid:durableId="1410691755">
    <w:abstractNumId w:val="30"/>
  </w:num>
  <w:num w:numId="10" w16cid:durableId="364797211">
    <w:abstractNumId w:val="8"/>
  </w:num>
  <w:num w:numId="11" w16cid:durableId="541864242">
    <w:abstractNumId w:val="27"/>
  </w:num>
  <w:num w:numId="12" w16cid:durableId="798765582">
    <w:abstractNumId w:val="19"/>
  </w:num>
  <w:num w:numId="13" w16cid:durableId="1414547410">
    <w:abstractNumId w:val="12"/>
  </w:num>
  <w:num w:numId="14" w16cid:durableId="358704903">
    <w:abstractNumId w:val="6"/>
  </w:num>
  <w:num w:numId="15" w16cid:durableId="400980638">
    <w:abstractNumId w:val="29"/>
  </w:num>
  <w:num w:numId="16" w16cid:durableId="538513138">
    <w:abstractNumId w:val="17"/>
  </w:num>
  <w:num w:numId="17" w16cid:durableId="130949325">
    <w:abstractNumId w:val="14"/>
  </w:num>
  <w:num w:numId="18" w16cid:durableId="745803069">
    <w:abstractNumId w:val="20"/>
  </w:num>
  <w:num w:numId="19" w16cid:durableId="179399827">
    <w:abstractNumId w:val="24"/>
  </w:num>
  <w:num w:numId="20" w16cid:durableId="1992517935">
    <w:abstractNumId w:val="33"/>
  </w:num>
  <w:num w:numId="21" w16cid:durableId="367998977">
    <w:abstractNumId w:val="1"/>
  </w:num>
  <w:num w:numId="22" w16cid:durableId="636495243">
    <w:abstractNumId w:val="9"/>
  </w:num>
  <w:num w:numId="23" w16cid:durableId="1238517002">
    <w:abstractNumId w:val="13"/>
  </w:num>
  <w:num w:numId="24" w16cid:durableId="56436713">
    <w:abstractNumId w:val="0"/>
  </w:num>
  <w:num w:numId="25" w16cid:durableId="943535417">
    <w:abstractNumId w:val="5"/>
  </w:num>
  <w:num w:numId="26" w16cid:durableId="621225968">
    <w:abstractNumId w:val="31"/>
  </w:num>
  <w:num w:numId="27" w16cid:durableId="281347702">
    <w:abstractNumId w:val="26"/>
  </w:num>
  <w:num w:numId="28" w16cid:durableId="641540172">
    <w:abstractNumId w:val="11"/>
  </w:num>
  <w:num w:numId="29" w16cid:durableId="1741321078">
    <w:abstractNumId w:val="23"/>
  </w:num>
  <w:num w:numId="30" w16cid:durableId="1611548792">
    <w:abstractNumId w:val="4"/>
  </w:num>
  <w:num w:numId="31" w16cid:durableId="327863">
    <w:abstractNumId w:val="10"/>
  </w:num>
  <w:num w:numId="32" w16cid:durableId="963925813">
    <w:abstractNumId w:val="16"/>
    <w:lvlOverride w:ilvl="0">
      <w:startOverride w:val="1"/>
    </w:lvlOverride>
  </w:num>
  <w:num w:numId="33" w16cid:durableId="1622224841">
    <w:abstractNumId w:val="32"/>
    <w:lvlOverride w:ilvl="0">
      <w:startOverride w:val="1"/>
    </w:lvlOverride>
  </w:num>
  <w:num w:numId="34" w16cid:durableId="21204173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A7D"/>
    <w:rsid w:val="00040C88"/>
    <w:rsid w:val="00056DEC"/>
    <w:rsid w:val="00087C75"/>
    <w:rsid w:val="000956DF"/>
    <w:rsid w:val="000E229B"/>
    <w:rsid w:val="001128E5"/>
    <w:rsid w:val="00127C25"/>
    <w:rsid w:val="00190297"/>
    <w:rsid w:val="001D4DA6"/>
    <w:rsid w:val="001F552E"/>
    <w:rsid w:val="003A20FB"/>
    <w:rsid w:val="003D0DA4"/>
    <w:rsid w:val="00450965"/>
    <w:rsid w:val="0045443F"/>
    <w:rsid w:val="00455DAB"/>
    <w:rsid w:val="00493C93"/>
    <w:rsid w:val="005079DF"/>
    <w:rsid w:val="005D16A2"/>
    <w:rsid w:val="00664A7D"/>
    <w:rsid w:val="00735C68"/>
    <w:rsid w:val="00735E1B"/>
    <w:rsid w:val="00752AF7"/>
    <w:rsid w:val="007720C0"/>
    <w:rsid w:val="007B3CB1"/>
    <w:rsid w:val="007B6AEA"/>
    <w:rsid w:val="00815215"/>
    <w:rsid w:val="0082715E"/>
    <w:rsid w:val="00857467"/>
    <w:rsid w:val="00893DFC"/>
    <w:rsid w:val="008A55F6"/>
    <w:rsid w:val="008C0AA1"/>
    <w:rsid w:val="008D711A"/>
    <w:rsid w:val="00935061"/>
    <w:rsid w:val="009B37C7"/>
    <w:rsid w:val="009C7C28"/>
    <w:rsid w:val="009D1899"/>
    <w:rsid w:val="009D3085"/>
    <w:rsid w:val="00A1495E"/>
    <w:rsid w:val="00A57815"/>
    <w:rsid w:val="00A642A4"/>
    <w:rsid w:val="00AE2595"/>
    <w:rsid w:val="00B50033"/>
    <w:rsid w:val="00B62C4C"/>
    <w:rsid w:val="00B8404F"/>
    <w:rsid w:val="00B96FB4"/>
    <w:rsid w:val="00B97FAE"/>
    <w:rsid w:val="00BE6F95"/>
    <w:rsid w:val="00C33AC2"/>
    <w:rsid w:val="00C363C2"/>
    <w:rsid w:val="00C5393D"/>
    <w:rsid w:val="00CA42E0"/>
    <w:rsid w:val="00D5777A"/>
    <w:rsid w:val="00D904E1"/>
    <w:rsid w:val="00DC4603"/>
    <w:rsid w:val="00DD60B0"/>
    <w:rsid w:val="00E22E4F"/>
    <w:rsid w:val="00E25FF6"/>
    <w:rsid w:val="00E32AAB"/>
    <w:rsid w:val="00EA24BA"/>
    <w:rsid w:val="00EB0340"/>
    <w:rsid w:val="00F17BB5"/>
    <w:rsid w:val="00F27ACF"/>
    <w:rsid w:val="00F56D35"/>
    <w:rsid w:val="00F64FD7"/>
    <w:rsid w:val="00FE71C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54007"/>
  <w15:chartTrackingRefBased/>
  <w15:docId w15:val="{BA4498F3-D12D-4CD3-9E3C-A2D0B633A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16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64A7D"/>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Heading4">
    <w:name w:val="heading 4"/>
    <w:basedOn w:val="Normal"/>
    <w:link w:val="Heading4Char"/>
    <w:uiPriority w:val="9"/>
    <w:qFormat/>
    <w:rsid w:val="00664A7D"/>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64A7D"/>
    <w:rPr>
      <w:rFonts w:ascii="Times New Roman" w:eastAsia="Times New Roman" w:hAnsi="Times New Roman" w:cs="Times New Roman"/>
      <w:b/>
      <w:bCs/>
      <w:sz w:val="27"/>
      <w:szCs w:val="27"/>
      <w:lang w:eastAsia="fr-FR"/>
    </w:rPr>
  </w:style>
  <w:style w:type="character" w:customStyle="1" w:styleId="Heading4Char">
    <w:name w:val="Heading 4 Char"/>
    <w:basedOn w:val="DefaultParagraphFont"/>
    <w:link w:val="Heading4"/>
    <w:uiPriority w:val="9"/>
    <w:rsid w:val="00664A7D"/>
    <w:rPr>
      <w:rFonts w:ascii="Times New Roman" w:eastAsia="Times New Roman" w:hAnsi="Times New Roman" w:cs="Times New Roman"/>
      <w:b/>
      <w:bCs/>
      <w:sz w:val="24"/>
      <w:szCs w:val="24"/>
      <w:lang w:eastAsia="fr-FR"/>
    </w:rPr>
  </w:style>
  <w:style w:type="paragraph" w:styleId="NormalWeb">
    <w:name w:val="Normal (Web)"/>
    <w:basedOn w:val="Normal"/>
    <w:uiPriority w:val="99"/>
    <w:unhideWhenUsed/>
    <w:rsid w:val="00664A7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664A7D"/>
    <w:rPr>
      <w:b/>
      <w:bCs/>
    </w:rPr>
  </w:style>
  <w:style w:type="character" w:styleId="Emphasis">
    <w:name w:val="Emphasis"/>
    <w:basedOn w:val="DefaultParagraphFont"/>
    <w:uiPriority w:val="20"/>
    <w:qFormat/>
    <w:rsid w:val="00664A7D"/>
    <w:rPr>
      <w:i/>
      <w:iCs/>
    </w:rPr>
  </w:style>
  <w:style w:type="character" w:styleId="Hyperlink">
    <w:name w:val="Hyperlink"/>
    <w:basedOn w:val="DefaultParagraphFont"/>
    <w:uiPriority w:val="99"/>
    <w:unhideWhenUsed/>
    <w:rsid w:val="00664A7D"/>
    <w:rPr>
      <w:color w:val="0000FF"/>
      <w:u w:val="single"/>
    </w:rPr>
  </w:style>
  <w:style w:type="character" w:styleId="FootnoteReference">
    <w:name w:val="footnote reference"/>
    <w:basedOn w:val="DefaultParagraphFont"/>
    <w:uiPriority w:val="99"/>
    <w:unhideWhenUsed/>
    <w:rsid w:val="00D5777A"/>
    <w:rPr>
      <w:vertAlign w:val="superscript"/>
    </w:rPr>
  </w:style>
  <w:style w:type="paragraph" w:styleId="FootnoteText">
    <w:name w:val="footnote text"/>
    <w:basedOn w:val="Normal"/>
    <w:link w:val="FootnoteTextChar"/>
    <w:uiPriority w:val="99"/>
    <w:semiHidden/>
    <w:unhideWhenUsed/>
    <w:rsid w:val="00D577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777A"/>
    <w:rPr>
      <w:sz w:val="20"/>
      <w:szCs w:val="20"/>
    </w:rPr>
  </w:style>
  <w:style w:type="character" w:customStyle="1" w:styleId="Heading1Char">
    <w:name w:val="Heading 1 Char"/>
    <w:basedOn w:val="DefaultParagraphFont"/>
    <w:link w:val="Heading1"/>
    <w:uiPriority w:val="9"/>
    <w:rsid w:val="005D16A2"/>
    <w:rPr>
      <w:rFonts w:asciiTheme="majorHAnsi" w:eastAsiaTheme="majorEastAsia" w:hAnsiTheme="majorHAnsi" w:cstheme="majorBidi"/>
      <w:color w:val="2F5496" w:themeColor="accent1" w:themeShade="BF"/>
      <w:sz w:val="32"/>
      <w:szCs w:val="32"/>
    </w:rPr>
  </w:style>
  <w:style w:type="character" w:customStyle="1" w:styleId="truncate">
    <w:name w:val="truncate"/>
    <w:basedOn w:val="DefaultParagraphFont"/>
    <w:rsid w:val="00F27ACF"/>
  </w:style>
  <w:style w:type="paragraph" w:styleId="ListParagraph">
    <w:name w:val="List Paragraph"/>
    <w:basedOn w:val="Normal"/>
    <w:qFormat/>
    <w:rsid w:val="00AE2595"/>
    <w:pPr>
      <w:ind w:left="720"/>
      <w:contextualSpacing/>
    </w:pPr>
  </w:style>
  <w:style w:type="character" w:styleId="UnresolvedMention">
    <w:name w:val="Unresolved Mention"/>
    <w:basedOn w:val="DefaultParagraphFont"/>
    <w:uiPriority w:val="99"/>
    <w:semiHidden/>
    <w:unhideWhenUsed/>
    <w:rsid w:val="001128E5"/>
    <w:rPr>
      <w:color w:val="605E5C"/>
      <w:shd w:val="clear" w:color="auto" w:fill="E1DFDD"/>
    </w:rPr>
  </w:style>
  <w:style w:type="character" w:styleId="FollowedHyperlink">
    <w:name w:val="FollowedHyperlink"/>
    <w:basedOn w:val="DefaultParagraphFont"/>
    <w:uiPriority w:val="99"/>
    <w:semiHidden/>
    <w:unhideWhenUsed/>
    <w:rsid w:val="001128E5"/>
    <w:rPr>
      <w:color w:val="954F72" w:themeColor="followedHyperlink"/>
      <w:u w:val="single"/>
    </w:rPr>
  </w:style>
  <w:style w:type="paragraph" w:customStyle="1" w:styleId="pdq2pgselectionanchorcontainer">
    <w:name w:val="pdq2pg_selectionanchorcontainer"/>
    <w:basedOn w:val="Normal"/>
    <w:rsid w:val="00F17B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sselectedend">
    <w:name w:val="isselectedend"/>
    <w:basedOn w:val="Normal"/>
    <w:rsid w:val="00B840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56D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D35"/>
  </w:style>
  <w:style w:type="paragraph" w:styleId="Footer">
    <w:name w:val="footer"/>
    <w:basedOn w:val="Normal"/>
    <w:link w:val="FooterChar"/>
    <w:uiPriority w:val="99"/>
    <w:unhideWhenUsed/>
    <w:rsid w:val="00F56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230451">
      <w:bodyDiv w:val="1"/>
      <w:marLeft w:val="0"/>
      <w:marRight w:val="0"/>
      <w:marTop w:val="0"/>
      <w:marBottom w:val="0"/>
      <w:divBdr>
        <w:top w:val="none" w:sz="0" w:space="0" w:color="auto"/>
        <w:left w:val="none" w:sz="0" w:space="0" w:color="auto"/>
        <w:bottom w:val="none" w:sz="0" w:space="0" w:color="auto"/>
        <w:right w:val="none" w:sz="0" w:space="0" w:color="auto"/>
      </w:divBdr>
      <w:divsChild>
        <w:div w:id="295720478">
          <w:marLeft w:val="0"/>
          <w:marRight w:val="0"/>
          <w:marTop w:val="0"/>
          <w:marBottom w:val="0"/>
          <w:divBdr>
            <w:top w:val="none" w:sz="0" w:space="0" w:color="auto"/>
            <w:left w:val="none" w:sz="0" w:space="0" w:color="auto"/>
            <w:bottom w:val="none" w:sz="0" w:space="0" w:color="auto"/>
            <w:right w:val="none" w:sz="0" w:space="0" w:color="auto"/>
          </w:divBdr>
        </w:div>
        <w:div w:id="1310407224">
          <w:marLeft w:val="0"/>
          <w:marRight w:val="0"/>
          <w:marTop w:val="0"/>
          <w:marBottom w:val="0"/>
          <w:divBdr>
            <w:top w:val="none" w:sz="0" w:space="0" w:color="auto"/>
            <w:left w:val="none" w:sz="0" w:space="0" w:color="auto"/>
            <w:bottom w:val="none" w:sz="0" w:space="0" w:color="auto"/>
            <w:right w:val="none" w:sz="0" w:space="0" w:color="auto"/>
          </w:divBdr>
        </w:div>
        <w:div w:id="121581388">
          <w:marLeft w:val="0"/>
          <w:marRight w:val="0"/>
          <w:marTop w:val="0"/>
          <w:marBottom w:val="0"/>
          <w:divBdr>
            <w:top w:val="none" w:sz="0" w:space="0" w:color="auto"/>
            <w:left w:val="none" w:sz="0" w:space="0" w:color="auto"/>
            <w:bottom w:val="none" w:sz="0" w:space="0" w:color="auto"/>
            <w:right w:val="none" w:sz="0" w:space="0" w:color="auto"/>
          </w:divBdr>
        </w:div>
      </w:divsChild>
    </w:div>
    <w:div w:id="280232880">
      <w:bodyDiv w:val="1"/>
      <w:marLeft w:val="0"/>
      <w:marRight w:val="0"/>
      <w:marTop w:val="0"/>
      <w:marBottom w:val="0"/>
      <w:divBdr>
        <w:top w:val="none" w:sz="0" w:space="0" w:color="auto"/>
        <w:left w:val="none" w:sz="0" w:space="0" w:color="auto"/>
        <w:bottom w:val="none" w:sz="0" w:space="0" w:color="auto"/>
        <w:right w:val="none" w:sz="0" w:space="0" w:color="auto"/>
      </w:divBdr>
    </w:div>
    <w:div w:id="457384141">
      <w:bodyDiv w:val="1"/>
      <w:marLeft w:val="0"/>
      <w:marRight w:val="0"/>
      <w:marTop w:val="0"/>
      <w:marBottom w:val="0"/>
      <w:divBdr>
        <w:top w:val="none" w:sz="0" w:space="0" w:color="auto"/>
        <w:left w:val="none" w:sz="0" w:space="0" w:color="auto"/>
        <w:bottom w:val="none" w:sz="0" w:space="0" w:color="auto"/>
        <w:right w:val="none" w:sz="0" w:space="0" w:color="auto"/>
      </w:divBdr>
      <w:divsChild>
        <w:div w:id="289557053">
          <w:marLeft w:val="0"/>
          <w:marRight w:val="0"/>
          <w:marTop w:val="0"/>
          <w:marBottom w:val="0"/>
          <w:divBdr>
            <w:top w:val="none" w:sz="0" w:space="0" w:color="auto"/>
            <w:left w:val="none" w:sz="0" w:space="0" w:color="auto"/>
            <w:bottom w:val="none" w:sz="0" w:space="0" w:color="auto"/>
            <w:right w:val="none" w:sz="0" w:space="0" w:color="auto"/>
          </w:divBdr>
          <w:divsChild>
            <w:div w:id="452600067">
              <w:marLeft w:val="0"/>
              <w:marRight w:val="0"/>
              <w:marTop w:val="0"/>
              <w:marBottom w:val="0"/>
              <w:divBdr>
                <w:top w:val="none" w:sz="0" w:space="0" w:color="auto"/>
                <w:left w:val="none" w:sz="0" w:space="0" w:color="auto"/>
                <w:bottom w:val="none" w:sz="0" w:space="0" w:color="auto"/>
                <w:right w:val="none" w:sz="0" w:space="0" w:color="auto"/>
              </w:divBdr>
              <w:divsChild>
                <w:div w:id="904410240">
                  <w:marLeft w:val="0"/>
                  <w:marRight w:val="0"/>
                  <w:marTop w:val="0"/>
                  <w:marBottom w:val="0"/>
                  <w:divBdr>
                    <w:top w:val="none" w:sz="0" w:space="0" w:color="auto"/>
                    <w:left w:val="none" w:sz="0" w:space="0" w:color="auto"/>
                    <w:bottom w:val="none" w:sz="0" w:space="0" w:color="auto"/>
                    <w:right w:val="none" w:sz="0" w:space="0" w:color="auto"/>
                  </w:divBdr>
                  <w:divsChild>
                    <w:div w:id="1730420489">
                      <w:marLeft w:val="0"/>
                      <w:marRight w:val="0"/>
                      <w:marTop w:val="0"/>
                      <w:marBottom w:val="0"/>
                      <w:divBdr>
                        <w:top w:val="none" w:sz="0" w:space="0" w:color="auto"/>
                        <w:left w:val="none" w:sz="0" w:space="0" w:color="auto"/>
                        <w:bottom w:val="none" w:sz="0" w:space="0" w:color="auto"/>
                        <w:right w:val="none" w:sz="0" w:space="0" w:color="auto"/>
                      </w:divBdr>
                      <w:divsChild>
                        <w:div w:id="1354646242">
                          <w:marLeft w:val="0"/>
                          <w:marRight w:val="0"/>
                          <w:marTop w:val="0"/>
                          <w:marBottom w:val="0"/>
                          <w:divBdr>
                            <w:top w:val="none" w:sz="0" w:space="0" w:color="auto"/>
                            <w:left w:val="none" w:sz="0" w:space="0" w:color="auto"/>
                            <w:bottom w:val="none" w:sz="0" w:space="0" w:color="auto"/>
                            <w:right w:val="none" w:sz="0" w:space="0" w:color="auto"/>
                          </w:divBdr>
                          <w:divsChild>
                            <w:div w:id="181706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384131">
      <w:bodyDiv w:val="1"/>
      <w:marLeft w:val="0"/>
      <w:marRight w:val="0"/>
      <w:marTop w:val="0"/>
      <w:marBottom w:val="0"/>
      <w:divBdr>
        <w:top w:val="none" w:sz="0" w:space="0" w:color="auto"/>
        <w:left w:val="none" w:sz="0" w:space="0" w:color="auto"/>
        <w:bottom w:val="none" w:sz="0" w:space="0" w:color="auto"/>
        <w:right w:val="none" w:sz="0" w:space="0" w:color="auto"/>
      </w:divBdr>
      <w:divsChild>
        <w:div w:id="1535076458">
          <w:marLeft w:val="0"/>
          <w:marRight w:val="0"/>
          <w:marTop w:val="0"/>
          <w:marBottom w:val="0"/>
          <w:divBdr>
            <w:top w:val="none" w:sz="0" w:space="0" w:color="auto"/>
            <w:left w:val="none" w:sz="0" w:space="0" w:color="auto"/>
            <w:bottom w:val="none" w:sz="0" w:space="0" w:color="auto"/>
            <w:right w:val="none" w:sz="0" w:space="0" w:color="auto"/>
          </w:divBdr>
        </w:div>
        <w:div w:id="1644045258">
          <w:marLeft w:val="0"/>
          <w:marRight w:val="0"/>
          <w:marTop w:val="0"/>
          <w:marBottom w:val="0"/>
          <w:divBdr>
            <w:top w:val="none" w:sz="0" w:space="0" w:color="auto"/>
            <w:left w:val="none" w:sz="0" w:space="0" w:color="auto"/>
            <w:bottom w:val="none" w:sz="0" w:space="0" w:color="auto"/>
            <w:right w:val="none" w:sz="0" w:space="0" w:color="auto"/>
          </w:divBdr>
        </w:div>
        <w:div w:id="1190948264">
          <w:marLeft w:val="0"/>
          <w:marRight w:val="0"/>
          <w:marTop w:val="0"/>
          <w:marBottom w:val="0"/>
          <w:divBdr>
            <w:top w:val="none" w:sz="0" w:space="0" w:color="auto"/>
            <w:left w:val="none" w:sz="0" w:space="0" w:color="auto"/>
            <w:bottom w:val="none" w:sz="0" w:space="0" w:color="auto"/>
            <w:right w:val="none" w:sz="0" w:space="0" w:color="auto"/>
          </w:divBdr>
        </w:div>
        <w:div w:id="1649631775">
          <w:marLeft w:val="0"/>
          <w:marRight w:val="0"/>
          <w:marTop w:val="0"/>
          <w:marBottom w:val="0"/>
          <w:divBdr>
            <w:top w:val="none" w:sz="0" w:space="0" w:color="auto"/>
            <w:left w:val="none" w:sz="0" w:space="0" w:color="auto"/>
            <w:bottom w:val="none" w:sz="0" w:space="0" w:color="auto"/>
            <w:right w:val="none" w:sz="0" w:space="0" w:color="auto"/>
          </w:divBdr>
        </w:div>
        <w:div w:id="1776170896">
          <w:marLeft w:val="0"/>
          <w:marRight w:val="0"/>
          <w:marTop w:val="0"/>
          <w:marBottom w:val="0"/>
          <w:divBdr>
            <w:top w:val="none" w:sz="0" w:space="0" w:color="auto"/>
            <w:left w:val="none" w:sz="0" w:space="0" w:color="auto"/>
            <w:bottom w:val="none" w:sz="0" w:space="0" w:color="auto"/>
            <w:right w:val="none" w:sz="0" w:space="0" w:color="auto"/>
          </w:divBdr>
        </w:div>
      </w:divsChild>
    </w:div>
    <w:div w:id="645163528">
      <w:bodyDiv w:val="1"/>
      <w:marLeft w:val="0"/>
      <w:marRight w:val="0"/>
      <w:marTop w:val="0"/>
      <w:marBottom w:val="0"/>
      <w:divBdr>
        <w:top w:val="none" w:sz="0" w:space="0" w:color="auto"/>
        <w:left w:val="none" w:sz="0" w:space="0" w:color="auto"/>
        <w:bottom w:val="none" w:sz="0" w:space="0" w:color="auto"/>
        <w:right w:val="none" w:sz="0" w:space="0" w:color="auto"/>
      </w:divBdr>
    </w:div>
    <w:div w:id="771433094">
      <w:bodyDiv w:val="1"/>
      <w:marLeft w:val="0"/>
      <w:marRight w:val="0"/>
      <w:marTop w:val="0"/>
      <w:marBottom w:val="0"/>
      <w:divBdr>
        <w:top w:val="none" w:sz="0" w:space="0" w:color="auto"/>
        <w:left w:val="none" w:sz="0" w:space="0" w:color="auto"/>
        <w:bottom w:val="none" w:sz="0" w:space="0" w:color="auto"/>
        <w:right w:val="none" w:sz="0" w:space="0" w:color="auto"/>
      </w:divBdr>
    </w:div>
    <w:div w:id="881593235">
      <w:bodyDiv w:val="1"/>
      <w:marLeft w:val="0"/>
      <w:marRight w:val="0"/>
      <w:marTop w:val="0"/>
      <w:marBottom w:val="0"/>
      <w:divBdr>
        <w:top w:val="none" w:sz="0" w:space="0" w:color="auto"/>
        <w:left w:val="none" w:sz="0" w:space="0" w:color="auto"/>
        <w:bottom w:val="none" w:sz="0" w:space="0" w:color="auto"/>
        <w:right w:val="none" w:sz="0" w:space="0" w:color="auto"/>
      </w:divBdr>
      <w:divsChild>
        <w:div w:id="1572613548">
          <w:marLeft w:val="0"/>
          <w:marRight w:val="0"/>
          <w:marTop w:val="0"/>
          <w:marBottom w:val="0"/>
          <w:divBdr>
            <w:top w:val="none" w:sz="0" w:space="0" w:color="auto"/>
            <w:left w:val="none" w:sz="0" w:space="0" w:color="auto"/>
            <w:bottom w:val="none" w:sz="0" w:space="0" w:color="auto"/>
            <w:right w:val="none" w:sz="0" w:space="0" w:color="auto"/>
          </w:divBdr>
          <w:divsChild>
            <w:div w:id="1878659019">
              <w:marLeft w:val="0"/>
              <w:marRight w:val="0"/>
              <w:marTop w:val="0"/>
              <w:marBottom w:val="0"/>
              <w:divBdr>
                <w:top w:val="none" w:sz="0" w:space="0" w:color="auto"/>
                <w:left w:val="none" w:sz="0" w:space="0" w:color="auto"/>
                <w:bottom w:val="none" w:sz="0" w:space="0" w:color="auto"/>
                <w:right w:val="none" w:sz="0" w:space="0" w:color="auto"/>
              </w:divBdr>
              <w:divsChild>
                <w:div w:id="2024165544">
                  <w:marLeft w:val="0"/>
                  <w:marRight w:val="0"/>
                  <w:marTop w:val="0"/>
                  <w:marBottom w:val="0"/>
                  <w:divBdr>
                    <w:top w:val="none" w:sz="0" w:space="0" w:color="auto"/>
                    <w:left w:val="none" w:sz="0" w:space="0" w:color="auto"/>
                    <w:bottom w:val="none" w:sz="0" w:space="0" w:color="auto"/>
                    <w:right w:val="none" w:sz="0" w:space="0" w:color="auto"/>
                  </w:divBdr>
                  <w:divsChild>
                    <w:div w:id="986973601">
                      <w:marLeft w:val="0"/>
                      <w:marRight w:val="0"/>
                      <w:marTop w:val="0"/>
                      <w:marBottom w:val="0"/>
                      <w:divBdr>
                        <w:top w:val="none" w:sz="0" w:space="0" w:color="auto"/>
                        <w:left w:val="none" w:sz="0" w:space="0" w:color="auto"/>
                        <w:bottom w:val="none" w:sz="0" w:space="0" w:color="auto"/>
                        <w:right w:val="none" w:sz="0" w:space="0" w:color="auto"/>
                      </w:divBdr>
                      <w:divsChild>
                        <w:div w:id="977733224">
                          <w:marLeft w:val="0"/>
                          <w:marRight w:val="0"/>
                          <w:marTop w:val="0"/>
                          <w:marBottom w:val="0"/>
                          <w:divBdr>
                            <w:top w:val="none" w:sz="0" w:space="0" w:color="auto"/>
                            <w:left w:val="none" w:sz="0" w:space="0" w:color="auto"/>
                            <w:bottom w:val="none" w:sz="0" w:space="0" w:color="auto"/>
                            <w:right w:val="none" w:sz="0" w:space="0" w:color="auto"/>
                          </w:divBdr>
                          <w:divsChild>
                            <w:div w:id="135823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5332731">
      <w:bodyDiv w:val="1"/>
      <w:marLeft w:val="0"/>
      <w:marRight w:val="0"/>
      <w:marTop w:val="0"/>
      <w:marBottom w:val="0"/>
      <w:divBdr>
        <w:top w:val="none" w:sz="0" w:space="0" w:color="auto"/>
        <w:left w:val="none" w:sz="0" w:space="0" w:color="auto"/>
        <w:bottom w:val="none" w:sz="0" w:space="0" w:color="auto"/>
        <w:right w:val="none" w:sz="0" w:space="0" w:color="auto"/>
      </w:divBdr>
    </w:div>
    <w:div w:id="1186676310">
      <w:bodyDiv w:val="1"/>
      <w:marLeft w:val="0"/>
      <w:marRight w:val="0"/>
      <w:marTop w:val="0"/>
      <w:marBottom w:val="0"/>
      <w:divBdr>
        <w:top w:val="none" w:sz="0" w:space="0" w:color="auto"/>
        <w:left w:val="none" w:sz="0" w:space="0" w:color="auto"/>
        <w:bottom w:val="none" w:sz="0" w:space="0" w:color="auto"/>
        <w:right w:val="none" w:sz="0" w:space="0" w:color="auto"/>
      </w:divBdr>
      <w:divsChild>
        <w:div w:id="1528568616">
          <w:marLeft w:val="0"/>
          <w:marRight w:val="0"/>
          <w:marTop w:val="0"/>
          <w:marBottom w:val="0"/>
          <w:divBdr>
            <w:top w:val="none" w:sz="0" w:space="0" w:color="auto"/>
            <w:left w:val="none" w:sz="0" w:space="0" w:color="auto"/>
            <w:bottom w:val="none" w:sz="0" w:space="0" w:color="auto"/>
            <w:right w:val="none" w:sz="0" w:space="0" w:color="auto"/>
          </w:divBdr>
        </w:div>
        <w:div w:id="1813061790">
          <w:marLeft w:val="0"/>
          <w:marRight w:val="0"/>
          <w:marTop w:val="0"/>
          <w:marBottom w:val="0"/>
          <w:divBdr>
            <w:top w:val="none" w:sz="0" w:space="0" w:color="auto"/>
            <w:left w:val="none" w:sz="0" w:space="0" w:color="auto"/>
            <w:bottom w:val="none" w:sz="0" w:space="0" w:color="auto"/>
            <w:right w:val="none" w:sz="0" w:space="0" w:color="auto"/>
          </w:divBdr>
        </w:div>
        <w:div w:id="394744046">
          <w:marLeft w:val="0"/>
          <w:marRight w:val="0"/>
          <w:marTop w:val="0"/>
          <w:marBottom w:val="0"/>
          <w:divBdr>
            <w:top w:val="none" w:sz="0" w:space="0" w:color="auto"/>
            <w:left w:val="none" w:sz="0" w:space="0" w:color="auto"/>
            <w:bottom w:val="none" w:sz="0" w:space="0" w:color="auto"/>
            <w:right w:val="none" w:sz="0" w:space="0" w:color="auto"/>
          </w:divBdr>
        </w:div>
        <w:div w:id="529951934">
          <w:marLeft w:val="0"/>
          <w:marRight w:val="0"/>
          <w:marTop w:val="0"/>
          <w:marBottom w:val="0"/>
          <w:divBdr>
            <w:top w:val="none" w:sz="0" w:space="0" w:color="auto"/>
            <w:left w:val="none" w:sz="0" w:space="0" w:color="auto"/>
            <w:bottom w:val="none" w:sz="0" w:space="0" w:color="auto"/>
            <w:right w:val="none" w:sz="0" w:space="0" w:color="auto"/>
          </w:divBdr>
        </w:div>
        <w:div w:id="1327057497">
          <w:marLeft w:val="0"/>
          <w:marRight w:val="0"/>
          <w:marTop w:val="0"/>
          <w:marBottom w:val="0"/>
          <w:divBdr>
            <w:top w:val="none" w:sz="0" w:space="0" w:color="auto"/>
            <w:left w:val="none" w:sz="0" w:space="0" w:color="auto"/>
            <w:bottom w:val="none" w:sz="0" w:space="0" w:color="auto"/>
            <w:right w:val="none" w:sz="0" w:space="0" w:color="auto"/>
          </w:divBdr>
        </w:div>
      </w:divsChild>
    </w:div>
    <w:div w:id="1220478379">
      <w:bodyDiv w:val="1"/>
      <w:marLeft w:val="0"/>
      <w:marRight w:val="0"/>
      <w:marTop w:val="0"/>
      <w:marBottom w:val="0"/>
      <w:divBdr>
        <w:top w:val="none" w:sz="0" w:space="0" w:color="auto"/>
        <w:left w:val="none" w:sz="0" w:space="0" w:color="auto"/>
        <w:bottom w:val="none" w:sz="0" w:space="0" w:color="auto"/>
        <w:right w:val="none" w:sz="0" w:space="0" w:color="auto"/>
      </w:divBdr>
    </w:div>
    <w:div w:id="1367099659">
      <w:bodyDiv w:val="1"/>
      <w:marLeft w:val="0"/>
      <w:marRight w:val="0"/>
      <w:marTop w:val="0"/>
      <w:marBottom w:val="0"/>
      <w:divBdr>
        <w:top w:val="none" w:sz="0" w:space="0" w:color="auto"/>
        <w:left w:val="none" w:sz="0" w:space="0" w:color="auto"/>
        <w:bottom w:val="none" w:sz="0" w:space="0" w:color="auto"/>
        <w:right w:val="none" w:sz="0" w:space="0" w:color="auto"/>
      </w:divBdr>
    </w:div>
    <w:div w:id="1532569682">
      <w:bodyDiv w:val="1"/>
      <w:marLeft w:val="0"/>
      <w:marRight w:val="0"/>
      <w:marTop w:val="0"/>
      <w:marBottom w:val="0"/>
      <w:divBdr>
        <w:top w:val="none" w:sz="0" w:space="0" w:color="auto"/>
        <w:left w:val="none" w:sz="0" w:space="0" w:color="auto"/>
        <w:bottom w:val="none" w:sz="0" w:space="0" w:color="auto"/>
        <w:right w:val="none" w:sz="0" w:space="0" w:color="auto"/>
      </w:divBdr>
      <w:divsChild>
        <w:div w:id="787627078">
          <w:marLeft w:val="0"/>
          <w:marRight w:val="0"/>
          <w:marTop w:val="0"/>
          <w:marBottom w:val="0"/>
          <w:divBdr>
            <w:top w:val="none" w:sz="0" w:space="0" w:color="auto"/>
            <w:left w:val="none" w:sz="0" w:space="0" w:color="auto"/>
            <w:bottom w:val="none" w:sz="0" w:space="0" w:color="auto"/>
            <w:right w:val="none" w:sz="0" w:space="0" w:color="auto"/>
          </w:divBdr>
        </w:div>
        <w:div w:id="1662350127">
          <w:marLeft w:val="0"/>
          <w:marRight w:val="0"/>
          <w:marTop w:val="0"/>
          <w:marBottom w:val="0"/>
          <w:divBdr>
            <w:top w:val="none" w:sz="0" w:space="0" w:color="auto"/>
            <w:left w:val="none" w:sz="0" w:space="0" w:color="auto"/>
            <w:bottom w:val="none" w:sz="0" w:space="0" w:color="auto"/>
            <w:right w:val="none" w:sz="0" w:space="0" w:color="auto"/>
          </w:divBdr>
        </w:div>
        <w:div w:id="469513974">
          <w:marLeft w:val="0"/>
          <w:marRight w:val="0"/>
          <w:marTop w:val="0"/>
          <w:marBottom w:val="0"/>
          <w:divBdr>
            <w:top w:val="none" w:sz="0" w:space="0" w:color="auto"/>
            <w:left w:val="none" w:sz="0" w:space="0" w:color="auto"/>
            <w:bottom w:val="none" w:sz="0" w:space="0" w:color="auto"/>
            <w:right w:val="none" w:sz="0" w:space="0" w:color="auto"/>
          </w:divBdr>
        </w:div>
        <w:div w:id="1231815736">
          <w:marLeft w:val="0"/>
          <w:marRight w:val="0"/>
          <w:marTop w:val="0"/>
          <w:marBottom w:val="0"/>
          <w:divBdr>
            <w:top w:val="none" w:sz="0" w:space="0" w:color="auto"/>
            <w:left w:val="none" w:sz="0" w:space="0" w:color="auto"/>
            <w:bottom w:val="none" w:sz="0" w:space="0" w:color="auto"/>
            <w:right w:val="none" w:sz="0" w:space="0" w:color="auto"/>
          </w:divBdr>
        </w:div>
        <w:div w:id="1396010091">
          <w:marLeft w:val="0"/>
          <w:marRight w:val="0"/>
          <w:marTop w:val="0"/>
          <w:marBottom w:val="0"/>
          <w:divBdr>
            <w:top w:val="none" w:sz="0" w:space="0" w:color="auto"/>
            <w:left w:val="none" w:sz="0" w:space="0" w:color="auto"/>
            <w:bottom w:val="none" w:sz="0" w:space="0" w:color="auto"/>
            <w:right w:val="none" w:sz="0" w:space="0" w:color="auto"/>
          </w:divBdr>
        </w:div>
      </w:divsChild>
    </w:div>
    <w:div w:id="1548956428">
      <w:bodyDiv w:val="1"/>
      <w:marLeft w:val="0"/>
      <w:marRight w:val="0"/>
      <w:marTop w:val="0"/>
      <w:marBottom w:val="0"/>
      <w:divBdr>
        <w:top w:val="none" w:sz="0" w:space="0" w:color="auto"/>
        <w:left w:val="none" w:sz="0" w:space="0" w:color="auto"/>
        <w:bottom w:val="none" w:sz="0" w:space="0" w:color="auto"/>
        <w:right w:val="none" w:sz="0" w:space="0" w:color="auto"/>
      </w:divBdr>
    </w:div>
    <w:div w:id="1799372632">
      <w:bodyDiv w:val="1"/>
      <w:marLeft w:val="0"/>
      <w:marRight w:val="0"/>
      <w:marTop w:val="0"/>
      <w:marBottom w:val="0"/>
      <w:divBdr>
        <w:top w:val="none" w:sz="0" w:space="0" w:color="auto"/>
        <w:left w:val="none" w:sz="0" w:space="0" w:color="auto"/>
        <w:bottom w:val="none" w:sz="0" w:space="0" w:color="auto"/>
        <w:right w:val="none" w:sz="0" w:space="0" w:color="auto"/>
      </w:divBdr>
    </w:div>
    <w:div w:id="181044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2026-07-20T10:04:43+00:00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532A190-4617-4CB6-BAD1-6AC96DB86BD9}">
  <ds:schemaRefs>
    <ds:schemaRef ds:uri="http://schemas.openxmlformats.org/officeDocument/2006/bibliography"/>
  </ds:schemaRefs>
</ds:datastoreItem>
</file>

<file path=customXml/itemProps2.xml><?xml version="1.0" encoding="utf-8"?>
<ds:datastoreItem xmlns:ds="http://schemas.openxmlformats.org/officeDocument/2006/customXml" ds:itemID="{BFA2253B-4A11-4C76-BB56-EE8BDD785173}"/>
</file>

<file path=customXml/itemProps3.xml><?xml version="1.0" encoding="utf-8"?>
<ds:datastoreItem xmlns:ds="http://schemas.openxmlformats.org/officeDocument/2006/customXml" ds:itemID="{95367E9E-3AAF-4853-828A-3FD587ABF28D}"/>
</file>

<file path=customXml/itemProps4.xml><?xml version="1.0" encoding="utf-8"?>
<ds:datastoreItem xmlns:ds="http://schemas.openxmlformats.org/officeDocument/2006/customXml" ds:itemID="{72054320-F7D9-4E39-A06D-24DFE879C40C}"/>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2968</Words>
  <Characters>18290</Characters>
  <Application>Microsoft Office Word</Application>
  <DocSecurity>4</DocSecurity>
  <Lines>295</Lines>
  <Paragraphs>72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Jorge Araya</cp:lastModifiedBy>
  <cp:revision>2</cp:revision>
  <dcterms:created xsi:type="dcterms:W3CDTF">2026-07-20T10:04:00Z</dcterms:created>
  <dcterms:modified xsi:type="dcterms:W3CDTF">2026-07-20T10:04:00Z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