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18552" w14:textId="669E0F04" w:rsidR="00AD1762" w:rsidRDefault="00AD1762" w:rsidP="00EB5432">
      <w:pPr>
        <w:bidi/>
        <w:spacing w:after="0"/>
        <w:jc w:val="center"/>
        <w:rPr>
          <w:b/>
          <w:bCs/>
          <w:sz w:val="28"/>
          <w:szCs w:val="28"/>
        </w:rPr>
      </w:pPr>
      <w:r>
        <w:rPr>
          <w:noProof/>
        </w:rPr>
        <w:drawing>
          <wp:inline distT="0" distB="0" distL="0" distR="0" wp14:anchorId="58B2ECA9" wp14:editId="1741FB76">
            <wp:extent cx="4438650" cy="857250"/>
            <wp:effectExtent l="0" t="0" r="0" b="0"/>
            <wp:docPr id="2" name="Image 4" descr="C:\Users\abh pc\AppData\Local\Microsoft\Windows\Temporary Internet Files\Content.Word\Sans tit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bh pc\AppData\Local\Microsoft\Windows\Temporary Internet Files\Content.Word\Sans titre.png"/>
                    <pic:cNvPicPr>
                      <a:picLocks noChangeAspect="1" noChangeArrowheads="1"/>
                    </pic:cNvPicPr>
                  </pic:nvPicPr>
                  <pic:blipFill rotWithShape="1">
                    <a:blip r:embed="rId7">
                      <a:lum bright="10000"/>
                    </a:blip>
                    <a:srcRect l="41151" t="32238" r="1338" b="22382"/>
                    <a:stretch/>
                  </pic:blipFill>
                  <pic:spPr bwMode="auto">
                    <a:xfrm>
                      <a:off x="0" y="0"/>
                      <a:ext cx="4443508" cy="858188"/>
                    </a:xfrm>
                    <a:prstGeom prst="rect">
                      <a:avLst/>
                    </a:prstGeom>
                    <a:noFill/>
                    <a:ln>
                      <a:noFill/>
                    </a:ln>
                    <a:extLst>
                      <a:ext uri="{53640926-AAD7-44D8-BBD7-CCE9431645EC}">
                        <a14:shadowObscured xmlns:a14="http://schemas.microsoft.com/office/drawing/2010/main"/>
                      </a:ext>
                    </a:extLst>
                  </pic:spPr>
                </pic:pic>
              </a:graphicData>
            </a:graphic>
          </wp:inline>
        </w:drawing>
      </w:r>
    </w:p>
    <w:p w14:paraId="6F89DB39" w14:textId="77777777" w:rsidR="00B80C35" w:rsidRDefault="005D2014" w:rsidP="00AD1762">
      <w:pPr>
        <w:bidi/>
        <w:spacing w:after="0"/>
        <w:jc w:val="center"/>
        <w:rPr>
          <w:b/>
          <w:bCs/>
          <w:sz w:val="28"/>
          <w:szCs w:val="28"/>
        </w:rPr>
      </w:pPr>
      <w:r w:rsidRPr="005D2014">
        <w:rPr>
          <w:b/>
          <w:bCs/>
          <w:sz w:val="28"/>
          <w:szCs w:val="28"/>
        </w:rPr>
        <w:t>L'Association Sahraouie des Droits Economiques, Sociaux, Culturels et Environnementaux</w:t>
      </w:r>
    </w:p>
    <w:p w14:paraId="16AC18F0" w14:textId="77777777" w:rsidR="005D2014" w:rsidRDefault="005D2014" w:rsidP="00EB5432">
      <w:pPr>
        <w:bidi/>
        <w:spacing w:after="0"/>
        <w:jc w:val="center"/>
        <w:rPr>
          <w:b/>
          <w:bCs/>
          <w:sz w:val="28"/>
          <w:szCs w:val="28"/>
        </w:rPr>
      </w:pPr>
      <w:r w:rsidRPr="005D2014">
        <w:rPr>
          <w:b/>
          <w:bCs/>
          <w:sz w:val="28"/>
          <w:szCs w:val="28"/>
        </w:rPr>
        <w:t>Région Dakhla-Oued Eddahab</w:t>
      </w:r>
    </w:p>
    <w:p w14:paraId="63457325" w14:textId="77777777" w:rsidR="005D2014" w:rsidRDefault="005D2014" w:rsidP="005D2014">
      <w:pPr>
        <w:bidi/>
        <w:jc w:val="center"/>
        <w:rPr>
          <w:b/>
          <w:bCs/>
          <w:sz w:val="28"/>
          <w:szCs w:val="28"/>
        </w:rPr>
      </w:pPr>
    </w:p>
    <w:p w14:paraId="7A5F48FA" w14:textId="4B733052" w:rsidR="005D2014" w:rsidRDefault="005D2014" w:rsidP="005D2014">
      <w:pPr>
        <w:bidi/>
        <w:jc w:val="center"/>
        <w:rPr>
          <w:b/>
          <w:bCs/>
          <w:sz w:val="28"/>
          <w:szCs w:val="28"/>
        </w:rPr>
      </w:pPr>
    </w:p>
    <w:p w14:paraId="347F864C" w14:textId="77777777" w:rsidR="005D2014" w:rsidRDefault="005D2014" w:rsidP="005D2014">
      <w:pPr>
        <w:bidi/>
        <w:jc w:val="center"/>
        <w:rPr>
          <w:b/>
          <w:bCs/>
          <w:sz w:val="28"/>
          <w:szCs w:val="28"/>
          <w:rtl/>
        </w:rPr>
      </w:pPr>
    </w:p>
    <w:p w14:paraId="1B4FE59B" w14:textId="77777777" w:rsidR="00614610" w:rsidRDefault="00614610" w:rsidP="00614610">
      <w:pPr>
        <w:bidi/>
        <w:jc w:val="center"/>
        <w:rPr>
          <w:b/>
          <w:bCs/>
          <w:sz w:val="28"/>
          <w:szCs w:val="28"/>
          <w:rtl/>
        </w:rPr>
      </w:pPr>
    </w:p>
    <w:p w14:paraId="63283689" w14:textId="77777777" w:rsidR="00614610" w:rsidRDefault="00614610" w:rsidP="00614610">
      <w:pPr>
        <w:bidi/>
        <w:jc w:val="center"/>
        <w:rPr>
          <w:b/>
          <w:bCs/>
          <w:sz w:val="28"/>
          <w:szCs w:val="28"/>
          <w:rtl/>
        </w:rPr>
      </w:pPr>
    </w:p>
    <w:p w14:paraId="18C10DB3" w14:textId="77777777" w:rsidR="00614610" w:rsidRDefault="00614610" w:rsidP="00614610">
      <w:pPr>
        <w:bidi/>
        <w:jc w:val="center"/>
        <w:rPr>
          <w:b/>
          <w:bCs/>
          <w:sz w:val="28"/>
          <w:szCs w:val="28"/>
        </w:rPr>
      </w:pPr>
    </w:p>
    <w:p w14:paraId="41373D08" w14:textId="77777777" w:rsidR="00614610" w:rsidRDefault="00614610" w:rsidP="00614610">
      <w:pPr>
        <w:bidi/>
        <w:jc w:val="center"/>
        <w:rPr>
          <w:b/>
          <w:bCs/>
          <w:sz w:val="28"/>
          <w:szCs w:val="28"/>
        </w:rPr>
      </w:pPr>
    </w:p>
    <w:p w14:paraId="7F2D2DCD" w14:textId="77777777" w:rsidR="005D2014" w:rsidRPr="00614610" w:rsidRDefault="005D2014" w:rsidP="005D2014">
      <w:pPr>
        <w:shd w:val="clear" w:color="auto" w:fill="DBDBDB" w:themeFill="accent3" w:themeFillTint="66"/>
        <w:bidi/>
        <w:spacing w:after="0"/>
        <w:jc w:val="center"/>
        <w:rPr>
          <w:rFonts w:ascii="Arial" w:hAnsi="Arial" w:cs="Arial"/>
          <w:b/>
          <w:bCs/>
          <w:color w:val="1D498A"/>
          <w:sz w:val="23"/>
          <w:szCs w:val="23"/>
        </w:rPr>
      </w:pPr>
      <w:r w:rsidRPr="00614610">
        <w:rPr>
          <w:rFonts w:ascii="Arial" w:hAnsi="Arial" w:cs="Arial"/>
          <w:b/>
          <w:bCs/>
          <w:color w:val="1D498A"/>
          <w:sz w:val="23"/>
          <w:szCs w:val="23"/>
        </w:rPr>
        <w:t>Rapport parallèle</w:t>
      </w:r>
    </w:p>
    <w:p w14:paraId="0342FFC5" w14:textId="02C5AEDF" w:rsidR="005D2014" w:rsidRDefault="00605198" w:rsidP="005D2014">
      <w:pPr>
        <w:shd w:val="clear" w:color="auto" w:fill="DBDBDB" w:themeFill="accent3" w:themeFillTint="66"/>
        <w:bidi/>
        <w:spacing w:after="0"/>
        <w:jc w:val="center"/>
        <w:rPr>
          <w:rFonts w:ascii="Arial" w:hAnsi="Arial" w:cs="Arial"/>
          <w:b/>
          <w:bCs/>
          <w:color w:val="1D498A"/>
          <w:sz w:val="23"/>
          <w:szCs w:val="23"/>
          <w:rtl/>
        </w:rPr>
      </w:pPr>
      <w:r>
        <w:rPr>
          <w:rFonts w:ascii="Arial" w:hAnsi="Arial" w:cs="Arial"/>
          <w:b/>
          <w:bCs/>
          <w:color w:val="1D498A"/>
          <w:sz w:val="23"/>
          <w:szCs w:val="23"/>
        </w:rPr>
        <w:t xml:space="preserve">Au </w:t>
      </w:r>
      <w:r w:rsidR="005D2014" w:rsidRPr="00614610">
        <w:rPr>
          <w:rFonts w:ascii="Arial" w:hAnsi="Arial" w:cs="Arial"/>
          <w:b/>
          <w:bCs/>
          <w:color w:val="1D498A"/>
          <w:sz w:val="23"/>
          <w:szCs w:val="23"/>
        </w:rPr>
        <w:t xml:space="preserve">rapport initial </w:t>
      </w:r>
      <w:r>
        <w:rPr>
          <w:rFonts w:ascii="Arial" w:hAnsi="Arial" w:cs="Arial"/>
          <w:b/>
          <w:bCs/>
          <w:color w:val="1D498A"/>
          <w:sz w:val="23"/>
          <w:szCs w:val="23"/>
        </w:rPr>
        <w:t>du</w:t>
      </w:r>
      <w:r w:rsidR="005D2014" w:rsidRPr="00614610">
        <w:rPr>
          <w:rFonts w:ascii="Arial" w:hAnsi="Arial" w:cs="Arial"/>
          <w:b/>
          <w:bCs/>
          <w:color w:val="1D498A"/>
          <w:sz w:val="23"/>
          <w:szCs w:val="23"/>
        </w:rPr>
        <w:t xml:space="preserve"> Maroc sur la </w:t>
      </w:r>
      <w:r>
        <w:rPr>
          <w:rFonts w:ascii="Arial" w:hAnsi="Arial" w:cs="Arial"/>
          <w:b/>
          <w:bCs/>
          <w:color w:val="1D498A"/>
          <w:sz w:val="23"/>
          <w:szCs w:val="23"/>
        </w:rPr>
        <w:t>mise en œuvre de la c</w:t>
      </w:r>
      <w:r w:rsidR="005D2014" w:rsidRPr="00614610">
        <w:rPr>
          <w:rFonts w:ascii="Arial" w:hAnsi="Arial" w:cs="Arial"/>
          <w:b/>
          <w:bCs/>
          <w:color w:val="1D498A"/>
          <w:sz w:val="23"/>
          <w:szCs w:val="23"/>
        </w:rPr>
        <w:t>onvention internationale pour la protection de toutes les personnes contre les disparitions forcées</w:t>
      </w:r>
    </w:p>
    <w:p w14:paraId="3C5AEA6E" w14:textId="77777777" w:rsidR="00614610" w:rsidRPr="00614610" w:rsidRDefault="00614610" w:rsidP="00614610">
      <w:pPr>
        <w:shd w:val="clear" w:color="auto" w:fill="DBDBDB" w:themeFill="accent3" w:themeFillTint="66"/>
        <w:bidi/>
        <w:spacing w:after="0"/>
        <w:jc w:val="center"/>
        <w:rPr>
          <w:rFonts w:ascii="Arial" w:hAnsi="Arial" w:cs="Arial"/>
          <w:b/>
          <w:bCs/>
          <w:color w:val="1D498A"/>
          <w:sz w:val="23"/>
          <w:szCs w:val="23"/>
        </w:rPr>
      </w:pPr>
      <w:r w:rsidRPr="00111FB5">
        <w:rPr>
          <w:rFonts w:ascii="Arial" w:hAnsi="Arial" w:cs="Arial"/>
          <w:b/>
          <w:bCs/>
          <w:color w:val="1D498A"/>
          <w:sz w:val="23"/>
          <w:szCs w:val="23"/>
        </w:rPr>
        <w:t>Comité des disparitions forcées</w:t>
      </w:r>
    </w:p>
    <w:p w14:paraId="06E04AD8" w14:textId="791B08C4" w:rsidR="00493538" w:rsidRDefault="00605198" w:rsidP="00614610">
      <w:pPr>
        <w:shd w:val="clear" w:color="auto" w:fill="DBDBDB" w:themeFill="accent3" w:themeFillTint="66"/>
        <w:bidi/>
        <w:spacing w:after="0"/>
        <w:jc w:val="center"/>
        <w:rPr>
          <w:rtl/>
          <w:lang w:bidi="ar-MA"/>
        </w:rPr>
      </w:pPr>
      <w:r>
        <w:rPr>
          <w:rFonts w:ascii="Arial" w:hAnsi="Arial" w:cs="Arial"/>
          <w:b/>
          <w:bCs/>
          <w:color w:val="1D498A"/>
          <w:sz w:val="23"/>
          <w:szCs w:val="23"/>
        </w:rPr>
        <w:t>23</w:t>
      </w:r>
      <w:r w:rsidRPr="00605198">
        <w:rPr>
          <w:rFonts w:ascii="Arial" w:hAnsi="Arial" w:cs="Arial"/>
          <w:b/>
          <w:bCs/>
          <w:color w:val="1D498A"/>
          <w:sz w:val="23"/>
          <w:szCs w:val="23"/>
          <w:vertAlign w:val="superscript"/>
        </w:rPr>
        <w:t>ème</w:t>
      </w:r>
      <w:r>
        <w:rPr>
          <w:rFonts w:ascii="Arial" w:hAnsi="Arial" w:cs="Arial"/>
          <w:b/>
          <w:bCs/>
          <w:color w:val="1D498A"/>
          <w:sz w:val="23"/>
          <w:szCs w:val="23"/>
        </w:rPr>
        <w:t xml:space="preserve"> session</w:t>
      </w:r>
    </w:p>
    <w:p w14:paraId="65A3F285" w14:textId="77777777" w:rsidR="00493538" w:rsidRDefault="00493538" w:rsidP="00493538">
      <w:pPr>
        <w:bidi/>
        <w:jc w:val="center"/>
        <w:rPr>
          <w:rtl/>
          <w:lang w:bidi="ar-MA"/>
        </w:rPr>
      </w:pPr>
    </w:p>
    <w:p w14:paraId="5D9BBF0B" w14:textId="77777777" w:rsidR="00493538" w:rsidRDefault="00493538" w:rsidP="00493538">
      <w:pPr>
        <w:bidi/>
        <w:jc w:val="center"/>
        <w:rPr>
          <w:rtl/>
          <w:lang w:bidi="ar-MA"/>
        </w:rPr>
      </w:pPr>
    </w:p>
    <w:p w14:paraId="3AFCE3F6" w14:textId="77777777" w:rsidR="00493538" w:rsidRDefault="00493538" w:rsidP="00493538">
      <w:pPr>
        <w:bidi/>
        <w:jc w:val="center"/>
        <w:rPr>
          <w:rtl/>
          <w:lang w:bidi="ar-MA"/>
        </w:rPr>
      </w:pPr>
    </w:p>
    <w:p w14:paraId="12C21B7A" w14:textId="77777777" w:rsidR="00493538" w:rsidRDefault="00493538" w:rsidP="00493538">
      <w:pPr>
        <w:bidi/>
        <w:jc w:val="center"/>
        <w:rPr>
          <w:rtl/>
          <w:lang w:bidi="ar-MA"/>
        </w:rPr>
      </w:pPr>
    </w:p>
    <w:p w14:paraId="3BA4D942" w14:textId="77777777" w:rsidR="00493538" w:rsidRDefault="00493538" w:rsidP="00493538">
      <w:pPr>
        <w:bidi/>
        <w:jc w:val="center"/>
        <w:rPr>
          <w:rtl/>
          <w:lang w:bidi="ar-MA"/>
        </w:rPr>
      </w:pPr>
    </w:p>
    <w:p w14:paraId="3E2F8CD2" w14:textId="77777777" w:rsidR="00493538" w:rsidRDefault="00493538" w:rsidP="00493538">
      <w:pPr>
        <w:bidi/>
        <w:jc w:val="center"/>
        <w:rPr>
          <w:rtl/>
          <w:lang w:bidi="ar-MA"/>
        </w:rPr>
      </w:pPr>
    </w:p>
    <w:p w14:paraId="413A37F2" w14:textId="77777777" w:rsidR="00493538" w:rsidRDefault="00493538" w:rsidP="00493538">
      <w:pPr>
        <w:bidi/>
        <w:jc w:val="center"/>
        <w:rPr>
          <w:rtl/>
          <w:lang w:bidi="ar-MA"/>
        </w:rPr>
      </w:pPr>
    </w:p>
    <w:p w14:paraId="718108B7" w14:textId="77777777" w:rsidR="00493538" w:rsidRDefault="00493538" w:rsidP="00493538">
      <w:pPr>
        <w:bidi/>
        <w:jc w:val="center"/>
        <w:rPr>
          <w:lang w:bidi="ar-MA"/>
        </w:rPr>
      </w:pPr>
    </w:p>
    <w:p w14:paraId="7E385175" w14:textId="77777777" w:rsidR="00614610" w:rsidRDefault="00614610" w:rsidP="00614610">
      <w:pPr>
        <w:bidi/>
        <w:jc w:val="center"/>
        <w:rPr>
          <w:lang w:bidi="ar-MA"/>
        </w:rPr>
      </w:pPr>
    </w:p>
    <w:p w14:paraId="5199F4CE" w14:textId="77777777" w:rsidR="00614610" w:rsidRDefault="00614610" w:rsidP="00614610">
      <w:pPr>
        <w:bidi/>
        <w:jc w:val="center"/>
        <w:rPr>
          <w:lang w:bidi="ar-MA"/>
        </w:rPr>
      </w:pPr>
    </w:p>
    <w:p w14:paraId="1A51740E" w14:textId="77777777" w:rsidR="00614610" w:rsidRDefault="00614610" w:rsidP="00614610">
      <w:pPr>
        <w:bidi/>
        <w:jc w:val="center"/>
        <w:rPr>
          <w:lang w:bidi="ar-MA"/>
        </w:rPr>
      </w:pPr>
    </w:p>
    <w:p w14:paraId="41DE022C" w14:textId="77777777" w:rsidR="00614610" w:rsidRDefault="00614610" w:rsidP="00614610">
      <w:pPr>
        <w:bidi/>
        <w:jc w:val="center"/>
        <w:rPr>
          <w:lang w:bidi="ar-MA"/>
        </w:rPr>
      </w:pPr>
    </w:p>
    <w:p w14:paraId="7D061797" w14:textId="77777777" w:rsidR="00614610" w:rsidRDefault="00614610" w:rsidP="00614610">
      <w:pPr>
        <w:bidi/>
        <w:jc w:val="center"/>
        <w:rPr>
          <w:lang w:bidi="ar-MA"/>
        </w:rPr>
      </w:pPr>
    </w:p>
    <w:p w14:paraId="6DC3F23D" w14:textId="77777777" w:rsidR="00614610" w:rsidRDefault="00614610" w:rsidP="00614610">
      <w:pPr>
        <w:bidi/>
        <w:jc w:val="center"/>
        <w:rPr>
          <w:lang w:bidi="ar-MA"/>
        </w:rPr>
      </w:pPr>
    </w:p>
    <w:p w14:paraId="11310E11" w14:textId="77777777" w:rsidR="00614610" w:rsidRDefault="00614610" w:rsidP="00614610">
      <w:pPr>
        <w:bidi/>
        <w:jc w:val="center"/>
        <w:rPr>
          <w:lang w:bidi="ar-MA"/>
        </w:rPr>
      </w:pPr>
    </w:p>
    <w:p w14:paraId="21F5580D" w14:textId="77777777" w:rsidR="00614610" w:rsidRDefault="00614610" w:rsidP="00614610">
      <w:pPr>
        <w:bidi/>
        <w:jc w:val="center"/>
        <w:rPr>
          <w:rtl/>
          <w:lang w:bidi="ar-MA"/>
        </w:rPr>
      </w:pPr>
    </w:p>
    <w:p w14:paraId="5C3FB533" w14:textId="77777777" w:rsidR="00493538" w:rsidRDefault="00493538" w:rsidP="00614610">
      <w:pPr>
        <w:bidi/>
        <w:rPr>
          <w:rtl/>
          <w:lang w:bidi="ar-MA"/>
        </w:rPr>
      </w:pPr>
    </w:p>
    <w:p w14:paraId="13175480" w14:textId="46786941" w:rsidR="007A2197" w:rsidRPr="00614610" w:rsidRDefault="00FF6ED3" w:rsidP="00614610">
      <w:pPr>
        <w:pStyle w:val="ListParagraph"/>
        <w:numPr>
          <w:ilvl w:val="0"/>
          <w:numId w:val="1"/>
        </w:numPr>
        <w:spacing w:line="276" w:lineRule="auto"/>
        <w:jc w:val="both"/>
        <w:rPr>
          <w:sz w:val="24"/>
          <w:szCs w:val="24"/>
          <w:lang w:bidi="ar-MA"/>
        </w:rPr>
      </w:pPr>
      <w:r w:rsidRPr="00614610">
        <w:rPr>
          <w:sz w:val="24"/>
          <w:szCs w:val="24"/>
          <w:lang w:bidi="ar-MA"/>
        </w:rPr>
        <w:t xml:space="preserve">L'élaboration de ce rapport s'inscrit dans le cadre de la contribution de L'Association à la soumission de ses observations au Comité des disparitions forcées </w:t>
      </w:r>
      <w:r w:rsidR="00605198">
        <w:rPr>
          <w:sz w:val="24"/>
          <w:szCs w:val="24"/>
          <w:lang w:bidi="ar-MA"/>
        </w:rPr>
        <w:t>pour la 23</w:t>
      </w:r>
      <w:r w:rsidR="00605198" w:rsidRPr="00605198">
        <w:rPr>
          <w:sz w:val="24"/>
          <w:szCs w:val="24"/>
          <w:vertAlign w:val="superscript"/>
          <w:lang w:bidi="ar-MA"/>
        </w:rPr>
        <w:t>ème</w:t>
      </w:r>
      <w:r w:rsidR="00605198">
        <w:rPr>
          <w:sz w:val="24"/>
          <w:szCs w:val="24"/>
          <w:lang w:bidi="ar-MA"/>
        </w:rPr>
        <w:t xml:space="preserve"> </w:t>
      </w:r>
      <w:r w:rsidRPr="00614610">
        <w:rPr>
          <w:sz w:val="24"/>
          <w:szCs w:val="24"/>
          <w:lang w:bidi="ar-MA"/>
        </w:rPr>
        <w:t>session, à l'occasion de l</w:t>
      </w:r>
      <w:r w:rsidR="00605198">
        <w:rPr>
          <w:sz w:val="24"/>
          <w:szCs w:val="24"/>
          <w:lang w:bidi="ar-MA"/>
        </w:rPr>
        <w:t>’adoption de la liste des points conformément à la procédure de dépôt et d’examen</w:t>
      </w:r>
      <w:r w:rsidRPr="00614610">
        <w:rPr>
          <w:sz w:val="24"/>
          <w:szCs w:val="24"/>
          <w:lang w:bidi="ar-MA"/>
        </w:rPr>
        <w:t xml:space="preserve"> </w:t>
      </w:r>
      <w:r w:rsidR="00605198">
        <w:rPr>
          <w:sz w:val="24"/>
          <w:szCs w:val="24"/>
          <w:lang w:bidi="ar-MA"/>
        </w:rPr>
        <w:t>des rapports des Etats parties ;</w:t>
      </w:r>
    </w:p>
    <w:p w14:paraId="0111665B" w14:textId="0229C583" w:rsidR="00186C0C" w:rsidRPr="00614610" w:rsidRDefault="007A2197" w:rsidP="00614610">
      <w:pPr>
        <w:pStyle w:val="ListParagraph"/>
        <w:numPr>
          <w:ilvl w:val="0"/>
          <w:numId w:val="1"/>
        </w:numPr>
        <w:spacing w:line="276" w:lineRule="auto"/>
        <w:jc w:val="both"/>
        <w:rPr>
          <w:sz w:val="24"/>
          <w:szCs w:val="24"/>
          <w:lang w:bidi="ar-MA"/>
        </w:rPr>
      </w:pPr>
      <w:r w:rsidRPr="00614610">
        <w:rPr>
          <w:sz w:val="24"/>
          <w:szCs w:val="24"/>
          <w:lang w:bidi="ar-MA"/>
        </w:rPr>
        <w:t xml:space="preserve">Depuis que le Maroc a ratifié cette convention, l'association n'a </w:t>
      </w:r>
      <w:r w:rsidR="00605198">
        <w:rPr>
          <w:sz w:val="24"/>
          <w:szCs w:val="24"/>
          <w:lang w:bidi="ar-MA"/>
        </w:rPr>
        <w:t>enregistrée</w:t>
      </w:r>
      <w:r w:rsidRPr="00614610">
        <w:rPr>
          <w:sz w:val="24"/>
          <w:szCs w:val="24"/>
          <w:lang w:bidi="ar-MA"/>
        </w:rPr>
        <w:t xml:space="preserve"> aucune disparition forcée au sens de la convention, ni n'a été notifiée </w:t>
      </w:r>
      <w:r w:rsidR="00F9776F">
        <w:rPr>
          <w:sz w:val="24"/>
          <w:szCs w:val="24"/>
          <w:lang w:bidi="ar-MA"/>
        </w:rPr>
        <w:t>de l’existence de cas de disparitions forcées</w:t>
      </w:r>
      <w:r w:rsidRPr="00614610">
        <w:rPr>
          <w:sz w:val="24"/>
          <w:szCs w:val="24"/>
          <w:lang w:bidi="ar-MA"/>
        </w:rPr>
        <w:t xml:space="preserve">, ni au niveau national ni au niveau de </w:t>
      </w:r>
      <w:r w:rsidR="00F9776F">
        <w:rPr>
          <w:sz w:val="24"/>
          <w:szCs w:val="24"/>
          <w:lang w:bidi="ar-MA"/>
        </w:rPr>
        <w:t xml:space="preserve">la région </w:t>
      </w:r>
      <w:r w:rsidRPr="00614610">
        <w:rPr>
          <w:sz w:val="24"/>
          <w:szCs w:val="24"/>
          <w:lang w:bidi="ar-MA"/>
        </w:rPr>
        <w:t>Dakhla- Oued Eddahab</w:t>
      </w:r>
      <w:r w:rsidR="00F9776F">
        <w:rPr>
          <w:sz w:val="24"/>
          <w:szCs w:val="24"/>
          <w:lang w:bidi="ar-MA"/>
        </w:rPr>
        <w:t xml:space="preserve">. Toutefois, </w:t>
      </w:r>
      <w:r w:rsidRPr="00614610">
        <w:rPr>
          <w:sz w:val="24"/>
          <w:szCs w:val="24"/>
          <w:lang w:bidi="ar-MA"/>
        </w:rPr>
        <w:t xml:space="preserve">l'association a noté une augmentation des cas </w:t>
      </w:r>
      <w:r w:rsidR="00F9776F">
        <w:rPr>
          <w:sz w:val="24"/>
          <w:szCs w:val="24"/>
          <w:lang w:bidi="ar-MA"/>
        </w:rPr>
        <w:t xml:space="preserve">de détention provisoire, à </w:t>
      </w:r>
      <w:r w:rsidR="00186C0C" w:rsidRPr="00614610">
        <w:rPr>
          <w:sz w:val="24"/>
          <w:szCs w:val="24"/>
          <w:lang w:bidi="ar-MA"/>
        </w:rPr>
        <w:t>cet égard, l'Association a noté l'émission de deux circulaires par la présidence du parquet général du Maroc pour les années 2020 et 2021 appelant les procureurs du Roi près les différentes juridictions et leurs substituts à la nécessité de rationaliser les cas de détention provisoire et de n'y recourir qu'en cas d'extrême nécessité</w:t>
      </w:r>
      <w:r w:rsidR="00F9776F">
        <w:rPr>
          <w:sz w:val="24"/>
          <w:szCs w:val="24"/>
          <w:lang w:bidi="ar-MA"/>
        </w:rPr>
        <w:t>.</w:t>
      </w:r>
      <w:r w:rsidR="00186C0C" w:rsidRPr="00614610">
        <w:rPr>
          <w:sz w:val="24"/>
          <w:szCs w:val="24"/>
          <w:lang w:bidi="ar-MA"/>
        </w:rPr>
        <w:t xml:space="preserve"> </w:t>
      </w:r>
      <w:r w:rsidR="00F9776F">
        <w:rPr>
          <w:sz w:val="24"/>
          <w:szCs w:val="24"/>
          <w:lang w:bidi="ar-MA"/>
        </w:rPr>
        <w:t>L’association</w:t>
      </w:r>
      <w:r w:rsidR="00186C0C" w:rsidRPr="00614610">
        <w:rPr>
          <w:sz w:val="24"/>
          <w:szCs w:val="24"/>
          <w:lang w:bidi="ar-MA"/>
        </w:rPr>
        <w:t xml:space="preserve"> prie le Comité d'inviter l'État partie à adopter des modèles alternatifs qui ne limitent pas définitivement la liberté de mouvement et de circulation des individus et préservent leur dignité jusqu'aux décisions définitives des affaires portées contre eux devant les différentes juridictions pour bloquer la survenance de tout cas de détention forcée pouvant résulter de l'abus de l'usage excessif de la procédure de détention provisoire</w:t>
      </w:r>
      <w:r w:rsidR="009E5FC2" w:rsidRPr="00614610">
        <w:rPr>
          <w:sz w:val="24"/>
          <w:szCs w:val="24"/>
          <w:lang w:bidi="ar-MA"/>
        </w:rPr>
        <w:t>.</w:t>
      </w:r>
    </w:p>
    <w:p w14:paraId="139058D9" w14:textId="760ACB5D" w:rsidR="009E5FC2" w:rsidRPr="00614610" w:rsidRDefault="009E5FC2" w:rsidP="00614610">
      <w:pPr>
        <w:pStyle w:val="ListParagraph"/>
        <w:numPr>
          <w:ilvl w:val="0"/>
          <w:numId w:val="1"/>
        </w:numPr>
        <w:spacing w:line="276" w:lineRule="auto"/>
        <w:jc w:val="both"/>
        <w:rPr>
          <w:sz w:val="24"/>
          <w:szCs w:val="24"/>
          <w:lang w:bidi="ar-MA"/>
        </w:rPr>
      </w:pPr>
      <w:r w:rsidRPr="00614610">
        <w:rPr>
          <w:sz w:val="24"/>
          <w:szCs w:val="24"/>
          <w:lang w:bidi="ar-MA"/>
        </w:rPr>
        <w:t xml:space="preserve">L'Association sahraouie pour les droits économiques, sociaux, culturels et environnementaux </w:t>
      </w:r>
      <w:r w:rsidR="00F9776F">
        <w:rPr>
          <w:sz w:val="24"/>
          <w:szCs w:val="24"/>
          <w:lang w:bidi="ar-MA"/>
        </w:rPr>
        <w:t xml:space="preserve">est satisfaite de </w:t>
      </w:r>
      <w:r w:rsidRPr="00614610">
        <w:rPr>
          <w:sz w:val="24"/>
          <w:szCs w:val="24"/>
          <w:lang w:bidi="ar-MA"/>
        </w:rPr>
        <w:t>l'harmonisation par l'État partie de sa législation nationale avec le contenu de la Convention internationale pour la protection des personnes contre les disparitions forcées, par le biais de la constitution de 2011, qui stipule que les pactes internationaux ratifiés par le l'État partie prime sur la législation nationale</w:t>
      </w:r>
      <w:r w:rsidR="00F9776F">
        <w:rPr>
          <w:sz w:val="24"/>
          <w:szCs w:val="24"/>
          <w:lang w:bidi="ar-MA"/>
        </w:rPr>
        <w:t>. Aussi,</w:t>
      </w:r>
      <w:r w:rsidRPr="00614610">
        <w:rPr>
          <w:sz w:val="24"/>
          <w:szCs w:val="24"/>
          <w:lang w:bidi="ar-MA"/>
        </w:rPr>
        <w:t xml:space="preserve"> le code pénal marocain, </w:t>
      </w:r>
      <w:r w:rsidR="00F9776F">
        <w:rPr>
          <w:sz w:val="24"/>
          <w:szCs w:val="24"/>
          <w:lang w:bidi="ar-MA"/>
        </w:rPr>
        <w:t>ainsi que la</w:t>
      </w:r>
      <w:r w:rsidRPr="00614610">
        <w:rPr>
          <w:sz w:val="24"/>
          <w:szCs w:val="24"/>
          <w:lang w:bidi="ar-MA"/>
        </w:rPr>
        <w:t xml:space="preserve"> </w:t>
      </w:r>
      <w:r w:rsidR="00F9776F">
        <w:rPr>
          <w:sz w:val="24"/>
          <w:szCs w:val="24"/>
          <w:lang w:bidi="ar-MA"/>
        </w:rPr>
        <w:t>c</w:t>
      </w:r>
      <w:r w:rsidRPr="00614610">
        <w:rPr>
          <w:sz w:val="24"/>
          <w:szCs w:val="24"/>
          <w:lang w:bidi="ar-MA"/>
        </w:rPr>
        <w:t xml:space="preserve">réation d'un mécanisme national de prévention de la torture en vertu de la loi n° 76.15 </w:t>
      </w:r>
      <w:r w:rsidR="00BF7AD7" w:rsidRPr="00614610">
        <w:rPr>
          <w:sz w:val="24"/>
          <w:szCs w:val="24"/>
          <w:lang w:bidi="ar-MA"/>
        </w:rPr>
        <w:t>relatives</w:t>
      </w:r>
      <w:r w:rsidRPr="00614610">
        <w:rPr>
          <w:sz w:val="24"/>
          <w:szCs w:val="24"/>
          <w:lang w:bidi="ar-MA"/>
        </w:rPr>
        <w:t xml:space="preserve"> au Conseil national des droits de l'homme</w:t>
      </w:r>
      <w:r w:rsidR="001A35BD" w:rsidRPr="00614610">
        <w:rPr>
          <w:sz w:val="24"/>
          <w:szCs w:val="24"/>
          <w:lang w:bidi="ar-MA"/>
        </w:rPr>
        <w:t>, dans ce cadre La disparition forcée est devenue un crime grave passible de sanctions pénales sévères.</w:t>
      </w:r>
    </w:p>
    <w:p w14:paraId="23AD419F" w14:textId="15667396" w:rsidR="009410F1" w:rsidRPr="00614610" w:rsidRDefault="001A35BD" w:rsidP="00614610">
      <w:pPr>
        <w:pStyle w:val="ListParagraph"/>
        <w:numPr>
          <w:ilvl w:val="0"/>
          <w:numId w:val="1"/>
        </w:numPr>
        <w:spacing w:line="276" w:lineRule="auto"/>
        <w:jc w:val="both"/>
        <w:rPr>
          <w:sz w:val="24"/>
          <w:szCs w:val="24"/>
          <w:lang w:bidi="ar-MA"/>
        </w:rPr>
      </w:pPr>
      <w:r w:rsidRPr="00614610">
        <w:rPr>
          <w:sz w:val="24"/>
          <w:szCs w:val="24"/>
          <w:lang w:bidi="ar-MA"/>
        </w:rPr>
        <w:t xml:space="preserve">L'Association considère que ces mesures sont encourageantes et confirme les actions </w:t>
      </w:r>
      <w:r w:rsidR="00BF7AD7">
        <w:rPr>
          <w:sz w:val="24"/>
          <w:szCs w:val="24"/>
          <w:lang w:bidi="ar-MA"/>
        </w:rPr>
        <w:t>menées par</w:t>
      </w:r>
      <w:r w:rsidRPr="00614610">
        <w:rPr>
          <w:sz w:val="24"/>
          <w:szCs w:val="24"/>
          <w:lang w:bidi="ar-MA"/>
        </w:rPr>
        <w:t xml:space="preserve"> l'État partie pour la protection des personnes contre les disparitions </w:t>
      </w:r>
      <w:r w:rsidR="00BF7AD7" w:rsidRPr="00614610">
        <w:rPr>
          <w:sz w:val="24"/>
          <w:szCs w:val="24"/>
          <w:lang w:bidi="ar-MA"/>
        </w:rPr>
        <w:t>forcées</w:t>
      </w:r>
      <w:r w:rsidR="00BF7AD7">
        <w:rPr>
          <w:sz w:val="24"/>
          <w:szCs w:val="24"/>
          <w:lang w:bidi="ar-MA"/>
        </w:rPr>
        <w:t xml:space="preserve">. </w:t>
      </w:r>
      <w:r w:rsidRPr="00614610">
        <w:rPr>
          <w:sz w:val="24"/>
          <w:szCs w:val="24"/>
          <w:lang w:bidi="ar-MA"/>
        </w:rPr>
        <w:t xml:space="preserve">Cependant, l'association s'inquiète des pratiques de certains responsables de l'application des lois, qui sont souvent des cas isolés résultant principalement du stress </w:t>
      </w:r>
      <w:r w:rsidR="00BF7AD7">
        <w:rPr>
          <w:sz w:val="24"/>
          <w:szCs w:val="24"/>
          <w:lang w:bidi="ar-MA"/>
        </w:rPr>
        <w:t xml:space="preserve">et </w:t>
      </w:r>
      <w:r w:rsidRPr="00614610">
        <w:rPr>
          <w:sz w:val="24"/>
          <w:szCs w:val="24"/>
          <w:lang w:bidi="ar-MA"/>
        </w:rPr>
        <w:t>des conditions de travail.</w:t>
      </w:r>
      <w:r w:rsidR="009410F1" w:rsidRPr="00614610">
        <w:rPr>
          <w:rFonts w:hint="cs"/>
          <w:sz w:val="24"/>
          <w:szCs w:val="24"/>
          <w:rtl/>
          <w:lang w:bidi="ar-MA"/>
        </w:rPr>
        <w:t xml:space="preserve"> </w:t>
      </w:r>
      <w:r w:rsidR="009410F1" w:rsidRPr="00614610">
        <w:rPr>
          <w:sz w:val="24"/>
          <w:szCs w:val="24"/>
          <w:lang w:bidi="ar-MA"/>
        </w:rPr>
        <w:t>En ce qui concerne les mesures prises par l'État partie pour parvenir à la justice transitionnelle et à l'indemnisation des effets des graves violations passées, en particulier les cas de disparition forcée et de traitements cruels et inhumains, L'Association</w:t>
      </w:r>
      <w:r w:rsidR="009410F1" w:rsidRPr="00614610">
        <w:rPr>
          <w:rFonts w:hint="cs"/>
          <w:sz w:val="24"/>
          <w:szCs w:val="24"/>
          <w:rtl/>
          <w:lang w:bidi="ar-MA"/>
        </w:rPr>
        <w:t xml:space="preserve"> </w:t>
      </w:r>
      <w:r w:rsidR="009410F1" w:rsidRPr="00614610">
        <w:rPr>
          <w:sz w:val="24"/>
          <w:szCs w:val="24"/>
          <w:lang w:bidi="ar-MA"/>
        </w:rPr>
        <w:t>a</w:t>
      </w:r>
      <w:r w:rsidR="009410F1" w:rsidRPr="00614610">
        <w:rPr>
          <w:rFonts w:hint="cs"/>
          <w:sz w:val="24"/>
          <w:szCs w:val="24"/>
          <w:rtl/>
          <w:lang w:bidi="ar-MA"/>
        </w:rPr>
        <w:t xml:space="preserve"> </w:t>
      </w:r>
      <w:r w:rsidR="009410F1" w:rsidRPr="00614610">
        <w:rPr>
          <w:sz w:val="24"/>
          <w:szCs w:val="24"/>
          <w:lang w:bidi="ar-MA"/>
        </w:rPr>
        <w:t xml:space="preserve">noté que la Commission Équité et Réconciliation, conformément </w:t>
      </w:r>
      <w:r w:rsidR="00BF7AD7">
        <w:rPr>
          <w:sz w:val="24"/>
          <w:szCs w:val="24"/>
          <w:lang w:bidi="ar-MA"/>
        </w:rPr>
        <w:t>aux</w:t>
      </w:r>
      <w:r w:rsidR="009410F1" w:rsidRPr="00614610">
        <w:rPr>
          <w:sz w:val="24"/>
          <w:szCs w:val="24"/>
          <w:lang w:bidi="ar-MA"/>
        </w:rPr>
        <w:t xml:space="preserve"> pouvoirs qui lui sont conférés, a rendu centaines décisions arbitrales en faveur de l'indemnisation des dommages matériels aux victimes ou aux familles des défunts. </w:t>
      </w:r>
      <w:r w:rsidR="00297959">
        <w:rPr>
          <w:sz w:val="24"/>
          <w:szCs w:val="24"/>
          <w:lang w:bidi="ar-MA"/>
        </w:rPr>
        <w:t>Des</w:t>
      </w:r>
      <w:r w:rsidR="00297959" w:rsidRPr="00614610">
        <w:rPr>
          <w:sz w:val="24"/>
          <w:szCs w:val="24"/>
          <w:lang w:bidi="ar-MA"/>
        </w:rPr>
        <w:t xml:space="preserve"> compensation</w:t>
      </w:r>
      <w:r w:rsidR="00297959">
        <w:rPr>
          <w:sz w:val="24"/>
          <w:szCs w:val="24"/>
          <w:lang w:bidi="ar-MA"/>
        </w:rPr>
        <w:t>s</w:t>
      </w:r>
      <w:r w:rsidR="00297959" w:rsidRPr="00614610">
        <w:rPr>
          <w:sz w:val="24"/>
          <w:szCs w:val="24"/>
          <w:lang w:bidi="ar-MA"/>
        </w:rPr>
        <w:t xml:space="preserve"> financières</w:t>
      </w:r>
      <w:r w:rsidR="009410F1" w:rsidRPr="00614610">
        <w:rPr>
          <w:sz w:val="24"/>
          <w:szCs w:val="24"/>
          <w:lang w:bidi="ar-MA"/>
        </w:rPr>
        <w:t xml:space="preserve"> de l'État partie</w:t>
      </w:r>
      <w:r w:rsidR="00297959">
        <w:rPr>
          <w:sz w:val="24"/>
          <w:szCs w:val="24"/>
          <w:lang w:bidi="ar-MA"/>
        </w:rPr>
        <w:t xml:space="preserve"> ont été débloquer pour</w:t>
      </w:r>
      <w:r w:rsidR="009410F1" w:rsidRPr="00614610">
        <w:rPr>
          <w:sz w:val="24"/>
          <w:szCs w:val="24"/>
          <w:lang w:bidi="ar-MA"/>
        </w:rPr>
        <w:t xml:space="preserve"> certains militants sahraouis, parmi lesquels l</w:t>
      </w:r>
      <w:r w:rsidR="00BF7AD7">
        <w:rPr>
          <w:sz w:val="24"/>
          <w:szCs w:val="24"/>
          <w:lang w:bidi="ar-MA"/>
        </w:rPr>
        <w:t xml:space="preserve">a </w:t>
      </w:r>
      <w:r w:rsidR="009410F1" w:rsidRPr="00614610">
        <w:rPr>
          <w:sz w:val="24"/>
          <w:szCs w:val="24"/>
          <w:lang w:bidi="ar-MA"/>
        </w:rPr>
        <w:t>militant sahraoui Aminto Haidar.</w:t>
      </w:r>
    </w:p>
    <w:p w14:paraId="48BB2600" w14:textId="708AA077" w:rsidR="00EE2920" w:rsidRPr="00614610" w:rsidRDefault="00EE2920" w:rsidP="00614610">
      <w:pPr>
        <w:pStyle w:val="ListParagraph"/>
        <w:numPr>
          <w:ilvl w:val="0"/>
          <w:numId w:val="1"/>
        </w:numPr>
        <w:spacing w:line="276" w:lineRule="auto"/>
        <w:jc w:val="both"/>
        <w:rPr>
          <w:sz w:val="24"/>
          <w:szCs w:val="24"/>
          <w:lang w:bidi="ar-MA"/>
        </w:rPr>
      </w:pPr>
      <w:r w:rsidRPr="00614610">
        <w:rPr>
          <w:sz w:val="24"/>
          <w:szCs w:val="24"/>
          <w:lang w:bidi="ar-MA"/>
        </w:rPr>
        <w:t xml:space="preserve">L' association a noté que l'État partie, par le mécanisme de la Commission Équité et Réconciliation, a reçu des dossiers de demandes de réparation de la part de centaines </w:t>
      </w:r>
      <w:r w:rsidRPr="00614610">
        <w:rPr>
          <w:sz w:val="24"/>
          <w:szCs w:val="24"/>
          <w:lang w:bidi="ar-MA"/>
        </w:rPr>
        <w:lastRenderedPageBreak/>
        <w:t>de Sahraouis revenant de Tindouf, dans le sud de l'Algérie, pour les graves violations et les traitements inhumains qu'ils ont subis de la part de l'organisation du Polisario, bien que ces violations aient eu lieu sur des terrains non soumis à</w:t>
      </w:r>
      <w:r w:rsidR="00297959">
        <w:rPr>
          <w:sz w:val="24"/>
          <w:szCs w:val="24"/>
          <w:lang w:bidi="ar-MA"/>
        </w:rPr>
        <w:t xml:space="preserve"> la </w:t>
      </w:r>
      <w:r w:rsidRPr="00614610">
        <w:rPr>
          <w:sz w:val="24"/>
          <w:szCs w:val="24"/>
          <w:lang w:bidi="ar-MA"/>
        </w:rPr>
        <w:t>juridiction</w:t>
      </w:r>
      <w:r w:rsidR="00297959">
        <w:rPr>
          <w:sz w:val="24"/>
          <w:szCs w:val="24"/>
          <w:lang w:bidi="ar-MA"/>
        </w:rPr>
        <w:t xml:space="preserve"> marocaine.</w:t>
      </w:r>
      <w:r w:rsidRPr="00614610">
        <w:rPr>
          <w:sz w:val="24"/>
          <w:szCs w:val="24"/>
          <w:lang w:bidi="ar-MA"/>
        </w:rPr>
        <w:t xml:space="preserve"> Pour l'État partie, la Commission Équité et Réconciliation a rendu des dizaines de décisions arbitrales, qui ont abouti à des réparations financières pour nombre de leurs propriétaires</w:t>
      </w:r>
      <w:r w:rsidR="00336972" w:rsidRPr="00614610">
        <w:rPr>
          <w:sz w:val="24"/>
          <w:szCs w:val="24"/>
          <w:lang w:bidi="ar-MA"/>
        </w:rPr>
        <w:t>, Dix affaires sont restées pendantes parce que leurs dossiers ont été déposés en dehors des délais fixés par la Commission Equité et Réconciliation. Ces cas ont été référés au Conseil National des Droits de l'Homme et nécessitent une volonté politique de la part du gouvernement marocain pour les traiter, notamment l'aspect lié au financement des compensations financières. Le Conseil demande au Comité d'exhorter le gouvernement de l'État partie à continuer de traiter le reste des dossiers sur la base qu'il est un État engagé et qu'il contribue à la diffusion et à la consolidation des valeurs et des concepts des droits de l'</w:t>
      </w:r>
      <w:r w:rsidR="00297959">
        <w:rPr>
          <w:sz w:val="24"/>
          <w:szCs w:val="24"/>
          <w:lang w:bidi="ar-MA"/>
        </w:rPr>
        <w:t>H</w:t>
      </w:r>
      <w:r w:rsidR="00336972" w:rsidRPr="00614610">
        <w:rPr>
          <w:sz w:val="24"/>
          <w:szCs w:val="24"/>
          <w:lang w:bidi="ar-MA"/>
        </w:rPr>
        <w:t xml:space="preserve">omme. </w:t>
      </w:r>
      <w:r w:rsidR="00031285" w:rsidRPr="00614610">
        <w:rPr>
          <w:sz w:val="24"/>
          <w:szCs w:val="24"/>
          <w:lang w:bidi="ar-MA"/>
        </w:rPr>
        <w:t>L'association a relevé que les militaires détenus à Tazmamart n'avaient pas encore pu bénéficier de leur retraite et qu'aucune alternative ne leur était proposée.</w:t>
      </w:r>
    </w:p>
    <w:p w14:paraId="34933A3E" w14:textId="77777777" w:rsidR="00297959" w:rsidRDefault="000A21BD" w:rsidP="00614610">
      <w:pPr>
        <w:pStyle w:val="ListParagraph"/>
        <w:numPr>
          <w:ilvl w:val="0"/>
          <w:numId w:val="1"/>
        </w:numPr>
        <w:spacing w:line="276" w:lineRule="auto"/>
        <w:jc w:val="both"/>
        <w:rPr>
          <w:sz w:val="24"/>
          <w:szCs w:val="24"/>
          <w:lang w:bidi="ar-MA"/>
        </w:rPr>
      </w:pPr>
      <w:r w:rsidRPr="00614610">
        <w:rPr>
          <w:sz w:val="24"/>
          <w:szCs w:val="24"/>
          <w:lang w:bidi="ar-MA"/>
        </w:rPr>
        <w:t>Dans le cadre de la préservation de la mémoire liée au passé de</w:t>
      </w:r>
      <w:r w:rsidR="00297959">
        <w:rPr>
          <w:sz w:val="24"/>
          <w:szCs w:val="24"/>
          <w:lang w:bidi="ar-MA"/>
        </w:rPr>
        <w:t>s</w:t>
      </w:r>
      <w:r w:rsidRPr="00614610">
        <w:rPr>
          <w:sz w:val="24"/>
          <w:szCs w:val="24"/>
          <w:lang w:bidi="ar-MA"/>
        </w:rPr>
        <w:t xml:space="preserve"> graves violations, la démolition du tristement célèbre camp de détention de </w:t>
      </w:r>
      <w:r w:rsidRPr="00614610">
        <w:rPr>
          <w:b/>
          <w:bCs/>
          <w:sz w:val="24"/>
          <w:szCs w:val="24"/>
          <w:lang w:bidi="ar-MA"/>
        </w:rPr>
        <w:t>Tazma</w:t>
      </w:r>
      <w:r w:rsidR="00297959">
        <w:rPr>
          <w:b/>
          <w:bCs/>
          <w:sz w:val="24"/>
          <w:szCs w:val="24"/>
          <w:lang w:bidi="ar-MA"/>
        </w:rPr>
        <w:t>ma</w:t>
      </w:r>
      <w:r w:rsidRPr="00614610">
        <w:rPr>
          <w:b/>
          <w:bCs/>
          <w:sz w:val="24"/>
          <w:szCs w:val="24"/>
          <w:lang w:bidi="ar-MA"/>
        </w:rPr>
        <w:t xml:space="preserve">rt </w:t>
      </w:r>
      <w:r w:rsidRPr="00614610">
        <w:rPr>
          <w:sz w:val="24"/>
          <w:szCs w:val="24"/>
          <w:lang w:bidi="ar-MA"/>
        </w:rPr>
        <w:t xml:space="preserve">a suscité </w:t>
      </w:r>
      <w:r w:rsidR="00297959">
        <w:rPr>
          <w:sz w:val="24"/>
          <w:szCs w:val="24"/>
          <w:lang w:bidi="ar-MA"/>
        </w:rPr>
        <w:t>la déception</w:t>
      </w:r>
      <w:r w:rsidRPr="00614610">
        <w:rPr>
          <w:sz w:val="24"/>
          <w:szCs w:val="24"/>
          <w:lang w:bidi="ar-MA"/>
        </w:rPr>
        <w:t xml:space="preserve"> chez de nombreux défenseurs des droits de l'</w:t>
      </w:r>
      <w:r w:rsidR="00297959">
        <w:rPr>
          <w:sz w:val="24"/>
          <w:szCs w:val="24"/>
          <w:lang w:bidi="ar-MA"/>
        </w:rPr>
        <w:t>H</w:t>
      </w:r>
      <w:r w:rsidRPr="00614610">
        <w:rPr>
          <w:sz w:val="24"/>
          <w:szCs w:val="24"/>
          <w:lang w:bidi="ar-MA"/>
        </w:rPr>
        <w:t xml:space="preserve">omme, car il s'agit de l'un des centres de détention secrets les plus célèbres qui aurait dû être préservé </w:t>
      </w:r>
      <w:r w:rsidR="00297959">
        <w:rPr>
          <w:sz w:val="24"/>
          <w:szCs w:val="24"/>
          <w:lang w:bidi="ar-MA"/>
        </w:rPr>
        <w:t>pour les générations futures.</w:t>
      </w:r>
    </w:p>
    <w:p w14:paraId="4EAD96CB" w14:textId="15F10E2E" w:rsidR="000A21BD" w:rsidRPr="00614610" w:rsidRDefault="000A21BD" w:rsidP="00297959">
      <w:pPr>
        <w:pStyle w:val="ListParagraph"/>
        <w:spacing w:line="276" w:lineRule="auto"/>
        <w:jc w:val="both"/>
        <w:rPr>
          <w:sz w:val="24"/>
          <w:szCs w:val="24"/>
          <w:lang w:bidi="ar-MA"/>
        </w:rPr>
      </w:pPr>
      <w:r w:rsidRPr="00614610">
        <w:rPr>
          <w:sz w:val="24"/>
          <w:szCs w:val="24"/>
          <w:lang w:bidi="ar-MA"/>
        </w:rPr>
        <w:t>La rupture avec ses méthodes est devenue un engagement national et international irréversible. L'association y consigne que le Conseil national des droits de l'</w:t>
      </w:r>
      <w:r w:rsidR="00297959">
        <w:rPr>
          <w:sz w:val="24"/>
          <w:szCs w:val="24"/>
          <w:lang w:bidi="ar-MA"/>
        </w:rPr>
        <w:t>H</w:t>
      </w:r>
      <w:r w:rsidRPr="00614610">
        <w:rPr>
          <w:sz w:val="24"/>
          <w:szCs w:val="24"/>
          <w:lang w:bidi="ar-MA"/>
        </w:rPr>
        <w:t xml:space="preserve">omme, représenté par </w:t>
      </w:r>
      <w:r w:rsidR="00297959">
        <w:rPr>
          <w:sz w:val="24"/>
          <w:szCs w:val="24"/>
          <w:lang w:bidi="ar-MA"/>
        </w:rPr>
        <w:t>sa</w:t>
      </w:r>
      <w:r w:rsidRPr="00614610">
        <w:rPr>
          <w:sz w:val="24"/>
          <w:szCs w:val="24"/>
          <w:lang w:bidi="ar-MA"/>
        </w:rPr>
        <w:t xml:space="preserve"> président</w:t>
      </w:r>
      <w:r w:rsidR="00297959">
        <w:rPr>
          <w:sz w:val="24"/>
          <w:szCs w:val="24"/>
          <w:lang w:bidi="ar-MA"/>
        </w:rPr>
        <w:t>e</w:t>
      </w:r>
      <w:r w:rsidRPr="00614610">
        <w:rPr>
          <w:sz w:val="24"/>
          <w:szCs w:val="24"/>
          <w:lang w:bidi="ar-MA"/>
        </w:rPr>
        <w:t xml:space="preserve">, le 18 décembre 2021, </w:t>
      </w:r>
      <w:r w:rsidR="00E27CEE">
        <w:rPr>
          <w:sz w:val="24"/>
          <w:szCs w:val="24"/>
          <w:lang w:bidi="ar-MA"/>
        </w:rPr>
        <w:t xml:space="preserve">a </w:t>
      </w:r>
      <w:r w:rsidRPr="00614610">
        <w:rPr>
          <w:sz w:val="24"/>
          <w:szCs w:val="24"/>
          <w:lang w:bidi="ar-MA"/>
        </w:rPr>
        <w:t>inspecté les travaux, la restauration et l'aménagement de l'espace de la prison de Tazma</w:t>
      </w:r>
      <w:r w:rsidR="00E27CEE">
        <w:rPr>
          <w:sz w:val="24"/>
          <w:szCs w:val="24"/>
          <w:lang w:bidi="ar-MA"/>
        </w:rPr>
        <w:t>ma</w:t>
      </w:r>
      <w:r w:rsidRPr="00614610">
        <w:rPr>
          <w:sz w:val="24"/>
          <w:szCs w:val="24"/>
          <w:lang w:bidi="ar-MA"/>
        </w:rPr>
        <w:t>rt afin d'activer les recommandations de la Commission Équité et Réconciliation relatives à la préservation de la mémoire et à la non-répétition par la réhabilitation des bâtiments existants sur le site, la construction d'un mémorial et la préparation du site extérieur</w:t>
      </w:r>
      <w:r w:rsidR="00E27CEE">
        <w:rPr>
          <w:sz w:val="24"/>
          <w:szCs w:val="24"/>
          <w:lang w:bidi="ar-MA"/>
        </w:rPr>
        <w:t xml:space="preserve">. </w:t>
      </w:r>
      <w:r w:rsidRPr="00614610">
        <w:rPr>
          <w:sz w:val="24"/>
          <w:szCs w:val="24"/>
          <w:lang w:bidi="ar-MA"/>
        </w:rPr>
        <w:t xml:space="preserve">Le </w:t>
      </w:r>
      <w:r w:rsidR="00E27CEE">
        <w:rPr>
          <w:sz w:val="24"/>
          <w:szCs w:val="24"/>
          <w:lang w:bidi="ar-MA"/>
        </w:rPr>
        <w:t>lieu</w:t>
      </w:r>
      <w:r w:rsidRPr="00614610">
        <w:rPr>
          <w:sz w:val="24"/>
          <w:szCs w:val="24"/>
          <w:lang w:bidi="ar-MA"/>
        </w:rPr>
        <w:t xml:space="preserve"> devrait être ouvert au public à la fin de l'année, et l'association demande au comité d'inviter l'État partie à renforcer le processus de préservation de la mémoire liée à la passé de violations en réhabilitant tous les centres de détention qui ont été liés à des disparitions forcées, et d'autre part, en documentant les cas liés au passé de violations dans les personnalités, les récits et en présentant </w:t>
      </w:r>
      <w:r w:rsidR="00E27CEE">
        <w:rPr>
          <w:sz w:val="24"/>
          <w:szCs w:val="24"/>
          <w:lang w:bidi="ar-MA"/>
        </w:rPr>
        <w:t>au</w:t>
      </w:r>
      <w:r w:rsidRPr="00614610">
        <w:rPr>
          <w:sz w:val="24"/>
          <w:szCs w:val="24"/>
          <w:lang w:bidi="ar-MA"/>
        </w:rPr>
        <w:t xml:space="preserve"> public </w:t>
      </w:r>
      <w:r w:rsidR="00E27CEE">
        <w:rPr>
          <w:sz w:val="24"/>
          <w:szCs w:val="24"/>
          <w:lang w:bidi="ar-MA"/>
        </w:rPr>
        <w:t>p</w:t>
      </w:r>
      <w:r w:rsidRPr="00614610">
        <w:rPr>
          <w:sz w:val="24"/>
          <w:szCs w:val="24"/>
          <w:lang w:bidi="ar-MA"/>
        </w:rPr>
        <w:t>ar tous les moyens de publication disponibles.</w:t>
      </w:r>
    </w:p>
    <w:p w14:paraId="747EC229" w14:textId="5BB9CABC" w:rsidR="00B3740A" w:rsidRPr="00614610" w:rsidRDefault="00B3740A" w:rsidP="00614610">
      <w:pPr>
        <w:pStyle w:val="ListParagraph"/>
        <w:numPr>
          <w:ilvl w:val="0"/>
          <w:numId w:val="1"/>
        </w:numPr>
        <w:spacing w:line="276" w:lineRule="auto"/>
        <w:jc w:val="both"/>
        <w:rPr>
          <w:sz w:val="24"/>
          <w:szCs w:val="24"/>
          <w:lang w:bidi="ar-MA"/>
        </w:rPr>
      </w:pPr>
      <w:r w:rsidRPr="00614610">
        <w:rPr>
          <w:sz w:val="24"/>
          <w:szCs w:val="24"/>
          <w:lang w:bidi="ar-MA"/>
        </w:rPr>
        <w:t>En ce qui concerne les garanties liées à la non-répétition des disparitions forcées, l'État partie a fait des progrès significatifs. Outre sa ratification de la Convention internationale pour la protection des personnes contre les disparitions forcées, son arsenal législatif comprend désormais des peines d'injonction, ce qui nécessite plus de sensibilisation et d'orientation à cet égard parmi les agents publics chargés de l'application de la loi afin d'assurer la pérennité de l'obligation de faire face à ce traitement cruel et dégradant.</w:t>
      </w:r>
    </w:p>
    <w:p w14:paraId="3DEB859F" w14:textId="7ABC96D2" w:rsidR="007E7479" w:rsidRPr="00614610" w:rsidRDefault="007E7479" w:rsidP="00614610">
      <w:pPr>
        <w:pStyle w:val="ListParagraph"/>
        <w:numPr>
          <w:ilvl w:val="0"/>
          <w:numId w:val="1"/>
        </w:numPr>
        <w:spacing w:line="276" w:lineRule="auto"/>
        <w:jc w:val="both"/>
        <w:rPr>
          <w:sz w:val="24"/>
          <w:szCs w:val="24"/>
          <w:lang w:bidi="ar-MA"/>
        </w:rPr>
      </w:pPr>
      <w:r w:rsidRPr="00614610">
        <w:rPr>
          <w:sz w:val="24"/>
          <w:szCs w:val="24"/>
          <w:lang w:bidi="ar-MA"/>
        </w:rPr>
        <w:t xml:space="preserve">L'État partie s'est efforcé d'identifier les victimes de disparitions forcées et a pu, grâce à l'expertise </w:t>
      </w:r>
      <w:r w:rsidR="00E27CEE">
        <w:rPr>
          <w:sz w:val="24"/>
          <w:szCs w:val="24"/>
          <w:lang w:bidi="ar-MA"/>
        </w:rPr>
        <w:t>de l</w:t>
      </w:r>
      <w:r w:rsidRPr="00614610">
        <w:rPr>
          <w:sz w:val="24"/>
          <w:szCs w:val="24"/>
          <w:lang w:bidi="ar-MA"/>
        </w:rPr>
        <w:t>a médecine légale, en identifier un grand nombre et les faire enterrer par leurs ayants droit après les avoir informés de leur décès.</w:t>
      </w:r>
    </w:p>
    <w:p w14:paraId="0F71FFCE" w14:textId="18BE7C50" w:rsidR="007E7479" w:rsidRPr="00614610" w:rsidRDefault="007E7479" w:rsidP="00614610">
      <w:pPr>
        <w:pStyle w:val="ListParagraph"/>
        <w:numPr>
          <w:ilvl w:val="0"/>
          <w:numId w:val="1"/>
        </w:numPr>
        <w:spacing w:line="276" w:lineRule="auto"/>
        <w:jc w:val="both"/>
        <w:rPr>
          <w:sz w:val="24"/>
          <w:szCs w:val="24"/>
          <w:lang w:bidi="ar-MA"/>
        </w:rPr>
      </w:pPr>
      <w:r w:rsidRPr="00614610">
        <w:rPr>
          <w:sz w:val="24"/>
          <w:szCs w:val="24"/>
          <w:lang w:bidi="ar-MA"/>
        </w:rPr>
        <w:t>L'Association note dans le rapport initial de l'État partie l'inclusion de données et de mesures importantes liées à la mise en œuvre de la Convention, telles que la réforme de l'arsenal législatif et sa compatibilité avec les dispositions de cette Convention et la diversité du cadre institutionnel pour la protection des droits de l'</w:t>
      </w:r>
      <w:r w:rsidR="00E27CEE">
        <w:rPr>
          <w:sz w:val="24"/>
          <w:szCs w:val="24"/>
          <w:lang w:bidi="ar-MA"/>
        </w:rPr>
        <w:t>H</w:t>
      </w:r>
      <w:r w:rsidRPr="00614610">
        <w:rPr>
          <w:sz w:val="24"/>
          <w:szCs w:val="24"/>
          <w:lang w:bidi="ar-MA"/>
        </w:rPr>
        <w:t>omme contre les violations graves</w:t>
      </w:r>
      <w:r w:rsidR="00513426" w:rsidRPr="00614610">
        <w:rPr>
          <w:rFonts w:hint="cs"/>
          <w:sz w:val="24"/>
          <w:szCs w:val="24"/>
          <w:rtl/>
          <w:lang w:bidi="ar-MA"/>
        </w:rPr>
        <w:t>.</w:t>
      </w:r>
    </w:p>
    <w:p w14:paraId="236F298D" w14:textId="77777777" w:rsidR="00513426" w:rsidRPr="00614610" w:rsidRDefault="00513426" w:rsidP="00614610">
      <w:pPr>
        <w:pStyle w:val="ListParagraph"/>
        <w:numPr>
          <w:ilvl w:val="0"/>
          <w:numId w:val="1"/>
        </w:numPr>
        <w:spacing w:line="276" w:lineRule="auto"/>
        <w:jc w:val="both"/>
        <w:rPr>
          <w:sz w:val="24"/>
          <w:szCs w:val="24"/>
          <w:lang w:bidi="ar-MA"/>
        </w:rPr>
      </w:pPr>
      <w:r w:rsidRPr="00614610">
        <w:rPr>
          <w:sz w:val="24"/>
          <w:szCs w:val="24"/>
          <w:lang w:bidi="ar-MA"/>
        </w:rPr>
        <w:t>D'autre part, l'association constate l'inclusion dans le rapport remis par l'État partie de données mesurables, traçables et évaluables relatives à la justice transitionnelle au Maroc et couvrant toutes ses étapes, en clarifiant la méthodologie des travaux de la Commission Équité et Réconciliation et son résultat dans le traitement des dossiers de violations graves passées, et enregistre les actions de l'État partie pour la publication proactive du contenu de son rapport au public Comme l'un des principaux points d'entrée pour l'implication de divers acteurs civils dans l'évaluation de la transition les procédures judiciaires et leur impact sur les politiques publiques de l'État.</w:t>
      </w:r>
    </w:p>
    <w:p w14:paraId="7A99C409" w14:textId="5D37A0AC" w:rsidR="00513426" w:rsidRPr="00614610" w:rsidRDefault="00513426" w:rsidP="00614610">
      <w:pPr>
        <w:pStyle w:val="ListParagraph"/>
        <w:numPr>
          <w:ilvl w:val="0"/>
          <w:numId w:val="1"/>
        </w:numPr>
        <w:spacing w:line="276" w:lineRule="auto"/>
        <w:jc w:val="both"/>
        <w:rPr>
          <w:sz w:val="24"/>
          <w:szCs w:val="24"/>
          <w:lang w:bidi="ar-MA"/>
        </w:rPr>
      </w:pPr>
      <w:r w:rsidRPr="00614610">
        <w:rPr>
          <w:sz w:val="24"/>
          <w:szCs w:val="24"/>
          <w:lang w:bidi="ar-MA"/>
        </w:rPr>
        <w:t xml:space="preserve">Parmi les éléments révélés par le rapport de l'État partie figure sa documentation sur les cas de victimes de violations passées, leurs lieux de détention et l'inhumation de certaines d'entre elles. Ces données, malgré leur caractère douloureux, confirment que le Maroc met plus que jamais en place un système complet </w:t>
      </w:r>
      <w:r w:rsidR="00307B79">
        <w:rPr>
          <w:sz w:val="24"/>
          <w:szCs w:val="24"/>
          <w:lang w:bidi="ar-MA"/>
        </w:rPr>
        <w:t xml:space="preserve">pour </w:t>
      </w:r>
      <w:r w:rsidRPr="00614610">
        <w:rPr>
          <w:sz w:val="24"/>
          <w:szCs w:val="24"/>
          <w:lang w:bidi="ar-MA"/>
        </w:rPr>
        <w:t>rompre avec toutes les pratiques et formes de mauvais traitements et de traitements cruels et dégradants de la dignité humaine, et qu'il n'y a pas de place pour l'avenir pour échapper à la punition pour les auteurs.</w:t>
      </w:r>
    </w:p>
    <w:p w14:paraId="780287D9" w14:textId="3A1BBCBA" w:rsidR="006F2E7E" w:rsidRPr="00614610" w:rsidRDefault="006F2E7E" w:rsidP="00614610">
      <w:pPr>
        <w:pStyle w:val="ListParagraph"/>
        <w:numPr>
          <w:ilvl w:val="0"/>
          <w:numId w:val="1"/>
        </w:numPr>
        <w:spacing w:line="276" w:lineRule="auto"/>
        <w:jc w:val="both"/>
        <w:rPr>
          <w:sz w:val="24"/>
          <w:szCs w:val="24"/>
          <w:lang w:bidi="ar-MA"/>
        </w:rPr>
      </w:pPr>
      <w:r w:rsidRPr="00614610">
        <w:rPr>
          <w:sz w:val="24"/>
          <w:szCs w:val="24"/>
          <w:lang w:bidi="ar-MA"/>
        </w:rPr>
        <w:t>L'Association sahraouie pour les droits économiques, sociaux, culturels et environnementaux présente sa contribution au Comité des disparitions forcées, lui demandant de partager l'expérience marocaine de traitement du passé de</w:t>
      </w:r>
      <w:r w:rsidR="00307B79">
        <w:rPr>
          <w:sz w:val="24"/>
          <w:szCs w:val="24"/>
          <w:lang w:bidi="ar-MA"/>
        </w:rPr>
        <w:t>s</w:t>
      </w:r>
      <w:r w:rsidRPr="00614610">
        <w:rPr>
          <w:sz w:val="24"/>
          <w:szCs w:val="24"/>
          <w:lang w:bidi="ar-MA"/>
        </w:rPr>
        <w:t xml:space="preserve"> graves violations comme une expérience exemplaire et de soutenir l'État partie pour renforcer les garanties de non-répétition de ce qui s'est passé et de préserver et d'améliorer les acquis de la justice transitionnelle.</w:t>
      </w:r>
    </w:p>
    <w:sectPr w:rsidR="006F2E7E" w:rsidRPr="00614610" w:rsidSect="00AD1762">
      <w:footerReference w:type="default" r:id="rId8"/>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38B7B" w14:textId="77777777" w:rsidR="008F6B57" w:rsidRDefault="008F6B57" w:rsidP="002A2881">
      <w:pPr>
        <w:spacing w:after="0" w:line="240" w:lineRule="auto"/>
      </w:pPr>
      <w:r>
        <w:separator/>
      </w:r>
    </w:p>
  </w:endnote>
  <w:endnote w:type="continuationSeparator" w:id="0">
    <w:p w14:paraId="0A904503" w14:textId="77777777" w:rsidR="008F6B57" w:rsidRDefault="008F6B57" w:rsidP="002A2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0085386"/>
      <w:docPartObj>
        <w:docPartGallery w:val="Page Numbers (Bottom of Page)"/>
        <w:docPartUnique/>
      </w:docPartObj>
    </w:sdtPr>
    <w:sdtEndPr/>
    <w:sdtContent>
      <w:sdt>
        <w:sdtPr>
          <w:id w:val="1728636285"/>
          <w:docPartObj>
            <w:docPartGallery w:val="Page Numbers (Top of Page)"/>
            <w:docPartUnique/>
          </w:docPartObj>
        </w:sdtPr>
        <w:sdtEndPr/>
        <w:sdtContent>
          <w:p w14:paraId="3B9BDD65" w14:textId="77777777" w:rsidR="002A2881" w:rsidRDefault="002A2881" w:rsidP="002A2881">
            <w:pPr>
              <w:pStyle w:val="Footer"/>
              <w:jc w:val="center"/>
            </w:pPr>
            <w:r>
              <w:rPr>
                <w:b/>
                <w:bCs/>
                <w:sz w:val="24"/>
                <w:szCs w:val="24"/>
              </w:rPr>
              <w:fldChar w:fldCharType="begin"/>
            </w:r>
            <w:r>
              <w:rPr>
                <w:b/>
                <w:bCs/>
              </w:rPr>
              <w:instrText>PAGE</w:instrText>
            </w:r>
            <w:r>
              <w:rPr>
                <w:b/>
                <w:bCs/>
                <w:sz w:val="24"/>
                <w:szCs w:val="24"/>
              </w:rPr>
              <w:fldChar w:fldCharType="separate"/>
            </w:r>
            <w:r w:rsidR="00AD1762">
              <w:rPr>
                <w:b/>
                <w:bCs/>
                <w:noProof/>
                <w:sz w:val="24"/>
                <w:szCs w:val="24"/>
              </w:rPr>
              <w:t>1</w:t>
            </w:r>
            <w:r>
              <w:rPr>
                <w:b/>
                <w:bCs/>
                <w:sz w:val="24"/>
                <w:szCs w:val="24"/>
              </w:rPr>
              <w:fldChar w:fldCharType="end"/>
            </w:r>
            <w:r>
              <w:t xml:space="preserve"> </w:t>
            </w:r>
            <w:r>
              <w:rPr>
                <w:rFonts w:hint="cs"/>
                <w:rtl/>
              </w:rPr>
              <w:t>/</w:t>
            </w:r>
            <w:r>
              <w:t xml:space="preserve"> </w:t>
            </w:r>
            <w:r>
              <w:rPr>
                <w:b/>
                <w:bCs/>
                <w:sz w:val="24"/>
                <w:szCs w:val="24"/>
              </w:rPr>
              <w:fldChar w:fldCharType="begin"/>
            </w:r>
            <w:r>
              <w:rPr>
                <w:b/>
                <w:bCs/>
              </w:rPr>
              <w:instrText>NUMPAGES</w:instrText>
            </w:r>
            <w:r>
              <w:rPr>
                <w:b/>
                <w:bCs/>
                <w:sz w:val="24"/>
                <w:szCs w:val="24"/>
              </w:rPr>
              <w:fldChar w:fldCharType="separate"/>
            </w:r>
            <w:r w:rsidR="00AD1762">
              <w:rPr>
                <w:b/>
                <w:bCs/>
                <w:noProof/>
                <w:sz w:val="24"/>
                <w:szCs w:val="24"/>
              </w:rPr>
              <w:t>4</w:t>
            </w:r>
            <w:r>
              <w:rPr>
                <w:b/>
                <w:bCs/>
                <w:sz w:val="24"/>
                <w:szCs w:val="24"/>
              </w:rPr>
              <w:fldChar w:fldCharType="end"/>
            </w:r>
          </w:p>
        </w:sdtContent>
      </w:sdt>
    </w:sdtContent>
  </w:sdt>
  <w:p w14:paraId="658941B5" w14:textId="77777777" w:rsidR="002A2881" w:rsidRDefault="002A28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D9DB2" w14:textId="77777777" w:rsidR="008F6B57" w:rsidRDefault="008F6B57" w:rsidP="002A2881">
      <w:pPr>
        <w:spacing w:after="0" w:line="240" w:lineRule="auto"/>
      </w:pPr>
      <w:r>
        <w:separator/>
      </w:r>
    </w:p>
  </w:footnote>
  <w:footnote w:type="continuationSeparator" w:id="0">
    <w:p w14:paraId="61BEC8B9" w14:textId="77777777" w:rsidR="008F6B57" w:rsidRDefault="008F6B57" w:rsidP="002A28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D70C2E"/>
    <w:multiLevelType w:val="hybridMultilevel"/>
    <w:tmpl w:val="0E74FBBE"/>
    <w:lvl w:ilvl="0" w:tplc="1566298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014"/>
    <w:rsid w:val="00031285"/>
    <w:rsid w:val="00070B52"/>
    <w:rsid w:val="000A21BD"/>
    <w:rsid w:val="00111FB5"/>
    <w:rsid w:val="001144C2"/>
    <w:rsid w:val="00186C0C"/>
    <w:rsid w:val="001A35BD"/>
    <w:rsid w:val="00297959"/>
    <w:rsid w:val="002A2881"/>
    <w:rsid w:val="00307B79"/>
    <w:rsid w:val="00336972"/>
    <w:rsid w:val="0041043B"/>
    <w:rsid w:val="00416E88"/>
    <w:rsid w:val="00493538"/>
    <w:rsid w:val="00513426"/>
    <w:rsid w:val="005D2014"/>
    <w:rsid w:val="00605198"/>
    <w:rsid w:val="00614610"/>
    <w:rsid w:val="00682DC7"/>
    <w:rsid w:val="006F2E7E"/>
    <w:rsid w:val="00712649"/>
    <w:rsid w:val="007A2197"/>
    <w:rsid w:val="007E7479"/>
    <w:rsid w:val="008548FC"/>
    <w:rsid w:val="008F6B57"/>
    <w:rsid w:val="009410F1"/>
    <w:rsid w:val="009E5FC2"/>
    <w:rsid w:val="00A4075E"/>
    <w:rsid w:val="00AD1762"/>
    <w:rsid w:val="00B256A3"/>
    <w:rsid w:val="00B3740A"/>
    <w:rsid w:val="00BF7AD7"/>
    <w:rsid w:val="00D12FDC"/>
    <w:rsid w:val="00E27CEE"/>
    <w:rsid w:val="00EB5432"/>
    <w:rsid w:val="00EE2920"/>
    <w:rsid w:val="00F11E05"/>
    <w:rsid w:val="00F9776F"/>
    <w:rsid w:val="00FF6ED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4E2FD"/>
  <w15:chartTrackingRefBased/>
  <w15:docId w15:val="{4BB17AAB-B225-41DB-AE24-FC9F8E16F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11FB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FB5"/>
    <w:rPr>
      <w:rFonts w:ascii="Times New Roman" w:eastAsia="Times New Roman" w:hAnsi="Times New Roman" w:cs="Times New Roman"/>
      <w:b/>
      <w:bCs/>
      <w:kern w:val="36"/>
      <w:sz w:val="48"/>
      <w:szCs w:val="48"/>
      <w:lang w:eastAsia="fr-FR"/>
    </w:rPr>
  </w:style>
  <w:style w:type="paragraph" w:styleId="ListParagraph">
    <w:name w:val="List Paragraph"/>
    <w:basedOn w:val="Normal"/>
    <w:uiPriority w:val="34"/>
    <w:qFormat/>
    <w:rsid w:val="00FF6ED3"/>
    <w:pPr>
      <w:ind w:left="720"/>
      <w:contextualSpacing/>
    </w:pPr>
  </w:style>
  <w:style w:type="paragraph" w:styleId="Header">
    <w:name w:val="header"/>
    <w:basedOn w:val="Normal"/>
    <w:link w:val="HeaderChar"/>
    <w:uiPriority w:val="99"/>
    <w:unhideWhenUsed/>
    <w:rsid w:val="002A2881"/>
    <w:pPr>
      <w:tabs>
        <w:tab w:val="center" w:pos="4536"/>
        <w:tab w:val="right" w:pos="9072"/>
      </w:tabs>
      <w:spacing w:after="0" w:line="240" w:lineRule="auto"/>
    </w:pPr>
  </w:style>
  <w:style w:type="character" w:customStyle="1" w:styleId="HeaderChar">
    <w:name w:val="Header Char"/>
    <w:basedOn w:val="DefaultParagraphFont"/>
    <w:link w:val="Header"/>
    <w:uiPriority w:val="99"/>
    <w:rsid w:val="002A2881"/>
  </w:style>
  <w:style w:type="paragraph" w:styleId="Footer">
    <w:name w:val="footer"/>
    <w:basedOn w:val="Normal"/>
    <w:link w:val="FooterChar"/>
    <w:uiPriority w:val="99"/>
    <w:unhideWhenUsed/>
    <w:rsid w:val="002A2881"/>
    <w:pPr>
      <w:tabs>
        <w:tab w:val="center" w:pos="4536"/>
        <w:tab w:val="right" w:pos="9072"/>
      </w:tabs>
      <w:spacing w:after="0" w:line="240" w:lineRule="auto"/>
    </w:pPr>
  </w:style>
  <w:style w:type="character" w:customStyle="1" w:styleId="FooterChar">
    <w:name w:val="Footer Char"/>
    <w:basedOn w:val="DefaultParagraphFont"/>
    <w:link w:val="Footer"/>
    <w:uiPriority w:val="99"/>
    <w:rsid w:val="002A2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229310">
      <w:bodyDiv w:val="1"/>
      <w:marLeft w:val="0"/>
      <w:marRight w:val="0"/>
      <w:marTop w:val="0"/>
      <w:marBottom w:val="0"/>
      <w:divBdr>
        <w:top w:val="none" w:sz="0" w:space="0" w:color="auto"/>
        <w:left w:val="none" w:sz="0" w:space="0" w:color="auto"/>
        <w:bottom w:val="none" w:sz="0" w:space="0" w:color="auto"/>
        <w:right w:val="none" w:sz="0" w:space="0" w:color="auto"/>
      </w:divBdr>
    </w:div>
    <w:div w:id="1504205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1CDC1A-DA4B-46C8-AA87-9D2BAD856B86}"/>
</file>

<file path=customXml/itemProps2.xml><?xml version="1.0" encoding="utf-8"?>
<ds:datastoreItem xmlns:ds="http://schemas.openxmlformats.org/officeDocument/2006/customXml" ds:itemID="{3CFA44B2-5B9B-443E-A921-39447AAB9568}"/>
</file>

<file path=customXml/itemProps3.xml><?xml version="1.0" encoding="utf-8"?>
<ds:datastoreItem xmlns:ds="http://schemas.openxmlformats.org/officeDocument/2006/customXml" ds:itemID="{E1E52B85-824E-4D92-BFA1-06272D435EDC}"/>
</file>

<file path=docProps/app.xml><?xml version="1.0" encoding="utf-8"?>
<Properties xmlns="http://schemas.openxmlformats.org/officeDocument/2006/extended-properties" xmlns:vt="http://schemas.openxmlformats.org/officeDocument/2006/docPropsVTypes">
  <Template>Normal.dotm</Template>
  <TotalTime>1</TotalTime>
  <Pages>3</Pages>
  <Words>1419</Words>
  <Characters>7808</Characters>
  <Application>Microsoft Office Word</Application>
  <DocSecurity>4</DocSecurity>
  <Lines>65</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Toumi</dc:creator>
  <cp:keywords/>
  <dc:description/>
  <cp:lastModifiedBy>Perrine</cp:lastModifiedBy>
  <cp:revision>2</cp:revision>
  <dcterms:created xsi:type="dcterms:W3CDTF">2022-07-12T09:57:00Z</dcterms:created>
  <dcterms:modified xsi:type="dcterms:W3CDTF">2022-07-12T09:57:00Z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