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E1F96" w14:textId="231CE241" w:rsidR="00333E06" w:rsidRDefault="00333E06"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558A1B13" wp14:editId="193EAFBA">
            <wp:simplePos x="0" y="0"/>
            <wp:positionH relativeFrom="column">
              <wp:posOffset>3475404</wp:posOffset>
            </wp:positionH>
            <wp:positionV relativeFrom="paragraph">
              <wp:posOffset>-6203</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7A36F3">
        <w:rPr>
          <w:rFonts w:asciiTheme="majorHAnsi" w:hAnsiTheme="majorHAnsi" w:cstheme="majorHAnsi"/>
          <w:b/>
          <w:sz w:val="34"/>
          <w:szCs w:val="34"/>
        </w:rPr>
        <w:t>B</w:t>
      </w:r>
      <w:r w:rsidR="00BE37BF" w:rsidRPr="007A36F3">
        <w:rPr>
          <w:rFonts w:asciiTheme="majorHAnsi" w:hAnsiTheme="majorHAnsi" w:cstheme="majorHAnsi"/>
          <w:b/>
          <w:sz w:val="34"/>
          <w:szCs w:val="34"/>
        </w:rPr>
        <w:t>riefing on</w:t>
      </w:r>
      <w:r w:rsidR="008565C0">
        <w:rPr>
          <w:rFonts w:asciiTheme="majorHAnsi" w:hAnsiTheme="majorHAnsi" w:cstheme="majorHAnsi"/>
          <w:b/>
          <w:sz w:val="34"/>
          <w:szCs w:val="34"/>
        </w:rPr>
        <w:t xml:space="preserve"> the</w:t>
      </w:r>
      <w:r w:rsidR="00E4774B" w:rsidRPr="007A36F3">
        <w:rPr>
          <w:rFonts w:asciiTheme="majorHAnsi" w:hAnsiTheme="majorHAnsi" w:cstheme="majorHAnsi"/>
          <w:b/>
          <w:sz w:val="34"/>
          <w:szCs w:val="34"/>
        </w:rPr>
        <w:t xml:space="preserve"> </w:t>
      </w:r>
      <w:r w:rsidR="00E6711B">
        <w:rPr>
          <w:rFonts w:asciiTheme="majorHAnsi" w:hAnsiTheme="majorHAnsi" w:cstheme="majorHAnsi"/>
          <w:b/>
          <w:sz w:val="34"/>
          <w:szCs w:val="34"/>
          <w:u w:val="single"/>
        </w:rPr>
        <w:t>Czech Republic</w:t>
      </w:r>
      <w:r w:rsidR="001E1F2A" w:rsidRPr="00BE46D6">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 xml:space="preserve">for the Committee on the Rights of Persons with Disabilities, </w:t>
      </w:r>
      <w:r>
        <w:rPr>
          <w:rFonts w:asciiTheme="majorHAnsi" w:hAnsiTheme="majorHAnsi" w:cstheme="majorHAnsi"/>
          <w:b/>
          <w:sz w:val="34"/>
          <w:szCs w:val="34"/>
        </w:rPr>
        <w:t>2</w:t>
      </w:r>
      <w:r w:rsidR="00F90AAF">
        <w:rPr>
          <w:rFonts w:asciiTheme="majorHAnsi" w:hAnsiTheme="majorHAnsi" w:cstheme="majorHAnsi"/>
          <w:b/>
          <w:sz w:val="34"/>
          <w:szCs w:val="34"/>
        </w:rPr>
        <w:t>1</w:t>
      </w:r>
      <w:r w:rsidR="00F90AAF" w:rsidRPr="00F90AAF">
        <w:rPr>
          <w:rFonts w:asciiTheme="majorHAnsi" w:hAnsiTheme="majorHAnsi" w:cstheme="majorHAnsi"/>
          <w:b/>
          <w:sz w:val="34"/>
          <w:szCs w:val="34"/>
          <w:vertAlign w:val="superscript"/>
        </w:rPr>
        <w:t>st</w:t>
      </w:r>
      <w:r w:rsidR="00F90AAF">
        <w:rPr>
          <w:rFonts w:asciiTheme="majorHAnsi" w:hAnsiTheme="majorHAnsi" w:cstheme="majorHAnsi"/>
          <w:b/>
          <w:sz w:val="34"/>
          <w:szCs w:val="34"/>
        </w:rPr>
        <w:t xml:space="preserve"> </w:t>
      </w:r>
      <w:r w:rsidR="00BE37BF" w:rsidRPr="007A36F3">
        <w:rPr>
          <w:rFonts w:asciiTheme="majorHAnsi" w:hAnsiTheme="majorHAnsi" w:cstheme="majorHAnsi"/>
          <w:b/>
          <w:sz w:val="34"/>
          <w:szCs w:val="34"/>
        </w:rPr>
        <w:t>session</w:t>
      </w:r>
      <w:r w:rsidR="007F7529" w:rsidRPr="007A36F3">
        <w:rPr>
          <w:rFonts w:asciiTheme="majorHAnsi" w:hAnsiTheme="majorHAnsi" w:cstheme="majorHAnsi"/>
          <w:b/>
          <w:sz w:val="34"/>
          <w:szCs w:val="34"/>
        </w:rPr>
        <w:t>,</w:t>
      </w:r>
      <w:r w:rsidR="00BE37BF" w:rsidRPr="007A36F3">
        <w:rPr>
          <w:rFonts w:asciiTheme="majorHAnsi" w:hAnsiTheme="majorHAnsi" w:cstheme="majorHAnsi"/>
          <w:b/>
          <w:sz w:val="34"/>
          <w:szCs w:val="34"/>
        </w:rPr>
        <w:t xml:space="preserve"> </w:t>
      </w:r>
      <w:r w:rsidR="00F90AAF">
        <w:rPr>
          <w:rFonts w:asciiTheme="majorHAnsi" w:hAnsiTheme="majorHAnsi" w:cstheme="majorHAnsi"/>
          <w:b/>
          <w:sz w:val="34"/>
          <w:szCs w:val="34"/>
        </w:rPr>
        <w:t>March</w:t>
      </w:r>
      <w:r w:rsidR="00E4774B" w:rsidRPr="007A36F3">
        <w:rPr>
          <w:rFonts w:asciiTheme="majorHAnsi" w:hAnsiTheme="majorHAnsi" w:cstheme="majorHAnsi"/>
          <w:b/>
          <w:sz w:val="34"/>
          <w:szCs w:val="34"/>
        </w:rPr>
        <w:t>/</w:t>
      </w:r>
      <w:r w:rsidR="00F90AAF">
        <w:rPr>
          <w:rFonts w:asciiTheme="majorHAnsi" w:hAnsiTheme="majorHAnsi" w:cstheme="majorHAnsi"/>
          <w:b/>
          <w:sz w:val="34"/>
          <w:szCs w:val="34"/>
        </w:rPr>
        <w:t>April</w:t>
      </w:r>
      <w:r w:rsidR="00A53A7A" w:rsidRPr="007A36F3">
        <w:rPr>
          <w:rFonts w:asciiTheme="majorHAnsi" w:hAnsiTheme="majorHAnsi" w:cstheme="majorHAnsi"/>
          <w:b/>
          <w:sz w:val="34"/>
          <w:szCs w:val="34"/>
        </w:rPr>
        <w:t xml:space="preserve"> 201</w:t>
      </w:r>
      <w:r w:rsidR="00F90AAF">
        <w:rPr>
          <w:rFonts w:asciiTheme="majorHAnsi" w:hAnsiTheme="majorHAnsi" w:cstheme="majorHAnsi"/>
          <w:b/>
          <w:sz w:val="34"/>
          <w:szCs w:val="34"/>
        </w:rPr>
        <w:t>9</w:t>
      </w:r>
    </w:p>
    <w:p w14:paraId="4508A740" w14:textId="539130B4" w:rsidR="00767639" w:rsidRDefault="00767639" w:rsidP="007F7529">
      <w:pPr>
        <w:spacing w:after="120"/>
        <w:rPr>
          <w:rFonts w:asciiTheme="majorHAnsi" w:hAnsiTheme="majorHAnsi" w:cstheme="majorHAnsi"/>
        </w:rPr>
      </w:pPr>
      <w:r w:rsidRPr="007A36F3">
        <w:rPr>
          <w:rFonts w:asciiTheme="majorHAnsi" w:hAnsiTheme="majorHAnsi" w:cstheme="majorHAnsi"/>
        </w:rPr>
        <w:t xml:space="preserve">From </w:t>
      </w:r>
      <w:r w:rsidR="00A53A7A" w:rsidRPr="007A36F3">
        <w:rPr>
          <w:rFonts w:asciiTheme="majorHAnsi" w:hAnsiTheme="majorHAnsi" w:cstheme="majorHAnsi"/>
        </w:rPr>
        <w:t>the</w:t>
      </w:r>
      <w:r w:rsidR="005B5315" w:rsidRPr="007A36F3">
        <w:rPr>
          <w:rFonts w:asciiTheme="majorHAnsi" w:hAnsiTheme="majorHAnsi" w:cstheme="majorHAnsi"/>
        </w:rPr>
        <w:t xml:space="preserve"> </w:t>
      </w:r>
      <w:r w:rsidRPr="007A36F3">
        <w:rPr>
          <w:rFonts w:asciiTheme="majorHAnsi" w:hAnsiTheme="majorHAnsi" w:cstheme="majorHAnsi"/>
        </w:rPr>
        <w:t>Global Initiative</w:t>
      </w:r>
      <w:r w:rsidR="00633745" w:rsidRPr="007A36F3">
        <w:rPr>
          <w:rFonts w:asciiTheme="majorHAnsi" w:hAnsiTheme="majorHAnsi" w:cstheme="majorHAnsi"/>
        </w:rPr>
        <w:t xml:space="preserve"> to End All Corporal Punishment </w:t>
      </w:r>
      <w:r w:rsidR="00333E06">
        <w:rPr>
          <w:rFonts w:asciiTheme="majorHAnsi" w:hAnsiTheme="majorHAnsi" w:cstheme="majorHAnsi"/>
        </w:rPr>
        <w:t>o</w:t>
      </w:r>
      <w:r w:rsidR="00633745" w:rsidRPr="007A36F3">
        <w:rPr>
          <w:rFonts w:asciiTheme="majorHAnsi" w:hAnsiTheme="majorHAnsi" w:cstheme="majorHAnsi"/>
        </w:rPr>
        <w:t>f Children</w:t>
      </w:r>
      <w:r w:rsidR="004A1897" w:rsidRPr="007A36F3">
        <w:rPr>
          <w:rFonts w:asciiTheme="majorHAnsi" w:hAnsiTheme="majorHAnsi" w:cstheme="majorHAnsi"/>
        </w:rPr>
        <w:t xml:space="preserve">, </w:t>
      </w:r>
      <w:r w:rsidR="00E6711B">
        <w:rPr>
          <w:rFonts w:asciiTheme="majorHAnsi" w:hAnsiTheme="majorHAnsi" w:cstheme="majorHAnsi"/>
        </w:rPr>
        <w:t>February</w:t>
      </w:r>
      <w:r w:rsidR="004A1897" w:rsidRPr="007A36F3">
        <w:rPr>
          <w:rFonts w:asciiTheme="majorHAnsi" w:hAnsiTheme="majorHAnsi" w:cstheme="majorHAnsi"/>
        </w:rPr>
        <w:t xml:space="preserve"> 201</w:t>
      </w:r>
      <w:r w:rsidR="00F90AAF">
        <w:rPr>
          <w:rFonts w:asciiTheme="majorHAnsi" w:hAnsiTheme="majorHAnsi" w:cstheme="majorHAnsi"/>
        </w:rPr>
        <w:t>9</w:t>
      </w:r>
      <w:r w:rsidR="00633745" w:rsidRPr="007A36F3">
        <w:rPr>
          <w:rFonts w:asciiTheme="majorHAnsi" w:hAnsiTheme="majorHAnsi" w:cstheme="majorHAnsi"/>
        </w:rPr>
        <w:t xml:space="preserve"> </w:t>
      </w:r>
      <w:r w:rsidR="00BE37BF" w:rsidRPr="007A36F3">
        <w:rPr>
          <w:rFonts w:asciiTheme="majorHAnsi" w:hAnsiTheme="majorHAnsi" w:cstheme="majorHAnsi"/>
        </w:rPr>
        <w:br/>
      </w:r>
    </w:p>
    <w:p w14:paraId="71FAB266" w14:textId="77777777" w:rsidR="00333E06" w:rsidRPr="007A36F3" w:rsidRDefault="00333E06" w:rsidP="007F7529">
      <w:pPr>
        <w:spacing w:after="120"/>
        <w:rPr>
          <w:rFonts w:asciiTheme="majorHAnsi" w:hAnsiTheme="majorHAnsi" w:cstheme="majorHAnsi"/>
        </w:rPr>
      </w:pPr>
    </w:p>
    <w:p w14:paraId="78052E85" w14:textId="33415951" w:rsidR="004D7A67"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(a) </w:t>
      </w:r>
      <w:r w:rsidR="00716B5D" w:rsidRPr="007A36F3">
        <w:rPr>
          <w:rFonts w:asciiTheme="majorHAnsi" w:hAnsiTheme="majorHAnsi" w:cstheme="majorHAnsi"/>
          <w:b/>
          <w:sz w:val="26"/>
          <w:szCs w:val="26"/>
        </w:rPr>
        <w:t>About the Global Initiative</w:t>
      </w:r>
      <w:r w:rsidR="00106569" w:rsidRPr="007A36F3">
        <w:rPr>
          <w:rFonts w:asciiTheme="majorHAnsi" w:hAnsiTheme="majorHAnsi" w:cstheme="majorHAnsi"/>
          <w:b/>
          <w:sz w:val="26"/>
          <w:szCs w:val="26"/>
        </w:rPr>
        <w:t xml:space="preserve"> to End All Corporal Punishment of Children</w:t>
      </w:r>
    </w:p>
    <w:p w14:paraId="3190CD76" w14:textId="78DB8F29" w:rsidR="00716B5D" w:rsidRPr="007A36F3" w:rsidRDefault="00833827" w:rsidP="00716B5D">
      <w:pPr>
        <w:spacing w:after="120"/>
        <w:rPr>
          <w:rFonts w:asciiTheme="majorHAnsi" w:hAnsiTheme="majorHAnsi" w:cstheme="majorHAnsi"/>
        </w:rPr>
      </w:pPr>
      <w:r w:rsidRPr="007A36F3">
        <w:rPr>
          <w:rFonts w:asciiTheme="majorHAnsi" w:hAnsiTheme="majorHAnsi" w:cstheme="majorHAnsi"/>
        </w:rPr>
        <w:t xml:space="preserve">1. </w:t>
      </w:r>
      <w:r w:rsidR="00716B5D" w:rsidRPr="007A36F3">
        <w:rPr>
          <w:rFonts w:asciiTheme="majorHAnsi" w:hAnsiTheme="majorHAnsi" w:cstheme="majorHAnsi"/>
        </w:rPr>
        <w:t>The Global Initiative (</w:t>
      </w:r>
      <w:hyperlink r:id="rId13" w:history="1">
        <w:r w:rsidR="00716B5D" w:rsidRPr="006C5ECF">
          <w:rPr>
            <w:rStyle w:val="Hyperlink"/>
            <w:rFonts w:asciiTheme="majorHAnsi" w:hAnsiTheme="majorHAnsi" w:cstheme="majorHAnsi"/>
            <w:color w:val="0096A3"/>
          </w:rPr>
          <w:t>www.endcorporalpunishment.org</w:t>
        </w:r>
        <w:r w:rsidR="00716B5D" w:rsidRPr="006C5ECF">
          <w:rPr>
            <w:rStyle w:val="Hyperlink"/>
            <w:rFonts w:asciiTheme="majorHAnsi" w:hAnsiTheme="majorHAnsi" w:cstheme="majorHAnsi"/>
            <w:color w:val="auto"/>
            <w:u w:val="none"/>
          </w:rPr>
          <w:t>)</w:t>
        </w:r>
      </w:hyperlink>
      <w:r w:rsidR="00716B5D" w:rsidRPr="007A36F3">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7A36F3">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7A36F3" w:rsidRDefault="00716B5D" w:rsidP="00716B5D">
      <w:pPr>
        <w:spacing w:after="120"/>
        <w:rPr>
          <w:rFonts w:asciiTheme="majorHAnsi" w:hAnsiTheme="majorHAnsi" w:cstheme="majorHAnsi"/>
        </w:rPr>
      </w:pPr>
    </w:p>
    <w:p w14:paraId="02EFC191" w14:textId="49D05158" w:rsidR="00142366" w:rsidRPr="007A36F3" w:rsidRDefault="00142366" w:rsidP="00716B5D">
      <w:pPr>
        <w:spacing w:after="120"/>
        <w:rPr>
          <w:rFonts w:asciiTheme="majorHAnsi" w:hAnsiTheme="majorHAnsi" w:cstheme="majorHAnsi"/>
          <w:b/>
          <w:sz w:val="26"/>
          <w:szCs w:val="26"/>
        </w:rPr>
      </w:pPr>
      <w:r w:rsidRPr="007A36F3">
        <w:rPr>
          <w:rFonts w:asciiTheme="majorHAnsi" w:hAnsiTheme="majorHAnsi" w:cstheme="majorHAnsi"/>
          <w:b/>
          <w:sz w:val="26"/>
          <w:szCs w:val="26"/>
        </w:rPr>
        <w:t xml:space="preserve">(b) </w:t>
      </w:r>
      <w:r w:rsidR="00106569" w:rsidRPr="007A36F3">
        <w:rPr>
          <w:rFonts w:asciiTheme="majorHAnsi" w:hAnsiTheme="majorHAnsi" w:cstheme="majorHAnsi"/>
          <w:b/>
          <w:sz w:val="26"/>
          <w:szCs w:val="26"/>
        </w:rPr>
        <w:t>S</w:t>
      </w:r>
      <w:r w:rsidRPr="007A36F3">
        <w:rPr>
          <w:rFonts w:asciiTheme="majorHAnsi" w:hAnsiTheme="majorHAnsi" w:cstheme="majorHAnsi"/>
          <w:b/>
          <w:sz w:val="26"/>
          <w:szCs w:val="26"/>
        </w:rPr>
        <w:t>ummary</w:t>
      </w:r>
    </w:p>
    <w:p w14:paraId="5915D402" w14:textId="6080E15B" w:rsidR="00F00EFD" w:rsidRPr="00E819CB" w:rsidRDefault="00826CD2" w:rsidP="00F00EFD">
      <w:pPr>
        <w:spacing w:after="120"/>
        <w:rPr>
          <w:rFonts w:asciiTheme="majorHAnsi" w:hAnsiTheme="majorHAnsi" w:cstheme="majorHAnsi"/>
          <w:b/>
        </w:rPr>
      </w:pPr>
      <w:r w:rsidRPr="00C575FA">
        <w:rPr>
          <w:rFonts w:asciiTheme="majorHAnsi" w:hAnsiTheme="majorHAnsi" w:cstheme="majorHAnsi"/>
        </w:rPr>
        <w:t>2</w:t>
      </w:r>
      <w:r w:rsidR="00F00EFD" w:rsidRPr="00C575FA">
        <w:rPr>
          <w:rFonts w:asciiTheme="majorHAnsi" w:hAnsiTheme="majorHAnsi" w:cstheme="majorHAnsi"/>
        </w:rPr>
        <w:t xml:space="preserve">. </w:t>
      </w:r>
      <w:r w:rsidR="00CF2FBD" w:rsidRPr="00CF2FBD">
        <w:rPr>
          <w:rFonts w:asciiTheme="majorHAnsi" w:hAnsiTheme="majorHAnsi" w:cstheme="majorHAnsi"/>
        </w:rPr>
        <w:t xml:space="preserve">Corporal punishment of children in the Czech Republic is unlawful in </w:t>
      </w:r>
      <w:r w:rsidR="00CF2FBD">
        <w:rPr>
          <w:rFonts w:asciiTheme="majorHAnsi" w:hAnsiTheme="majorHAnsi" w:cstheme="majorHAnsi"/>
        </w:rPr>
        <w:t xml:space="preserve">alternative care institutions, preschools and </w:t>
      </w:r>
      <w:r w:rsidR="00CF2FBD" w:rsidRPr="00CF2FBD">
        <w:rPr>
          <w:rFonts w:asciiTheme="majorHAnsi" w:hAnsiTheme="majorHAnsi" w:cstheme="majorHAnsi"/>
        </w:rPr>
        <w:t xml:space="preserve">schools and in the penal system but </w:t>
      </w:r>
      <w:r w:rsidR="00F00EFD" w:rsidRPr="00C575FA">
        <w:rPr>
          <w:rFonts w:asciiTheme="majorHAnsi" w:hAnsiTheme="majorHAnsi" w:cstheme="majorHAnsi"/>
        </w:rPr>
        <w:t>is not yet prohibited in the home</w:t>
      </w:r>
      <w:r w:rsidR="00CF2FBD">
        <w:rPr>
          <w:rFonts w:asciiTheme="majorHAnsi" w:hAnsiTheme="majorHAnsi" w:cstheme="majorHAnsi"/>
        </w:rPr>
        <w:t>, non-</w:t>
      </w:r>
      <w:r w:rsidR="00C575FA" w:rsidRPr="00C575FA">
        <w:rPr>
          <w:rFonts w:asciiTheme="majorHAnsi" w:hAnsiTheme="majorHAnsi" w:cstheme="majorHAnsi"/>
        </w:rPr>
        <w:t>i</w:t>
      </w:r>
      <w:r w:rsidR="00CF2FBD">
        <w:rPr>
          <w:rFonts w:asciiTheme="majorHAnsi" w:hAnsiTheme="majorHAnsi" w:cstheme="majorHAnsi"/>
        </w:rPr>
        <w:t>nstitutional</w:t>
      </w:r>
      <w:r w:rsidR="00F00EFD" w:rsidRPr="00C575FA">
        <w:rPr>
          <w:rFonts w:asciiTheme="majorHAnsi" w:hAnsiTheme="majorHAnsi" w:cstheme="majorHAnsi"/>
        </w:rPr>
        <w:t xml:space="preserve"> alternative care and </w:t>
      </w:r>
      <w:r w:rsidR="00CF2FBD">
        <w:rPr>
          <w:rFonts w:asciiTheme="majorHAnsi" w:hAnsiTheme="majorHAnsi" w:cstheme="majorHAnsi"/>
        </w:rPr>
        <w:t xml:space="preserve">non-educational </w:t>
      </w:r>
      <w:r w:rsidR="00F00EFD" w:rsidRPr="00C575FA">
        <w:rPr>
          <w:rFonts w:asciiTheme="majorHAnsi" w:hAnsiTheme="majorHAnsi" w:cstheme="majorHAnsi"/>
        </w:rPr>
        <w:t>day care</w:t>
      </w:r>
      <w:r w:rsidR="00CD12D5" w:rsidRPr="00C575FA">
        <w:rPr>
          <w:rFonts w:asciiTheme="majorHAnsi" w:hAnsiTheme="majorHAnsi" w:cstheme="majorHAnsi"/>
        </w:rPr>
        <w:t xml:space="preserve"> settings,</w:t>
      </w:r>
      <w:r w:rsidR="00F00EFD" w:rsidRPr="00C575FA">
        <w:rPr>
          <w:rFonts w:asciiTheme="majorHAnsi" w:hAnsiTheme="majorHAnsi" w:cstheme="majorHAnsi"/>
        </w:rPr>
        <w:t xml:space="preserve"> in violation of the fundamental right of all children to protection from corporal punishment and other cruel or degrading forms of punishment. </w:t>
      </w:r>
    </w:p>
    <w:p w14:paraId="79D69036" w14:textId="0106BE1F" w:rsidR="004D7A67" w:rsidRPr="007A36F3" w:rsidRDefault="00826CD2" w:rsidP="007A21C3">
      <w:pPr>
        <w:spacing w:after="120"/>
        <w:rPr>
          <w:rFonts w:asciiTheme="majorHAnsi" w:hAnsiTheme="majorHAnsi" w:cstheme="majorHAnsi"/>
        </w:rPr>
      </w:pPr>
      <w:r w:rsidRPr="007A36F3">
        <w:rPr>
          <w:rFonts w:asciiTheme="majorHAnsi" w:hAnsiTheme="majorHAnsi" w:cstheme="majorHAnsi"/>
        </w:rPr>
        <w:lastRenderedPageBreak/>
        <w:t>3</w:t>
      </w:r>
      <w:r w:rsidR="00833827" w:rsidRPr="007A36F3">
        <w:rPr>
          <w:rFonts w:asciiTheme="majorHAnsi" w:hAnsiTheme="majorHAnsi" w:cstheme="majorHAnsi"/>
        </w:rPr>
        <w:t xml:space="preserve">. </w:t>
      </w:r>
      <w:r w:rsidR="00181FAC" w:rsidRPr="007A36F3">
        <w:rPr>
          <w:rFonts w:asciiTheme="majorHAnsi" w:hAnsiTheme="majorHAnsi" w:cstheme="majorHAnsi"/>
        </w:rPr>
        <w:t xml:space="preserve">With reference to </w:t>
      </w:r>
      <w:r w:rsidR="00181FAC" w:rsidRPr="007A36F3">
        <w:rPr>
          <w:rFonts w:asciiTheme="majorHAnsi" w:hAnsiTheme="majorHAnsi" w:cstheme="majorHAnsi"/>
          <w:b/>
        </w:rPr>
        <w:t>articles 7, 15, 16 and 17</w:t>
      </w:r>
      <w:r w:rsidR="00181FAC" w:rsidRPr="007A36F3">
        <w:rPr>
          <w:rFonts w:asciiTheme="majorHAnsi" w:hAnsiTheme="majorHAnsi" w:cstheme="majorHAnsi"/>
        </w:rPr>
        <w:t xml:space="preserve"> of the Convention on the Rights of Persons with Disabilities, and i</w:t>
      </w:r>
      <w:r w:rsidR="004D7A67" w:rsidRPr="007A36F3">
        <w:rPr>
          <w:rFonts w:asciiTheme="majorHAnsi" w:hAnsiTheme="majorHAnsi" w:cstheme="majorHAnsi"/>
        </w:rPr>
        <w:t>n light of the particular vulnerability of children with disabilities to</w:t>
      </w:r>
      <w:r w:rsidR="00181FAC" w:rsidRPr="007A36F3">
        <w:rPr>
          <w:rFonts w:asciiTheme="majorHAnsi" w:hAnsiTheme="majorHAnsi" w:cstheme="majorHAnsi"/>
        </w:rPr>
        <w:t xml:space="preserve"> corporal punishment by adults, </w:t>
      </w:r>
      <w:r w:rsidR="004D7A67" w:rsidRPr="007A36F3">
        <w:rPr>
          <w:rFonts w:asciiTheme="majorHAnsi" w:hAnsiTheme="majorHAnsi" w:cstheme="majorHAnsi"/>
        </w:rPr>
        <w:t>the jurisp</w:t>
      </w:r>
      <w:r w:rsidR="00181FAC" w:rsidRPr="007A36F3">
        <w:rPr>
          <w:rFonts w:asciiTheme="majorHAnsi" w:hAnsiTheme="majorHAnsi" w:cstheme="majorHAnsi"/>
        </w:rPr>
        <w:t>rudence of the UN treaty bodies</w:t>
      </w:r>
      <w:r w:rsidR="00E4774B" w:rsidRPr="007A36F3">
        <w:rPr>
          <w:rFonts w:asciiTheme="majorHAnsi" w:hAnsiTheme="majorHAnsi" w:cstheme="majorHAnsi"/>
        </w:rPr>
        <w:t>,</w:t>
      </w:r>
      <w:r w:rsidR="004D7A67" w:rsidRPr="007A36F3">
        <w:rPr>
          <w:rFonts w:asciiTheme="majorHAnsi" w:hAnsiTheme="majorHAnsi" w:cstheme="majorHAnsi"/>
        </w:rPr>
        <w:t xml:space="preserve"> the </w:t>
      </w:r>
      <w:r w:rsidR="00106569" w:rsidRPr="007A36F3">
        <w:rPr>
          <w:rFonts w:asciiTheme="majorHAnsi" w:hAnsiTheme="majorHAnsi" w:cstheme="majorHAnsi"/>
        </w:rPr>
        <w:t>emphasis on</w:t>
      </w:r>
      <w:r w:rsidR="004D7A67" w:rsidRPr="007A36F3">
        <w:rPr>
          <w:rFonts w:asciiTheme="majorHAnsi" w:hAnsiTheme="majorHAnsi" w:cstheme="majorHAnsi"/>
        </w:rPr>
        <w:t xml:space="preserve"> eradicating this form of violence given by the UN Secretary General’s Study on Violence against Children</w:t>
      </w:r>
      <w:r w:rsidR="00E4774B" w:rsidRPr="007A36F3">
        <w:rPr>
          <w:rFonts w:asciiTheme="majorHAnsi" w:hAnsiTheme="majorHAnsi" w:cstheme="majorHAnsi"/>
        </w:rPr>
        <w:t xml:space="preserve"> and </w:t>
      </w:r>
      <w:r w:rsidR="00106569" w:rsidRPr="007A36F3">
        <w:rPr>
          <w:rFonts w:asciiTheme="majorHAnsi" w:hAnsiTheme="majorHAnsi" w:cstheme="majorHAnsi"/>
        </w:rPr>
        <w:t xml:space="preserve">the importance of the issue to achieving target 16.2 on ending violence against children in the 2030 Sustainable Development Goals, </w:t>
      </w:r>
      <w:r w:rsidR="004D7A67" w:rsidRPr="007A36F3">
        <w:rPr>
          <w:rFonts w:asciiTheme="majorHAnsi" w:hAnsiTheme="majorHAnsi" w:cstheme="majorHAnsi"/>
        </w:rPr>
        <w:t>w</w:t>
      </w:r>
      <w:r w:rsidR="004D7A67" w:rsidRPr="007A36F3">
        <w:rPr>
          <w:rFonts w:asciiTheme="majorHAnsi" w:hAnsiTheme="majorHAnsi" w:cstheme="majorHAnsi"/>
          <w:iCs/>
        </w:rPr>
        <w:t>e hope the Committee on the Rights of Persons with Disabilities will:</w:t>
      </w:r>
    </w:p>
    <w:p w14:paraId="7B48E400" w14:textId="7E4FD902" w:rsidR="007F7529" w:rsidRPr="00466A97" w:rsidRDefault="007F7529" w:rsidP="00C575FA">
      <w:pPr>
        <w:numPr>
          <w:ilvl w:val="0"/>
          <w:numId w:val="6"/>
        </w:numPr>
        <w:spacing w:after="120"/>
        <w:rPr>
          <w:rFonts w:asciiTheme="majorHAnsi" w:hAnsiTheme="majorHAnsi" w:cstheme="majorHAnsi"/>
          <w:iCs/>
        </w:rPr>
      </w:pPr>
      <w:r w:rsidRPr="007A36F3">
        <w:rPr>
          <w:rFonts w:asciiTheme="majorHAnsi" w:hAnsiTheme="majorHAnsi" w:cstheme="majorHAnsi"/>
          <w:iCs/>
        </w:rPr>
        <w:t>include the issue of cor</w:t>
      </w:r>
      <w:r w:rsidRPr="00466A97">
        <w:rPr>
          <w:rFonts w:asciiTheme="majorHAnsi" w:hAnsiTheme="majorHAnsi" w:cstheme="majorHAnsi"/>
          <w:iCs/>
        </w:rPr>
        <w:t>poral punishment in its List of Issues</w:t>
      </w:r>
      <w:r w:rsidR="00636AA7" w:rsidRPr="00466A97">
        <w:rPr>
          <w:rFonts w:asciiTheme="majorHAnsi" w:hAnsiTheme="majorHAnsi" w:cstheme="majorHAnsi"/>
          <w:iCs/>
        </w:rPr>
        <w:t xml:space="preserve"> Prior to Reporting</w:t>
      </w:r>
      <w:r w:rsidRPr="00466A97">
        <w:rPr>
          <w:rFonts w:asciiTheme="majorHAnsi" w:hAnsiTheme="majorHAnsi" w:cstheme="majorHAnsi"/>
          <w:iCs/>
        </w:rPr>
        <w:t xml:space="preserve"> for </w:t>
      </w:r>
      <w:r w:rsidR="00C513B1">
        <w:rPr>
          <w:rFonts w:asciiTheme="majorHAnsi" w:hAnsiTheme="majorHAnsi" w:cstheme="majorHAnsi"/>
          <w:iCs/>
        </w:rPr>
        <w:t>the Czech Republic</w:t>
      </w:r>
      <w:r w:rsidRPr="00466A97">
        <w:rPr>
          <w:rFonts w:asciiTheme="majorHAnsi" w:hAnsiTheme="majorHAnsi" w:cstheme="majorHAnsi"/>
          <w:iCs/>
        </w:rPr>
        <w:t>, in particular asking</w:t>
      </w:r>
      <w:r w:rsidR="00DC20AE" w:rsidRPr="00466A97">
        <w:rPr>
          <w:rFonts w:asciiTheme="majorHAnsi" w:hAnsiTheme="majorHAnsi" w:cstheme="majorHAnsi"/>
          <w:iCs/>
        </w:rPr>
        <w:t>:</w:t>
      </w:r>
      <w:r w:rsidRPr="00466A97">
        <w:rPr>
          <w:rFonts w:asciiTheme="majorHAnsi" w:hAnsiTheme="majorHAnsi" w:cstheme="majorHAnsi"/>
          <w:iCs/>
        </w:rPr>
        <w:t xml:space="preserve"> </w:t>
      </w:r>
      <w:r w:rsidR="00DC20AE" w:rsidRPr="00466A97">
        <w:rPr>
          <w:rFonts w:asciiTheme="majorHAnsi" w:hAnsiTheme="majorHAnsi" w:cstheme="majorHAnsi"/>
          <w:iCs/>
        </w:rPr>
        <w:t>“</w:t>
      </w:r>
      <w:r w:rsidR="00C575FA">
        <w:rPr>
          <w:rFonts w:asciiTheme="majorHAnsi" w:hAnsiTheme="majorHAnsi" w:cstheme="majorHAnsi"/>
          <w:b/>
          <w:iCs/>
        </w:rPr>
        <w:t xml:space="preserve">what steps </w:t>
      </w:r>
      <w:r w:rsidR="00365B72">
        <w:rPr>
          <w:rFonts w:asciiTheme="majorHAnsi" w:hAnsiTheme="majorHAnsi" w:cstheme="majorHAnsi"/>
          <w:b/>
          <w:iCs/>
        </w:rPr>
        <w:t>are</w:t>
      </w:r>
      <w:r w:rsidR="00C575FA">
        <w:rPr>
          <w:rFonts w:asciiTheme="majorHAnsi" w:hAnsiTheme="majorHAnsi" w:cstheme="majorHAnsi"/>
          <w:b/>
          <w:iCs/>
        </w:rPr>
        <w:t xml:space="preserve"> being taken to </w:t>
      </w:r>
      <w:r w:rsidR="002A0EFD">
        <w:rPr>
          <w:rFonts w:asciiTheme="majorHAnsi" w:hAnsiTheme="majorHAnsi" w:cstheme="majorHAnsi"/>
          <w:b/>
          <w:iCs/>
        </w:rPr>
        <w:t xml:space="preserve">enact legislation prohibiting all corporal punishment of children with disabilities, </w:t>
      </w:r>
      <w:r w:rsidR="00C513B1">
        <w:rPr>
          <w:rFonts w:asciiTheme="majorHAnsi" w:hAnsiTheme="majorHAnsi" w:cstheme="majorHAnsi"/>
          <w:b/>
          <w:iCs/>
        </w:rPr>
        <w:t>including in homes</w:t>
      </w:r>
      <w:r w:rsidR="002A0EFD">
        <w:rPr>
          <w:rFonts w:asciiTheme="majorHAnsi" w:hAnsiTheme="majorHAnsi" w:cstheme="majorHAnsi"/>
          <w:b/>
          <w:iCs/>
        </w:rPr>
        <w:t>?</w:t>
      </w:r>
      <w:r w:rsidR="00C575FA">
        <w:rPr>
          <w:rFonts w:asciiTheme="majorHAnsi" w:hAnsiTheme="majorHAnsi" w:cstheme="majorHAnsi"/>
          <w:b/>
          <w:iCs/>
        </w:rPr>
        <w:t>”</w:t>
      </w:r>
    </w:p>
    <w:p w14:paraId="2E512E2A" w14:textId="1DE11128" w:rsidR="00106569" w:rsidRPr="007A36F3" w:rsidRDefault="00E4774B" w:rsidP="008D7C17">
      <w:pPr>
        <w:numPr>
          <w:ilvl w:val="0"/>
          <w:numId w:val="6"/>
        </w:numPr>
        <w:spacing w:after="120"/>
        <w:rPr>
          <w:rFonts w:asciiTheme="majorHAnsi" w:hAnsiTheme="majorHAnsi" w:cstheme="majorHAnsi"/>
          <w:b/>
          <w:sz w:val="26"/>
          <w:szCs w:val="26"/>
        </w:rPr>
      </w:pPr>
      <w:r w:rsidRPr="00466A97">
        <w:rPr>
          <w:rFonts w:asciiTheme="majorHAnsi" w:hAnsiTheme="majorHAnsi" w:cstheme="majorHAnsi"/>
          <w:iCs/>
        </w:rPr>
        <w:t xml:space="preserve">recommend to the Government of </w:t>
      </w:r>
      <w:r w:rsidR="00C513B1">
        <w:rPr>
          <w:rFonts w:asciiTheme="majorHAnsi" w:hAnsiTheme="majorHAnsi" w:cstheme="majorHAnsi"/>
          <w:iCs/>
        </w:rPr>
        <w:t>the Czech Republic</w:t>
      </w:r>
      <w:r w:rsidR="007F7529" w:rsidRPr="00466A97">
        <w:rPr>
          <w:rFonts w:asciiTheme="majorHAnsi" w:hAnsiTheme="majorHAnsi" w:cstheme="majorHAnsi"/>
          <w:iCs/>
        </w:rPr>
        <w:t xml:space="preserve">, in the Committee’s concluding observations on the </w:t>
      </w:r>
      <w:r w:rsidR="00734138">
        <w:rPr>
          <w:rFonts w:asciiTheme="majorHAnsi" w:hAnsiTheme="majorHAnsi" w:cstheme="majorHAnsi"/>
          <w:iCs/>
        </w:rPr>
        <w:t>second/</w:t>
      </w:r>
      <w:r w:rsidR="00826CD2" w:rsidRPr="00466A97">
        <w:rPr>
          <w:rFonts w:asciiTheme="majorHAnsi" w:hAnsiTheme="majorHAnsi" w:cstheme="majorHAnsi"/>
          <w:iCs/>
        </w:rPr>
        <w:t>third</w:t>
      </w:r>
      <w:r w:rsidR="00833827" w:rsidRPr="00466A97">
        <w:rPr>
          <w:rFonts w:asciiTheme="majorHAnsi" w:hAnsiTheme="majorHAnsi" w:cstheme="majorHAnsi"/>
          <w:iCs/>
        </w:rPr>
        <w:t xml:space="preserve"> report, that </w:t>
      </w:r>
      <w:r w:rsidR="00DC20AE" w:rsidRPr="00466A97">
        <w:rPr>
          <w:rFonts w:asciiTheme="majorHAnsi" w:hAnsiTheme="majorHAnsi" w:cstheme="majorHAnsi"/>
          <w:iCs/>
        </w:rPr>
        <w:t>“</w:t>
      </w:r>
      <w:r w:rsidR="00833827" w:rsidRPr="00466A97">
        <w:rPr>
          <w:rFonts w:asciiTheme="majorHAnsi" w:hAnsiTheme="majorHAnsi" w:cstheme="majorHAnsi"/>
          <w:b/>
          <w:iCs/>
        </w:rPr>
        <w:t>legislation</w:t>
      </w:r>
      <w:r w:rsidR="00460F41" w:rsidRPr="00466A97">
        <w:rPr>
          <w:rFonts w:asciiTheme="majorHAnsi" w:hAnsiTheme="majorHAnsi" w:cstheme="majorHAnsi"/>
          <w:b/>
          <w:iCs/>
        </w:rPr>
        <w:t xml:space="preserve"> </w:t>
      </w:r>
      <w:r w:rsidR="00833827" w:rsidRPr="00466A97">
        <w:rPr>
          <w:rFonts w:asciiTheme="majorHAnsi" w:hAnsiTheme="majorHAnsi" w:cstheme="majorHAnsi"/>
          <w:b/>
        </w:rPr>
        <w:t xml:space="preserve">is enacted to explicitly prohibit </w:t>
      </w:r>
      <w:r w:rsidR="001F0335">
        <w:rPr>
          <w:rFonts w:asciiTheme="majorHAnsi" w:hAnsiTheme="majorHAnsi" w:cstheme="majorHAnsi"/>
          <w:b/>
        </w:rPr>
        <w:t xml:space="preserve">all </w:t>
      </w:r>
      <w:r w:rsidR="00833827" w:rsidRPr="00466A97">
        <w:rPr>
          <w:rFonts w:asciiTheme="majorHAnsi" w:hAnsiTheme="majorHAnsi" w:cstheme="majorHAnsi"/>
          <w:b/>
        </w:rPr>
        <w:t>corporal punishment of children in all settings</w:t>
      </w:r>
      <w:r w:rsidR="001F0335">
        <w:rPr>
          <w:rFonts w:asciiTheme="majorHAnsi" w:hAnsiTheme="majorHAnsi" w:cstheme="majorHAnsi"/>
          <w:b/>
        </w:rPr>
        <w:t>, including th</w:t>
      </w:r>
      <w:r w:rsidR="00833827" w:rsidRPr="00466A97">
        <w:rPr>
          <w:rFonts w:asciiTheme="majorHAnsi" w:hAnsiTheme="majorHAnsi" w:cstheme="majorHAnsi"/>
          <w:b/>
        </w:rPr>
        <w:t>e</w:t>
      </w:r>
      <w:r w:rsidR="00A938DF">
        <w:rPr>
          <w:rFonts w:asciiTheme="majorHAnsi" w:hAnsiTheme="majorHAnsi" w:cstheme="majorHAnsi"/>
          <w:b/>
        </w:rPr>
        <w:t xml:space="preserve"> home</w:t>
      </w:r>
      <w:r w:rsidR="001F0335">
        <w:rPr>
          <w:rFonts w:asciiTheme="majorHAnsi" w:hAnsiTheme="majorHAnsi" w:cstheme="majorHAnsi"/>
          <w:b/>
        </w:rPr>
        <w:t>,</w:t>
      </w:r>
      <w:r w:rsidR="00833827" w:rsidRPr="00466A97">
        <w:rPr>
          <w:rFonts w:asciiTheme="majorHAnsi" w:hAnsiTheme="majorHAnsi" w:cstheme="majorHAnsi"/>
          <w:b/>
        </w:rPr>
        <w:t xml:space="preserve"> and that measures are put in place to ensure the law is properly implemented</w:t>
      </w:r>
      <w:r w:rsidR="00DC20AE" w:rsidRPr="00466A97">
        <w:rPr>
          <w:rFonts w:asciiTheme="majorHAnsi" w:hAnsiTheme="majorHAnsi" w:cstheme="majorHAnsi"/>
        </w:rPr>
        <w:t>”</w:t>
      </w:r>
      <w:r w:rsidR="00833827" w:rsidRPr="00466A97">
        <w:rPr>
          <w:rFonts w:asciiTheme="majorHAnsi" w:hAnsiTheme="majorHAnsi" w:cstheme="majorHAnsi"/>
        </w:rPr>
        <w:t>.</w:t>
      </w:r>
      <w:r w:rsidR="00106569" w:rsidRPr="007A36F3">
        <w:rPr>
          <w:rFonts w:asciiTheme="majorHAnsi" w:hAnsiTheme="majorHAnsi" w:cstheme="majorHAnsi"/>
          <w:b/>
          <w:sz w:val="26"/>
          <w:szCs w:val="26"/>
        </w:rPr>
        <w:br w:type="page"/>
      </w:r>
    </w:p>
    <w:p w14:paraId="1983D09B" w14:textId="28BE79BE"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lastRenderedPageBreak/>
        <w:t>(c) Detailed briefing</w:t>
      </w:r>
    </w:p>
    <w:p w14:paraId="69A1F232" w14:textId="5815296A" w:rsidR="007F7529" w:rsidRPr="007A36F3" w:rsidRDefault="007F7529" w:rsidP="007F7529">
      <w:pPr>
        <w:spacing w:after="120"/>
        <w:rPr>
          <w:rFonts w:asciiTheme="majorHAnsi" w:hAnsiTheme="majorHAnsi" w:cstheme="majorHAnsi"/>
          <w:b/>
          <w:sz w:val="26"/>
          <w:szCs w:val="26"/>
        </w:rPr>
      </w:pPr>
      <w:r w:rsidRPr="007A36F3">
        <w:rPr>
          <w:rFonts w:asciiTheme="majorHAnsi" w:hAnsiTheme="majorHAnsi" w:cstheme="majorHAnsi"/>
          <w:b/>
          <w:sz w:val="26"/>
          <w:szCs w:val="26"/>
        </w:rPr>
        <w:t>The right of children with disabilities not to be subjected to corporal punishment</w:t>
      </w:r>
    </w:p>
    <w:p w14:paraId="6370E703" w14:textId="532DDE26" w:rsidR="007F7529" w:rsidRPr="007A36F3" w:rsidRDefault="00460197" w:rsidP="00E511FD">
      <w:pPr>
        <w:spacing w:after="120"/>
        <w:rPr>
          <w:rFonts w:asciiTheme="majorHAnsi" w:hAnsiTheme="majorHAnsi" w:cstheme="majorHAnsi"/>
        </w:rPr>
      </w:pPr>
      <w:r>
        <w:rPr>
          <w:rFonts w:asciiTheme="majorHAnsi" w:hAnsiTheme="majorHAnsi" w:cstheme="majorHAnsi"/>
        </w:rPr>
        <w:t>4</w:t>
      </w:r>
      <w:r w:rsidR="00E511FD" w:rsidRPr="007A36F3">
        <w:rPr>
          <w:rFonts w:asciiTheme="majorHAnsi" w:hAnsiTheme="majorHAnsi" w:cstheme="majorHAnsi"/>
        </w:rPr>
        <w:t xml:space="preserve">. </w:t>
      </w:r>
      <w:r w:rsidR="007F7529" w:rsidRPr="007A36F3">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p>
    <w:p w14:paraId="7D5B40EB" w14:textId="2B83774B" w:rsidR="007F7529" w:rsidRPr="007A36F3" w:rsidRDefault="00460197" w:rsidP="00E511FD">
      <w:pPr>
        <w:spacing w:after="120"/>
        <w:rPr>
          <w:rFonts w:asciiTheme="majorHAnsi" w:hAnsiTheme="majorHAnsi" w:cstheme="majorHAnsi"/>
        </w:rPr>
      </w:pPr>
      <w:r>
        <w:rPr>
          <w:rFonts w:asciiTheme="majorHAnsi" w:hAnsiTheme="majorHAnsi" w:cstheme="majorHAnsi"/>
        </w:rPr>
        <w:t>5</w:t>
      </w:r>
      <w:r w:rsidR="00E511FD" w:rsidRPr="007A36F3">
        <w:rPr>
          <w:rFonts w:asciiTheme="majorHAnsi" w:hAnsiTheme="majorHAnsi" w:cstheme="majorHAnsi"/>
        </w:rPr>
        <w:t xml:space="preserve">. </w:t>
      </w:r>
      <w:r w:rsidR="007F7529" w:rsidRPr="007A36F3">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7A36F3">
        <w:rPr>
          <w:rStyle w:val="FootnoteReference"/>
          <w:rFonts w:asciiTheme="majorHAnsi" w:hAnsiTheme="majorHAnsi" w:cstheme="majorHAnsi"/>
        </w:rPr>
        <w:footnoteReference w:id="1"/>
      </w:r>
      <w:r w:rsidR="007F7529" w:rsidRPr="007A36F3">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7A36F3">
        <w:rPr>
          <w:rFonts w:asciiTheme="majorHAnsi" w:hAnsiTheme="majorHAnsi" w:cstheme="majorHAnsi"/>
        </w:rPr>
        <w:t>violence</w:t>
      </w:r>
      <w:r w:rsidR="007F7529" w:rsidRPr="007A36F3">
        <w:rPr>
          <w:rFonts w:asciiTheme="majorHAnsi" w:hAnsiTheme="majorHAnsi" w:cstheme="majorHAnsi"/>
        </w:rPr>
        <w:t xml:space="preserve"> in the same way as, for example, sexual and other socially unacceptable forms of </w:t>
      </w:r>
      <w:r w:rsidR="00E511FD" w:rsidRPr="007A36F3">
        <w:rPr>
          <w:rFonts w:asciiTheme="majorHAnsi" w:hAnsiTheme="majorHAnsi" w:cstheme="majorHAnsi"/>
        </w:rPr>
        <w:t>violence.</w:t>
      </w:r>
    </w:p>
    <w:p w14:paraId="111ED3CA" w14:textId="29B3171B" w:rsidR="005B31F1" w:rsidRPr="007A36F3" w:rsidRDefault="00460197" w:rsidP="00E511FD">
      <w:pPr>
        <w:spacing w:after="120"/>
        <w:rPr>
          <w:rFonts w:asciiTheme="majorHAnsi" w:hAnsiTheme="majorHAnsi" w:cstheme="majorHAnsi"/>
        </w:rPr>
      </w:pPr>
      <w:r>
        <w:rPr>
          <w:rFonts w:asciiTheme="majorHAnsi" w:hAnsiTheme="majorHAnsi" w:cstheme="majorHAnsi"/>
        </w:rPr>
        <w:t>6</w:t>
      </w:r>
      <w:r w:rsidR="00E511FD" w:rsidRPr="007A36F3">
        <w:rPr>
          <w:rFonts w:asciiTheme="majorHAnsi" w:hAnsiTheme="majorHAnsi" w:cstheme="majorHAnsi"/>
        </w:rPr>
        <w:t xml:space="preserve">. The newly adopted Sustainable Development Goals under the 2030 Agenda include target 16.2 on ending all forms of violence against children. Violent punishment is the </w:t>
      </w:r>
      <w:r w:rsidR="00E511FD" w:rsidRPr="007A36F3">
        <w:rPr>
          <w:rFonts w:asciiTheme="majorHAnsi" w:hAnsiTheme="majorHAnsi" w:cstheme="majorHAnsi"/>
        </w:rPr>
        <w:lastRenderedPageBreak/>
        <w:t xml:space="preserve">most common form of violence against children: ending it through the adoption and implementation of </w:t>
      </w:r>
      <w:r w:rsidR="00833827" w:rsidRPr="007A36F3">
        <w:rPr>
          <w:rFonts w:asciiTheme="majorHAnsi" w:hAnsiTheme="majorHAnsi" w:cstheme="majorHAnsi"/>
        </w:rPr>
        <w:t>legislation</w:t>
      </w:r>
      <w:r w:rsidR="00E511FD" w:rsidRPr="007A36F3">
        <w:rPr>
          <w:rFonts w:asciiTheme="majorHAnsi" w:hAnsiTheme="majorHAnsi" w:cstheme="majorHAnsi"/>
        </w:rPr>
        <w:t xml:space="preserve"> prohibiting it in all settings including the home is critical. </w:t>
      </w:r>
    </w:p>
    <w:p w14:paraId="7CCE9FC2" w14:textId="77777777" w:rsidR="007F7529" w:rsidRPr="007A36F3" w:rsidRDefault="007F7529" w:rsidP="007F7529">
      <w:pPr>
        <w:autoSpaceDE w:val="0"/>
        <w:autoSpaceDN w:val="0"/>
        <w:adjustRightInd w:val="0"/>
        <w:spacing w:after="120"/>
        <w:rPr>
          <w:rFonts w:asciiTheme="majorHAnsi" w:hAnsiTheme="majorHAnsi" w:cstheme="majorHAnsi"/>
          <w:b/>
          <w:sz w:val="26"/>
          <w:szCs w:val="26"/>
        </w:rPr>
      </w:pPr>
    </w:p>
    <w:p w14:paraId="1DD3CA84" w14:textId="0FD589C6" w:rsidR="007F7529" w:rsidRPr="007A36F3" w:rsidRDefault="00683188" w:rsidP="007F7529">
      <w:pPr>
        <w:pStyle w:val="Heading2"/>
        <w:spacing w:after="120"/>
        <w:rPr>
          <w:rFonts w:asciiTheme="majorHAnsi" w:hAnsiTheme="majorHAnsi" w:cstheme="majorHAnsi"/>
          <w:sz w:val="26"/>
          <w:szCs w:val="26"/>
          <w:lang w:val="en-GB"/>
        </w:rPr>
      </w:pPr>
      <w:r w:rsidRPr="007A36F3">
        <w:rPr>
          <w:rFonts w:asciiTheme="majorHAnsi" w:hAnsiTheme="majorHAnsi" w:cstheme="majorHAnsi"/>
          <w:sz w:val="26"/>
          <w:szCs w:val="26"/>
        </w:rPr>
        <w:t>The l</w:t>
      </w:r>
      <w:r w:rsidR="007F7529" w:rsidRPr="007A36F3">
        <w:rPr>
          <w:rFonts w:asciiTheme="majorHAnsi" w:hAnsiTheme="majorHAnsi" w:cstheme="majorHAnsi"/>
          <w:sz w:val="26"/>
          <w:szCs w:val="26"/>
        </w:rPr>
        <w:t xml:space="preserve">egality of corporal punishment of children with disabilities in </w:t>
      </w:r>
      <w:r w:rsidR="00E6711B">
        <w:rPr>
          <w:rFonts w:asciiTheme="majorHAnsi" w:hAnsiTheme="majorHAnsi" w:cstheme="majorHAnsi"/>
          <w:sz w:val="26"/>
          <w:szCs w:val="26"/>
          <w:lang w:val="en-GB"/>
        </w:rPr>
        <w:t>the Czech Republic</w:t>
      </w:r>
    </w:p>
    <w:p w14:paraId="2BE45A5A" w14:textId="28A60CB0" w:rsidR="00E2216C" w:rsidRPr="00CF2FBD" w:rsidRDefault="00460197" w:rsidP="00CF2FBD">
      <w:pPr>
        <w:autoSpaceDE w:val="0"/>
        <w:autoSpaceDN w:val="0"/>
        <w:adjustRightInd w:val="0"/>
        <w:spacing w:after="120"/>
        <w:rPr>
          <w:rFonts w:asciiTheme="majorHAnsi" w:hAnsiTheme="majorHAnsi" w:cstheme="majorHAnsi"/>
        </w:rPr>
      </w:pPr>
      <w:r>
        <w:rPr>
          <w:rFonts w:asciiTheme="majorHAnsi" w:hAnsiTheme="majorHAnsi" w:cstheme="majorHAnsi"/>
        </w:rPr>
        <w:t>7</w:t>
      </w:r>
      <w:r w:rsidR="00BC6C90" w:rsidRPr="007A36F3">
        <w:rPr>
          <w:rFonts w:asciiTheme="majorHAnsi" w:hAnsiTheme="majorHAnsi" w:cstheme="majorHAnsi"/>
        </w:rPr>
        <w:t xml:space="preserve">. </w:t>
      </w:r>
      <w:r w:rsidR="00CF2FBD" w:rsidRPr="00CF2FBD">
        <w:rPr>
          <w:rFonts w:asciiTheme="majorHAnsi" w:hAnsiTheme="majorHAnsi" w:cstheme="majorHAnsi"/>
        </w:rPr>
        <w:t>Corporal punishment of children in the Czech Republic is unlawful in alternative care institutions, preschools and schools and</w:t>
      </w:r>
      <w:r w:rsidR="00CF2FBD">
        <w:rPr>
          <w:rFonts w:asciiTheme="majorHAnsi" w:hAnsiTheme="majorHAnsi" w:cstheme="majorHAnsi"/>
        </w:rPr>
        <w:t xml:space="preserve"> in the penal system but it is still lawful </w:t>
      </w:r>
      <w:r w:rsidR="00CF2FBD" w:rsidRPr="00CF2FBD">
        <w:rPr>
          <w:rFonts w:asciiTheme="majorHAnsi" w:hAnsiTheme="majorHAnsi" w:cstheme="majorHAnsi"/>
        </w:rPr>
        <w:t>in the home, non-institutional alternative care and non-educational day care settings</w:t>
      </w:r>
      <w:r w:rsidR="00CF2FBD">
        <w:rPr>
          <w:rFonts w:asciiTheme="majorHAnsi" w:hAnsiTheme="majorHAnsi" w:cstheme="majorHAnsi"/>
        </w:rPr>
        <w:t>.</w:t>
      </w:r>
    </w:p>
    <w:p w14:paraId="28BAC408" w14:textId="0934B241" w:rsidR="00E6711B" w:rsidRPr="00E6711B" w:rsidRDefault="00460197" w:rsidP="00E6711B">
      <w:pPr>
        <w:autoSpaceDE w:val="0"/>
        <w:autoSpaceDN w:val="0"/>
        <w:adjustRightInd w:val="0"/>
        <w:spacing w:after="120"/>
        <w:rPr>
          <w:rFonts w:asciiTheme="majorHAnsi" w:hAnsiTheme="majorHAnsi" w:cstheme="majorHAnsi"/>
        </w:rPr>
      </w:pPr>
      <w:r>
        <w:rPr>
          <w:rFonts w:asciiTheme="majorHAnsi" w:hAnsiTheme="majorHAnsi" w:cstheme="majorHAnsi"/>
        </w:rPr>
        <w:t>8</w:t>
      </w:r>
      <w:r w:rsidR="00620321" w:rsidRPr="007A36F3">
        <w:rPr>
          <w:rFonts w:asciiTheme="majorHAnsi" w:hAnsiTheme="majorHAnsi" w:cstheme="majorHAnsi"/>
        </w:rPr>
        <w:t xml:space="preserve">. </w:t>
      </w:r>
      <w:r w:rsidR="00620321" w:rsidRPr="007A36F3">
        <w:rPr>
          <w:rFonts w:asciiTheme="majorHAnsi" w:hAnsiTheme="majorHAnsi" w:cstheme="majorHAnsi"/>
          <w:i/>
        </w:rPr>
        <w:t>Corporal punishment is lawful in the home</w:t>
      </w:r>
      <w:r w:rsidR="001E380B" w:rsidRPr="001E380B">
        <w:rPr>
          <w:rFonts w:asciiTheme="majorHAnsi" w:hAnsiTheme="majorHAnsi" w:cstheme="majorHAnsi"/>
        </w:rPr>
        <w:t>.</w:t>
      </w:r>
      <w:r w:rsidR="003615D5" w:rsidRPr="003615D5">
        <w:rPr>
          <w:rFonts w:asciiTheme="majorHAnsi" w:hAnsiTheme="majorHAnsi" w:cstheme="majorHAnsi"/>
        </w:rPr>
        <w:t xml:space="preserve"> </w:t>
      </w:r>
      <w:r w:rsidR="00E6711B" w:rsidRPr="00E6711B">
        <w:rPr>
          <w:rFonts w:asciiTheme="majorHAnsi" w:hAnsiTheme="majorHAnsi" w:cstheme="majorHAnsi"/>
        </w:rPr>
        <w:t xml:space="preserve">A new Civil Code came into effect in January 2014 which includes provisions relating to parental discipline but does not prohibit all corporal punishment. Rather, it states that “educational means can be used only in the form and extent as is reasonable under the circumstances, does not endanger health of the child or its development and does not affect the human dignity of the child” (art. 884(2), unofficial translation) and that “parents have the right to guide their child with educational measures, in keeping with its developing capacities, including restrictions on pursuing the protection of morals, health and rights of the child” (art. 857(2)). The Act on Social and Legal Protection of Children 1999 states that a person is guilty of an administrative offence when he or she “uses an inadequate [excessive] measure against the child with the intention of humiliating his or her human dignity” (art. 59(1)(h)). This provision was amended in 2013 (with effect from January 2014) to take out the requirement of intentionality, but no clear prohibition of all corporal punishment was introduced. Provisions against violence and abuse in the Charter on Fundamental Rights and Freedoms 1992, the Act on Misdemeanours 1990, the Criminal Code 2009, the Constitution 1992 and the Domestic Violence Law 2006 are not interpreted as prohibiting all corporal punishment in childrearing. </w:t>
      </w:r>
    </w:p>
    <w:p w14:paraId="1FFF32F6" w14:textId="44A0D489" w:rsidR="00E6711B" w:rsidRPr="00E6711B" w:rsidRDefault="00D22275" w:rsidP="00E6711B">
      <w:pPr>
        <w:autoSpaceDE w:val="0"/>
        <w:autoSpaceDN w:val="0"/>
        <w:adjustRightInd w:val="0"/>
        <w:spacing w:after="120"/>
        <w:rPr>
          <w:rFonts w:asciiTheme="majorHAnsi" w:hAnsiTheme="majorHAnsi" w:cstheme="majorHAnsi"/>
        </w:rPr>
      </w:pPr>
      <w:r>
        <w:rPr>
          <w:rFonts w:asciiTheme="majorHAnsi" w:hAnsiTheme="majorHAnsi" w:cstheme="majorHAnsi"/>
        </w:rPr>
        <w:lastRenderedPageBreak/>
        <w:t xml:space="preserve">9. </w:t>
      </w:r>
      <w:r w:rsidR="00E6711B" w:rsidRPr="00E6711B">
        <w:rPr>
          <w:rFonts w:asciiTheme="majorHAnsi" w:hAnsiTheme="majorHAnsi" w:cstheme="majorHAnsi"/>
        </w:rPr>
        <w:t>The Government confirmed its commitment to enacting prohibition in a letter from Prime Minister Mirek Topolánek to the Council of Europe Commissioner for Human Rights, Mr Thomas Hammarberg,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explicit prohibition.</w:t>
      </w:r>
      <w:r w:rsidR="00E6711B" w:rsidRPr="00E6711B">
        <w:rPr>
          <w:rFonts w:asciiTheme="majorHAnsi" w:hAnsiTheme="majorHAnsi" w:cstheme="majorHAnsi"/>
          <w:vertAlign w:val="superscript"/>
        </w:rPr>
        <w:footnoteReference w:id="2"/>
      </w:r>
      <w:r w:rsidR="00E6711B" w:rsidRPr="00E6711B">
        <w:rPr>
          <w:rFonts w:asciiTheme="majorHAnsi" w:hAnsiTheme="majorHAnsi" w:cstheme="majorHAnsi"/>
        </w:rPr>
        <w:t xml:space="preserve"> But in 2011, while acknowledging the lack of explicit prohibition of corporal punishment in national legislation, the Government confirmed that the Ministry of Justice was “not taking any new steps in the prohibition of corporal punishment”.</w:t>
      </w:r>
      <w:r w:rsidR="00E6711B" w:rsidRPr="00E6711B">
        <w:rPr>
          <w:rFonts w:asciiTheme="majorHAnsi" w:hAnsiTheme="majorHAnsi" w:cstheme="majorHAnsi"/>
          <w:vertAlign w:val="superscript"/>
        </w:rPr>
        <w:footnoteReference w:id="3"/>
      </w:r>
      <w:r w:rsidR="00E6711B" w:rsidRPr="00E6711B">
        <w:rPr>
          <w:rFonts w:asciiTheme="majorHAnsi" w:hAnsiTheme="majorHAnsi" w:cstheme="majorHAnsi"/>
        </w:rPr>
        <w:t xml:space="preserve"> The Government has also indicated that it considers existing legislation offers adequate protection from corporal punishment</w:t>
      </w:r>
      <w:r w:rsidR="00E6711B" w:rsidRPr="00E6711B">
        <w:rPr>
          <w:rFonts w:asciiTheme="majorHAnsi" w:hAnsiTheme="majorHAnsi" w:cstheme="majorHAnsi"/>
          <w:vertAlign w:val="superscript"/>
        </w:rPr>
        <w:footnoteReference w:id="4"/>
      </w:r>
      <w:r w:rsidR="00E6711B" w:rsidRPr="00E6711B">
        <w:rPr>
          <w:rFonts w:asciiTheme="majorHAnsi" w:hAnsiTheme="majorHAnsi" w:cstheme="majorHAnsi"/>
        </w:rPr>
        <w:t xml:space="preserve"> – yet confirmed that the law protects children only against “unproportionate” corporal punishment.</w:t>
      </w:r>
      <w:r w:rsidR="00E6711B" w:rsidRPr="00E6711B">
        <w:rPr>
          <w:rFonts w:asciiTheme="majorHAnsi" w:hAnsiTheme="majorHAnsi" w:cstheme="majorHAnsi"/>
          <w:vertAlign w:val="superscript"/>
        </w:rPr>
        <w:footnoteReference w:id="5"/>
      </w:r>
      <w:r w:rsidR="00E6711B" w:rsidRPr="00E6711B">
        <w:rPr>
          <w:rFonts w:asciiTheme="majorHAnsi" w:hAnsiTheme="majorHAnsi" w:cstheme="majorHAnsi"/>
        </w:rPr>
        <w:t xml:space="preserve"> Again, under examination by the Committee Against Torture in May 2012, the Government stated that it had no plan to amend legislation to prohibit corporal punishment.</w:t>
      </w:r>
      <w:r w:rsidR="00E6711B" w:rsidRPr="00E6711B">
        <w:rPr>
          <w:rFonts w:asciiTheme="majorHAnsi" w:hAnsiTheme="majorHAnsi" w:cstheme="majorHAnsi"/>
          <w:vertAlign w:val="superscript"/>
        </w:rPr>
        <w:footnoteReference w:id="6"/>
      </w:r>
      <w:r w:rsidR="00E6711B" w:rsidRPr="00E6711B">
        <w:rPr>
          <w:rFonts w:asciiTheme="majorHAnsi" w:hAnsiTheme="majorHAnsi" w:cstheme="majorHAnsi"/>
        </w:rPr>
        <w:t xml:space="preserve"> </w:t>
      </w:r>
    </w:p>
    <w:p w14:paraId="1C52C8DB" w14:textId="571EA6DE" w:rsidR="00E6711B" w:rsidRDefault="00D22275" w:rsidP="00E6711B">
      <w:pPr>
        <w:autoSpaceDE w:val="0"/>
        <w:autoSpaceDN w:val="0"/>
        <w:adjustRightInd w:val="0"/>
        <w:spacing w:after="120"/>
        <w:rPr>
          <w:rFonts w:asciiTheme="majorHAnsi" w:hAnsiTheme="majorHAnsi" w:cstheme="majorHAnsi"/>
        </w:rPr>
      </w:pPr>
      <w:r>
        <w:rPr>
          <w:rFonts w:asciiTheme="majorHAnsi" w:hAnsiTheme="majorHAnsi" w:cstheme="majorHAnsi"/>
        </w:rPr>
        <w:t xml:space="preserve">10. </w:t>
      </w:r>
      <w:r w:rsidR="00E6711B" w:rsidRPr="00E6711B">
        <w:rPr>
          <w:rFonts w:asciiTheme="majorHAnsi" w:hAnsiTheme="majorHAnsi" w:cstheme="majorHAnsi"/>
        </w:rPr>
        <w:t>The Government rejected recommendations to explicitly prohibit all corporal punishment in all settings, including the home, made during the Universal Periodic Review (UPR) of the Czech Republic in 2012, stating that the law protects children from “inappropriate” corporal punishment in the family.</w:t>
      </w:r>
      <w:r w:rsidR="00E6711B" w:rsidRPr="00E6711B">
        <w:rPr>
          <w:rFonts w:asciiTheme="majorHAnsi" w:hAnsiTheme="majorHAnsi" w:cstheme="majorHAnsi"/>
          <w:vertAlign w:val="superscript"/>
        </w:rPr>
        <w:footnoteReference w:id="7"/>
      </w:r>
      <w:r w:rsidR="00E6711B" w:rsidRPr="00E6711B">
        <w:rPr>
          <w:rFonts w:asciiTheme="majorHAnsi" w:hAnsiTheme="majorHAnsi" w:cstheme="majorHAnsi"/>
        </w:rPr>
        <w:t xml:space="preserve"> The Government reported to the Committee on the Rights of Persons with Disabilities in 2013 that parents may use only </w:t>
      </w:r>
      <w:r w:rsidR="00E6711B" w:rsidRPr="00E6711B">
        <w:rPr>
          <w:rFonts w:asciiTheme="majorHAnsi" w:hAnsiTheme="majorHAnsi" w:cstheme="majorHAnsi"/>
        </w:rPr>
        <w:lastRenderedPageBreak/>
        <w:t>“proportional educational measures”;</w:t>
      </w:r>
      <w:r w:rsidR="00E6711B" w:rsidRPr="00E6711B">
        <w:rPr>
          <w:rFonts w:asciiTheme="majorHAnsi" w:hAnsiTheme="majorHAnsi" w:cstheme="majorHAnsi"/>
          <w:vertAlign w:val="superscript"/>
        </w:rPr>
        <w:footnoteReference w:id="8"/>
      </w:r>
      <w:r w:rsidR="00E6711B" w:rsidRPr="00E6711B">
        <w:rPr>
          <w:rFonts w:asciiTheme="majorHAnsi" w:hAnsiTheme="majorHAnsi" w:cstheme="majorHAnsi"/>
        </w:rPr>
        <w:t xml:space="preserve"> under examination by the Committee in 2015 stated that corporal punishment is prohibited in the family by the Civil Code and the Family Act and that the National Strategy for Prevention of Violence against Children included the definition of corporal punishment as adopted by the Committee on the Rights of the Child.</w:t>
      </w:r>
      <w:r w:rsidR="00E6711B" w:rsidRPr="00E6711B">
        <w:rPr>
          <w:rFonts w:asciiTheme="majorHAnsi" w:hAnsiTheme="majorHAnsi" w:cstheme="majorHAnsi"/>
          <w:vertAlign w:val="superscript"/>
        </w:rPr>
        <w:footnoteReference w:id="9"/>
      </w:r>
      <w:r w:rsidR="00E6711B" w:rsidRPr="00E6711B">
        <w:rPr>
          <w:rFonts w:asciiTheme="majorHAnsi" w:hAnsiTheme="majorHAnsi" w:cstheme="majorHAnsi"/>
        </w:rPr>
        <w:t xml:space="preserve"> The Czech Republic’s 2015 UPR mid-term report stated that the “Czech Republic regards violence against children as absolutely inadmissible and combats it in every way possible in all settings”, but then referred to children’s right to protection from “unreasonable interference” and parents’ use of “unreasonable punishment”.</w:t>
      </w:r>
      <w:r w:rsidR="00E6711B" w:rsidRPr="00E6711B">
        <w:rPr>
          <w:rFonts w:asciiTheme="majorHAnsi" w:hAnsiTheme="majorHAnsi" w:cstheme="majorHAnsi"/>
          <w:vertAlign w:val="superscript"/>
        </w:rPr>
        <w:footnoteReference w:id="10"/>
      </w:r>
    </w:p>
    <w:p w14:paraId="532F7ED2" w14:textId="054E0DC8" w:rsidR="00D22275" w:rsidRPr="008565C0" w:rsidRDefault="00D22275" w:rsidP="008565C0">
      <w:pPr>
        <w:autoSpaceDE w:val="0"/>
        <w:autoSpaceDN w:val="0"/>
        <w:adjustRightInd w:val="0"/>
        <w:spacing w:after="120"/>
        <w:rPr>
          <w:rFonts w:asciiTheme="majorHAnsi" w:hAnsiTheme="majorHAnsi" w:cstheme="majorHAnsi"/>
        </w:rPr>
      </w:pPr>
      <w:r>
        <w:rPr>
          <w:rFonts w:asciiTheme="majorHAnsi" w:hAnsiTheme="majorHAnsi" w:cstheme="majorHAnsi"/>
        </w:rPr>
        <w:t xml:space="preserve">11. </w:t>
      </w:r>
      <w:r w:rsidRPr="00E6711B">
        <w:rPr>
          <w:rFonts w:asciiTheme="majorHAnsi" w:hAnsiTheme="majorHAnsi" w:cstheme="majorHAnsi"/>
        </w:rPr>
        <w:t>In 2013, a complaint was brought against the Czech Republic by the Association for the Protection of All Children (APPROACH) Ltd, under the collective complaints procedure of the European Committee of Social Rights.</w:t>
      </w:r>
      <w:r w:rsidRPr="00E6711B">
        <w:rPr>
          <w:rFonts w:asciiTheme="majorHAnsi" w:hAnsiTheme="majorHAnsi" w:cstheme="majorHAnsi"/>
          <w:vertAlign w:val="superscript"/>
        </w:rPr>
        <w:footnoteReference w:id="11"/>
      </w:r>
      <w:r w:rsidRPr="00E6711B">
        <w:rPr>
          <w:rFonts w:asciiTheme="majorHAnsi" w:hAnsiTheme="majorHAnsi" w:cstheme="majorHAnsi"/>
        </w:rPr>
        <w:t xml:space="preserve"> The complaint alleged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 it was declared admissible on 2 July 2013. The Committee published its decision on 29 May 2015. The Committee concluded that the situation in the Czech Republic is in violation of the Charter because the law does not </w:t>
      </w:r>
      <w:r w:rsidRPr="00E6711B">
        <w:rPr>
          <w:rFonts w:asciiTheme="majorHAnsi" w:hAnsiTheme="majorHAnsi" w:cstheme="majorHAnsi"/>
        </w:rPr>
        <w:lastRenderedPageBreak/>
        <w:t>prohibit all corporal punishment.</w:t>
      </w:r>
      <w:r w:rsidRPr="00E6711B">
        <w:rPr>
          <w:rFonts w:asciiTheme="majorHAnsi" w:hAnsiTheme="majorHAnsi" w:cstheme="majorHAnsi"/>
          <w:vertAlign w:val="superscript"/>
        </w:rPr>
        <w:footnoteReference w:id="12"/>
      </w:r>
      <w:r w:rsidR="008565C0" w:rsidRPr="008565C0">
        <w:rPr>
          <w:rFonts w:asciiTheme="minorHAnsi" w:hAnsiTheme="minorHAnsi" w:cstheme="minorHAnsi"/>
        </w:rPr>
        <w:t xml:space="preserve"> </w:t>
      </w:r>
      <w:r w:rsidR="008565C0" w:rsidRPr="008565C0">
        <w:rPr>
          <w:rFonts w:asciiTheme="majorHAnsi" w:hAnsiTheme="majorHAnsi" w:cstheme="majorHAnsi"/>
        </w:rPr>
        <w:t>Following up on the implementation of this decision, the Committee stated in October 2017 that amendments adopted in 2016 to Act No. 200/1990 Coll. regulating contraventions did not “amount to a complete prohibition of all forms of corporal punishment likely to affect the physical integrity, dignity, development or psychological well-being of children” and that the situation had not yet been brought in conformity with the Charter.</w:t>
      </w:r>
      <w:r w:rsidR="008565C0" w:rsidRPr="008565C0">
        <w:rPr>
          <w:rFonts w:asciiTheme="majorHAnsi" w:hAnsiTheme="majorHAnsi" w:cstheme="majorHAnsi"/>
          <w:vertAlign w:val="superscript"/>
        </w:rPr>
        <w:footnoteReference w:id="13"/>
      </w:r>
    </w:p>
    <w:p w14:paraId="2EF049F5" w14:textId="793DA07B" w:rsidR="00E6711B" w:rsidRPr="00E6711B" w:rsidRDefault="00D22275" w:rsidP="00E6711B">
      <w:pPr>
        <w:autoSpaceDE w:val="0"/>
        <w:autoSpaceDN w:val="0"/>
        <w:adjustRightInd w:val="0"/>
        <w:spacing w:after="120"/>
        <w:rPr>
          <w:rFonts w:asciiTheme="majorHAnsi" w:hAnsiTheme="majorHAnsi" w:cstheme="majorHAnsi"/>
        </w:rPr>
      </w:pPr>
      <w:r>
        <w:rPr>
          <w:rFonts w:asciiTheme="majorHAnsi" w:hAnsiTheme="majorHAnsi" w:cstheme="majorHAnsi"/>
        </w:rPr>
        <w:t xml:space="preserve">12. </w:t>
      </w:r>
      <w:r w:rsidR="00E6711B" w:rsidRPr="00E6711B">
        <w:rPr>
          <w:rFonts w:asciiTheme="majorHAnsi" w:hAnsiTheme="majorHAnsi" w:cstheme="majorHAnsi"/>
        </w:rPr>
        <w:t>In 2016, the Government acknowledged that there was no explicit prohibition of corporal punishment in domestic legislation but stated that “legislation ensuring the elimination of corporal punishment of children” was contained in the Civil Code as corporal punishment was not considered as an “adequate educational means within the family or outside of it”.</w:t>
      </w:r>
      <w:r w:rsidR="00E6711B" w:rsidRPr="00E6711B">
        <w:rPr>
          <w:rFonts w:asciiTheme="majorHAnsi" w:hAnsiTheme="majorHAnsi" w:cstheme="majorHAnsi"/>
          <w:vertAlign w:val="superscript"/>
        </w:rPr>
        <w:footnoteReference w:id="14"/>
      </w:r>
      <w:r w:rsidR="00E6711B" w:rsidRPr="00E6711B">
        <w:rPr>
          <w:rFonts w:asciiTheme="majorHAnsi" w:hAnsiTheme="majorHAnsi" w:cstheme="majorHAnsi"/>
        </w:rPr>
        <w:t xml:space="preserve"> Its report to the Universal Periodic Review in 2017 stated that “Parents may apply their upbringing methods only to a reasonable degree”.</w:t>
      </w:r>
      <w:r w:rsidR="00E6711B" w:rsidRPr="00E6711B">
        <w:rPr>
          <w:rFonts w:asciiTheme="majorHAnsi" w:hAnsiTheme="majorHAnsi" w:cstheme="majorHAnsi"/>
          <w:vertAlign w:val="superscript"/>
        </w:rPr>
        <w:footnoteReference w:id="15"/>
      </w:r>
      <w:r w:rsidR="00E6711B" w:rsidRPr="00E6711B">
        <w:rPr>
          <w:rFonts w:asciiTheme="majorHAnsi" w:hAnsiTheme="majorHAnsi" w:cstheme="majorHAnsi"/>
        </w:rPr>
        <w:t xml:space="preserve"> But as noted above, our research indicates that there is no clear prohibition in law of all corporal punishment in childrearing. The Government again rejected recommendations to explicitly prohibit corporal punishment in all settings at its UPR in 2017.</w:t>
      </w:r>
      <w:r w:rsidR="00E6711B" w:rsidRPr="00E6711B">
        <w:rPr>
          <w:rFonts w:asciiTheme="majorHAnsi" w:hAnsiTheme="majorHAnsi" w:cstheme="majorHAnsi"/>
          <w:vertAlign w:val="superscript"/>
        </w:rPr>
        <w:footnoteReference w:id="16"/>
      </w:r>
      <w:r w:rsidR="00E6711B" w:rsidRPr="00E6711B">
        <w:rPr>
          <w:rFonts w:asciiTheme="majorHAnsi" w:hAnsiTheme="majorHAnsi" w:cstheme="majorHAnsi"/>
        </w:rPr>
        <w:t xml:space="preserve"> In a 2018 submission to the Committee Against Torture, the Public Defender of Rights stated “the </w:t>
      </w:r>
      <w:r w:rsidR="00E6711B" w:rsidRPr="00E6711B">
        <w:rPr>
          <w:rFonts w:asciiTheme="majorHAnsi" w:hAnsiTheme="majorHAnsi" w:cstheme="majorHAnsi"/>
        </w:rPr>
        <w:lastRenderedPageBreak/>
        <w:t>Czech legislation still lacks an explicit prohibition of all forms of corporal punishment of children (including in the family). I consider this form of punishment unacceptable”.</w:t>
      </w:r>
      <w:r w:rsidR="00E6711B" w:rsidRPr="00E6711B">
        <w:rPr>
          <w:rFonts w:asciiTheme="majorHAnsi" w:hAnsiTheme="majorHAnsi" w:cstheme="majorHAnsi"/>
          <w:vertAlign w:val="superscript"/>
        </w:rPr>
        <w:footnoteReference w:id="17"/>
      </w:r>
    </w:p>
    <w:p w14:paraId="2A651CB0" w14:textId="14FA173B" w:rsidR="00E6711B" w:rsidRPr="00E6711B" w:rsidRDefault="009A6507" w:rsidP="00E6711B">
      <w:pPr>
        <w:autoSpaceDE w:val="0"/>
        <w:autoSpaceDN w:val="0"/>
        <w:adjustRightInd w:val="0"/>
        <w:spacing w:after="120"/>
        <w:rPr>
          <w:rFonts w:asciiTheme="majorHAnsi" w:hAnsiTheme="majorHAnsi" w:cstheme="majorHAnsi"/>
          <w:lang w:val="en-US"/>
        </w:rPr>
      </w:pPr>
      <w:r>
        <w:rPr>
          <w:rFonts w:asciiTheme="majorHAnsi" w:hAnsiTheme="majorHAnsi" w:cstheme="majorHAnsi"/>
        </w:rPr>
        <w:t>1</w:t>
      </w:r>
      <w:r w:rsidR="0082206B">
        <w:rPr>
          <w:rFonts w:asciiTheme="majorHAnsi" w:hAnsiTheme="majorHAnsi" w:cstheme="majorHAnsi"/>
        </w:rPr>
        <w:t>3</w:t>
      </w:r>
      <w:r w:rsidR="00620321" w:rsidRPr="007A36F3">
        <w:rPr>
          <w:rFonts w:asciiTheme="majorHAnsi" w:hAnsiTheme="majorHAnsi" w:cstheme="majorHAnsi"/>
        </w:rPr>
        <w:t xml:space="preserve">. </w:t>
      </w:r>
      <w:r w:rsidR="00620321" w:rsidRPr="007A36F3">
        <w:rPr>
          <w:rFonts w:asciiTheme="majorHAnsi" w:hAnsiTheme="majorHAnsi" w:cstheme="majorHAnsi"/>
          <w:i/>
        </w:rPr>
        <w:t xml:space="preserve">Corporal punishment </w:t>
      </w:r>
      <w:r w:rsidR="003615D5" w:rsidRPr="009A6507">
        <w:rPr>
          <w:rFonts w:asciiTheme="majorHAnsi" w:hAnsiTheme="majorHAnsi" w:cstheme="majorHAnsi"/>
          <w:i/>
        </w:rPr>
        <w:t>is prohibited in some but not all alternative care settings</w:t>
      </w:r>
      <w:r w:rsidR="003615D5" w:rsidRPr="003615D5">
        <w:rPr>
          <w:rFonts w:asciiTheme="majorHAnsi" w:hAnsiTheme="majorHAnsi" w:cstheme="majorHAnsi"/>
        </w:rPr>
        <w:t xml:space="preserve">. </w:t>
      </w:r>
      <w:r w:rsidR="00E6711B">
        <w:rPr>
          <w:rFonts w:asciiTheme="majorHAnsi" w:hAnsiTheme="majorHAnsi" w:cstheme="majorHAnsi"/>
        </w:rPr>
        <w:t>It</w:t>
      </w:r>
      <w:r w:rsidR="00E6711B" w:rsidRPr="00E6711B">
        <w:rPr>
          <w:rFonts w:asciiTheme="majorHAnsi" w:hAnsiTheme="majorHAnsi" w:cstheme="majorHAnsi"/>
        </w:rPr>
        <w:t xml:space="preserve"> is unlawful in institutions under t</w:t>
      </w:r>
      <w:r w:rsidR="00E6711B" w:rsidRPr="00E6711B">
        <w:rPr>
          <w:rFonts w:asciiTheme="majorHAnsi" w:hAnsiTheme="majorHAnsi" w:cstheme="majorHAnsi"/>
          <w:lang w:val="en-US"/>
        </w:rPr>
        <w:t xml:space="preserve">he Act on Institutional Care No.102 2002 (as amended 2005), which specifies the permitted means of correction and does not include corporal punishment, though does not explicitly prohibit it. It is lawful in non-institutional forms of care. </w:t>
      </w:r>
    </w:p>
    <w:p w14:paraId="4347CFAC" w14:textId="0B03B248" w:rsidR="00E6711B" w:rsidRPr="00E6711B" w:rsidRDefault="00460197" w:rsidP="00E6711B">
      <w:pPr>
        <w:spacing w:after="120"/>
        <w:rPr>
          <w:rFonts w:asciiTheme="majorHAnsi" w:hAnsiTheme="majorHAnsi" w:cstheme="majorHAnsi"/>
          <w:lang w:val="en-US"/>
        </w:rPr>
      </w:pPr>
      <w:r>
        <w:rPr>
          <w:rFonts w:asciiTheme="majorHAnsi" w:hAnsiTheme="majorHAnsi" w:cstheme="majorHAnsi"/>
        </w:rPr>
        <w:t>1</w:t>
      </w:r>
      <w:r w:rsidR="0082206B">
        <w:rPr>
          <w:rFonts w:asciiTheme="majorHAnsi" w:hAnsiTheme="majorHAnsi" w:cstheme="majorHAnsi"/>
        </w:rPr>
        <w:t>4</w:t>
      </w:r>
      <w:r w:rsidR="00D63AA6" w:rsidRPr="007A36F3">
        <w:rPr>
          <w:rFonts w:asciiTheme="majorHAnsi" w:hAnsiTheme="majorHAnsi" w:cstheme="majorHAnsi"/>
        </w:rPr>
        <w:t xml:space="preserve">. </w:t>
      </w:r>
      <w:r w:rsidR="00D63AA6" w:rsidRPr="007A36F3">
        <w:rPr>
          <w:rFonts w:asciiTheme="majorHAnsi" w:hAnsiTheme="majorHAnsi" w:cstheme="majorHAnsi"/>
          <w:i/>
        </w:rPr>
        <w:t xml:space="preserve">Corporal punishment is lawful in </w:t>
      </w:r>
      <w:r w:rsidR="00A82E46">
        <w:rPr>
          <w:rFonts w:asciiTheme="majorHAnsi" w:hAnsiTheme="majorHAnsi" w:cstheme="majorHAnsi"/>
          <w:i/>
        </w:rPr>
        <w:t xml:space="preserve">some but not all </w:t>
      </w:r>
      <w:r w:rsidR="00D63AA6" w:rsidRPr="007A36F3">
        <w:rPr>
          <w:rFonts w:asciiTheme="majorHAnsi" w:hAnsiTheme="majorHAnsi" w:cstheme="majorHAnsi"/>
          <w:i/>
        </w:rPr>
        <w:t>early childhood care and day care for older children, including</w:t>
      </w:r>
      <w:r w:rsidR="009A6507">
        <w:rPr>
          <w:rFonts w:asciiTheme="majorHAnsi" w:hAnsiTheme="majorHAnsi" w:cstheme="majorHAnsi"/>
          <w:i/>
        </w:rPr>
        <w:t xml:space="preserve"> for children with disabilities</w:t>
      </w:r>
      <w:r w:rsidR="00E6711B">
        <w:rPr>
          <w:rFonts w:asciiTheme="majorHAnsi" w:hAnsiTheme="majorHAnsi" w:cstheme="majorHAnsi"/>
          <w:i/>
        </w:rPr>
        <w:t>.</w:t>
      </w:r>
      <w:r w:rsidR="009A6507" w:rsidRPr="009A6507">
        <w:rPr>
          <w:rFonts w:asciiTheme="majorHAnsi" w:hAnsiTheme="majorHAnsi" w:cstheme="majorHAnsi"/>
        </w:rPr>
        <w:t xml:space="preserve"> </w:t>
      </w:r>
      <w:r w:rsidR="00E6711B">
        <w:rPr>
          <w:rFonts w:asciiTheme="majorHAnsi" w:hAnsiTheme="majorHAnsi" w:cstheme="majorHAnsi"/>
          <w:lang w:val="en-US"/>
        </w:rPr>
        <w:t>It</w:t>
      </w:r>
      <w:r w:rsidR="00E6711B" w:rsidRPr="00E6711B">
        <w:rPr>
          <w:rFonts w:asciiTheme="majorHAnsi" w:hAnsiTheme="majorHAnsi" w:cstheme="majorHAnsi"/>
          <w:lang w:val="en-US"/>
        </w:rPr>
        <w:t xml:space="preserve"> is prohibited in</w:t>
      </w:r>
      <w:r w:rsidR="00A82E46">
        <w:rPr>
          <w:rFonts w:asciiTheme="majorHAnsi" w:hAnsiTheme="majorHAnsi" w:cstheme="majorHAnsi"/>
          <w:lang w:val="en-US"/>
        </w:rPr>
        <w:t xml:space="preserve"> the</w:t>
      </w:r>
      <w:r w:rsidR="00E6711B" w:rsidRPr="00E6711B">
        <w:rPr>
          <w:rFonts w:asciiTheme="majorHAnsi" w:hAnsiTheme="majorHAnsi" w:cstheme="majorHAnsi"/>
          <w:lang w:val="en-US"/>
        </w:rPr>
        <w:t xml:space="preserve"> preschool provision in article 31 of the Education Act (see</w:t>
      </w:r>
      <w:r w:rsidR="00E6711B">
        <w:rPr>
          <w:rFonts w:asciiTheme="majorHAnsi" w:hAnsiTheme="majorHAnsi" w:cstheme="majorHAnsi"/>
          <w:lang w:val="en-US"/>
        </w:rPr>
        <w:t xml:space="preserve"> below</w:t>
      </w:r>
      <w:r w:rsidR="00E6711B" w:rsidRPr="00E6711B">
        <w:rPr>
          <w:rFonts w:asciiTheme="majorHAnsi" w:hAnsiTheme="majorHAnsi" w:cstheme="majorHAnsi"/>
          <w:lang w:val="en-US"/>
        </w:rPr>
        <w:t>). It is lawful in other early childhood care and in day care for older children.</w:t>
      </w:r>
    </w:p>
    <w:p w14:paraId="418336DB" w14:textId="1D4F3825" w:rsidR="00E6711B" w:rsidRPr="00E6711B" w:rsidRDefault="00D63AA6" w:rsidP="00E6711B">
      <w:pPr>
        <w:spacing w:after="120"/>
        <w:rPr>
          <w:rFonts w:asciiTheme="majorHAnsi" w:hAnsiTheme="majorHAnsi" w:cstheme="majorHAnsi"/>
        </w:rPr>
      </w:pPr>
      <w:r w:rsidRPr="007A36F3">
        <w:rPr>
          <w:rFonts w:asciiTheme="majorHAnsi" w:hAnsiTheme="majorHAnsi" w:cstheme="majorHAnsi"/>
        </w:rPr>
        <w:t>1</w:t>
      </w:r>
      <w:r w:rsidR="0082206B">
        <w:rPr>
          <w:rFonts w:asciiTheme="majorHAnsi" w:hAnsiTheme="majorHAnsi" w:cstheme="majorHAnsi"/>
        </w:rPr>
        <w:t>5</w:t>
      </w:r>
      <w:r w:rsidRPr="007A36F3">
        <w:rPr>
          <w:rFonts w:asciiTheme="majorHAnsi" w:hAnsiTheme="majorHAnsi" w:cstheme="majorHAnsi"/>
        </w:rPr>
        <w:t xml:space="preserve">. </w:t>
      </w:r>
      <w:bookmarkStart w:id="1" w:name="OLE_LINK44"/>
      <w:bookmarkStart w:id="2" w:name="OLE_LINK45"/>
      <w:r w:rsidRPr="007A36F3">
        <w:rPr>
          <w:rFonts w:asciiTheme="majorHAnsi" w:hAnsiTheme="majorHAnsi" w:cstheme="majorHAnsi"/>
          <w:i/>
        </w:rPr>
        <w:t>Corporal punishment is</w:t>
      </w:r>
      <w:r w:rsidR="00731AC1">
        <w:rPr>
          <w:rFonts w:asciiTheme="majorHAnsi" w:hAnsiTheme="majorHAnsi" w:cstheme="majorHAnsi"/>
          <w:i/>
        </w:rPr>
        <w:t xml:space="preserve"> un</w:t>
      </w:r>
      <w:r w:rsidR="0091549C" w:rsidRPr="007A36F3">
        <w:rPr>
          <w:rFonts w:asciiTheme="majorHAnsi" w:hAnsiTheme="majorHAnsi" w:cstheme="majorHAnsi"/>
          <w:i/>
        </w:rPr>
        <w:t>lawful</w:t>
      </w:r>
      <w:r w:rsidRPr="007A36F3">
        <w:rPr>
          <w:rFonts w:asciiTheme="majorHAnsi" w:hAnsiTheme="majorHAnsi" w:cstheme="majorHAnsi"/>
          <w:i/>
        </w:rPr>
        <w:t xml:space="preserve"> in schools</w:t>
      </w:r>
      <w:bookmarkEnd w:id="1"/>
      <w:bookmarkEnd w:id="2"/>
      <w:r w:rsidR="001E380B" w:rsidRPr="001E380B">
        <w:rPr>
          <w:rFonts w:asciiTheme="majorHAnsi" w:hAnsiTheme="majorHAnsi" w:cstheme="majorHAnsi"/>
        </w:rPr>
        <w:t xml:space="preserve"> </w:t>
      </w:r>
      <w:r w:rsidR="00E6711B" w:rsidRPr="00E6711B">
        <w:rPr>
          <w:rFonts w:asciiTheme="majorHAnsi" w:hAnsiTheme="majorHAnsi" w:cstheme="majorHAnsi"/>
        </w:rPr>
        <w:t>under article 31 of the Education Act, which states that “specially 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14:paraId="327ECFCA" w14:textId="4828EA9B" w:rsidR="00E6711B" w:rsidRPr="00E6711B" w:rsidRDefault="00D63AA6" w:rsidP="00E6711B">
      <w:pPr>
        <w:spacing w:after="120"/>
        <w:rPr>
          <w:rFonts w:asciiTheme="majorHAnsi" w:hAnsiTheme="majorHAnsi" w:cstheme="majorHAnsi"/>
        </w:rPr>
      </w:pPr>
      <w:r w:rsidRPr="007A36F3">
        <w:rPr>
          <w:rFonts w:asciiTheme="majorHAnsi" w:hAnsiTheme="majorHAnsi" w:cstheme="majorHAnsi"/>
        </w:rPr>
        <w:t>1</w:t>
      </w:r>
      <w:r w:rsidR="0082206B">
        <w:rPr>
          <w:rFonts w:asciiTheme="majorHAnsi" w:hAnsiTheme="majorHAnsi" w:cstheme="majorHAnsi"/>
        </w:rPr>
        <w:t>6</w:t>
      </w:r>
      <w:r w:rsidRPr="007A36F3">
        <w:rPr>
          <w:rFonts w:asciiTheme="majorHAnsi" w:hAnsiTheme="majorHAnsi" w:cstheme="majorHAnsi"/>
        </w:rPr>
        <w:t xml:space="preserve">. </w:t>
      </w:r>
      <w:r w:rsidRPr="007A36F3">
        <w:rPr>
          <w:rFonts w:asciiTheme="majorHAnsi" w:hAnsiTheme="majorHAnsi" w:cstheme="majorHAnsi"/>
          <w:i/>
        </w:rPr>
        <w:t xml:space="preserve">Corporal punishment is </w:t>
      </w:r>
      <w:r w:rsidR="00E6711B">
        <w:rPr>
          <w:rFonts w:asciiTheme="majorHAnsi" w:hAnsiTheme="majorHAnsi" w:cstheme="majorHAnsi"/>
          <w:i/>
        </w:rPr>
        <w:t xml:space="preserve">considered </w:t>
      </w:r>
      <w:r w:rsidRPr="007A36F3">
        <w:rPr>
          <w:rFonts w:asciiTheme="majorHAnsi" w:hAnsiTheme="majorHAnsi" w:cstheme="majorHAnsi"/>
          <w:i/>
        </w:rPr>
        <w:t>unlawful as a disciplinary measure in penal institutions</w:t>
      </w:r>
      <w:r w:rsidR="009A6507">
        <w:rPr>
          <w:rFonts w:asciiTheme="majorHAnsi" w:hAnsiTheme="majorHAnsi" w:cstheme="majorHAnsi"/>
        </w:rPr>
        <w:t xml:space="preserve"> </w:t>
      </w:r>
      <w:r w:rsidR="00E6711B" w:rsidRPr="00E6711B">
        <w:rPr>
          <w:rFonts w:asciiTheme="majorHAnsi" w:hAnsiTheme="majorHAnsi" w:cstheme="majorHAnsi"/>
        </w:rPr>
        <w:t>but there is no explicit prohibition. There is no provision for corporal punishment in the Imprisonment Act 1999.</w:t>
      </w:r>
    </w:p>
    <w:p w14:paraId="304246CC" w14:textId="61152574" w:rsidR="00E6711B" w:rsidRPr="00E6711B" w:rsidRDefault="00460197" w:rsidP="00E6711B">
      <w:pPr>
        <w:spacing w:after="120"/>
        <w:rPr>
          <w:rFonts w:asciiTheme="majorHAnsi" w:hAnsiTheme="majorHAnsi" w:cstheme="majorHAnsi"/>
        </w:rPr>
      </w:pPr>
      <w:r>
        <w:rPr>
          <w:rFonts w:asciiTheme="majorHAnsi" w:hAnsiTheme="majorHAnsi" w:cstheme="majorHAnsi"/>
        </w:rPr>
        <w:lastRenderedPageBreak/>
        <w:t>1</w:t>
      </w:r>
      <w:r w:rsidR="0082206B">
        <w:rPr>
          <w:rFonts w:asciiTheme="majorHAnsi" w:hAnsiTheme="majorHAnsi" w:cstheme="majorHAnsi"/>
        </w:rPr>
        <w:t>7</w:t>
      </w:r>
      <w:r w:rsidR="00D63AA6" w:rsidRPr="007A36F3">
        <w:rPr>
          <w:rFonts w:asciiTheme="majorHAnsi" w:hAnsiTheme="majorHAnsi" w:cstheme="majorHAnsi"/>
        </w:rPr>
        <w:t xml:space="preserve">. </w:t>
      </w:r>
      <w:r w:rsidR="00D63AA6" w:rsidRPr="007A36F3">
        <w:rPr>
          <w:rFonts w:asciiTheme="majorHAnsi" w:hAnsiTheme="majorHAnsi" w:cstheme="majorHAnsi"/>
          <w:i/>
        </w:rPr>
        <w:t>Corporal punishment is unlawful as a sentence for crime.</w:t>
      </w:r>
      <w:r w:rsidR="003615D5" w:rsidRPr="003615D5">
        <w:rPr>
          <w:rFonts w:asciiTheme="majorHAnsi" w:hAnsiTheme="majorHAnsi" w:cstheme="majorHAnsi"/>
        </w:rPr>
        <w:t xml:space="preserve"> </w:t>
      </w:r>
      <w:r w:rsidR="00E6711B">
        <w:rPr>
          <w:rFonts w:asciiTheme="majorHAnsi" w:hAnsiTheme="majorHAnsi" w:cstheme="majorHAnsi"/>
        </w:rPr>
        <w:t>It</w:t>
      </w:r>
      <w:r w:rsidR="00E6711B" w:rsidRPr="00E6711B">
        <w:rPr>
          <w:rFonts w:asciiTheme="majorHAnsi" w:hAnsiTheme="majorHAnsi" w:cstheme="majorHAnsi"/>
        </w:rPr>
        <w:t xml:space="preserve"> was abolished as a sentence for crime by 1867. It is not a permitted sanction under the Criminal Code and the Juvenile Justice Act No. 218/2003.</w:t>
      </w:r>
    </w:p>
    <w:p w14:paraId="6E5A48E6" w14:textId="48D04EDC" w:rsidR="00844B60" w:rsidRPr="00E206B3" w:rsidRDefault="00844B60" w:rsidP="00E206B3">
      <w:pPr>
        <w:spacing w:after="120"/>
        <w:rPr>
          <w:rFonts w:asciiTheme="majorHAnsi" w:hAnsiTheme="majorHAnsi" w:cstheme="majorHAnsi"/>
        </w:rPr>
      </w:pPr>
    </w:p>
    <w:p w14:paraId="0632C366" w14:textId="1F0A26DD" w:rsidR="007F7529" w:rsidRPr="007A36F3" w:rsidRDefault="007F7529" w:rsidP="007F7529">
      <w:pPr>
        <w:pStyle w:val="Heading2"/>
        <w:spacing w:after="120"/>
        <w:rPr>
          <w:rFonts w:asciiTheme="majorHAnsi" w:hAnsiTheme="majorHAnsi" w:cstheme="majorHAnsi"/>
          <w:b w:val="0"/>
          <w:sz w:val="26"/>
          <w:szCs w:val="26"/>
        </w:rPr>
      </w:pPr>
      <w:r w:rsidRPr="007A36F3">
        <w:rPr>
          <w:rFonts w:asciiTheme="majorHAnsi" w:hAnsiTheme="majorHAnsi" w:cstheme="majorHAnsi"/>
          <w:sz w:val="26"/>
          <w:szCs w:val="26"/>
        </w:rPr>
        <w:t>Recommendations by human rights treaty monitoring bodies</w:t>
      </w:r>
      <w:r w:rsidR="008730E0" w:rsidRPr="007A36F3">
        <w:rPr>
          <w:rFonts w:asciiTheme="majorHAnsi" w:hAnsiTheme="majorHAnsi" w:cstheme="majorHAnsi"/>
          <w:sz w:val="26"/>
          <w:szCs w:val="26"/>
        </w:rPr>
        <w:t xml:space="preserve"> and during the UPR</w:t>
      </w:r>
    </w:p>
    <w:p w14:paraId="481D558E" w14:textId="6C7E8F9D" w:rsidR="00E6711B" w:rsidRPr="00E6711B" w:rsidRDefault="00E6711B" w:rsidP="00E6711B">
      <w:pPr>
        <w:spacing w:after="120"/>
        <w:rPr>
          <w:rFonts w:asciiTheme="majorHAnsi" w:hAnsiTheme="majorHAnsi" w:cstheme="majorHAnsi"/>
          <w:bCs/>
        </w:rPr>
      </w:pPr>
      <w:r>
        <w:rPr>
          <w:rFonts w:asciiTheme="majorHAnsi" w:hAnsiTheme="majorHAnsi" w:cstheme="majorHAnsi"/>
        </w:rPr>
        <w:t>1</w:t>
      </w:r>
      <w:r w:rsidR="00D22275">
        <w:rPr>
          <w:rFonts w:asciiTheme="majorHAnsi" w:hAnsiTheme="majorHAnsi" w:cstheme="majorHAnsi"/>
        </w:rPr>
        <w:t>8</w:t>
      </w:r>
      <w:r>
        <w:rPr>
          <w:rFonts w:asciiTheme="majorHAnsi" w:hAnsiTheme="majorHAnsi" w:cstheme="majorHAnsi"/>
        </w:rPr>
        <w:t>.</w:t>
      </w:r>
      <w:r w:rsidRPr="00E6711B">
        <w:rPr>
          <w:rFonts w:asciiTheme="majorHAnsi" w:hAnsiTheme="majorHAnsi" w:cstheme="majorHAnsi"/>
          <w:i/>
        </w:rPr>
        <w:t xml:space="preserve"> </w:t>
      </w:r>
      <w:r w:rsidRPr="00E6711B">
        <w:rPr>
          <w:rFonts w:asciiTheme="majorHAnsi" w:hAnsiTheme="majorHAnsi" w:cstheme="majorHAnsi"/>
          <w:bCs/>
        </w:rPr>
        <w:t xml:space="preserve">The </w:t>
      </w:r>
      <w:r w:rsidRPr="00E6711B">
        <w:rPr>
          <w:rFonts w:asciiTheme="majorHAnsi" w:hAnsiTheme="majorHAnsi" w:cstheme="majorHAnsi"/>
          <w:bCs/>
          <w:i/>
        </w:rPr>
        <w:t>Committee on the Rights of the Child</w:t>
      </w:r>
      <w:r w:rsidRPr="00E6711B">
        <w:rPr>
          <w:rFonts w:asciiTheme="majorHAnsi" w:hAnsiTheme="majorHAnsi" w:cstheme="majorHAnsi"/>
          <w:bCs/>
        </w:rPr>
        <w:t xml:space="preserve"> first expressed concern about corporal punishment of children in the Czech Republic, and made recommendations to eliminate it, in 1997.</w:t>
      </w:r>
      <w:r w:rsidRPr="00E6711B">
        <w:rPr>
          <w:rFonts w:asciiTheme="majorHAnsi" w:hAnsiTheme="majorHAnsi" w:cstheme="majorHAnsi"/>
          <w:bCs/>
          <w:vertAlign w:val="superscript"/>
        </w:rPr>
        <w:footnoteReference w:id="18"/>
      </w:r>
      <w:r w:rsidRPr="00E6711B">
        <w:rPr>
          <w:rFonts w:asciiTheme="majorHAnsi" w:hAnsiTheme="majorHAnsi" w:cstheme="majorHAnsi"/>
          <w:bCs/>
        </w:rPr>
        <w:t xml:space="preserve"> In 2003 and again in 2011, the Committee recommended that corporal punishment be prohibited in all settings, including the home.</w:t>
      </w:r>
      <w:r w:rsidRPr="00E6711B">
        <w:rPr>
          <w:rFonts w:asciiTheme="majorHAnsi" w:hAnsiTheme="majorHAnsi" w:cstheme="majorHAnsi"/>
          <w:bCs/>
          <w:vertAlign w:val="superscript"/>
        </w:rPr>
        <w:footnoteReference w:id="19"/>
      </w:r>
      <w:r w:rsidRPr="00E6711B">
        <w:rPr>
          <w:rFonts w:asciiTheme="majorHAnsi" w:hAnsiTheme="majorHAnsi" w:cstheme="majorHAnsi"/>
          <w:bCs/>
        </w:rPr>
        <w:t xml:space="preserve"> </w:t>
      </w:r>
    </w:p>
    <w:p w14:paraId="15D46454" w14:textId="4012CE4B" w:rsidR="00E6711B" w:rsidRPr="00E6711B" w:rsidRDefault="00D22275" w:rsidP="00E6711B">
      <w:pPr>
        <w:spacing w:after="120"/>
        <w:rPr>
          <w:rFonts w:asciiTheme="majorHAnsi" w:hAnsiTheme="majorHAnsi" w:cstheme="majorHAnsi"/>
          <w:bCs/>
        </w:rPr>
      </w:pPr>
      <w:r>
        <w:rPr>
          <w:rFonts w:asciiTheme="majorHAnsi" w:hAnsiTheme="majorHAnsi" w:cstheme="majorHAnsi"/>
        </w:rPr>
        <w:t>19</w:t>
      </w:r>
      <w:r w:rsidR="007A36F3">
        <w:rPr>
          <w:rFonts w:asciiTheme="majorHAnsi" w:hAnsiTheme="majorHAnsi" w:cstheme="majorHAnsi"/>
        </w:rPr>
        <w:t>.</w:t>
      </w:r>
      <w:r w:rsidR="007A36F3" w:rsidRPr="007A36F3">
        <w:rPr>
          <w:rFonts w:asciiTheme="majorHAnsi" w:hAnsiTheme="majorHAnsi" w:cstheme="majorHAnsi"/>
        </w:rPr>
        <w:t xml:space="preserve"> </w:t>
      </w:r>
      <w:r w:rsidR="00E6711B" w:rsidRPr="00E6711B">
        <w:rPr>
          <w:rFonts w:asciiTheme="majorHAnsi" w:hAnsiTheme="majorHAnsi" w:cstheme="majorHAnsi"/>
          <w:bCs/>
        </w:rPr>
        <w:t xml:space="preserve">In 2012, the </w:t>
      </w:r>
      <w:r w:rsidR="00E6711B" w:rsidRPr="00E6711B">
        <w:rPr>
          <w:rFonts w:asciiTheme="majorHAnsi" w:hAnsiTheme="majorHAnsi" w:cstheme="majorHAnsi"/>
          <w:bCs/>
          <w:i/>
        </w:rPr>
        <w:t>Committee Against Torture</w:t>
      </w:r>
      <w:r w:rsidR="00E6711B" w:rsidRPr="00E6711B">
        <w:rPr>
          <w:rFonts w:asciiTheme="majorHAnsi" w:hAnsiTheme="majorHAnsi" w:cstheme="majorHAnsi"/>
          <w:bCs/>
        </w:rPr>
        <w:t xml:space="preserve"> recommended that legislation in the Czech Republic be amended to explicitly prohibit corporal punishment of children in all settings.</w:t>
      </w:r>
      <w:r w:rsidR="00E6711B" w:rsidRPr="00E6711B">
        <w:rPr>
          <w:rFonts w:asciiTheme="majorHAnsi" w:hAnsiTheme="majorHAnsi" w:cstheme="majorHAnsi"/>
          <w:bCs/>
          <w:vertAlign w:val="superscript"/>
        </w:rPr>
        <w:footnoteReference w:id="20"/>
      </w:r>
      <w:r w:rsidR="00E6711B" w:rsidRPr="00E6711B">
        <w:rPr>
          <w:rFonts w:asciiTheme="majorHAnsi" w:hAnsiTheme="majorHAnsi" w:cstheme="majorHAnsi"/>
          <w:bCs/>
        </w:rPr>
        <w:t xml:space="preserve"> </w:t>
      </w:r>
    </w:p>
    <w:p w14:paraId="43477A01" w14:textId="463041BD" w:rsidR="00E6711B" w:rsidRPr="00E6711B" w:rsidRDefault="00E6711B" w:rsidP="00E6711B">
      <w:pPr>
        <w:spacing w:after="120"/>
        <w:rPr>
          <w:rFonts w:asciiTheme="majorHAnsi" w:hAnsiTheme="majorHAnsi" w:cstheme="majorHAnsi"/>
          <w:i/>
        </w:rPr>
      </w:pPr>
      <w:r>
        <w:rPr>
          <w:rFonts w:asciiTheme="majorHAnsi" w:hAnsiTheme="majorHAnsi" w:cstheme="majorHAnsi"/>
        </w:rPr>
        <w:t>20.</w:t>
      </w:r>
      <w:r w:rsidRPr="00E6711B">
        <w:rPr>
          <w:rFonts w:asciiTheme="majorHAnsi" w:hAnsiTheme="majorHAnsi" w:cstheme="majorHAnsi"/>
          <w:i/>
        </w:rPr>
        <w:t xml:space="preserve"> </w:t>
      </w:r>
      <w:r w:rsidRPr="00E6711B">
        <w:rPr>
          <w:rFonts w:asciiTheme="majorHAnsi" w:hAnsiTheme="majorHAnsi" w:cstheme="majorHAnsi"/>
        </w:rPr>
        <w:t xml:space="preserve">In 2013, the </w:t>
      </w:r>
      <w:r w:rsidRPr="00E6711B">
        <w:rPr>
          <w:rFonts w:asciiTheme="majorHAnsi" w:hAnsiTheme="majorHAnsi" w:cstheme="majorHAnsi"/>
          <w:i/>
        </w:rPr>
        <w:t>Human Rights Committee</w:t>
      </w:r>
      <w:r w:rsidRPr="00E6711B">
        <w:rPr>
          <w:rFonts w:asciiTheme="majorHAnsi" w:hAnsiTheme="majorHAnsi" w:cstheme="majorHAnsi"/>
        </w:rPr>
        <w:t xml:space="preserve"> expressed concern at the legality of corporal punishment in the home and public institutions in the Czech Republic and recommended that steps be taken to end it in all settings.</w:t>
      </w:r>
      <w:r w:rsidRPr="00E6711B">
        <w:rPr>
          <w:rFonts w:asciiTheme="majorHAnsi" w:hAnsiTheme="majorHAnsi" w:cstheme="majorHAnsi"/>
          <w:vertAlign w:val="superscript"/>
        </w:rPr>
        <w:footnoteReference w:id="21"/>
      </w:r>
      <w:r w:rsidRPr="00E6711B">
        <w:rPr>
          <w:rFonts w:asciiTheme="majorHAnsi" w:hAnsiTheme="majorHAnsi" w:cstheme="majorHAnsi"/>
          <w:i/>
        </w:rPr>
        <w:t xml:space="preserve"> </w:t>
      </w:r>
    </w:p>
    <w:p w14:paraId="28204EFB" w14:textId="11C5383A" w:rsidR="00E6711B" w:rsidRPr="00E6711B" w:rsidRDefault="00E6711B" w:rsidP="00E6711B">
      <w:pPr>
        <w:spacing w:after="120"/>
        <w:rPr>
          <w:rFonts w:asciiTheme="majorHAnsi" w:hAnsiTheme="majorHAnsi" w:cstheme="majorHAnsi"/>
          <w:bCs/>
        </w:rPr>
      </w:pPr>
      <w:r>
        <w:rPr>
          <w:rFonts w:asciiTheme="majorHAnsi" w:hAnsiTheme="majorHAnsi" w:cstheme="majorHAnsi"/>
        </w:rPr>
        <w:t>21.</w:t>
      </w:r>
      <w:r w:rsidRPr="00E6711B">
        <w:rPr>
          <w:rFonts w:asciiTheme="majorHAnsi" w:hAnsiTheme="majorHAnsi" w:cstheme="majorHAnsi"/>
          <w:i/>
        </w:rPr>
        <w:t xml:space="preserve"> </w:t>
      </w:r>
      <w:r w:rsidRPr="00E6711B">
        <w:rPr>
          <w:rFonts w:asciiTheme="majorHAnsi" w:hAnsiTheme="majorHAnsi" w:cstheme="majorHAnsi"/>
          <w:bCs/>
        </w:rPr>
        <w:t xml:space="preserve">In 2005, 2012 and again in 2016, the </w:t>
      </w:r>
      <w:r w:rsidRPr="00E6711B">
        <w:rPr>
          <w:rFonts w:asciiTheme="majorHAnsi" w:hAnsiTheme="majorHAnsi" w:cstheme="majorHAnsi"/>
          <w:bCs/>
          <w:i/>
        </w:rPr>
        <w:t>European Committee of Social Rights</w:t>
      </w:r>
      <w:r w:rsidRPr="00E6711B">
        <w:rPr>
          <w:rFonts w:asciiTheme="majorHAnsi" w:hAnsiTheme="majorHAnsi" w:cstheme="majorHAnsi"/>
          <w:bCs/>
        </w:rPr>
        <w:t xml:space="preserve"> concluded that the situation in the Czech Republic is not in conformity with the Revised Social Charter because corporal punishment of children in the home and in institutions is </w:t>
      </w:r>
      <w:r w:rsidRPr="00E6711B">
        <w:rPr>
          <w:rFonts w:asciiTheme="majorHAnsi" w:hAnsiTheme="majorHAnsi" w:cstheme="majorHAnsi"/>
          <w:bCs/>
        </w:rPr>
        <w:lastRenderedPageBreak/>
        <w:t>not explicitly prohibited.</w:t>
      </w:r>
      <w:r w:rsidRPr="00E6711B">
        <w:rPr>
          <w:rFonts w:asciiTheme="majorHAnsi" w:hAnsiTheme="majorHAnsi" w:cstheme="majorHAnsi"/>
          <w:bCs/>
          <w:vertAlign w:val="superscript"/>
        </w:rPr>
        <w:footnoteReference w:id="22"/>
      </w:r>
      <w:r w:rsidRPr="00E6711B">
        <w:rPr>
          <w:rFonts w:asciiTheme="majorHAnsi" w:hAnsiTheme="majorHAnsi" w:cstheme="majorHAnsi"/>
          <w:bCs/>
        </w:rPr>
        <w:t xml:space="preserve"> </w:t>
      </w:r>
      <w:r w:rsidR="008565C0">
        <w:rPr>
          <w:rFonts w:asciiTheme="majorHAnsi" w:hAnsiTheme="majorHAnsi" w:cstheme="majorHAnsi"/>
          <w:bCs/>
        </w:rPr>
        <w:t>A</w:t>
      </w:r>
      <w:r w:rsidR="006644C5" w:rsidRPr="006644C5">
        <w:rPr>
          <w:rFonts w:asciiTheme="majorHAnsi" w:hAnsiTheme="majorHAnsi" w:cstheme="majorHAnsi"/>
          <w:bCs/>
        </w:rPr>
        <w:t xml:space="preserve"> complaint </w:t>
      </w:r>
      <w:r w:rsidR="008565C0">
        <w:rPr>
          <w:rFonts w:asciiTheme="majorHAnsi" w:hAnsiTheme="majorHAnsi" w:cstheme="majorHAnsi"/>
          <w:bCs/>
        </w:rPr>
        <w:t xml:space="preserve">was </w:t>
      </w:r>
      <w:r w:rsidR="006644C5" w:rsidRPr="006644C5">
        <w:rPr>
          <w:rFonts w:asciiTheme="majorHAnsi" w:hAnsiTheme="majorHAnsi" w:cstheme="majorHAnsi"/>
          <w:bCs/>
        </w:rPr>
        <w:t>brought</w:t>
      </w:r>
      <w:r w:rsidR="008565C0">
        <w:rPr>
          <w:rFonts w:asciiTheme="majorHAnsi" w:hAnsiTheme="majorHAnsi" w:cstheme="majorHAnsi"/>
          <w:bCs/>
        </w:rPr>
        <w:t xml:space="preserve"> in 2013</w:t>
      </w:r>
      <w:r w:rsidR="006644C5" w:rsidRPr="006644C5">
        <w:rPr>
          <w:rFonts w:asciiTheme="majorHAnsi" w:hAnsiTheme="majorHAnsi" w:cstheme="majorHAnsi"/>
          <w:bCs/>
        </w:rPr>
        <w:t xml:space="preserve"> against the Czech Republic by the Association for the Protection</w:t>
      </w:r>
      <w:r w:rsidR="008565C0">
        <w:rPr>
          <w:rFonts w:asciiTheme="majorHAnsi" w:hAnsiTheme="majorHAnsi" w:cstheme="majorHAnsi"/>
          <w:bCs/>
        </w:rPr>
        <w:t xml:space="preserve"> of All Children (APPROACH) Ltd</w:t>
      </w:r>
      <w:r w:rsidR="006644C5" w:rsidRPr="006644C5">
        <w:rPr>
          <w:rFonts w:asciiTheme="majorHAnsi" w:hAnsiTheme="majorHAnsi" w:cstheme="majorHAnsi"/>
          <w:bCs/>
        </w:rPr>
        <w:t xml:space="preserve"> under the collective complaints procedure of the Euro</w:t>
      </w:r>
      <w:r w:rsidR="008565C0">
        <w:rPr>
          <w:rFonts w:asciiTheme="majorHAnsi" w:hAnsiTheme="majorHAnsi" w:cstheme="majorHAnsi"/>
          <w:bCs/>
        </w:rPr>
        <w:t xml:space="preserve">pean Committee of Social Rights, alleging that </w:t>
      </w:r>
      <w:r w:rsidR="008565C0" w:rsidRPr="006644C5">
        <w:rPr>
          <w:rFonts w:asciiTheme="majorHAnsi" w:hAnsiTheme="majorHAnsi" w:cstheme="majorHAnsi"/>
          <w:bCs/>
        </w:rPr>
        <w:t xml:space="preserve">there </w:t>
      </w:r>
      <w:r w:rsidR="008565C0">
        <w:rPr>
          <w:rFonts w:asciiTheme="majorHAnsi" w:hAnsiTheme="majorHAnsi" w:cstheme="majorHAnsi"/>
          <w:bCs/>
        </w:rPr>
        <w:t>was</w:t>
      </w:r>
      <w:r w:rsidR="008565C0" w:rsidRPr="006644C5">
        <w:rPr>
          <w:rFonts w:asciiTheme="majorHAnsi" w:hAnsiTheme="majorHAnsi" w:cstheme="majorHAnsi"/>
          <w:bCs/>
        </w:rPr>
        <w:t xml:space="preserve"> no explicit prohibition of corporal punishment in the family, in all forms of alternative care and in schools and that the Czech Republic ha</w:t>
      </w:r>
      <w:r w:rsidR="008565C0">
        <w:rPr>
          <w:rFonts w:asciiTheme="majorHAnsi" w:hAnsiTheme="majorHAnsi" w:cstheme="majorHAnsi"/>
          <w:bCs/>
        </w:rPr>
        <w:t>d</w:t>
      </w:r>
      <w:r w:rsidR="008565C0" w:rsidRPr="006644C5">
        <w:rPr>
          <w:rFonts w:asciiTheme="majorHAnsi" w:hAnsiTheme="majorHAnsi" w:cstheme="majorHAnsi"/>
          <w:bCs/>
        </w:rPr>
        <w:t xml:space="preserve"> not acted with due diligence to eliminate such violent punishment of children in practice</w:t>
      </w:r>
      <w:r w:rsidR="008565C0">
        <w:rPr>
          <w:rFonts w:asciiTheme="majorHAnsi" w:hAnsiTheme="majorHAnsi" w:cstheme="majorHAnsi"/>
          <w:bCs/>
        </w:rPr>
        <w:t xml:space="preserve">. </w:t>
      </w:r>
      <w:r w:rsidR="008565C0" w:rsidRPr="006644C5">
        <w:rPr>
          <w:rFonts w:asciiTheme="majorHAnsi" w:hAnsiTheme="majorHAnsi" w:cstheme="majorHAnsi"/>
          <w:bCs/>
        </w:rPr>
        <w:t xml:space="preserve">The Committee concluded that the situation in the Czech Republic </w:t>
      </w:r>
      <w:r w:rsidR="008565C0">
        <w:rPr>
          <w:rFonts w:asciiTheme="majorHAnsi" w:hAnsiTheme="majorHAnsi" w:cstheme="majorHAnsi"/>
          <w:bCs/>
        </w:rPr>
        <w:t>was</w:t>
      </w:r>
      <w:r w:rsidR="008565C0" w:rsidRPr="006644C5">
        <w:rPr>
          <w:rFonts w:asciiTheme="majorHAnsi" w:hAnsiTheme="majorHAnsi" w:cstheme="majorHAnsi"/>
          <w:bCs/>
        </w:rPr>
        <w:t xml:space="preserve"> in violation of the Charter because the law </w:t>
      </w:r>
      <w:r w:rsidR="008565C0">
        <w:rPr>
          <w:rFonts w:asciiTheme="majorHAnsi" w:hAnsiTheme="majorHAnsi" w:cstheme="majorHAnsi"/>
          <w:bCs/>
        </w:rPr>
        <w:t>did</w:t>
      </w:r>
      <w:r w:rsidR="008565C0" w:rsidRPr="006644C5">
        <w:rPr>
          <w:rFonts w:asciiTheme="majorHAnsi" w:hAnsiTheme="majorHAnsi" w:cstheme="majorHAnsi"/>
          <w:bCs/>
        </w:rPr>
        <w:t xml:space="preserve"> not prohibit all corporal </w:t>
      </w:r>
      <w:r w:rsidR="008565C0" w:rsidRPr="008565C0">
        <w:rPr>
          <w:rFonts w:asciiTheme="majorHAnsi" w:hAnsiTheme="majorHAnsi" w:cstheme="majorHAnsi"/>
          <w:bCs/>
        </w:rPr>
        <w:t>punishment.</w:t>
      </w:r>
      <w:r w:rsidR="008565C0" w:rsidRPr="008565C0">
        <w:rPr>
          <w:rFonts w:asciiTheme="majorHAnsi" w:hAnsiTheme="majorHAnsi" w:cstheme="majorHAnsi"/>
          <w:bCs/>
          <w:vertAlign w:val="superscript"/>
        </w:rPr>
        <w:footnoteReference w:id="23"/>
      </w:r>
      <w:r w:rsidR="008565C0" w:rsidRPr="008565C0">
        <w:rPr>
          <w:rFonts w:asciiTheme="majorHAnsi" w:hAnsiTheme="majorHAnsi" w:cstheme="majorHAnsi"/>
        </w:rPr>
        <w:t xml:space="preserve"> F</w:t>
      </w:r>
      <w:r w:rsidR="006644C5" w:rsidRPr="008565C0">
        <w:rPr>
          <w:rFonts w:asciiTheme="majorHAnsi" w:hAnsiTheme="majorHAnsi" w:cstheme="majorHAnsi"/>
          <w:bCs/>
        </w:rPr>
        <w:t>ollowing</w:t>
      </w:r>
      <w:r w:rsidR="006644C5" w:rsidRPr="006644C5">
        <w:rPr>
          <w:rFonts w:asciiTheme="majorHAnsi" w:hAnsiTheme="majorHAnsi" w:cstheme="majorHAnsi"/>
          <w:bCs/>
        </w:rPr>
        <w:t xml:space="preserve"> up on the implementation of this decision</w:t>
      </w:r>
      <w:r w:rsidR="008565C0">
        <w:rPr>
          <w:rFonts w:asciiTheme="majorHAnsi" w:hAnsiTheme="majorHAnsi" w:cstheme="majorHAnsi"/>
          <w:bCs/>
        </w:rPr>
        <w:t xml:space="preserve"> in October 2017</w:t>
      </w:r>
      <w:r w:rsidR="006644C5" w:rsidRPr="006644C5">
        <w:rPr>
          <w:rFonts w:asciiTheme="majorHAnsi" w:hAnsiTheme="majorHAnsi" w:cstheme="majorHAnsi"/>
          <w:bCs/>
        </w:rPr>
        <w:t xml:space="preserve">, the Committee </w:t>
      </w:r>
      <w:r w:rsidR="008565C0">
        <w:rPr>
          <w:rFonts w:asciiTheme="majorHAnsi" w:hAnsiTheme="majorHAnsi" w:cstheme="majorHAnsi"/>
          <w:bCs/>
        </w:rPr>
        <w:t>reiterated that the situation</w:t>
      </w:r>
      <w:r w:rsidR="006644C5" w:rsidRPr="006644C5">
        <w:rPr>
          <w:rFonts w:asciiTheme="majorHAnsi" w:hAnsiTheme="majorHAnsi" w:cstheme="majorHAnsi"/>
          <w:bCs/>
        </w:rPr>
        <w:t xml:space="preserve"> had not yet been brought in conformity with the Charter.</w:t>
      </w:r>
      <w:r w:rsidR="006644C5" w:rsidRPr="006644C5">
        <w:rPr>
          <w:rFonts w:asciiTheme="majorHAnsi" w:hAnsiTheme="majorHAnsi" w:cstheme="majorHAnsi"/>
          <w:bCs/>
          <w:vertAlign w:val="superscript"/>
        </w:rPr>
        <w:footnoteReference w:id="24"/>
      </w:r>
    </w:p>
    <w:p w14:paraId="7A82CC1F" w14:textId="59F48653" w:rsidR="00E6711B" w:rsidRDefault="00E6711B" w:rsidP="00E6711B">
      <w:pPr>
        <w:spacing w:after="120"/>
        <w:rPr>
          <w:rFonts w:asciiTheme="majorHAnsi" w:hAnsiTheme="majorHAnsi" w:cstheme="majorHAnsi"/>
        </w:rPr>
      </w:pPr>
      <w:r>
        <w:rPr>
          <w:rFonts w:asciiTheme="majorHAnsi" w:hAnsiTheme="majorHAnsi" w:cstheme="majorHAnsi"/>
        </w:rPr>
        <w:t>22.</w:t>
      </w:r>
      <w:r w:rsidRPr="00E6711B">
        <w:rPr>
          <w:rFonts w:asciiTheme="majorHAnsi" w:hAnsiTheme="majorHAnsi" w:cstheme="majorHAnsi"/>
          <w:b/>
        </w:rPr>
        <w:t xml:space="preserve"> </w:t>
      </w:r>
      <w:r w:rsidRPr="00E6711B">
        <w:rPr>
          <w:rFonts w:asciiTheme="majorHAnsi" w:hAnsiTheme="majorHAnsi" w:cstheme="majorHAnsi"/>
        </w:rPr>
        <w:t xml:space="preserve">During the </w:t>
      </w:r>
      <w:r w:rsidRPr="00E6711B">
        <w:rPr>
          <w:rFonts w:asciiTheme="majorHAnsi" w:hAnsiTheme="majorHAnsi" w:cstheme="majorHAnsi"/>
          <w:i/>
        </w:rPr>
        <w:t>Universal Periodic Review</w:t>
      </w:r>
      <w:r w:rsidRPr="00E6711B">
        <w:rPr>
          <w:rFonts w:asciiTheme="majorHAnsi" w:hAnsiTheme="majorHAnsi" w:cstheme="majorHAnsi"/>
        </w:rPr>
        <w:t xml:space="preserve"> of the Czech Republic in 2012, recommendations were made to explicitly prohibit corporal punishment in all settings.</w:t>
      </w:r>
      <w:r w:rsidRPr="00E6711B">
        <w:rPr>
          <w:rFonts w:asciiTheme="majorHAnsi" w:hAnsiTheme="majorHAnsi" w:cstheme="majorHAnsi"/>
          <w:vertAlign w:val="superscript"/>
        </w:rPr>
        <w:footnoteReference w:id="25"/>
      </w:r>
      <w:r w:rsidRPr="00E6711B">
        <w:rPr>
          <w:rFonts w:asciiTheme="majorHAnsi" w:hAnsiTheme="majorHAnsi" w:cstheme="majorHAnsi"/>
        </w:rPr>
        <w:t xml:space="preserve"> The Government rejected the recommendations, misleadingly asserting that the law already prohibits all corporal punishment.</w:t>
      </w:r>
      <w:r w:rsidRPr="00E6711B">
        <w:rPr>
          <w:rFonts w:asciiTheme="majorHAnsi" w:hAnsiTheme="majorHAnsi" w:cstheme="majorHAnsi"/>
          <w:vertAlign w:val="superscript"/>
        </w:rPr>
        <w:footnoteReference w:id="26"/>
      </w:r>
      <w:r w:rsidRPr="00E6711B">
        <w:rPr>
          <w:rFonts w:asciiTheme="majorHAnsi" w:hAnsiTheme="majorHAnsi" w:cstheme="majorHAnsi"/>
        </w:rPr>
        <w:t xml:space="preserve"> At its third cycle UPR in 2017, the Czech Republic gave a mixed response to recommendations on corporal punishment: although the Government supported general recommendations to put an end to corporal punishment of children, it noted specific recommendations to explicitly prohibit its use in all settings.</w:t>
      </w:r>
      <w:r w:rsidRPr="00E6711B">
        <w:rPr>
          <w:rFonts w:asciiTheme="majorHAnsi" w:hAnsiTheme="majorHAnsi" w:cstheme="majorHAnsi"/>
          <w:vertAlign w:val="superscript"/>
        </w:rPr>
        <w:footnoteReference w:id="27"/>
      </w:r>
    </w:p>
    <w:p w14:paraId="14D203E8" w14:textId="77777777" w:rsidR="00C513B1" w:rsidRPr="00E6711B" w:rsidRDefault="00C513B1" w:rsidP="00E6711B">
      <w:pPr>
        <w:spacing w:after="120"/>
        <w:rPr>
          <w:rFonts w:asciiTheme="majorHAnsi" w:hAnsiTheme="majorHAnsi" w:cstheme="majorHAnsi"/>
        </w:rPr>
      </w:pPr>
    </w:p>
    <w:p w14:paraId="0061CBA6" w14:textId="5ED8A17A" w:rsidR="00BC6C90" w:rsidRDefault="00BC6C90" w:rsidP="007A36F3">
      <w:pPr>
        <w:spacing w:after="120"/>
        <w:rPr>
          <w:rFonts w:asciiTheme="majorHAnsi" w:hAnsiTheme="majorHAnsi" w:cstheme="majorHAnsi"/>
          <w:b/>
        </w:rPr>
      </w:pPr>
    </w:p>
    <w:p w14:paraId="73A734C1" w14:textId="77777777" w:rsidR="009C24BF" w:rsidRPr="007A36F3" w:rsidRDefault="00482BF9" w:rsidP="007A21C3">
      <w:pPr>
        <w:rPr>
          <w:rFonts w:asciiTheme="majorHAnsi" w:hAnsiTheme="majorHAnsi" w:cstheme="majorHAnsi"/>
          <w:i/>
          <w:iCs/>
        </w:rPr>
      </w:pPr>
      <w:r w:rsidRPr="007A36F3">
        <w:rPr>
          <w:rFonts w:asciiTheme="majorHAnsi" w:hAnsiTheme="majorHAnsi" w:cstheme="majorHAnsi"/>
          <w:i/>
          <w:iCs/>
        </w:rPr>
        <w:t>B</w:t>
      </w:r>
      <w:r w:rsidR="009C24BF" w:rsidRPr="007A36F3">
        <w:rPr>
          <w:rFonts w:asciiTheme="majorHAnsi" w:hAnsiTheme="majorHAnsi" w:cstheme="majorHAnsi"/>
          <w:i/>
          <w:iCs/>
        </w:rPr>
        <w:t>riefing prepared by the Global Initiative to End All Corporal Punishment of Children</w:t>
      </w:r>
    </w:p>
    <w:p w14:paraId="3B3EA53F" w14:textId="7DF29336" w:rsidR="008D6D66" w:rsidRPr="007A36F3" w:rsidRDefault="00AE1A74" w:rsidP="007A21C3">
      <w:pPr>
        <w:rPr>
          <w:rFonts w:asciiTheme="majorHAnsi" w:hAnsiTheme="majorHAnsi" w:cstheme="majorHAnsi"/>
          <w:i/>
          <w:iCs/>
        </w:rPr>
      </w:pPr>
      <w:hyperlink r:id="rId14" w:history="1">
        <w:r w:rsidR="009C24BF" w:rsidRPr="006B418B">
          <w:rPr>
            <w:rStyle w:val="Hyperlink"/>
            <w:rFonts w:asciiTheme="majorHAnsi" w:eastAsia="Calibri" w:hAnsiTheme="majorHAnsi" w:cstheme="majorHAnsi"/>
            <w:bCs/>
            <w:i/>
            <w:color w:val="0096A3"/>
          </w:rPr>
          <w:t>www.endcorporalpunishment.org</w:t>
        </w:r>
      </w:hyperlink>
      <w:r w:rsidR="009C24BF" w:rsidRPr="007A36F3">
        <w:rPr>
          <w:rFonts w:asciiTheme="majorHAnsi" w:hAnsiTheme="majorHAnsi" w:cstheme="majorHAnsi"/>
          <w:i/>
          <w:iCs/>
        </w:rPr>
        <w:t xml:space="preserve">; </w:t>
      </w:r>
      <w:hyperlink r:id="rId15" w:history="1">
        <w:r w:rsidR="009C24BF" w:rsidRPr="006B418B">
          <w:rPr>
            <w:rStyle w:val="Hyperlink"/>
            <w:rFonts w:asciiTheme="majorHAnsi" w:eastAsia="Calibri" w:hAnsiTheme="majorHAnsi" w:cstheme="majorHAnsi"/>
            <w:bCs/>
            <w:i/>
            <w:color w:val="0096A3"/>
          </w:rPr>
          <w:t>info@endcorporalpunishment.org</w:t>
        </w:r>
      </w:hyperlink>
    </w:p>
    <w:sectPr w:rsidR="008D6D66" w:rsidRPr="007A36F3"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B3378" w14:textId="77777777" w:rsidR="00F41F16" w:rsidRDefault="00F41F16">
      <w:r>
        <w:separator/>
      </w:r>
    </w:p>
  </w:endnote>
  <w:endnote w:type="continuationSeparator" w:id="0">
    <w:p w14:paraId="72887832" w14:textId="77777777" w:rsidR="00F41F16" w:rsidRDefault="00F41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0AF11B64" w:rsidR="00986253" w:rsidRPr="004A1897" w:rsidRDefault="00986253">
    <w:pPr>
      <w:pStyle w:val="Footer"/>
      <w:jc w:val="center"/>
      <w:rPr>
        <w:rFonts w:asciiTheme="majorHAnsi" w:hAnsiTheme="majorHAnsi"/>
      </w:rPr>
    </w:pPr>
    <w:r w:rsidRPr="004A1897">
      <w:rPr>
        <w:rFonts w:asciiTheme="majorHAnsi" w:hAnsiTheme="majorHAnsi"/>
      </w:rPr>
      <w:fldChar w:fldCharType="begin"/>
    </w:r>
    <w:r w:rsidRPr="004A1897">
      <w:rPr>
        <w:rFonts w:asciiTheme="majorHAnsi" w:hAnsiTheme="majorHAnsi"/>
      </w:rPr>
      <w:instrText xml:space="preserve"> PAGE   \* MERGEFORMAT </w:instrText>
    </w:r>
    <w:r w:rsidRPr="004A1897">
      <w:rPr>
        <w:rFonts w:asciiTheme="majorHAnsi" w:hAnsiTheme="majorHAnsi"/>
      </w:rPr>
      <w:fldChar w:fldCharType="separate"/>
    </w:r>
    <w:r w:rsidR="00AE1A74">
      <w:rPr>
        <w:rFonts w:asciiTheme="majorHAnsi" w:hAnsiTheme="majorHAnsi"/>
        <w:noProof/>
      </w:rPr>
      <w:t>1</w:t>
    </w:r>
    <w:r w:rsidRPr="004A1897">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3D8EE" w14:textId="77777777" w:rsidR="00F41F16" w:rsidRDefault="00F41F16">
      <w:r>
        <w:separator/>
      </w:r>
    </w:p>
  </w:footnote>
  <w:footnote w:type="continuationSeparator" w:id="0">
    <w:p w14:paraId="61B8A771" w14:textId="77777777" w:rsidR="00F41F16" w:rsidRDefault="00F41F16">
      <w:r>
        <w:continuationSeparator/>
      </w:r>
    </w:p>
  </w:footnote>
  <w:footnote w:id="1">
    <w:p w14:paraId="7306DD3C" w14:textId="3EA8A1D4" w:rsidR="007F7529" w:rsidRPr="00E82549" w:rsidRDefault="007F7529" w:rsidP="007F7529">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Pinheiro, P. S. (2006), </w:t>
      </w:r>
      <w:r w:rsidRPr="00E82549">
        <w:rPr>
          <w:rFonts w:asciiTheme="majorHAnsi" w:hAnsiTheme="majorHAnsi" w:cstheme="majorHAnsi"/>
          <w:i/>
        </w:rPr>
        <w:t>World Report on Violence against Children</w:t>
      </w:r>
      <w:r w:rsidRPr="00E82549">
        <w:rPr>
          <w:rFonts w:asciiTheme="majorHAnsi" w:hAnsiTheme="majorHAnsi" w:cstheme="majorHAnsi"/>
        </w:rPr>
        <w:t>, Geneva: United Nations. See also Krug E. G. et al (eds) (2002),</w:t>
      </w:r>
      <w:r w:rsidRPr="00E82549">
        <w:rPr>
          <w:rFonts w:asciiTheme="majorHAnsi" w:hAnsiTheme="majorHAnsi" w:cstheme="majorHAnsi"/>
          <w:i/>
          <w:iCs/>
        </w:rPr>
        <w:t xml:space="preserve"> World Report on Violence and Health, </w:t>
      </w:r>
      <w:r w:rsidRPr="00E82549">
        <w:rPr>
          <w:rFonts w:asciiTheme="majorHAnsi" w:hAnsiTheme="majorHAnsi" w:cstheme="majorHAnsi"/>
        </w:rPr>
        <w:t>Geneva: World Health Organisation</w:t>
      </w:r>
    </w:p>
  </w:footnote>
  <w:footnote w:id="2">
    <w:p w14:paraId="0E8A37BD"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20 April 2010, CRC/C/CZE/3-4, Third/fourth state party report, para. 133</w:t>
      </w:r>
    </w:p>
  </w:footnote>
  <w:footnote w:id="3">
    <w:p w14:paraId="6789130B"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10 May 2011, CRC/C/CZE/Q/3-4/Add.1, Reply to list of issues, Q7</w:t>
      </w:r>
    </w:p>
  </w:footnote>
  <w:footnote w:id="4">
    <w:p w14:paraId="10AC6E7B"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9 March 2012, CAT/C/CZE/Q/4-5/Add.1, Reply to list of issues, para. 106; 27 June 2013, CCPR/C/CZE/Q/3/Add.1, Reply to list of issues, paras.77-80</w:t>
      </w:r>
    </w:p>
  </w:footnote>
  <w:footnote w:id="5">
    <w:p w14:paraId="42172439"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27 June 2013, CCPR/C/CZE/Q/3/Add.1, Reply to list of issues, para. 82</w:t>
      </w:r>
    </w:p>
  </w:footnote>
  <w:footnote w:id="6">
    <w:p w14:paraId="0CD579C0"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30 May 2012, CAT/C/SR.1071, Summary record of 1701</w:t>
      </w:r>
      <w:r w:rsidRPr="00E82549">
        <w:rPr>
          <w:rFonts w:asciiTheme="majorHAnsi" w:hAnsiTheme="majorHAnsi" w:cstheme="majorHAnsi"/>
          <w:vertAlign w:val="superscript"/>
        </w:rPr>
        <w:t>st</w:t>
      </w:r>
      <w:r w:rsidRPr="00E82549">
        <w:rPr>
          <w:rFonts w:asciiTheme="majorHAnsi" w:hAnsiTheme="majorHAnsi" w:cstheme="majorHAnsi"/>
        </w:rPr>
        <w:t xml:space="preserve"> meeting, para. 40; see also </w:t>
      </w:r>
      <w:r w:rsidRPr="00E82549">
        <w:rPr>
          <w:rFonts w:asciiTheme="majorHAnsi" w:eastAsia="Calibri" w:hAnsiTheme="majorHAnsi" w:cstheme="majorHAnsi"/>
          <w:lang w:val="en-US"/>
        </w:rPr>
        <w:t>23 November 2015, CEDAW/CZE/Q/6/Add.1, Reply to list of issues, para. 25</w:t>
      </w:r>
    </w:p>
  </w:footnote>
  <w:footnote w:id="7">
    <w:p w14:paraId="74AC6276"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26 December 2012, A/HRC/22/3, Report of the working group, paras. 94(88), 94(89) and 94(90); 1 March 2013, A/HRC/22/3/Add.1, Report of the working group: Addendum, para. 4</w:t>
      </w:r>
    </w:p>
  </w:footnote>
  <w:footnote w:id="8">
    <w:p w14:paraId="144A2D0D"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w:t>
      </w:r>
      <w:r w:rsidRPr="00E82549">
        <w:rPr>
          <w:rFonts w:asciiTheme="majorHAnsi" w:eastAsia="Calibri" w:hAnsiTheme="majorHAnsi" w:cstheme="majorHAnsi"/>
          <w:lang w:val="en-US"/>
        </w:rPr>
        <w:t>27 June 2013, CRPD/C/CZE/1 Advance Unedited Version, Initial state party report, para. 160</w:t>
      </w:r>
    </w:p>
  </w:footnote>
  <w:footnote w:id="9">
    <w:p w14:paraId="7CAEF9A6" w14:textId="77777777" w:rsidR="00E6711B" w:rsidRPr="00E82549" w:rsidRDefault="00E6711B" w:rsidP="00E6711B">
      <w:pPr>
        <w:rPr>
          <w:rFonts w:asciiTheme="majorHAnsi" w:hAnsiTheme="majorHAnsi" w:cstheme="majorHAnsi"/>
          <w:sz w:val="20"/>
          <w:szCs w:val="20"/>
        </w:rPr>
      </w:pPr>
      <w:r w:rsidRPr="00E82549">
        <w:rPr>
          <w:rStyle w:val="FootnoteReference"/>
          <w:rFonts w:asciiTheme="majorHAnsi" w:hAnsiTheme="majorHAnsi" w:cstheme="majorHAnsi"/>
          <w:sz w:val="20"/>
          <w:szCs w:val="20"/>
        </w:rPr>
        <w:footnoteRef/>
      </w:r>
      <w:r w:rsidRPr="00E82549">
        <w:rPr>
          <w:rFonts w:asciiTheme="majorHAnsi" w:hAnsiTheme="majorHAnsi" w:cstheme="majorHAnsi"/>
          <w:sz w:val="20"/>
          <w:szCs w:val="20"/>
        </w:rPr>
        <w:t xml:space="preserve"> </w:t>
      </w:r>
      <w:r w:rsidRPr="00E82549">
        <w:rPr>
          <w:rFonts w:asciiTheme="majorHAnsi" w:hAnsiTheme="majorHAnsi" w:cstheme="majorHAnsi"/>
          <w:bCs/>
          <w:sz w:val="20"/>
          <w:szCs w:val="20"/>
          <w:shd w:val="clear" w:color="auto" w:fill="FFFFFF"/>
        </w:rPr>
        <w:t>Committee on the Rights of Persons with Disabilities considers initial report of the Czech Republic</w:t>
      </w:r>
      <w:r w:rsidRPr="00E82549">
        <w:rPr>
          <w:rFonts w:asciiTheme="majorHAnsi" w:hAnsiTheme="majorHAnsi" w:cstheme="majorHAnsi"/>
          <w:sz w:val="20"/>
          <w:szCs w:val="20"/>
        </w:rPr>
        <w:t xml:space="preserve">, </w:t>
      </w:r>
      <w:r w:rsidRPr="00E82549">
        <w:rPr>
          <w:rFonts w:asciiTheme="majorHAnsi" w:hAnsiTheme="majorHAnsi" w:cstheme="majorHAnsi"/>
          <w:sz w:val="20"/>
          <w:szCs w:val="20"/>
          <w:shd w:val="clear" w:color="auto" w:fill="FFFFFF"/>
        </w:rPr>
        <w:t xml:space="preserve">1 April 2015, </w:t>
      </w:r>
      <w:hyperlink r:id="rId1" w:anchor="sthash.eWBQhgFg.rVZNS3zG.dpuf" w:history="1">
        <w:r w:rsidRPr="00E82549">
          <w:rPr>
            <w:rStyle w:val="Hyperlink"/>
            <w:rFonts w:asciiTheme="majorHAnsi" w:hAnsiTheme="majorHAnsi" w:cstheme="majorHAnsi"/>
            <w:sz w:val="20"/>
            <w:szCs w:val="20"/>
            <w:shd w:val="clear" w:color="auto" w:fill="FFFFFF"/>
          </w:rPr>
          <w:t>www.ohchr.org/EN/NewsEvents/Pages/DisplayNews.aspx?NewsID=15788&amp;LangID=E#sthash.eWBQhgFg.rVZNS3zG.dpuf</w:t>
        </w:r>
      </w:hyperlink>
      <w:r w:rsidRPr="00E82549">
        <w:rPr>
          <w:rFonts w:asciiTheme="majorHAnsi" w:hAnsiTheme="majorHAnsi" w:cstheme="majorHAnsi"/>
          <w:sz w:val="20"/>
          <w:szCs w:val="20"/>
          <w:shd w:val="clear" w:color="auto" w:fill="FFFFFF"/>
        </w:rPr>
        <w:t>, accessed 29 April 2015</w:t>
      </w:r>
    </w:p>
    <w:p w14:paraId="5FAC62C5" w14:textId="77777777" w:rsidR="00E6711B" w:rsidRPr="00E82549" w:rsidRDefault="00E6711B" w:rsidP="00E6711B">
      <w:pPr>
        <w:pStyle w:val="FootnoteText"/>
        <w:rPr>
          <w:rFonts w:asciiTheme="majorHAnsi" w:hAnsiTheme="majorHAnsi" w:cstheme="majorHAnsi"/>
          <w:lang w:val="en-US"/>
        </w:rPr>
      </w:pPr>
      <w:r w:rsidRPr="00E82549">
        <w:rPr>
          <w:rFonts w:asciiTheme="majorHAnsi" w:hAnsiTheme="majorHAnsi" w:cstheme="majorHAnsi"/>
          <w:shd w:val="clear" w:color="auto" w:fill="FFFFFF"/>
        </w:rPr>
        <w:t xml:space="preserve"> http://www.ohchr.org/EN/NewsEvents/Pages/DisplayNews.aspx?NewsID=15788&amp;LangID=E#sthash.eWBQhgFg.dpuf</w:t>
      </w:r>
    </w:p>
  </w:footnote>
  <w:footnote w:id="10">
    <w:p w14:paraId="7355F701" w14:textId="77777777" w:rsidR="00E6711B" w:rsidRPr="00E82549" w:rsidRDefault="00E6711B" w:rsidP="00E6711B">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2015, Mid-term report of the Czech Republic on the implementation of the recommendations made during the second cycle of the Universal Periodic Review</w:t>
      </w:r>
    </w:p>
  </w:footnote>
  <w:footnote w:id="11">
    <w:p w14:paraId="60212CCF" w14:textId="77777777" w:rsidR="00D22275" w:rsidRPr="00E82549" w:rsidRDefault="00D22275" w:rsidP="00D22275">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Collective complaint No. 96/2013, </w:t>
      </w:r>
      <w:r w:rsidRPr="00E82549">
        <w:rPr>
          <w:rFonts w:asciiTheme="majorHAnsi" w:hAnsiTheme="majorHAnsi" w:cstheme="majorHAnsi"/>
          <w:i/>
        </w:rPr>
        <w:t>Association for the Protection of All Children (APPROACH) Ltd v Czech Republic</w:t>
      </w:r>
    </w:p>
  </w:footnote>
  <w:footnote w:id="12">
    <w:p w14:paraId="73C0D7F7" w14:textId="77777777" w:rsidR="00D22275" w:rsidRPr="00E82549" w:rsidRDefault="00D22275" w:rsidP="00D22275">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w:t>
      </w:r>
      <w:r w:rsidRPr="00E82549">
        <w:rPr>
          <w:rFonts w:asciiTheme="majorHAnsi" w:hAnsiTheme="majorHAnsi" w:cstheme="majorHAnsi"/>
          <w:lang w:val="en-US"/>
        </w:rPr>
        <w:t xml:space="preserve">Collective Complaint No. 96/2013, </w:t>
      </w:r>
      <w:r w:rsidRPr="00E82549">
        <w:rPr>
          <w:rFonts w:asciiTheme="majorHAnsi" w:hAnsiTheme="majorHAnsi" w:cstheme="majorHAnsi"/>
          <w:i/>
          <w:lang w:val="en-US"/>
        </w:rPr>
        <w:t>Association for the Protection of All Children (Approach) v Czech Republic</w:t>
      </w:r>
      <w:r w:rsidRPr="00E82549">
        <w:rPr>
          <w:rFonts w:asciiTheme="majorHAnsi" w:hAnsiTheme="majorHAnsi" w:cstheme="majorHAnsi"/>
          <w:lang w:val="en-US"/>
        </w:rPr>
        <w:t>, Decision on the Merits, Adoption 20 January 2015, Notification 28 January 2015, Publication 29 May 2015</w:t>
      </w:r>
    </w:p>
  </w:footnote>
  <w:footnote w:id="13">
    <w:p w14:paraId="0D25FC55" w14:textId="77777777" w:rsidR="008565C0" w:rsidRPr="00E82549" w:rsidRDefault="008565C0" w:rsidP="008565C0">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October 2017, Follow-up to the Complaint No. 96/2013 - Association for the Protection of all Children (APPROACH) Ltd v. Czech Republic</w:t>
      </w:r>
    </w:p>
  </w:footnote>
  <w:footnote w:id="14">
    <w:p w14:paraId="43F1E097"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29 November 2016, CAT/C/CZE/6, Sixth report, paras. 171-172</w:t>
      </w:r>
    </w:p>
  </w:footnote>
  <w:footnote w:id="15">
    <w:p w14:paraId="3141EB2E"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9 August 2017, A/HRC/WG.6/28/CZE/1, National report, para. 15</w:t>
      </w:r>
    </w:p>
  </w:footnote>
  <w:footnote w:id="16">
    <w:p w14:paraId="48E813E2"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1 March 2018, A/HRC/37/4/Add.1 Advance unedited version, Report of the working group: Addendum, para. 6</w:t>
      </w:r>
    </w:p>
  </w:footnote>
  <w:footnote w:id="17">
    <w:p w14:paraId="0A4FAC95"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March 2018, Statement of the Public Defender of Rights on the sixth periodic report of the Czech Republic on measures implemented in order to perform its obligations under the Convention against Torture and other Cruel, Inhuman or Degrading Treatment or Punishment for the period 2009–2015</w:t>
      </w:r>
    </w:p>
  </w:footnote>
  <w:footnote w:id="18">
    <w:p w14:paraId="2867F9CF"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w:t>
      </w:r>
      <w:r w:rsidRPr="00E82549">
        <w:rPr>
          <w:rFonts w:asciiTheme="majorHAnsi" w:hAnsiTheme="majorHAnsi" w:cstheme="majorHAnsi"/>
          <w:iCs/>
        </w:rPr>
        <w:t>27 October 1997, CRC/C/15/Add.81, Concluding observations on initial report, paras. 18 and 35</w:t>
      </w:r>
    </w:p>
  </w:footnote>
  <w:footnote w:id="19">
    <w:p w14:paraId="37E75025"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w:t>
      </w:r>
      <w:r w:rsidRPr="00E82549">
        <w:rPr>
          <w:rFonts w:asciiTheme="majorHAnsi" w:hAnsiTheme="majorHAnsi" w:cstheme="majorHAnsi"/>
          <w:iCs/>
        </w:rPr>
        <w:t xml:space="preserve">18 March 2003, CRC/C/15/Add.201, Concluding observations on second report, paras. 40 and 41; </w:t>
      </w:r>
      <w:r w:rsidRPr="00E82549">
        <w:rPr>
          <w:rFonts w:asciiTheme="majorHAnsi" w:hAnsiTheme="majorHAnsi" w:cstheme="majorHAnsi"/>
          <w:lang w:val="en-US"/>
        </w:rPr>
        <w:t>4 August 2011, CRC/C/CZE/CO/3-4, Concluding observations on third/fourth report, paras. 39, 40 and 41</w:t>
      </w:r>
    </w:p>
  </w:footnote>
  <w:footnote w:id="20">
    <w:p w14:paraId="06DDB268"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13 July 2012, CAT/C/CZE/CO/4-5, Concluding observations on fourth/fifth report, para. 22</w:t>
      </w:r>
    </w:p>
  </w:footnote>
  <w:footnote w:id="21">
    <w:p w14:paraId="065DD5F5"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[25 July 2013], CCPR/C/CZE/CO/3 Advance Unedited Version, Concluding observations on third report, para. 19</w:t>
      </w:r>
    </w:p>
  </w:footnote>
  <w:footnote w:id="22">
    <w:p w14:paraId="58E5C014"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July 2005, Conclusions XVII-2; January 2012, Conclusions 2011; January 2016, Conclusions 2015</w:t>
      </w:r>
    </w:p>
  </w:footnote>
  <w:footnote w:id="23">
    <w:p w14:paraId="68C33CDF" w14:textId="5D894D4B" w:rsidR="008565C0" w:rsidRPr="00E82549" w:rsidRDefault="008565C0" w:rsidP="008565C0">
      <w:pPr>
        <w:pStyle w:val="FootnoteText"/>
        <w:rPr>
          <w:rFonts w:asciiTheme="majorHAnsi" w:hAnsiTheme="majorHAnsi" w:cstheme="majorHAnsi"/>
          <w:lang w:val="en-US"/>
        </w:rPr>
      </w:pPr>
      <w:r w:rsidRPr="00E82549">
        <w:rPr>
          <w:rStyle w:val="FootnoteReference"/>
          <w:rFonts w:asciiTheme="majorHAnsi" w:hAnsiTheme="majorHAnsi" w:cstheme="majorHAnsi"/>
        </w:rPr>
        <w:footnoteRef/>
      </w:r>
      <w:r w:rsidRPr="00E82549">
        <w:rPr>
          <w:rFonts w:asciiTheme="majorHAnsi" w:hAnsiTheme="majorHAnsi" w:cstheme="majorHAnsi"/>
        </w:rPr>
        <w:t xml:space="preserve"> Collective complaint No. 96/2013, </w:t>
      </w:r>
      <w:r w:rsidRPr="00E82549">
        <w:rPr>
          <w:rFonts w:asciiTheme="majorHAnsi" w:hAnsiTheme="majorHAnsi" w:cstheme="majorHAnsi"/>
          <w:i/>
        </w:rPr>
        <w:t>Association for the Protection of All Children (APPROACH) Ltd v Czech Republic</w:t>
      </w:r>
      <w:r w:rsidRPr="00E82549">
        <w:rPr>
          <w:rFonts w:asciiTheme="majorHAnsi" w:hAnsiTheme="majorHAnsi" w:cstheme="majorHAnsi"/>
          <w:lang w:val="en-US"/>
        </w:rPr>
        <w:t xml:space="preserve"> ; Collective Complaint No. 96/2013, </w:t>
      </w:r>
      <w:r w:rsidRPr="00E82549">
        <w:rPr>
          <w:rFonts w:asciiTheme="majorHAnsi" w:hAnsiTheme="majorHAnsi" w:cstheme="majorHAnsi"/>
          <w:i/>
          <w:lang w:val="en-US"/>
        </w:rPr>
        <w:t>Association for the Protection of All Children (Approach) v Czech Republic</w:t>
      </w:r>
      <w:r w:rsidRPr="00E82549">
        <w:rPr>
          <w:rFonts w:asciiTheme="majorHAnsi" w:hAnsiTheme="majorHAnsi" w:cstheme="majorHAnsi"/>
          <w:lang w:val="en-US"/>
        </w:rPr>
        <w:t>, Decision on the Merits, Adoption 20 January 2015, Notification 28 January 2015, Publication 29 May 2015</w:t>
      </w:r>
    </w:p>
  </w:footnote>
  <w:footnote w:id="24">
    <w:p w14:paraId="0263AB71" w14:textId="77777777" w:rsidR="006644C5" w:rsidRPr="00E82549" w:rsidRDefault="006644C5" w:rsidP="006644C5">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October 2017, Follow-up to the Complaint No. 96/2013 - Association for the Protection of all Children (APPROACH) Ltd v. Czech Republic</w:t>
      </w:r>
    </w:p>
  </w:footnote>
  <w:footnote w:id="25">
    <w:p w14:paraId="79A872D6"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26 December 2012, A/HRC/22/3, Report of the working group, paras. 94(89) and 94(90)</w:t>
      </w:r>
    </w:p>
  </w:footnote>
  <w:footnote w:id="26">
    <w:p w14:paraId="4E4A8024"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1 March 2013, A/HRC/22/3/Add.1, Report of the working group: Addendum, para. 4</w:t>
      </w:r>
    </w:p>
  </w:footnote>
  <w:footnote w:id="27">
    <w:p w14:paraId="1B22C8F6" w14:textId="77777777" w:rsidR="00E6711B" w:rsidRPr="00E82549" w:rsidRDefault="00E6711B" w:rsidP="00E6711B">
      <w:pPr>
        <w:pStyle w:val="FootnoteText"/>
        <w:rPr>
          <w:rFonts w:asciiTheme="majorHAnsi" w:hAnsiTheme="majorHAnsi" w:cstheme="majorHAnsi"/>
        </w:rPr>
      </w:pPr>
      <w:r w:rsidRPr="00E82549">
        <w:rPr>
          <w:rStyle w:val="FootnoteReference"/>
          <w:rFonts w:asciiTheme="majorHAnsi" w:hAnsiTheme="majorHAnsi" w:cstheme="majorHAnsi"/>
        </w:rPr>
        <w:footnoteRef/>
      </w:r>
      <w:r w:rsidRPr="00E82549">
        <w:rPr>
          <w:rFonts w:asciiTheme="majorHAnsi" w:hAnsiTheme="majorHAnsi" w:cstheme="majorHAnsi"/>
        </w:rPr>
        <w:t xml:space="preserve"> 1 March 2018, A/HRC/37/4/Add.1 Advance unedited version, Report of the working group: Addendum, para. 6 and section 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C4EBD"/>
    <w:rsid w:val="000D7F80"/>
    <w:rsid w:val="000E558E"/>
    <w:rsid w:val="00106569"/>
    <w:rsid w:val="0014131F"/>
    <w:rsid w:val="00142366"/>
    <w:rsid w:val="00142C1B"/>
    <w:rsid w:val="00143759"/>
    <w:rsid w:val="00147F85"/>
    <w:rsid w:val="00150855"/>
    <w:rsid w:val="00162F5A"/>
    <w:rsid w:val="00181FAC"/>
    <w:rsid w:val="001847FF"/>
    <w:rsid w:val="00186788"/>
    <w:rsid w:val="001919DD"/>
    <w:rsid w:val="001C55D9"/>
    <w:rsid w:val="001D1655"/>
    <w:rsid w:val="001D56D4"/>
    <w:rsid w:val="001E140B"/>
    <w:rsid w:val="001E1F2A"/>
    <w:rsid w:val="001E2769"/>
    <w:rsid w:val="001E380B"/>
    <w:rsid w:val="001F0335"/>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91C4B"/>
    <w:rsid w:val="002A01E3"/>
    <w:rsid w:val="002A06FC"/>
    <w:rsid w:val="002A0EFD"/>
    <w:rsid w:val="002A3229"/>
    <w:rsid w:val="002A7206"/>
    <w:rsid w:val="002D6FD4"/>
    <w:rsid w:val="002E09C9"/>
    <w:rsid w:val="002E4E5B"/>
    <w:rsid w:val="002E61CE"/>
    <w:rsid w:val="00306C1D"/>
    <w:rsid w:val="00307A90"/>
    <w:rsid w:val="00315F04"/>
    <w:rsid w:val="00316151"/>
    <w:rsid w:val="003161D2"/>
    <w:rsid w:val="00316918"/>
    <w:rsid w:val="00322E14"/>
    <w:rsid w:val="00327C1C"/>
    <w:rsid w:val="00333E06"/>
    <w:rsid w:val="00350AB7"/>
    <w:rsid w:val="00353CF1"/>
    <w:rsid w:val="00353EF8"/>
    <w:rsid w:val="00361051"/>
    <w:rsid w:val="003615D5"/>
    <w:rsid w:val="0036194C"/>
    <w:rsid w:val="003653BB"/>
    <w:rsid w:val="00365B72"/>
    <w:rsid w:val="00373271"/>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197"/>
    <w:rsid w:val="00460F41"/>
    <w:rsid w:val="00463C10"/>
    <w:rsid w:val="00466A97"/>
    <w:rsid w:val="004737EE"/>
    <w:rsid w:val="0048230E"/>
    <w:rsid w:val="00482BF9"/>
    <w:rsid w:val="00490379"/>
    <w:rsid w:val="004A1897"/>
    <w:rsid w:val="004B3464"/>
    <w:rsid w:val="004B5EB3"/>
    <w:rsid w:val="004C3E11"/>
    <w:rsid w:val="004D0FF8"/>
    <w:rsid w:val="004D3159"/>
    <w:rsid w:val="004D4BCC"/>
    <w:rsid w:val="004D68EA"/>
    <w:rsid w:val="004D6E6F"/>
    <w:rsid w:val="004D7A67"/>
    <w:rsid w:val="004E431B"/>
    <w:rsid w:val="004E691B"/>
    <w:rsid w:val="004F1D03"/>
    <w:rsid w:val="004F1D22"/>
    <w:rsid w:val="004F5801"/>
    <w:rsid w:val="004F70CD"/>
    <w:rsid w:val="004F7D9E"/>
    <w:rsid w:val="005006B7"/>
    <w:rsid w:val="00514929"/>
    <w:rsid w:val="00520D79"/>
    <w:rsid w:val="005223A5"/>
    <w:rsid w:val="00535831"/>
    <w:rsid w:val="00543B9A"/>
    <w:rsid w:val="0055414A"/>
    <w:rsid w:val="00581B3E"/>
    <w:rsid w:val="00581D48"/>
    <w:rsid w:val="0059593D"/>
    <w:rsid w:val="00597780"/>
    <w:rsid w:val="005A212D"/>
    <w:rsid w:val="005A66D2"/>
    <w:rsid w:val="005A7272"/>
    <w:rsid w:val="005B31F1"/>
    <w:rsid w:val="005B5315"/>
    <w:rsid w:val="005C28E4"/>
    <w:rsid w:val="005C2EDC"/>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36AA7"/>
    <w:rsid w:val="006460B8"/>
    <w:rsid w:val="00655F1A"/>
    <w:rsid w:val="006644C5"/>
    <w:rsid w:val="00681915"/>
    <w:rsid w:val="00683188"/>
    <w:rsid w:val="00683622"/>
    <w:rsid w:val="006969BA"/>
    <w:rsid w:val="00697EC0"/>
    <w:rsid w:val="006A33B2"/>
    <w:rsid w:val="006B237E"/>
    <w:rsid w:val="006B418B"/>
    <w:rsid w:val="006B76CE"/>
    <w:rsid w:val="006C5E89"/>
    <w:rsid w:val="006C5ECF"/>
    <w:rsid w:val="006C6EBB"/>
    <w:rsid w:val="006E3A2C"/>
    <w:rsid w:val="0070646C"/>
    <w:rsid w:val="007109A9"/>
    <w:rsid w:val="00716B5D"/>
    <w:rsid w:val="0072294E"/>
    <w:rsid w:val="00731AC1"/>
    <w:rsid w:val="00734138"/>
    <w:rsid w:val="00751244"/>
    <w:rsid w:val="007604D4"/>
    <w:rsid w:val="00765EBD"/>
    <w:rsid w:val="00766D98"/>
    <w:rsid w:val="00767639"/>
    <w:rsid w:val="00785749"/>
    <w:rsid w:val="00790028"/>
    <w:rsid w:val="007915BB"/>
    <w:rsid w:val="00797BE0"/>
    <w:rsid w:val="00797CC8"/>
    <w:rsid w:val="007A21C3"/>
    <w:rsid w:val="007A36F3"/>
    <w:rsid w:val="007B15F5"/>
    <w:rsid w:val="007B2F3A"/>
    <w:rsid w:val="007B398A"/>
    <w:rsid w:val="007B4603"/>
    <w:rsid w:val="007B540F"/>
    <w:rsid w:val="007C22B7"/>
    <w:rsid w:val="007C397C"/>
    <w:rsid w:val="007D2F31"/>
    <w:rsid w:val="007F25EE"/>
    <w:rsid w:val="007F5F26"/>
    <w:rsid w:val="007F709A"/>
    <w:rsid w:val="007F7529"/>
    <w:rsid w:val="007F791E"/>
    <w:rsid w:val="0082206B"/>
    <w:rsid w:val="00825FA5"/>
    <w:rsid w:val="00826CD2"/>
    <w:rsid w:val="008331E5"/>
    <w:rsid w:val="00833827"/>
    <w:rsid w:val="0084473A"/>
    <w:rsid w:val="00844B60"/>
    <w:rsid w:val="00847A77"/>
    <w:rsid w:val="008565C0"/>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09C8"/>
    <w:rsid w:val="00902C77"/>
    <w:rsid w:val="00911447"/>
    <w:rsid w:val="0091549C"/>
    <w:rsid w:val="00921E92"/>
    <w:rsid w:val="00923377"/>
    <w:rsid w:val="009242B2"/>
    <w:rsid w:val="0093241B"/>
    <w:rsid w:val="00934BE6"/>
    <w:rsid w:val="00937F66"/>
    <w:rsid w:val="0094061F"/>
    <w:rsid w:val="00955525"/>
    <w:rsid w:val="00963DD6"/>
    <w:rsid w:val="0098296F"/>
    <w:rsid w:val="00986253"/>
    <w:rsid w:val="00990A46"/>
    <w:rsid w:val="00994D13"/>
    <w:rsid w:val="009A2C6E"/>
    <w:rsid w:val="009A2D05"/>
    <w:rsid w:val="009A464A"/>
    <w:rsid w:val="009A6507"/>
    <w:rsid w:val="009C24BF"/>
    <w:rsid w:val="009C25E9"/>
    <w:rsid w:val="009C2AD6"/>
    <w:rsid w:val="009C5F51"/>
    <w:rsid w:val="009C687E"/>
    <w:rsid w:val="009D0985"/>
    <w:rsid w:val="009D6E71"/>
    <w:rsid w:val="009E0C08"/>
    <w:rsid w:val="009E2C0A"/>
    <w:rsid w:val="009E395D"/>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82E46"/>
    <w:rsid w:val="00A938DF"/>
    <w:rsid w:val="00AA6CB9"/>
    <w:rsid w:val="00AA6FA5"/>
    <w:rsid w:val="00AB131E"/>
    <w:rsid w:val="00AB1753"/>
    <w:rsid w:val="00AC46B1"/>
    <w:rsid w:val="00AD2590"/>
    <w:rsid w:val="00AE1A74"/>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5D35"/>
    <w:rsid w:val="00BC68F4"/>
    <w:rsid w:val="00BC6C90"/>
    <w:rsid w:val="00BD259A"/>
    <w:rsid w:val="00BE37BF"/>
    <w:rsid w:val="00BE46D6"/>
    <w:rsid w:val="00BF1402"/>
    <w:rsid w:val="00C004A4"/>
    <w:rsid w:val="00C17385"/>
    <w:rsid w:val="00C237B1"/>
    <w:rsid w:val="00C252DE"/>
    <w:rsid w:val="00C278E1"/>
    <w:rsid w:val="00C37622"/>
    <w:rsid w:val="00C47C88"/>
    <w:rsid w:val="00C513B1"/>
    <w:rsid w:val="00C518E3"/>
    <w:rsid w:val="00C575FA"/>
    <w:rsid w:val="00C63547"/>
    <w:rsid w:val="00C64EA1"/>
    <w:rsid w:val="00C82792"/>
    <w:rsid w:val="00C91BB2"/>
    <w:rsid w:val="00C96E68"/>
    <w:rsid w:val="00C973D3"/>
    <w:rsid w:val="00C97A90"/>
    <w:rsid w:val="00C97C42"/>
    <w:rsid w:val="00CC09E1"/>
    <w:rsid w:val="00CD12D5"/>
    <w:rsid w:val="00CD349E"/>
    <w:rsid w:val="00CE015B"/>
    <w:rsid w:val="00CF1D97"/>
    <w:rsid w:val="00CF2FBD"/>
    <w:rsid w:val="00CF3C9D"/>
    <w:rsid w:val="00CF6F86"/>
    <w:rsid w:val="00D04D81"/>
    <w:rsid w:val="00D14AE4"/>
    <w:rsid w:val="00D22275"/>
    <w:rsid w:val="00D25FCE"/>
    <w:rsid w:val="00D36C44"/>
    <w:rsid w:val="00D46AF1"/>
    <w:rsid w:val="00D5594E"/>
    <w:rsid w:val="00D63AA6"/>
    <w:rsid w:val="00D64999"/>
    <w:rsid w:val="00D67B66"/>
    <w:rsid w:val="00D90209"/>
    <w:rsid w:val="00DA17C8"/>
    <w:rsid w:val="00DB359A"/>
    <w:rsid w:val="00DC20AE"/>
    <w:rsid w:val="00DC4309"/>
    <w:rsid w:val="00DE4FD8"/>
    <w:rsid w:val="00DF2A6A"/>
    <w:rsid w:val="00DF6FBF"/>
    <w:rsid w:val="00DF749A"/>
    <w:rsid w:val="00E120C8"/>
    <w:rsid w:val="00E206B3"/>
    <w:rsid w:val="00E218F1"/>
    <w:rsid w:val="00E2216C"/>
    <w:rsid w:val="00E262BB"/>
    <w:rsid w:val="00E33299"/>
    <w:rsid w:val="00E348D1"/>
    <w:rsid w:val="00E37399"/>
    <w:rsid w:val="00E408E2"/>
    <w:rsid w:val="00E439B3"/>
    <w:rsid w:val="00E4774B"/>
    <w:rsid w:val="00E511FD"/>
    <w:rsid w:val="00E6711B"/>
    <w:rsid w:val="00E745E0"/>
    <w:rsid w:val="00E74E94"/>
    <w:rsid w:val="00E819CB"/>
    <w:rsid w:val="00E82549"/>
    <w:rsid w:val="00E90F1D"/>
    <w:rsid w:val="00E91687"/>
    <w:rsid w:val="00E97452"/>
    <w:rsid w:val="00EA3676"/>
    <w:rsid w:val="00EB16D4"/>
    <w:rsid w:val="00EC3476"/>
    <w:rsid w:val="00ED3374"/>
    <w:rsid w:val="00EE5770"/>
    <w:rsid w:val="00EF577B"/>
    <w:rsid w:val="00EF6D99"/>
    <w:rsid w:val="00F00EFD"/>
    <w:rsid w:val="00F03CDA"/>
    <w:rsid w:val="00F238AE"/>
    <w:rsid w:val="00F27919"/>
    <w:rsid w:val="00F325F7"/>
    <w:rsid w:val="00F401E2"/>
    <w:rsid w:val="00F41F16"/>
    <w:rsid w:val="00F51705"/>
    <w:rsid w:val="00F63112"/>
    <w:rsid w:val="00F7085F"/>
    <w:rsid w:val="00F70EFA"/>
    <w:rsid w:val="00F72865"/>
    <w:rsid w:val="00F8476D"/>
    <w:rsid w:val="00F85174"/>
    <w:rsid w:val="00F90AAF"/>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890994">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384305554">
      <w:bodyDiv w:val="1"/>
      <w:marLeft w:val="0"/>
      <w:marRight w:val="0"/>
      <w:marTop w:val="0"/>
      <w:marBottom w:val="0"/>
      <w:divBdr>
        <w:top w:val="none" w:sz="0" w:space="0" w:color="auto"/>
        <w:left w:val="none" w:sz="0" w:space="0" w:color="auto"/>
        <w:bottom w:val="none" w:sz="0" w:space="0" w:color="auto"/>
        <w:right w:val="none" w:sz="0" w:space="0" w:color="auto"/>
      </w:divBdr>
    </w:div>
    <w:div w:id="440688337">
      <w:bodyDiv w:val="1"/>
      <w:marLeft w:val="0"/>
      <w:marRight w:val="0"/>
      <w:marTop w:val="0"/>
      <w:marBottom w:val="0"/>
      <w:divBdr>
        <w:top w:val="none" w:sz="0" w:space="0" w:color="auto"/>
        <w:left w:val="none" w:sz="0" w:space="0" w:color="auto"/>
        <w:bottom w:val="none" w:sz="0" w:space="0" w:color="auto"/>
        <w:right w:val="none" w:sz="0" w:space="0" w:color="auto"/>
      </w:divBdr>
    </w:div>
    <w:div w:id="510536787">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60577262">
      <w:bodyDiv w:val="1"/>
      <w:marLeft w:val="0"/>
      <w:marRight w:val="0"/>
      <w:marTop w:val="0"/>
      <w:marBottom w:val="0"/>
      <w:divBdr>
        <w:top w:val="none" w:sz="0" w:space="0" w:color="auto"/>
        <w:left w:val="none" w:sz="0" w:space="0" w:color="auto"/>
        <w:bottom w:val="none" w:sz="0" w:space="0" w:color="auto"/>
        <w:right w:val="none" w:sz="0" w:space="0" w:color="auto"/>
      </w:divBdr>
    </w:div>
    <w:div w:id="1043019009">
      <w:bodyDiv w:val="1"/>
      <w:marLeft w:val="0"/>
      <w:marRight w:val="0"/>
      <w:marTop w:val="0"/>
      <w:marBottom w:val="0"/>
      <w:divBdr>
        <w:top w:val="none" w:sz="0" w:space="0" w:color="auto"/>
        <w:left w:val="none" w:sz="0" w:space="0" w:color="auto"/>
        <w:bottom w:val="none" w:sz="0" w:space="0" w:color="auto"/>
        <w:right w:val="none" w:sz="0" w:space="0" w:color="auto"/>
      </w:divBdr>
    </w:div>
    <w:div w:id="1053579657">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579556440">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01039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578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7A0041C-42BC-4774-974F-43565B813CD4}"/>
</file>

<file path=customXml/itemProps2.xml><?xml version="1.0" encoding="utf-8"?>
<ds:datastoreItem xmlns:ds="http://schemas.openxmlformats.org/officeDocument/2006/customXml" ds:itemID="{57A574D5-768C-42B9-B145-84C143D00D3D}"/>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913105CD-66E4-4B54-9472-481F403A76DA}"/>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1</TotalTime>
  <Pages>6</Pages>
  <Words>2298</Words>
  <Characters>13100</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15368</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2019-02-11T13:32:00Z</dcterms:created>
  <dcterms:modified xsi:type="dcterms:W3CDTF">2019-02-11T13:32:00Z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