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106" w:rsidRDefault="00763E11" w:rsidP="00732334">
      <w:pPr>
        <w:bidi w:val="0"/>
        <w:spacing w:line="276" w:lineRule="auto"/>
        <w:rPr>
          <w:b/>
          <w:color w:val="223983"/>
          <w:sz w:val="32"/>
          <w:szCs w:val="32"/>
        </w:rPr>
      </w:pPr>
      <w:r>
        <w:t>Sep 11, 2023</w:t>
      </w:r>
    </w:p>
    <w:p w:rsidR="00A45106" w:rsidRDefault="00763E11" w:rsidP="0097463B">
      <w:pPr>
        <w:bidi w:val="0"/>
        <w:spacing w:line="240" w:lineRule="auto"/>
        <w:jc w:val="center"/>
        <w:rPr>
          <w:rFonts w:ascii="Vollkorn" w:eastAsia="Vollkorn" w:hAnsi="Vollkorn" w:cs="Vollkorn"/>
          <w:b/>
          <w:color w:val="223983"/>
          <w:sz w:val="32"/>
          <w:szCs w:val="32"/>
        </w:rPr>
      </w:pPr>
      <w:r>
        <w:rPr>
          <w:rFonts w:ascii="Vollkorn" w:eastAsia="Vollkorn" w:hAnsi="Vollkorn" w:cs="Vollkorn"/>
          <w:b/>
          <w:color w:val="223983"/>
          <w:sz w:val="32"/>
          <w:szCs w:val="32"/>
        </w:rPr>
        <w:t xml:space="preserve">Submission of NGO Monitor to the 88th Pre-Sessional Working Group of the Convention of the Elimination of All Forms of Discrimination </w:t>
      </w:r>
      <w:proofErr w:type="gramStart"/>
      <w:r>
        <w:rPr>
          <w:rFonts w:ascii="Vollkorn" w:eastAsia="Vollkorn" w:hAnsi="Vollkorn" w:cs="Vollkorn"/>
          <w:b/>
          <w:color w:val="223983"/>
          <w:sz w:val="32"/>
          <w:szCs w:val="32"/>
        </w:rPr>
        <w:t>Against</w:t>
      </w:r>
      <w:proofErr w:type="gramEnd"/>
      <w:r>
        <w:rPr>
          <w:rFonts w:ascii="Vollkorn" w:eastAsia="Vollkorn" w:hAnsi="Vollkorn" w:cs="Vollkorn"/>
          <w:b/>
          <w:color w:val="223983"/>
          <w:sz w:val="32"/>
          <w:szCs w:val="32"/>
        </w:rPr>
        <w:t xml:space="preserve"> Women (CEDAW) for the Adoption of the L</w:t>
      </w:r>
      <w:bookmarkStart w:id="0" w:name="_GoBack"/>
      <w:bookmarkEnd w:id="0"/>
      <w:r>
        <w:rPr>
          <w:rFonts w:ascii="Vollkorn" w:eastAsia="Vollkorn" w:hAnsi="Vollkorn" w:cs="Vollkorn"/>
          <w:b/>
          <w:color w:val="223983"/>
          <w:sz w:val="32"/>
          <w:szCs w:val="32"/>
        </w:rPr>
        <w:t>ist of Issues on Israel</w:t>
      </w:r>
    </w:p>
    <w:p w:rsidR="00A45106" w:rsidRDefault="00763E11" w:rsidP="00732334">
      <w:pPr>
        <w:bidi w:val="0"/>
        <w:spacing w:line="276" w:lineRule="auto"/>
      </w:pPr>
      <w:proofErr w:type="gramStart"/>
      <w:r>
        <w:t>NGO Monitor, a project of the Institute for NGO Research,</w:t>
      </w:r>
      <w:r>
        <w:rPr>
          <w:vertAlign w:val="superscript"/>
        </w:rPr>
        <w:footnoteReference w:id="1"/>
      </w:r>
      <w:r>
        <w:t xml:space="preserve"> an organization in Special Consultative Status with UN ECOSOC since 2013, respectfully submits the following information to the 88th Pre-Sessional Working Group in advance of the consideration of t</w:t>
      </w:r>
      <w:r>
        <w:t>he List of Issues for Israel and its compliance with the Convention on the Elimination of All Forms of Discrimination against Women (CEDAW).</w:t>
      </w:r>
      <w:proofErr w:type="gramEnd"/>
      <w:r>
        <w:t xml:space="preserve"> We hope that this submission will aid the Committee in its review and in the preparation of its List of Issues.</w:t>
      </w:r>
    </w:p>
    <w:p w:rsidR="00A45106" w:rsidRDefault="00763E11" w:rsidP="00732334">
      <w:pPr>
        <w:bidi w:val="0"/>
        <w:spacing w:line="276" w:lineRule="auto"/>
        <w:rPr>
          <w:b/>
          <w:sz w:val="26"/>
          <w:szCs w:val="26"/>
        </w:rPr>
      </w:pPr>
      <w:r>
        <w:rPr>
          <w:b/>
          <w:sz w:val="26"/>
          <w:szCs w:val="26"/>
        </w:rPr>
        <w:t>Int</w:t>
      </w:r>
      <w:r>
        <w:rPr>
          <w:b/>
          <w:sz w:val="26"/>
          <w:szCs w:val="26"/>
        </w:rPr>
        <w:t>roduction</w:t>
      </w:r>
    </w:p>
    <w:p w:rsidR="00A45106" w:rsidRDefault="00763E11" w:rsidP="00732334">
      <w:pPr>
        <w:bidi w:val="0"/>
        <w:spacing w:line="276" w:lineRule="auto"/>
      </w:pPr>
      <w:r>
        <w:t xml:space="preserve">Israel is a vibrant parliamentary democracy facing many internal challenges, having to defend its citizens against armed attacks from Hamas-controlled Gaza, the West Bank, and Hezbollah-controlled Southern Lebanon, while simultaneously upholding </w:t>
      </w:r>
      <w:r>
        <w:t>its obligations under human rights law.</w:t>
      </w:r>
    </w:p>
    <w:p w:rsidR="00A45106" w:rsidRDefault="00763E11" w:rsidP="00732334">
      <w:pPr>
        <w:bidi w:val="0"/>
        <w:spacing w:line="276" w:lineRule="auto"/>
      </w:pPr>
      <w:proofErr w:type="gramStart"/>
      <w:r>
        <w:t xml:space="preserve">According to the Convention on the Elimination of all forms of Discrimination Against Women (“CEDAW”), Israel is required to “condemn discrimination against women in all its forms, agree to pursue by all appropriate </w:t>
      </w:r>
      <w:r>
        <w:t>means and without delay a policy of eliminating discrimination against women” (Art. 2); “ensure the full development and advancement of women , for the purpose of guaranteeing them the exercise and enjoyment of human rights and fundamental freedoms on a ba</w:t>
      </w:r>
      <w:r>
        <w:t xml:space="preserve">sis of equality with men” (Art. 3); “suppress all forms of traffic in women and exploitation of prostitution of women” (Art. 6); and “take all </w:t>
      </w:r>
      <w:r>
        <w:lastRenderedPageBreak/>
        <w:t>appropriate measures to eliminate discrimination against women in the political and public life of the country” (</w:t>
      </w:r>
      <w:r>
        <w:t>Art. 7)</w:t>
      </w:r>
      <w:proofErr w:type="gramEnd"/>
    </w:p>
    <w:p w:rsidR="00A45106" w:rsidRDefault="00763E11" w:rsidP="00732334">
      <w:pPr>
        <w:bidi w:val="0"/>
        <w:spacing w:line="276" w:lineRule="auto"/>
        <w:rPr>
          <w:b/>
        </w:rPr>
      </w:pPr>
      <w:r>
        <w:t>Israel is a country filled with diverse citizens from a variety of religious, cultural, and economic backgrounds. Israel’s population of 9.5 million spans Jewish ultra-orthodox to secular to Bedouin and Muslim. The need to respect this diversity, p</w:t>
      </w:r>
      <w:r>
        <w:t xml:space="preserve">lus the challenging security environment, can come at the expense of women’s rights and lead to many negative impacts on women and girls. </w:t>
      </w:r>
    </w:p>
    <w:p w:rsidR="00A45106" w:rsidRDefault="00763E11" w:rsidP="00732334">
      <w:pPr>
        <w:bidi w:val="0"/>
        <w:spacing w:line="276" w:lineRule="auto"/>
        <w:rPr>
          <w:b/>
        </w:rPr>
      </w:pPr>
      <w:r>
        <w:rPr>
          <w:b/>
        </w:rPr>
        <w:t>NGO Monitor therefore asks the Committee to include the following in its List of Issues to Israel:</w:t>
      </w:r>
    </w:p>
    <w:p w:rsidR="00A45106" w:rsidRDefault="00763E11" w:rsidP="00732334">
      <w:pPr>
        <w:numPr>
          <w:ilvl w:val="0"/>
          <w:numId w:val="1"/>
        </w:numPr>
        <w:bidi w:val="0"/>
        <w:spacing w:after="0" w:line="276" w:lineRule="auto"/>
      </w:pPr>
      <w:r>
        <w:t xml:space="preserve">What steps </w:t>
      </w:r>
      <w:proofErr w:type="gramStart"/>
      <w:r>
        <w:t>have be</w:t>
      </w:r>
      <w:r>
        <w:t>en taken</w:t>
      </w:r>
      <w:proofErr w:type="gramEnd"/>
      <w:r>
        <w:t xml:space="preserve"> to guarantee the principle of equality between men and women in the absence of an explicit constitutional right to equality?</w:t>
      </w:r>
    </w:p>
    <w:p w:rsidR="00A45106" w:rsidRDefault="00763E11" w:rsidP="00732334">
      <w:pPr>
        <w:numPr>
          <w:ilvl w:val="0"/>
          <w:numId w:val="1"/>
        </w:numPr>
        <w:bidi w:val="0"/>
        <w:spacing w:after="0" w:line="276" w:lineRule="auto"/>
      </w:pPr>
      <w:r>
        <w:t xml:space="preserve">What factors affect employment of women and what steps </w:t>
      </w:r>
      <w:proofErr w:type="gramStart"/>
      <w:r>
        <w:t>are being taken</w:t>
      </w:r>
      <w:proofErr w:type="gramEnd"/>
      <w:r>
        <w:t xml:space="preserve"> to combat discrimination?</w:t>
      </w:r>
    </w:p>
    <w:p w:rsidR="00A45106" w:rsidRDefault="00763E11" w:rsidP="00732334">
      <w:pPr>
        <w:numPr>
          <w:ilvl w:val="0"/>
          <w:numId w:val="1"/>
        </w:numPr>
        <w:bidi w:val="0"/>
        <w:spacing w:after="0" w:line="276" w:lineRule="auto"/>
      </w:pPr>
      <w:r>
        <w:t>What special measures are</w:t>
      </w:r>
      <w:r>
        <w:t xml:space="preserve"> in place by political parties to end discrimination directed towards women? What are current initiatives to ensure gender parity in political parties? What steps is the State taking in order to reduce the gaps and remove obstacles in the context of guaran</w:t>
      </w:r>
      <w:r>
        <w:t xml:space="preserve">teeing the representation of women at both the parliamentary level and the local governance </w:t>
      </w:r>
      <w:proofErr w:type="gramStart"/>
      <w:r>
        <w:t>level?</w:t>
      </w:r>
      <w:proofErr w:type="gramEnd"/>
    </w:p>
    <w:p w:rsidR="00A45106" w:rsidRDefault="00763E11" w:rsidP="00732334">
      <w:pPr>
        <w:numPr>
          <w:ilvl w:val="0"/>
          <w:numId w:val="1"/>
        </w:numPr>
        <w:bidi w:val="0"/>
        <w:spacing w:after="0" w:line="276" w:lineRule="auto"/>
      </w:pPr>
      <w:r>
        <w:t xml:space="preserve">What steps </w:t>
      </w:r>
      <w:proofErr w:type="gramStart"/>
      <w:r>
        <w:t>are being taken</w:t>
      </w:r>
      <w:proofErr w:type="gramEnd"/>
      <w:r>
        <w:t xml:space="preserve"> to balance religious freedom with the rights of women and girls? What recourse do women and girls have when faced with religious d</w:t>
      </w:r>
      <w:r>
        <w:t>iscrimination?</w:t>
      </w:r>
    </w:p>
    <w:p w:rsidR="00A45106" w:rsidRDefault="00763E11" w:rsidP="00732334">
      <w:pPr>
        <w:numPr>
          <w:ilvl w:val="0"/>
          <w:numId w:val="1"/>
        </w:numPr>
        <w:bidi w:val="0"/>
        <w:spacing w:after="0" w:line="276" w:lineRule="auto"/>
      </w:pPr>
      <w:r>
        <w:t xml:space="preserve">What efforts </w:t>
      </w:r>
      <w:proofErr w:type="gramStart"/>
      <w:r>
        <w:t>are being taken</w:t>
      </w:r>
      <w:proofErr w:type="gramEnd"/>
      <w:r>
        <w:t xml:space="preserve"> to train judges on domestic violence against women?</w:t>
      </w:r>
    </w:p>
    <w:p w:rsidR="00A45106" w:rsidRDefault="00763E11" w:rsidP="00732334">
      <w:pPr>
        <w:numPr>
          <w:ilvl w:val="0"/>
          <w:numId w:val="1"/>
        </w:numPr>
        <w:bidi w:val="0"/>
        <w:spacing w:after="0" w:line="276" w:lineRule="auto"/>
      </w:pPr>
      <w:r>
        <w:t>What procedures are in play to combat sexual exploitation and trafficking and to protect victims?</w:t>
      </w:r>
    </w:p>
    <w:p w:rsidR="00A45106" w:rsidRDefault="00763E11" w:rsidP="00732334">
      <w:pPr>
        <w:numPr>
          <w:ilvl w:val="0"/>
          <w:numId w:val="1"/>
        </w:numPr>
        <w:bidi w:val="0"/>
        <w:spacing w:after="0" w:line="276" w:lineRule="auto"/>
      </w:pPr>
      <w:r>
        <w:t xml:space="preserve">What resources </w:t>
      </w:r>
      <w:proofErr w:type="gramStart"/>
      <w:r>
        <w:t>will be allocated</w:t>
      </w:r>
      <w:proofErr w:type="gramEnd"/>
      <w:r>
        <w:t xml:space="preserve"> to narrow the gaps of gender </w:t>
      </w:r>
      <w:r>
        <w:t>inequality?</w:t>
      </w:r>
    </w:p>
    <w:p w:rsidR="00A45106" w:rsidRDefault="00763E11" w:rsidP="00732334">
      <w:pPr>
        <w:numPr>
          <w:ilvl w:val="0"/>
          <w:numId w:val="1"/>
        </w:numPr>
        <w:bidi w:val="0"/>
        <w:spacing w:after="0" w:line="276" w:lineRule="auto"/>
      </w:pPr>
      <w:r>
        <w:t xml:space="preserve">What steps </w:t>
      </w:r>
      <w:proofErr w:type="gramStart"/>
      <w:r>
        <w:t>are being taken</w:t>
      </w:r>
      <w:proofErr w:type="gramEnd"/>
      <w:r>
        <w:t xml:space="preserve"> to protect the rights of women and girls in relation to the challenging security context?</w:t>
      </w:r>
    </w:p>
    <w:sectPr w:rsidR="00A45106">
      <w:headerReference w:type="default" r:id="rId8"/>
      <w:footerReference w:type="default" r:id="rId9"/>
      <w:pgSz w:w="11906" w:h="16838"/>
      <w:pgMar w:top="2127" w:right="991" w:bottom="720"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E11" w:rsidRDefault="00763E11">
      <w:pPr>
        <w:spacing w:after="0" w:line="240" w:lineRule="auto"/>
      </w:pPr>
      <w:r>
        <w:separator/>
      </w:r>
    </w:p>
  </w:endnote>
  <w:endnote w:type="continuationSeparator" w:id="0">
    <w:p w:rsidR="00763E11" w:rsidRDefault="00763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ulish">
    <w:panose1 w:val="00000000000000000000"/>
    <w:charset w:val="00"/>
    <w:family w:val="auto"/>
    <w:pitch w:val="variable"/>
    <w:sig w:usb0="A00000FF" w:usb1="5000204B" w:usb2="00000000" w:usb3="00000000" w:csb0="00000193" w:csb1="00000000"/>
  </w:font>
  <w:font w:name="Calibri">
    <w:panose1 w:val="020F0502020204030204"/>
    <w:charset w:val="00"/>
    <w:family w:val="swiss"/>
    <w:pitch w:val="variable"/>
    <w:sig w:usb0="E4002EFF" w:usb1="C200247B" w:usb2="00000009" w:usb3="00000000" w:csb0="000001FF" w:csb1="00000000"/>
  </w:font>
  <w:font w:name="Vollkorn">
    <w:panose1 w:val="00000000000000000000"/>
    <w:charset w:val="00"/>
    <w:family w:val="auto"/>
    <w:pitch w:val="variable"/>
    <w:sig w:usb0="A00006FF" w:usb1="420060FB" w:usb2="03000000" w:usb3="00000000" w:csb0="0000019F" w:csb1="00000000"/>
  </w:font>
  <w:font w:name="Suez One">
    <w:panose1 w:val="00000500000000000000"/>
    <w:charset w:val="00"/>
    <w:family w:val="auto"/>
    <w:pitch w:val="variable"/>
    <w:sig w:usb0="00000807" w:usb1="40000000" w:usb2="00000000" w:usb3="00000000" w:csb0="000000B3" w:csb1="00000000"/>
  </w:font>
  <w:font w:name="Adobe Hebrew">
    <w:panose1 w:val="00000000000000000000"/>
    <w:charset w:val="00"/>
    <w:family w:val="roman"/>
    <w:notTrueType/>
    <w:pitch w:val="default"/>
  </w:font>
  <w:font w:name="Heebo">
    <w:panose1 w:val="00000500000000000000"/>
    <w:charset w:val="00"/>
    <w:family w:val="auto"/>
    <w:pitch w:val="variable"/>
    <w:sig w:usb0="00000803" w:usb1="40000001"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106" w:rsidRDefault="00763E11">
    <w:pPr>
      <w:pBdr>
        <w:top w:val="nil"/>
        <w:left w:val="nil"/>
        <w:bottom w:val="nil"/>
        <w:right w:val="nil"/>
        <w:between w:val="nil"/>
      </w:pBdr>
      <w:tabs>
        <w:tab w:val="center" w:pos="4153"/>
        <w:tab w:val="right" w:pos="8306"/>
      </w:tabs>
      <w:spacing w:after="0" w:line="240" w:lineRule="auto"/>
      <w:rPr>
        <w:color w:val="000000"/>
      </w:rPr>
    </w:pPr>
    <w:r>
      <w:rPr>
        <w:color w:val="000000"/>
      </w:rPr>
      <w:fldChar w:fldCharType="begin"/>
    </w:r>
    <w:r>
      <w:rPr>
        <w:color w:val="000000"/>
      </w:rPr>
      <w:instrText>PAGE</w:instrText>
    </w:r>
    <w:r w:rsidR="00732334">
      <w:rPr>
        <w:color w:val="000000"/>
      </w:rPr>
      <w:fldChar w:fldCharType="separate"/>
    </w:r>
    <w:r w:rsidR="0097463B">
      <w:rPr>
        <w:rFonts w:cs="Times New Roman"/>
        <w:noProof/>
        <w:color w:val="000000"/>
        <w:rtl/>
      </w:rPr>
      <w:t>1</w:t>
    </w:r>
    <w:r>
      <w:rPr>
        <w:color w:val="000000"/>
      </w:rPr>
      <w:fldChar w:fldCharType="end"/>
    </w:r>
    <w:r>
      <w:rPr>
        <w:noProof/>
      </w:rPr>
      <mc:AlternateContent>
        <mc:Choice Requires="wpg">
          <w:drawing>
            <wp:anchor distT="0" distB="0" distL="114300" distR="114300" simplePos="0" relativeHeight="251659264" behindDoc="0" locked="0" layoutInCell="1" hidden="0" allowOverlap="1">
              <wp:simplePos x="0" y="0"/>
              <wp:positionH relativeFrom="column">
                <wp:posOffset>-419099</wp:posOffset>
              </wp:positionH>
              <wp:positionV relativeFrom="paragraph">
                <wp:posOffset>25400</wp:posOffset>
              </wp:positionV>
              <wp:extent cx="5086350" cy="1219200"/>
              <wp:effectExtent l="0" t="0" r="0" b="0"/>
              <wp:wrapNone/>
              <wp:docPr id="48" name="Group 48"/>
              <wp:cNvGraphicFramePr/>
              <a:graphic xmlns:a="http://schemas.openxmlformats.org/drawingml/2006/main">
                <a:graphicData uri="http://schemas.microsoft.com/office/word/2010/wordprocessingGroup">
                  <wpg:wgp>
                    <wpg:cNvGrpSpPr/>
                    <wpg:grpSpPr>
                      <a:xfrm>
                        <a:off x="0" y="0"/>
                        <a:ext cx="5086350" cy="1219200"/>
                        <a:chOff x="2802825" y="3170400"/>
                        <a:chExt cx="5086350" cy="1219200"/>
                      </a:xfrm>
                    </wpg:grpSpPr>
                    <wpg:grpSp>
                      <wpg:cNvPr id="1" name="Group 1"/>
                      <wpg:cNvGrpSpPr/>
                      <wpg:grpSpPr>
                        <a:xfrm>
                          <a:off x="2802825" y="3170400"/>
                          <a:ext cx="5086350" cy="1219200"/>
                          <a:chOff x="2802825" y="3170400"/>
                          <a:chExt cx="5086350" cy="1219200"/>
                        </a:xfrm>
                      </wpg:grpSpPr>
                      <wps:wsp>
                        <wps:cNvPr id="2" name="Rectangle 2"/>
                        <wps:cNvSpPr/>
                        <wps:spPr>
                          <a:xfrm>
                            <a:off x="2802825" y="3170400"/>
                            <a:ext cx="5086350" cy="1219200"/>
                          </a:xfrm>
                          <a:prstGeom prst="rect">
                            <a:avLst/>
                          </a:prstGeom>
                          <a:noFill/>
                          <a:ln>
                            <a:noFill/>
                          </a:ln>
                        </wps:spPr>
                        <wps:txbx>
                          <w:txbxContent>
                            <w:p w:rsidR="00A45106" w:rsidRDefault="00A45106">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802825" y="3170400"/>
                            <a:ext cx="5086350" cy="1219200"/>
                            <a:chOff x="2802825" y="3170400"/>
                            <a:chExt cx="5086350" cy="1219200"/>
                          </a:xfrm>
                        </wpg:grpSpPr>
                        <wps:wsp>
                          <wps:cNvPr id="4" name="Rectangle 4"/>
                          <wps:cNvSpPr/>
                          <wps:spPr>
                            <a:xfrm>
                              <a:off x="2802825" y="3170400"/>
                              <a:ext cx="5086350" cy="1219200"/>
                            </a:xfrm>
                            <a:prstGeom prst="rect">
                              <a:avLst/>
                            </a:prstGeom>
                            <a:noFill/>
                            <a:ln>
                              <a:noFill/>
                            </a:ln>
                          </wps:spPr>
                          <wps:txbx>
                            <w:txbxContent>
                              <w:p w:rsidR="00A45106" w:rsidRDefault="00A4510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802825" y="3170400"/>
                              <a:ext cx="5086350" cy="1219200"/>
                              <a:chOff x="2800600" y="3153125"/>
                              <a:chExt cx="5090800" cy="1253750"/>
                            </a:xfrm>
                          </wpg:grpSpPr>
                          <wps:wsp>
                            <wps:cNvPr id="6" name="Rectangle 6"/>
                            <wps:cNvSpPr/>
                            <wps:spPr>
                              <a:xfrm>
                                <a:off x="2800600" y="3153125"/>
                                <a:ext cx="5090800" cy="1253750"/>
                              </a:xfrm>
                              <a:prstGeom prst="rect">
                                <a:avLst/>
                              </a:prstGeom>
                              <a:noFill/>
                              <a:ln>
                                <a:noFill/>
                              </a:ln>
                            </wps:spPr>
                            <wps:txbx>
                              <w:txbxContent>
                                <w:p w:rsidR="00A45106" w:rsidRDefault="00A45106">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2800603" y="3153149"/>
                                <a:ext cx="5090795" cy="1253703"/>
                                <a:chOff x="2800600" y="3159600"/>
                                <a:chExt cx="5090800" cy="1240800"/>
                              </a:xfrm>
                            </wpg:grpSpPr>
                            <wps:wsp>
                              <wps:cNvPr id="8" name="Rectangle 8"/>
                              <wps:cNvSpPr/>
                              <wps:spPr>
                                <a:xfrm>
                                  <a:off x="2800600" y="3159600"/>
                                  <a:ext cx="5090800" cy="1240800"/>
                                </a:xfrm>
                                <a:prstGeom prst="rect">
                                  <a:avLst/>
                                </a:prstGeom>
                                <a:noFill/>
                                <a:ln>
                                  <a:noFill/>
                                </a:ln>
                              </wps:spPr>
                              <wps:txbx>
                                <w:txbxContent>
                                  <w:p w:rsidR="00A45106" w:rsidRDefault="00A45106">
                                    <w:pPr>
                                      <w:spacing w:after="0" w:line="240" w:lineRule="auto"/>
                                      <w:textDirection w:val="btLr"/>
                                    </w:pPr>
                                  </w:p>
                                </w:txbxContent>
                              </wps:txbx>
                              <wps:bodyPr spcFirstLastPara="1" wrap="square" lIns="91425" tIns="91425" rIns="91425" bIns="91425" anchor="ctr" anchorCtr="0">
                                <a:noAutofit/>
                              </wps:bodyPr>
                            </wps:wsp>
                            <wpg:grpSp>
                              <wpg:cNvPr id="9" name="Group 9"/>
                              <wpg:cNvGrpSpPr/>
                              <wpg:grpSpPr>
                                <a:xfrm>
                                  <a:off x="2800603" y="3159605"/>
                                  <a:ext cx="5090795" cy="1240790"/>
                                  <a:chOff x="0" y="0"/>
                                  <a:chExt cx="5090795" cy="1240790"/>
                                </a:xfrm>
                              </wpg:grpSpPr>
                              <wps:wsp>
                                <wps:cNvPr id="10" name="Rectangle 10"/>
                                <wps:cNvSpPr/>
                                <wps:spPr>
                                  <a:xfrm>
                                    <a:off x="0" y="0"/>
                                    <a:ext cx="5090775" cy="1240775"/>
                                  </a:xfrm>
                                  <a:prstGeom prst="rect">
                                    <a:avLst/>
                                  </a:prstGeom>
                                  <a:noFill/>
                                  <a:ln>
                                    <a:noFill/>
                                  </a:ln>
                                </wps:spPr>
                                <wps:txbx>
                                  <w:txbxContent>
                                    <w:p w:rsidR="00A45106" w:rsidRDefault="00A45106">
                                      <w:pPr>
                                        <w:spacing w:after="0" w:line="240" w:lineRule="auto"/>
                                        <w:textDirection w:val="btLr"/>
                                      </w:pPr>
                                    </w:p>
                                  </w:txbxContent>
                                </wps:txbx>
                                <wps:bodyPr spcFirstLastPara="1" wrap="square" lIns="91425" tIns="91425" rIns="91425" bIns="91425" anchor="ctr" anchorCtr="0">
                                  <a:noAutofit/>
                                </wps:bodyPr>
                              </wps:wsp>
                              <wps:wsp>
                                <wps:cNvPr id="11" name="Rectangle 11"/>
                                <wps:cNvSpPr/>
                                <wps:spPr>
                                  <a:xfrm flipH="1">
                                    <a:off x="0" y="0"/>
                                    <a:ext cx="5090795" cy="1240790"/>
                                  </a:xfrm>
                                  <a:prstGeom prst="rect">
                                    <a:avLst/>
                                  </a:prstGeom>
                                  <a:solidFill>
                                    <a:srgbClr val="F2F2F2"/>
                                  </a:solidFill>
                                  <a:ln>
                                    <a:noFill/>
                                  </a:ln>
                                </wps:spPr>
                                <wps:txbx>
                                  <w:txbxContent>
                                    <w:p w:rsidR="00A45106" w:rsidRDefault="00A45106" w:rsidP="00732334">
                                      <w:pPr>
                                        <w:bidi w:val="0"/>
                                        <w:spacing w:after="0" w:line="288" w:lineRule="auto"/>
                                        <w:ind w:left="720" w:firstLine="2880"/>
                                        <w:textDirection w:val="btLr"/>
                                      </w:pPr>
                                    </w:p>
                                    <w:p w:rsidR="00A45106" w:rsidRDefault="00A45106" w:rsidP="00732334">
                                      <w:pPr>
                                        <w:bidi w:val="0"/>
                                        <w:spacing w:after="0" w:line="288" w:lineRule="auto"/>
                                        <w:ind w:left="720" w:firstLine="2880"/>
                                        <w:textDirection w:val="btLr"/>
                                      </w:pPr>
                                    </w:p>
                                    <w:p w:rsidR="00A45106" w:rsidRDefault="00763E11" w:rsidP="00732334">
                                      <w:pPr>
                                        <w:bidi w:val="0"/>
                                        <w:spacing w:after="0" w:line="288" w:lineRule="auto"/>
                                        <w:textDirection w:val="btLr"/>
                                      </w:pPr>
                                      <w:r>
                                        <w:rPr>
                                          <w:color w:val="223983"/>
                                          <w:sz w:val="14"/>
                                        </w:rPr>
                                        <w:t>Institute for NGO Research R.A (580465508#</w:t>
                                      </w:r>
                                      <w:proofErr w:type="gramStart"/>
                                      <w:r>
                                        <w:rPr>
                                          <w:color w:val="223983"/>
                                          <w:sz w:val="14"/>
                                        </w:rPr>
                                        <w:t>)  33</w:t>
                                      </w:r>
                                      <w:proofErr w:type="gramEnd"/>
                                      <w:r>
                                        <w:rPr>
                                          <w:color w:val="223983"/>
                                          <w:sz w:val="14"/>
                                        </w:rPr>
                                        <w:t xml:space="preserve"> Pierre Koenig  St. Jerusalem, Israel 9346941</w:t>
                                      </w:r>
                                    </w:p>
                                    <w:p w:rsidR="00A45106" w:rsidRDefault="00763E11" w:rsidP="00732334">
                                      <w:pPr>
                                        <w:bidi w:val="0"/>
                                        <w:spacing w:after="0" w:line="288" w:lineRule="auto"/>
                                        <w:textDirection w:val="btLr"/>
                                      </w:pPr>
                                      <w:r>
                                        <w:rPr>
                                          <w:color w:val="223983"/>
                                          <w:sz w:val="14"/>
                                        </w:rPr>
                                        <w:t>Phone: +972-2-566-1020 Fax: +972-77-511-7030 | mail@ngo-monitor.org | www.ngo-monitor.org</w:t>
                                      </w:r>
                                    </w:p>
                                    <w:p w:rsidR="00A45106" w:rsidRDefault="00A45106" w:rsidP="00732334">
                                      <w:pPr>
                                        <w:bidi w:val="0"/>
                                        <w:spacing w:after="0" w:line="288" w:lineRule="auto"/>
                                        <w:textDirection w:val="btLr"/>
                                      </w:pPr>
                                    </w:p>
                                  </w:txbxContent>
                                </wps:txbx>
                                <wps:bodyPr spcFirstLastPara="1" wrap="square" lIns="91425" tIns="45700" rIns="91425" bIns="45700" anchor="t" anchorCtr="0">
                                  <a:noAutofit/>
                                </wps:bodyPr>
                              </wps:wsp>
                              <wps:wsp>
                                <wps:cNvPr id="12" name="Rectangle 12"/>
                                <wps:cNvSpPr/>
                                <wps:spPr>
                                  <a:xfrm>
                                    <a:off x="4542155" y="71252"/>
                                    <a:ext cx="548640" cy="80468"/>
                                  </a:xfrm>
                                  <a:prstGeom prst="rect">
                                    <a:avLst/>
                                  </a:prstGeom>
                                  <a:solidFill>
                                    <a:schemeClr val="lt2"/>
                                  </a:solidFill>
                                  <a:ln>
                                    <a:noFill/>
                                  </a:ln>
                                </wps:spPr>
                                <wps:txbx>
                                  <w:txbxContent>
                                    <w:p w:rsidR="00A45106" w:rsidRDefault="00A45106">
                                      <w:pPr>
                                        <w:spacing w:line="258" w:lineRule="auto"/>
                                        <w:textDirection w:val="btLr"/>
                                      </w:pPr>
                                    </w:p>
                                  </w:txbxContent>
                                </wps:txbx>
                                <wps:bodyPr spcFirstLastPara="1" wrap="square" lIns="91425" tIns="45700" rIns="91425" bIns="45700" anchor="ctr" anchorCtr="0">
                                  <a:noAutofit/>
                                </wps:bodyPr>
                              </wps:wsp>
                            </wpg:grpSp>
                          </wpg:grpSp>
                        </wpg:grpSp>
                      </wpg:grpSp>
                    </wpg:grpSp>
                  </wpg:wgp>
                </a:graphicData>
              </a:graphic>
            </wp:anchor>
          </w:drawing>
        </mc:Choice>
        <mc:Fallback>
          <w:pict>
            <v:group id="Group 48" o:spid="_x0000_s1026" style="position:absolute;left:0;text-align:left;margin-left:-33pt;margin-top:2pt;width:400.5pt;height:96pt;z-index:251659264" coordorigin="28028,31704" coordsize="50863,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">
              <v:group id="Group 1" o:spid="_x0000_s1027" style="position:absolute;left:28028;top:31704;width:50863;height:12192" coordorigin="28028,31704" coordsize="5086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8028;top:31704;width:50863;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A45106" w:rsidRDefault="00A45106">
                        <w:pPr>
                          <w:spacing w:after="0" w:line="240" w:lineRule="auto"/>
                          <w:textDirection w:val="btLr"/>
                        </w:pPr>
                      </w:p>
                    </w:txbxContent>
                  </v:textbox>
                </v:rect>
                <v:group id="Group 3" o:spid="_x0000_s1029" style="position:absolute;left:28028;top:31704;width:50863;height:12192" coordorigin="28028,31704" coordsize="5086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8028;top:31704;width:50863;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A45106" w:rsidRDefault="00A45106">
                          <w:pPr>
                            <w:spacing w:after="0" w:line="240" w:lineRule="auto"/>
                            <w:textDirection w:val="btLr"/>
                          </w:pPr>
                        </w:p>
                      </w:txbxContent>
                    </v:textbox>
                  </v:rect>
                  <v:group id="Group 5" o:spid="_x0000_s1031" style="position:absolute;left:28028;top:31704;width:50863;height:12192" coordorigin="28006,31531" coordsize="50908,12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28006;top:31531;width:50908;height:12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A45106" w:rsidRDefault="00A45106">
                            <w:pPr>
                              <w:spacing w:after="0" w:line="240" w:lineRule="auto"/>
                              <w:textDirection w:val="btLr"/>
                            </w:pPr>
                          </w:p>
                        </w:txbxContent>
                      </v:textbox>
                    </v:rect>
                    <v:group id="Group 7" o:spid="_x0000_s1033" style="position:absolute;left:28006;top:31531;width:50907;height:12537" coordorigin="28006,31596" coordsize="50908,12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left:28006;top:31596;width:50908;height:12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A45106" w:rsidRDefault="00A45106">
                              <w:pPr>
                                <w:spacing w:after="0" w:line="240" w:lineRule="auto"/>
                                <w:textDirection w:val="btLr"/>
                              </w:pPr>
                            </w:p>
                          </w:txbxContent>
                        </v:textbox>
                      </v:rect>
                      <v:group id="Group 9" o:spid="_x0000_s1035" style="position:absolute;left:28006;top:31596;width:50907;height:12407" coordsize="50907,12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6" style="position:absolute;width:50907;height:12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A45106" w:rsidRDefault="00A45106">
                                <w:pPr>
                                  <w:spacing w:after="0" w:line="240" w:lineRule="auto"/>
                                  <w:textDirection w:val="btLr"/>
                                </w:pPr>
                              </w:p>
                            </w:txbxContent>
                          </v:textbox>
                        </v:rect>
                        <v:rect id="Rectangle 11" o:spid="_x0000_s1037" style="position:absolute;width:50907;height:1240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" fillcolor="#f2f2f2" stroked="f">
                          <v:textbox inset="2.53958mm,1.2694mm,2.53958mm,1.2694mm">
                            <w:txbxContent>
                              <w:p w:rsidR="00A45106" w:rsidRDefault="00A45106" w:rsidP="00732334">
                                <w:pPr>
                                  <w:bidi w:val="0"/>
                                  <w:spacing w:after="0" w:line="288" w:lineRule="auto"/>
                                  <w:ind w:left="720" w:firstLine="2880"/>
                                  <w:textDirection w:val="btLr"/>
                                </w:pPr>
                              </w:p>
                              <w:p w:rsidR="00A45106" w:rsidRDefault="00A45106" w:rsidP="00732334">
                                <w:pPr>
                                  <w:bidi w:val="0"/>
                                  <w:spacing w:after="0" w:line="288" w:lineRule="auto"/>
                                  <w:ind w:left="720" w:firstLine="2880"/>
                                  <w:textDirection w:val="btLr"/>
                                </w:pPr>
                              </w:p>
                              <w:p w:rsidR="00A45106" w:rsidRDefault="00763E11" w:rsidP="00732334">
                                <w:pPr>
                                  <w:bidi w:val="0"/>
                                  <w:spacing w:after="0" w:line="288" w:lineRule="auto"/>
                                  <w:textDirection w:val="btLr"/>
                                </w:pPr>
                                <w:r>
                                  <w:rPr>
                                    <w:color w:val="223983"/>
                                    <w:sz w:val="14"/>
                                  </w:rPr>
                                  <w:t>Institute for NGO Research R.A (580465508#</w:t>
                                </w:r>
                                <w:proofErr w:type="gramStart"/>
                                <w:r>
                                  <w:rPr>
                                    <w:color w:val="223983"/>
                                    <w:sz w:val="14"/>
                                  </w:rPr>
                                  <w:t>)  33</w:t>
                                </w:r>
                                <w:proofErr w:type="gramEnd"/>
                                <w:r>
                                  <w:rPr>
                                    <w:color w:val="223983"/>
                                    <w:sz w:val="14"/>
                                  </w:rPr>
                                  <w:t xml:space="preserve"> Pierre Koenig  St. Jerusalem, Israel 9346941</w:t>
                                </w:r>
                              </w:p>
                              <w:p w:rsidR="00A45106" w:rsidRDefault="00763E11" w:rsidP="00732334">
                                <w:pPr>
                                  <w:bidi w:val="0"/>
                                  <w:spacing w:after="0" w:line="288" w:lineRule="auto"/>
                                  <w:textDirection w:val="btLr"/>
                                </w:pPr>
                                <w:r>
                                  <w:rPr>
                                    <w:color w:val="223983"/>
                                    <w:sz w:val="14"/>
                                  </w:rPr>
                                  <w:t>Phone: +972-2-566-1020 Fax: +972-77-511-7030 | mail@ngo-monitor.org | www.ngo-monitor.org</w:t>
                                </w:r>
                              </w:p>
                              <w:p w:rsidR="00A45106" w:rsidRDefault="00A45106" w:rsidP="00732334">
                                <w:pPr>
                                  <w:bidi w:val="0"/>
                                  <w:spacing w:after="0" w:line="288" w:lineRule="auto"/>
                                  <w:textDirection w:val="btLr"/>
                                </w:pPr>
                              </w:p>
                            </w:txbxContent>
                          </v:textbox>
                        </v:rect>
                        <v:rect id="Rectangle 12" o:spid="_x0000_s1038" style="position:absolute;left:45421;top:712;width:5486;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" fillcolor="#febc11 [3203]" stroked="f">
                          <v:textbox inset="2.53958mm,1.2694mm,2.53958mm,1.2694mm">
                            <w:txbxContent>
                              <w:p w:rsidR="00A45106" w:rsidRDefault="00A45106">
                                <w:pPr>
                                  <w:spacing w:line="258" w:lineRule="auto"/>
                                  <w:textDirection w:val="btLr"/>
                                </w:pPr>
                              </w:p>
                            </w:txbxContent>
                          </v:textbox>
                        </v:rect>
                      </v:group>
                    </v:group>
                  </v:group>
                </v:group>
              </v:group>
            </v:group>
          </w:pict>
        </mc:Fallback>
      </mc:AlternateContent>
    </w:r>
  </w:p>
  <w:p w:rsidR="00A45106" w:rsidRDefault="00A45106">
    <w:pPr>
      <w:pBdr>
        <w:top w:val="nil"/>
        <w:left w:val="nil"/>
        <w:bottom w:val="nil"/>
        <w:right w:val="nil"/>
        <w:between w:val="nil"/>
      </w:pBdr>
      <w:tabs>
        <w:tab w:val="center" w:pos="4153"/>
        <w:tab w:val="right" w:pos="8306"/>
      </w:tabs>
      <w:spacing w:after="0" w:line="240" w:lineRule="auto"/>
      <w:rPr>
        <w:color w:val="000000"/>
        <w:vertAlign w:val="subscript"/>
      </w:rPr>
    </w:pPr>
  </w:p>
  <w:p w:rsidR="00A45106" w:rsidRDefault="00A45106"/>
  <w:p w:rsidR="00A45106" w:rsidRDefault="00A4510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E11" w:rsidRDefault="00763E11">
      <w:pPr>
        <w:spacing w:after="0" w:line="240" w:lineRule="auto"/>
      </w:pPr>
      <w:r>
        <w:separator/>
      </w:r>
    </w:p>
  </w:footnote>
  <w:footnote w:type="continuationSeparator" w:id="0">
    <w:p w:rsidR="00763E11" w:rsidRDefault="00763E11">
      <w:pPr>
        <w:spacing w:after="0" w:line="240" w:lineRule="auto"/>
      </w:pPr>
      <w:r>
        <w:continuationSeparator/>
      </w:r>
    </w:p>
  </w:footnote>
  <w:footnote w:id="1">
    <w:p w:rsidR="00A45106" w:rsidRDefault="00763E11" w:rsidP="00732334">
      <w:pPr>
        <w:bidi w:val="0"/>
        <w:spacing w:after="0" w:line="240" w:lineRule="auto"/>
        <w:rPr>
          <w:sz w:val="20"/>
          <w:szCs w:val="20"/>
        </w:rPr>
      </w:pPr>
      <w:r>
        <w:rPr>
          <w:rStyle w:val="FootnoteReference"/>
        </w:rPr>
        <w:footnoteRef/>
      </w:r>
      <w:r>
        <w:rPr>
          <w:sz w:val="20"/>
          <w:szCs w:val="20"/>
        </w:rPr>
        <w:t xml:space="preserve"> </w:t>
      </w:r>
      <w:r>
        <w:rPr>
          <w:sz w:val="18"/>
          <w:szCs w:val="18"/>
        </w:rPr>
        <w:t>Members of NGO Monitor’s Advisory Board include Elliott Abrams,</w:t>
      </w:r>
      <w:r>
        <w:rPr>
          <w:sz w:val="18"/>
          <w:szCs w:val="18"/>
        </w:rPr>
        <w:t xml:space="preserve"> Senior Fellow for Middle Eastern Studies at the Council on Foreign Relations; former Canadian Ambassador to Israel, </w:t>
      </w:r>
      <w:proofErr w:type="spellStart"/>
      <w:r>
        <w:rPr>
          <w:sz w:val="18"/>
          <w:szCs w:val="18"/>
        </w:rPr>
        <w:t>Amb</w:t>
      </w:r>
      <w:proofErr w:type="spellEnd"/>
      <w:r>
        <w:rPr>
          <w:sz w:val="18"/>
          <w:szCs w:val="18"/>
        </w:rPr>
        <w:t xml:space="preserve">. </w:t>
      </w:r>
      <w:proofErr w:type="gramStart"/>
      <w:r>
        <w:rPr>
          <w:sz w:val="18"/>
          <w:szCs w:val="18"/>
        </w:rPr>
        <w:t xml:space="preserve">Vivian </w:t>
      </w:r>
      <w:proofErr w:type="spellStart"/>
      <w:r>
        <w:rPr>
          <w:sz w:val="18"/>
          <w:szCs w:val="18"/>
        </w:rPr>
        <w:t>Bercovici</w:t>
      </w:r>
      <w:proofErr w:type="spellEnd"/>
      <w:r>
        <w:rPr>
          <w:sz w:val="18"/>
          <w:szCs w:val="18"/>
        </w:rPr>
        <w:t>; Michal Cotler-</w:t>
      </w:r>
      <w:proofErr w:type="spellStart"/>
      <w:r>
        <w:rPr>
          <w:sz w:val="18"/>
          <w:szCs w:val="18"/>
        </w:rPr>
        <w:t>Wunsh</w:t>
      </w:r>
      <w:proofErr w:type="spellEnd"/>
      <w:r>
        <w:rPr>
          <w:sz w:val="18"/>
          <w:szCs w:val="18"/>
        </w:rPr>
        <w:t>, former member of Knesset for the Blue and White Party; Hon. Michael Danby, MP, senior member of</w:t>
      </w:r>
      <w:r>
        <w:rPr>
          <w:sz w:val="18"/>
          <w:szCs w:val="18"/>
        </w:rPr>
        <w:t xml:space="preserve"> the Australian Labor Party; Harvard Professor Prof. Alan Dershowitz; Canadian Senator, Hon. Linda </w:t>
      </w:r>
      <w:proofErr w:type="spellStart"/>
      <w:r>
        <w:rPr>
          <w:sz w:val="18"/>
          <w:szCs w:val="18"/>
        </w:rPr>
        <w:t>Frum</w:t>
      </w:r>
      <w:proofErr w:type="spellEnd"/>
      <w:r>
        <w:rPr>
          <w:sz w:val="18"/>
          <w:szCs w:val="18"/>
        </w:rPr>
        <w:t xml:space="preserve">; best-selling author and commentator and British journalist and international affairs commentator, Tom Gross; Bonnie Glick, former Deputy Administrator </w:t>
      </w:r>
      <w:r>
        <w:rPr>
          <w:sz w:val="18"/>
          <w:szCs w:val="18"/>
        </w:rPr>
        <w:t>and Chief Operating Officer of USAID; Colonel Richard Kemp, former commander of British forces in Iraq and Afghanistan; Douglas Murray, Director of the Centre for Social Cohesion, best-selling author and commentator; former Member of Italian Parliament, Ho</w:t>
      </w:r>
      <w:r>
        <w:rPr>
          <w:sz w:val="18"/>
          <w:szCs w:val="18"/>
        </w:rPr>
        <w:t xml:space="preserve">n. </w:t>
      </w:r>
      <w:proofErr w:type="spellStart"/>
      <w:r>
        <w:rPr>
          <w:sz w:val="18"/>
          <w:szCs w:val="18"/>
        </w:rPr>
        <w:t>Fiamma</w:t>
      </w:r>
      <w:proofErr w:type="spellEnd"/>
      <w:r>
        <w:rPr>
          <w:sz w:val="18"/>
          <w:szCs w:val="18"/>
        </w:rPr>
        <w:t xml:space="preserve"> </w:t>
      </w:r>
      <w:proofErr w:type="spellStart"/>
      <w:r>
        <w:rPr>
          <w:sz w:val="18"/>
          <w:szCs w:val="18"/>
        </w:rPr>
        <w:t>Nirenstein</w:t>
      </w:r>
      <w:proofErr w:type="spellEnd"/>
      <w:r>
        <w:rPr>
          <w:sz w:val="18"/>
          <w:szCs w:val="18"/>
        </w:rPr>
        <w:t xml:space="preserve">, UCLA Professor and President of the Daniel Pearl Foundation, Prof. Judea Pearl; US Jurist and former Legal Advisor to the State Department Judge Abraham </w:t>
      </w:r>
      <w:proofErr w:type="spellStart"/>
      <w:r>
        <w:rPr>
          <w:sz w:val="18"/>
          <w:szCs w:val="18"/>
        </w:rPr>
        <w:t>Sofaer</w:t>
      </w:r>
      <w:proofErr w:type="spellEnd"/>
      <w:r>
        <w:rPr>
          <w:sz w:val="18"/>
          <w:szCs w:val="18"/>
        </w:rPr>
        <w:t xml:space="preserve">; Dr. </w:t>
      </w:r>
      <w:proofErr w:type="spellStart"/>
      <w:r>
        <w:rPr>
          <w:sz w:val="18"/>
          <w:szCs w:val="18"/>
        </w:rPr>
        <w:t>Einat</w:t>
      </w:r>
      <w:proofErr w:type="spellEnd"/>
      <w:r>
        <w:rPr>
          <w:sz w:val="18"/>
          <w:szCs w:val="18"/>
        </w:rPr>
        <w:t xml:space="preserve"> Wilf, former member of Knesset with the Israel Labor Party and </w:t>
      </w:r>
      <w:r>
        <w:rPr>
          <w:sz w:val="18"/>
          <w:szCs w:val="18"/>
        </w:rPr>
        <w:t xml:space="preserve">advisor to Shimon Peres; Harvard Professor Prof. Ruth </w:t>
      </w:r>
      <w:proofErr w:type="spellStart"/>
      <w:r>
        <w:rPr>
          <w:sz w:val="18"/>
          <w:szCs w:val="18"/>
        </w:rPr>
        <w:t>Wisse</w:t>
      </w:r>
      <w:proofErr w:type="spellEnd"/>
      <w:r>
        <w:rPr>
          <w:sz w:val="18"/>
          <w:szCs w:val="18"/>
        </w:rPr>
        <w:t xml:space="preserve">; R. James Woolsey, former US Director of Central Intelligence; and Israeli Supreme Court Justice, Justice </w:t>
      </w:r>
      <w:proofErr w:type="spellStart"/>
      <w:r>
        <w:rPr>
          <w:sz w:val="18"/>
          <w:szCs w:val="18"/>
        </w:rPr>
        <w:t>Elyakim</w:t>
      </w:r>
      <w:proofErr w:type="spellEnd"/>
      <w:r>
        <w:rPr>
          <w:sz w:val="18"/>
          <w:szCs w:val="18"/>
        </w:rPr>
        <w:t xml:space="preserve"> Rubinstein.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106" w:rsidRDefault="00763E11">
    <w:pPr>
      <w:pBdr>
        <w:top w:val="nil"/>
        <w:left w:val="nil"/>
        <w:bottom w:val="nil"/>
        <w:right w:val="nil"/>
        <w:between w:val="nil"/>
      </w:pBdr>
      <w:tabs>
        <w:tab w:val="center" w:pos="4153"/>
        <w:tab w:val="right" w:pos="8306"/>
      </w:tabs>
      <w:spacing w:after="0" w:line="240" w:lineRule="auto"/>
      <w:rPr>
        <w:color w:val="000000"/>
      </w:rPr>
    </w:pPr>
    <w:r>
      <w:rPr>
        <w:noProof/>
      </w:rPr>
      <w:drawing>
        <wp:anchor distT="0" distB="0" distL="0" distR="0" simplePos="0" relativeHeight="251658240" behindDoc="0" locked="0" layoutInCell="1" hidden="0" allowOverlap="1">
          <wp:simplePos x="0" y="0"/>
          <wp:positionH relativeFrom="column">
            <wp:posOffset>-457194</wp:posOffset>
          </wp:positionH>
          <wp:positionV relativeFrom="paragraph">
            <wp:posOffset>-19046</wp:posOffset>
          </wp:positionV>
          <wp:extent cx="7550785" cy="1217295"/>
          <wp:effectExtent l="0" t="0" r="0" b="0"/>
          <wp:wrapSquare wrapText="bothSides" distT="0" distB="0" distL="0" distR="0"/>
          <wp:docPr id="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4622" b="3989"/>
                  <a:stretch>
                    <a:fillRect/>
                  </a:stretch>
                </pic:blipFill>
                <pic:spPr>
                  <a:xfrm>
                    <a:off x="0" y="0"/>
                    <a:ext cx="7550785" cy="1217295"/>
                  </a:xfrm>
                  <a:prstGeom prst="rect">
                    <a:avLst/>
                  </a:prstGeom>
                  <a:ln/>
                </pic:spPr>
              </pic:pic>
            </a:graphicData>
          </a:graphic>
        </wp:anchor>
      </w:drawing>
    </w:r>
  </w:p>
  <w:p w:rsidR="00A45106" w:rsidRDefault="00A4510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34CE"/>
    <w:multiLevelType w:val="multilevel"/>
    <w:tmpl w:val="179AD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106"/>
    <w:rsid w:val="00732334"/>
    <w:rsid w:val="00763E11"/>
    <w:rsid w:val="0097463B"/>
    <w:rsid w:val="00A451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1497E6-9733-4727-B41E-24131E42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ulish" w:eastAsia="Mulish" w:hAnsi="Mulish" w:cs="Mulish"/>
        <w:sz w:val="24"/>
        <w:szCs w:val="24"/>
        <w:lang w:val="en-US" w:eastAsia="en-US" w:bidi="he-IL"/>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BB1"/>
  </w:style>
  <w:style w:type="paragraph" w:styleId="Heading1">
    <w:name w:val="heading 1"/>
    <w:basedOn w:val="Normal"/>
    <w:next w:val="Normal"/>
    <w:link w:val="Heading1Char"/>
    <w:autoRedefine/>
    <w:uiPriority w:val="1"/>
    <w:qFormat/>
    <w:rsid w:val="00F01E61"/>
    <w:pPr>
      <w:widowControl w:val="0"/>
      <w:tabs>
        <w:tab w:val="right" w:pos="10410"/>
      </w:tabs>
      <w:autoSpaceDE w:val="0"/>
      <w:autoSpaceDN w:val="0"/>
      <w:bidi w:val="0"/>
      <w:spacing w:before="1" w:after="0" w:line="240" w:lineRule="auto"/>
      <w:outlineLvl w:val="0"/>
    </w:pPr>
    <w:rPr>
      <w:rFonts w:eastAsia="Calibri" w:cs="Calibri"/>
      <w:b/>
      <w:bCs/>
      <w:color w:val="00B0EF"/>
      <w:spacing w:val="-6"/>
      <w:sz w:val="28"/>
      <w:szCs w:val="28"/>
      <w:lang w:bidi="ar-SA"/>
    </w:rPr>
  </w:style>
  <w:style w:type="paragraph" w:styleId="Heading2">
    <w:name w:val="heading 2"/>
    <w:basedOn w:val="Normal"/>
    <w:next w:val="Normal"/>
    <w:link w:val="Heading2Char"/>
    <w:uiPriority w:val="9"/>
    <w:semiHidden/>
    <w:unhideWhenUsed/>
    <w:qFormat/>
    <w:rsid w:val="00F01E61"/>
    <w:pPr>
      <w:keepNext/>
      <w:keepLines/>
      <w:spacing w:before="40" w:after="0"/>
      <w:outlineLvl w:val="1"/>
    </w:pPr>
    <w:rPr>
      <w:rFonts w:asciiTheme="majorHAnsi" w:eastAsiaTheme="majorEastAsia" w:hAnsiTheme="majorHAnsi" w:cstheme="majorBidi"/>
      <w:color w:val="B2B7B7"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1E61"/>
    <w:pPr>
      <w:spacing w:after="0"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540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3540AC"/>
  </w:style>
  <w:style w:type="paragraph" w:styleId="Footer">
    <w:name w:val="footer"/>
    <w:basedOn w:val="Normal"/>
    <w:link w:val="FooterChar"/>
    <w:uiPriority w:val="99"/>
    <w:unhideWhenUsed/>
    <w:rsid w:val="003540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3540AC"/>
  </w:style>
  <w:style w:type="paragraph" w:customStyle="1" w:styleId="BasicParagraph">
    <w:name w:val="[Basic Paragraph]"/>
    <w:basedOn w:val="Normal"/>
    <w:link w:val="BasicParagraph0"/>
    <w:uiPriority w:val="99"/>
    <w:rsid w:val="004139CF"/>
    <w:pPr>
      <w:autoSpaceDE w:val="0"/>
      <w:autoSpaceDN w:val="0"/>
      <w:adjustRightInd w:val="0"/>
      <w:spacing w:after="0" w:line="288" w:lineRule="auto"/>
      <w:jc w:val="right"/>
      <w:textAlignment w:val="center"/>
    </w:pPr>
    <w:rPr>
      <w:rFonts w:ascii="Adobe Hebrew" w:hAnsi="Adobe Hebrew" w:cs="Adobe Hebrew"/>
      <w:color w:val="000000"/>
    </w:rPr>
  </w:style>
  <w:style w:type="character" w:customStyle="1" w:styleId="BasicParagraph0">
    <w:name w:val="[Basic Paragraph] תו"/>
    <w:basedOn w:val="DefaultParagraphFont"/>
    <w:link w:val="BasicParagraph"/>
    <w:uiPriority w:val="99"/>
    <w:rsid w:val="004139CF"/>
    <w:rPr>
      <w:rFonts w:ascii="Adobe Hebrew" w:hAnsi="Adobe Hebrew" w:cs="Adobe Hebrew"/>
      <w:color w:val="000000"/>
      <w:sz w:val="24"/>
      <w:szCs w:val="24"/>
    </w:rPr>
  </w:style>
  <w:style w:type="character" w:customStyle="1" w:styleId="Heading1Char">
    <w:name w:val="Heading 1 Char"/>
    <w:basedOn w:val="DefaultParagraphFont"/>
    <w:link w:val="Heading1"/>
    <w:uiPriority w:val="1"/>
    <w:rsid w:val="00F01E61"/>
    <w:rPr>
      <w:rFonts w:ascii="Mulish" w:eastAsia="Calibri" w:hAnsi="Mulish" w:cs="Calibri"/>
      <w:b/>
      <w:bCs/>
      <w:color w:val="00B0EF"/>
      <w:spacing w:val="-6"/>
      <w:sz w:val="28"/>
      <w:szCs w:val="28"/>
      <w:lang w:bidi="ar-SA"/>
    </w:rPr>
  </w:style>
  <w:style w:type="paragraph" w:styleId="Subtitle">
    <w:name w:val="Subtitle"/>
    <w:basedOn w:val="Normal"/>
    <w:next w:val="Normal"/>
    <w:link w:val="SubtitleChar"/>
    <w:rPr>
      <w:b/>
      <w:color w:val="000000"/>
      <w:sz w:val="26"/>
      <w:szCs w:val="26"/>
    </w:rPr>
  </w:style>
  <w:style w:type="character" w:customStyle="1" w:styleId="SubtitleChar">
    <w:name w:val="Subtitle Char"/>
    <w:basedOn w:val="DefaultParagraphFont"/>
    <w:link w:val="Subtitle"/>
    <w:uiPriority w:val="11"/>
    <w:rsid w:val="003E1BB1"/>
    <w:rPr>
      <w:rFonts w:eastAsiaTheme="majorEastAsia" w:cstheme="majorBidi"/>
      <w:b/>
      <w:iCs/>
      <w:color w:val="000000" w:themeColor="text1"/>
      <w:spacing w:val="15"/>
      <w:sz w:val="26"/>
      <w:szCs w:val="24"/>
    </w:rPr>
  </w:style>
  <w:style w:type="character" w:customStyle="1" w:styleId="TitleChar">
    <w:name w:val="Title Char"/>
    <w:basedOn w:val="DefaultParagraphFont"/>
    <w:link w:val="Title"/>
    <w:uiPriority w:val="10"/>
    <w:rsid w:val="00F01E6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semiHidden/>
    <w:unhideWhenUsed/>
    <w:rsid w:val="00F01E61"/>
    <w:pPr>
      <w:spacing w:after="120"/>
    </w:pPr>
  </w:style>
  <w:style w:type="character" w:customStyle="1" w:styleId="BodyTextChar">
    <w:name w:val="Body Text Char"/>
    <w:basedOn w:val="DefaultParagraphFont"/>
    <w:link w:val="BodyText"/>
    <w:uiPriority w:val="99"/>
    <w:semiHidden/>
    <w:rsid w:val="00F01E61"/>
    <w:rPr>
      <w:sz w:val="24"/>
    </w:rPr>
  </w:style>
  <w:style w:type="character" w:customStyle="1" w:styleId="Heading2Char">
    <w:name w:val="Heading 2 Char"/>
    <w:basedOn w:val="DefaultParagraphFont"/>
    <w:link w:val="Heading2"/>
    <w:uiPriority w:val="9"/>
    <w:semiHidden/>
    <w:rsid w:val="00F01E61"/>
    <w:rPr>
      <w:rFonts w:asciiTheme="majorHAnsi" w:eastAsiaTheme="majorEastAsia" w:hAnsiTheme="majorHAnsi" w:cstheme="majorBidi"/>
      <w:color w:val="B2B7B7" w:themeColor="accent1" w:themeShade="BF"/>
      <w:sz w:val="26"/>
      <w:szCs w:val="26"/>
    </w:rPr>
  </w:style>
  <w:style w:type="paragraph" w:styleId="FootnoteText">
    <w:name w:val="footnote text"/>
    <w:basedOn w:val="Normal"/>
    <w:link w:val="FootnoteTextChar"/>
    <w:uiPriority w:val="99"/>
    <w:semiHidden/>
    <w:unhideWhenUsed/>
    <w:rsid w:val="00F01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E61"/>
    <w:rPr>
      <w:sz w:val="20"/>
      <w:szCs w:val="20"/>
    </w:rPr>
  </w:style>
  <w:style w:type="character" w:styleId="FootnoteReference">
    <w:name w:val="footnote reference"/>
    <w:basedOn w:val="DefaultParagraphFont"/>
    <w:uiPriority w:val="99"/>
    <w:semiHidden/>
    <w:unhideWhenUsed/>
    <w:rsid w:val="00F01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NGO MONITOR">
      <a:dk1>
        <a:sysClr val="windowText" lastClr="000000"/>
      </a:dk1>
      <a:lt1>
        <a:sysClr val="window" lastClr="FFFFFF"/>
      </a:lt1>
      <a:dk2>
        <a:srgbClr val="223983"/>
      </a:dk2>
      <a:lt2>
        <a:srgbClr val="FEBC11"/>
      </a:lt2>
      <a:accent1>
        <a:srgbClr val="F1F2F2"/>
      </a:accent1>
      <a:accent2>
        <a:srgbClr val="E2EFF4"/>
      </a:accent2>
      <a:accent3>
        <a:srgbClr val="78C3DA"/>
      </a:accent3>
      <a:accent4>
        <a:srgbClr val="AD5183"/>
      </a:accent4>
      <a:accent5>
        <a:srgbClr val="EF935B"/>
      </a:accent5>
      <a:accent6>
        <a:srgbClr val="63C29C"/>
      </a:accent6>
      <a:hlink>
        <a:srgbClr val="32D2FC"/>
      </a:hlink>
      <a:folHlink>
        <a:srgbClr val="E15EC2"/>
      </a:folHlink>
    </a:clrScheme>
    <a:fontScheme name="NGO MONITOR">
      <a:majorFont>
        <a:latin typeface="Vollkorn"/>
        <a:ea typeface=""/>
        <a:cs typeface="Suez One"/>
      </a:majorFont>
      <a:minorFont>
        <a:latin typeface="Mulish"/>
        <a:ea typeface=""/>
        <a:cs typeface="Heebo"/>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fBZwnfZiAe/MoVt/IrRD/nDcGw==">CgMxLjA4AHIhMV9PX3h2cmkzb2ZDdkV0SDhjb09fMDJMUHhEbFlDMEZ2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Ariella</dc:creator>
  <cp:lastModifiedBy>NGO</cp:lastModifiedBy>
  <cp:revision>3</cp:revision>
  <dcterms:created xsi:type="dcterms:W3CDTF">2022-07-25T14:09:00Z</dcterms:created>
  <dcterms:modified xsi:type="dcterms:W3CDTF">2023-09-10T10:51:00Z</dcterms:modified>
</cp:coreProperties>
</file>