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B6D18" w14:textId="77777777" w:rsidR="00165BED" w:rsidRPr="003E3F5D" w:rsidRDefault="00165BED" w:rsidP="003E3F5D">
      <w:pPr>
        <w:pStyle w:val="Heading1"/>
        <w:jc w:val="both"/>
        <w:rPr>
          <w:rFonts w:ascii="Calibri" w:eastAsia="Calibri" w:hAnsi="Calibri" w:cs="Calibri"/>
          <w:sz w:val="22"/>
          <w:szCs w:val="22"/>
        </w:rPr>
      </w:pPr>
    </w:p>
    <w:p w14:paraId="1CA4FE26" w14:textId="720B10FA" w:rsidR="00165BED" w:rsidRPr="003E3F5D" w:rsidRDefault="009D4909" w:rsidP="003E3F5D">
      <w:pPr>
        <w:keepNext/>
        <w:keepLines/>
        <w:pBdr>
          <w:top w:val="nil"/>
          <w:left w:val="nil"/>
          <w:bottom w:val="nil"/>
          <w:right w:val="nil"/>
          <w:between w:val="nil"/>
        </w:pBdr>
        <w:spacing w:before="240" w:after="0" w:line="259" w:lineRule="auto"/>
        <w:jc w:val="center"/>
        <w:rPr>
          <w:rFonts w:ascii="Calibri" w:eastAsia="Calibri" w:hAnsi="Calibri" w:cs="Calibri"/>
          <w:b/>
          <w:color w:val="0F4761"/>
          <w:sz w:val="28"/>
          <w:szCs w:val="28"/>
          <w:u w:val="single"/>
        </w:rPr>
      </w:pPr>
      <w:r w:rsidRPr="003E3F5D">
        <w:rPr>
          <w:rFonts w:ascii="Calibri" w:eastAsia="Calibri" w:hAnsi="Calibri" w:cs="Calibri"/>
          <w:b/>
          <w:color w:val="0F4761"/>
          <w:sz w:val="28"/>
          <w:szCs w:val="28"/>
          <w:u w:val="single"/>
        </w:rPr>
        <w:t>Observaciones al informe presentado por el Estado Argentino</w:t>
      </w:r>
    </w:p>
    <w:p w14:paraId="00B6B5C6" w14:textId="77777777" w:rsidR="00165BED" w:rsidRPr="003E3F5D" w:rsidRDefault="009D4909" w:rsidP="003E3F5D">
      <w:pPr>
        <w:keepNext/>
        <w:keepLines/>
        <w:pBdr>
          <w:top w:val="nil"/>
          <w:left w:val="nil"/>
          <w:bottom w:val="nil"/>
          <w:right w:val="nil"/>
          <w:between w:val="nil"/>
        </w:pBdr>
        <w:spacing w:before="240" w:after="0" w:line="259" w:lineRule="auto"/>
        <w:jc w:val="center"/>
        <w:rPr>
          <w:rFonts w:ascii="Calibri" w:eastAsia="Calibri" w:hAnsi="Calibri" w:cs="Calibri"/>
          <w:b/>
          <w:color w:val="0F4761"/>
          <w:sz w:val="28"/>
          <w:szCs w:val="28"/>
          <w:u w:val="single"/>
        </w:rPr>
      </w:pPr>
      <w:r w:rsidRPr="003E3F5D">
        <w:rPr>
          <w:rFonts w:ascii="Calibri" w:eastAsia="Calibri" w:hAnsi="Calibri" w:cs="Calibri"/>
          <w:b/>
          <w:color w:val="0F4761"/>
          <w:sz w:val="28"/>
          <w:szCs w:val="28"/>
          <w:u w:val="single"/>
        </w:rPr>
        <w:t>Comité Contra la Tortura - 83° periodo de sesiones</w:t>
      </w:r>
    </w:p>
    <w:p w14:paraId="7C6828B8" w14:textId="77777777" w:rsidR="00165BED" w:rsidRPr="003E3F5D" w:rsidRDefault="00165BED" w:rsidP="003E3F5D">
      <w:pPr>
        <w:keepNext/>
        <w:keepLines/>
        <w:pBdr>
          <w:top w:val="nil"/>
          <w:left w:val="nil"/>
          <w:bottom w:val="nil"/>
          <w:right w:val="nil"/>
          <w:between w:val="nil"/>
        </w:pBdr>
        <w:spacing w:before="240" w:after="0" w:line="259" w:lineRule="auto"/>
        <w:jc w:val="both"/>
        <w:rPr>
          <w:rFonts w:ascii="Calibri" w:eastAsia="Calibri" w:hAnsi="Calibri" w:cs="Calibri"/>
          <w:color w:val="0F4761"/>
          <w:sz w:val="22"/>
          <w:szCs w:val="22"/>
        </w:rPr>
      </w:pPr>
    </w:p>
    <w:sdt>
      <w:sdtPr>
        <w:rPr>
          <w:rFonts w:ascii="Calibri" w:eastAsia="Aptos" w:hAnsi="Calibri" w:cs="Calibri"/>
          <w:color w:val="auto"/>
          <w:sz w:val="22"/>
          <w:szCs w:val="22"/>
          <w:lang w:val="es-ES"/>
        </w:rPr>
        <w:id w:val="1892993278"/>
        <w:docPartObj>
          <w:docPartGallery w:val="Table of Contents"/>
          <w:docPartUnique/>
        </w:docPartObj>
      </w:sdtPr>
      <w:sdtEndPr>
        <w:rPr>
          <w:b/>
          <w:bCs/>
        </w:rPr>
      </w:sdtEndPr>
      <w:sdtContent>
        <w:p w14:paraId="7FC78917" w14:textId="3DC48D38" w:rsidR="003E3F5D" w:rsidRPr="003E3F5D" w:rsidRDefault="003E3F5D">
          <w:pPr>
            <w:pStyle w:val="TOCHeading"/>
            <w:rPr>
              <w:rFonts w:ascii="Calibri" w:hAnsi="Calibri" w:cs="Calibri"/>
              <w:sz w:val="22"/>
              <w:szCs w:val="22"/>
            </w:rPr>
          </w:pPr>
          <w:r w:rsidRPr="003E3F5D">
            <w:rPr>
              <w:rFonts w:ascii="Calibri" w:hAnsi="Calibri" w:cs="Calibri"/>
              <w:sz w:val="22"/>
              <w:szCs w:val="22"/>
              <w:lang w:val="es-ES"/>
            </w:rPr>
            <w:t>Contenido</w:t>
          </w:r>
        </w:p>
        <w:p w14:paraId="1F3A98C6" w14:textId="66773EF8"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r w:rsidRPr="003E3F5D">
            <w:rPr>
              <w:rFonts w:ascii="Calibri" w:hAnsi="Calibri" w:cs="Calibri"/>
              <w:sz w:val="22"/>
              <w:szCs w:val="22"/>
            </w:rPr>
            <w:fldChar w:fldCharType="begin"/>
          </w:r>
          <w:r w:rsidRPr="003E3F5D">
            <w:rPr>
              <w:rFonts w:ascii="Calibri" w:hAnsi="Calibri" w:cs="Calibri"/>
              <w:sz w:val="22"/>
              <w:szCs w:val="22"/>
            </w:rPr>
            <w:instrText xml:space="preserve"> TOC \o "1-3" \h \z \u </w:instrText>
          </w:r>
          <w:r w:rsidRPr="003E3F5D">
            <w:rPr>
              <w:rFonts w:ascii="Calibri" w:hAnsi="Calibri" w:cs="Calibri"/>
              <w:sz w:val="22"/>
              <w:szCs w:val="22"/>
            </w:rPr>
            <w:fldChar w:fldCharType="separate"/>
          </w:r>
          <w:hyperlink w:anchor="_Toc211292051" w:history="1">
            <w:r w:rsidRPr="003E3F5D">
              <w:rPr>
                <w:rStyle w:val="Hyperlink"/>
                <w:rFonts w:ascii="Calibri" w:eastAsia="Calibri" w:hAnsi="Calibri" w:cs="Calibri"/>
                <w:b/>
                <w:bCs/>
                <w:noProof/>
                <w:sz w:val="22"/>
                <w:szCs w:val="22"/>
              </w:rPr>
              <w:t>RESUMEN EJECUTIVO</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_Toc211292051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3</w:t>
            </w:r>
            <w:r w:rsidRPr="003E3F5D">
              <w:rPr>
                <w:rFonts w:ascii="Calibri" w:hAnsi="Calibri" w:cs="Calibri"/>
                <w:noProof/>
                <w:webHidden/>
                <w:sz w:val="22"/>
                <w:szCs w:val="22"/>
              </w:rPr>
              <w:fldChar w:fldCharType="end"/>
            </w:r>
          </w:hyperlink>
        </w:p>
        <w:p w14:paraId="26039B27" w14:textId="5B7DC354"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52" w:history="1">
            <w:r w:rsidRPr="003E3F5D">
              <w:rPr>
                <w:rStyle w:val="Hyperlink"/>
                <w:rFonts w:ascii="Calibri" w:eastAsia="Calibri" w:hAnsi="Calibri" w:cs="Calibri"/>
                <w:noProof/>
                <w:sz w:val="22"/>
                <w:szCs w:val="22"/>
              </w:rPr>
              <w:t>Sobre las medidas para prevenir abusos policiales en el contexto de detenciones realizadas por las fuerzas de seguridad sin orden judicial.</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_Toc211292052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3</w:t>
            </w:r>
            <w:r w:rsidRPr="003E3F5D">
              <w:rPr>
                <w:rFonts w:ascii="Calibri" w:hAnsi="Calibri" w:cs="Calibri"/>
                <w:noProof/>
                <w:webHidden/>
                <w:sz w:val="22"/>
                <w:szCs w:val="22"/>
              </w:rPr>
              <w:fldChar w:fldCharType="end"/>
            </w:r>
          </w:hyperlink>
        </w:p>
        <w:p w14:paraId="7363FBFC" w14:textId="67BE27EF"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53" w:history="1">
            <w:r w:rsidRPr="003E3F5D">
              <w:rPr>
                <w:rStyle w:val="Hyperlink"/>
                <w:rFonts w:ascii="Calibri" w:eastAsia="Calibri" w:hAnsi="Calibri" w:cs="Calibri"/>
                <w:noProof/>
                <w:sz w:val="22"/>
                <w:szCs w:val="22"/>
              </w:rPr>
              <w:t>Sobre las tasas de encarcelamiento y las medidas alternativas a la privación de la libertad</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_Toc211292053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7</w:t>
            </w:r>
            <w:r w:rsidRPr="003E3F5D">
              <w:rPr>
                <w:rFonts w:ascii="Calibri" w:hAnsi="Calibri" w:cs="Calibri"/>
                <w:noProof/>
                <w:webHidden/>
                <w:sz w:val="22"/>
                <w:szCs w:val="22"/>
              </w:rPr>
              <w:fldChar w:fldCharType="end"/>
            </w:r>
          </w:hyperlink>
        </w:p>
        <w:p w14:paraId="5DC6E410" w14:textId="266F74B1"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54" w:history="1">
            <w:r w:rsidRPr="003E3F5D">
              <w:rPr>
                <w:rStyle w:val="Hyperlink"/>
                <w:rFonts w:ascii="Calibri" w:eastAsia="Calibri" w:hAnsi="Calibri" w:cs="Calibri"/>
                <w:noProof/>
                <w:sz w:val="22"/>
                <w:szCs w:val="22"/>
              </w:rPr>
              <w:t>Tortura penitenciaria y en establecimientos de privación de la libertad</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_Toc211292054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8</w:t>
            </w:r>
            <w:r w:rsidRPr="003E3F5D">
              <w:rPr>
                <w:rFonts w:ascii="Calibri" w:hAnsi="Calibri" w:cs="Calibri"/>
                <w:noProof/>
                <w:webHidden/>
                <w:sz w:val="22"/>
                <w:szCs w:val="22"/>
              </w:rPr>
              <w:fldChar w:fldCharType="end"/>
            </w:r>
          </w:hyperlink>
        </w:p>
        <w:p w14:paraId="32281AD9" w14:textId="4FEEEB78"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55" w:history="1">
            <w:r w:rsidRPr="003E3F5D">
              <w:rPr>
                <w:rStyle w:val="Hyperlink"/>
                <w:rFonts w:ascii="Calibri" w:eastAsia="Calibri" w:hAnsi="Calibri" w:cs="Calibri"/>
                <w:noProof/>
                <w:sz w:val="22"/>
                <w:szCs w:val="22"/>
              </w:rPr>
              <w:t>Sobre las investigaciones judiciales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_Toc211292055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10</w:t>
            </w:r>
            <w:r w:rsidRPr="003E3F5D">
              <w:rPr>
                <w:rFonts w:ascii="Calibri" w:hAnsi="Calibri" w:cs="Calibri"/>
                <w:noProof/>
                <w:webHidden/>
                <w:sz w:val="22"/>
                <w:szCs w:val="22"/>
              </w:rPr>
              <w:fldChar w:fldCharType="end"/>
            </w:r>
          </w:hyperlink>
        </w:p>
        <w:p w14:paraId="479AB2ED" w14:textId="04F8AD02"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56" w:history="1">
            <w:r w:rsidRPr="003E3F5D">
              <w:rPr>
                <w:rStyle w:val="Hyperlink"/>
                <w:rFonts w:ascii="Calibri" w:eastAsia="Calibri" w:hAnsi="Calibri" w:cs="Calibri"/>
                <w:noProof/>
                <w:sz w:val="22"/>
                <w:szCs w:val="22"/>
              </w:rPr>
              <w:t>Sobre las medidas para prevenir los femicidios, la trata y toda forma de violencia contra las mujeres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_Toc211292056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12</w:t>
            </w:r>
            <w:r w:rsidRPr="003E3F5D">
              <w:rPr>
                <w:rFonts w:ascii="Calibri" w:hAnsi="Calibri" w:cs="Calibri"/>
                <w:noProof/>
                <w:webHidden/>
                <w:sz w:val="22"/>
                <w:szCs w:val="22"/>
              </w:rPr>
              <w:fldChar w:fldCharType="end"/>
            </w:r>
          </w:hyperlink>
        </w:p>
        <w:p w14:paraId="14CEFB80" w14:textId="6DF49B00"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57" w:history="1">
            <w:r w:rsidRPr="003E3F5D">
              <w:rPr>
                <w:rStyle w:val="Hyperlink"/>
                <w:rFonts w:ascii="Calibri" w:eastAsia="Calibri" w:hAnsi="Calibri" w:cs="Calibri"/>
                <w:b/>
                <w:noProof/>
                <w:sz w:val="22"/>
                <w:szCs w:val="22"/>
              </w:rPr>
              <w:t>Introducción al informe sobre la implementación de la Convención contra la Tortura del Estado Argentino</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_Toc211292057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14</w:t>
            </w:r>
            <w:r w:rsidRPr="003E3F5D">
              <w:rPr>
                <w:rFonts w:ascii="Calibri" w:hAnsi="Calibri" w:cs="Calibri"/>
                <w:noProof/>
                <w:webHidden/>
                <w:sz w:val="22"/>
                <w:szCs w:val="22"/>
              </w:rPr>
              <w:fldChar w:fldCharType="end"/>
            </w:r>
          </w:hyperlink>
        </w:p>
        <w:p w14:paraId="63932953" w14:textId="6C503AD0"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58" w:history="1">
            <w:r w:rsidRPr="003E3F5D">
              <w:rPr>
                <w:rStyle w:val="Hyperlink"/>
                <w:rFonts w:ascii="Calibri" w:eastAsia="Calibri" w:hAnsi="Calibri" w:cs="Calibri"/>
                <w:noProof/>
                <w:sz w:val="22"/>
                <w:szCs w:val="22"/>
              </w:rPr>
              <w:t>Medidas regresivas en el marco del actual gobierno en el campo de seguridad, derecho penal y privación de la libertad.</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_Toc211292058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14</w:t>
            </w:r>
            <w:r w:rsidRPr="003E3F5D">
              <w:rPr>
                <w:rFonts w:ascii="Calibri" w:hAnsi="Calibri" w:cs="Calibri"/>
                <w:noProof/>
                <w:webHidden/>
                <w:sz w:val="22"/>
                <w:szCs w:val="22"/>
              </w:rPr>
              <w:fldChar w:fldCharType="end"/>
            </w:r>
          </w:hyperlink>
        </w:p>
        <w:p w14:paraId="1FA54E77" w14:textId="10932621"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59" w:history="1">
            <w:r w:rsidRPr="003E3F5D">
              <w:rPr>
                <w:rStyle w:val="Hyperlink"/>
                <w:rFonts w:ascii="Calibri" w:eastAsia="Calibri" w:hAnsi="Calibri" w:cs="Calibri"/>
                <w:noProof/>
                <w:sz w:val="22"/>
                <w:szCs w:val="22"/>
              </w:rPr>
              <w:t>Sobre las medidas para prevenir abusos policiales en el contexto de detenciones realizadas por las fuerzas de seguridad sin orden judicial.</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_Toc211292059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16</w:t>
            </w:r>
            <w:r w:rsidRPr="003E3F5D">
              <w:rPr>
                <w:rFonts w:ascii="Calibri" w:hAnsi="Calibri" w:cs="Calibri"/>
                <w:noProof/>
                <w:webHidden/>
                <w:sz w:val="22"/>
                <w:szCs w:val="22"/>
              </w:rPr>
              <w:fldChar w:fldCharType="end"/>
            </w:r>
          </w:hyperlink>
        </w:p>
        <w:p w14:paraId="23BFE1A1" w14:textId="0F828F12"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0" w:history="1">
            <w:r w:rsidRPr="003E3F5D">
              <w:rPr>
                <w:rStyle w:val="Hyperlink"/>
                <w:rFonts w:ascii="Calibri" w:eastAsia="Calibri" w:hAnsi="Calibri" w:cs="Calibri"/>
                <w:noProof/>
                <w:sz w:val="22"/>
                <w:szCs w:val="22"/>
              </w:rPr>
              <w:t>Del incumplimiento de las salvaguardias por parte del personal policial</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_Toc211292060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18</w:t>
            </w:r>
            <w:r w:rsidRPr="003E3F5D">
              <w:rPr>
                <w:rFonts w:ascii="Calibri" w:hAnsi="Calibri" w:cs="Calibri"/>
                <w:noProof/>
                <w:webHidden/>
                <w:sz w:val="22"/>
                <w:szCs w:val="22"/>
              </w:rPr>
              <w:fldChar w:fldCharType="end"/>
            </w:r>
          </w:hyperlink>
        </w:p>
        <w:p w14:paraId="133FB263" w14:textId="7A9F82F8"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1" w:history="1">
            <w:r w:rsidRPr="003E3F5D">
              <w:rPr>
                <w:rStyle w:val="Hyperlink"/>
                <w:rFonts w:ascii="Calibri" w:eastAsia="Calibri" w:hAnsi="Calibri" w:cs="Calibri"/>
                <w:noProof/>
                <w:sz w:val="22"/>
                <w:szCs w:val="22"/>
              </w:rPr>
              <w:t>Sobre la atribución irregular a patrullas judiciales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_Toc211292061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20</w:t>
            </w:r>
            <w:r w:rsidRPr="003E3F5D">
              <w:rPr>
                <w:rFonts w:ascii="Calibri" w:hAnsi="Calibri" w:cs="Calibri"/>
                <w:noProof/>
                <w:webHidden/>
                <w:sz w:val="22"/>
                <w:szCs w:val="22"/>
              </w:rPr>
              <w:fldChar w:fldCharType="end"/>
            </w:r>
          </w:hyperlink>
        </w:p>
        <w:p w14:paraId="0DAB2BBA" w14:textId="730A344A"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2" w:history="1">
            <w:r w:rsidRPr="003E3F5D">
              <w:rPr>
                <w:rStyle w:val="Hyperlink"/>
                <w:rFonts w:ascii="Calibri" w:eastAsia="Calibri" w:hAnsi="Calibri" w:cs="Calibri"/>
                <w:noProof/>
                <w:sz w:val="22"/>
                <w:szCs w:val="22"/>
              </w:rPr>
              <w:t>Jóvenes en Comisarías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_Toc211292062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23</w:t>
            </w:r>
            <w:r w:rsidRPr="003E3F5D">
              <w:rPr>
                <w:rFonts w:ascii="Calibri" w:hAnsi="Calibri" w:cs="Calibri"/>
                <w:noProof/>
                <w:webHidden/>
                <w:sz w:val="22"/>
                <w:szCs w:val="22"/>
              </w:rPr>
              <w:fldChar w:fldCharType="end"/>
            </w:r>
          </w:hyperlink>
        </w:p>
        <w:p w14:paraId="7AB9350A" w14:textId="2CACF7CF"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3" w:history="1">
            <w:r w:rsidRPr="003E3F5D">
              <w:rPr>
                <w:rStyle w:val="Hyperlink"/>
                <w:rFonts w:ascii="Calibri" w:eastAsia="Calibri" w:hAnsi="Calibri" w:cs="Calibri"/>
                <w:noProof/>
                <w:sz w:val="22"/>
                <w:szCs w:val="22"/>
              </w:rPr>
              <w:t>La intervención judicial en los casos de abusos policiales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_Toc211292063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23</w:t>
            </w:r>
            <w:r w:rsidRPr="003E3F5D">
              <w:rPr>
                <w:rFonts w:ascii="Calibri" w:hAnsi="Calibri" w:cs="Calibri"/>
                <w:noProof/>
                <w:webHidden/>
                <w:sz w:val="22"/>
                <w:szCs w:val="22"/>
              </w:rPr>
              <w:fldChar w:fldCharType="end"/>
            </w:r>
          </w:hyperlink>
        </w:p>
        <w:p w14:paraId="2E34C2DC" w14:textId="09478594"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4" w:history="1">
            <w:r w:rsidRPr="003E3F5D">
              <w:rPr>
                <w:rStyle w:val="Hyperlink"/>
                <w:rFonts w:ascii="Calibri" w:eastAsia="Calibri" w:hAnsi="Calibri" w:cs="Calibri"/>
                <w:noProof/>
                <w:sz w:val="22"/>
                <w:szCs w:val="22"/>
              </w:rPr>
              <w:t>Relevamiento de registros de dependencias policiales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_Toc211292064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24</w:t>
            </w:r>
            <w:r w:rsidRPr="003E3F5D">
              <w:rPr>
                <w:rFonts w:ascii="Calibri" w:hAnsi="Calibri" w:cs="Calibri"/>
                <w:noProof/>
                <w:webHidden/>
                <w:sz w:val="22"/>
                <w:szCs w:val="22"/>
              </w:rPr>
              <w:fldChar w:fldCharType="end"/>
            </w:r>
          </w:hyperlink>
        </w:p>
        <w:p w14:paraId="39244013" w14:textId="781E1F0E"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5" w:history="1">
            <w:r w:rsidRPr="003E3F5D">
              <w:rPr>
                <w:rStyle w:val="Hyperlink"/>
                <w:rFonts w:ascii="Calibri" w:eastAsia="Calibri" w:hAnsi="Calibri" w:cs="Calibri"/>
                <w:noProof/>
                <w:sz w:val="22"/>
                <w:szCs w:val="22"/>
              </w:rPr>
              <w:t>Procedimientos penales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_Toc211292065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25</w:t>
            </w:r>
            <w:r w:rsidRPr="003E3F5D">
              <w:rPr>
                <w:rFonts w:ascii="Calibri" w:hAnsi="Calibri" w:cs="Calibri"/>
                <w:noProof/>
                <w:webHidden/>
                <w:sz w:val="22"/>
                <w:szCs w:val="22"/>
              </w:rPr>
              <w:fldChar w:fldCharType="end"/>
            </w:r>
          </w:hyperlink>
        </w:p>
        <w:p w14:paraId="3EBADDB0" w14:textId="56F23146"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6" w:history="1">
            <w:r w:rsidRPr="003E3F5D">
              <w:rPr>
                <w:rStyle w:val="Hyperlink"/>
                <w:rFonts w:ascii="Calibri" w:eastAsia="Calibri" w:hAnsi="Calibri" w:cs="Calibri"/>
                <w:noProof/>
                <w:sz w:val="22"/>
                <w:szCs w:val="22"/>
              </w:rPr>
              <w:t>Registro de casos de uso letal de la fuerza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_Toc211292066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26</w:t>
            </w:r>
            <w:r w:rsidRPr="003E3F5D">
              <w:rPr>
                <w:rFonts w:ascii="Calibri" w:hAnsi="Calibri" w:cs="Calibri"/>
                <w:noProof/>
                <w:webHidden/>
                <w:sz w:val="22"/>
                <w:szCs w:val="22"/>
              </w:rPr>
              <w:fldChar w:fldCharType="end"/>
            </w:r>
          </w:hyperlink>
        </w:p>
        <w:p w14:paraId="21D7790A" w14:textId="0BEDCFF0"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67" w:history="1">
            <w:r w:rsidRPr="003E3F5D">
              <w:rPr>
                <w:rStyle w:val="Hyperlink"/>
                <w:rFonts w:ascii="Calibri" w:eastAsia="Calibri" w:hAnsi="Calibri" w:cs="Calibri"/>
                <w:noProof/>
                <w:sz w:val="22"/>
                <w:szCs w:val="22"/>
              </w:rPr>
              <w:t>Sobre las tasas de encarcelamiento y las medidas alternativas a la privación de la libertad.</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_Toc211292067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28</w:t>
            </w:r>
            <w:r w:rsidRPr="003E3F5D">
              <w:rPr>
                <w:rFonts w:ascii="Calibri" w:hAnsi="Calibri" w:cs="Calibri"/>
                <w:noProof/>
                <w:webHidden/>
                <w:sz w:val="22"/>
                <w:szCs w:val="22"/>
              </w:rPr>
              <w:fldChar w:fldCharType="end"/>
            </w:r>
          </w:hyperlink>
        </w:p>
        <w:p w14:paraId="624B2EC7" w14:textId="17A2DD06"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8" w:history="1">
            <w:r w:rsidRPr="003E3F5D">
              <w:rPr>
                <w:rStyle w:val="Hyperlink"/>
                <w:rFonts w:ascii="Calibri" w:hAnsi="Calibri" w:cs="Calibri"/>
                <w:noProof/>
                <w:sz w:val="22"/>
                <w:szCs w:val="22"/>
              </w:rPr>
              <w:t>Introducción</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_Toc211292068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28</w:t>
            </w:r>
            <w:r w:rsidRPr="003E3F5D">
              <w:rPr>
                <w:rFonts w:ascii="Calibri" w:hAnsi="Calibri" w:cs="Calibri"/>
                <w:noProof/>
                <w:webHidden/>
                <w:sz w:val="22"/>
                <w:szCs w:val="22"/>
              </w:rPr>
              <w:fldChar w:fldCharType="end"/>
            </w:r>
          </w:hyperlink>
        </w:p>
        <w:p w14:paraId="794E6055" w14:textId="25F714A0"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69" w:history="1">
            <w:r w:rsidRPr="003E3F5D">
              <w:rPr>
                <w:rStyle w:val="Hyperlink"/>
                <w:rFonts w:ascii="Calibri" w:eastAsia="Calibri" w:hAnsi="Calibri" w:cs="Calibri"/>
                <w:noProof/>
                <w:sz w:val="22"/>
                <w:szCs w:val="22"/>
              </w:rPr>
              <w:t>El plan de infraestructura edilicia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_Toc211292069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29</w:t>
            </w:r>
            <w:r w:rsidRPr="003E3F5D">
              <w:rPr>
                <w:rFonts w:ascii="Calibri" w:hAnsi="Calibri" w:cs="Calibri"/>
                <w:noProof/>
                <w:webHidden/>
                <w:sz w:val="22"/>
                <w:szCs w:val="22"/>
              </w:rPr>
              <w:fldChar w:fldCharType="end"/>
            </w:r>
          </w:hyperlink>
        </w:p>
        <w:p w14:paraId="4ED28720" w14:textId="0E015175"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70" w:history="1">
            <w:r w:rsidRPr="003E3F5D">
              <w:rPr>
                <w:rStyle w:val="Hyperlink"/>
                <w:rFonts w:ascii="Calibri" w:eastAsia="Calibri" w:hAnsi="Calibri" w:cs="Calibri"/>
                <w:noProof/>
                <w:sz w:val="22"/>
                <w:szCs w:val="22"/>
              </w:rPr>
              <w:t>El encarcelamiento en la Provincia de Buenos Aires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_Toc211292070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30</w:t>
            </w:r>
            <w:r w:rsidRPr="003E3F5D">
              <w:rPr>
                <w:rFonts w:ascii="Calibri" w:hAnsi="Calibri" w:cs="Calibri"/>
                <w:noProof/>
                <w:webHidden/>
                <w:sz w:val="22"/>
                <w:szCs w:val="22"/>
              </w:rPr>
              <w:fldChar w:fldCharType="end"/>
            </w:r>
          </w:hyperlink>
        </w:p>
        <w:p w14:paraId="7D96C657" w14:textId="58E5156F"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71" w:history="1">
            <w:r w:rsidRPr="003E3F5D">
              <w:rPr>
                <w:rStyle w:val="Hyperlink"/>
                <w:rFonts w:ascii="Calibri" w:eastAsia="Calibri" w:hAnsi="Calibri" w:cs="Calibri"/>
                <w:noProof/>
                <w:sz w:val="22"/>
                <w:szCs w:val="22"/>
              </w:rPr>
              <w:t>Sobrepoblación</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_Toc211292071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31</w:t>
            </w:r>
            <w:r w:rsidRPr="003E3F5D">
              <w:rPr>
                <w:rFonts w:ascii="Calibri" w:hAnsi="Calibri" w:cs="Calibri"/>
                <w:noProof/>
                <w:webHidden/>
                <w:sz w:val="22"/>
                <w:szCs w:val="22"/>
              </w:rPr>
              <w:fldChar w:fldCharType="end"/>
            </w:r>
          </w:hyperlink>
        </w:p>
        <w:p w14:paraId="1C43F124" w14:textId="6B7312BB"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72" w:history="1">
            <w:r w:rsidRPr="003E3F5D">
              <w:rPr>
                <w:rStyle w:val="Hyperlink"/>
                <w:rFonts w:ascii="Calibri" w:eastAsia="Calibri" w:hAnsi="Calibri" w:cs="Calibri"/>
                <w:noProof/>
                <w:sz w:val="22"/>
                <w:szCs w:val="22"/>
              </w:rPr>
              <w:t>La prisión preventiva como regla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_Toc211292072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33</w:t>
            </w:r>
            <w:r w:rsidRPr="003E3F5D">
              <w:rPr>
                <w:rFonts w:ascii="Calibri" w:hAnsi="Calibri" w:cs="Calibri"/>
                <w:noProof/>
                <w:webHidden/>
                <w:sz w:val="22"/>
                <w:szCs w:val="22"/>
              </w:rPr>
              <w:fldChar w:fldCharType="end"/>
            </w:r>
          </w:hyperlink>
        </w:p>
        <w:p w14:paraId="7586BD87" w14:textId="4D55997F"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73" w:history="1">
            <w:r w:rsidRPr="003E3F5D">
              <w:rPr>
                <w:rStyle w:val="Hyperlink"/>
                <w:rFonts w:ascii="Calibri" w:eastAsia="Calibri" w:hAnsi="Calibri" w:cs="Calibri"/>
                <w:noProof/>
                <w:sz w:val="22"/>
                <w:szCs w:val="22"/>
              </w:rPr>
              <w:t>Tortura Penitenciaria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_Toc211292073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36</w:t>
            </w:r>
            <w:r w:rsidRPr="003E3F5D">
              <w:rPr>
                <w:rFonts w:ascii="Calibri" w:hAnsi="Calibri" w:cs="Calibri"/>
                <w:noProof/>
                <w:webHidden/>
                <w:sz w:val="22"/>
                <w:szCs w:val="22"/>
              </w:rPr>
              <w:fldChar w:fldCharType="end"/>
            </w:r>
          </w:hyperlink>
        </w:p>
        <w:p w14:paraId="4D21E0DF" w14:textId="42D2C0EE"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74" w:history="1">
            <w:r w:rsidRPr="003E3F5D">
              <w:rPr>
                <w:rStyle w:val="Hyperlink"/>
                <w:rFonts w:ascii="Calibri" w:eastAsia="Calibri" w:hAnsi="Calibri" w:cs="Calibri"/>
                <w:noProof/>
                <w:sz w:val="22"/>
                <w:szCs w:val="22"/>
              </w:rPr>
              <w:t>Casos de graves de salud y la imposibilidad de otorgamiento de medidas alternativas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_Toc211292074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40</w:t>
            </w:r>
            <w:r w:rsidRPr="003E3F5D">
              <w:rPr>
                <w:rFonts w:ascii="Calibri" w:hAnsi="Calibri" w:cs="Calibri"/>
                <w:noProof/>
                <w:webHidden/>
                <w:sz w:val="22"/>
                <w:szCs w:val="22"/>
              </w:rPr>
              <w:fldChar w:fldCharType="end"/>
            </w:r>
          </w:hyperlink>
        </w:p>
        <w:p w14:paraId="27BCBC88" w14:textId="00A85735"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75" w:history="1">
            <w:r w:rsidRPr="003E3F5D">
              <w:rPr>
                <w:rStyle w:val="Hyperlink"/>
                <w:rFonts w:ascii="Calibri" w:eastAsia="Calibri" w:hAnsi="Calibri" w:cs="Calibri"/>
                <w:noProof/>
                <w:sz w:val="22"/>
                <w:szCs w:val="22"/>
              </w:rPr>
              <w:t>Ausencia de control judicial efectivo</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_Toc211292075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42</w:t>
            </w:r>
            <w:r w:rsidRPr="003E3F5D">
              <w:rPr>
                <w:rFonts w:ascii="Calibri" w:hAnsi="Calibri" w:cs="Calibri"/>
                <w:noProof/>
                <w:webHidden/>
                <w:sz w:val="22"/>
                <w:szCs w:val="22"/>
              </w:rPr>
              <w:fldChar w:fldCharType="end"/>
            </w:r>
          </w:hyperlink>
        </w:p>
        <w:p w14:paraId="0E996801" w14:textId="3598EF6E"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76" w:history="1">
            <w:r w:rsidRPr="003E3F5D">
              <w:rPr>
                <w:rStyle w:val="Hyperlink"/>
                <w:rFonts w:ascii="Calibri" w:eastAsia="Calibri" w:hAnsi="Calibri" w:cs="Calibri"/>
                <w:noProof/>
                <w:sz w:val="22"/>
                <w:szCs w:val="22"/>
              </w:rPr>
              <w:t>Medidas de aislamiento</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_Toc211292076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44</w:t>
            </w:r>
            <w:r w:rsidRPr="003E3F5D">
              <w:rPr>
                <w:rFonts w:ascii="Calibri" w:hAnsi="Calibri" w:cs="Calibri"/>
                <w:noProof/>
                <w:webHidden/>
                <w:sz w:val="22"/>
                <w:szCs w:val="22"/>
              </w:rPr>
              <w:fldChar w:fldCharType="end"/>
            </w:r>
          </w:hyperlink>
        </w:p>
        <w:p w14:paraId="2E37A37D" w14:textId="1B90EDD3"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77" w:history="1">
            <w:r w:rsidRPr="003E3F5D">
              <w:rPr>
                <w:rStyle w:val="Hyperlink"/>
                <w:rFonts w:ascii="Calibri" w:eastAsia="Calibri" w:hAnsi="Calibri" w:cs="Calibri"/>
                <w:noProof/>
                <w:sz w:val="22"/>
                <w:szCs w:val="22"/>
              </w:rPr>
              <w:t>Las leoneras como tortura y practica disciplinaria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_Toc211292077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44</w:t>
            </w:r>
            <w:r w:rsidRPr="003E3F5D">
              <w:rPr>
                <w:rFonts w:ascii="Calibri" w:hAnsi="Calibri" w:cs="Calibri"/>
                <w:noProof/>
                <w:webHidden/>
                <w:sz w:val="22"/>
                <w:szCs w:val="22"/>
              </w:rPr>
              <w:fldChar w:fldCharType="end"/>
            </w:r>
          </w:hyperlink>
        </w:p>
        <w:p w14:paraId="2787C3EF" w14:textId="04F82437"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78" w:history="1">
            <w:r w:rsidRPr="003E3F5D">
              <w:rPr>
                <w:rStyle w:val="Hyperlink"/>
                <w:rFonts w:ascii="Calibri" w:eastAsia="Calibri" w:hAnsi="Calibri" w:cs="Calibri"/>
                <w:noProof/>
                <w:sz w:val="22"/>
                <w:szCs w:val="22"/>
              </w:rPr>
              <w:t>Niños, Niñas y Jóvenes (NNJ). condiciones de detención  en Hogares convivenciales y dentro del Sistema de Responsabilidad Juvenil</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_Toc211292078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46</w:t>
            </w:r>
            <w:r w:rsidRPr="003E3F5D">
              <w:rPr>
                <w:rFonts w:ascii="Calibri" w:hAnsi="Calibri" w:cs="Calibri"/>
                <w:noProof/>
                <w:webHidden/>
                <w:sz w:val="22"/>
                <w:szCs w:val="22"/>
              </w:rPr>
              <w:fldChar w:fldCharType="end"/>
            </w:r>
          </w:hyperlink>
        </w:p>
        <w:p w14:paraId="1E747348" w14:textId="048058D1"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79" w:history="1">
            <w:r w:rsidRPr="003E3F5D">
              <w:rPr>
                <w:rStyle w:val="Hyperlink"/>
                <w:rFonts w:ascii="Calibri" w:eastAsia="Calibri" w:hAnsi="Calibri" w:cs="Calibri"/>
                <w:noProof/>
                <w:sz w:val="22"/>
                <w:szCs w:val="22"/>
              </w:rPr>
              <w:t>Muertes en contexto de encierro penitenciario</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_Toc211292079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49</w:t>
            </w:r>
            <w:r w:rsidRPr="003E3F5D">
              <w:rPr>
                <w:rFonts w:ascii="Calibri" w:hAnsi="Calibri" w:cs="Calibri"/>
                <w:noProof/>
                <w:webHidden/>
                <w:sz w:val="22"/>
                <w:szCs w:val="22"/>
              </w:rPr>
              <w:fldChar w:fldCharType="end"/>
            </w:r>
          </w:hyperlink>
        </w:p>
        <w:p w14:paraId="74774142" w14:textId="730E3BAD"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80" w:history="1">
            <w:r w:rsidRPr="003E3F5D">
              <w:rPr>
                <w:rStyle w:val="Hyperlink"/>
                <w:rFonts w:ascii="Calibri" w:eastAsia="Calibri" w:hAnsi="Calibri" w:cs="Calibri"/>
                <w:noProof/>
                <w:sz w:val="22"/>
                <w:szCs w:val="22"/>
              </w:rPr>
              <w:t>Análisis y Estadísticas sobre causales.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_Toc211292080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49</w:t>
            </w:r>
            <w:r w:rsidRPr="003E3F5D">
              <w:rPr>
                <w:rFonts w:ascii="Calibri" w:hAnsi="Calibri" w:cs="Calibri"/>
                <w:noProof/>
                <w:webHidden/>
                <w:sz w:val="22"/>
                <w:szCs w:val="22"/>
              </w:rPr>
              <w:fldChar w:fldCharType="end"/>
            </w:r>
          </w:hyperlink>
        </w:p>
        <w:p w14:paraId="1E0F7258" w14:textId="19CC0B1D"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81" w:history="1">
            <w:r w:rsidRPr="003E3F5D">
              <w:rPr>
                <w:rStyle w:val="Hyperlink"/>
                <w:rFonts w:ascii="Calibri" w:eastAsia="Calibri" w:hAnsi="Calibri" w:cs="Calibri"/>
                <w:noProof/>
                <w:sz w:val="22"/>
                <w:szCs w:val="22"/>
              </w:rPr>
              <w:t>La investigación</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_Toc211292081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50</w:t>
            </w:r>
            <w:r w:rsidRPr="003E3F5D">
              <w:rPr>
                <w:rFonts w:ascii="Calibri" w:hAnsi="Calibri" w:cs="Calibri"/>
                <w:noProof/>
                <w:webHidden/>
                <w:sz w:val="22"/>
                <w:szCs w:val="22"/>
              </w:rPr>
              <w:fldChar w:fldCharType="end"/>
            </w:r>
          </w:hyperlink>
        </w:p>
        <w:p w14:paraId="51A26D10" w14:textId="14120FFA"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82" w:history="1">
            <w:r w:rsidRPr="003E3F5D">
              <w:rPr>
                <w:rStyle w:val="Hyperlink"/>
                <w:rFonts w:ascii="Calibri" w:hAnsi="Calibri" w:cs="Calibri"/>
                <w:noProof/>
                <w:sz w:val="22"/>
                <w:szCs w:val="22"/>
              </w:rPr>
              <w:t>El Sistema de salud mental</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_Toc211292082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52</w:t>
            </w:r>
            <w:r w:rsidRPr="003E3F5D">
              <w:rPr>
                <w:rFonts w:ascii="Calibri" w:hAnsi="Calibri" w:cs="Calibri"/>
                <w:noProof/>
                <w:webHidden/>
                <w:sz w:val="22"/>
                <w:szCs w:val="22"/>
              </w:rPr>
              <w:fldChar w:fldCharType="end"/>
            </w:r>
          </w:hyperlink>
        </w:p>
        <w:p w14:paraId="5F3EE982" w14:textId="39FBB9AF"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83" w:history="1">
            <w:r w:rsidRPr="003E3F5D">
              <w:rPr>
                <w:rStyle w:val="Hyperlink"/>
                <w:rFonts w:ascii="Calibri" w:eastAsia="Calibri" w:hAnsi="Calibri" w:cs="Calibri"/>
                <w:noProof/>
                <w:sz w:val="22"/>
                <w:szCs w:val="22"/>
              </w:rPr>
              <w:t>Detención en comisarías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_Toc211292083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54</w:t>
            </w:r>
            <w:r w:rsidRPr="003E3F5D">
              <w:rPr>
                <w:rFonts w:ascii="Calibri" w:hAnsi="Calibri" w:cs="Calibri"/>
                <w:noProof/>
                <w:webHidden/>
                <w:sz w:val="22"/>
                <w:szCs w:val="22"/>
              </w:rPr>
              <w:fldChar w:fldCharType="end"/>
            </w:r>
          </w:hyperlink>
        </w:p>
        <w:p w14:paraId="0B91133F" w14:textId="27FB5778"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84" w:history="1">
            <w:r w:rsidRPr="003E3F5D">
              <w:rPr>
                <w:rStyle w:val="Hyperlink"/>
                <w:rFonts w:ascii="Calibri" w:eastAsia="Calibri" w:hAnsi="Calibri" w:cs="Calibri"/>
                <w:noProof/>
                <w:sz w:val="22"/>
                <w:szCs w:val="22"/>
              </w:rPr>
              <w:t>Estadísticas y modus operandi</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_Toc211292084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54</w:t>
            </w:r>
            <w:r w:rsidRPr="003E3F5D">
              <w:rPr>
                <w:rFonts w:ascii="Calibri" w:hAnsi="Calibri" w:cs="Calibri"/>
                <w:noProof/>
                <w:webHidden/>
                <w:sz w:val="22"/>
                <w:szCs w:val="22"/>
              </w:rPr>
              <w:fldChar w:fldCharType="end"/>
            </w:r>
          </w:hyperlink>
        </w:p>
        <w:p w14:paraId="579C0465" w14:textId="63845AE3"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85" w:history="1">
            <w:r w:rsidRPr="003E3F5D">
              <w:rPr>
                <w:rStyle w:val="Hyperlink"/>
                <w:rFonts w:ascii="Calibri" w:eastAsia="Calibri" w:hAnsi="Calibri" w:cs="Calibri"/>
                <w:noProof/>
                <w:sz w:val="22"/>
                <w:szCs w:val="22"/>
              </w:rPr>
              <w:t>Torturas y malos tratos en comisarías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_Toc211292085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56</w:t>
            </w:r>
            <w:r w:rsidRPr="003E3F5D">
              <w:rPr>
                <w:rFonts w:ascii="Calibri" w:hAnsi="Calibri" w:cs="Calibri"/>
                <w:noProof/>
                <w:webHidden/>
                <w:sz w:val="22"/>
                <w:szCs w:val="22"/>
              </w:rPr>
              <w:fldChar w:fldCharType="end"/>
            </w:r>
          </w:hyperlink>
        </w:p>
        <w:p w14:paraId="17616C7D" w14:textId="6F7591BF"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86" w:history="1">
            <w:r w:rsidRPr="003E3F5D">
              <w:rPr>
                <w:rStyle w:val="Hyperlink"/>
                <w:rFonts w:ascii="Calibri" w:eastAsia="Calibri" w:hAnsi="Calibri" w:cs="Calibri"/>
                <w:noProof/>
                <w:sz w:val="22"/>
                <w:szCs w:val="22"/>
              </w:rPr>
              <w:t>Muertes en comisarías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_Toc211292086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56</w:t>
            </w:r>
            <w:r w:rsidRPr="003E3F5D">
              <w:rPr>
                <w:rFonts w:ascii="Calibri" w:hAnsi="Calibri" w:cs="Calibri"/>
                <w:noProof/>
                <w:webHidden/>
                <w:sz w:val="22"/>
                <w:szCs w:val="22"/>
              </w:rPr>
              <w:fldChar w:fldCharType="end"/>
            </w:r>
          </w:hyperlink>
        </w:p>
        <w:p w14:paraId="0F8BAA11" w14:textId="23EA9D9B"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87" w:history="1">
            <w:r w:rsidRPr="003E3F5D">
              <w:rPr>
                <w:rStyle w:val="Hyperlink"/>
                <w:rFonts w:ascii="Calibri" w:eastAsia="Calibri" w:hAnsi="Calibri" w:cs="Calibri"/>
                <w:noProof/>
                <w:sz w:val="22"/>
                <w:szCs w:val="22"/>
              </w:rPr>
              <w:t>Sobre las medidas para prevenir los femicidios, la trata y toda forma de violencia contra las mujeres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_Toc211292087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57</w:t>
            </w:r>
            <w:r w:rsidRPr="003E3F5D">
              <w:rPr>
                <w:rFonts w:ascii="Calibri" w:hAnsi="Calibri" w:cs="Calibri"/>
                <w:noProof/>
                <w:webHidden/>
                <w:sz w:val="22"/>
                <w:szCs w:val="22"/>
              </w:rPr>
              <w:fldChar w:fldCharType="end"/>
            </w:r>
          </w:hyperlink>
        </w:p>
        <w:p w14:paraId="7C07F98E" w14:textId="5C24C4EB"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88" w:history="1">
            <w:r w:rsidRPr="003E3F5D">
              <w:rPr>
                <w:rStyle w:val="Hyperlink"/>
                <w:rFonts w:ascii="Calibri" w:eastAsia="Calibri" w:hAnsi="Calibri" w:cs="Calibri"/>
                <w:noProof/>
                <w:sz w:val="22"/>
                <w:szCs w:val="22"/>
              </w:rPr>
              <w:t>Violencia obstétrica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_Toc211292088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57</w:t>
            </w:r>
            <w:r w:rsidRPr="003E3F5D">
              <w:rPr>
                <w:rFonts w:ascii="Calibri" w:hAnsi="Calibri" w:cs="Calibri"/>
                <w:noProof/>
                <w:webHidden/>
                <w:sz w:val="22"/>
                <w:szCs w:val="22"/>
              </w:rPr>
              <w:fldChar w:fldCharType="end"/>
            </w:r>
          </w:hyperlink>
        </w:p>
        <w:p w14:paraId="58FDC34E" w14:textId="595226E4"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89" w:history="1">
            <w:r w:rsidRPr="003E3F5D">
              <w:rPr>
                <w:rStyle w:val="Hyperlink"/>
                <w:rFonts w:ascii="Calibri" w:hAnsi="Calibri" w:cs="Calibri"/>
                <w:noProof/>
                <w:sz w:val="22"/>
                <w:szCs w:val="22"/>
              </w:rPr>
              <w:t>Investigación de tortura y malos tratos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_Toc211292089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59</w:t>
            </w:r>
            <w:r w:rsidRPr="003E3F5D">
              <w:rPr>
                <w:rFonts w:ascii="Calibri" w:hAnsi="Calibri" w:cs="Calibri"/>
                <w:noProof/>
                <w:webHidden/>
                <w:sz w:val="22"/>
                <w:szCs w:val="22"/>
              </w:rPr>
              <w:fldChar w:fldCharType="end"/>
            </w:r>
          </w:hyperlink>
        </w:p>
        <w:p w14:paraId="1A3A77F5" w14:textId="16A8C413"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90" w:history="1">
            <w:r w:rsidRPr="003E3F5D">
              <w:rPr>
                <w:rStyle w:val="Hyperlink"/>
                <w:rFonts w:ascii="Calibri" w:eastAsia="Calibri" w:hAnsi="Calibri" w:cs="Calibri"/>
                <w:noProof/>
                <w:sz w:val="22"/>
                <w:szCs w:val="22"/>
              </w:rPr>
              <w:t>Introducción</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_Toc211292090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59</w:t>
            </w:r>
            <w:r w:rsidRPr="003E3F5D">
              <w:rPr>
                <w:rFonts w:ascii="Calibri" w:hAnsi="Calibri" w:cs="Calibri"/>
                <w:noProof/>
                <w:webHidden/>
                <w:sz w:val="22"/>
                <w:szCs w:val="22"/>
              </w:rPr>
              <w:fldChar w:fldCharType="end"/>
            </w:r>
          </w:hyperlink>
        </w:p>
        <w:p w14:paraId="5018A5B4" w14:textId="5CF5E3F6"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91" w:history="1">
            <w:r w:rsidRPr="003E3F5D">
              <w:rPr>
                <w:rStyle w:val="Hyperlink"/>
                <w:rFonts w:ascii="Calibri" w:eastAsia="Calibri" w:hAnsi="Calibri" w:cs="Calibri"/>
                <w:noProof/>
                <w:sz w:val="22"/>
                <w:szCs w:val="22"/>
              </w:rPr>
              <w:t>El rol del poder judicial en la investigación de funcionarios públicos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_Toc211292091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59</w:t>
            </w:r>
            <w:r w:rsidRPr="003E3F5D">
              <w:rPr>
                <w:rFonts w:ascii="Calibri" w:hAnsi="Calibri" w:cs="Calibri"/>
                <w:noProof/>
                <w:webHidden/>
                <w:sz w:val="22"/>
                <w:szCs w:val="22"/>
              </w:rPr>
              <w:fldChar w:fldCharType="end"/>
            </w:r>
          </w:hyperlink>
        </w:p>
        <w:p w14:paraId="5C99D0F7" w14:textId="42DFD74D"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92" w:history="1">
            <w:r w:rsidRPr="003E3F5D">
              <w:rPr>
                <w:rStyle w:val="Hyperlink"/>
                <w:rFonts w:ascii="Calibri" w:eastAsia="Calibri" w:hAnsi="Calibri" w:cs="Calibri"/>
                <w:noProof/>
                <w:sz w:val="22"/>
                <w:szCs w:val="22"/>
              </w:rPr>
              <w:t>La falta de proactividad ante las denuncias y Falta de órganos especializados para investigar las denuncias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_Toc211292092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61</w:t>
            </w:r>
            <w:r w:rsidRPr="003E3F5D">
              <w:rPr>
                <w:rFonts w:ascii="Calibri" w:hAnsi="Calibri" w:cs="Calibri"/>
                <w:noProof/>
                <w:webHidden/>
                <w:sz w:val="22"/>
                <w:szCs w:val="22"/>
              </w:rPr>
              <w:fldChar w:fldCharType="end"/>
            </w:r>
          </w:hyperlink>
        </w:p>
        <w:p w14:paraId="13F28720" w14:textId="3E8AFF5B"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93" w:history="1">
            <w:r w:rsidRPr="003E3F5D">
              <w:rPr>
                <w:rStyle w:val="Hyperlink"/>
                <w:rFonts w:ascii="Calibri" w:eastAsia="Calibri" w:hAnsi="Calibri" w:cs="Calibri"/>
                <w:noProof/>
                <w:sz w:val="22"/>
                <w:szCs w:val="22"/>
              </w:rPr>
              <w:t>Principio de debida diligencia. Delitos de acción pública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_Toc211292093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63</w:t>
            </w:r>
            <w:r w:rsidRPr="003E3F5D">
              <w:rPr>
                <w:rFonts w:ascii="Calibri" w:hAnsi="Calibri" w:cs="Calibri"/>
                <w:noProof/>
                <w:webHidden/>
                <w:sz w:val="22"/>
                <w:szCs w:val="22"/>
              </w:rPr>
              <w:fldChar w:fldCharType="end"/>
            </w:r>
          </w:hyperlink>
        </w:p>
        <w:p w14:paraId="5A367F9C" w14:textId="5B429BBF"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94" w:history="1">
            <w:r w:rsidRPr="003E3F5D">
              <w:rPr>
                <w:rStyle w:val="Hyperlink"/>
                <w:rFonts w:ascii="Calibri" w:eastAsia="Calibri" w:hAnsi="Calibri" w:cs="Calibri"/>
                <w:noProof/>
                <w:sz w:val="22"/>
                <w:szCs w:val="22"/>
              </w:rPr>
              <w:t>Derechos y garantías de las víctimas de tortura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_Toc211292094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63</w:t>
            </w:r>
            <w:r w:rsidRPr="003E3F5D">
              <w:rPr>
                <w:rFonts w:ascii="Calibri" w:hAnsi="Calibri" w:cs="Calibri"/>
                <w:noProof/>
                <w:webHidden/>
                <w:sz w:val="22"/>
                <w:szCs w:val="22"/>
              </w:rPr>
              <w:fldChar w:fldCharType="end"/>
            </w:r>
          </w:hyperlink>
        </w:p>
        <w:p w14:paraId="77CA6B38" w14:textId="192AB281" w:rsidR="003E3F5D" w:rsidRPr="003E3F5D" w:rsidRDefault="003E3F5D">
          <w:pPr>
            <w:pStyle w:val="TOC3"/>
            <w:tabs>
              <w:tab w:val="right" w:leader="dot" w:pos="8828"/>
            </w:tabs>
            <w:rPr>
              <w:rFonts w:ascii="Calibri" w:eastAsiaTheme="minorEastAsia" w:hAnsi="Calibri" w:cs="Calibri"/>
              <w:noProof/>
              <w:kern w:val="2"/>
              <w:sz w:val="22"/>
              <w:szCs w:val="22"/>
              <w14:ligatures w14:val="standardContextual"/>
            </w:rPr>
          </w:pPr>
          <w:hyperlink w:anchor="_Toc211292095" w:history="1">
            <w:r w:rsidRPr="003E3F5D">
              <w:rPr>
                <w:rStyle w:val="Hyperlink"/>
                <w:rFonts w:ascii="Calibri" w:eastAsia="Calibri" w:hAnsi="Calibri" w:cs="Calibri"/>
                <w:noProof/>
                <w:sz w:val="22"/>
                <w:szCs w:val="22"/>
              </w:rPr>
              <w:t>El caso de la defensa de los victimarios por parte del Estado</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_Toc211292095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63</w:t>
            </w:r>
            <w:r w:rsidRPr="003E3F5D">
              <w:rPr>
                <w:rFonts w:ascii="Calibri" w:hAnsi="Calibri" w:cs="Calibri"/>
                <w:noProof/>
                <w:webHidden/>
                <w:sz w:val="22"/>
                <w:szCs w:val="22"/>
              </w:rPr>
              <w:fldChar w:fldCharType="end"/>
            </w:r>
          </w:hyperlink>
        </w:p>
        <w:p w14:paraId="2B804499" w14:textId="4F5AA891"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96" w:history="1">
            <w:r w:rsidRPr="003E3F5D">
              <w:rPr>
                <w:rStyle w:val="Hyperlink"/>
                <w:rFonts w:ascii="Calibri" w:hAnsi="Calibri" w:cs="Calibri"/>
                <w:noProof/>
                <w:sz w:val="22"/>
                <w:szCs w:val="22"/>
              </w:rPr>
              <w:t>Uso de la fuerza. El accionar policial ante la represión de la protesta.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_Toc211292096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66</w:t>
            </w:r>
            <w:r w:rsidRPr="003E3F5D">
              <w:rPr>
                <w:rFonts w:ascii="Calibri" w:hAnsi="Calibri" w:cs="Calibri"/>
                <w:noProof/>
                <w:webHidden/>
                <w:sz w:val="22"/>
                <w:szCs w:val="22"/>
              </w:rPr>
              <w:fldChar w:fldCharType="end"/>
            </w:r>
          </w:hyperlink>
        </w:p>
        <w:p w14:paraId="72D461CB" w14:textId="2DAD3C51"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97" w:history="1">
            <w:r w:rsidRPr="003E3F5D">
              <w:rPr>
                <w:rStyle w:val="Hyperlink"/>
                <w:rFonts w:ascii="Calibri" w:eastAsia="Calibri" w:hAnsi="Calibri" w:cs="Calibri"/>
                <w:noProof/>
                <w:sz w:val="22"/>
                <w:szCs w:val="22"/>
              </w:rPr>
              <w:t>Introducción</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_Toc211292097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66</w:t>
            </w:r>
            <w:r w:rsidRPr="003E3F5D">
              <w:rPr>
                <w:rFonts w:ascii="Calibri" w:hAnsi="Calibri" w:cs="Calibri"/>
                <w:noProof/>
                <w:webHidden/>
                <w:sz w:val="22"/>
                <w:szCs w:val="22"/>
              </w:rPr>
              <w:fldChar w:fldCharType="end"/>
            </w:r>
          </w:hyperlink>
        </w:p>
        <w:p w14:paraId="58B89C22" w14:textId="2ABEF8C7" w:rsidR="003E3F5D" w:rsidRPr="003E3F5D" w:rsidRDefault="003E3F5D">
          <w:pPr>
            <w:pStyle w:val="TOC2"/>
            <w:tabs>
              <w:tab w:val="right" w:leader="dot" w:pos="8828"/>
            </w:tabs>
            <w:rPr>
              <w:rFonts w:ascii="Calibri" w:eastAsiaTheme="minorEastAsia" w:hAnsi="Calibri" w:cs="Calibri"/>
              <w:noProof/>
              <w:kern w:val="2"/>
              <w:sz w:val="22"/>
              <w:szCs w:val="22"/>
              <w14:ligatures w14:val="standardContextual"/>
            </w:rPr>
          </w:pPr>
          <w:hyperlink w:anchor="_Toc211292098" w:history="1">
            <w:r w:rsidRPr="003E3F5D">
              <w:rPr>
                <w:rStyle w:val="Hyperlink"/>
                <w:rFonts w:ascii="Calibri" w:eastAsia="Calibri" w:hAnsi="Calibri" w:cs="Calibri"/>
                <w:noProof/>
                <w:sz w:val="22"/>
                <w:szCs w:val="22"/>
              </w:rPr>
              <w:t>Modificación del marco jurídico de referencia</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_Toc211292098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66</w:t>
            </w:r>
            <w:r w:rsidRPr="003E3F5D">
              <w:rPr>
                <w:rFonts w:ascii="Calibri" w:hAnsi="Calibri" w:cs="Calibri"/>
                <w:noProof/>
                <w:webHidden/>
                <w:sz w:val="22"/>
                <w:szCs w:val="22"/>
              </w:rPr>
              <w:fldChar w:fldCharType="end"/>
            </w:r>
          </w:hyperlink>
        </w:p>
        <w:p w14:paraId="3D4ABA10" w14:textId="64459C78"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099" w:history="1">
            <w:r w:rsidRPr="003E3F5D">
              <w:rPr>
                <w:rStyle w:val="Hyperlink"/>
                <w:rFonts w:ascii="Calibri" w:eastAsia="Calibri" w:hAnsi="Calibri" w:cs="Calibri"/>
                <w:noProof/>
                <w:sz w:val="22"/>
                <w:szCs w:val="22"/>
              </w:rPr>
              <w:t>Conclusiones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_Toc211292099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70</w:t>
            </w:r>
            <w:r w:rsidRPr="003E3F5D">
              <w:rPr>
                <w:rFonts w:ascii="Calibri" w:hAnsi="Calibri" w:cs="Calibri"/>
                <w:noProof/>
                <w:webHidden/>
                <w:sz w:val="22"/>
                <w:szCs w:val="22"/>
              </w:rPr>
              <w:fldChar w:fldCharType="end"/>
            </w:r>
          </w:hyperlink>
        </w:p>
        <w:p w14:paraId="76D0DF5C" w14:textId="0FCD2271" w:rsidR="003E3F5D" w:rsidRPr="003E3F5D" w:rsidRDefault="003E3F5D">
          <w:pPr>
            <w:pStyle w:val="TOC1"/>
            <w:tabs>
              <w:tab w:val="right" w:leader="dot" w:pos="8828"/>
            </w:tabs>
            <w:rPr>
              <w:rFonts w:ascii="Calibri" w:eastAsiaTheme="minorEastAsia" w:hAnsi="Calibri" w:cs="Calibri"/>
              <w:noProof/>
              <w:kern w:val="2"/>
              <w:sz w:val="22"/>
              <w:szCs w:val="22"/>
              <w14:ligatures w14:val="standardContextual"/>
            </w:rPr>
          </w:pPr>
          <w:hyperlink w:anchor="_Toc211292100" w:history="1">
            <w:r w:rsidRPr="003E3F5D">
              <w:rPr>
                <w:rStyle w:val="Hyperlink"/>
                <w:rFonts w:ascii="Calibri" w:eastAsia="Calibri" w:hAnsi="Calibri" w:cs="Calibri"/>
                <w:noProof/>
                <w:sz w:val="22"/>
                <w:szCs w:val="22"/>
              </w:rPr>
              <w:t>Recomendaciones</w:t>
            </w:r>
            <w:r w:rsidRPr="003E3F5D">
              <w:rPr>
                <w:rFonts w:ascii="Calibri" w:hAnsi="Calibri" w:cs="Calibri"/>
                <w:noProof/>
                <w:webHidden/>
                <w:sz w:val="22"/>
                <w:szCs w:val="22"/>
              </w:rPr>
              <w:tab/>
            </w:r>
            <w:r w:rsidRPr="003E3F5D">
              <w:rPr>
                <w:rFonts w:ascii="Calibri" w:hAnsi="Calibri" w:cs="Calibri"/>
                <w:noProof/>
                <w:webHidden/>
                <w:sz w:val="22"/>
                <w:szCs w:val="22"/>
              </w:rPr>
              <w:fldChar w:fldCharType="begin"/>
            </w:r>
            <w:r w:rsidRPr="003E3F5D">
              <w:rPr>
                <w:rFonts w:ascii="Calibri" w:hAnsi="Calibri" w:cs="Calibri"/>
                <w:noProof/>
                <w:webHidden/>
                <w:sz w:val="22"/>
                <w:szCs w:val="22"/>
              </w:rPr>
              <w:instrText xml:space="preserve"> PAGEREF _Toc211292100 \h </w:instrText>
            </w:r>
            <w:r w:rsidRPr="003E3F5D">
              <w:rPr>
                <w:rFonts w:ascii="Calibri" w:hAnsi="Calibri" w:cs="Calibri"/>
                <w:noProof/>
                <w:webHidden/>
                <w:sz w:val="22"/>
                <w:szCs w:val="22"/>
              </w:rPr>
            </w:r>
            <w:r w:rsidRPr="003E3F5D">
              <w:rPr>
                <w:rFonts w:ascii="Calibri" w:hAnsi="Calibri" w:cs="Calibri"/>
                <w:noProof/>
                <w:webHidden/>
                <w:sz w:val="22"/>
                <w:szCs w:val="22"/>
              </w:rPr>
              <w:fldChar w:fldCharType="separate"/>
            </w:r>
            <w:r w:rsidR="00182DBA">
              <w:rPr>
                <w:rFonts w:ascii="Calibri" w:hAnsi="Calibri" w:cs="Calibri"/>
                <w:noProof/>
                <w:webHidden/>
                <w:sz w:val="22"/>
                <w:szCs w:val="22"/>
              </w:rPr>
              <w:t>71</w:t>
            </w:r>
            <w:r w:rsidRPr="003E3F5D">
              <w:rPr>
                <w:rFonts w:ascii="Calibri" w:hAnsi="Calibri" w:cs="Calibri"/>
                <w:noProof/>
                <w:webHidden/>
                <w:sz w:val="22"/>
                <w:szCs w:val="22"/>
              </w:rPr>
              <w:fldChar w:fldCharType="end"/>
            </w:r>
          </w:hyperlink>
        </w:p>
        <w:p w14:paraId="24E34738" w14:textId="4615CDAC" w:rsidR="003E3F5D" w:rsidRPr="003E3F5D" w:rsidRDefault="003E3F5D">
          <w:pPr>
            <w:rPr>
              <w:rFonts w:ascii="Calibri" w:hAnsi="Calibri" w:cs="Calibri"/>
              <w:sz w:val="22"/>
              <w:szCs w:val="22"/>
            </w:rPr>
          </w:pPr>
          <w:r w:rsidRPr="003E3F5D">
            <w:rPr>
              <w:rFonts w:ascii="Calibri" w:hAnsi="Calibri" w:cs="Calibri"/>
              <w:b/>
              <w:bCs/>
              <w:sz w:val="22"/>
              <w:szCs w:val="22"/>
              <w:lang w:val="es-ES"/>
            </w:rPr>
            <w:fldChar w:fldCharType="end"/>
          </w:r>
        </w:p>
      </w:sdtContent>
    </w:sdt>
    <w:p w14:paraId="4CC2697E" w14:textId="4FF95336" w:rsidR="00165BED" w:rsidRPr="003E3F5D" w:rsidRDefault="009D4909" w:rsidP="003E3F5D">
      <w:pPr>
        <w:pStyle w:val="Heading1"/>
        <w:jc w:val="center"/>
        <w:rPr>
          <w:rFonts w:ascii="Calibri" w:eastAsia="Calibri" w:hAnsi="Calibri" w:cs="Calibri"/>
          <w:b/>
          <w:bCs/>
          <w:color w:val="auto"/>
          <w:sz w:val="22"/>
          <w:szCs w:val="22"/>
        </w:rPr>
      </w:pPr>
      <w:bookmarkStart w:id="0" w:name="_Toc211292051"/>
      <w:r w:rsidRPr="003E3F5D">
        <w:rPr>
          <w:rFonts w:ascii="Calibri" w:eastAsia="Calibri" w:hAnsi="Calibri" w:cs="Calibri"/>
          <w:b/>
          <w:bCs/>
          <w:color w:val="auto"/>
          <w:sz w:val="22"/>
          <w:szCs w:val="22"/>
        </w:rPr>
        <w:t>RESUMEN EJECUTIVO</w:t>
      </w:r>
      <w:bookmarkEnd w:id="0"/>
    </w:p>
    <w:p w14:paraId="5955EAE1" w14:textId="77777777" w:rsidR="00165BED" w:rsidRPr="003E3F5D" w:rsidRDefault="009D4909" w:rsidP="003E3F5D">
      <w:pPr>
        <w:pStyle w:val="Heading2"/>
        <w:jc w:val="both"/>
        <w:rPr>
          <w:rFonts w:ascii="Calibri" w:eastAsia="Calibri" w:hAnsi="Calibri" w:cs="Calibri"/>
          <w:b/>
          <w:sz w:val="22"/>
          <w:szCs w:val="22"/>
        </w:rPr>
      </w:pPr>
      <w:bookmarkStart w:id="1" w:name="_heading=h.nrqp0asmnqgc" w:colFirst="0" w:colLast="0"/>
      <w:bookmarkStart w:id="2" w:name="_Toc211292052"/>
      <w:bookmarkEnd w:id="1"/>
      <w:r w:rsidRPr="003E3F5D">
        <w:rPr>
          <w:rFonts w:ascii="Calibri" w:eastAsia="Calibri" w:hAnsi="Calibri" w:cs="Calibri"/>
          <w:sz w:val="22"/>
          <w:szCs w:val="22"/>
        </w:rPr>
        <w:t>Sobre las medidas para prevenir abusos policiales en el contexto de detenciones realizadas por las fuerzas de seguridad sin orden judicial.</w:t>
      </w:r>
      <w:bookmarkEnd w:id="2"/>
    </w:p>
    <w:p w14:paraId="50209274" w14:textId="3BC93856"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 xml:space="preserve">Al respecto se destaca que las torturas y los malos tratos son parte de las rutinas de intervención policial para la gestión selectiva o gobierno de las poblaciones vulneradas, en particular los </w:t>
      </w:r>
      <w:r w:rsidR="003E3F5D" w:rsidRPr="003E3F5D">
        <w:rPr>
          <w:rFonts w:ascii="Calibri" w:eastAsia="Calibri" w:hAnsi="Calibri" w:cs="Calibri"/>
          <w:b/>
          <w:sz w:val="22"/>
          <w:szCs w:val="22"/>
        </w:rPr>
        <w:t>jóvenes.</w:t>
      </w:r>
      <w:r w:rsidRPr="003E3F5D">
        <w:rPr>
          <w:rFonts w:ascii="Calibri" w:eastAsia="Calibri" w:hAnsi="Calibri" w:cs="Calibri"/>
          <w:b/>
          <w:sz w:val="22"/>
          <w:szCs w:val="22"/>
        </w:rPr>
        <w:t xml:space="preserve"> </w:t>
      </w:r>
      <w:r w:rsidR="003E3F5D" w:rsidRPr="003E3F5D">
        <w:rPr>
          <w:rFonts w:ascii="Calibri" w:eastAsia="Calibri" w:hAnsi="Calibri" w:cs="Calibri"/>
          <w:sz w:val="22"/>
          <w:szCs w:val="22"/>
        </w:rPr>
        <w:t>Se continúa</w:t>
      </w:r>
      <w:r w:rsidRPr="003E3F5D">
        <w:rPr>
          <w:rFonts w:ascii="Calibri" w:eastAsia="Calibri" w:hAnsi="Calibri" w:cs="Calibri"/>
          <w:sz w:val="22"/>
          <w:szCs w:val="22"/>
        </w:rPr>
        <w:t xml:space="preserve"> detectando como prácticas regulares la violencia física y psicológica, el hostigamiento, las privaciones arbitrarias o ilegales de la libertad, entre otras. Esto no solo involucra la intervención en casos individuales, sino que se asocia a la saturación policial de determinados territorios en los que estas prácticas involucran a poblaciones enteras de barrios populares. En este sentido se sigue detectando el uso de manera regular de privaciones de libertad sin orden judicial previa, med</w:t>
      </w:r>
      <w:r w:rsidRPr="003E3F5D">
        <w:rPr>
          <w:rFonts w:ascii="Calibri" w:eastAsia="Calibri" w:hAnsi="Calibri" w:cs="Calibri"/>
          <w:sz w:val="22"/>
          <w:szCs w:val="22"/>
        </w:rPr>
        <w:t>iante el empleo de figuras como la averiguación de identidad o de ilícito, la resistencia o atentado a la autoridad, entre otras. A esto se suma el bajo o nulo control judicial de estas prácticas lo que permite a la vez el armado o la falsa imputación en causas penales.  Se sigue detectando el traslado a dependencias policiales de NNA, lo que se encuentra prohibido. En este contexto se registran graves casos de torturas incluso casos de pasaje de corriente eléctrica. En la mayoría de los casos no se realiza</w:t>
      </w:r>
      <w:r w:rsidRPr="003E3F5D">
        <w:rPr>
          <w:rFonts w:ascii="Calibri" w:eastAsia="Calibri" w:hAnsi="Calibri" w:cs="Calibri"/>
          <w:sz w:val="22"/>
          <w:szCs w:val="22"/>
        </w:rPr>
        <w:t>n constataciones médicas y las investigaciones se archivan.</w:t>
      </w:r>
      <w:r w:rsidRPr="003E3F5D">
        <w:rPr>
          <w:rFonts w:ascii="Calibri" w:eastAsia="Calibri" w:hAnsi="Calibri" w:cs="Calibri"/>
          <w:b/>
          <w:sz w:val="22"/>
          <w:szCs w:val="22"/>
        </w:rPr>
        <w:t xml:space="preserve"> </w:t>
      </w:r>
    </w:p>
    <w:p w14:paraId="0C9F486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sz w:val="22"/>
          <w:szCs w:val="22"/>
        </w:rPr>
        <w:t xml:space="preserve">Particular gravedad reviste el uso letal de la fuerza policial.  El Estado no registra, sistematiza y analiza de manera centralizada los casos en que sus agentes producen muertes en su intervención. </w:t>
      </w:r>
      <w:r w:rsidRPr="003E3F5D">
        <w:rPr>
          <w:rFonts w:ascii="Calibri" w:eastAsia="Calibri" w:hAnsi="Calibri" w:cs="Calibri"/>
          <w:sz w:val="22"/>
          <w:szCs w:val="22"/>
        </w:rPr>
        <w:t>En la provincia de Buenos Aires la CPM construyó un registro propio que integra distintas fuentes y realiza análisis cuantitativos y cualitativos. En función de esto advertimos que las muertes por intervención de agentes policiales se producen mayormente cuando estos se encuentran fuera de servicio y bajo el denominado estado policial. En muy pocos casos la intervención policial se justifica por la defensa de la vida o bienes de terceros. Mayormente los policías intervienen en supuestos en los que alegan se</w:t>
      </w:r>
      <w:r w:rsidRPr="003E3F5D">
        <w:rPr>
          <w:rFonts w:ascii="Calibri" w:eastAsia="Calibri" w:hAnsi="Calibri" w:cs="Calibri"/>
          <w:sz w:val="22"/>
          <w:szCs w:val="22"/>
        </w:rPr>
        <w:t>r víctimas de robos.</w:t>
      </w:r>
    </w:p>
    <w:p w14:paraId="55A87BB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sz w:val="22"/>
          <w:szCs w:val="22"/>
        </w:rPr>
        <w:t>Ello viene acompañado de una orientación regresiva general del gobierno nacional.</w:t>
      </w:r>
      <w:r w:rsidRPr="003E3F5D">
        <w:rPr>
          <w:rFonts w:ascii="Calibri" w:eastAsia="Calibri" w:hAnsi="Calibri" w:cs="Calibri"/>
          <w:sz w:val="22"/>
          <w:szCs w:val="22"/>
        </w:rPr>
        <w:t xml:space="preserve"> En particular, en diciembre de 2023, mediante resolución 956/2018, se puso en vigencia el reglamento general para el empleo de las armas de fuego de los miembros de las fuerzas federales de seguridad. Bajo la incorrecta nominación de armas no letales, prevé una amplia variedad de dispositivos. El reglamento deja amplios márgenes de discrecionalidad para su uso.</w:t>
      </w:r>
    </w:p>
    <w:p w14:paraId="3B9F0A7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sz w:val="22"/>
          <w:szCs w:val="22"/>
        </w:rPr>
        <w:t>A nivel nacional se ha extendido la adquisición y habilitación del uso de las denominadas armas menos letales</w:t>
      </w:r>
      <w:r w:rsidRPr="003E3F5D">
        <w:rPr>
          <w:rFonts w:ascii="Calibri" w:eastAsia="Calibri" w:hAnsi="Calibri" w:cs="Calibri"/>
          <w:sz w:val="22"/>
          <w:szCs w:val="22"/>
        </w:rPr>
        <w:t>.  El empleo de este tipo de armamentos en manifestaciones públicas se ha vuelto regular y ya ha provocado heridas graves como la pérdida de la vista en, al menos, tres manifestantes. Otro aspecto de especial preocupación es la adquisición y autorización de uso de este tipo de armamento por parte de agentes de fuerzas no policiales, tales como guardias o patrullas municipales.</w:t>
      </w:r>
    </w:p>
    <w:p w14:paraId="5F60B7F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Debe mencionarse que solo en 2024 se constataron 122 casos de homicidios por parte de las fuerzas de seguridad, en promedio diez muertes por mes</w:t>
      </w:r>
      <w:r w:rsidRPr="003E3F5D">
        <w:rPr>
          <w:rFonts w:ascii="Calibri" w:eastAsia="Calibri" w:hAnsi="Calibri" w:cs="Calibri"/>
          <w:b/>
          <w:sz w:val="22"/>
          <w:szCs w:val="22"/>
        </w:rPr>
        <w:t>. E</w:t>
      </w:r>
      <w:r w:rsidRPr="003E3F5D">
        <w:rPr>
          <w:rFonts w:ascii="Calibri" w:eastAsia="Calibri" w:hAnsi="Calibri" w:cs="Calibri"/>
          <w:sz w:val="22"/>
          <w:szCs w:val="22"/>
        </w:rPr>
        <w:t xml:space="preserve">l 82 % de los homicidios se produjeron con el arma reglamentaria, el 66 % por agentes fuera de servicio o de actividad y el 61 % en circunstancia del robo o intento de robo de bienes del policía que mató o intentos de robos a terceros. </w:t>
      </w:r>
      <w:r w:rsidRPr="003E3F5D">
        <w:rPr>
          <w:rFonts w:ascii="Calibri" w:eastAsia="Calibri" w:hAnsi="Calibri" w:cs="Calibri"/>
          <w:b/>
          <w:sz w:val="22"/>
          <w:szCs w:val="22"/>
        </w:rPr>
        <w:t xml:space="preserve">Al analizar los casos en particular se detecta que predominan los impactos de balas de atrás hacia adelante y la baja incidencia del uso de armas por parte de los supuestos atacantes. </w:t>
      </w:r>
      <w:r w:rsidRPr="003E3F5D">
        <w:rPr>
          <w:rFonts w:ascii="Calibri" w:eastAsia="Calibri" w:hAnsi="Calibri" w:cs="Calibri"/>
          <w:sz w:val="22"/>
          <w:szCs w:val="22"/>
        </w:rPr>
        <w:t xml:space="preserve">Además, la letalidad policial aumentó de 117 casos registrados en 2023 a 122 en 2024, en </w:t>
      </w:r>
      <w:r w:rsidRPr="003E3F5D">
        <w:rPr>
          <w:rFonts w:ascii="Calibri" w:eastAsia="Calibri" w:hAnsi="Calibri" w:cs="Calibri"/>
          <w:sz w:val="22"/>
          <w:szCs w:val="22"/>
        </w:rPr>
        <w:t xml:space="preserve">promedio 10 muertes por mes. El promedio de edad de las víctimas de 2024 fue de 24 años; se registraron 26 casos (21%) de menores de edad: la víctima más joven tenía 7 años. </w:t>
      </w:r>
    </w:p>
    <w:p w14:paraId="1C7F596D"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sz w:val="22"/>
          <w:szCs w:val="22"/>
        </w:rPr>
        <w:t xml:space="preserve">Desde 2016, año que la CPM comenzó a realizar este registro, se relevaron un total de 1.106 casos en la provincia, una muerte en manos de la policía cada 3 días. </w:t>
      </w:r>
      <w:r w:rsidRPr="003E3F5D">
        <w:rPr>
          <w:rFonts w:ascii="Calibri" w:eastAsia="Calibri" w:hAnsi="Calibri" w:cs="Calibri"/>
          <w:b/>
          <w:sz w:val="22"/>
          <w:szCs w:val="22"/>
        </w:rPr>
        <w:t xml:space="preserve">La mitad de las mujeres registradas fueron víctimas de policías femicidas (35 de 71). Además, se registraron 7 femicidios vinculados. 31 policías femicidas se encontraban en actividad al momento de matar. </w:t>
      </w:r>
    </w:p>
    <w:p w14:paraId="5C966F6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la misma línea, continúa el </w:t>
      </w:r>
      <w:r w:rsidRPr="003E3F5D">
        <w:rPr>
          <w:rFonts w:ascii="Calibri" w:eastAsia="Calibri" w:hAnsi="Calibri" w:cs="Calibri"/>
          <w:b/>
          <w:sz w:val="22"/>
          <w:szCs w:val="22"/>
        </w:rPr>
        <w:t xml:space="preserve">déficit en el cumplimiento de Salvaguardias. </w:t>
      </w:r>
      <w:r w:rsidRPr="003E3F5D">
        <w:rPr>
          <w:rFonts w:ascii="Calibri" w:eastAsia="Calibri" w:hAnsi="Calibri" w:cs="Calibri"/>
          <w:sz w:val="22"/>
          <w:szCs w:val="22"/>
        </w:rPr>
        <w:t>De manera regular se incumple la aplicación de salvaguardias para la prevención de la tortura. En particular se han realizado estudios focalizados y se ha detectado que las revisiones médicas no se hacen, se hacen de forma deficiente o no son independientes por realizarse con presencia policial; Que no se informa el motivo de detención o los derechos que asisten y que el contacto con las defensas es mediado por la presencia policial, no se realiza en privacidad o solo se realiza cuando las personas son llev</w:t>
      </w:r>
      <w:r w:rsidRPr="003E3F5D">
        <w:rPr>
          <w:rFonts w:ascii="Calibri" w:eastAsia="Calibri" w:hAnsi="Calibri" w:cs="Calibri"/>
          <w:sz w:val="22"/>
          <w:szCs w:val="22"/>
        </w:rPr>
        <w:t xml:space="preserve">adas a declarar.  </w:t>
      </w:r>
    </w:p>
    <w:p w14:paraId="123BD2B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Finalmente, dichos abusos vienen acompañados de diversas fuerzas municipales (patrullas municipales) que los reproducen y recrudecen las violaciones mencionadas. Se viene detectando </w:t>
      </w:r>
      <w:r w:rsidRPr="003E3F5D">
        <w:rPr>
          <w:rFonts w:ascii="Calibri" w:eastAsia="Calibri" w:hAnsi="Calibri" w:cs="Calibri"/>
          <w:b/>
          <w:sz w:val="22"/>
          <w:szCs w:val="22"/>
        </w:rPr>
        <w:t>la atribución de funciones y facultades policiales, de manera legal o informal, por parte de los municipios a sus cuerpos de guardia municipal</w:t>
      </w:r>
      <w:r w:rsidRPr="003E3F5D">
        <w:rPr>
          <w:rFonts w:ascii="Calibri" w:eastAsia="Calibri" w:hAnsi="Calibri" w:cs="Calibri"/>
          <w:sz w:val="22"/>
          <w:szCs w:val="22"/>
        </w:rPr>
        <w:t>. Esto implica la facultad para realizar privaciones de libertad y cacheos. Incluso se las asimila estéticamente a los cuerpos policiales generando confusión respecto del alcance de sus atribuciones. También se las  ha dotado de armas menos letales, en particular de tipo Byrna o Tasser. Esto es ilegal, ya que por la normativa vigente solo el Estado provincial o el est</w:t>
      </w:r>
      <w:r w:rsidRPr="003E3F5D">
        <w:rPr>
          <w:rFonts w:ascii="Calibri" w:eastAsia="Calibri" w:hAnsi="Calibri" w:cs="Calibri"/>
          <w:sz w:val="22"/>
          <w:szCs w:val="22"/>
        </w:rPr>
        <w:t>ado Federal tienen estas atribuciones, pero no los estados municipales.</w:t>
      </w:r>
    </w:p>
    <w:p w14:paraId="1C0EFD8A" w14:textId="1B3B8648"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color w:val="000000"/>
          <w:sz w:val="22"/>
          <w:szCs w:val="22"/>
        </w:rPr>
        <w:t>Uso de la fuerza. El accionar policial ante la represión de la protesta</w:t>
      </w:r>
      <w:r w:rsidRPr="003E3F5D">
        <w:rPr>
          <w:rFonts w:ascii="Calibri" w:eastAsia="Calibri" w:hAnsi="Calibri" w:cs="Calibri"/>
          <w:color w:val="000000"/>
          <w:sz w:val="22"/>
          <w:szCs w:val="22"/>
        </w:rPr>
        <w:t xml:space="preserve">. En el marco descrito, la represión de las manifestaciones para el actual gobierno nacional se ha convertido en un accionar cotidiano y normalizado. La CPM se encuentra monitoreando la represión a la protesta social de manera presencial, constatando desde diciembre de 2023 hasta junio 2025 al menos 2.467 heridos (por postas de goma, gases lacrimógenos, golpes con bastones, tonfas o escudos, gases químicos o gas pimienta, agua a presión, etc.) y </w:t>
      </w:r>
      <w:r w:rsidR="00123742">
        <w:rPr>
          <w:rFonts w:ascii="Calibri" w:eastAsia="Calibri" w:hAnsi="Calibri" w:cs="Calibri"/>
          <w:color w:val="000000"/>
          <w:sz w:val="22"/>
          <w:szCs w:val="22"/>
        </w:rPr>
        <w:t>223</w:t>
      </w:r>
      <w:r w:rsidRPr="003E3F5D">
        <w:rPr>
          <w:rFonts w:ascii="Calibri" w:eastAsia="Calibri" w:hAnsi="Calibri" w:cs="Calibri"/>
          <w:color w:val="000000"/>
          <w:sz w:val="22"/>
          <w:szCs w:val="22"/>
        </w:rPr>
        <w:t xml:space="preserve"> personas detenidas arbitrariamente</w:t>
      </w:r>
      <w:r w:rsidR="00123742">
        <w:rPr>
          <w:rStyle w:val="FootnoteReference"/>
          <w:rFonts w:ascii="Calibri" w:eastAsia="Calibri" w:hAnsi="Calibri" w:cs="Calibri"/>
          <w:color w:val="000000"/>
          <w:sz w:val="22"/>
          <w:szCs w:val="22"/>
        </w:rPr>
        <w:footnoteReference w:id="1"/>
      </w:r>
      <w:r w:rsidRPr="003E3F5D">
        <w:rPr>
          <w:rFonts w:ascii="Calibri" w:eastAsia="Calibri" w:hAnsi="Calibri" w:cs="Calibri"/>
          <w:color w:val="000000"/>
          <w:sz w:val="22"/>
          <w:szCs w:val="22"/>
        </w:rPr>
        <w:t>. Ello viene de la mano de una modificación del marco jurídico de referencia que avala y promueve la represión. En el desarrollo de las tareas de monitoreo fueron registradas las siguientes transgresiones a estándares internacionales: Portación de arma de fuego por parte de agentes partícipes de las movilizaciones, utilización indebida de armas menos letales, actuación irregular del cuerpo motorizado de las diferentes fuerzas de seguridad registradas, el uso de fuerzas intermedias: el caso de Gendarmería Na</w:t>
      </w:r>
      <w:r w:rsidRPr="003E3F5D">
        <w:rPr>
          <w:rFonts w:ascii="Calibri" w:eastAsia="Calibri" w:hAnsi="Calibri" w:cs="Calibri"/>
          <w:color w:val="000000"/>
          <w:sz w:val="22"/>
          <w:szCs w:val="22"/>
        </w:rPr>
        <w:t xml:space="preserve">cional y Prefectura Naval Argentina, detenciones arbitrarias, agresión a trabajadores de medios de comunicación y defensores de derechos humanos. En dicho contexto, un marco de represión y detención arbitraria con un marco jurídico habilitante impacta directamente en la materialización de los estándares contra la tortura. </w:t>
      </w:r>
    </w:p>
    <w:p w14:paraId="062148D0" w14:textId="77777777" w:rsidR="00165BED" w:rsidRPr="003E3F5D" w:rsidRDefault="00165BED" w:rsidP="003E3F5D">
      <w:pPr>
        <w:jc w:val="both"/>
        <w:rPr>
          <w:rFonts w:ascii="Calibri" w:eastAsia="Calibri" w:hAnsi="Calibri" w:cs="Calibri"/>
          <w:b/>
          <w:sz w:val="22"/>
          <w:szCs w:val="22"/>
        </w:rPr>
      </w:pPr>
    </w:p>
    <w:p w14:paraId="45F31773"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Por lo expuesto se realizan las siguientes recomendaciones</w:t>
      </w:r>
    </w:p>
    <w:p w14:paraId="19D75FFC"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Reiterar la recomendación del Comité para evitar las demoras y aprehensiones sin orden judicial salvo los casos de estricta flagrancia. Se inste al poder legislativo a que legisle de manera precisa los supuestos de flagrancia para que no permitan su uso discrecional. </w:t>
      </w:r>
    </w:p>
    <w:p w14:paraId="768A0BC7"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Limitar la intervención policial en la aprehensión de NNA, sólo a los casos de delitos flagrantes. Se garantice la intervención inmediata de equipos especializados en niñez y se derive de manera inmediata a centros de detención especializados sin paso previo o detención en dependencias policiales. Se garantice que la revisión médica independiente se realice en estos centros especializados.</w:t>
      </w:r>
    </w:p>
    <w:p w14:paraId="28F2CB34"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Reiterar el cumplimiento de la prohibición de alojamiento en comisarías de mujeres embarazadas o con hijos pequeños, personas enfermas o con tratamientos médicos y personas adultas mayores.   </w:t>
      </w:r>
    </w:p>
    <w:p w14:paraId="056A51C0"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Disponer medidas para evitar la permanencia de personas en dependencias policiales por períodos prolongados mayores a 48 hs</w:t>
      </w:r>
      <w:r w:rsidRPr="003E3F5D">
        <w:rPr>
          <w:rFonts w:ascii="Calibri" w:eastAsia="Calibri" w:hAnsi="Calibri" w:cs="Calibri"/>
          <w:sz w:val="22"/>
          <w:szCs w:val="22"/>
        </w:rPr>
        <w:t>. Establecer criterios específicos para la disposición de medidas alternativas al encierro cuando este estándar no pueda cumplirse y la permanencia implique agravamiento de las condiciones de detención o riesgo a la integridad física o la vida.</w:t>
      </w:r>
    </w:p>
    <w:p w14:paraId="5ACEEDA4"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Prohibir la aprehensión o detención y el ingreso a dependencias policiales, de personas que se encuentran atravesando cuadros asociados a padecimientos del orden de la salud mental o de quienes se tenga indicios que atraviesan consumos problemáticos. Requerir la aplicación de protocolos para la intervención de equipos de salud integral especializados. </w:t>
      </w:r>
    </w:p>
    <w:p w14:paraId="4F7FA3F0"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Elaborar un programa de adecuación de la infraestructura de comisarías siguiendo lo indicado por los Lineamientos sobre capacidad y condiciones de privación de libertad en lugares de detención provisoria del CNPT. Es recomendable que ese programa detalle el plazo previsto para la realización de las obras contemplando la disponibilidad de los fondos requeridos. </w:t>
      </w:r>
    </w:p>
    <w:p w14:paraId="6EC11596"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Elaborar un protocolo específico que regule todos los aspectos asociados al registro, permanencia y derivación de las personas privadas de la libertad en dependencias de alojamiento provisorio</w:t>
      </w:r>
    </w:p>
    <w:p w14:paraId="00660ED0"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Adaptar las regulaciones sobre uso de la fuerza letal a los estándares internacionales. En particular revise la resolución 956/2018 adaptándola a los estándares internacionales sobre uso de la fuerza. </w:t>
      </w:r>
    </w:p>
    <w:p w14:paraId="6652E3A7"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Crear un registro de manera centralizada y fehaciente de los casos en que sus agentes producen la muerte. </w:t>
      </w:r>
    </w:p>
    <w:p w14:paraId="14F47050" w14:textId="77777777" w:rsidR="00165BED" w:rsidRPr="003E3F5D" w:rsidRDefault="009D4909" w:rsidP="003E3F5D">
      <w:pPr>
        <w:numPr>
          <w:ilvl w:val="0"/>
          <w:numId w:val="6"/>
        </w:numPr>
        <w:jc w:val="both"/>
        <w:rPr>
          <w:rFonts w:ascii="Calibri" w:eastAsia="Calibri" w:hAnsi="Calibri" w:cs="Calibri"/>
          <w:sz w:val="22"/>
          <w:szCs w:val="22"/>
        </w:rPr>
      </w:pPr>
      <w:r w:rsidRPr="003E3F5D">
        <w:rPr>
          <w:rFonts w:ascii="Calibri" w:eastAsia="Calibri" w:hAnsi="Calibri" w:cs="Calibri"/>
          <w:sz w:val="22"/>
          <w:szCs w:val="22"/>
        </w:rPr>
        <w:t>Derogar normativa que establece el estado policial y el requerimiento de intervención policial más allá del horario de servicio. Se limite la portación y uso del arma reglamentaria cuando el personal se encuentra fuera de servicio.</w:t>
      </w:r>
    </w:p>
    <w:p w14:paraId="00856B7B"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 xml:space="preserve">Sobre las salvaguardias: </w:t>
      </w:r>
    </w:p>
    <w:p w14:paraId="19790CED"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Crear en la órbita de los efectores de salud dispositivos que garanticen la revisión médica independiente y en condiciones de confidencialidad de las personas detenidas. Se establezcan pautas que incorporen los principios del protocolo de Estambul.</w:t>
      </w:r>
    </w:p>
    <w:p w14:paraId="53F19F43"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Disponer el acceso de las personas alojadas en dependencias policiales a mecanismos de comunicación que garanticen confidencialidad. Se habilite de manera regulada el acceso a dispositivos celulares. </w:t>
      </w:r>
    </w:p>
    <w:p w14:paraId="7777B766"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Garantizar asistencia legal inmediata de las defensorías públicas a todas las personas que sean aprehendidas más allá de que se encuentren o no imputadas, de manera efectiva, pronta y en condiciones de confidencialidad.</w:t>
      </w:r>
    </w:p>
    <w:p w14:paraId="46C3B559" w14:textId="77777777" w:rsidR="00165BED" w:rsidRPr="003E3F5D" w:rsidRDefault="009D4909" w:rsidP="003E3F5D">
      <w:pPr>
        <w:numPr>
          <w:ilvl w:val="0"/>
          <w:numId w:val="6"/>
        </w:numPr>
        <w:jc w:val="both"/>
        <w:rPr>
          <w:rFonts w:ascii="Calibri" w:eastAsia="Calibri" w:hAnsi="Calibri" w:cs="Calibri"/>
          <w:sz w:val="22"/>
          <w:szCs w:val="22"/>
        </w:rPr>
      </w:pPr>
      <w:r w:rsidRPr="003E3F5D">
        <w:rPr>
          <w:rFonts w:ascii="Calibri" w:eastAsia="Calibri" w:hAnsi="Calibri" w:cs="Calibri"/>
          <w:sz w:val="22"/>
          <w:szCs w:val="22"/>
        </w:rPr>
        <w:t>Garantizar la comunicación inmediata de la persona detenida con una persona de su confianza.</w:t>
      </w:r>
    </w:p>
    <w:p w14:paraId="5D10E362"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Sobre las patrullas municipales</w:t>
      </w:r>
    </w:p>
    <w:p w14:paraId="6BF00E73" w14:textId="77777777" w:rsidR="00165BED" w:rsidRPr="003E3F5D" w:rsidRDefault="009D4909" w:rsidP="003E3F5D">
      <w:pPr>
        <w:numPr>
          <w:ilvl w:val="0"/>
          <w:numId w:val="1"/>
        </w:num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Evitar la asunción  o delegación ilegal de facultades policiales pertenecientes al estado provincial o federal por parte de los cuerpos municipales de prevención, tales como guardias o patrullas urbanas. </w:t>
      </w:r>
    </w:p>
    <w:p w14:paraId="73674889" w14:textId="77777777" w:rsidR="00165BED" w:rsidRPr="003E3F5D" w:rsidRDefault="009D4909" w:rsidP="003E3F5D">
      <w:pPr>
        <w:numPr>
          <w:ilvl w:val="0"/>
          <w:numId w:val="1"/>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Evitar cualquier intervención que implique aprehensiones o cacheos. </w:t>
      </w:r>
    </w:p>
    <w:p w14:paraId="5C56AC39" w14:textId="77777777" w:rsidR="00165BED" w:rsidRPr="003E3F5D" w:rsidRDefault="009D4909" w:rsidP="003E3F5D">
      <w:pPr>
        <w:numPr>
          <w:ilvl w:val="0"/>
          <w:numId w:val="1"/>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Impulsar medidas para evitar todo tipo de torturas, malos tratos incluidas prácticas discriminatorias o sustracción de pertenencias indispensables para la subsistencia.  </w:t>
      </w:r>
    </w:p>
    <w:p w14:paraId="0419FBAD" w14:textId="77777777" w:rsidR="00165BED" w:rsidRPr="003E3F5D" w:rsidRDefault="009D4909" w:rsidP="003E3F5D">
      <w:pPr>
        <w:numPr>
          <w:ilvl w:val="0"/>
          <w:numId w:val="1"/>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En particular, abstenerse de realizar estas prácticas respecto de colectivos especialmente vulnerables tales como vendedores ambulantes, personas en situación de calle o con padecimientos de salud mental. En estos casos, se disponga la intervención de dispositivos asistenciales.</w:t>
      </w:r>
    </w:p>
    <w:p w14:paraId="73D8BDB6" w14:textId="77777777" w:rsidR="00165BED" w:rsidRPr="003E3F5D" w:rsidRDefault="009D4909" w:rsidP="003E3F5D">
      <w:pPr>
        <w:numPr>
          <w:ilvl w:val="0"/>
          <w:numId w:val="1"/>
        </w:numPr>
        <w:spacing w:after="240" w:line="360" w:lineRule="auto"/>
        <w:jc w:val="both"/>
        <w:rPr>
          <w:rFonts w:ascii="Calibri" w:eastAsia="Calibri" w:hAnsi="Calibri" w:cs="Calibri"/>
          <w:sz w:val="22"/>
          <w:szCs w:val="22"/>
        </w:rPr>
      </w:pPr>
      <w:r w:rsidRPr="003E3F5D">
        <w:rPr>
          <w:rFonts w:ascii="Calibri" w:eastAsia="Calibri" w:hAnsi="Calibri" w:cs="Calibri"/>
          <w:sz w:val="22"/>
          <w:szCs w:val="22"/>
        </w:rPr>
        <w:t>Evitar la asimilación de estos cuerpos con las agencias policiales, limitando la adquisición y usos de elementos propios de estas últimas como las denominadas armas menos letales.</w:t>
      </w:r>
    </w:p>
    <w:p w14:paraId="5CF2F337" w14:textId="77777777" w:rsidR="00165BED" w:rsidRPr="003E3F5D" w:rsidRDefault="009D4909" w:rsidP="003E3F5D">
      <w:pPr>
        <w:spacing w:before="240" w:after="240" w:line="360" w:lineRule="auto"/>
        <w:jc w:val="both"/>
        <w:rPr>
          <w:rFonts w:ascii="Calibri" w:eastAsia="Calibri" w:hAnsi="Calibri" w:cs="Calibri"/>
          <w:b/>
          <w:sz w:val="22"/>
          <w:szCs w:val="22"/>
        </w:rPr>
      </w:pPr>
      <w:r w:rsidRPr="003E3F5D">
        <w:rPr>
          <w:rFonts w:ascii="Calibri" w:eastAsia="Calibri" w:hAnsi="Calibri" w:cs="Calibri"/>
          <w:b/>
          <w:sz w:val="22"/>
          <w:szCs w:val="22"/>
        </w:rPr>
        <w:t>Sobre el uso de armas menos letales</w:t>
      </w:r>
    </w:p>
    <w:p w14:paraId="6F6967CF" w14:textId="77777777" w:rsidR="00165BED" w:rsidRPr="003E3F5D" w:rsidRDefault="009D4909" w:rsidP="003E3F5D">
      <w:pPr>
        <w:numPr>
          <w:ilvl w:val="0"/>
          <w:numId w:val="2"/>
        </w:num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Regular de manera restrictiva el uso de estas armas, bajo la premisa de reconocer su carácter sólo menos letal, prohibiendo su uso regular en el marco de manifestaciones públicas u otro tipo de concentraciones. </w:t>
      </w:r>
    </w:p>
    <w:p w14:paraId="39C06071" w14:textId="77777777" w:rsidR="00165BED" w:rsidRPr="003E3F5D" w:rsidRDefault="009D4909" w:rsidP="003E3F5D">
      <w:pPr>
        <w:numPr>
          <w:ilvl w:val="0"/>
          <w:numId w:val="2"/>
        </w:numPr>
        <w:spacing w:after="240" w:line="360" w:lineRule="auto"/>
        <w:jc w:val="both"/>
        <w:rPr>
          <w:rFonts w:ascii="Calibri" w:eastAsia="Calibri" w:hAnsi="Calibri" w:cs="Calibri"/>
          <w:sz w:val="22"/>
          <w:szCs w:val="22"/>
        </w:rPr>
      </w:pPr>
      <w:r w:rsidRPr="003E3F5D">
        <w:rPr>
          <w:rFonts w:ascii="Calibri" w:eastAsia="Calibri" w:hAnsi="Calibri" w:cs="Calibri"/>
          <w:sz w:val="22"/>
          <w:szCs w:val="22"/>
        </w:rPr>
        <w:t xml:space="preserve">Prohibir la habilitación de uso y adquisición por fuerzas que no cumplen tareas policiales, tales como guardias urbanas o de prevención. </w:t>
      </w:r>
    </w:p>
    <w:p w14:paraId="2440ACCA" w14:textId="77777777" w:rsidR="00165BED" w:rsidRPr="003E3F5D" w:rsidRDefault="009D4909" w:rsidP="003E3F5D">
      <w:pPr>
        <w:spacing w:before="240" w:after="240" w:line="360" w:lineRule="auto"/>
        <w:jc w:val="both"/>
        <w:rPr>
          <w:rFonts w:ascii="Calibri" w:eastAsia="Calibri" w:hAnsi="Calibri" w:cs="Calibri"/>
          <w:b/>
          <w:sz w:val="22"/>
          <w:szCs w:val="22"/>
        </w:rPr>
      </w:pPr>
      <w:r w:rsidRPr="003E3F5D">
        <w:rPr>
          <w:rFonts w:ascii="Calibri" w:eastAsia="Calibri" w:hAnsi="Calibri" w:cs="Calibri"/>
          <w:b/>
          <w:sz w:val="22"/>
          <w:szCs w:val="22"/>
        </w:rPr>
        <w:t>Sobre la represión de la protesta</w:t>
      </w:r>
    </w:p>
    <w:p w14:paraId="60317DC6" w14:textId="77777777" w:rsidR="00165BED" w:rsidRPr="003E3F5D" w:rsidRDefault="009D4909" w:rsidP="003E3F5D">
      <w:pPr>
        <w:numPr>
          <w:ilvl w:val="0"/>
          <w:numId w:val="11"/>
        </w:numPr>
        <w:spacing w:after="0"/>
        <w:jc w:val="both"/>
        <w:rPr>
          <w:rFonts w:ascii="Calibri" w:eastAsia="Calibri" w:hAnsi="Calibri" w:cs="Calibri"/>
          <w:sz w:val="22"/>
          <w:szCs w:val="22"/>
        </w:rPr>
      </w:pPr>
      <w:r w:rsidRPr="003E3F5D">
        <w:rPr>
          <w:rFonts w:ascii="Calibri" w:eastAsia="Calibri" w:hAnsi="Calibri" w:cs="Calibri"/>
          <w:sz w:val="22"/>
          <w:szCs w:val="22"/>
        </w:rPr>
        <w:t>Modificar urgentemente el marco jurídico de referencia promoviendo una infraestructura de seguridad democrática basada en el paradigma de los derechos humanos. En particular anular la Resolución 943/2023  que establece el denominado “protocolo antipiquete”</w:t>
      </w:r>
    </w:p>
    <w:p w14:paraId="65B2FE34" w14:textId="77777777" w:rsidR="00165BED" w:rsidRPr="003E3F5D" w:rsidRDefault="009D4909" w:rsidP="003E3F5D">
      <w:pPr>
        <w:numPr>
          <w:ilvl w:val="0"/>
          <w:numId w:val="11"/>
        </w:numPr>
        <w:jc w:val="both"/>
        <w:rPr>
          <w:rFonts w:ascii="Calibri" w:eastAsia="Calibri" w:hAnsi="Calibri" w:cs="Calibri"/>
          <w:sz w:val="22"/>
          <w:szCs w:val="22"/>
        </w:rPr>
      </w:pPr>
      <w:r w:rsidRPr="003E3F5D">
        <w:rPr>
          <w:rFonts w:ascii="Calibri" w:eastAsia="Calibri" w:hAnsi="Calibri" w:cs="Calibri"/>
          <w:sz w:val="22"/>
          <w:szCs w:val="22"/>
        </w:rPr>
        <w:t xml:space="preserve">Se establezcan protocolos efectivos para evitar los abusos policiales durante las manifestaciones, incorporando los estándares internacionales al respecto. </w:t>
      </w:r>
    </w:p>
    <w:p w14:paraId="1ECEF299" w14:textId="77777777" w:rsidR="00165BED" w:rsidRPr="003E3F5D" w:rsidRDefault="009D4909" w:rsidP="003E3F5D">
      <w:pPr>
        <w:pStyle w:val="Heading2"/>
        <w:jc w:val="both"/>
        <w:rPr>
          <w:rFonts w:ascii="Calibri" w:eastAsia="Calibri" w:hAnsi="Calibri" w:cs="Calibri"/>
          <w:sz w:val="22"/>
          <w:szCs w:val="22"/>
        </w:rPr>
      </w:pPr>
      <w:bookmarkStart w:id="3" w:name="_Toc211292053"/>
      <w:r w:rsidRPr="003E3F5D">
        <w:rPr>
          <w:rFonts w:ascii="Calibri" w:eastAsia="Calibri" w:hAnsi="Calibri" w:cs="Calibri"/>
          <w:sz w:val="22"/>
          <w:szCs w:val="22"/>
        </w:rPr>
        <w:t>Sobre las tasas de encarcelamiento y las medidas alternativas a la privación de la libertad</w:t>
      </w:r>
      <w:bookmarkEnd w:id="3"/>
    </w:p>
    <w:p w14:paraId="043DAC08"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Como se expresa en los datos de población privada de libertad en el sistema de adultos de la provincia de Buenos Aires, las personas de 18 a 30 años representan el 45% de las detenidas en el Servicio Penitenciario Bonaerense (SPB)</w:t>
      </w:r>
      <w:r w:rsidRPr="003E3F5D">
        <w:rPr>
          <w:rFonts w:ascii="Calibri" w:eastAsia="Calibri" w:hAnsi="Calibri" w:cs="Calibri"/>
          <w:sz w:val="22"/>
          <w:szCs w:val="22"/>
          <w:vertAlign w:val="superscript"/>
        </w:rPr>
        <w:footnoteReference w:id="2"/>
      </w:r>
      <w:r w:rsidRPr="003E3F5D">
        <w:rPr>
          <w:rFonts w:ascii="Calibri" w:eastAsia="Calibri" w:hAnsi="Calibri" w:cs="Calibri"/>
          <w:sz w:val="22"/>
          <w:szCs w:val="22"/>
        </w:rPr>
        <w:t xml:space="preserve"> y el 47% de las detenidas en comisarías</w:t>
      </w:r>
      <w:r w:rsidRPr="003E3F5D">
        <w:rPr>
          <w:rFonts w:ascii="Calibri" w:eastAsia="Calibri" w:hAnsi="Calibri" w:cs="Calibri"/>
          <w:sz w:val="22"/>
          <w:szCs w:val="22"/>
          <w:vertAlign w:val="superscript"/>
        </w:rPr>
        <w:footnoteReference w:id="3"/>
      </w:r>
      <w:r w:rsidRPr="003E3F5D">
        <w:rPr>
          <w:rFonts w:ascii="Calibri" w:eastAsia="Calibri" w:hAnsi="Calibri" w:cs="Calibri"/>
          <w:sz w:val="22"/>
          <w:szCs w:val="22"/>
        </w:rPr>
        <w:t xml:space="preserve">. La persecución penal crece año a año. Durante 2024 el Ministerio Público Fiscal inició más de un millón de investigaciones penales contra mayores de 18 años (1.082.502), lo que equivale a 2.966 investigaciones iniciadas por día. A la sobrepoblación histórica en la provincia de Buenos Aires el gobierno actual no ha dado mayor respuesta que los anteriores, fuera de incrementar las plazas existentes. </w:t>
      </w:r>
    </w:p>
    <w:p w14:paraId="4CFD5738" w14:textId="77777777" w:rsidR="00165BED" w:rsidRPr="003E3F5D" w:rsidRDefault="009D4909" w:rsidP="003E3F5D">
      <w:pPr>
        <w:spacing w:before="120" w:after="0"/>
        <w:jc w:val="both"/>
        <w:rPr>
          <w:rFonts w:ascii="Calibri" w:eastAsia="Calibri" w:hAnsi="Calibri" w:cs="Calibri"/>
          <w:color w:val="FF0000"/>
          <w:sz w:val="22"/>
          <w:szCs w:val="22"/>
        </w:rPr>
      </w:pPr>
      <w:r w:rsidRPr="003E3F5D">
        <w:rPr>
          <w:rFonts w:ascii="Calibri" w:eastAsia="Calibri" w:hAnsi="Calibri" w:cs="Calibri"/>
          <w:sz w:val="22"/>
          <w:szCs w:val="22"/>
        </w:rPr>
        <w:t>El período comprendido entre 2014 y 2024 muestra un salto cuantitativo récord, con una interrupción excepcional en 2020. La cantidad de personas adultas detenidas en la provincia de Buenos Aires (sumando todos los dispositivos) creció a un promedio interanual del 5%, culminando con casi 62.000 en cárceles, alcaldías, comisarías y con monitoreo electrónico. En este contexto, los ingresos al dispositivo carcelario siempre superan a los egresos. Entre 2015 y 2024, cada año ingresaron más de 19.200 personas y e</w:t>
      </w:r>
      <w:r w:rsidRPr="003E3F5D">
        <w:rPr>
          <w:rFonts w:ascii="Calibri" w:eastAsia="Calibri" w:hAnsi="Calibri" w:cs="Calibri"/>
          <w:sz w:val="22"/>
          <w:szCs w:val="22"/>
        </w:rPr>
        <w:t>gresaron 16.500, dejando un saldo positivo de más de 2.600 por año (datos promedio y redondeados). Por cada 10 egresos hay 12 ingresos.  La sobrepoblación es el resultado directo de una política criminal que sobre-encarcela. En diciembre de 2024 la sobrepoblación fue del 106%, lo cual implicó un incremento de 10 puntos porcentuales respecto al año anterior. A septiembre de 2025 la sobrepoblación es de 112%.</w:t>
      </w:r>
    </w:p>
    <w:p w14:paraId="2E07CE8B" w14:textId="77777777" w:rsidR="00165BED" w:rsidRPr="003E3F5D" w:rsidRDefault="009D4909" w:rsidP="003E3F5D">
      <w:pPr>
        <w:jc w:val="both"/>
        <w:rPr>
          <w:rFonts w:ascii="Calibri" w:eastAsia="Calibri" w:hAnsi="Calibri" w:cs="Calibri"/>
          <w:color w:val="FF0000"/>
          <w:sz w:val="22"/>
          <w:szCs w:val="22"/>
        </w:rPr>
      </w:pPr>
      <w:r w:rsidRPr="003E3F5D">
        <w:rPr>
          <w:rFonts w:ascii="Calibri" w:eastAsia="Calibri" w:hAnsi="Calibri" w:cs="Calibri"/>
          <w:sz w:val="22"/>
          <w:szCs w:val="22"/>
        </w:rPr>
        <w:t>En este marco, las instancias de articulación institucional que podrían vehiculizar transformaciones progresivas, centralmente las mesas de trabajo, nunca alcanzan definiciones efectivas y sostenibles en el tiempo, pese a coincidir en los diagnósticos. La forma que elige el poder judicial para intervenir en este problema estructural no se ha modificado, continuando la escasa propensión a utilizar las alternativas al encierro para descomprimir esta situación. En este marco, el sistema penal provincial, al ig</w:t>
      </w:r>
      <w:r w:rsidRPr="003E3F5D">
        <w:rPr>
          <w:rFonts w:ascii="Calibri" w:eastAsia="Calibri" w:hAnsi="Calibri" w:cs="Calibri"/>
          <w:sz w:val="22"/>
          <w:szCs w:val="22"/>
        </w:rPr>
        <w:t>ual que el nacional, se estructura sobre el uso generalizado de la prisión preventiva y del juicio abreviado, procesos judiciales que encarcelan personas inocentes y aceleran los tiempos de las sentencias condenatorias. Por un lado, a diciembre de 2024 sólo el 50% de las personas detenidas a cargo del SPB tenía condena firme</w:t>
      </w:r>
      <w:r w:rsidRPr="003E3F5D">
        <w:rPr>
          <w:rFonts w:ascii="Calibri" w:eastAsia="Calibri" w:hAnsi="Calibri" w:cs="Calibri"/>
          <w:sz w:val="22"/>
          <w:szCs w:val="22"/>
          <w:vertAlign w:val="superscript"/>
        </w:rPr>
        <w:footnoteReference w:id="4"/>
      </w:r>
    </w:p>
    <w:p w14:paraId="7C8B841B" w14:textId="77777777" w:rsidR="00165BED" w:rsidRPr="003E3F5D" w:rsidRDefault="00165BED" w:rsidP="003E3F5D">
      <w:pPr>
        <w:spacing w:before="120" w:after="0"/>
        <w:jc w:val="both"/>
        <w:rPr>
          <w:rFonts w:ascii="Calibri" w:eastAsia="Calibri" w:hAnsi="Calibri" w:cs="Calibri"/>
          <w:sz w:val="22"/>
          <w:szCs w:val="22"/>
        </w:rPr>
      </w:pPr>
    </w:p>
    <w:p w14:paraId="0F58094E" w14:textId="77777777" w:rsidR="00165BED" w:rsidRPr="003E3F5D" w:rsidRDefault="009D4909" w:rsidP="003E3F5D">
      <w:pPr>
        <w:jc w:val="both"/>
        <w:rPr>
          <w:rFonts w:ascii="Calibri" w:eastAsia="Calibri" w:hAnsi="Calibri" w:cs="Calibri"/>
          <w:b/>
          <w:bCs/>
          <w:sz w:val="22"/>
          <w:szCs w:val="22"/>
        </w:rPr>
      </w:pPr>
      <w:r w:rsidRPr="003E3F5D">
        <w:rPr>
          <w:rFonts w:ascii="Calibri" w:eastAsia="Calibri" w:hAnsi="Calibri" w:cs="Calibri"/>
          <w:b/>
          <w:bCs/>
          <w:sz w:val="22"/>
          <w:szCs w:val="22"/>
        </w:rPr>
        <w:t>Recomendaciones:</w:t>
      </w:r>
    </w:p>
    <w:p w14:paraId="3F69B4CD" w14:textId="77777777" w:rsidR="00165BED" w:rsidRPr="003E3F5D" w:rsidRDefault="009D4909" w:rsidP="003E3F5D">
      <w:pPr>
        <w:numPr>
          <w:ilvl w:val="0"/>
          <w:numId w:val="7"/>
        </w:numPr>
        <w:jc w:val="both"/>
        <w:rPr>
          <w:rFonts w:ascii="Calibri" w:eastAsia="Calibri" w:hAnsi="Calibri" w:cs="Calibri"/>
          <w:color w:val="FF0000"/>
          <w:sz w:val="22"/>
          <w:szCs w:val="22"/>
        </w:rPr>
      </w:pPr>
      <w:r w:rsidRPr="003E3F5D">
        <w:rPr>
          <w:rFonts w:ascii="Calibri" w:eastAsia="Calibri" w:hAnsi="Calibri" w:cs="Calibri"/>
          <w:sz w:val="22"/>
          <w:szCs w:val="22"/>
        </w:rPr>
        <w:t>Reiterar las recomendaciones sobre el uso excepcional de la prisión preventiva y la promoción de medidas alternativas al encierro, con particular énfasis en los estándares establecidos por el SIDH</w:t>
      </w:r>
      <w:r w:rsidRPr="003E3F5D">
        <w:rPr>
          <w:rFonts w:ascii="Calibri" w:eastAsia="Calibri" w:hAnsi="Calibri" w:cs="Calibri"/>
          <w:color w:val="FF0000"/>
          <w:sz w:val="22"/>
          <w:szCs w:val="22"/>
        </w:rPr>
        <w:t>.</w:t>
      </w:r>
    </w:p>
    <w:p w14:paraId="5549F08B" w14:textId="77777777" w:rsidR="00165BED" w:rsidRPr="003E3F5D" w:rsidRDefault="00165BED" w:rsidP="003E3F5D">
      <w:pPr>
        <w:jc w:val="both"/>
        <w:rPr>
          <w:rFonts w:ascii="Calibri" w:eastAsia="Calibri" w:hAnsi="Calibri" w:cs="Calibri"/>
          <w:b/>
          <w:sz w:val="22"/>
          <w:szCs w:val="22"/>
        </w:rPr>
      </w:pPr>
    </w:p>
    <w:p w14:paraId="109DD6B2" w14:textId="77777777" w:rsidR="00165BED" w:rsidRPr="003E3F5D" w:rsidRDefault="009D4909" w:rsidP="003E3F5D">
      <w:pPr>
        <w:pStyle w:val="Heading2"/>
        <w:jc w:val="both"/>
        <w:rPr>
          <w:rFonts w:ascii="Calibri" w:eastAsia="Calibri" w:hAnsi="Calibri" w:cs="Calibri"/>
          <w:sz w:val="22"/>
          <w:szCs w:val="22"/>
        </w:rPr>
      </w:pPr>
      <w:bookmarkStart w:id="4" w:name="_heading=h.is8759g74np7" w:colFirst="0" w:colLast="0"/>
      <w:bookmarkStart w:id="5" w:name="_Toc211292054"/>
      <w:bookmarkEnd w:id="4"/>
      <w:r w:rsidRPr="003E3F5D">
        <w:rPr>
          <w:rFonts w:ascii="Calibri" w:eastAsia="Calibri" w:hAnsi="Calibri" w:cs="Calibri"/>
          <w:sz w:val="22"/>
          <w:szCs w:val="22"/>
        </w:rPr>
        <w:t>Tortura penitenciaria y en establecimientos de privación de la libertad</w:t>
      </w:r>
      <w:bookmarkEnd w:id="5"/>
    </w:p>
    <w:p w14:paraId="1242281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Con respecto a las situaciones de tortura en los establecimientos penitenciarios, lamentablemente las condiciones continuan siendo las mismas que las reportadas en distintas ocasiones al Comite. Es decir</w:t>
      </w:r>
      <w:r w:rsidRPr="003E3F5D">
        <w:rPr>
          <w:rFonts w:ascii="Calibri" w:eastAsia="Calibri" w:hAnsi="Calibri" w:cs="Calibri"/>
          <w:b/>
          <w:sz w:val="22"/>
          <w:szCs w:val="22"/>
        </w:rPr>
        <w:t xml:space="preserve"> la tortura y los malos tratos siguen siendo una práctica sistemática, recurrente en las rutinas del personal penitenciario,</w:t>
      </w:r>
      <w:r w:rsidRPr="003E3F5D">
        <w:rPr>
          <w:rFonts w:ascii="Calibri" w:eastAsia="Calibri" w:hAnsi="Calibri" w:cs="Calibri"/>
          <w:sz w:val="22"/>
          <w:szCs w:val="22"/>
        </w:rPr>
        <w:t xml:space="preserve"> tal y como se desprende de los distintos apartados del presente informe. Con diversas modalidades e intensidad, se relevan en todos los lugares de detención de manera continua.</w:t>
      </w:r>
    </w:p>
    <w:p w14:paraId="0F096B8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Se siguen registrando graves casos de torturas y malos tratos mediante violencia física y psicológica como los destacados en las observaciones al estado por el Comité:  Maltrato rutinario al ingreso a las unidades; Torturas mediante golpes en distintas partes del cuerpo; pasaje de corriente eléctrica; submarino seco y húmedo; aislamiento (como modalidad de ingreso, castigo, medida de protección, mecanismo de extorsión, mecanismo de neutralización); Sujeción mecánica, aun durante la internación hospitalaria </w:t>
      </w:r>
      <w:r w:rsidRPr="003E3F5D">
        <w:rPr>
          <w:rFonts w:ascii="Calibri" w:eastAsia="Calibri" w:hAnsi="Calibri" w:cs="Calibri"/>
          <w:sz w:val="22"/>
          <w:szCs w:val="22"/>
        </w:rPr>
        <w:t xml:space="preserve">o  a personas con padecimientos de salud mental;  requisas: (mayoría de los casos prácticas especialmente vejatorias como el desnudo total y la realización de flexiones, agresiones físicas y verbales, la destrucción y sustracción de pertenencias, entre otras). </w:t>
      </w:r>
    </w:p>
    <w:p w14:paraId="776FCE9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línea con lo establecido por el Comité en anteriores observaciones, continúa la </w:t>
      </w:r>
      <w:r w:rsidRPr="003E3F5D">
        <w:rPr>
          <w:rFonts w:ascii="Calibri" w:eastAsia="Calibri" w:hAnsi="Calibri" w:cs="Calibri"/>
          <w:b/>
          <w:sz w:val="22"/>
          <w:szCs w:val="22"/>
        </w:rPr>
        <w:t>ausencia de abordaje integral en contextos de encierro</w:t>
      </w:r>
      <w:r w:rsidRPr="003E3F5D">
        <w:rPr>
          <w:rFonts w:ascii="Calibri" w:eastAsia="Calibri" w:hAnsi="Calibri" w:cs="Calibri"/>
          <w:sz w:val="22"/>
          <w:szCs w:val="22"/>
        </w:rPr>
        <w:t xml:space="preserve">. </w:t>
      </w:r>
    </w:p>
    <w:p w14:paraId="17559D4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Solo en la provincia de Buenos Aires la CPM en 2024 ha registrado 21 suicidios, número que supera la tasa de suicidios a nivel provincial.  A ello se le suma que se continúa registrando como práctica el empleo de torturas y malos tratos asociados al régimen de las cárceles especiales (N°34 y 45) y la permanencia de personas sin criterio de internación y la prolongación de las medidas de seguridad por cuestiones de carencias sociales , principalmente relacionadas con la falta de poder adquisitivo (Pobreza). </w:t>
      </w:r>
      <w:r w:rsidRPr="003E3F5D">
        <w:rPr>
          <w:rFonts w:ascii="Calibri" w:eastAsia="Calibri" w:hAnsi="Calibri" w:cs="Calibri"/>
          <w:sz w:val="22"/>
          <w:szCs w:val="22"/>
        </w:rPr>
        <w:t>En este contexto se registra la aplicación regular de torturas y malos tratos. Ello a través de la violencia física, verbal y psicológica, malas condiciones de detención, falta de acceso a la salud y alimentación, sobremedicación, sujeción mecánica, aislamiento, entre otras</w:t>
      </w:r>
      <w:r w:rsidRPr="003E3F5D">
        <w:rPr>
          <w:rFonts w:ascii="Calibri" w:eastAsia="Calibri" w:hAnsi="Calibri" w:cs="Calibri"/>
          <w:sz w:val="22"/>
          <w:szCs w:val="22"/>
          <w:vertAlign w:val="superscript"/>
        </w:rPr>
        <w:footnoteReference w:id="5"/>
      </w:r>
      <w:r w:rsidRPr="003E3F5D">
        <w:rPr>
          <w:rFonts w:ascii="Calibri" w:eastAsia="Calibri" w:hAnsi="Calibri" w:cs="Calibri"/>
          <w:sz w:val="22"/>
          <w:szCs w:val="22"/>
        </w:rPr>
        <w:t xml:space="preserve">. </w:t>
      </w:r>
    </w:p>
    <w:p w14:paraId="4A7F4A3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otro orden de ideas, la CPM expresa particular preocupación en lo que respecta a las </w:t>
      </w:r>
      <w:r w:rsidRPr="003E3F5D">
        <w:rPr>
          <w:rFonts w:ascii="Calibri" w:eastAsia="Calibri" w:hAnsi="Calibri" w:cs="Calibri"/>
          <w:b/>
          <w:sz w:val="22"/>
          <w:szCs w:val="22"/>
        </w:rPr>
        <w:t xml:space="preserve">Comunidades terapéuticas para abordaje de consumos. </w:t>
      </w:r>
      <w:r w:rsidRPr="003E3F5D">
        <w:rPr>
          <w:rFonts w:ascii="Calibri" w:eastAsia="Calibri" w:hAnsi="Calibri" w:cs="Calibri"/>
          <w:sz w:val="22"/>
          <w:szCs w:val="22"/>
        </w:rPr>
        <w:t>En los últimos años se ha detectado una falencia severa en el control estatal. Algunas funcionan con habilitaciones provisorias y otras de manera clandestina, por lo tanto se desconoce con exactitud cuántas existen. En 2024, solo en provincia de Buenos Aires, se detectaron 155 casos de falta o carencia de asistencia a la salud. Los supuestos tratamientos brindados, están orientados al castigo y no respetan los estándares internacionales y nacionales en materia de salud mental. En este sentido se han detecta</w:t>
      </w:r>
      <w:r w:rsidRPr="003E3F5D">
        <w:rPr>
          <w:rFonts w:ascii="Calibri" w:eastAsia="Calibri" w:hAnsi="Calibri" w:cs="Calibri"/>
          <w:sz w:val="22"/>
          <w:szCs w:val="22"/>
        </w:rPr>
        <w:t>do: violencia física y verbal, sujeción mecánica, sobremedicación, desvinculación familiar. A ello se le suma que es regular la ausencia de personal de salud (psicólogos/psiquiatras).</w:t>
      </w:r>
    </w:p>
    <w:p w14:paraId="104FEEC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Finalmente en relación a las </w:t>
      </w:r>
      <w:r w:rsidRPr="003E3F5D">
        <w:rPr>
          <w:rFonts w:ascii="Calibri" w:eastAsia="Calibri" w:hAnsi="Calibri" w:cs="Calibri"/>
          <w:b/>
          <w:sz w:val="22"/>
          <w:szCs w:val="22"/>
        </w:rPr>
        <w:t>clínicas psiquiátricas</w:t>
      </w:r>
      <w:r w:rsidRPr="003E3F5D">
        <w:rPr>
          <w:rFonts w:ascii="Calibri" w:eastAsia="Calibri" w:hAnsi="Calibri" w:cs="Calibri"/>
          <w:sz w:val="22"/>
          <w:szCs w:val="22"/>
        </w:rPr>
        <w:t>, la CPM ha relevado en sus monitoreos vulneraciones de derechos arraigadas en lógicas manicomiales que tienen como consecuencia la desubjetivación y deshumanización de las personas. Estas consecuencias atentan contra el sostenimiento de las externaciones, en los pocos casos en los que se producen. En términos generales, en todas las clínicas monitoreadas se relevó el predominio del paradigma psiquiátrico-manicomial y el consecuente incumplimiento de las leyes nacionales de salud menta</w:t>
      </w:r>
      <w:r w:rsidRPr="003E3F5D">
        <w:rPr>
          <w:rFonts w:ascii="Calibri" w:eastAsia="Calibri" w:hAnsi="Calibri" w:cs="Calibri"/>
          <w:sz w:val="22"/>
          <w:szCs w:val="22"/>
        </w:rPr>
        <w:t>l y de historias clínicas. Se constató: falta de evaluaciones interdisciplinarias que justifiquen las internaciones, abandono, desidia y escasas o nulas estrategias de externación; esto último implica la permanencia durante mucho tiempo de personas que, en su mayoría, son adultas mayores, y redunda en la geriatrización de estas instituciones. A partir del relato de las personas entrevistadas se relevó que el tratamiento ofrecido se basa exclusivamente en el suministro de psicofármacos sin seguimiento ni con</w:t>
      </w:r>
      <w:r w:rsidRPr="003E3F5D">
        <w:rPr>
          <w:rFonts w:ascii="Calibri" w:eastAsia="Calibri" w:hAnsi="Calibri" w:cs="Calibri"/>
          <w:sz w:val="22"/>
          <w:szCs w:val="22"/>
        </w:rPr>
        <w:t>trol adecuado, y que no hay otro tipo de espacios terapéuticos. En la mayoría de las inspecciones se constataron signos de sobremedicación. En dicho marco se relevaron torturas y malos tratos, violencia verbal y psicológica, prácticas de castigo y disciplinamiento, amenazas, extraterritorialidad del abordaje (personas oriundas de otras provincias o de lugares lejanos), lo que obstaculiza el acceso a un abordaje comunitario. En 2024 se comunicaron un total 366 hechos de tortura y malos tratos en dichas clíni</w:t>
      </w:r>
      <w:r w:rsidRPr="003E3F5D">
        <w:rPr>
          <w:rFonts w:ascii="Calibri" w:eastAsia="Calibri" w:hAnsi="Calibri" w:cs="Calibri"/>
          <w:sz w:val="22"/>
          <w:szCs w:val="22"/>
        </w:rPr>
        <w:t>cas.</w:t>
      </w:r>
    </w:p>
    <w:p w14:paraId="6587783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Por otro lado, en lo que respecta a la</w:t>
      </w:r>
      <w:r w:rsidRPr="003E3F5D">
        <w:rPr>
          <w:rFonts w:ascii="Calibri" w:eastAsia="Calibri" w:hAnsi="Calibri" w:cs="Calibri"/>
          <w:b/>
          <w:sz w:val="22"/>
          <w:szCs w:val="22"/>
        </w:rPr>
        <w:t xml:space="preserve"> situación de Niños, Niñas y jóvenes (NNJ)</w:t>
      </w:r>
      <w:r w:rsidRPr="003E3F5D">
        <w:rPr>
          <w:rFonts w:ascii="Calibri" w:eastAsia="Calibri" w:hAnsi="Calibri" w:cs="Calibri"/>
          <w:sz w:val="22"/>
          <w:szCs w:val="22"/>
        </w:rPr>
        <w:t xml:space="preserve">, durante el 2024 se relevaron agravamientos en las condiciones de detención en dispositivos convivenciales: torturas y malos tratos, aislamiento, ruptura de vínculos familiares y numerosas prácticas violentas que borran cualquier rastro de niñez ante abordajes de crisis, comportamientos o incluso la propia  condición juvenil. A esto se suman condiciones de vida sumamente precarizadas por el deterioro edilicio de dispositivos penales e instituciones convivenciales. </w:t>
      </w:r>
      <w:r w:rsidRPr="003E3F5D">
        <w:rPr>
          <w:rFonts w:ascii="Calibri" w:eastAsia="Calibri" w:hAnsi="Calibri" w:cs="Calibri"/>
          <w:sz w:val="22"/>
          <w:szCs w:val="22"/>
        </w:rPr>
        <w:t>Advertimos que la ausencia de estándares comunes a todos los dispositivos convivenciales y los deficientes mecanismos de supervisión y seguimiento del OPNyA profundizan una doble vara en materia de protección de derechos: ante las mismas vulneraciones se aplican criterios disímiles si se suceden en un entorno familiar o en un contexto institucional. NNyJ por quienes se toman medidas de protección de derechos vuelven a experimentar malos tratos, castigos o negligencia en los cuidados en espacios que deberían</w:t>
      </w:r>
      <w:r w:rsidRPr="003E3F5D">
        <w:rPr>
          <w:rFonts w:ascii="Calibri" w:eastAsia="Calibri" w:hAnsi="Calibri" w:cs="Calibri"/>
          <w:sz w:val="22"/>
          <w:szCs w:val="22"/>
        </w:rPr>
        <w:t xml:space="preserve"> reparar y ofrecer otra vida posible; el año pasado, el extremo fue la muerte de niños. En este orden de ideas, existe una persistencia de abordajes de las crisis y puesta de límites a través del ejercicio de la violencia y el autoritarismo. En todos los monitoreos realizados entrevistamos NNyJ que relatan formas improvisadas, maniobras riesgosas, medidas irresponsables de los adultos que deberían cuidarlos y que ante desbordes emocionales reaccionan mediante comportamientos no permitidos, no adecuados o il</w:t>
      </w:r>
      <w:r w:rsidRPr="003E3F5D">
        <w:rPr>
          <w:rFonts w:ascii="Calibri" w:eastAsia="Calibri" w:hAnsi="Calibri" w:cs="Calibri"/>
          <w:sz w:val="22"/>
          <w:szCs w:val="22"/>
        </w:rPr>
        <w:t xml:space="preserve">egales. </w:t>
      </w:r>
    </w:p>
    <w:p w14:paraId="191AE95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Por otro lado, respecto del subsistema de responsabilidad penal juvenil, se continúa a observar prácticas de aislamiento dentro del sistema de encierro penal juvenil, utilizada diariamente para resolución de conflictos, organizar la dinámica institucional o simplemente castigar. Lo más grave es que todo conflicto o la mayoría de ellos, tienen relación directa con intervenciones iatrogénicas del mismo sistema, sea por acción u omisión. En este sentido, se ha registrado la persistencia de una perspectiva puni</w:t>
      </w:r>
      <w:r w:rsidRPr="003E3F5D">
        <w:rPr>
          <w:rFonts w:ascii="Calibri" w:eastAsia="Calibri" w:hAnsi="Calibri" w:cs="Calibri"/>
          <w:sz w:val="22"/>
          <w:szCs w:val="22"/>
        </w:rPr>
        <w:t xml:space="preserve">tivista por sobre una socio-educativa. Todas las instituciones penales de privación de libertad juvenil -pese a re tipificarse como “centros socio educativos”- carecen de propuestas y recursos significativos que abonen a esta mirada: las prácticas se orientan a lo punitivo y el acceso a derechos está sujeto a la vieja fórmula de premios y castigos; No hay ofertas de formación laboral certificadas para los jóvenes y, cuando aparece el recurso es limitado en participantes y tiempo de duración. </w:t>
      </w:r>
    </w:p>
    <w:p w14:paraId="2E6FEA64" w14:textId="5A7CAAB9" w:rsidR="00165BED" w:rsidRPr="003E3F5D" w:rsidRDefault="009D4909" w:rsidP="003E3F5D">
      <w:pPr>
        <w:jc w:val="both"/>
        <w:rPr>
          <w:rFonts w:ascii="Calibri" w:eastAsia="Calibri" w:hAnsi="Calibri" w:cs="Calibri"/>
          <w:color w:val="FF0000"/>
          <w:sz w:val="22"/>
          <w:szCs w:val="22"/>
        </w:rPr>
      </w:pPr>
      <w:r w:rsidRPr="003E3F5D">
        <w:rPr>
          <w:rFonts w:ascii="Calibri" w:eastAsia="Calibri" w:hAnsi="Calibri" w:cs="Calibri"/>
          <w:sz w:val="22"/>
          <w:szCs w:val="22"/>
        </w:rPr>
        <w:t>En este marco, preocupa la asimilación al sistema de adultos de los procesos y regímenes de vida. Bajo esta perspectiva el encarcelamiento de niños menores de 16 años está creciendo con celeridad y obedece a presiones mediáticas y no a situaciones reales de pruebas fácticas y cifras concretas</w:t>
      </w:r>
      <w:r w:rsidRPr="003E3F5D">
        <w:rPr>
          <w:rFonts w:ascii="Calibri" w:eastAsia="Calibri" w:hAnsi="Calibri" w:cs="Calibri"/>
          <w:color w:val="FF0000"/>
          <w:sz w:val="22"/>
          <w:szCs w:val="22"/>
        </w:rPr>
        <w:t xml:space="preserve">. </w:t>
      </w:r>
    </w:p>
    <w:p w14:paraId="167FD19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Recomendaciones</w:t>
      </w:r>
    </w:p>
    <w:p w14:paraId="4097C6AD"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Reiterar las recomendaciones realizadas en anteriores observaciones por parte del Comité</w:t>
      </w:r>
    </w:p>
    <w:p w14:paraId="19AD9F43"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Eliminar definitivamente las celdas de contención, conocidas como “leoneras” de todos los ámbitos penitenciarios.</w:t>
      </w:r>
    </w:p>
    <w:p w14:paraId="34C37A99"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Se inste al Estado a aplicar los protocolos en materia de sujeción mecánica como medida excepcional y sólo con prescripción médica especializada, en particular en los casos de personas hospitalizadas y aquellas que se encuentran bajo una condición de salud mental.</w:t>
      </w:r>
    </w:p>
    <w:p w14:paraId="4A430E55"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Adoptar medidas a fin de que los procedimientos de requisa se ajusten a la garantía de derechos y no impliquen afectaciones a la integridad psico-física de las personas detenidas. Específicamente en el caso de las mujeres y personas trans detenidas.</w:t>
      </w:r>
    </w:p>
    <w:p w14:paraId="0989A90D"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Solicitar que la atención sanitaria brindada por la Dirección de Salud Penitenciaria dependiente del Ministerio de Justicia provincial, pase a depender del Ministerio de Salud de la provincia</w:t>
      </w:r>
      <w:r w:rsidRPr="003E3F5D">
        <w:rPr>
          <w:rFonts w:ascii="Calibri" w:eastAsia="Calibri" w:hAnsi="Calibri" w:cs="Calibri"/>
          <w:b/>
          <w:sz w:val="22"/>
          <w:szCs w:val="22"/>
        </w:rPr>
        <w:t xml:space="preserve">, </w:t>
      </w:r>
      <w:r w:rsidRPr="003E3F5D">
        <w:rPr>
          <w:rFonts w:ascii="Calibri" w:eastAsia="Calibri" w:hAnsi="Calibri" w:cs="Calibri"/>
          <w:sz w:val="22"/>
          <w:szCs w:val="22"/>
        </w:rPr>
        <w:t>para integrarse a las políticas sanitarias de dicha cartera.</w:t>
      </w:r>
    </w:p>
    <w:p w14:paraId="012706DB"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No tomar medidas regresivas en materia de punibilidad de NNyJ, en particular lo que respecta a la baja de edad de punibilidad.</w:t>
      </w:r>
    </w:p>
    <w:p w14:paraId="513EBCB3"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Prevenir la asimilación del sistema de responsabilidad juvenil al sistema de adultos sea en términos procesales que en condiciones de detención. </w:t>
      </w:r>
    </w:p>
    <w:p w14:paraId="6EDA0142" w14:textId="77777777" w:rsidR="00165BED" w:rsidRPr="003E3F5D" w:rsidRDefault="009D4909" w:rsidP="003E3F5D">
      <w:pPr>
        <w:numPr>
          <w:ilvl w:val="0"/>
          <w:numId w:val="3"/>
        </w:numPr>
        <w:jc w:val="both"/>
        <w:rPr>
          <w:rFonts w:ascii="Calibri" w:eastAsia="Calibri" w:hAnsi="Calibri" w:cs="Calibri"/>
          <w:sz w:val="22"/>
          <w:szCs w:val="22"/>
        </w:rPr>
      </w:pPr>
      <w:r w:rsidRPr="003E3F5D">
        <w:rPr>
          <w:rFonts w:ascii="Calibri" w:eastAsia="Calibri" w:hAnsi="Calibri" w:cs="Calibri"/>
          <w:sz w:val="22"/>
          <w:szCs w:val="22"/>
        </w:rPr>
        <w:t xml:space="preserve">Eliminar regímenes de vida que consisten en el aislamiento permanente de personas por más de 14 días, llegando a varios meses e incluso años, como ocurre en los Pabellones 11B de la Unidad 2 de Sierra Chica o en el Pabellón 11 sector 3 de la Unidad 30 de General Alvear.  Estos pabellones de modalidad de alojamiento extremo han tenido diferentes denominaciones a lo largo del tiempo: pabellón de prevención de conductas violentas o pabellón de confinados o de detenidos problemáticos. </w:t>
      </w:r>
    </w:p>
    <w:p w14:paraId="3C6F2B4D"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En materia de salud mental</w:t>
      </w:r>
    </w:p>
    <w:p w14:paraId="0FDCF939" w14:textId="77777777" w:rsidR="00165BED" w:rsidRPr="003E3F5D" w:rsidRDefault="009D4909" w:rsidP="003E3F5D">
      <w:pPr>
        <w:numPr>
          <w:ilvl w:val="0"/>
          <w:numId w:val="10"/>
        </w:numPr>
        <w:spacing w:after="0"/>
        <w:jc w:val="both"/>
        <w:rPr>
          <w:rFonts w:ascii="Calibri" w:eastAsia="Calibri" w:hAnsi="Calibri" w:cs="Calibri"/>
          <w:sz w:val="22"/>
          <w:szCs w:val="22"/>
        </w:rPr>
      </w:pPr>
      <w:r w:rsidRPr="003E3F5D">
        <w:rPr>
          <w:rFonts w:ascii="Calibri" w:eastAsia="Calibri" w:hAnsi="Calibri" w:cs="Calibri"/>
          <w:sz w:val="22"/>
          <w:szCs w:val="22"/>
        </w:rPr>
        <w:t xml:space="preserve">Instar nuevamente a garantizar la aplicación de la ley de salud mental en los establecimientos de encierro. </w:t>
      </w:r>
    </w:p>
    <w:p w14:paraId="2B51C7CA" w14:textId="77777777" w:rsidR="00165BED" w:rsidRPr="003E3F5D" w:rsidRDefault="009D4909" w:rsidP="003E3F5D">
      <w:pPr>
        <w:numPr>
          <w:ilvl w:val="0"/>
          <w:numId w:val="10"/>
        </w:numPr>
        <w:jc w:val="both"/>
        <w:rPr>
          <w:rFonts w:ascii="Calibri" w:eastAsia="Calibri" w:hAnsi="Calibri" w:cs="Calibri"/>
          <w:sz w:val="22"/>
          <w:szCs w:val="22"/>
        </w:rPr>
      </w:pPr>
      <w:r w:rsidRPr="003E3F5D">
        <w:rPr>
          <w:rFonts w:ascii="Calibri" w:eastAsia="Calibri" w:hAnsi="Calibri" w:cs="Calibri"/>
          <w:sz w:val="22"/>
          <w:szCs w:val="22"/>
        </w:rPr>
        <w:t>Aplicar la debida diligencia para garantizar que las comunidades terapéuticas en funcionamiento respeten el abordaje establecido en las leyes de salud mental, disminuyendo así los casos de secuestros, malos tratos y torturas.</w:t>
      </w:r>
    </w:p>
    <w:p w14:paraId="7B6A602E" w14:textId="77777777" w:rsidR="00165BED" w:rsidRPr="003E3F5D" w:rsidRDefault="009D4909" w:rsidP="003E3F5D">
      <w:pPr>
        <w:pStyle w:val="Heading2"/>
        <w:jc w:val="both"/>
        <w:rPr>
          <w:rFonts w:ascii="Calibri" w:eastAsia="Calibri" w:hAnsi="Calibri" w:cs="Calibri"/>
          <w:sz w:val="22"/>
          <w:szCs w:val="22"/>
        </w:rPr>
      </w:pPr>
      <w:bookmarkStart w:id="6" w:name="_heading=h.96ev0qkaa5lr" w:colFirst="0" w:colLast="0"/>
      <w:bookmarkStart w:id="7" w:name="_Toc211292055"/>
      <w:bookmarkEnd w:id="6"/>
      <w:r w:rsidRPr="003E3F5D">
        <w:rPr>
          <w:rFonts w:ascii="Calibri" w:eastAsia="Calibri" w:hAnsi="Calibri" w:cs="Calibri"/>
          <w:sz w:val="22"/>
          <w:szCs w:val="22"/>
        </w:rPr>
        <w:t>Sobre las investigaciones judiciales</w:t>
      </w:r>
      <w:bookmarkEnd w:id="7"/>
    </w:p>
    <w:p w14:paraId="3AF8AFB6" w14:textId="77777777" w:rsidR="00165BED" w:rsidRPr="003E3F5D" w:rsidRDefault="009D4909" w:rsidP="003E3F5D">
      <w:p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Como se verá en cada uno de los apartados del presente informe,</w:t>
      </w:r>
      <w:r w:rsidRPr="003E3F5D">
        <w:rPr>
          <w:rFonts w:ascii="Calibri" w:eastAsia="Calibri" w:hAnsi="Calibri" w:cs="Calibri"/>
          <w:b/>
          <w:sz w:val="22"/>
          <w:szCs w:val="22"/>
        </w:rPr>
        <w:t xml:space="preserve"> la investigación de casos de torturas o malos tratos no es una prioridad para el poder judicial. </w:t>
      </w:r>
      <w:r w:rsidRPr="003E3F5D">
        <w:rPr>
          <w:rFonts w:ascii="Calibri" w:eastAsia="Calibri" w:hAnsi="Calibri" w:cs="Calibri"/>
          <w:sz w:val="22"/>
          <w:szCs w:val="22"/>
        </w:rPr>
        <w:t>El avance de las investigaciones depende mayormente de las víctimas, sus familiares o los querellantes, incluidos los MLPT. En general se detecta la ausencia de definición de directivas, protocolos, recursos y formación especializada para el abordaje de este tipo de investigaciones. En la mayoría de las provincias no existen cuerpos especializados e independientes para la investigación tales como policías judic</w:t>
      </w:r>
      <w:r w:rsidRPr="003E3F5D">
        <w:rPr>
          <w:rFonts w:ascii="Calibri" w:eastAsia="Calibri" w:hAnsi="Calibri" w:cs="Calibri"/>
          <w:sz w:val="22"/>
          <w:szCs w:val="22"/>
        </w:rPr>
        <w:t>iales o similares. Los cuerpos periciales son escasos y carecen de perspectiva en derechos humanos. En los lugares donde se sancionaron leyes para la creación de fiscalías especializadas en violencia institucional y/o cuerpos de investigación judicial (policía judicial), como en la provincia de Buenos Aires, estos no se encuentran correctamente implementados y por lo tanto no garantizan investigaciones, exhaustivas e independientes. Se detecta desconocimiento y falta de aplicación de los protocolos de Estam</w:t>
      </w:r>
      <w:r w:rsidRPr="003E3F5D">
        <w:rPr>
          <w:rFonts w:ascii="Calibri" w:eastAsia="Calibri" w:hAnsi="Calibri" w:cs="Calibri"/>
          <w:sz w:val="22"/>
          <w:szCs w:val="22"/>
        </w:rPr>
        <w:t>bul y Minnesota.  Los fiscales no se constituyen en las escenas y delegan la investigación en la policía, no se preservan correctamente las escenas ni se recolecta prueba de manera efectiva. Muchas causas se archivan incluso sin tomar declaración a las víctimas. Es decir que no solo se trata de problemas de recursos, sino principalmente de la falta de interés institucional en la investigación de estos casos.</w:t>
      </w:r>
    </w:p>
    <w:p w14:paraId="71799B47" w14:textId="77777777" w:rsidR="00165BED" w:rsidRPr="003E3F5D" w:rsidRDefault="009D4909" w:rsidP="003E3F5D">
      <w:p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A ello se le suma que no existen políticas efectivas para la protección y acompañamiento de las víctimas. La CPM ha denunciado en reiteradas ocasiones la dificultad para acceder al sistema judicial a las víctimas de torturas. Inclusive una vez denunciado los hechos, es claro que el sistema bonaerense no ha materializado los estándares internacionales de investigación y debida diligencia, e impide construir un poder judicial que haga lugar a las demandas y necesidades de las víctimas. A los históricos obstác</w:t>
      </w:r>
      <w:r w:rsidRPr="003E3F5D">
        <w:rPr>
          <w:rFonts w:ascii="Calibri" w:eastAsia="Calibri" w:hAnsi="Calibri" w:cs="Calibri"/>
          <w:sz w:val="22"/>
          <w:szCs w:val="22"/>
        </w:rPr>
        <w:t>ulos ya mencionados por el Comité en reiteradas ocasiones, en la provincia de Buenos Aires se suma la defensa a los presuntos responsables de violencia institucional por parte del Estado, desbalanceando más aún el equilibrio dentro del proceso judicial.  La CPM ha dado cuenta en varias ocasiones de la intervención de la Dirección de Asesoría Letrada de Policía en juicios donde se investiga la violencia institucional. Es decir, la utilización de recursos materiales y humanos del Ministerio de Seguridad de la</w:t>
      </w:r>
      <w:r w:rsidRPr="003E3F5D">
        <w:rPr>
          <w:rFonts w:ascii="Calibri" w:eastAsia="Calibri" w:hAnsi="Calibri" w:cs="Calibri"/>
          <w:sz w:val="22"/>
          <w:szCs w:val="22"/>
        </w:rPr>
        <w:t xml:space="preserve"> Provincia de Buenos Aires al servicio de la defensa penal particular de agentes de policía acusados de graves violaciones a los derechos humanos. La creación de cuerpos de abogados defensores ad-hoc, como la Dirección de Asesoría Letrada de la Policía para la defensa específica de agentes policiales —muchas veces acusados de cometer graves violaciones a los derechos humanos— plantea serios problemas desde una perspectiva de derechos humanos y del principio de igualdad ante la ley. </w:t>
      </w:r>
    </w:p>
    <w:p w14:paraId="6146DB8B" w14:textId="77777777" w:rsidR="00165BED" w:rsidRPr="003E3F5D" w:rsidRDefault="009D4909" w:rsidP="003E3F5D">
      <w:p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Recomendaciones:</w:t>
      </w:r>
    </w:p>
    <w:p w14:paraId="76613AEF" w14:textId="77777777" w:rsidR="00165BED" w:rsidRPr="003E3F5D" w:rsidRDefault="009D4909" w:rsidP="003E3F5D">
      <w:pPr>
        <w:numPr>
          <w:ilvl w:val="0"/>
          <w:numId w:val="9"/>
        </w:num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Reiterar la recomendación sobre Investigar con prontitud, eficacia e imparcialidad todas las denuncias de torturas o malos tratos y velar por que los presuntos autores, así como los superiores jerárquicos que supieran o debieran haber sabido que se estaban cometiendo estos actos, sean enjuiciados, y de ser declarados culpables, sancionados de conformidad con la gravedad de sus actos.</w:t>
      </w:r>
    </w:p>
    <w:p w14:paraId="0B1EE20E"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Definir políticas y protocolos específicos para la investigación prioritaria de los casos de torturas y malos tratos. Se pongan en funcionamiento de manera efectiva las fiscalías especializadas (ley provincial N°14.687) y los cuerpos de investigación judicial (ley provincial N° 15.005), dotándolos de recursos suficientes y calificados, en particular garantizando la integración de sus cuerpos con profesionales con perspectiva en Derechos Humanos.</w:t>
      </w:r>
    </w:p>
    <w:p w14:paraId="3AD2F70C"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Aplicar plenamente de la Resolución 115/13 de la Procuración General que establece la obligatoriedad de iniciar una investigación penal y realizar una autopsia médico-legal ante todos los fallecimientos ocurridos en contextos de encierro/. Implementación plena de la Resolución 1390, apartando de las investigaciones judiciales a las fuerzas responsables de los hechos que se investigan</w:t>
      </w:r>
    </w:p>
    <w:p w14:paraId="4A5C5788"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Incorporar las previsiones de los protocolos de Estambul y Minnesota como pautas de intervención obligatoria y se realicen las modificaciones funcionales, normativas y presupuestarias para garantizar su aplicación. </w:t>
      </w:r>
    </w:p>
    <w:p w14:paraId="21DBE6E2" w14:textId="77B449B5" w:rsidR="000B1FCE"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Prohibir que se utilicen cuerpos de abogados defensores ad-hoc, como la Dirección de Asesoría Letrada de la Policía para la defensa específica de agentes policiales acusados de cometer crímenes.</w:t>
      </w:r>
      <w:bookmarkStart w:id="8" w:name="_heading=h.8y61hag83loi" w:colFirst="0" w:colLast="0"/>
      <w:bookmarkStart w:id="9" w:name="_heading=h.7ckf5uixe8v7" w:colFirst="0" w:colLast="0"/>
      <w:bookmarkEnd w:id="8"/>
      <w:bookmarkEnd w:id="9"/>
    </w:p>
    <w:p w14:paraId="31AEA7BC" w14:textId="11C3DC02" w:rsidR="00165BED" w:rsidRPr="003E3F5D" w:rsidRDefault="009D4909" w:rsidP="003E3F5D">
      <w:pPr>
        <w:pStyle w:val="Heading2"/>
        <w:jc w:val="both"/>
        <w:rPr>
          <w:rFonts w:ascii="Calibri" w:eastAsia="Calibri" w:hAnsi="Calibri" w:cs="Calibri"/>
          <w:sz w:val="22"/>
          <w:szCs w:val="22"/>
        </w:rPr>
      </w:pPr>
      <w:bookmarkStart w:id="10" w:name="_Toc211292056"/>
      <w:r w:rsidRPr="003E3F5D">
        <w:rPr>
          <w:rFonts w:ascii="Calibri" w:eastAsia="Calibri" w:hAnsi="Calibri" w:cs="Calibri"/>
          <w:sz w:val="22"/>
          <w:szCs w:val="22"/>
        </w:rPr>
        <w:t>Sobre las medidas para prevenir los femicidios, la trata y toda forma de violencia contra las mujeres</w:t>
      </w:r>
      <w:bookmarkEnd w:id="10"/>
    </w:p>
    <w:p w14:paraId="1465AE4B"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En el marco de las acciones de monitoreo realizadas por la CPM, una situación en particular merece ser traída a consideración del Comité. En el SPB se encuentran mujeres encarceladas embarazadas y/o alojadas junto a sus hijos/as. En diferentes informes, la CPM ha denunciado las condiciones en las que se encuentran, las prácticas violentas a las que son sometidas y las vulneraciones de derechos que padecen, tanto ellas como los/as niños/as. Al finalizar el 2024, había 62 mujeres embarazadas o con sus hijos/a</w:t>
      </w:r>
      <w:r w:rsidRPr="003E3F5D">
        <w:rPr>
          <w:rFonts w:ascii="Calibri" w:eastAsia="Calibri" w:hAnsi="Calibri" w:cs="Calibri"/>
          <w:sz w:val="22"/>
          <w:szCs w:val="22"/>
        </w:rPr>
        <w:t>s en el encierro (casi un 3% del total de mujeres alojadas en el SPB) y 32 niños/as. Un 27% más que en el año 2023, el número más alto registrado desde el año 2020.</w:t>
      </w:r>
      <w:r w:rsidRPr="003E3F5D">
        <w:rPr>
          <w:rFonts w:ascii="Calibri" w:eastAsia="Calibri" w:hAnsi="Calibri" w:cs="Calibri"/>
          <w:sz w:val="22"/>
          <w:szCs w:val="22"/>
          <w:vertAlign w:val="superscript"/>
        </w:rPr>
        <w:footnoteReference w:id="6"/>
      </w:r>
      <w:r w:rsidRPr="003E3F5D">
        <w:rPr>
          <w:rFonts w:ascii="Calibri" w:eastAsia="Calibri" w:hAnsi="Calibri" w:cs="Calibri"/>
          <w:sz w:val="22"/>
          <w:szCs w:val="22"/>
        </w:rPr>
        <w:t xml:space="preserve"> En el último informe la CPM expuso las vulneraciones en el acceso integral a la salud durante el embarazo y las prácticas violentas en el preparto, parto y posparto sufridas por las mujeres detenidas en la UP 33 de Los Hornos. Las mujeres refirieron no haber recibido información médica en los controles durante el embarazo, habían sido trasladadas esposadas, habían sido sujetadas mecánicamente a la cama del hospital mientras realizaron los trabajos de preparto en presencia de personal penitenciario masculin</w:t>
      </w:r>
      <w:r w:rsidRPr="003E3F5D">
        <w:rPr>
          <w:rFonts w:ascii="Calibri" w:eastAsia="Calibri" w:hAnsi="Calibri" w:cs="Calibri"/>
          <w:sz w:val="22"/>
          <w:szCs w:val="22"/>
        </w:rPr>
        <w:t>o armado dentro de la habitación y que sólo les habían retirado las esposas en el quirófano, para volver a ser esposadas inmediatamente después de parir lo que les ocasiona serias dificultades para amamantar o tener contacto con sus hijes recien nacidos.</w:t>
      </w:r>
    </w:p>
    <w:p w14:paraId="1BDC224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Recomendaciones:</w:t>
      </w:r>
    </w:p>
    <w:p w14:paraId="671CC082" w14:textId="77777777" w:rsidR="00165BED" w:rsidRPr="003E3F5D" w:rsidRDefault="009D4909" w:rsidP="003E3F5D">
      <w:pPr>
        <w:numPr>
          <w:ilvl w:val="0"/>
          <w:numId w:val="5"/>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Prohibir la sujeción mecánica de las mujeres embarazadas, estableciendo un protocolo de cumplimiento efectivo. </w:t>
      </w:r>
    </w:p>
    <w:p w14:paraId="55122194" w14:textId="77777777" w:rsidR="00165BED" w:rsidRPr="003E3F5D" w:rsidRDefault="009D4909" w:rsidP="003E3F5D">
      <w:pPr>
        <w:numPr>
          <w:ilvl w:val="0"/>
          <w:numId w:val="5"/>
        </w:numPr>
        <w:jc w:val="both"/>
        <w:rPr>
          <w:rFonts w:ascii="Calibri" w:eastAsia="Calibri" w:hAnsi="Calibri" w:cs="Calibri"/>
          <w:sz w:val="22"/>
          <w:szCs w:val="22"/>
        </w:rPr>
      </w:pPr>
      <w:r w:rsidRPr="003E3F5D">
        <w:rPr>
          <w:rFonts w:ascii="Calibri" w:eastAsia="Calibri" w:hAnsi="Calibri" w:cs="Calibri"/>
          <w:sz w:val="22"/>
          <w:szCs w:val="22"/>
        </w:rPr>
        <w:t>Establecer protocolos integrales efectivos para el acceso a la salud pre, durante y post parto.</w:t>
      </w:r>
    </w:p>
    <w:p w14:paraId="339F0940" w14:textId="77777777" w:rsidR="00165BED" w:rsidRPr="003E3F5D" w:rsidRDefault="00165BED" w:rsidP="003E3F5D">
      <w:pPr>
        <w:jc w:val="both"/>
        <w:rPr>
          <w:rFonts w:ascii="Calibri" w:eastAsia="Calibri" w:hAnsi="Calibri" w:cs="Calibri"/>
          <w:sz w:val="22"/>
          <w:szCs w:val="22"/>
        </w:rPr>
      </w:pPr>
    </w:p>
    <w:p w14:paraId="7732B7F6" w14:textId="77777777" w:rsidR="00165BED" w:rsidRPr="003E3F5D" w:rsidRDefault="009D4909" w:rsidP="003E3F5D">
      <w:pPr>
        <w:jc w:val="both"/>
        <w:rPr>
          <w:rFonts w:ascii="Calibri" w:eastAsia="Calibri" w:hAnsi="Calibri" w:cs="Calibri"/>
          <w:b/>
          <w:bCs/>
          <w:sz w:val="22"/>
          <w:szCs w:val="22"/>
        </w:rPr>
      </w:pPr>
      <w:r w:rsidRPr="003E3F5D">
        <w:rPr>
          <w:rFonts w:ascii="Calibri" w:eastAsia="Calibri" w:hAnsi="Calibri" w:cs="Calibri"/>
          <w:b/>
          <w:bCs/>
          <w:sz w:val="22"/>
          <w:szCs w:val="22"/>
        </w:rPr>
        <w:t>Recomendaciones generales,</w:t>
      </w:r>
    </w:p>
    <w:p w14:paraId="6FC83ECB"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estado argentino debe adecuar la legislación procesal penal en materia de prisión preventiva y excarcelación y demás alternativas o morigeraciones y la legislación de ejecución penal y penitenciaria, a los estándares constitucionales e internacionales. </w:t>
      </w:r>
    </w:p>
    <w:p w14:paraId="701DD74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estado argentino debe crear una infraestructura publica con las debidas garantias institucionales para desmantelar el sistema de tortura que se depliega en las calles, carceles y comisarias de todo el territorio Nacional. Para ello el Estado argentino debe promover instancias de articulación institucional teniendo como modelo las mesas de trabajo que en la provincia de Buenos Aires se han dado en el marco de la causa Verbitsky. </w:t>
      </w:r>
    </w:p>
    <w:p w14:paraId="43D8771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Estado argentino debe garantizar la coordinación efectiva de las instituciones de salud y las instituciones de encierro para asegurar la plena efectivización de los derechos de los detenidos, impidiendo que el acceso a un tratamiento médico adecuado sea arbitrariamente dispuesto. </w:t>
      </w:r>
    </w:p>
    <w:p w14:paraId="625C8A8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estado argentino debe re adecuar su legislación en materia de intervención en las manifestaciones públicas para garantizar el derecho a la libertad de expresión y a la integridad personal, prohibiendo las detenciones arbitrarias, el uso de armas prohibidas, la intervención de organismos de inteligencia y de las fuerzas armadas.</w:t>
      </w:r>
    </w:p>
    <w:p w14:paraId="133B8EE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estado debe diseñar un Protocolo para el tratamiento de causas de violencia institucional que marque las pautas para todas las investigaciones, fijando estándares de actuación para las agencias judiciales involucradas, promoviendo la articulación y la cooperación interinstitucional que permitan proteger los derechos de las víctimas, sancionar a los responsables, brindar la garantía de no repetición y, finalmente, desmontar una práctica que por su carácter sistemático resulta deshumanizante y es agraviant</w:t>
      </w:r>
      <w:r w:rsidRPr="003E3F5D">
        <w:rPr>
          <w:rFonts w:ascii="Calibri" w:eastAsia="Calibri" w:hAnsi="Calibri" w:cs="Calibri"/>
          <w:sz w:val="22"/>
          <w:szCs w:val="22"/>
        </w:rPr>
        <w:t>e para el Estado de Derecho.</w:t>
      </w:r>
    </w:p>
    <w:p w14:paraId="6EE6D5D0" w14:textId="77777777" w:rsidR="00165BED" w:rsidRPr="003E3F5D" w:rsidRDefault="00165BED" w:rsidP="003E3F5D">
      <w:pPr>
        <w:pStyle w:val="Heading1"/>
        <w:jc w:val="both"/>
        <w:rPr>
          <w:rFonts w:ascii="Calibri" w:eastAsia="Calibri" w:hAnsi="Calibri" w:cs="Calibri"/>
          <w:sz w:val="22"/>
          <w:szCs w:val="22"/>
        </w:rPr>
      </w:pPr>
      <w:bookmarkStart w:id="11" w:name="_heading=h.233juajs9snq" w:colFirst="0" w:colLast="0"/>
      <w:bookmarkEnd w:id="11"/>
    </w:p>
    <w:p w14:paraId="34ED8260" w14:textId="77777777" w:rsidR="00165BED" w:rsidRPr="003E3F5D" w:rsidRDefault="00165BED" w:rsidP="003E3F5D">
      <w:pPr>
        <w:jc w:val="both"/>
        <w:rPr>
          <w:rFonts w:ascii="Calibri" w:hAnsi="Calibri" w:cs="Calibri"/>
          <w:sz w:val="22"/>
          <w:szCs w:val="22"/>
        </w:rPr>
      </w:pPr>
    </w:p>
    <w:p w14:paraId="16AF5F90" w14:textId="77777777" w:rsidR="00165BED" w:rsidRPr="003E3F5D" w:rsidRDefault="009D4909" w:rsidP="003E3F5D">
      <w:pPr>
        <w:pStyle w:val="Heading1"/>
        <w:jc w:val="center"/>
        <w:rPr>
          <w:rFonts w:ascii="Calibri" w:eastAsia="Calibri" w:hAnsi="Calibri" w:cs="Calibri"/>
          <w:b/>
          <w:sz w:val="28"/>
          <w:szCs w:val="28"/>
          <w:u w:val="single"/>
        </w:rPr>
      </w:pPr>
      <w:bookmarkStart w:id="12" w:name="_Toc211292057"/>
      <w:r w:rsidRPr="003E3F5D">
        <w:rPr>
          <w:rFonts w:ascii="Calibri" w:eastAsia="Calibri" w:hAnsi="Calibri" w:cs="Calibri"/>
          <w:b/>
          <w:sz w:val="28"/>
          <w:szCs w:val="28"/>
          <w:u w:val="single"/>
        </w:rPr>
        <w:t>Introducción al informe sobre la implementación de la Convención contra la Tortura del Estado Argentino</w:t>
      </w:r>
      <w:bookmarkEnd w:id="12"/>
    </w:p>
    <w:p w14:paraId="60F1E41D" w14:textId="77777777" w:rsidR="00165BED" w:rsidRPr="003E3F5D" w:rsidRDefault="009D4909" w:rsidP="003E3F5D">
      <w:pPr>
        <w:pStyle w:val="Heading2"/>
        <w:jc w:val="both"/>
        <w:rPr>
          <w:rFonts w:ascii="Calibri" w:eastAsia="Calibri" w:hAnsi="Calibri" w:cs="Calibri"/>
          <w:sz w:val="22"/>
          <w:szCs w:val="22"/>
        </w:rPr>
      </w:pPr>
      <w:bookmarkStart w:id="13" w:name="_Toc211292058"/>
      <w:r w:rsidRPr="003E3F5D">
        <w:rPr>
          <w:rFonts w:ascii="Calibri" w:eastAsia="Calibri" w:hAnsi="Calibri" w:cs="Calibri"/>
          <w:sz w:val="22"/>
          <w:szCs w:val="22"/>
        </w:rPr>
        <w:t>Medidas regresivas en el marco del actual gobierno en el campo de seguridad, derecho penal y privación de la libertad.</w:t>
      </w:r>
      <w:bookmarkEnd w:id="13"/>
    </w:p>
    <w:p w14:paraId="3AC90D5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triunfo electoral de la fórmula de La Libertad Avanza en las elecciones de 2023 configura un nuevo escenario para la lucha por los derechos humanos e implica nuevos desafíos y replanteos. Se trata de un proceso profundamente regresivo y amplio en materia de derechos: los definidos como económicos y sociales, los derechos políticos o las garantías individuales. Tal regresión está acompañada de una discursividad virulenta, agresiva, sin tapujos ni matices, principalmente contra lo identificado como progres</w:t>
      </w:r>
      <w:r w:rsidRPr="003E3F5D">
        <w:rPr>
          <w:rFonts w:ascii="Calibri" w:eastAsia="Calibri" w:hAnsi="Calibri" w:cs="Calibri"/>
          <w:sz w:val="22"/>
          <w:szCs w:val="22"/>
        </w:rPr>
        <w:t>ismo, donde se inscribe la agenda general de derechos humanos y memoria, la de los feminismos, las cuestiones ambientales, del trabajo, de los pueblos originarios, las luchas contra la desigualdad, la violencia estatal, la salud, la educación, las discapacidades. Una violencia que se expande a quienes difieren o se oponen a iniciativas del oficialismo en el despliegue de su política</w:t>
      </w:r>
    </w:p>
    <w:p w14:paraId="4E11B68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Como parte del cuadro general, desde el Estado nacional se desplegó un dispositivo represivo orientado a la criminalización de la protesta y de las organizaciones sociales y políticas que articulan programas sociales en los territorios más precarios, incluso mediante causas judiciales armadas. A partir de la puesta en marcha del protocolo antipiquetes, la CPM ha desarrollado una tarea de monitoreo sobre el despliegue de las fuerzas de seguridad en las manifestaciones. Como puede verse en los informes elabor</w:t>
      </w:r>
      <w:r w:rsidRPr="003E3F5D">
        <w:rPr>
          <w:rFonts w:ascii="Calibri" w:eastAsia="Calibri" w:hAnsi="Calibri" w:cs="Calibri"/>
          <w:sz w:val="22"/>
          <w:szCs w:val="22"/>
        </w:rPr>
        <w:t xml:space="preserve">ados por este organismo, la represión a la protesta ha sido sistemática, principalmente a las organizaciones sociales. </w:t>
      </w:r>
    </w:p>
    <w:p w14:paraId="1893E61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discursividad del gobierno nacional y de algunos de sus referentes abreva en gran medida en la última dictadura militar no sólo al poner en juego la nominación de “terroristas” a quienes se oponen a sus medidas, sino en otras dimensiones microcapilares como por ejemplo amenazar con una ley que sancione el “adoctrinamiento” en las escuelas convocando a padres y alumnos a denunciarlo.</w:t>
      </w:r>
    </w:p>
    <w:p w14:paraId="7CEE7E5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Tal y como la CPM lo ha repetido en cada informe, la exacerbación punitivista, retomada ahora con ferocidad, no es nueva ni remite sólo a fuerzas políticas de derecha y centro derecha sino que es una constante de todos los gobiernos desde fines de la década del 90. Esa política criminal se consolidó como una política de gobierno de las poblaciones más pobres, excluidas del acceso a muchos de sus derechos y sometidas a la precariedad y la escasez, un rasgo que se expresa de manera contundente en la extracció</w:t>
      </w:r>
      <w:r w:rsidRPr="003E3F5D">
        <w:rPr>
          <w:rFonts w:ascii="Calibri" w:eastAsia="Calibri" w:hAnsi="Calibri" w:cs="Calibri"/>
          <w:sz w:val="22"/>
          <w:szCs w:val="22"/>
        </w:rPr>
        <w:t xml:space="preserve">n social de las personas a las que capta el sistema penal: la inmensa mayoría es pobre. </w:t>
      </w:r>
    </w:p>
    <w:p w14:paraId="6471606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resultado más visible de esta política es el crecimiento sostenido de la población encarcelada y de la tasa de prisionización, índice que en la provincia de Buenos Aires es el más alto del país. En el contexto actual de crecimiento de la pobreza, es una realidad la desocupación y el hambre, y la búsqueda de ingresos en los mercados ilegales y el delito por parte de los sectores más golpeados. Pues mientras los homicidios dolosos bajan de manera sostenida desde hace casi 10 años en el país y en la provinc</w:t>
      </w:r>
      <w:r w:rsidRPr="003E3F5D">
        <w:rPr>
          <w:rFonts w:ascii="Calibri" w:eastAsia="Calibri" w:hAnsi="Calibri" w:cs="Calibri"/>
          <w:sz w:val="22"/>
          <w:szCs w:val="22"/>
        </w:rPr>
        <w:t>ia, lo que capta el sistema penal son personas acusadas de cometer delitos contra la propiedad (robos y hurtos) o contemplados en la ley de estupefacientes, la mayoría por narcomenudeo</w:t>
      </w:r>
      <w:r w:rsidRPr="003E3F5D">
        <w:rPr>
          <w:rFonts w:ascii="Calibri" w:eastAsia="Calibri" w:hAnsi="Calibri" w:cs="Calibri"/>
          <w:sz w:val="22"/>
          <w:szCs w:val="22"/>
          <w:vertAlign w:val="superscript"/>
        </w:rPr>
        <w:footnoteReference w:id="7"/>
      </w:r>
      <w:r w:rsidRPr="003E3F5D">
        <w:rPr>
          <w:rFonts w:ascii="Calibri" w:eastAsia="Calibri" w:hAnsi="Calibri" w:cs="Calibri"/>
          <w:sz w:val="22"/>
          <w:szCs w:val="22"/>
        </w:rPr>
        <w:t>.</w:t>
      </w:r>
    </w:p>
    <w:p w14:paraId="6C8BAA2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la provincia de Buenos Aires, los distintos gobiernos sustentaron la política de seguridad en una estrategia de saturación policial de los territorios; sin embargo, este despliegue de las fuerzas de seguridad, lejos de ser una solución efectiva al problema del delito, se convirtió en una fuente de vulneraciones de derechos.</w:t>
      </w:r>
    </w:p>
    <w:p w14:paraId="450C75F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Con la connivencia de la justicia esta política otorga a los/as funcionarios/ as policiales un amplio margen de discrecionalidad y arbitrariedad, lo que genera las condiciones de posibilidad para el ejercicio de la violencia policial. Las víctimas de estas prácticas son en su gran mayoría los jóvenes de nuestros barrios más pobres, jóvenes que muchas veces ni siquiera tienen vinculación con el delito o son el último eslabón de la cadena del delito, el más débil.</w:t>
      </w:r>
    </w:p>
    <w:p w14:paraId="0A172548"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sz w:val="22"/>
          <w:szCs w:val="22"/>
        </w:rPr>
        <w:t xml:space="preserve">La criminalización y control de los pobres se manifiesta a través de prácticas de hostigamiento, torturas, detenciones arbitrarias y el uso de figuras legales vagas como averiguación de ilícito o averiguación de identidad, que justifican intervenciones policiales sin una base legal sólida. </w:t>
      </w:r>
    </w:p>
    <w:p w14:paraId="34FE01B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Al momento de detener, la policía no cumple con las salvaguardias legales: informar sobre los derechos, realizar un examen médico independiente, garantizar la comunicación inmediata con un familiar o allegado o el acceso inmediato a la defensa técnica.</w:t>
      </w:r>
    </w:p>
    <w:p w14:paraId="0F958D8C"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sz w:val="22"/>
          <w:szCs w:val="22"/>
        </w:rPr>
        <w:t>La policía sostiene su función reguladora del delito y se despliega a partir de prácticas sistemáticas que se relevan en todo el territorio provincial. Una de estas prácticas es la corrupción estructural que, pese a tratarse de prácticas extendidas y generalizadas, registra niveles de denuncia muy bajos por el temor a represalias policiales o por los escasos resultados de las investigaciones administrativas o penales</w:t>
      </w:r>
      <w:r w:rsidRPr="003E3F5D">
        <w:rPr>
          <w:rFonts w:ascii="Calibri" w:eastAsia="Calibri" w:hAnsi="Calibri" w:cs="Calibri"/>
          <w:i/>
          <w:sz w:val="22"/>
          <w:szCs w:val="22"/>
        </w:rPr>
        <w:t>. Del total de 77.267 sumarios administrativos realizados por la Auditoría General en los últimos 14 años, apenas 5.701 terminaron con una expulsión: un 7% del total. Del total de sumarios, el 35% corresponde a casos de corrupción, connivencia o participación en delitos, infracciones de contenido patrimonial o manejos irregulares de fondos.</w:t>
      </w:r>
    </w:p>
    <w:p w14:paraId="7763FE2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Frente a la tendencia del poder judicial a encerrar y el endurecimiento de las leyes penales y procesales sancionadas en el Congreso nacional y la Legislatura provincial que provocan elevados índices de sobrepoblación y hacinamiento, la respuesta histórica del poder ejecutivo ha sido dual: sumar camastros en las celdas para informar un nivel de sobrepoblación más bajo, o aumentar la capacidad edilicia construyendo nuevos espacios o ampliando los ya existentes.</w:t>
      </w:r>
    </w:p>
    <w:p w14:paraId="521B587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Sin embargo, la ocupación siempre supera la capacidad. Está demostrado que construir cárceles no mejora las condiciones de detención sino que, al contrario, eleva el piso de encarcelamiento. Si bien en un primer momento esta ampliación de la infraestructura redujo la sobrepoblación, al no modificarse la política criminal rápidamente la tendencia creciente de la prisionización echó por tierra el esfuerzo constructor, que no puede sostenerse al ritmo de este crecimiento. Por otro lado, cabe señalar el paupérr</w:t>
      </w:r>
      <w:r w:rsidRPr="003E3F5D">
        <w:rPr>
          <w:rFonts w:ascii="Calibri" w:eastAsia="Calibri" w:hAnsi="Calibri" w:cs="Calibri"/>
          <w:sz w:val="22"/>
          <w:szCs w:val="22"/>
        </w:rPr>
        <w:t>imo estado de la infraestructura histórica que genera condiciones gravosas de detención y las graves violaciones a los derechos humanos que ello implica. Cárceles obsoletas con más de 100 años que deberían cerrarse y se mantienen en funcionamiento. En otras palabras: el problema principal no es la envergadura de la infraestructura carcelaria y los cupos disponibles, sino la política criminal que los tres poderes del Estado provincial se niegan a modificar. El único problema estructural abordado por los gobi</w:t>
      </w:r>
      <w:r w:rsidRPr="003E3F5D">
        <w:rPr>
          <w:rFonts w:ascii="Calibri" w:eastAsia="Calibri" w:hAnsi="Calibri" w:cs="Calibri"/>
          <w:sz w:val="22"/>
          <w:szCs w:val="22"/>
        </w:rPr>
        <w:t>ernos es justamente el descripto. Pero la práctica sistemática de la tortura (un tema ignorado por las diferentes gestiones) también es un problema estructural para el que no se implementan políticas tendientes a su prevención y sanción o la asistencia a las víctimas.</w:t>
      </w:r>
    </w:p>
    <w:p w14:paraId="7E1DD61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política criminal de la provincia de Buenos Aires se constituyó en los últimos 25 años en un mecanismo estatal de gobierno y control de las poblaciones más pobres y vulneradas a través del sistema penal y las políticas de seguridad. Esta orientación fue seguida por los distintos gobiernos sin variaciones notorias que hayan aportado cambios estructurales persistentes, aun cuando en determinados momentos se pretendió reformar estructuralmente a las policías.</w:t>
      </w:r>
    </w:p>
    <w:p w14:paraId="59AC5DF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Las llamadas políticas de </w:t>
      </w:r>
      <w:r w:rsidRPr="003E3F5D">
        <w:rPr>
          <w:rFonts w:ascii="Calibri" w:eastAsia="Calibri" w:hAnsi="Calibri" w:cs="Calibri"/>
          <w:i/>
          <w:sz w:val="22"/>
          <w:szCs w:val="22"/>
        </w:rPr>
        <w:t xml:space="preserve">mano dura </w:t>
      </w:r>
      <w:r w:rsidRPr="003E3F5D">
        <w:rPr>
          <w:rFonts w:ascii="Calibri" w:eastAsia="Calibri" w:hAnsi="Calibri" w:cs="Calibri"/>
          <w:sz w:val="22"/>
          <w:szCs w:val="22"/>
        </w:rPr>
        <w:t xml:space="preserve">son políticas transversales que se sostienen a pesar de los cambios significativos en gobiernos empeñados en diferenciarse notoriamente en la orientación y perspectiva de otras políticas estatales. La conjunción entre un esquema de control y regulación ilegal del delito por la policía en los territorios y la actuación judicial, que convalida y encierra automáticamente sin controlar estas prácticas policiales violentas, deriva en la captación selectiva de jóvenes pobres para ingresarlos al sistema </w:t>
      </w:r>
      <w:r w:rsidRPr="003E3F5D">
        <w:rPr>
          <w:rFonts w:ascii="Calibri" w:eastAsia="Calibri" w:hAnsi="Calibri" w:cs="Calibri"/>
          <w:sz w:val="22"/>
          <w:szCs w:val="22"/>
        </w:rPr>
        <w:t>penal.</w:t>
      </w:r>
    </w:p>
    <w:p w14:paraId="449EC77E" w14:textId="77777777" w:rsidR="00165BED" w:rsidRPr="003E3F5D" w:rsidRDefault="00165BED" w:rsidP="003E3F5D">
      <w:pPr>
        <w:jc w:val="both"/>
        <w:rPr>
          <w:rFonts w:ascii="Calibri" w:eastAsia="Calibri" w:hAnsi="Calibri" w:cs="Calibri"/>
          <w:sz w:val="22"/>
          <w:szCs w:val="22"/>
        </w:rPr>
      </w:pPr>
    </w:p>
    <w:p w14:paraId="1A580E08" w14:textId="77777777" w:rsidR="00165BED" w:rsidRPr="003E3F5D" w:rsidRDefault="009D4909" w:rsidP="003E3F5D">
      <w:pPr>
        <w:pStyle w:val="Heading1"/>
        <w:jc w:val="both"/>
        <w:rPr>
          <w:rFonts w:ascii="Calibri" w:eastAsia="Calibri" w:hAnsi="Calibri" w:cs="Calibri"/>
          <w:sz w:val="22"/>
          <w:szCs w:val="22"/>
        </w:rPr>
      </w:pPr>
      <w:bookmarkStart w:id="14" w:name="_Toc211292059"/>
      <w:r w:rsidRPr="003E3F5D">
        <w:rPr>
          <w:rFonts w:ascii="Calibri" w:eastAsia="Calibri" w:hAnsi="Calibri" w:cs="Calibri"/>
          <w:sz w:val="22"/>
          <w:szCs w:val="22"/>
        </w:rPr>
        <w:t>Sobre las medidas para prevenir abusos policiales en el contexto de detenciones realizadas por las fuerzas de seguridad sin orden judicial.</w:t>
      </w:r>
      <w:bookmarkEnd w:id="14"/>
    </w:p>
    <w:p w14:paraId="3F1F19E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Durante 2024 la CPM ha registrado 1.539 hechos de violencia policial a través de la recepción de denuncias e inspecciones en dependencias policiales realizadas por los diferentes programas. </w:t>
      </w:r>
    </w:p>
    <w:p w14:paraId="27319A5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Se concurrió a 31 dependencias policiales para el relevamiento de registros, documentación y condiciones de detención. El Programa de la CPM (Pro.Mo.Vi) registró 690 hechos de violencia policial, predominando la violencia física (166). Además, se contabilizaron 133 casos de uso letal de la fuerza policial y 24 muertes producidas en comisarías bonaerenses. Es decir, 157 personas murieron por la intervención policial directa o bajo custodia.   Las agresiones verbales, la violencia psicológica y las amenazas, </w:t>
      </w:r>
      <w:r w:rsidRPr="003E3F5D">
        <w:rPr>
          <w:rFonts w:ascii="Calibri" w:eastAsia="Calibri" w:hAnsi="Calibri" w:cs="Calibri"/>
          <w:sz w:val="22"/>
          <w:szCs w:val="22"/>
        </w:rPr>
        <w:t>representan en conjunto 182 casos.</w:t>
      </w:r>
    </w:p>
    <w:p w14:paraId="34FA08B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información que surge de los casos abordados por Pro.Mo.Vi, se complementa con los datos producidos por el Registro Nacional de Casos de Tortura y/o Malos Tratos (RNCT)</w:t>
      </w:r>
      <w:r w:rsidRPr="003E3F5D">
        <w:rPr>
          <w:rFonts w:ascii="Calibri" w:eastAsia="Calibri" w:hAnsi="Calibri" w:cs="Calibri"/>
          <w:sz w:val="22"/>
          <w:szCs w:val="22"/>
          <w:vertAlign w:val="superscript"/>
        </w:rPr>
        <w:footnoteReference w:id="8"/>
      </w:r>
      <w:r w:rsidRPr="003E3F5D">
        <w:rPr>
          <w:rFonts w:ascii="Calibri" w:eastAsia="Calibri" w:hAnsi="Calibri" w:cs="Calibri"/>
          <w:sz w:val="22"/>
          <w:szCs w:val="22"/>
        </w:rPr>
        <w:t xml:space="preserve"> cuyo objetivo es el registro y análisis de casos actuales de torturas y malos tratos por parte de los organismos del sistema penal</w:t>
      </w:r>
      <w:r w:rsidRPr="003E3F5D">
        <w:rPr>
          <w:rFonts w:ascii="Calibri" w:eastAsia="Calibri" w:hAnsi="Calibri" w:cs="Calibri"/>
          <w:sz w:val="22"/>
          <w:szCs w:val="22"/>
          <w:vertAlign w:val="superscript"/>
        </w:rPr>
        <w:footnoteReference w:id="9"/>
      </w:r>
      <w:r w:rsidRPr="003E3F5D">
        <w:rPr>
          <w:rFonts w:ascii="Calibri" w:eastAsia="Calibri" w:hAnsi="Calibri" w:cs="Calibri"/>
          <w:sz w:val="22"/>
          <w:szCs w:val="22"/>
        </w:rPr>
        <w:t xml:space="preserve">. </w:t>
      </w:r>
    </w:p>
    <w:p w14:paraId="772E296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base a estas categorías se relevaron 752 hechos de tortura y/o malos tratos policiales</w:t>
      </w:r>
      <w:r w:rsidRPr="003E3F5D">
        <w:rPr>
          <w:rFonts w:ascii="Calibri" w:eastAsia="Calibri" w:hAnsi="Calibri" w:cs="Calibri"/>
          <w:b/>
          <w:sz w:val="22"/>
          <w:szCs w:val="22"/>
        </w:rPr>
        <w:t xml:space="preserve"> </w:t>
      </w:r>
      <w:r w:rsidRPr="003E3F5D">
        <w:rPr>
          <w:rFonts w:ascii="Calibri" w:eastAsia="Calibri" w:hAnsi="Calibri" w:cs="Calibri"/>
          <w:sz w:val="22"/>
          <w:szCs w:val="22"/>
        </w:rPr>
        <w:t>que afectaron de modo simultáneo o en forma concatenada a 137 víctimas. Estos hechos se produjeron: 588 durante la detención en comisarías, 112 en la aprehensión, 48 durante un traslado, 2 en hospitales provinciales bajo custodia policial, 1 durante un allanamiento sin detención y 1 en la vía pública. Las víctimas son preponderantemente jóvenes, siendo el promedio de edad de las víctimas de 28 años. Las víctimas menores de 18 años representan el 21%.</w:t>
      </w:r>
    </w:p>
    <w:p w14:paraId="40F7401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cada hecho se combinaron, en promedio, más de 2 actos violentos. Los golpes de puño son la forma que se registró de manera más frecuente. Luego se despliega una variedad de actos como patadas, sujeciones o ataduras prolongadas, golpes con objetos contundentes y cachetazos. Y se destacan agresiones de particular crueldad y gravedad como el abuso sexual, el submarino húmedo, el atropello con móviles policiales y las balas de plomo.</w:t>
      </w:r>
    </w:p>
    <w:p w14:paraId="68628CF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86 hechos de agresiones se registraron lesiones físicas como consecuencia; del total, 79 fueron descriptas y pueden clasificarse como </w:t>
      </w:r>
      <w:r w:rsidRPr="003E3F5D">
        <w:rPr>
          <w:rFonts w:ascii="Calibri" w:eastAsia="Calibri" w:hAnsi="Calibri" w:cs="Calibri"/>
          <w:i/>
          <w:sz w:val="22"/>
          <w:szCs w:val="22"/>
        </w:rPr>
        <w:t xml:space="preserve">severas o intermedias </w:t>
      </w:r>
      <w:r w:rsidRPr="003E3F5D">
        <w:rPr>
          <w:rFonts w:ascii="Calibri" w:eastAsia="Calibri" w:hAnsi="Calibri" w:cs="Calibri"/>
          <w:sz w:val="22"/>
          <w:szCs w:val="22"/>
        </w:rPr>
        <w:t>comprometiendo órganos o funciones vitales y las restantes como</w:t>
      </w:r>
      <w:r w:rsidRPr="003E3F5D">
        <w:rPr>
          <w:rFonts w:ascii="Calibri" w:eastAsia="Calibri" w:hAnsi="Calibri" w:cs="Calibri"/>
          <w:i/>
          <w:sz w:val="22"/>
          <w:szCs w:val="22"/>
        </w:rPr>
        <w:t xml:space="preserve"> leves</w:t>
      </w:r>
      <w:r w:rsidRPr="003E3F5D">
        <w:rPr>
          <w:rFonts w:ascii="Calibri" w:eastAsia="Calibri" w:hAnsi="Calibri" w:cs="Calibri"/>
          <w:sz w:val="22"/>
          <w:szCs w:val="22"/>
        </w:rPr>
        <w:t>.</w:t>
      </w:r>
      <w:r w:rsidRPr="003E3F5D">
        <w:rPr>
          <w:rFonts w:ascii="Calibri" w:eastAsia="Calibri" w:hAnsi="Calibri" w:cs="Calibri"/>
          <w:sz w:val="22"/>
          <w:szCs w:val="22"/>
          <w:vertAlign w:val="superscript"/>
        </w:rPr>
        <w:footnoteReference w:id="10"/>
      </w:r>
      <w:r w:rsidRPr="003E3F5D">
        <w:rPr>
          <w:rFonts w:ascii="Calibri" w:eastAsia="Calibri" w:hAnsi="Calibri" w:cs="Calibri"/>
          <w:sz w:val="22"/>
          <w:szCs w:val="22"/>
        </w:rPr>
        <w:t xml:space="preserve"> </w:t>
      </w:r>
    </w:p>
    <w:p w14:paraId="27C5EA8B"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 las dimensiones de la violencia policial relevadas por el RNCT, se suman otras que emergen de los casos abordados por el Pro.Mo.Vi de la CPM y que complementan la caracterización de la violencia policial, como una práctica sistemática. </w:t>
      </w:r>
    </w:p>
    <w:p w14:paraId="6EC3AD0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Las modalidades más extremas y visibles de la violencia policial, suelen ocultar otras que se banalizan tanto por los operadores judiciales como por las propias víctimas. Suelen ser consideradas parte de la actuación normalizada de las fuerzas policiales y en muchos casos no se cuestiona su legalidad.  Una de estas formas de violencia es la amenaza, que es la acción orientada al anuncio o promesa de sufrir un mal o daño futuro e ilegal. Esta promesa no se realiza en abstracto, sino que se conecta con todas </w:t>
      </w:r>
      <w:r w:rsidRPr="003E3F5D">
        <w:rPr>
          <w:rFonts w:ascii="Calibri" w:eastAsia="Calibri" w:hAnsi="Calibri" w:cs="Calibri"/>
          <w:sz w:val="22"/>
          <w:szCs w:val="22"/>
        </w:rPr>
        <w:t xml:space="preserve">las prácticas que se constatan en la actuación cotidiana de los agentes policiales.  Otra forma que adquiere la violencia policial, es la </w:t>
      </w:r>
      <w:r w:rsidRPr="003E3F5D">
        <w:rPr>
          <w:rFonts w:ascii="Calibri" w:eastAsia="Calibri" w:hAnsi="Calibri" w:cs="Calibri"/>
          <w:i/>
          <w:sz w:val="22"/>
          <w:szCs w:val="22"/>
        </w:rPr>
        <w:t>agresión verbal</w:t>
      </w:r>
      <w:r w:rsidRPr="003E3F5D">
        <w:rPr>
          <w:rFonts w:ascii="Calibri" w:eastAsia="Calibri" w:hAnsi="Calibri" w:cs="Calibri"/>
          <w:sz w:val="22"/>
          <w:szCs w:val="22"/>
        </w:rPr>
        <w:t xml:space="preserve"> que se expresa bajo la forma de insultos, gritos y vociferaciones. En la mayoría de los casos se refieren a expresiones de carácter discriminatorio ya sea vinculada a la clase social o nacionalidad. Siempre se encuentra asociado a otro tipo de violencia.</w:t>
      </w:r>
    </w:p>
    <w:p w14:paraId="63D22A9A"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La </w:t>
      </w:r>
      <w:r w:rsidRPr="003E3F5D">
        <w:rPr>
          <w:rFonts w:ascii="Calibri" w:eastAsia="Calibri" w:hAnsi="Calibri" w:cs="Calibri"/>
          <w:i/>
          <w:sz w:val="22"/>
          <w:szCs w:val="22"/>
        </w:rPr>
        <w:t>violencia psicológica</w:t>
      </w:r>
      <w:r w:rsidRPr="003E3F5D">
        <w:rPr>
          <w:rFonts w:ascii="Calibri" w:eastAsia="Calibri" w:hAnsi="Calibri" w:cs="Calibri"/>
          <w:sz w:val="22"/>
          <w:szCs w:val="22"/>
        </w:rPr>
        <w:t xml:space="preserve"> es una práctica que pocas veces es denunciada como tal por la víctima, en general se reconstruye junto con ella en el registro de su relato. Se manifiesta como afectación emocional, y es en la reconstrucción de los hechos donde se evidencian las acciones que condujeron al estado que se describe. Se trata de conductas ejercidas mediante comunicación verbal y/o gestual con el propósito de mantener o incrementar la sumisión de una persona, afectando su integridad psíquica. Incluye actos d</w:t>
      </w:r>
      <w:r w:rsidRPr="003E3F5D">
        <w:rPr>
          <w:rFonts w:ascii="Calibri" w:eastAsia="Calibri" w:hAnsi="Calibri" w:cs="Calibri"/>
          <w:sz w:val="22"/>
          <w:szCs w:val="22"/>
        </w:rPr>
        <w:t xml:space="preserve">e humillación, discriminación, indiferencia, desvalorización, provocación, burlas, desconocimiento de la identidad. </w:t>
      </w:r>
    </w:p>
    <w:p w14:paraId="10B94B5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También comprende prácticas en las que la víctima es obligada a realizar actos contra su voluntad o en falta a su credo o costumbres, a la exposición ante otros en situaciones que comprometen su dignidad, inducción forzada a presenciar torturas o malos tratos a otras personas. Esta violencia puede estar combinada con la agresión física, la amenaza u otros tipos de hechos, que buscan agudizar la sensación de desvalimiento.</w:t>
      </w:r>
    </w:p>
    <w:p w14:paraId="2F8CD41A"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Ejemplo de los relatos obtenidos por la CPM – El caso de la Comisaría N.2 en Ensenada</w:t>
      </w:r>
    </w:p>
    <w:p w14:paraId="48B1AE7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Un ejemplo donde se conjugan las distintas dimensiones de la violencia policial que describimos, fue el ocurrido en la Comisaría 2ª de Ensenada. En la madrugada del 21 de octubre del año 2024, en esta dependencia policial, se produjeron hechos de tortura que afectaron los 8 detenidos que se encontraban en los calabozos. </w:t>
      </w:r>
    </w:p>
    <w:p w14:paraId="637E7D2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Esa noche, entre 30 y 40 policías de diferentes comisarías de la zona y miembros del Grupo de Apoyo Departamental (GAD), detonaron granadas de gas lacrimógeno, lanzaron a corta distancia chorros de agua con alta presión y gas pimienta, tiraron a quemarropa con postas de goma, los golpearon salvajemente con tonfas, palos y otros elementos, los desnudaron, los patearon en el piso y los abusaron sexualmente apoyando  y frotando la tonfa en las partes íntimas de los detenidos, los amenazaron con accederlos sexu</w:t>
      </w:r>
      <w:r w:rsidRPr="003E3F5D">
        <w:rPr>
          <w:rFonts w:ascii="Calibri" w:eastAsia="Calibri" w:hAnsi="Calibri" w:cs="Calibri"/>
          <w:sz w:val="22"/>
          <w:szCs w:val="22"/>
        </w:rPr>
        <w:t>almente con ella y los obligaron a que se besaran entre sí sus partes íntimas, incluso a un detenido que se había realizado encima sus necesidades fisiológicas producto de la violencia padecida. Los tormentos se extendieron durante esa noche y duraron hasta el amanecer.</w:t>
      </w:r>
    </w:p>
    <w:p w14:paraId="0693C897" w14:textId="77777777" w:rsidR="00165BED" w:rsidRPr="003E3F5D" w:rsidRDefault="00165BED" w:rsidP="003E3F5D">
      <w:pPr>
        <w:jc w:val="both"/>
        <w:rPr>
          <w:rFonts w:ascii="Calibri" w:eastAsia="Calibri" w:hAnsi="Calibri" w:cs="Calibri"/>
          <w:sz w:val="22"/>
          <w:szCs w:val="22"/>
        </w:rPr>
      </w:pPr>
    </w:p>
    <w:p w14:paraId="6E82FBA8" w14:textId="77777777" w:rsidR="00165BED" w:rsidRPr="003E3F5D" w:rsidRDefault="009D4909" w:rsidP="003E3F5D">
      <w:pPr>
        <w:pStyle w:val="Heading2"/>
        <w:jc w:val="both"/>
        <w:rPr>
          <w:rFonts w:ascii="Calibri" w:eastAsia="Calibri" w:hAnsi="Calibri" w:cs="Calibri"/>
          <w:sz w:val="22"/>
          <w:szCs w:val="22"/>
        </w:rPr>
      </w:pPr>
      <w:bookmarkStart w:id="15" w:name="_Toc211292060"/>
      <w:r w:rsidRPr="003E3F5D">
        <w:rPr>
          <w:rFonts w:ascii="Calibri" w:eastAsia="Calibri" w:hAnsi="Calibri" w:cs="Calibri"/>
          <w:sz w:val="22"/>
          <w:szCs w:val="22"/>
        </w:rPr>
        <w:t>Del incumplimiento de las salvaguardias por parte del personal policial</w:t>
      </w:r>
      <w:bookmarkEnd w:id="15"/>
    </w:p>
    <w:p w14:paraId="31FD3BB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salvaguardia, por definición, tiene que ser desplegada desde los primeros momentos de la intervención policial. Esto es así, ya que se encuentra acabadamente demostrado que, durante los primeros momentos de la detención, la persona se encuentra en un particular estado de vulnerabilidad. Desde esta perspectiva, durante el año 2022 desplegamos un mecanismo –piloto– con el propósito de diagnosticar un estado de situación sobre el cumplimiento de estas acciones tendientes a prevenir, tanto la tortura, como d</w:t>
      </w:r>
      <w:r w:rsidRPr="003E3F5D">
        <w:rPr>
          <w:rFonts w:ascii="Calibri" w:eastAsia="Calibri" w:hAnsi="Calibri" w:cs="Calibri"/>
          <w:sz w:val="22"/>
          <w:szCs w:val="22"/>
        </w:rPr>
        <w:t>iversas prácticas arbitrarias de las agencias policiales. Sin perjuicio de esta enumeración taxativa y que tiene correlato normativo en cuanto a su reconocimiento, consideramos que es oportuno pensar el concepto de salvaguardia como una herramienta indispensable para la prevención y lucha contra la tortura.Durante el año 2022, la CPM diseñó e implementó un monitoreo sistemático, meticuloso y enfocado en varias comisarías. El propósito central fue evaluar el cumplimiento, o falta de cumplimiento, de las salv</w:t>
      </w:r>
      <w:r w:rsidRPr="003E3F5D">
        <w:rPr>
          <w:rFonts w:ascii="Calibri" w:eastAsia="Calibri" w:hAnsi="Calibri" w:cs="Calibri"/>
          <w:sz w:val="22"/>
          <w:szCs w:val="22"/>
        </w:rPr>
        <w:t xml:space="preserve">aguardias, con el fin de prevenir cualquier posible arbitrariedad por parte de las autoridades policiales en los primeros momentos de la detención. Basándose en esta premisa, se llevaron a cabo inspecciones no anunciadas en las comisarías que albergaban a detenidos varones mayores de 18 años, dentro del departamento judicial de La Matanza. </w:t>
      </w:r>
    </w:p>
    <w:p w14:paraId="5AE8B3AB"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Mediante entrevistas colectivas realizadas a un total de 320 personas detenidas, se obtuvo un diagnóstico sobre la dinámica diaria de funcionamiento de la dependencia desde la perspectiva de aquellos que están detenidos. Durante nuestras inspecciones, hemos constatado situaciones de precariedad extrema en las instalaciones, como la existencia de instalaciones eléctricas en mal estado, deficiencias o incluso ausencia en la alimentación, carencia de atención médica y falta de medicación. Adicionalmente, se ha</w:t>
      </w:r>
      <w:r w:rsidRPr="003E3F5D">
        <w:rPr>
          <w:rFonts w:ascii="Calibri" w:eastAsia="Calibri" w:hAnsi="Calibri" w:cs="Calibri"/>
          <w:sz w:val="22"/>
          <w:szCs w:val="22"/>
        </w:rPr>
        <w:t xml:space="preserve"> observado la inexistencia de oportunidades recreativas y la imposibilidad de establecer comunicación telefónica con familiares o instancias judiciales. Estas problemáticas se ven agravadas por el constante hacinamiento en las dependencias, llegando en algunos casos a un alarmante 583% de sobrepoblación, así como situaciones de aislamiento colectivo permanente. Es relevante señalar que, a pesar de los cupos establecidos judicialmente para estas dependencias, hemos constatado que en muchos casos estos límite</w:t>
      </w:r>
      <w:r w:rsidRPr="003E3F5D">
        <w:rPr>
          <w:rFonts w:ascii="Calibri" w:eastAsia="Calibri" w:hAnsi="Calibri" w:cs="Calibri"/>
          <w:sz w:val="22"/>
          <w:szCs w:val="22"/>
        </w:rPr>
        <w:t xml:space="preserve">s no se respetan, e incluso en algunas instancias ni siquiera existe un límite definido para la cantidad de personas alojadas lo que resulta en condiciones donde las personas se encuentran literalmente apiladas unas sobre otras. Estas problemáticas resaltan la urgente necesidad de abordar y remediar las condiciones de detención inadecuadas que enfrentan las personas privadas de su libertad en estas instalaciones Estas instalaciones ya no operan meramente como lugares temporales de detención, sino que en la </w:t>
      </w:r>
      <w:r w:rsidRPr="003E3F5D">
        <w:rPr>
          <w:rFonts w:ascii="Calibri" w:eastAsia="Calibri" w:hAnsi="Calibri" w:cs="Calibri"/>
          <w:sz w:val="22"/>
          <w:szCs w:val="22"/>
        </w:rPr>
        <w:t>práctica se han transformado en espacios de espera prolongada. De hecho, nuestros relevamientos no solo han constatado que los períodos de detención en estas comisarías pueden extenderse hasta 384 días, lo que genera condiciones compartidas colectivamente y agrava las problemáticas previamente mencionadas. En particular se destaca</w:t>
      </w:r>
      <w:r w:rsidRPr="003E3F5D">
        <w:rPr>
          <w:rFonts w:ascii="Calibri" w:eastAsia="Calibri" w:hAnsi="Calibri" w:cs="Calibri"/>
          <w:color w:val="FF0000"/>
          <w:sz w:val="22"/>
          <w:szCs w:val="22"/>
        </w:rPr>
        <w:t>:</w:t>
      </w:r>
    </w:p>
    <w:p w14:paraId="2C419F4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i/>
          <w:sz w:val="22"/>
          <w:szCs w:val="22"/>
        </w:rPr>
        <w:t>Sobre el derecho a recibir información sobre los derechos.</w:t>
      </w:r>
      <w:r w:rsidRPr="003E3F5D">
        <w:rPr>
          <w:rFonts w:ascii="Calibri" w:eastAsia="Calibri" w:hAnsi="Calibri" w:cs="Calibri"/>
          <w:sz w:val="22"/>
          <w:szCs w:val="22"/>
        </w:rPr>
        <w:t xml:space="preserve"> Los datos obtenidos de entrevistas a 160 personas indican que 94 manifestaron haber recibido la información sobre los diferentes derechos y los 66 restantes indicaron no haber recibido la misma. Sin embargo, al preguntarles acerca de si comprendieron o no la información que se les suministró, el 10% de quienes fueron informados manifestó no haber comprendido. Acorde a esto, es posible afirmar que del total de entrevistas. . Pese a lo mencionado, las entrevistas analizadas indican, como regla general, la di</w:t>
      </w:r>
      <w:r w:rsidRPr="003E3F5D">
        <w:rPr>
          <w:rFonts w:ascii="Calibri" w:eastAsia="Calibri" w:hAnsi="Calibri" w:cs="Calibri"/>
          <w:sz w:val="22"/>
          <w:szCs w:val="22"/>
        </w:rPr>
        <w:t>screcionalidad policial en cuanto al tiempo para informar, cuando deciden hacerlo. Durante el relevamiento se pudo dar cuenta de testimonios que hablan de periodos hasta de 120 días sin recibir información alguna sobre sus derechos. realizadas, el 51% de las personas no fue informado o no comprendió la información que le fue suministrada. Según los relatos escuchados, el 77% de las personas preguntadas a través del instrumento de salvaguardias manifestaron no haber sido informadas de su derecho a guardar si</w:t>
      </w:r>
      <w:r w:rsidRPr="003E3F5D">
        <w:rPr>
          <w:rFonts w:ascii="Calibri" w:eastAsia="Calibri" w:hAnsi="Calibri" w:cs="Calibri"/>
          <w:sz w:val="22"/>
          <w:szCs w:val="22"/>
        </w:rPr>
        <w:t>lencio. En cuanto a no manifestarse contra sí mismas, el 84% manifestó no haber sido informadas sobre este derecho, y en cuanto a no confesarse culpable, el 96% manifestó no recibir dicha información</w:t>
      </w:r>
    </w:p>
    <w:p w14:paraId="6C895AA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i/>
          <w:sz w:val="22"/>
          <w:szCs w:val="22"/>
        </w:rPr>
        <w:t>Sobre el derecho a un examen médico independiente</w:t>
      </w:r>
      <w:r w:rsidRPr="003E3F5D">
        <w:rPr>
          <w:rFonts w:ascii="Calibri" w:eastAsia="Calibri" w:hAnsi="Calibri" w:cs="Calibri"/>
          <w:b/>
          <w:sz w:val="22"/>
          <w:szCs w:val="22"/>
        </w:rPr>
        <w:t>.</w:t>
      </w:r>
      <w:r w:rsidRPr="003E3F5D">
        <w:rPr>
          <w:rFonts w:ascii="Calibri" w:eastAsia="Calibri" w:hAnsi="Calibri" w:cs="Calibri"/>
          <w:sz w:val="22"/>
          <w:szCs w:val="22"/>
        </w:rPr>
        <w:t>En primer lugar, se observa la intervención de médicos de la institución policial para llevar a cabo lo que se conoce como "precario médico". Este informe rutinario, basado en un rápido chequeo visual, no cumple con los estándares del protocolo de Estambul y tiende a garantizar la impunidad en casos de torturas y malos tratos. En segundo lugar, en algunas ocasiones, los policías trasladan a las personas a la guardia del hospital público. En este contexto, las entrevistas a menudo se realizan en presencia d</w:t>
      </w:r>
      <w:r w:rsidRPr="003E3F5D">
        <w:rPr>
          <w:rFonts w:ascii="Calibri" w:eastAsia="Calibri" w:hAnsi="Calibri" w:cs="Calibri"/>
          <w:sz w:val="22"/>
          <w:szCs w:val="22"/>
        </w:rPr>
        <w:t>e personal policial, condicionando así el relato de la persona detenida y el informe médico. De los casos en los cuales se realizó el examen, en el 97% hubo presencia policial. En tercer lugar, cabe destacar que solo en casos excepcionales, principalmente cuando la denuncia por torturas o malos tratos se ha presentado, los exámenes médicos se llevan a cabo de manera más exhaustiva.</w:t>
      </w:r>
    </w:p>
    <w:p w14:paraId="6C67F1B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i/>
          <w:sz w:val="22"/>
          <w:szCs w:val="22"/>
        </w:rPr>
        <w:t>Sobre el derecho a notificar a un tercero</w:t>
      </w:r>
      <w:r w:rsidRPr="003E3F5D">
        <w:rPr>
          <w:rFonts w:ascii="Calibri" w:eastAsia="Calibri" w:hAnsi="Calibri" w:cs="Calibri"/>
          <w:sz w:val="22"/>
          <w:szCs w:val="22"/>
        </w:rPr>
        <w:t>. Las personas entrevistadas coinciden en que su primera comunicación con familiares o allegados, posterior a la privación de libertad, tuvo lugar durante el día programado de visitas en la dependencia correspondiente. En el caso de traslados o cambios de comisaría, las personas detenidas tuvieron que buscar estrategias para que compañeros de celda con cierta antigüedad y visitas programadas pudieran informar a sus familias o allegados sobre su situación. La Comisión Provincial por la Memoria (CPM) consider</w:t>
      </w:r>
      <w:r w:rsidRPr="003E3F5D">
        <w:rPr>
          <w:rFonts w:ascii="Calibri" w:eastAsia="Calibri" w:hAnsi="Calibri" w:cs="Calibri"/>
          <w:sz w:val="22"/>
          <w:szCs w:val="22"/>
        </w:rPr>
        <w:t>a que esta salvaguardia no solo previene casos de tortura y abuso policial, sino también la fabricación de pruebas y la desaparición forzada de personas. A través del apoyo a organizaciones de familiares de personas privadas de libertad, la CPM ha documentado numerosos testimonios de familias a las que las fuerzas policiales no informan sobre el paradero de sus allegados o incluso niegan que estén detenidos, lo que constituye una situación de desaparición forzada durante ese período.  Los testimonios recaba</w:t>
      </w:r>
      <w:r w:rsidRPr="003E3F5D">
        <w:rPr>
          <w:rFonts w:ascii="Calibri" w:eastAsia="Calibri" w:hAnsi="Calibri" w:cs="Calibri"/>
          <w:sz w:val="22"/>
          <w:szCs w:val="22"/>
        </w:rPr>
        <w:t>dos a través del relevamiento de salvaguardias indican que el 41% de las personas entrevistadas fueron privadas de la comunicación con sus familiares durante un período de 24 a 48 horas. El 59% restante tuvo que esperar entre 3 y 45 días antes de poder comunicarse con sus familias sobre su privación de libertad. Solo el 15% logró comunicarse en menos de 15 horas. Este patrón permite hablar de situaciones de "desaparición forzada por goteo" y es la condición de posibilidad para que ocurran hechos más graves.</w:t>
      </w:r>
      <w:r w:rsidRPr="003E3F5D">
        <w:rPr>
          <w:rFonts w:ascii="Calibri" w:eastAsia="Calibri" w:hAnsi="Calibri" w:cs="Calibri"/>
          <w:sz w:val="22"/>
          <w:szCs w:val="22"/>
        </w:rPr>
        <w:t xml:space="preserve"> </w:t>
      </w:r>
    </w:p>
    <w:p w14:paraId="6AB1D2A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i/>
          <w:sz w:val="22"/>
          <w:szCs w:val="22"/>
        </w:rPr>
        <w:t xml:space="preserve">Sobre el derecho a acceder a una defensa técnica. </w:t>
      </w:r>
      <w:r w:rsidRPr="003E3F5D">
        <w:rPr>
          <w:rFonts w:ascii="Calibri" w:eastAsia="Calibri" w:hAnsi="Calibri" w:cs="Calibri"/>
          <w:sz w:val="22"/>
          <w:szCs w:val="22"/>
        </w:rPr>
        <w:t xml:space="preserve">Si bien el Estado provee la asistencia en todos los casos, a menudo hemos observado que en la práctica, la mayoría de las defensorías comienzan a intervenir y tomar contacto con la persona privada de su libertad solo cuando se la cita para la audiencia prevista por el artículo 308 del Código Procesal Penal de la Provincia de Buenos Aires (CPPBA). Si bien el 63% de la población tuvo asistencia dentro de las 24 horas, la falta de información precisa, no permite distinguir si ello ha sido en concomitancia con </w:t>
      </w:r>
      <w:r w:rsidRPr="003E3F5D">
        <w:rPr>
          <w:rFonts w:ascii="Calibri" w:eastAsia="Calibri" w:hAnsi="Calibri" w:cs="Calibri"/>
          <w:sz w:val="22"/>
          <w:szCs w:val="22"/>
        </w:rPr>
        <w:t>la audiencia mencionada.</w:t>
      </w:r>
    </w:p>
    <w:p w14:paraId="42EC09CB" w14:textId="77777777" w:rsidR="00165BED" w:rsidRPr="003E3F5D" w:rsidRDefault="00165BED" w:rsidP="003E3F5D">
      <w:pPr>
        <w:jc w:val="both"/>
        <w:rPr>
          <w:rFonts w:ascii="Calibri" w:eastAsia="Calibri" w:hAnsi="Calibri" w:cs="Calibri"/>
          <w:sz w:val="22"/>
          <w:szCs w:val="22"/>
        </w:rPr>
      </w:pPr>
    </w:p>
    <w:p w14:paraId="74408D81" w14:textId="77777777" w:rsidR="00165BED" w:rsidRPr="003E3F5D" w:rsidRDefault="009D4909" w:rsidP="003E3F5D">
      <w:pPr>
        <w:pStyle w:val="Heading2"/>
        <w:jc w:val="both"/>
        <w:rPr>
          <w:rFonts w:ascii="Calibri" w:eastAsia="Calibri" w:hAnsi="Calibri" w:cs="Calibri"/>
          <w:sz w:val="22"/>
          <w:szCs w:val="22"/>
        </w:rPr>
      </w:pPr>
      <w:bookmarkStart w:id="16" w:name="_Toc211292061"/>
      <w:r w:rsidRPr="003E3F5D">
        <w:rPr>
          <w:rFonts w:ascii="Calibri" w:eastAsia="Calibri" w:hAnsi="Calibri" w:cs="Calibri"/>
          <w:sz w:val="22"/>
          <w:szCs w:val="22"/>
        </w:rPr>
        <w:t>Sobre la atribución irregular a patrullas judiciales</w:t>
      </w:r>
      <w:bookmarkEnd w:id="16"/>
    </w:p>
    <w:p w14:paraId="6B81891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Durante sus tareas de monitoreo la CPM viene detectando la atribución de funciones y facultades policiales, de manera legal o informal, por parte de los municipios a sus cuerpos de guardia municipal. Esto implica la facultad para realizar privaciones de libertad y cacheos. También se las asimila estéticamente a los cuerpos policiales generando confusión respecto del alcance de sus atribuciones. También se le ha dotado armas menos letales, en particular de tipo Byrna o Tasser. Esto se da en el contexto de po</w:t>
      </w:r>
      <w:r w:rsidRPr="003E3F5D">
        <w:rPr>
          <w:rFonts w:ascii="Calibri" w:eastAsia="Calibri" w:hAnsi="Calibri" w:cs="Calibri"/>
          <w:sz w:val="22"/>
          <w:szCs w:val="22"/>
        </w:rPr>
        <w:t>líticas de persecución a personas en situación de calle y quienes realizan tareas de subsistencia tales como venta ambulante o cuidado y limpieza de autos. En este marco se han registrado casos de torturas y malos tratos.  Si bien la función de los agentes municipales en el marco de políticas de prevención del delito debe estar asociada a la alerta temprana a las autoridades policiales, nos encontramos ante la asunción impropia de facultades no delegadas en el marco de la ley de seguridad pública.  La adqui</w:t>
      </w:r>
      <w:r w:rsidRPr="003E3F5D">
        <w:rPr>
          <w:rFonts w:ascii="Calibri" w:eastAsia="Calibri" w:hAnsi="Calibri" w:cs="Calibri"/>
          <w:sz w:val="22"/>
          <w:szCs w:val="22"/>
        </w:rPr>
        <w:t>sición y autorización de uso de armas menos letales para las fuerzas municipales es contraria a lo previsto en las leyes orgánicas y estatuto de las policías de la provincia de Buenos Aires, ya que estas solo regulan lo referente al uso de la fuerza armada en relación a los integrantes de las policías y no de otros cuerpos estatales.  Por otro lado la asimilación estética de estos cuerpos a las fuerzas policiales, genera una confusión entre la sociedad respecto de sus funciones y facultades lo que se consti</w:t>
      </w:r>
      <w:r w:rsidRPr="003E3F5D">
        <w:rPr>
          <w:rFonts w:ascii="Calibri" w:eastAsia="Calibri" w:hAnsi="Calibri" w:cs="Calibri"/>
          <w:sz w:val="22"/>
          <w:szCs w:val="22"/>
        </w:rPr>
        <w:t>tuye en una condición de posibilidad para el ejercicio arbitrario de la función y todo tipo de avasallamientos.  Reviste particular gravedad la utilización de estos cuerpos para la expulsión del centro de las ciudades de sectores vulnerables tales como personas en situación de calle o que realizan actividades de subsistencia y personas con padecimientos del orden de la salud mental. En este sentido se destacan prácticas de violencia física y verbal, privaciones o restricciones arbitrarias de la libertad, su</w:t>
      </w:r>
      <w:r w:rsidRPr="003E3F5D">
        <w:rPr>
          <w:rFonts w:ascii="Calibri" w:eastAsia="Calibri" w:hAnsi="Calibri" w:cs="Calibri"/>
          <w:sz w:val="22"/>
          <w:szCs w:val="22"/>
        </w:rPr>
        <w:t>stracción de pertenencias elementales para la subsistencia tales como colchones y mantas, expulsión de la ciudad a personas de otras jurisdicciones entre otras.  También es preocupante la utilización de discursos estigmatizantes y discriminatorios por parte de funcionarios públicos y su aval explícito y público a los actos de violencia ejercidos</w:t>
      </w:r>
    </w:p>
    <w:p w14:paraId="63763C7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 continuación dos casos para ilustrar la situación:</w:t>
      </w:r>
    </w:p>
    <w:p w14:paraId="49FA386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sz w:val="22"/>
          <w:szCs w:val="22"/>
        </w:rPr>
        <w:t>Caso del municipio de General Pueyrredón</w:t>
      </w:r>
      <w:r w:rsidRPr="003E3F5D">
        <w:rPr>
          <w:rFonts w:ascii="Calibri" w:eastAsia="Calibri" w:hAnsi="Calibri" w:cs="Calibri"/>
          <w:sz w:val="22"/>
          <w:szCs w:val="22"/>
        </w:rPr>
        <w:t xml:space="preserve">. Hacia fines de 2024 y en particular en los primeros meses de 2025, las autoridades del Municipio de General Pueyrredón, comenzaron a exacerbar y dar especial publicidad a través de las redes sociales, de operativos llevados adelante por un cuerpo especial de la patrulla municipal y orientados a expulsar de la vía pública a las personas que ejercen la tarea de cuida coches, comúnmente denominados trapitos.  Sin ningún tipo de atribución legal y por fuera de la normativa que establece el Cuerpo de Patrulla </w:t>
      </w:r>
      <w:r w:rsidRPr="003E3F5D">
        <w:rPr>
          <w:rFonts w:ascii="Calibri" w:eastAsia="Calibri" w:hAnsi="Calibri" w:cs="Calibri"/>
          <w:sz w:val="22"/>
          <w:szCs w:val="22"/>
        </w:rPr>
        <w:t>Municipal, el Intendente Guillermo Montenegro creo un cuerpo especial que se arroga facultades para privar de la libertad, realizar cacheos y secuestrar pertenencias, todo bajo el objetivo declarado de colaborar con la prevención en materia de seguridad. También dotó al personal de armas menos letales Byrna. De esta forma y en violación de la ley provincial de Seguridad Pública (Ley 12154), el Municipio se arrogó la atribución exclusiva de las autoridades provinciales de crear cuerpos con funciones policial</w:t>
      </w:r>
      <w:r w:rsidRPr="003E3F5D">
        <w:rPr>
          <w:rFonts w:ascii="Calibri" w:eastAsia="Calibri" w:hAnsi="Calibri" w:cs="Calibri"/>
          <w:sz w:val="22"/>
          <w:szCs w:val="22"/>
        </w:rPr>
        <w:t>es. Yendo aún más lejos, el Municipio habilitó la adquisición, y puso a disposición de este cuerpo especial, de armas Byrna</w:t>
      </w:r>
      <w:r w:rsidRPr="003E3F5D">
        <w:rPr>
          <w:rFonts w:ascii="Calibri" w:eastAsia="Calibri" w:hAnsi="Calibri" w:cs="Calibri"/>
          <w:sz w:val="22"/>
          <w:szCs w:val="22"/>
          <w:vertAlign w:val="superscript"/>
        </w:rPr>
        <w:footnoteReference w:id="11"/>
      </w:r>
      <w:r w:rsidRPr="003E3F5D">
        <w:rPr>
          <w:rFonts w:ascii="Calibri" w:eastAsia="Calibri" w:hAnsi="Calibri" w:cs="Calibri"/>
          <w:sz w:val="22"/>
          <w:szCs w:val="22"/>
        </w:rPr>
        <w:t xml:space="preserve">. En este contexto se recibieron graves denuncias de malos tratos producidos por agentes municipales que incluían privaciones ilegales de la libertad, requisas, sustracción de pertenencias, violencia verbal, discriminación y violencia física. Todo esto en un contexto en el que el propio intendente y su secretario de seguridad hicieron apología de estos actos y omitieron denunciarlos como es su deber en carácter de funcionarios públicos. </w:t>
      </w:r>
    </w:p>
    <w:p w14:paraId="1F51E65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función de esto en nuestro rol de mecanismo local de prevención de la tortura, junto con la Asociación Permanente por los Derechos Humanos (APDH) regional Mar del Plata, presentamos una denuncia Penal . </w:t>
      </w:r>
    </w:p>
    <w:p w14:paraId="23FD555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Posteriormente y dado que se trataba de una práctica regular de limitación arbitraria de la libertad, presentamos como mecanismo local una acción colectiva y preventiva de Habeas Corpus. La misma fue resuelta favorablemente por el Juzgado de Garantías N°4 de Mar del Plata. No obstante esta sentencia, al día de la fecha se siguen recibiendo denuncias que dan cuenta de prácticas similares realizadas por el cuerpo de patrulla municipal</w:t>
      </w:r>
    </w:p>
    <w:p w14:paraId="48BEDE7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sz w:val="22"/>
          <w:szCs w:val="22"/>
        </w:rPr>
        <w:t xml:space="preserve">Intervención de agentes municipales del Municipio de Vicente López. Muerte de Octavio Buccafusco. </w:t>
      </w:r>
      <w:r w:rsidRPr="003E3F5D">
        <w:rPr>
          <w:rFonts w:ascii="Calibri" w:eastAsia="Calibri" w:hAnsi="Calibri" w:cs="Calibri"/>
          <w:sz w:val="22"/>
          <w:szCs w:val="22"/>
        </w:rPr>
        <w:t>En el año 2011, se crea en el municipio de Vicente López el Servicio de Prevención Civil  “Apoyo Civil Comunitario Vicente López Alerta” (Ordenanza  15.368 reglamentada por el Decreto 23.853). En el año 2012, dentro del Plan Integral de Seguridad, se creó el programa “Guardianes de la calle” destinada a “fortalecer la presencia de personal de seguridad en las calles del distrito”</w:t>
      </w:r>
      <w:r w:rsidRPr="003E3F5D">
        <w:rPr>
          <w:rFonts w:ascii="Calibri" w:eastAsia="Calibri" w:hAnsi="Calibri" w:cs="Calibri"/>
          <w:sz w:val="22"/>
          <w:szCs w:val="22"/>
          <w:vertAlign w:val="superscript"/>
        </w:rPr>
        <w:footnoteReference w:id="12"/>
      </w:r>
      <w:r w:rsidRPr="003E3F5D">
        <w:rPr>
          <w:rFonts w:ascii="Calibri" w:eastAsia="Calibri" w:hAnsi="Calibri" w:cs="Calibri"/>
          <w:sz w:val="22"/>
          <w:szCs w:val="22"/>
        </w:rPr>
        <w:t>. Estos agentes fueron equipados con uniformes, botones antipánicos, bastones y cachiporras</w:t>
      </w:r>
      <w:r w:rsidRPr="003E3F5D">
        <w:rPr>
          <w:rFonts w:ascii="Calibri" w:eastAsia="Calibri" w:hAnsi="Calibri" w:cs="Calibri"/>
          <w:sz w:val="22"/>
          <w:szCs w:val="22"/>
          <w:vertAlign w:val="superscript"/>
        </w:rPr>
        <w:footnoteReference w:id="13"/>
      </w:r>
      <w:r w:rsidRPr="003E3F5D">
        <w:rPr>
          <w:rFonts w:ascii="Calibri" w:eastAsia="Calibri" w:hAnsi="Calibri" w:cs="Calibri"/>
          <w:sz w:val="22"/>
          <w:szCs w:val="22"/>
        </w:rPr>
        <w:t>.  En esta línea, se incorporaron patrullas en camioneta, motos y agentes para “vigilar las calles”. Además, el 4 de julio de 2025 se incorporó al equipamiento de la patrulla municipal las “Lanzadoras de Puño no Letales (L.P.N.L)</w:t>
      </w:r>
      <w:r w:rsidRPr="003E3F5D">
        <w:rPr>
          <w:rFonts w:ascii="Calibri" w:eastAsia="Calibri" w:hAnsi="Calibri" w:cs="Calibri"/>
          <w:sz w:val="22"/>
          <w:szCs w:val="22"/>
          <w:vertAlign w:val="superscript"/>
        </w:rPr>
        <w:footnoteReference w:id="14"/>
      </w:r>
      <w:r w:rsidRPr="003E3F5D">
        <w:rPr>
          <w:rFonts w:ascii="Calibri" w:eastAsia="Calibri" w:hAnsi="Calibri" w:cs="Calibri"/>
          <w:sz w:val="22"/>
          <w:szCs w:val="22"/>
        </w:rPr>
        <w:t>”.</w:t>
      </w:r>
      <w:r w:rsidRPr="003E3F5D">
        <w:rPr>
          <w:rFonts w:ascii="Calibri" w:eastAsia="Calibri" w:hAnsi="Calibri" w:cs="Calibri"/>
          <w:sz w:val="22"/>
          <w:szCs w:val="22"/>
          <w:vertAlign w:val="superscript"/>
        </w:rPr>
        <w:footnoteReference w:id="15"/>
      </w:r>
      <w:r w:rsidRPr="003E3F5D">
        <w:rPr>
          <w:rFonts w:ascii="Calibri" w:eastAsia="Calibri" w:hAnsi="Calibri" w:cs="Calibri"/>
          <w:sz w:val="22"/>
          <w:szCs w:val="22"/>
        </w:rPr>
        <w:t xml:space="preserve">  En este contexto, el 3 de septiembre agentes de la patrulla municipal de Vicente López, provocaron la muerte de Octavio Buccafusco, quien habría llamado al 911 para denunciar un robo en su domicilio pero enviaron a agentes municipales. Como pudo observarse en los videos de las cámaras de seguridad, Buccafusco se encontraba fuera de la seccional con su perro en brazos y en bicicleta, cuando parece mantener una discusión con agentes municipales y, al menos, un Policía de la provincia de Buenos Aires. Fue re</w:t>
      </w:r>
      <w:r w:rsidRPr="003E3F5D">
        <w:rPr>
          <w:rFonts w:ascii="Calibri" w:eastAsia="Calibri" w:hAnsi="Calibri" w:cs="Calibri"/>
          <w:sz w:val="22"/>
          <w:szCs w:val="22"/>
        </w:rPr>
        <w:t>ducido por estos funcionarios de forma violenta: lo tiraron al suelo e inmediatamente se arrojaron sobre Buccafusco, que quedó boca abajo en el cordón de la vereda, sobre una alcantarilla por varios minutos, hasta que logran esposarlo. Luego, Buccafusco se desvanece y muere</w:t>
      </w:r>
      <w:r w:rsidRPr="003E3F5D">
        <w:rPr>
          <w:rFonts w:ascii="Calibri" w:eastAsia="Calibri" w:hAnsi="Calibri" w:cs="Calibri"/>
          <w:sz w:val="22"/>
          <w:szCs w:val="22"/>
          <w:vertAlign w:val="superscript"/>
        </w:rPr>
        <w:footnoteReference w:id="16"/>
      </w:r>
      <w:r w:rsidRPr="003E3F5D">
        <w:rPr>
          <w:rFonts w:ascii="Calibri" w:eastAsia="Calibri" w:hAnsi="Calibri" w:cs="Calibri"/>
          <w:sz w:val="22"/>
          <w:szCs w:val="22"/>
        </w:rPr>
        <w:t xml:space="preserve">. </w:t>
      </w:r>
    </w:p>
    <w:p w14:paraId="515881F0" w14:textId="77777777" w:rsidR="00165BED" w:rsidRPr="003E3F5D" w:rsidRDefault="00165BED" w:rsidP="003E3F5D">
      <w:pPr>
        <w:jc w:val="both"/>
        <w:rPr>
          <w:rFonts w:ascii="Calibri" w:eastAsia="Calibri" w:hAnsi="Calibri" w:cs="Calibri"/>
          <w:sz w:val="22"/>
          <w:szCs w:val="22"/>
        </w:rPr>
      </w:pPr>
    </w:p>
    <w:p w14:paraId="4B7DA389" w14:textId="77777777" w:rsidR="00165BED" w:rsidRPr="003E3F5D" w:rsidRDefault="009D4909" w:rsidP="003E3F5D">
      <w:pPr>
        <w:pStyle w:val="Heading2"/>
        <w:jc w:val="both"/>
        <w:rPr>
          <w:rFonts w:ascii="Calibri" w:eastAsia="Calibri" w:hAnsi="Calibri" w:cs="Calibri"/>
          <w:sz w:val="22"/>
          <w:szCs w:val="22"/>
        </w:rPr>
      </w:pPr>
      <w:bookmarkStart w:id="17" w:name="_Toc211292062"/>
      <w:r w:rsidRPr="003E3F5D">
        <w:rPr>
          <w:rFonts w:ascii="Calibri" w:eastAsia="Calibri" w:hAnsi="Calibri" w:cs="Calibri"/>
          <w:sz w:val="22"/>
          <w:szCs w:val="22"/>
        </w:rPr>
        <w:t>Jóvenes en Comisarías</w:t>
      </w:r>
      <w:bookmarkEnd w:id="17"/>
    </w:p>
    <w:p w14:paraId="2DF7A65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este marco, durante 2024, no se revirtió el cuadro de situación denunciado en nuestros informes anteriores en tanto perdura la práctica regular de traslado de niños, niñas y jóvenes a comisarías, se reiteran los casos de torturas y malos tratos policiales y no se han dispuesto políticas desde el Organismo de Niñez, el Ministerio de Seguridad y el Poder Judicial, para prevenir e investigar la violencia policial .</w:t>
      </w:r>
    </w:p>
    <w:p w14:paraId="10B472A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Dando continuidad al relevamiento que venimos presentando, se requirió, sistematizó y analizó la información remitida por el Centro Especializado de Aprensión de San Martín. De este trabajo emergen los datos que se presentan a continuación. </w:t>
      </w:r>
    </w:p>
    <w:p w14:paraId="75A03D5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Según el registro del CEA, ingresaron 325 niños, niñas y adolescentes de entre 14 y 17 años durante el 2024. De ellos, 64 denunciaron violencia física, verbal, amenazas y hostigamiento por parte de funcionarios públicos policiales, es decir, un 20% de los casos. Este registro supera lo informado en nuestro informe anterior, en tanto los casos denunciados representaron el 15% (CPM, 2024: 112).</w:t>
      </w:r>
    </w:p>
    <w:p w14:paraId="1F5E6BC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Además de los hechos denunciados, se constató la presencia de menores de edad en dependencias policiales. De las comisarías relevadas, 46 cuentan con Clausura Judicial, Ministerial, restricciones y/o se encuentran incluidas en la Medida Cautelar 496-14 y 37-15 (con la ampliación del año 2018) de la CIDH. </w:t>
      </w:r>
      <w:r w:rsidRPr="003E3F5D">
        <w:rPr>
          <w:rFonts w:ascii="Calibri" w:eastAsia="Calibri" w:hAnsi="Calibri" w:cs="Calibri"/>
          <w:sz w:val="22"/>
          <w:szCs w:val="22"/>
          <w:vertAlign w:val="superscript"/>
        </w:rPr>
        <w:footnoteReference w:id="17"/>
      </w:r>
    </w:p>
    <w:p w14:paraId="04589EAA"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relación al tiempo de permanencia, de los 64 casos, en 44 de ellos se puede estimar el horario que estuvieron bajo custodia policial. Pero este registro no es exacto, ya que solo en 18 se puede saber el horario de aprehensión según el registro del acta policial. Esto constituye un grave problema ya que habilita prácticas de discrecionalidad policial y acciones de encubrimiento ante eventuales casos de torturas o malos tratos. </w:t>
      </w:r>
    </w:p>
    <w:p w14:paraId="56CB812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Sin embargo, en el resto de los casos se puede estimar a partir de la hora en que fue realizado el precario médico. En función de estos registros, el tiempo de permanencia hasta que son trasladados al CEA, va desde 1 a 22 horas. </w:t>
      </w:r>
    </w:p>
    <w:p w14:paraId="582775A3" w14:textId="77777777" w:rsidR="00165BED" w:rsidRPr="003E3F5D" w:rsidRDefault="009D4909" w:rsidP="003E3F5D">
      <w:pPr>
        <w:pStyle w:val="Heading2"/>
        <w:jc w:val="both"/>
        <w:rPr>
          <w:rFonts w:ascii="Calibri" w:eastAsia="Calibri" w:hAnsi="Calibri" w:cs="Calibri"/>
          <w:sz w:val="22"/>
          <w:szCs w:val="22"/>
        </w:rPr>
      </w:pPr>
      <w:bookmarkStart w:id="18" w:name="_Toc211292063"/>
      <w:r w:rsidRPr="003E3F5D">
        <w:rPr>
          <w:rFonts w:ascii="Calibri" w:eastAsia="Calibri" w:hAnsi="Calibri" w:cs="Calibri"/>
          <w:sz w:val="22"/>
          <w:szCs w:val="22"/>
        </w:rPr>
        <w:t>La intervención judicial en los casos de abusos policiales</w:t>
      </w:r>
      <w:bookmarkEnd w:id="18"/>
    </w:p>
    <w:p w14:paraId="7CD8C35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Observamos que se consolida la impunidad debido a la falta de exhaustividad y celeridad en las investigaciones por parte de las fiscalías. Como todos los años, requerimos a las Fiscalías intervinientes el acceso a las investigaciones. Solo 40 fiscalías garantizaron la vista</w:t>
      </w:r>
      <w:r w:rsidRPr="003E3F5D">
        <w:rPr>
          <w:rFonts w:ascii="Calibri" w:eastAsia="Calibri" w:hAnsi="Calibri" w:cs="Calibri"/>
          <w:sz w:val="22"/>
          <w:szCs w:val="22"/>
          <w:vertAlign w:val="superscript"/>
        </w:rPr>
        <w:footnoteReference w:id="18"/>
      </w:r>
      <w:r w:rsidRPr="003E3F5D">
        <w:rPr>
          <w:rFonts w:ascii="Calibri" w:eastAsia="Calibri" w:hAnsi="Calibri" w:cs="Calibri"/>
          <w:sz w:val="22"/>
          <w:szCs w:val="22"/>
        </w:rPr>
        <w:t xml:space="preserve">.  De estas 40 causas, 15 se encuentran archivadas. El fundamento predominante para cerrar las investigaciones, es la falta de elementos probatorios. Un dato relevante es que solo en 3 de las causas se celebró audiencia con la víctima. Sin embargo, en 2 de estas audiencias la víctima refirió </w:t>
      </w:r>
      <w:r w:rsidRPr="003E3F5D">
        <w:rPr>
          <w:rFonts w:ascii="Calibri" w:eastAsia="Calibri" w:hAnsi="Calibri" w:cs="Calibri"/>
          <w:i/>
          <w:sz w:val="22"/>
          <w:szCs w:val="22"/>
        </w:rPr>
        <w:t>“no querer continuar con el proceso”</w:t>
      </w:r>
      <w:r w:rsidRPr="003E3F5D">
        <w:rPr>
          <w:rFonts w:ascii="Calibri" w:eastAsia="Calibri" w:hAnsi="Calibri" w:cs="Calibri"/>
          <w:sz w:val="22"/>
          <w:szCs w:val="22"/>
        </w:rPr>
        <w:t>, pese a que ratifica lo denunciado y describe los mismos hechos. Esto constituye una grave distorsión ya que lo denunciado constituyen graves delitos de acción pública (en los que no</w:t>
      </w:r>
      <w:r w:rsidRPr="003E3F5D">
        <w:rPr>
          <w:rFonts w:ascii="Calibri" w:eastAsia="Calibri" w:hAnsi="Calibri" w:cs="Calibri"/>
          <w:sz w:val="22"/>
          <w:szCs w:val="22"/>
        </w:rPr>
        <w:t xml:space="preserve"> se requiere que la víctima exprese su voluntad de continuar con la investigación) cometidos por agentes estatales. Si bien la falta de colaboración de las víctimas puede representar una dificultad para la investigación, esto no obsta a la continuidad de la misma. Por otro lado, el temor y la falta de confianza en el resultado de las investigaciones es una regularidad en las víctimas en general y en los jóvenes en particular. De manera tal que las fiscalías y las oficinas de asistencia a las víctimas de las</w:t>
      </w:r>
      <w:r w:rsidRPr="003E3F5D">
        <w:rPr>
          <w:rFonts w:ascii="Calibri" w:eastAsia="Calibri" w:hAnsi="Calibri" w:cs="Calibri"/>
          <w:sz w:val="22"/>
          <w:szCs w:val="22"/>
        </w:rPr>
        <w:t xml:space="preserve"> fiscalías deberían hacer un trabajo intenso para acompañar a los y las denunciantes en este proceso. Este trabajo de involucramiento no se detecta en las causas analizadas, sino que, por el contrario, se percibe que la negativa de la víctima se toma como una excusa perfecta para dar fin a las investigaciones y disponer su archivo. </w:t>
      </w:r>
    </w:p>
    <w:p w14:paraId="22CA7AE8" w14:textId="183B349F" w:rsidR="00165BED" w:rsidRPr="003E3F5D" w:rsidRDefault="009D4909" w:rsidP="003E3F5D">
      <w:pPr>
        <w:pStyle w:val="Heading2"/>
        <w:jc w:val="both"/>
        <w:rPr>
          <w:rFonts w:ascii="Calibri" w:eastAsia="Calibri" w:hAnsi="Calibri" w:cs="Calibri"/>
          <w:sz w:val="22"/>
          <w:szCs w:val="22"/>
        </w:rPr>
      </w:pPr>
      <w:bookmarkStart w:id="19" w:name="_Toc211292064"/>
      <w:r w:rsidRPr="003E3F5D">
        <w:rPr>
          <w:rFonts w:ascii="Calibri" w:eastAsia="Calibri" w:hAnsi="Calibri" w:cs="Calibri"/>
          <w:sz w:val="22"/>
          <w:szCs w:val="22"/>
        </w:rPr>
        <w:t>Relevamiento de registros de dependencias policiales</w:t>
      </w:r>
      <w:bookmarkEnd w:id="19"/>
    </w:p>
    <w:p w14:paraId="4CD9E6D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CPM ha podido analizar y clasificar los hallazgos obtenidos del relevamiento y sistematización de los registros de detenciones de comisarías. Continuando con la metodología implementada desde el 2021</w:t>
      </w:r>
      <w:r w:rsidRPr="003E3F5D">
        <w:rPr>
          <w:rFonts w:ascii="Calibri" w:eastAsia="Calibri" w:hAnsi="Calibri" w:cs="Calibri"/>
          <w:sz w:val="22"/>
          <w:szCs w:val="22"/>
          <w:vertAlign w:val="superscript"/>
        </w:rPr>
        <w:footnoteReference w:id="19"/>
      </w:r>
      <w:r w:rsidRPr="003E3F5D">
        <w:rPr>
          <w:rFonts w:ascii="Calibri" w:eastAsia="Calibri" w:hAnsi="Calibri" w:cs="Calibri"/>
          <w:sz w:val="22"/>
          <w:szCs w:val="22"/>
        </w:rPr>
        <w:t xml:space="preserve"> y asumiendo la imposibilidad de cubrir todo el universo, el Registro CPM de libros de comisarías (LDC) pretende hacer un aprovechamiento parcial de la fuente, mediante recortes tempo-espaciales que arrojen resultados válidos metodológicamente. Sobre un universo de más de 300 dependencias policiales con personas detenidas que cubren los 135 partidos de la provincia en forma permanente, se seleccionó una muestra construida con todas las comisarías que registraron detenciones en cinco municipios del área metr</w:t>
      </w:r>
      <w:r w:rsidRPr="003E3F5D">
        <w:rPr>
          <w:rFonts w:ascii="Calibri" w:eastAsia="Calibri" w:hAnsi="Calibri" w:cs="Calibri"/>
          <w:sz w:val="22"/>
          <w:szCs w:val="22"/>
        </w:rPr>
        <w:t>opolitana de Buenos Aires durante tres meses: Moreno, General Rodríguez, General San Martín, Avellaneda y La Matanza durante abril, mayo y junio de 2024.</w:t>
      </w:r>
      <w:r w:rsidRPr="003E3F5D">
        <w:rPr>
          <w:rFonts w:ascii="Calibri" w:eastAsia="Calibri" w:hAnsi="Calibri" w:cs="Calibri"/>
          <w:sz w:val="22"/>
          <w:szCs w:val="22"/>
          <w:vertAlign w:val="superscript"/>
        </w:rPr>
        <w:footnoteReference w:id="20"/>
      </w:r>
      <w:r w:rsidRPr="003E3F5D">
        <w:rPr>
          <w:rFonts w:ascii="Calibri" w:eastAsia="Calibri" w:hAnsi="Calibri" w:cs="Calibri"/>
          <w:sz w:val="22"/>
          <w:szCs w:val="22"/>
        </w:rPr>
        <w:t xml:space="preserve"> El relevamiento en San Martín y La Matanza fue realizado por la CPM; en Moreno </w:t>
      </w:r>
      <w:r w:rsidRPr="003E3F5D">
        <w:rPr>
          <w:rFonts w:ascii="Calibri" w:eastAsia="Calibri" w:hAnsi="Calibri" w:cs="Calibri"/>
          <w:sz w:val="22"/>
          <w:szCs w:val="22"/>
        </w:rPr>
        <w:t xml:space="preserve">y General Rodríguez por la Defensoría General de Moreno-General Rodríguez, y en Avellaneda por la Secretaría de Derechos Humanos de la municipalidad, quienes hicieron lugar al pedido de colaboración de la CPM en su carácter de MLPT. </w:t>
      </w:r>
    </w:p>
    <w:p w14:paraId="5E7936F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 los fines de construir una imagen completa de la dinámica de detenciones por partido, el Registro de LDC se construye con los registros policiales de todas las dependencias que alojan personas en cada municipio. En cuanto a la variable temporal, y con el objetivo de descartar movimientos que responden a coyunturas específicas, el período de registro para cada análisis es el mismo para todas las comisarías y municipios seleccionados. </w:t>
      </w:r>
    </w:p>
    <w:p w14:paraId="6B3EADC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Tomados en conjunto, estos LDC arrojaron un total de 5.001 detenciones en el trimestre analizado, con un marcado predominio de personas de entre 18 y 30 años (49% de las detenciones), en su gran mayoría de origen argentino (92%), y que mayoritariamente culminan con la libertad (56%).</w:t>
      </w:r>
    </w:p>
    <w:p w14:paraId="5E9D4B1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Se observó una incidencia significativa (28%) de detenciones por “motivos presumiblemente arbitrarios”, las cuales agrupan las capturas bajo la nominación “Procedimientos Policiales” (que serán detalladas más adelante) y aquellas realizadas por “Resistencia”, “Desobediencia”, “Atentado a la autoridad” y “Encubrimiento”, agrupadas en la categoría de “Delitos contra la Administración Pública”.</w:t>
      </w:r>
    </w:p>
    <w:p w14:paraId="53557F40" w14:textId="77777777" w:rsidR="00165BED" w:rsidRPr="003E3F5D" w:rsidRDefault="009D4909" w:rsidP="003E3F5D">
      <w:pPr>
        <w:pStyle w:val="Heading2"/>
        <w:jc w:val="both"/>
        <w:rPr>
          <w:rFonts w:ascii="Calibri" w:eastAsia="Calibri" w:hAnsi="Calibri" w:cs="Calibri"/>
          <w:sz w:val="22"/>
          <w:szCs w:val="22"/>
        </w:rPr>
      </w:pPr>
      <w:bookmarkStart w:id="20" w:name="_Toc211292065"/>
      <w:r w:rsidRPr="003E3F5D">
        <w:rPr>
          <w:rFonts w:ascii="Calibri" w:eastAsia="Calibri" w:hAnsi="Calibri" w:cs="Calibri"/>
          <w:sz w:val="22"/>
          <w:szCs w:val="22"/>
        </w:rPr>
        <w:t>Procedimientos penales</w:t>
      </w:r>
      <w:bookmarkEnd w:id="20"/>
    </w:p>
    <w:p w14:paraId="11FF9D4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este punto se analizan los registros que no se asocian a un tipo penal y, por tanto, quedan por fuera de las categorías de bien jurídico protegido. Se detectaron 671 casos, el 13% del total de registros, un punto porcentual más alto que lo registrado en 2023 (CPM, 2024: 130).</w:t>
      </w:r>
    </w:p>
    <w:p w14:paraId="1642982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esta categoría se observan diferentes figuras: algunas parecen estar asociadas a intervenciones motivadas en disposiciones judiciales, otras parecen depender de la determinación exclusiva de los agentes policiales. En las primeras se incluyen procedimientos catalogados en los registros como: “allanamiento”, “averiguación de paradero”, “comparendo compulsivo”, “pedido de captura”, “notificación artículo 60” y algunas ambiguamente registradas como “Exhorto, IPP, Causa, Detención, Conflicto”. Estos registro</w:t>
      </w:r>
      <w:r w:rsidRPr="003E3F5D">
        <w:rPr>
          <w:rFonts w:ascii="Calibri" w:eastAsia="Calibri" w:hAnsi="Calibri" w:cs="Calibri"/>
          <w:sz w:val="22"/>
          <w:szCs w:val="22"/>
        </w:rPr>
        <w:t>s representan el 25% del total de procedimientos policiales.</w:t>
      </w:r>
    </w:p>
    <w:p w14:paraId="13D2AE7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las segundas se incluyen las capturas registradas como “averiguación de ilícito”, “averiguación de identidad”, “contravenciones” y “actuaciones internas”. Estas figuras suelen estar asociadas a prácticas arbitrarias e ilegales de control territorial desplegadas por la policía, y representaron el 75% de los “procedimientos policiales” y el 10% del total de registros; el mismo porcentaje registrado en 2023. Algunos criterios de registro llaman la atención por su vaguedad, como la categoría “actuaciones int</w:t>
      </w:r>
      <w:r w:rsidRPr="003E3F5D">
        <w:rPr>
          <w:rFonts w:ascii="Calibri" w:eastAsia="Calibri" w:hAnsi="Calibri" w:cs="Calibri"/>
          <w:sz w:val="22"/>
          <w:szCs w:val="22"/>
        </w:rPr>
        <w:t>ernas”. También se registró la aplicación de figuras que se asocian a restricciones arbitrarias de la libertad como es la “averiguación de identidad”. En relación a esta figura y, tal como se viene describiendo en nuestros informes anuales (CPM, 2024: 127), se verifica una disminución en su aplicación vinculada al traslado a la comisaría, aunque sigue su empleo en la vía pública.</w:t>
      </w:r>
    </w:p>
    <w:p w14:paraId="147CA0F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Se destaca en estos registros la figura de averiguación de ilícito: con 477 casos, lo que representa el 71% del total agrupado en la categoría procedimientos policiales. </w:t>
      </w:r>
      <w:r w:rsidRPr="003E3F5D">
        <w:rPr>
          <w:rFonts w:ascii="Calibri" w:eastAsia="Calibri" w:hAnsi="Calibri" w:cs="Calibri"/>
          <w:b/>
          <w:sz w:val="22"/>
          <w:szCs w:val="22"/>
        </w:rPr>
        <w:t>Resulta preocupante esta forma de registro porque no permite identificar la hipótesis delictiva por la que se interviene, ni la aplicación de atribuciones propias del accionar policial.</w:t>
      </w:r>
      <w:r w:rsidRPr="003E3F5D">
        <w:rPr>
          <w:rFonts w:ascii="Calibri" w:eastAsia="Calibri" w:hAnsi="Calibri" w:cs="Calibri"/>
          <w:sz w:val="22"/>
          <w:szCs w:val="22"/>
        </w:rPr>
        <w:t xml:space="preserve"> En muchos casos, la aplicación de esta figura se relaciona con casos de flagrancia. En función de esto, es preocupante que se registre como averiguación de ilícito, aquello que debió ser nominado como un delito que justificara la privación de libertad. A la vez, el incremento en el uso de esta figura, coincide con la disminu</w:t>
      </w:r>
      <w:r w:rsidRPr="003E3F5D">
        <w:rPr>
          <w:rFonts w:ascii="Calibri" w:eastAsia="Calibri" w:hAnsi="Calibri" w:cs="Calibri"/>
          <w:sz w:val="22"/>
          <w:szCs w:val="22"/>
        </w:rPr>
        <w:t>ción progresiva del uso de la averiguación de identidad, por lo que en hipótesis es dable pensar que la averiguación de ilícito, es una nueva modalidad para justificar determinadas restricciones a la libertad. Ello no obsta a que el uso de la averiguación de identidad siga siendo regular en la vía pública, dado que su disminución solo es en relación a aquellos casos que derivan en el traslado a dependencias policiales</w:t>
      </w:r>
    </w:p>
    <w:p w14:paraId="0C38F0D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Finalmente el análisis de registros en dependencias policiales ha revelado una serie de problemáticas en la dinámica de intervención policial las cuales se agravan en la detención de niñeces y juventudes. Del total de detenciones registradas, el 5% correspondió a menores de 18 años.</w:t>
      </w:r>
    </w:p>
    <w:p w14:paraId="7F7D17C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Las prácticas de detención de jóvenes están marcadas por una notable discrecionalidad cargada de tintes ambiguos y arbitrarios. Motivos como "averiguación de ilícito” son comunes, indicando un uso excesivo de la fuerza policial y una falta de justificación legal clara. Además, los jóvenes detenidos a menudo no reciben información adecuada sobre sus derechos, lo que agrava su vulnerabilidad dejándole a merced de la subjetividad del agente policial en turno.</w:t>
      </w:r>
    </w:p>
    <w:p w14:paraId="7D06817D" w14:textId="77777777" w:rsidR="00165BED" w:rsidRPr="003E3F5D" w:rsidRDefault="00165BED" w:rsidP="003E3F5D">
      <w:pPr>
        <w:jc w:val="both"/>
        <w:rPr>
          <w:rFonts w:ascii="Calibri" w:eastAsia="Calibri" w:hAnsi="Calibri" w:cs="Calibri"/>
          <w:sz w:val="22"/>
          <w:szCs w:val="22"/>
        </w:rPr>
      </w:pPr>
    </w:p>
    <w:p w14:paraId="7DA281D5" w14:textId="77777777" w:rsidR="00165BED" w:rsidRPr="003E3F5D" w:rsidRDefault="009D4909" w:rsidP="003E3F5D">
      <w:pPr>
        <w:pStyle w:val="Heading2"/>
        <w:jc w:val="both"/>
        <w:rPr>
          <w:rFonts w:ascii="Calibri" w:eastAsia="Calibri" w:hAnsi="Calibri" w:cs="Calibri"/>
          <w:sz w:val="22"/>
          <w:szCs w:val="22"/>
        </w:rPr>
      </w:pPr>
      <w:bookmarkStart w:id="21" w:name="_Toc211292066"/>
      <w:r w:rsidRPr="003E3F5D">
        <w:rPr>
          <w:rFonts w:ascii="Calibri" w:eastAsia="Calibri" w:hAnsi="Calibri" w:cs="Calibri"/>
          <w:sz w:val="22"/>
          <w:szCs w:val="22"/>
        </w:rPr>
        <w:t>Registro de casos de uso letal de la fuerza</w:t>
      </w:r>
      <w:r w:rsidRPr="003E3F5D">
        <w:rPr>
          <w:rFonts w:ascii="Calibri" w:eastAsia="Calibri" w:hAnsi="Calibri" w:cs="Calibri"/>
          <w:sz w:val="22"/>
          <w:szCs w:val="22"/>
          <w:vertAlign w:val="superscript"/>
        </w:rPr>
        <w:footnoteReference w:id="21"/>
      </w:r>
      <w:bookmarkEnd w:id="21"/>
    </w:p>
    <w:p w14:paraId="5E5BB81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los informes anuales la CPM ha señalado la ausencia de información fiable y accesible. En 2023 117 fueron los casos de uso letal registrados y 133 en 2024, confirmando la tendencia creciente. En promedio, se registran 10 muertes por mes. Esta cifra se corresponde con el promedio de 123 casos por año desde 2016, año que la CPM comenzó a realizar el registro: de un total de 1.117 casos en la provincia, una muerte en manos de la policía cada 3 días.</w:t>
      </w:r>
    </w:p>
    <w:p w14:paraId="7FB26A5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 continuación, se presentan los datos construidos desde 2016, los cuales permiten advertir continuidades en el uso letal de la fuerza policial: </w:t>
      </w:r>
    </w:p>
    <w:p w14:paraId="7AA5EAC9"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 xml:space="preserve">El 93,5% de las víctimas eran varones. </w:t>
      </w:r>
    </w:p>
    <w:p w14:paraId="4A2D0BF1"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 xml:space="preserve">La mitad de las mujeres registradas fueron víctimas de policías femicidas (36 de 72). Además, se registraron 7 femicidios vinculados. 32 policías femicidas se encontraban en actividad al momento de matar. </w:t>
      </w:r>
    </w:p>
    <w:p w14:paraId="3D2FFE2F"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El promedio de edad de las víctimas es de 26 años y 76% del total de víctimas eran menores de 30 años.</w:t>
      </w:r>
    </w:p>
    <w:p w14:paraId="75371E8C"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179 víctimas eran menores de 18 años (NNyJ), de las cuales la gran mayoría (125) tenía entre 16 y 17 años.</w:t>
      </w:r>
    </w:p>
    <w:p w14:paraId="5E9BDA04"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El 62% de las muertes fueron cometidas por agentes de la Policía de la provincia de Buenos Aires.</w:t>
      </w:r>
    </w:p>
    <w:p w14:paraId="1C07C0B8"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 xml:space="preserve">El 61% de las muertes se produjeron -según la fuente- ante el supuesto robo o intento de robo de bienes materiales de los propios agentes policiales. Solamente el 0,5% de los casos fue en circunstancias donde estaba en riesgo la vida de otra persona. </w:t>
      </w:r>
    </w:p>
    <w:p w14:paraId="70791095"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En el caso de muerte de víctimas menores de 18 años, la gran mayoría (107 de 179) ocurrieron ante el supuesto robo de bienes propios de los/as policías.</w:t>
      </w:r>
    </w:p>
    <w:p w14:paraId="6F7E17BE"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 xml:space="preserve">En el 65% de los casos el/la agente que provocó la muerte estaba fuera de servicio, es decir fuera de su horario laboral. El 96% utilizó el arma reglamentaria para provocar la muerte: de 701 agentes fuera de servicio, 673 mataron con arma reglamentaria. </w:t>
      </w:r>
    </w:p>
    <w:p w14:paraId="5361B85A"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El 83% de las muertes (924) fueron provocadas con el arma de fuego reglamentaria. En el 67% (619) la circunstancia se vinculó a la defensa de bienes propios, a femicidios, femicidios vinculados y a circunstancias para dirimir conflictos privados o personales de los/as policías.</w:t>
      </w:r>
    </w:p>
    <w:p w14:paraId="66EA36ED" w14:textId="77777777" w:rsidR="00165BED" w:rsidRPr="003E3F5D" w:rsidRDefault="009D4909" w:rsidP="003E3F5D">
      <w:pPr>
        <w:numPr>
          <w:ilvl w:val="0"/>
          <w:numId w:val="8"/>
        </w:numPr>
        <w:jc w:val="both"/>
        <w:rPr>
          <w:rFonts w:ascii="Calibri" w:eastAsia="Calibri" w:hAnsi="Calibri" w:cs="Calibri"/>
          <w:sz w:val="22"/>
          <w:szCs w:val="22"/>
        </w:rPr>
      </w:pPr>
      <w:r w:rsidRPr="003E3F5D">
        <w:rPr>
          <w:rFonts w:ascii="Calibri" w:eastAsia="Calibri" w:hAnsi="Calibri" w:cs="Calibri"/>
          <w:sz w:val="22"/>
          <w:szCs w:val="22"/>
        </w:rPr>
        <w:t>En casi la mitad de los municipios de la provincia (65 de 135) se registró al menos un caso de uso letal de la fuerza policial. El 84% de los casos se produjeron en municipios del conurbano bonaerense.</w:t>
      </w:r>
    </w:p>
    <w:p w14:paraId="424A00F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Resumiendo, en la provincia de Buenos Aires las muertes producidas por el accionar policial son cometidas predominantemente por efectivos de la policía provincial, que intervienen fuera de servicio ante supuestos robos de los que son víctimas (ellos o terceros), usando sus armas reglamentarias, y siendo sus víctimas mayoritariamente varones menores de 30 años. Del análisis realizado se desprende la desproporción en el accionar policial en los casos de uso letal en las circunstancias de robos de bienes perso</w:t>
      </w:r>
      <w:r w:rsidRPr="003E3F5D">
        <w:rPr>
          <w:rFonts w:ascii="Calibri" w:eastAsia="Calibri" w:hAnsi="Calibri" w:cs="Calibri"/>
          <w:sz w:val="22"/>
          <w:szCs w:val="22"/>
        </w:rPr>
        <w:t>nales o de terceros.</w:t>
      </w:r>
    </w:p>
    <w:p w14:paraId="2C138F3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primer lugar, la mayoría de las víctimas son jóvenes, con un promedio 21 años, pero los NNyJ representan el 32% del total, superando el porcentaje del total de casos de ULF. Alerta la proporción de niños y adolescentes fallecidos en este tipo de hechos y preocupa particularmente el tema de la proporcionalidad en este punto ya que las cifras no se condicen con otras estadísticas. Cabe destacar que es ínfimo el porcentaje de niños, niñas y jóvenes que cometen delitos graves en la provincia de Buenos Aires </w:t>
      </w:r>
      <w:r w:rsidRPr="003E3F5D">
        <w:rPr>
          <w:rFonts w:ascii="Calibri" w:eastAsia="Calibri" w:hAnsi="Calibri" w:cs="Calibri"/>
          <w:sz w:val="22"/>
          <w:szCs w:val="22"/>
        </w:rPr>
        <w:t xml:space="preserve">(como así también en el resto del país). </w:t>
      </w:r>
    </w:p>
    <w:p w14:paraId="056942F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Preocupa también el contexto de algunas de estas muertes: del total de casos registrados como muertes en circunstancias de robo de bienes propios o de terceros (75), en 11 casos los victimarios se encontraban trabajando como chofer de remis o de plataformas de servicio de transporte privado (Uber, Cabify o remis): 5 pertenecen a la Policía de la provincia de Buenos Aires, 4 a la Policía Federal, 1 a Gendarmería Nacional, 1 a la Policía de CABA. Si tomamos los casos analizados (55) registramos 9. En todos lo</w:t>
      </w:r>
      <w:r w:rsidRPr="003E3F5D">
        <w:rPr>
          <w:rFonts w:ascii="Calibri" w:eastAsia="Calibri" w:hAnsi="Calibri" w:cs="Calibri"/>
          <w:sz w:val="22"/>
          <w:szCs w:val="22"/>
        </w:rPr>
        <w:t xml:space="preserve">s casos se pudo constatar que los victimarios usaron su arma reglamentaria. Es decir, que el contexto en que los policías producen una muerte usando su arma reglamentaria es realizando una tarea ajena a la labor policial. </w:t>
      </w:r>
    </w:p>
    <w:p w14:paraId="3530EB5C" w14:textId="439B5F52"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Estos datos conjugados permiten sostener que en la mayoría de los casos el arma de fuego se utilizó y produjo la muerte cuando las personas no representaban una amenaza. La relevancia de este tema radica en que una vez que cesa el riesgo directo (amenaza con el arma) el accionar policial ya no puede entenderse como legítima defensa sino como represalia y como tal, representa un delito. </w:t>
      </w:r>
    </w:p>
    <w:p w14:paraId="30C1F4ED"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La investigación</w:t>
      </w:r>
    </w:p>
    <w:p w14:paraId="1BDDED0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dicho marco, preocupa también la investigación de estos hechos. En primer lugar, alarma que en 19 casos no se haya dejado constancia de la presencia del agente fiscal (o persona delegada) en la escena de los hechos. Esto es relevante ya que observamos una incidencia de la misma fuerza de seguridad que el victimario en cuestiones posteriores. A eso se suma que 9 traslados del cuerpo estuvieron a cargo de la misma fuerza que el victimario y que en 5 casos la investigación o pericias estuvieron al menos par</w:t>
      </w:r>
      <w:r w:rsidRPr="003E3F5D">
        <w:rPr>
          <w:rFonts w:ascii="Calibri" w:eastAsia="Calibri" w:hAnsi="Calibri" w:cs="Calibri"/>
          <w:sz w:val="22"/>
          <w:szCs w:val="22"/>
        </w:rPr>
        <w:t>cialmente delegadas a la misma fuerza.</w:t>
      </w:r>
    </w:p>
    <w:p w14:paraId="2BDB29F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Asimismo, preocupa la falta de investigación de estos hechos por fiscalías especializadas en violencia institucional u homicidios. </w:t>
      </w:r>
    </w:p>
    <w:p w14:paraId="11E4DAD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Esto es relevante ya que en al menos 8 muertes (las restantes fiscalías no lo informaron) no se aplicó la Resolución 1390 de la Procuración General de la provincia de Buenos Aires, que establece, entre otros puntos, el apartamiento de la fuerza de seguridad a la que pertenece el victimario de la investigación. </w:t>
      </w:r>
    </w:p>
    <w:p w14:paraId="13AB5CB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Además, en algunas causas el victimario se declaró como víctima del presunto robo, lo que puede generar eventuales nulidades en el marco de la investigación. Por ello, insistimos en la necesidad de que en estos casos se inicie una nueva IPP para investigar la muerte ocasionada por un efectivo policial ya sea en el marco de sus funciones o fuera de ellas.</w:t>
      </w:r>
    </w:p>
    <w:p w14:paraId="3010BBB0" w14:textId="77777777" w:rsidR="00165BED" w:rsidRPr="003E3F5D" w:rsidRDefault="00165BED" w:rsidP="003E3F5D">
      <w:pPr>
        <w:jc w:val="both"/>
        <w:rPr>
          <w:rFonts w:ascii="Calibri" w:eastAsia="Calibri" w:hAnsi="Calibri" w:cs="Calibri"/>
          <w:sz w:val="22"/>
          <w:szCs w:val="22"/>
        </w:rPr>
      </w:pPr>
    </w:p>
    <w:p w14:paraId="0CFD154C" w14:textId="77777777" w:rsidR="00165BED" w:rsidRPr="003E3F5D" w:rsidRDefault="009D4909" w:rsidP="003E3F5D">
      <w:pPr>
        <w:pStyle w:val="Heading1"/>
        <w:jc w:val="both"/>
        <w:rPr>
          <w:rFonts w:ascii="Calibri" w:eastAsia="Calibri" w:hAnsi="Calibri" w:cs="Calibri"/>
          <w:sz w:val="22"/>
          <w:szCs w:val="22"/>
        </w:rPr>
      </w:pPr>
      <w:bookmarkStart w:id="22" w:name="_heading=h.ih9dzaoe2wln" w:colFirst="0" w:colLast="0"/>
      <w:bookmarkStart w:id="23" w:name="_Toc211292067"/>
      <w:bookmarkEnd w:id="22"/>
      <w:r w:rsidRPr="003E3F5D">
        <w:rPr>
          <w:rFonts w:ascii="Calibri" w:eastAsia="Calibri" w:hAnsi="Calibri" w:cs="Calibri"/>
          <w:sz w:val="22"/>
          <w:szCs w:val="22"/>
        </w:rPr>
        <w:t>Sobre las tasas de encarcelamiento y las medidas alternativas a la privación de la libertad</w:t>
      </w:r>
      <w:r w:rsidRPr="003E3F5D">
        <w:rPr>
          <w:rFonts w:ascii="Calibri" w:eastAsia="Calibri" w:hAnsi="Calibri" w:cs="Calibri"/>
          <w:sz w:val="22"/>
          <w:szCs w:val="22"/>
          <w:vertAlign w:val="superscript"/>
        </w:rPr>
        <w:footnoteReference w:id="22"/>
      </w:r>
      <w:r w:rsidRPr="003E3F5D">
        <w:rPr>
          <w:rFonts w:ascii="Calibri" w:eastAsia="Calibri" w:hAnsi="Calibri" w:cs="Calibri"/>
          <w:sz w:val="22"/>
          <w:szCs w:val="22"/>
        </w:rPr>
        <w:t>.</w:t>
      </w:r>
      <w:bookmarkEnd w:id="23"/>
    </w:p>
    <w:p w14:paraId="6426CD96" w14:textId="77777777" w:rsidR="00165BED" w:rsidRPr="003E3F5D" w:rsidRDefault="009D4909" w:rsidP="003E3F5D">
      <w:pPr>
        <w:pStyle w:val="Heading2"/>
        <w:jc w:val="both"/>
        <w:rPr>
          <w:rFonts w:ascii="Calibri" w:hAnsi="Calibri" w:cs="Calibri"/>
          <w:sz w:val="22"/>
          <w:szCs w:val="22"/>
        </w:rPr>
      </w:pPr>
      <w:bookmarkStart w:id="24" w:name="_Toc211292068"/>
      <w:r w:rsidRPr="003E3F5D">
        <w:rPr>
          <w:rFonts w:ascii="Calibri" w:hAnsi="Calibri" w:cs="Calibri"/>
          <w:sz w:val="22"/>
          <w:szCs w:val="22"/>
        </w:rPr>
        <w:t>Introducción</w:t>
      </w:r>
      <w:bookmarkEnd w:id="24"/>
    </w:p>
    <w:p w14:paraId="3FA9F08C"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Como se expresa en los datos de población privada de libertad en el sistema de adultos, las personas de 18 a 30 años representan el 45% de las detenidas en el Servicio Penitenciario Bonaerense (SPB)</w:t>
      </w:r>
      <w:r w:rsidRPr="003E3F5D">
        <w:rPr>
          <w:rFonts w:ascii="Calibri" w:eastAsia="Calibri" w:hAnsi="Calibri" w:cs="Calibri"/>
          <w:sz w:val="22"/>
          <w:szCs w:val="22"/>
          <w:vertAlign w:val="superscript"/>
        </w:rPr>
        <w:footnoteReference w:id="23"/>
      </w:r>
      <w:r w:rsidRPr="003E3F5D">
        <w:rPr>
          <w:rFonts w:ascii="Calibri" w:eastAsia="Calibri" w:hAnsi="Calibri" w:cs="Calibri"/>
          <w:sz w:val="22"/>
          <w:szCs w:val="22"/>
        </w:rPr>
        <w:t xml:space="preserve"> y el 47% de las detenidas en comisarías</w:t>
      </w:r>
      <w:r w:rsidRPr="003E3F5D">
        <w:rPr>
          <w:rFonts w:ascii="Calibri" w:eastAsia="Calibri" w:hAnsi="Calibri" w:cs="Calibri"/>
          <w:sz w:val="22"/>
          <w:szCs w:val="22"/>
          <w:vertAlign w:val="superscript"/>
        </w:rPr>
        <w:footnoteReference w:id="24"/>
      </w:r>
      <w:r w:rsidRPr="003E3F5D">
        <w:rPr>
          <w:rFonts w:ascii="Calibri" w:eastAsia="Calibri" w:hAnsi="Calibri" w:cs="Calibri"/>
          <w:sz w:val="22"/>
          <w:szCs w:val="22"/>
        </w:rPr>
        <w:t>. A la vez, la intervención se concentra principalmente en presuntos delitos contra la propiedad: en 2023 estos delitos representaron el 39% de las investigaciones penales iniciadas por el poder judicial, el 41% de las prisiones preventivas concedidas y las causas del 37% de la población detenida.</w:t>
      </w:r>
    </w:p>
    <w:p w14:paraId="757E0AC4"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La persecución penal crece año a año. Durante 2024 el Ministerio Público Fiscal inició más de un millón de investigaciones penales contra mayores de 18 años (1.082.502), lo que equivale a 2.966 investigaciones iniciadas por día. Si se considera la población adulta de la Provincia, surge una tasa de 8.268 investigaciones abiertas cada 100.000 adultos/as, más de un tercio por presuntos delitos contra la propiedad. Ambas tasas constituyen un récord histórico</w:t>
      </w:r>
      <w:r w:rsidRPr="003E3F5D">
        <w:rPr>
          <w:rFonts w:ascii="Calibri" w:eastAsia="Calibri" w:hAnsi="Calibri" w:cs="Calibri"/>
          <w:sz w:val="22"/>
          <w:szCs w:val="22"/>
          <w:vertAlign w:val="superscript"/>
        </w:rPr>
        <w:footnoteReference w:id="25"/>
      </w:r>
      <w:r w:rsidRPr="003E3F5D">
        <w:rPr>
          <w:rFonts w:ascii="Calibri" w:eastAsia="Calibri" w:hAnsi="Calibri" w:cs="Calibri"/>
          <w:sz w:val="22"/>
          <w:szCs w:val="22"/>
        </w:rPr>
        <w:t>.</w:t>
      </w:r>
    </w:p>
    <w:p w14:paraId="7F6FEE38" w14:textId="77777777" w:rsidR="00165BED" w:rsidRPr="003E3F5D" w:rsidRDefault="00165BED" w:rsidP="003E3F5D">
      <w:pPr>
        <w:jc w:val="both"/>
        <w:rPr>
          <w:rFonts w:ascii="Calibri" w:eastAsia="Calibri" w:hAnsi="Calibri" w:cs="Calibri"/>
          <w:sz w:val="22"/>
          <w:szCs w:val="22"/>
        </w:rPr>
      </w:pPr>
    </w:p>
    <w:p w14:paraId="0412E5A4" w14:textId="77777777" w:rsidR="00165BED" w:rsidRPr="003E3F5D" w:rsidRDefault="009D4909" w:rsidP="003E3F5D">
      <w:pPr>
        <w:pStyle w:val="Heading2"/>
        <w:jc w:val="both"/>
        <w:rPr>
          <w:rFonts w:ascii="Calibri" w:eastAsia="Calibri" w:hAnsi="Calibri" w:cs="Calibri"/>
          <w:sz w:val="22"/>
          <w:szCs w:val="22"/>
        </w:rPr>
      </w:pPr>
      <w:bookmarkStart w:id="25" w:name="_Toc211292069"/>
      <w:r w:rsidRPr="003E3F5D">
        <w:rPr>
          <w:rFonts w:ascii="Calibri" w:eastAsia="Calibri" w:hAnsi="Calibri" w:cs="Calibri"/>
          <w:sz w:val="22"/>
          <w:szCs w:val="22"/>
        </w:rPr>
        <w:t>El plan de infraestructura edilicia</w:t>
      </w:r>
      <w:r w:rsidRPr="003E3F5D">
        <w:rPr>
          <w:rFonts w:ascii="Calibri" w:eastAsia="Calibri" w:hAnsi="Calibri" w:cs="Calibri"/>
          <w:sz w:val="22"/>
          <w:szCs w:val="22"/>
          <w:vertAlign w:val="superscript"/>
        </w:rPr>
        <w:footnoteReference w:id="26"/>
      </w:r>
      <w:bookmarkEnd w:id="25"/>
    </w:p>
    <w:p w14:paraId="64006B7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 la sobrepoblación histórica en la provincia de Buenos Aires el gobierno actual no ha dado mayor respuesta que los anteriores, fuera de incrementar las plazas existentes. Bajo dicha lógica, se lanzó en 2020 el Plan de infraestructura penitenciaria 2020-2023, donde asume que “el déficit de plazas es mayor a las 20.000”, propone como solución “la construcción de nuevos establecimientos” y proyecta 18.000 nuevas plazas. Así, desde 2021 se sumaron 6.094 nuevas plazas tanto por construcción de nuevos lugares co</w:t>
      </w:r>
      <w:r w:rsidRPr="003E3F5D">
        <w:rPr>
          <w:rFonts w:ascii="Calibri" w:eastAsia="Calibri" w:hAnsi="Calibri" w:cs="Calibri"/>
          <w:sz w:val="22"/>
          <w:szCs w:val="22"/>
        </w:rPr>
        <w:t xml:space="preserve">mo por ampliación en establecimientos existentes, lo que representa el 23% de la capacidad total. Frente a estas 6.094 nuevas plazas (un promedio de 1.500 por año) que redujeron la sobrepoblación existente, se agregaron 9.800 nuevos detenidos al sistema (un promedio de 2.400 por año). Es decir, esta política de construcción no sólo no resolvió la sobrepoblación (el 102% en cárceles y el 101% en comisarías a julio de 2024), sino que mantiene problemas en la distribución de la población encarcelada que en el </w:t>
      </w:r>
      <w:r w:rsidRPr="003E3F5D">
        <w:rPr>
          <w:rFonts w:ascii="Calibri" w:eastAsia="Calibri" w:hAnsi="Calibri" w:cs="Calibri"/>
          <w:sz w:val="22"/>
          <w:szCs w:val="22"/>
        </w:rPr>
        <w:t>Complejo Varela alcanza el 189% de sobrepoblación, en el Complejo Magdalena el 162%, o el de Centro Zona Norte el 140% y el de Centro Zona Sur el 135%. Este incremento de plazas se sostenía con fondos provenientes del gobierno nacional, y la falta de entrega de la coparticipación produjo la demora de los plazos anunciados y en algunos casos la paralización de obras. Aun si la gestión cumpliera con las 12.600 plazas anunciadas ante la autoridad de aplicación de la Suprema Corte de Justicia de Buenos Aires pa</w:t>
      </w:r>
      <w:r w:rsidRPr="003E3F5D">
        <w:rPr>
          <w:rFonts w:ascii="Calibri" w:eastAsia="Calibri" w:hAnsi="Calibri" w:cs="Calibri"/>
          <w:sz w:val="22"/>
          <w:szCs w:val="22"/>
        </w:rPr>
        <w:t>ra esta etapa (faltan aproximadamente 6.600), aquellas alcanzarían a 33.500, es decir que faltarían 20.700 plazas para alojar a la población actual sin tener en cuenta el crecimiento anual constante. A la luz de la experiencia histórica, el problema con esta respuesta es que a cada ampliación del sistema le siguió un incremento de personas encarceladas. En una perspectiva de más largo plazo, entre 2001 y 2023 se crearon 16.600 plazas y la población detenida aumentó en 35.400 personas.</w:t>
      </w:r>
    </w:p>
    <w:p w14:paraId="7F27987B" w14:textId="77777777" w:rsidR="00165BED" w:rsidRPr="003E3F5D" w:rsidRDefault="00165BED" w:rsidP="003E3F5D">
      <w:pPr>
        <w:jc w:val="both"/>
        <w:rPr>
          <w:rFonts w:ascii="Calibri" w:eastAsia="Calibri" w:hAnsi="Calibri" w:cs="Calibri"/>
          <w:sz w:val="22"/>
          <w:szCs w:val="22"/>
        </w:rPr>
      </w:pPr>
    </w:p>
    <w:p w14:paraId="2D11A83C" w14:textId="77777777" w:rsidR="00165BED" w:rsidRPr="003E3F5D" w:rsidRDefault="009D4909" w:rsidP="003E3F5D">
      <w:pPr>
        <w:pStyle w:val="Heading2"/>
        <w:jc w:val="both"/>
        <w:rPr>
          <w:rFonts w:ascii="Calibri" w:eastAsia="Calibri" w:hAnsi="Calibri" w:cs="Calibri"/>
          <w:sz w:val="22"/>
          <w:szCs w:val="22"/>
        </w:rPr>
      </w:pPr>
      <w:bookmarkStart w:id="26" w:name="_Toc211292070"/>
      <w:r w:rsidRPr="003E3F5D">
        <w:rPr>
          <w:rFonts w:ascii="Calibri" w:eastAsia="Calibri" w:hAnsi="Calibri" w:cs="Calibri"/>
          <w:sz w:val="22"/>
          <w:szCs w:val="22"/>
        </w:rPr>
        <w:t>El encarcelamiento en la Provincia de Buenos Aires</w:t>
      </w:r>
      <w:bookmarkEnd w:id="26"/>
    </w:p>
    <w:p w14:paraId="196FE1E3"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El período comprendido entre 2014 y 2024 muestra un salto cuantitativo récord, con una interrupción excepcional en 2020. La cantidad de personas adultas detenidas en la provincia de Buenos Aires (sumando todos los dispositivos) creció a un promedio interanual del 5%, culminando con casi 62.000 en cárceles, alcaldías, comisarías y con monitoreo electrónico.</w:t>
      </w:r>
    </w:p>
    <w:p w14:paraId="74397E01"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b/>
          <w:sz w:val="22"/>
          <w:szCs w:val="22"/>
        </w:rPr>
        <w:t xml:space="preserve">Tabla 6. </w:t>
      </w:r>
      <w:r w:rsidRPr="003E3F5D">
        <w:rPr>
          <w:rFonts w:ascii="Calibri" w:eastAsia="Calibri" w:hAnsi="Calibri" w:cs="Calibri"/>
          <w:sz w:val="22"/>
          <w:szCs w:val="22"/>
        </w:rPr>
        <w:t>Población detenida en la provincia de Buenos Aires, según dispositivo, 2014-2024</w:t>
      </w:r>
    </w:p>
    <w:tbl>
      <w:tblPr>
        <w:tblStyle w:val="a"/>
        <w:tblW w:w="8514" w:type="dxa"/>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5"/>
        <w:gridCol w:w="1134"/>
        <w:gridCol w:w="1147"/>
        <w:gridCol w:w="1588"/>
        <w:gridCol w:w="1389"/>
        <w:gridCol w:w="1134"/>
        <w:gridCol w:w="1257"/>
      </w:tblGrid>
      <w:tr w:rsidR="00165BED" w:rsidRPr="003E3F5D" w14:paraId="569F05AE" w14:textId="77777777">
        <w:trPr>
          <w:trHeight w:val="510"/>
        </w:trPr>
        <w:tc>
          <w:tcPr>
            <w:tcW w:w="865" w:type="dxa"/>
            <w:tcBorders>
              <w:top w:val="single" w:sz="4" w:space="0" w:color="000000"/>
              <w:left w:val="single" w:sz="4" w:space="0" w:color="000000"/>
              <w:bottom w:val="single" w:sz="4" w:space="0" w:color="000000"/>
              <w:right w:val="single" w:sz="4" w:space="0" w:color="000000"/>
            </w:tcBorders>
            <w:vAlign w:val="center"/>
          </w:tcPr>
          <w:p w14:paraId="5CA3E393"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Año</w:t>
            </w:r>
          </w:p>
        </w:tc>
        <w:tc>
          <w:tcPr>
            <w:tcW w:w="1134" w:type="dxa"/>
            <w:tcBorders>
              <w:top w:val="single" w:sz="4" w:space="0" w:color="000000"/>
              <w:left w:val="single" w:sz="4" w:space="0" w:color="000000"/>
              <w:bottom w:val="single" w:sz="4" w:space="0" w:color="000000"/>
              <w:right w:val="single" w:sz="4" w:space="0" w:color="000000"/>
            </w:tcBorders>
            <w:vAlign w:val="center"/>
          </w:tcPr>
          <w:p w14:paraId="165E57F2"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Cárceles</w:t>
            </w:r>
          </w:p>
        </w:tc>
        <w:tc>
          <w:tcPr>
            <w:tcW w:w="1147" w:type="dxa"/>
            <w:tcBorders>
              <w:top w:val="single" w:sz="4" w:space="0" w:color="000000"/>
              <w:left w:val="single" w:sz="4" w:space="0" w:color="000000"/>
              <w:bottom w:val="single" w:sz="4" w:space="0" w:color="000000"/>
              <w:right w:val="single" w:sz="4" w:space="0" w:color="000000"/>
            </w:tcBorders>
            <w:vAlign w:val="center"/>
          </w:tcPr>
          <w:p w14:paraId="3C6094B7"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Alcaidías</w:t>
            </w:r>
          </w:p>
        </w:tc>
        <w:tc>
          <w:tcPr>
            <w:tcW w:w="1588" w:type="dxa"/>
            <w:tcBorders>
              <w:top w:val="single" w:sz="4" w:space="0" w:color="000000"/>
              <w:left w:val="single" w:sz="4" w:space="0" w:color="000000"/>
              <w:bottom w:val="single" w:sz="4" w:space="0" w:color="000000"/>
              <w:right w:val="single" w:sz="4" w:space="0" w:color="000000"/>
            </w:tcBorders>
            <w:vAlign w:val="center"/>
          </w:tcPr>
          <w:p w14:paraId="6035F3FD"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Monitoreo electrónico</w:t>
            </w:r>
          </w:p>
        </w:tc>
        <w:tc>
          <w:tcPr>
            <w:tcW w:w="1389" w:type="dxa"/>
            <w:tcBorders>
              <w:top w:val="single" w:sz="4" w:space="0" w:color="000000"/>
              <w:left w:val="single" w:sz="4" w:space="0" w:color="000000"/>
              <w:bottom w:val="single" w:sz="4" w:space="0" w:color="000000"/>
              <w:right w:val="single" w:sz="4" w:space="0" w:color="000000"/>
            </w:tcBorders>
            <w:vAlign w:val="center"/>
          </w:tcPr>
          <w:p w14:paraId="10DE2401"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Comisarías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3517EDD7"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Total</w:t>
            </w:r>
          </w:p>
        </w:tc>
        <w:tc>
          <w:tcPr>
            <w:tcW w:w="1257" w:type="dxa"/>
            <w:tcBorders>
              <w:top w:val="single" w:sz="4" w:space="0" w:color="000000"/>
              <w:left w:val="single" w:sz="4" w:space="0" w:color="000000"/>
              <w:bottom w:val="single" w:sz="4" w:space="0" w:color="000000"/>
              <w:right w:val="single" w:sz="4" w:space="0" w:color="000000"/>
            </w:tcBorders>
            <w:vAlign w:val="center"/>
          </w:tcPr>
          <w:p w14:paraId="720C22C6"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Variación interanual</w:t>
            </w:r>
          </w:p>
        </w:tc>
      </w:tr>
      <w:tr w:rsidR="00165BED" w:rsidRPr="003E3F5D" w14:paraId="0DEE99F2"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2DA9D8E0"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2014</w:t>
            </w:r>
          </w:p>
        </w:tc>
        <w:tc>
          <w:tcPr>
            <w:tcW w:w="1134" w:type="dxa"/>
            <w:tcBorders>
              <w:top w:val="single" w:sz="4" w:space="0" w:color="000000"/>
              <w:left w:val="single" w:sz="4" w:space="0" w:color="000000"/>
              <w:bottom w:val="single" w:sz="4" w:space="0" w:color="000000"/>
              <w:right w:val="single" w:sz="4" w:space="0" w:color="000000"/>
            </w:tcBorders>
            <w:vAlign w:val="center"/>
          </w:tcPr>
          <w:p w14:paraId="67F1DC18"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30.635</w:t>
            </w:r>
          </w:p>
        </w:tc>
        <w:tc>
          <w:tcPr>
            <w:tcW w:w="1147" w:type="dxa"/>
            <w:tcBorders>
              <w:top w:val="single" w:sz="4" w:space="0" w:color="000000"/>
              <w:left w:val="single" w:sz="4" w:space="0" w:color="000000"/>
              <w:bottom w:val="single" w:sz="4" w:space="0" w:color="000000"/>
              <w:right w:val="single" w:sz="4" w:space="0" w:color="000000"/>
            </w:tcBorders>
            <w:vAlign w:val="center"/>
          </w:tcPr>
          <w:p w14:paraId="449572F0"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600</w:t>
            </w:r>
          </w:p>
        </w:tc>
        <w:tc>
          <w:tcPr>
            <w:tcW w:w="1588" w:type="dxa"/>
            <w:tcBorders>
              <w:top w:val="single" w:sz="4" w:space="0" w:color="000000"/>
              <w:left w:val="single" w:sz="4" w:space="0" w:color="000000"/>
              <w:bottom w:val="single" w:sz="4" w:space="0" w:color="000000"/>
              <w:right w:val="single" w:sz="4" w:space="0" w:color="000000"/>
            </w:tcBorders>
            <w:vAlign w:val="center"/>
          </w:tcPr>
          <w:p w14:paraId="34674272"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557</w:t>
            </w:r>
          </w:p>
        </w:tc>
        <w:tc>
          <w:tcPr>
            <w:tcW w:w="1389" w:type="dxa"/>
            <w:tcBorders>
              <w:top w:val="single" w:sz="4" w:space="0" w:color="000000"/>
              <w:left w:val="single" w:sz="4" w:space="0" w:color="000000"/>
              <w:bottom w:val="single" w:sz="4" w:space="0" w:color="000000"/>
              <w:right w:val="single" w:sz="4" w:space="0" w:color="000000"/>
            </w:tcBorders>
            <w:vAlign w:val="center"/>
          </w:tcPr>
          <w:p w14:paraId="786CE069"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2.235</w:t>
            </w:r>
          </w:p>
        </w:tc>
        <w:tc>
          <w:tcPr>
            <w:tcW w:w="1134" w:type="dxa"/>
            <w:tcBorders>
              <w:top w:val="single" w:sz="4" w:space="0" w:color="000000"/>
              <w:left w:val="single" w:sz="4" w:space="0" w:color="000000"/>
              <w:bottom w:val="single" w:sz="4" w:space="0" w:color="000000"/>
              <w:right w:val="single" w:sz="4" w:space="0" w:color="000000"/>
            </w:tcBorders>
            <w:vAlign w:val="center"/>
          </w:tcPr>
          <w:p w14:paraId="03EA038D"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34.027</w:t>
            </w:r>
          </w:p>
        </w:tc>
        <w:tc>
          <w:tcPr>
            <w:tcW w:w="1257" w:type="dxa"/>
            <w:tcBorders>
              <w:top w:val="single" w:sz="4" w:space="0" w:color="000000"/>
              <w:left w:val="single" w:sz="4" w:space="0" w:color="000000"/>
              <w:bottom w:val="single" w:sz="4" w:space="0" w:color="000000"/>
              <w:right w:val="single" w:sz="4" w:space="0" w:color="000000"/>
            </w:tcBorders>
            <w:vAlign w:val="center"/>
          </w:tcPr>
          <w:p w14:paraId="4396DED0"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w:t>
            </w:r>
          </w:p>
        </w:tc>
      </w:tr>
      <w:tr w:rsidR="00165BED" w:rsidRPr="003E3F5D" w14:paraId="666A9D60"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15949E3A"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0186CB39"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32.446</w:t>
            </w:r>
          </w:p>
        </w:tc>
        <w:tc>
          <w:tcPr>
            <w:tcW w:w="1147" w:type="dxa"/>
            <w:tcBorders>
              <w:top w:val="single" w:sz="4" w:space="0" w:color="000000"/>
              <w:left w:val="single" w:sz="4" w:space="0" w:color="000000"/>
              <w:bottom w:val="single" w:sz="4" w:space="0" w:color="000000"/>
              <w:right w:val="single" w:sz="4" w:space="0" w:color="000000"/>
            </w:tcBorders>
            <w:vAlign w:val="center"/>
          </w:tcPr>
          <w:p w14:paraId="2B2F0D5E"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614</w:t>
            </w:r>
          </w:p>
        </w:tc>
        <w:tc>
          <w:tcPr>
            <w:tcW w:w="1588" w:type="dxa"/>
            <w:tcBorders>
              <w:top w:val="single" w:sz="4" w:space="0" w:color="000000"/>
              <w:left w:val="single" w:sz="4" w:space="0" w:color="000000"/>
              <w:bottom w:val="single" w:sz="4" w:space="0" w:color="000000"/>
              <w:right w:val="single" w:sz="4" w:space="0" w:color="000000"/>
            </w:tcBorders>
            <w:vAlign w:val="center"/>
          </w:tcPr>
          <w:p w14:paraId="4720A9D0"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974</w:t>
            </w:r>
          </w:p>
        </w:tc>
        <w:tc>
          <w:tcPr>
            <w:tcW w:w="1389" w:type="dxa"/>
            <w:tcBorders>
              <w:top w:val="single" w:sz="4" w:space="0" w:color="000000"/>
              <w:left w:val="single" w:sz="4" w:space="0" w:color="000000"/>
              <w:bottom w:val="single" w:sz="4" w:space="0" w:color="000000"/>
              <w:right w:val="single" w:sz="4" w:space="0" w:color="000000"/>
            </w:tcBorders>
            <w:vAlign w:val="center"/>
          </w:tcPr>
          <w:p w14:paraId="4B1F6DA9"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1.836</w:t>
            </w:r>
          </w:p>
        </w:tc>
        <w:tc>
          <w:tcPr>
            <w:tcW w:w="1134" w:type="dxa"/>
            <w:tcBorders>
              <w:top w:val="single" w:sz="4" w:space="0" w:color="000000"/>
              <w:left w:val="single" w:sz="4" w:space="0" w:color="000000"/>
              <w:bottom w:val="single" w:sz="4" w:space="0" w:color="000000"/>
              <w:right w:val="single" w:sz="4" w:space="0" w:color="000000"/>
            </w:tcBorders>
            <w:vAlign w:val="center"/>
          </w:tcPr>
          <w:p w14:paraId="0FBECD81"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35.870</w:t>
            </w:r>
          </w:p>
        </w:tc>
        <w:tc>
          <w:tcPr>
            <w:tcW w:w="1257" w:type="dxa"/>
            <w:tcBorders>
              <w:top w:val="single" w:sz="4" w:space="0" w:color="000000"/>
              <w:left w:val="single" w:sz="4" w:space="0" w:color="000000"/>
              <w:bottom w:val="single" w:sz="4" w:space="0" w:color="000000"/>
              <w:right w:val="single" w:sz="4" w:space="0" w:color="000000"/>
            </w:tcBorders>
            <w:vAlign w:val="center"/>
          </w:tcPr>
          <w:p w14:paraId="25DE90ED"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5%</w:t>
            </w:r>
          </w:p>
        </w:tc>
      </w:tr>
      <w:tr w:rsidR="00165BED" w:rsidRPr="003E3F5D" w14:paraId="60BAE772"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23245E71"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2016</w:t>
            </w:r>
          </w:p>
        </w:tc>
        <w:tc>
          <w:tcPr>
            <w:tcW w:w="1134" w:type="dxa"/>
            <w:tcBorders>
              <w:top w:val="single" w:sz="4" w:space="0" w:color="000000"/>
              <w:left w:val="single" w:sz="4" w:space="0" w:color="000000"/>
              <w:bottom w:val="single" w:sz="4" w:space="0" w:color="000000"/>
              <w:right w:val="single" w:sz="4" w:space="0" w:color="000000"/>
            </w:tcBorders>
            <w:vAlign w:val="center"/>
          </w:tcPr>
          <w:p w14:paraId="4547E47A"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33.698</w:t>
            </w:r>
          </w:p>
        </w:tc>
        <w:tc>
          <w:tcPr>
            <w:tcW w:w="1147" w:type="dxa"/>
            <w:tcBorders>
              <w:top w:val="single" w:sz="4" w:space="0" w:color="000000"/>
              <w:left w:val="single" w:sz="4" w:space="0" w:color="000000"/>
              <w:bottom w:val="single" w:sz="4" w:space="0" w:color="000000"/>
              <w:right w:val="single" w:sz="4" w:space="0" w:color="000000"/>
            </w:tcBorders>
            <w:vAlign w:val="center"/>
          </w:tcPr>
          <w:p w14:paraId="7214E479"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694</w:t>
            </w:r>
          </w:p>
        </w:tc>
        <w:tc>
          <w:tcPr>
            <w:tcW w:w="1588" w:type="dxa"/>
            <w:tcBorders>
              <w:top w:val="single" w:sz="4" w:space="0" w:color="000000"/>
              <w:left w:val="single" w:sz="4" w:space="0" w:color="000000"/>
              <w:bottom w:val="single" w:sz="4" w:space="0" w:color="000000"/>
              <w:right w:val="single" w:sz="4" w:space="0" w:color="000000"/>
            </w:tcBorders>
            <w:vAlign w:val="center"/>
          </w:tcPr>
          <w:p w14:paraId="268DF317"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1.329</w:t>
            </w:r>
          </w:p>
        </w:tc>
        <w:tc>
          <w:tcPr>
            <w:tcW w:w="1389" w:type="dxa"/>
            <w:tcBorders>
              <w:top w:val="single" w:sz="4" w:space="0" w:color="000000"/>
              <w:left w:val="single" w:sz="4" w:space="0" w:color="000000"/>
              <w:bottom w:val="single" w:sz="4" w:space="0" w:color="000000"/>
              <w:right w:val="single" w:sz="4" w:space="0" w:color="000000"/>
            </w:tcBorders>
            <w:vAlign w:val="center"/>
          </w:tcPr>
          <w:p w14:paraId="2EB37A0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2.863</w:t>
            </w:r>
          </w:p>
        </w:tc>
        <w:tc>
          <w:tcPr>
            <w:tcW w:w="1134" w:type="dxa"/>
            <w:tcBorders>
              <w:top w:val="single" w:sz="4" w:space="0" w:color="000000"/>
              <w:left w:val="single" w:sz="4" w:space="0" w:color="000000"/>
              <w:bottom w:val="single" w:sz="4" w:space="0" w:color="000000"/>
              <w:right w:val="single" w:sz="4" w:space="0" w:color="000000"/>
            </w:tcBorders>
            <w:vAlign w:val="center"/>
          </w:tcPr>
          <w:p w14:paraId="365CE24A"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38.584</w:t>
            </w:r>
          </w:p>
        </w:tc>
        <w:tc>
          <w:tcPr>
            <w:tcW w:w="1257" w:type="dxa"/>
            <w:tcBorders>
              <w:top w:val="single" w:sz="4" w:space="0" w:color="000000"/>
              <w:left w:val="single" w:sz="4" w:space="0" w:color="000000"/>
              <w:bottom w:val="single" w:sz="4" w:space="0" w:color="000000"/>
              <w:right w:val="single" w:sz="4" w:space="0" w:color="000000"/>
            </w:tcBorders>
            <w:vAlign w:val="center"/>
          </w:tcPr>
          <w:p w14:paraId="24620DDF"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8%</w:t>
            </w:r>
          </w:p>
        </w:tc>
      </w:tr>
      <w:tr w:rsidR="00165BED" w:rsidRPr="003E3F5D" w14:paraId="4CEA7ADD"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7D4DEC88"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2017</w:t>
            </w:r>
          </w:p>
        </w:tc>
        <w:tc>
          <w:tcPr>
            <w:tcW w:w="1134" w:type="dxa"/>
            <w:tcBorders>
              <w:top w:val="single" w:sz="4" w:space="0" w:color="000000"/>
              <w:left w:val="single" w:sz="4" w:space="0" w:color="000000"/>
              <w:bottom w:val="single" w:sz="4" w:space="0" w:color="000000"/>
              <w:right w:val="single" w:sz="4" w:space="0" w:color="000000"/>
            </w:tcBorders>
            <w:vAlign w:val="center"/>
          </w:tcPr>
          <w:p w14:paraId="317821B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37.704</w:t>
            </w:r>
          </w:p>
        </w:tc>
        <w:tc>
          <w:tcPr>
            <w:tcW w:w="1147" w:type="dxa"/>
            <w:tcBorders>
              <w:top w:val="single" w:sz="4" w:space="0" w:color="000000"/>
              <w:left w:val="single" w:sz="4" w:space="0" w:color="000000"/>
              <w:bottom w:val="single" w:sz="4" w:space="0" w:color="000000"/>
              <w:right w:val="single" w:sz="4" w:space="0" w:color="000000"/>
            </w:tcBorders>
            <w:vAlign w:val="center"/>
          </w:tcPr>
          <w:p w14:paraId="68B2D461"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616</w:t>
            </w:r>
          </w:p>
        </w:tc>
        <w:tc>
          <w:tcPr>
            <w:tcW w:w="1588" w:type="dxa"/>
            <w:tcBorders>
              <w:top w:val="single" w:sz="4" w:space="0" w:color="000000"/>
              <w:left w:val="single" w:sz="4" w:space="0" w:color="000000"/>
              <w:bottom w:val="single" w:sz="4" w:space="0" w:color="000000"/>
              <w:right w:val="single" w:sz="4" w:space="0" w:color="000000"/>
            </w:tcBorders>
            <w:vAlign w:val="center"/>
          </w:tcPr>
          <w:p w14:paraId="2F8A7816"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1.677</w:t>
            </w:r>
          </w:p>
        </w:tc>
        <w:tc>
          <w:tcPr>
            <w:tcW w:w="1389" w:type="dxa"/>
            <w:tcBorders>
              <w:top w:val="single" w:sz="4" w:space="0" w:color="000000"/>
              <w:left w:val="single" w:sz="4" w:space="0" w:color="000000"/>
              <w:bottom w:val="single" w:sz="4" w:space="0" w:color="000000"/>
              <w:right w:val="single" w:sz="4" w:space="0" w:color="000000"/>
            </w:tcBorders>
            <w:vAlign w:val="center"/>
          </w:tcPr>
          <w:p w14:paraId="6E2DBE94"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3.097</w:t>
            </w:r>
          </w:p>
        </w:tc>
        <w:tc>
          <w:tcPr>
            <w:tcW w:w="1134" w:type="dxa"/>
            <w:tcBorders>
              <w:top w:val="single" w:sz="4" w:space="0" w:color="000000"/>
              <w:left w:val="single" w:sz="4" w:space="0" w:color="000000"/>
              <w:bottom w:val="single" w:sz="4" w:space="0" w:color="000000"/>
              <w:right w:val="single" w:sz="4" w:space="0" w:color="000000"/>
            </w:tcBorders>
            <w:vAlign w:val="center"/>
          </w:tcPr>
          <w:p w14:paraId="6BF524C1"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43.094</w:t>
            </w:r>
          </w:p>
        </w:tc>
        <w:tc>
          <w:tcPr>
            <w:tcW w:w="1257" w:type="dxa"/>
            <w:tcBorders>
              <w:top w:val="single" w:sz="4" w:space="0" w:color="000000"/>
              <w:left w:val="single" w:sz="4" w:space="0" w:color="000000"/>
              <w:bottom w:val="single" w:sz="4" w:space="0" w:color="000000"/>
              <w:right w:val="single" w:sz="4" w:space="0" w:color="000000"/>
            </w:tcBorders>
            <w:vAlign w:val="center"/>
          </w:tcPr>
          <w:p w14:paraId="368FFD0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12%</w:t>
            </w:r>
          </w:p>
        </w:tc>
      </w:tr>
      <w:tr w:rsidR="00165BED" w:rsidRPr="003E3F5D" w14:paraId="66FC2909"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5A784627"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2018</w:t>
            </w:r>
          </w:p>
        </w:tc>
        <w:tc>
          <w:tcPr>
            <w:tcW w:w="1134" w:type="dxa"/>
            <w:tcBorders>
              <w:top w:val="single" w:sz="4" w:space="0" w:color="000000"/>
              <w:left w:val="single" w:sz="4" w:space="0" w:color="000000"/>
              <w:bottom w:val="single" w:sz="4" w:space="0" w:color="000000"/>
              <w:right w:val="single" w:sz="4" w:space="0" w:color="000000"/>
            </w:tcBorders>
            <w:vAlign w:val="center"/>
          </w:tcPr>
          <w:p w14:paraId="53282626"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41.598</w:t>
            </w:r>
          </w:p>
        </w:tc>
        <w:tc>
          <w:tcPr>
            <w:tcW w:w="1147" w:type="dxa"/>
            <w:tcBorders>
              <w:top w:val="single" w:sz="4" w:space="0" w:color="000000"/>
              <w:left w:val="single" w:sz="4" w:space="0" w:color="000000"/>
              <w:bottom w:val="single" w:sz="4" w:space="0" w:color="000000"/>
              <w:right w:val="single" w:sz="4" w:space="0" w:color="000000"/>
            </w:tcBorders>
            <w:vAlign w:val="center"/>
          </w:tcPr>
          <w:p w14:paraId="464C73C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966</w:t>
            </w:r>
          </w:p>
        </w:tc>
        <w:tc>
          <w:tcPr>
            <w:tcW w:w="1588" w:type="dxa"/>
            <w:tcBorders>
              <w:top w:val="single" w:sz="4" w:space="0" w:color="000000"/>
              <w:left w:val="single" w:sz="4" w:space="0" w:color="000000"/>
              <w:bottom w:val="single" w:sz="4" w:space="0" w:color="000000"/>
              <w:right w:val="single" w:sz="4" w:space="0" w:color="000000"/>
            </w:tcBorders>
            <w:vAlign w:val="center"/>
          </w:tcPr>
          <w:p w14:paraId="7E03137A"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1.922</w:t>
            </w:r>
          </w:p>
        </w:tc>
        <w:tc>
          <w:tcPr>
            <w:tcW w:w="1389" w:type="dxa"/>
            <w:tcBorders>
              <w:top w:val="single" w:sz="4" w:space="0" w:color="000000"/>
              <w:left w:val="single" w:sz="4" w:space="0" w:color="000000"/>
              <w:bottom w:val="single" w:sz="4" w:space="0" w:color="000000"/>
              <w:right w:val="single" w:sz="4" w:space="0" w:color="000000"/>
            </w:tcBorders>
            <w:vAlign w:val="center"/>
          </w:tcPr>
          <w:p w14:paraId="570F1C44"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4.129</w:t>
            </w:r>
          </w:p>
        </w:tc>
        <w:tc>
          <w:tcPr>
            <w:tcW w:w="1134" w:type="dxa"/>
            <w:tcBorders>
              <w:top w:val="single" w:sz="4" w:space="0" w:color="000000"/>
              <w:left w:val="single" w:sz="4" w:space="0" w:color="000000"/>
              <w:bottom w:val="single" w:sz="4" w:space="0" w:color="000000"/>
              <w:right w:val="single" w:sz="4" w:space="0" w:color="000000"/>
            </w:tcBorders>
            <w:vAlign w:val="center"/>
          </w:tcPr>
          <w:p w14:paraId="79BC3ABC"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48.615</w:t>
            </w:r>
          </w:p>
        </w:tc>
        <w:tc>
          <w:tcPr>
            <w:tcW w:w="1257" w:type="dxa"/>
            <w:tcBorders>
              <w:top w:val="single" w:sz="4" w:space="0" w:color="000000"/>
              <w:left w:val="single" w:sz="4" w:space="0" w:color="000000"/>
              <w:bottom w:val="single" w:sz="4" w:space="0" w:color="000000"/>
              <w:right w:val="single" w:sz="4" w:space="0" w:color="000000"/>
            </w:tcBorders>
            <w:vAlign w:val="center"/>
          </w:tcPr>
          <w:p w14:paraId="45263CED"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13%</w:t>
            </w:r>
          </w:p>
        </w:tc>
      </w:tr>
      <w:tr w:rsidR="00165BED" w:rsidRPr="003E3F5D" w14:paraId="7CF01E20"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72BF2F69"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2019</w:t>
            </w:r>
          </w:p>
        </w:tc>
        <w:tc>
          <w:tcPr>
            <w:tcW w:w="1134" w:type="dxa"/>
            <w:tcBorders>
              <w:top w:val="single" w:sz="4" w:space="0" w:color="000000"/>
              <w:left w:val="single" w:sz="4" w:space="0" w:color="000000"/>
              <w:bottom w:val="single" w:sz="4" w:space="0" w:color="000000"/>
              <w:right w:val="single" w:sz="4" w:space="0" w:color="000000"/>
            </w:tcBorders>
            <w:vAlign w:val="center"/>
          </w:tcPr>
          <w:p w14:paraId="2B8AB3A0"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43.988</w:t>
            </w:r>
          </w:p>
        </w:tc>
        <w:tc>
          <w:tcPr>
            <w:tcW w:w="1147" w:type="dxa"/>
            <w:tcBorders>
              <w:top w:val="single" w:sz="4" w:space="0" w:color="000000"/>
              <w:left w:val="single" w:sz="4" w:space="0" w:color="000000"/>
              <w:bottom w:val="single" w:sz="4" w:space="0" w:color="000000"/>
              <w:right w:val="single" w:sz="4" w:space="0" w:color="000000"/>
            </w:tcBorders>
            <w:vAlign w:val="center"/>
          </w:tcPr>
          <w:p w14:paraId="0319CAEF"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1.315</w:t>
            </w:r>
          </w:p>
        </w:tc>
        <w:tc>
          <w:tcPr>
            <w:tcW w:w="1588" w:type="dxa"/>
            <w:tcBorders>
              <w:top w:val="single" w:sz="4" w:space="0" w:color="000000"/>
              <w:left w:val="single" w:sz="4" w:space="0" w:color="000000"/>
              <w:bottom w:val="single" w:sz="4" w:space="0" w:color="000000"/>
              <w:right w:val="single" w:sz="4" w:space="0" w:color="000000"/>
            </w:tcBorders>
            <w:vAlign w:val="center"/>
          </w:tcPr>
          <w:p w14:paraId="0F8AE31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1.877</w:t>
            </w:r>
          </w:p>
        </w:tc>
        <w:tc>
          <w:tcPr>
            <w:tcW w:w="1389" w:type="dxa"/>
            <w:tcBorders>
              <w:top w:val="single" w:sz="4" w:space="0" w:color="000000"/>
              <w:left w:val="single" w:sz="4" w:space="0" w:color="000000"/>
              <w:bottom w:val="single" w:sz="4" w:space="0" w:color="000000"/>
              <w:right w:val="single" w:sz="4" w:space="0" w:color="000000"/>
            </w:tcBorders>
            <w:vAlign w:val="center"/>
          </w:tcPr>
          <w:p w14:paraId="5E364F3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3.854</w:t>
            </w:r>
          </w:p>
        </w:tc>
        <w:tc>
          <w:tcPr>
            <w:tcW w:w="1134" w:type="dxa"/>
            <w:tcBorders>
              <w:top w:val="single" w:sz="4" w:space="0" w:color="000000"/>
              <w:left w:val="single" w:sz="4" w:space="0" w:color="000000"/>
              <w:bottom w:val="single" w:sz="4" w:space="0" w:color="000000"/>
              <w:right w:val="single" w:sz="4" w:space="0" w:color="000000"/>
            </w:tcBorders>
            <w:vAlign w:val="center"/>
          </w:tcPr>
          <w:p w14:paraId="64898609"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51.034</w:t>
            </w:r>
          </w:p>
        </w:tc>
        <w:tc>
          <w:tcPr>
            <w:tcW w:w="1257" w:type="dxa"/>
            <w:tcBorders>
              <w:top w:val="single" w:sz="4" w:space="0" w:color="000000"/>
              <w:left w:val="single" w:sz="4" w:space="0" w:color="000000"/>
              <w:bottom w:val="single" w:sz="4" w:space="0" w:color="000000"/>
              <w:right w:val="single" w:sz="4" w:space="0" w:color="000000"/>
            </w:tcBorders>
            <w:vAlign w:val="center"/>
          </w:tcPr>
          <w:p w14:paraId="0AE7E2B0"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5%</w:t>
            </w:r>
          </w:p>
        </w:tc>
      </w:tr>
      <w:tr w:rsidR="00165BED" w:rsidRPr="003E3F5D" w14:paraId="536525A4"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22C0A790"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2020</w:t>
            </w:r>
          </w:p>
        </w:tc>
        <w:tc>
          <w:tcPr>
            <w:tcW w:w="1134" w:type="dxa"/>
            <w:tcBorders>
              <w:top w:val="single" w:sz="4" w:space="0" w:color="000000"/>
              <w:left w:val="single" w:sz="4" w:space="0" w:color="000000"/>
              <w:bottom w:val="single" w:sz="4" w:space="0" w:color="000000"/>
              <w:right w:val="single" w:sz="4" w:space="0" w:color="000000"/>
            </w:tcBorders>
            <w:vAlign w:val="center"/>
          </w:tcPr>
          <w:p w14:paraId="53E9158E"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41.386</w:t>
            </w:r>
          </w:p>
        </w:tc>
        <w:tc>
          <w:tcPr>
            <w:tcW w:w="1147" w:type="dxa"/>
            <w:tcBorders>
              <w:top w:val="single" w:sz="4" w:space="0" w:color="000000"/>
              <w:left w:val="single" w:sz="4" w:space="0" w:color="000000"/>
              <w:bottom w:val="single" w:sz="4" w:space="0" w:color="000000"/>
              <w:right w:val="single" w:sz="4" w:space="0" w:color="000000"/>
            </w:tcBorders>
            <w:vAlign w:val="center"/>
          </w:tcPr>
          <w:p w14:paraId="2FECC50C"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1.451</w:t>
            </w:r>
          </w:p>
        </w:tc>
        <w:tc>
          <w:tcPr>
            <w:tcW w:w="1588" w:type="dxa"/>
            <w:tcBorders>
              <w:top w:val="single" w:sz="4" w:space="0" w:color="000000"/>
              <w:left w:val="single" w:sz="4" w:space="0" w:color="000000"/>
              <w:bottom w:val="single" w:sz="4" w:space="0" w:color="000000"/>
              <w:right w:val="single" w:sz="4" w:space="0" w:color="000000"/>
            </w:tcBorders>
            <w:vAlign w:val="center"/>
          </w:tcPr>
          <w:p w14:paraId="29503CBF"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2.555</w:t>
            </w:r>
          </w:p>
        </w:tc>
        <w:tc>
          <w:tcPr>
            <w:tcW w:w="1389" w:type="dxa"/>
            <w:tcBorders>
              <w:top w:val="single" w:sz="4" w:space="0" w:color="000000"/>
              <w:left w:val="single" w:sz="4" w:space="0" w:color="000000"/>
              <w:bottom w:val="single" w:sz="4" w:space="0" w:color="000000"/>
              <w:right w:val="single" w:sz="4" w:space="0" w:color="000000"/>
            </w:tcBorders>
            <w:vAlign w:val="center"/>
          </w:tcPr>
          <w:p w14:paraId="063727A2"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4.756</w:t>
            </w:r>
          </w:p>
        </w:tc>
        <w:tc>
          <w:tcPr>
            <w:tcW w:w="1134" w:type="dxa"/>
            <w:tcBorders>
              <w:top w:val="single" w:sz="4" w:space="0" w:color="000000"/>
              <w:left w:val="single" w:sz="4" w:space="0" w:color="000000"/>
              <w:bottom w:val="single" w:sz="4" w:space="0" w:color="000000"/>
              <w:right w:val="single" w:sz="4" w:space="0" w:color="000000"/>
            </w:tcBorders>
            <w:vAlign w:val="center"/>
          </w:tcPr>
          <w:p w14:paraId="0CF826D4"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50.148</w:t>
            </w:r>
          </w:p>
        </w:tc>
        <w:tc>
          <w:tcPr>
            <w:tcW w:w="1257" w:type="dxa"/>
            <w:tcBorders>
              <w:top w:val="single" w:sz="4" w:space="0" w:color="000000"/>
              <w:left w:val="single" w:sz="4" w:space="0" w:color="000000"/>
              <w:bottom w:val="single" w:sz="4" w:space="0" w:color="000000"/>
              <w:right w:val="single" w:sz="4" w:space="0" w:color="000000"/>
            </w:tcBorders>
            <w:vAlign w:val="center"/>
          </w:tcPr>
          <w:p w14:paraId="26F6569A"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w:t>
            </w:r>
          </w:p>
        </w:tc>
      </w:tr>
      <w:tr w:rsidR="00165BED" w:rsidRPr="003E3F5D" w14:paraId="04C346B5"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6A61DA4B"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2021</w:t>
            </w:r>
          </w:p>
        </w:tc>
        <w:tc>
          <w:tcPr>
            <w:tcW w:w="1134" w:type="dxa"/>
            <w:tcBorders>
              <w:top w:val="single" w:sz="4" w:space="0" w:color="000000"/>
              <w:left w:val="single" w:sz="4" w:space="0" w:color="000000"/>
              <w:bottom w:val="single" w:sz="4" w:space="0" w:color="000000"/>
              <w:right w:val="single" w:sz="4" w:space="0" w:color="000000"/>
            </w:tcBorders>
            <w:vAlign w:val="center"/>
          </w:tcPr>
          <w:p w14:paraId="470067A8"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44.762</w:t>
            </w:r>
          </w:p>
        </w:tc>
        <w:tc>
          <w:tcPr>
            <w:tcW w:w="1147" w:type="dxa"/>
            <w:tcBorders>
              <w:top w:val="single" w:sz="4" w:space="0" w:color="000000"/>
              <w:left w:val="single" w:sz="4" w:space="0" w:color="000000"/>
              <w:bottom w:val="single" w:sz="4" w:space="0" w:color="000000"/>
              <w:right w:val="single" w:sz="4" w:space="0" w:color="000000"/>
            </w:tcBorders>
            <w:vAlign w:val="center"/>
          </w:tcPr>
          <w:p w14:paraId="75956DE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1.694</w:t>
            </w:r>
          </w:p>
        </w:tc>
        <w:tc>
          <w:tcPr>
            <w:tcW w:w="1588" w:type="dxa"/>
            <w:tcBorders>
              <w:top w:val="single" w:sz="4" w:space="0" w:color="000000"/>
              <w:left w:val="single" w:sz="4" w:space="0" w:color="000000"/>
              <w:bottom w:val="single" w:sz="4" w:space="0" w:color="000000"/>
              <w:right w:val="single" w:sz="4" w:space="0" w:color="000000"/>
            </w:tcBorders>
            <w:vAlign w:val="center"/>
          </w:tcPr>
          <w:p w14:paraId="00A5F08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3.206</w:t>
            </w:r>
          </w:p>
        </w:tc>
        <w:tc>
          <w:tcPr>
            <w:tcW w:w="1389" w:type="dxa"/>
            <w:tcBorders>
              <w:top w:val="single" w:sz="4" w:space="0" w:color="000000"/>
              <w:left w:val="single" w:sz="4" w:space="0" w:color="000000"/>
              <w:bottom w:val="single" w:sz="4" w:space="0" w:color="000000"/>
              <w:right w:val="single" w:sz="4" w:space="0" w:color="000000"/>
            </w:tcBorders>
            <w:vAlign w:val="center"/>
          </w:tcPr>
          <w:p w14:paraId="7909ABD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4.445</w:t>
            </w:r>
          </w:p>
        </w:tc>
        <w:tc>
          <w:tcPr>
            <w:tcW w:w="1134" w:type="dxa"/>
            <w:tcBorders>
              <w:top w:val="single" w:sz="4" w:space="0" w:color="000000"/>
              <w:left w:val="single" w:sz="4" w:space="0" w:color="000000"/>
              <w:bottom w:val="single" w:sz="4" w:space="0" w:color="000000"/>
              <w:right w:val="single" w:sz="4" w:space="0" w:color="000000"/>
            </w:tcBorders>
            <w:vAlign w:val="center"/>
          </w:tcPr>
          <w:p w14:paraId="0311F216"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54.107</w:t>
            </w:r>
          </w:p>
        </w:tc>
        <w:tc>
          <w:tcPr>
            <w:tcW w:w="1257" w:type="dxa"/>
            <w:tcBorders>
              <w:top w:val="single" w:sz="4" w:space="0" w:color="000000"/>
              <w:left w:val="single" w:sz="4" w:space="0" w:color="000000"/>
              <w:bottom w:val="single" w:sz="4" w:space="0" w:color="000000"/>
              <w:right w:val="single" w:sz="4" w:space="0" w:color="000000"/>
            </w:tcBorders>
            <w:vAlign w:val="center"/>
          </w:tcPr>
          <w:p w14:paraId="6280DDA1"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8%</w:t>
            </w:r>
          </w:p>
        </w:tc>
      </w:tr>
      <w:tr w:rsidR="00165BED" w:rsidRPr="003E3F5D" w14:paraId="069D6F51"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527C305F"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2022</w:t>
            </w:r>
          </w:p>
        </w:tc>
        <w:tc>
          <w:tcPr>
            <w:tcW w:w="1134" w:type="dxa"/>
            <w:tcBorders>
              <w:top w:val="single" w:sz="4" w:space="0" w:color="000000"/>
              <w:left w:val="single" w:sz="4" w:space="0" w:color="000000"/>
              <w:bottom w:val="single" w:sz="4" w:space="0" w:color="000000"/>
              <w:right w:val="single" w:sz="4" w:space="0" w:color="000000"/>
            </w:tcBorders>
            <w:vAlign w:val="center"/>
          </w:tcPr>
          <w:p w14:paraId="01588335"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45.979</w:t>
            </w:r>
          </w:p>
        </w:tc>
        <w:tc>
          <w:tcPr>
            <w:tcW w:w="1147" w:type="dxa"/>
            <w:tcBorders>
              <w:top w:val="single" w:sz="4" w:space="0" w:color="000000"/>
              <w:left w:val="single" w:sz="4" w:space="0" w:color="000000"/>
              <w:bottom w:val="single" w:sz="4" w:space="0" w:color="000000"/>
              <w:right w:val="single" w:sz="4" w:space="0" w:color="000000"/>
            </w:tcBorders>
            <w:vAlign w:val="center"/>
          </w:tcPr>
          <w:p w14:paraId="3BAE41CD"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2.067</w:t>
            </w:r>
          </w:p>
        </w:tc>
        <w:tc>
          <w:tcPr>
            <w:tcW w:w="1588" w:type="dxa"/>
            <w:tcBorders>
              <w:top w:val="single" w:sz="4" w:space="0" w:color="000000"/>
              <w:left w:val="single" w:sz="4" w:space="0" w:color="000000"/>
              <w:bottom w:val="single" w:sz="4" w:space="0" w:color="000000"/>
              <w:right w:val="single" w:sz="4" w:space="0" w:color="000000"/>
            </w:tcBorders>
            <w:vAlign w:val="center"/>
          </w:tcPr>
          <w:p w14:paraId="271F1C22"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3.627</w:t>
            </w:r>
          </w:p>
        </w:tc>
        <w:tc>
          <w:tcPr>
            <w:tcW w:w="1389" w:type="dxa"/>
            <w:tcBorders>
              <w:top w:val="single" w:sz="4" w:space="0" w:color="000000"/>
              <w:left w:val="single" w:sz="4" w:space="0" w:color="000000"/>
              <w:bottom w:val="single" w:sz="4" w:space="0" w:color="000000"/>
              <w:right w:val="single" w:sz="4" w:space="0" w:color="000000"/>
            </w:tcBorders>
            <w:vAlign w:val="center"/>
          </w:tcPr>
          <w:p w14:paraId="6F870E4E"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3.948</w:t>
            </w:r>
          </w:p>
        </w:tc>
        <w:tc>
          <w:tcPr>
            <w:tcW w:w="1134" w:type="dxa"/>
            <w:tcBorders>
              <w:top w:val="single" w:sz="4" w:space="0" w:color="000000"/>
              <w:left w:val="single" w:sz="4" w:space="0" w:color="000000"/>
              <w:bottom w:val="single" w:sz="4" w:space="0" w:color="000000"/>
              <w:right w:val="single" w:sz="4" w:space="0" w:color="000000"/>
            </w:tcBorders>
            <w:vAlign w:val="center"/>
          </w:tcPr>
          <w:p w14:paraId="2B3CAAE4"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55.621</w:t>
            </w:r>
          </w:p>
        </w:tc>
        <w:tc>
          <w:tcPr>
            <w:tcW w:w="1257" w:type="dxa"/>
            <w:tcBorders>
              <w:top w:val="single" w:sz="4" w:space="0" w:color="000000"/>
              <w:left w:val="single" w:sz="4" w:space="0" w:color="000000"/>
              <w:bottom w:val="single" w:sz="4" w:space="0" w:color="000000"/>
              <w:right w:val="single" w:sz="4" w:space="0" w:color="000000"/>
            </w:tcBorders>
            <w:vAlign w:val="center"/>
          </w:tcPr>
          <w:p w14:paraId="5174BDAD"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w:t>
            </w:r>
          </w:p>
        </w:tc>
      </w:tr>
      <w:tr w:rsidR="00165BED" w:rsidRPr="003E3F5D" w14:paraId="17AA0520"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60C42541"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2023</w:t>
            </w:r>
          </w:p>
        </w:tc>
        <w:tc>
          <w:tcPr>
            <w:tcW w:w="1134" w:type="dxa"/>
            <w:tcBorders>
              <w:top w:val="single" w:sz="4" w:space="0" w:color="000000"/>
              <w:left w:val="single" w:sz="4" w:space="0" w:color="000000"/>
              <w:bottom w:val="single" w:sz="4" w:space="0" w:color="000000"/>
              <w:right w:val="single" w:sz="4" w:space="0" w:color="000000"/>
            </w:tcBorders>
            <w:vAlign w:val="center"/>
          </w:tcPr>
          <w:p w14:paraId="5FD61C9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49.065</w:t>
            </w:r>
          </w:p>
        </w:tc>
        <w:tc>
          <w:tcPr>
            <w:tcW w:w="1147" w:type="dxa"/>
            <w:tcBorders>
              <w:top w:val="single" w:sz="4" w:space="0" w:color="000000"/>
              <w:left w:val="single" w:sz="4" w:space="0" w:color="000000"/>
              <w:bottom w:val="single" w:sz="4" w:space="0" w:color="000000"/>
              <w:right w:val="single" w:sz="4" w:space="0" w:color="000000"/>
            </w:tcBorders>
            <w:vAlign w:val="center"/>
          </w:tcPr>
          <w:p w14:paraId="34145906"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3.347</w:t>
            </w:r>
          </w:p>
        </w:tc>
        <w:tc>
          <w:tcPr>
            <w:tcW w:w="1588" w:type="dxa"/>
            <w:tcBorders>
              <w:top w:val="single" w:sz="4" w:space="0" w:color="000000"/>
              <w:left w:val="single" w:sz="4" w:space="0" w:color="000000"/>
              <w:bottom w:val="single" w:sz="4" w:space="0" w:color="000000"/>
              <w:right w:val="single" w:sz="4" w:space="0" w:color="000000"/>
            </w:tcBorders>
            <w:vAlign w:val="center"/>
          </w:tcPr>
          <w:p w14:paraId="0BA8188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4.215</w:t>
            </w:r>
          </w:p>
        </w:tc>
        <w:tc>
          <w:tcPr>
            <w:tcW w:w="1389" w:type="dxa"/>
            <w:tcBorders>
              <w:top w:val="single" w:sz="4" w:space="0" w:color="000000"/>
              <w:left w:val="single" w:sz="4" w:space="0" w:color="000000"/>
              <w:bottom w:val="single" w:sz="4" w:space="0" w:color="000000"/>
              <w:right w:val="single" w:sz="4" w:space="0" w:color="000000"/>
            </w:tcBorders>
            <w:vAlign w:val="center"/>
          </w:tcPr>
          <w:p w14:paraId="4AC24C69"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2.368</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A2FAA"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58.995</w:t>
            </w:r>
          </w:p>
        </w:tc>
        <w:tc>
          <w:tcPr>
            <w:tcW w:w="1257" w:type="dxa"/>
            <w:tcBorders>
              <w:top w:val="single" w:sz="4" w:space="0" w:color="000000"/>
              <w:left w:val="single" w:sz="4" w:space="0" w:color="000000"/>
              <w:bottom w:val="single" w:sz="4" w:space="0" w:color="000000"/>
              <w:right w:val="single" w:sz="4" w:space="0" w:color="000000"/>
            </w:tcBorders>
            <w:vAlign w:val="center"/>
          </w:tcPr>
          <w:p w14:paraId="0B03463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6%</w:t>
            </w:r>
          </w:p>
        </w:tc>
      </w:tr>
      <w:tr w:rsidR="00165BED" w:rsidRPr="003E3F5D" w14:paraId="6B62A1E5" w14:textId="77777777">
        <w:trPr>
          <w:trHeight w:val="300"/>
        </w:trPr>
        <w:tc>
          <w:tcPr>
            <w:tcW w:w="865" w:type="dxa"/>
            <w:tcBorders>
              <w:top w:val="single" w:sz="4" w:space="0" w:color="000000"/>
              <w:left w:val="single" w:sz="4" w:space="0" w:color="000000"/>
              <w:bottom w:val="single" w:sz="4" w:space="0" w:color="000000"/>
              <w:right w:val="single" w:sz="4" w:space="0" w:color="000000"/>
            </w:tcBorders>
            <w:vAlign w:val="center"/>
          </w:tcPr>
          <w:p w14:paraId="70935F3C"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2024</w:t>
            </w:r>
          </w:p>
        </w:tc>
        <w:tc>
          <w:tcPr>
            <w:tcW w:w="1134" w:type="dxa"/>
            <w:tcBorders>
              <w:top w:val="single" w:sz="4" w:space="0" w:color="000000"/>
              <w:left w:val="single" w:sz="4" w:space="0" w:color="000000"/>
              <w:bottom w:val="single" w:sz="4" w:space="0" w:color="000000"/>
              <w:right w:val="single" w:sz="4" w:space="0" w:color="000000"/>
            </w:tcBorders>
            <w:vAlign w:val="center"/>
          </w:tcPr>
          <w:p w14:paraId="60B96CFE"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51.445</w:t>
            </w:r>
          </w:p>
        </w:tc>
        <w:tc>
          <w:tcPr>
            <w:tcW w:w="1147" w:type="dxa"/>
            <w:tcBorders>
              <w:top w:val="single" w:sz="4" w:space="0" w:color="000000"/>
              <w:left w:val="single" w:sz="4" w:space="0" w:color="000000"/>
              <w:bottom w:val="single" w:sz="4" w:space="0" w:color="000000"/>
              <w:right w:val="single" w:sz="4" w:space="0" w:color="000000"/>
            </w:tcBorders>
            <w:vAlign w:val="center"/>
          </w:tcPr>
          <w:p w14:paraId="44973134"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3.759</w:t>
            </w:r>
          </w:p>
        </w:tc>
        <w:tc>
          <w:tcPr>
            <w:tcW w:w="1588" w:type="dxa"/>
            <w:tcBorders>
              <w:top w:val="single" w:sz="4" w:space="0" w:color="000000"/>
              <w:left w:val="single" w:sz="4" w:space="0" w:color="000000"/>
              <w:bottom w:val="single" w:sz="4" w:space="0" w:color="000000"/>
              <w:right w:val="single" w:sz="4" w:space="0" w:color="000000"/>
            </w:tcBorders>
            <w:vAlign w:val="center"/>
          </w:tcPr>
          <w:p w14:paraId="77476510"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4.292</w:t>
            </w:r>
          </w:p>
        </w:tc>
        <w:tc>
          <w:tcPr>
            <w:tcW w:w="1389" w:type="dxa"/>
            <w:tcBorders>
              <w:top w:val="single" w:sz="4" w:space="0" w:color="000000"/>
              <w:left w:val="single" w:sz="4" w:space="0" w:color="000000"/>
              <w:bottom w:val="single" w:sz="4" w:space="0" w:color="000000"/>
              <w:right w:val="single" w:sz="4" w:space="0" w:color="000000"/>
            </w:tcBorders>
            <w:vAlign w:val="center"/>
          </w:tcPr>
          <w:p w14:paraId="08FD1A77"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2.314</w:t>
            </w:r>
          </w:p>
        </w:tc>
        <w:tc>
          <w:tcPr>
            <w:tcW w:w="1134" w:type="dxa"/>
            <w:tcBorders>
              <w:top w:val="single" w:sz="4" w:space="0" w:color="000000"/>
              <w:left w:val="single" w:sz="4" w:space="0" w:color="000000"/>
              <w:bottom w:val="single" w:sz="4" w:space="0" w:color="000000"/>
              <w:right w:val="single" w:sz="4" w:space="0" w:color="000000"/>
            </w:tcBorders>
            <w:vAlign w:val="center"/>
          </w:tcPr>
          <w:p w14:paraId="70ED0040" w14:textId="77777777" w:rsidR="00165BED" w:rsidRPr="003E3F5D" w:rsidRDefault="009D4909" w:rsidP="003E3F5D">
            <w:pPr>
              <w:spacing w:before="120" w:after="0" w:line="240" w:lineRule="auto"/>
              <w:jc w:val="both"/>
              <w:rPr>
                <w:rFonts w:ascii="Calibri" w:eastAsia="Calibri" w:hAnsi="Calibri" w:cs="Calibri"/>
                <w:b/>
                <w:sz w:val="22"/>
                <w:szCs w:val="22"/>
              </w:rPr>
            </w:pPr>
            <w:r w:rsidRPr="003E3F5D">
              <w:rPr>
                <w:rFonts w:ascii="Calibri" w:eastAsia="Calibri" w:hAnsi="Calibri" w:cs="Calibri"/>
                <w:b/>
                <w:sz w:val="22"/>
                <w:szCs w:val="22"/>
              </w:rPr>
              <w:t>61.810</w:t>
            </w:r>
          </w:p>
        </w:tc>
        <w:tc>
          <w:tcPr>
            <w:tcW w:w="1257" w:type="dxa"/>
            <w:tcBorders>
              <w:top w:val="single" w:sz="4" w:space="0" w:color="000000"/>
              <w:left w:val="single" w:sz="4" w:space="0" w:color="000000"/>
              <w:bottom w:val="single" w:sz="4" w:space="0" w:color="000000"/>
              <w:right w:val="single" w:sz="4" w:space="0" w:color="000000"/>
            </w:tcBorders>
            <w:vAlign w:val="center"/>
          </w:tcPr>
          <w:p w14:paraId="4F2F79DB" w14:textId="77777777" w:rsidR="00165BED" w:rsidRPr="003E3F5D" w:rsidRDefault="009D4909" w:rsidP="003E3F5D">
            <w:pPr>
              <w:spacing w:before="120" w:after="0" w:line="240" w:lineRule="auto"/>
              <w:jc w:val="both"/>
              <w:rPr>
                <w:rFonts w:ascii="Calibri" w:eastAsia="Calibri" w:hAnsi="Calibri" w:cs="Calibri"/>
                <w:sz w:val="22"/>
                <w:szCs w:val="22"/>
              </w:rPr>
            </w:pPr>
            <w:r w:rsidRPr="003E3F5D">
              <w:rPr>
                <w:rFonts w:ascii="Calibri" w:eastAsia="Calibri" w:hAnsi="Calibri" w:cs="Calibri"/>
                <w:sz w:val="22"/>
                <w:szCs w:val="22"/>
              </w:rPr>
              <w:t>5%</w:t>
            </w:r>
          </w:p>
        </w:tc>
      </w:tr>
    </w:tbl>
    <w:p w14:paraId="41E9B824" w14:textId="77777777" w:rsidR="00165BED" w:rsidRPr="003E3F5D" w:rsidRDefault="009D4909" w:rsidP="003E3F5D">
      <w:pPr>
        <w:pBdr>
          <w:top w:val="nil"/>
          <w:left w:val="nil"/>
          <w:bottom w:val="nil"/>
          <w:right w:val="nil"/>
          <w:between w:val="nil"/>
        </w:pBdr>
        <w:spacing w:before="120" w:after="0"/>
        <w:ind w:left="1080"/>
        <w:jc w:val="both"/>
        <w:rPr>
          <w:rFonts w:ascii="Calibri" w:eastAsia="Calibri" w:hAnsi="Calibri" w:cs="Calibri"/>
          <w:color w:val="000000"/>
          <w:sz w:val="22"/>
          <w:szCs w:val="22"/>
        </w:rPr>
      </w:pPr>
      <w:r w:rsidRPr="003E3F5D">
        <w:rPr>
          <w:rFonts w:ascii="Calibri" w:eastAsia="Calibri" w:hAnsi="Calibri" w:cs="Calibri"/>
          <w:b/>
          <w:color w:val="000000"/>
          <w:sz w:val="22"/>
          <w:szCs w:val="22"/>
        </w:rPr>
        <w:t>Fuente:</w:t>
      </w:r>
      <w:r w:rsidRPr="003E3F5D">
        <w:rPr>
          <w:rFonts w:ascii="Calibri" w:eastAsia="Calibri" w:hAnsi="Calibri" w:cs="Calibri"/>
          <w:color w:val="000000"/>
          <w:sz w:val="22"/>
          <w:szCs w:val="22"/>
        </w:rPr>
        <w:t xml:space="preserve"> CPM en base a datos de los Ministerios de Justicia y de Seguridad de la provincia de Buenos Aires. </w:t>
      </w:r>
      <w:r w:rsidRPr="003E3F5D">
        <w:rPr>
          <w:rFonts w:ascii="Calibri" w:eastAsia="Calibri" w:hAnsi="Calibri" w:cs="Calibri"/>
          <w:b/>
          <w:color w:val="000000"/>
          <w:sz w:val="22"/>
          <w:szCs w:val="22"/>
        </w:rPr>
        <w:t>Nota:</w:t>
      </w:r>
      <w:r w:rsidRPr="003E3F5D">
        <w:rPr>
          <w:rFonts w:ascii="Calibri" w:eastAsia="Calibri" w:hAnsi="Calibri" w:cs="Calibri"/>
          <w:color w:val="000000"/>
          <w:sz w:val="22"/>
          <w:szCs w:val="22"/>
        </w:rPr>
        <w:t> los datos de cada año corresponden a diciembre.</w:t>
      </w:r>
    </w:p>
    <w:p w14:paraId="3E4A10EC" w14:textId="77777777" w:rsidR="00165BED" w:rsidRPr="003E3F5D" w:rsidRDefault="00165BED" w:rsidP="003E3F5D">
      <w:pPr>
        <w:spacing w:before="120" w:after="0"/>
        <w:jc w:val="both"/>
        <w:rPr>
          <w:rFonts w:ascii="Calibri" w:eastAsia="Calibri" w:hAnsi="Calibri" w:cs="Calibri"/>
          <w:sz w:val="22"/>
          <w:szCs w:val="22"/>
        </w:rPr>
      </w:pPr>
    </w:p>
    <w:p w14:paraId="3A781164"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Esto representó una tasa general de 340 cada 100.000 habitantes</w:t>
      </w:r>
      <w:r w:rsidRPr="003E3F5D">
        <w:rPr>
          <w:rFonts w:ascii="Calibri" w:eastAsia="Calibri" w:hAnsi="Calibri" w:cs="Calibri"/>
          <w:sz w:val="22"/>
          <w:szCs w:val="22"/>
          <w:vertAlign w:val="superscript"/>
        </w:rPr>
        <w:footnoteReference w:id="27"/>
      </w:r>
      <w:r w:rsidRPr="003E3F5D">
        <w:rPr>
          <w:rFonts w:ascii="Calibri" w:eastAsia="Calibri" w:hAnsi="Calibri" w:cs="Calibri"/>
          <w:sz w:val="22"/>
          <w:szCs w:val="22"/>
        </w:rPr>
        <w:t>, la más alta de la historia bonaerense y una de las más elevadas del país. Se calcula esta tasa general para compararla con otras jurisdicciones, pero el valor más adecuado surge de la tasa específica, quitando de la población base las personas menores de 18 años</w:t>
      </w:r>
      <w:r w:rsidRPr="003E3F5D">
        <w:rPr>
          <w:rFonts w:ascii="Calibri" w:eastAsia="Calibri" w:hAnsi="Calibri" w:cs="Calibri"/>
          <w:sz w:val="22"/>
          <w:szCs w:val="22"/>
          <w:vertAlign w:val="superscript"/>
        </w:rPr>
        <w:footnoteReference w:id="28"/>
      </w:r>
      <w:r w:rsidRPr="003E3F5D">
        <w:rPr>
          <w:rFonts w:ascii="Calibri" w:eastAsia="Calibri" w:hAnsi="Calibri" w:cs="Calibri"/>
          <w:sz w:val="22"/>
          <w:szCs w:val="22"/>
        </w:rPr>
        <w:t xml:space="preserve">. Así, el gobierno actual heredó una tasa específica de encarcelamiento de 415 personas detenidas cada 100.000 habitantes, y cinco años después ascendió a 472 (habiendo bajado a 399 en 2020). La tasa actual es 61% más alta que hace 10 años. </w:t>
      </w:r>
    </w:p>
    <w:p w14:paraId="2B3FF32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población detenida en cárceles y alcaidías mantuvo una tendencia creciente y regular durante 12 años, con un aumento muy notorio entre 2017 y 2019. En el nuevo siglo solamente tres años registraron una disminución (2006, 2007 y 2020): los primeros, como efecto del fallo Verbitsky de la CSJN en 2005, y 2020 por la disminución del delito en el contexto de la pandemia.</w:t>
      </w:r>
    </w:p>
    <w:p w14:paraId="4F5F35F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fallo Verbitsky dio inicio a un proceso institucional que durante estos 20 años generó diferentes mesas de trabajo en las órbitas de los poderes legislativo, ejecutivo y judicial;allí se abordaron estrategias para la resolución de la sobrepoblación y el hacinamiento, principalmente en comisarías pero también en cárceles, y diferentes aspectos del encierro como la atención de la salud, las muertes y situaciones de violencia. La decisión política de unificar los ministerios de Justicia y de Seguridad diseñ</w:t>
      </w:r>
      <w:r w:rsidRPr="003E3F5D">
        <w:rPr>
          <w:rFonts w:ascii="Calibri" w:eastAsia="Calibri" w:hAnsi="Calibri" w:cs="Calibri"/>
          <w:sz w:val="22"/>
          <w:szCs w:val="22"/>
        </w:rPr>
        <w:t xml:space="preserve">ando una política criminal única y no disociada (como en otros períodos y como en la actualidad, cuando estos ministerios están separados y cada uno desarrolla acciones sin coordinar con el otro) se completó con la reforma de la ley de ejecución penal 24.660 mediante la sanción de la ley 27.375/17, que modificó los pisos de penas a considerarse para las excarcelaciones. Desde 2005 se fueron sucediendo estas mesas de trabajo y discusión, en muchos momentos impulsadas por el dictado de medidas cautelares aún </w:t>
      </w:r>
      <w:r w:rsidRPr="003E3F5D">
        <w:rPr>
          <w:rFonts w:ascii="Calibri" w:eastAsia="Calibri" w:hAnsi="Calibri" w:cs="Calibri"/>
          <w:sz w:val="22"/>
          <w:szCs w:val="22"/>
        </w:rPr>
        <w:t>vigentes de la Comisión Interamericana de Derechos Humanos, que convocó a audiencias y reuniones de trabajo</w:t>
      </w:r>
      <w:r w:rsidRPr="003E3F5D">
        <w:rPr>
          <w:rFonts w:ascii="Calibri" w:eastAsia="Calibri" w:hAnsi="Calibri" w:cs="Calibri"/>
          <w:sz w:val="22"/>
          <w:szCs w:val="22"/>
          <w:vertAlign w:val="superscript"/>
        </w:rPr>
        <w:footnoteReference w:id="29"/>
      </w:r>
      <w:r w:rsidRPr="003E3F5D">
        <w:rPr>
          <w:rFonts w:ascii="Calibri" w:eastAsia="Calibri" w:hAnsi="Calibri" w:cs="Calibri"/>
          <w:sz w:val="22"/>
          <w:szCs w:val="22"/>
        </w:rPr>
        <w:t xml:space="preserve">. </w:t>
      </w:r>
    </w:p>
    <w:p w14:paraId="12A6440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Durante la pandemia, la decisión política del gobierno provincial y los fallos del Tribunal de Casación Penal presidido por Víctor Violini, que se sumaron a las directivas expresas y previas del entonces presidente de la Suprema Corte provincial Eduardo De Lazzari que requería a los jueces provinciales adecuar las resoluciones a los estándares del sistema interamericano de derechos humanos, lograron modificar esta tendencia creciente. Pero pasada la excepcionalidad, entre 2021 y 2024 la población carcelaria</w:t>
      </w:r>
      <w:r w:rsidRPr="003E3F5D">
        <w:rPr>
          <w:rFonts w:ascii="Calibri" w:eastAsia="Calibri" w:hAnsi="Calibri" w:cs="Calibri"/>
          <w:sz w:val="22"/>
          <w:szCs w:val="22"/>
        </w:rPr>
        <w:t xml:space="preserve"> creció nuevamente. </w:t>
      </w:r>
    </w:p>
    <w:p w14:paraId="0F8CD80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Dicho de otro modo: los ingresos al dispositivo carcelario siempre superan a los egresos. Entre 2015 y 2024, cada año ingresaron más de 19.200 personas y egresaron 16.500, dejando un saldo positivo de más de 2.600 por año (datos promedio y redondeados). Por cada 10 egresos hay 12 ingresos. El lento crecimiento de los egresos se vincula principalmente con las resoluciones de los juzgados de ejecución. El año 2024 dejó un saldo positivo de 3.152 personas. Respecto de 2023, aumentaron 7% los ingresos y 14% los</w:t>
      </w:r>
      <w:r w:rsidRPr="003E3F5D">
        <w:rPr>
          <w:rFonts w:ascii="Calibri" w:eastAsia="Calibri" w:hAnsi="Calibri" w:cs="Calibri"/>
          <w:sz w:val="22"/>
          <w:szCs w:val="22"/>
        </w:rPr>
        <w:t xml:space="preserve"> egresos</w:t>
      </w:r>
    </w:p>
    <w:p w14:paraId="294928D7" w14:textId="77777777" w:rsidR="00165BED" w:rsidRPr="003E3F5D" w:rsidRDefault="009D4909" w:rsidP="003E3F5D">
      <w:pPr>
        <w:pStyle w:val="Heading3"/>
        <w:jc w:val="both"/>
        <w:rPr>
          <w:rFonts w:ascii="Calibri" w:eastAsia="Calibri" w:hAnsi="Calibri" w:cs="Calibri"/>
          <w:sz w:val="22"/>
          <w:szCs w:val="22"/>
        </w:rPr>
      </w:pPr>
      <w:bookmarkStart w:id="27" w:name="_Toc211292071"/>
      <w:r w:rsidRPr="003E3F5D">
        <w:rPr>
          <w:rFonts w:ascii="Calibri" w:eastAsia="Calibri" w:hAnsi="Calibri" w:cs="Calibri"/>
          <w:sz w:val="22"/>
          <w:szCs w:val="22"/>
        </w:rPr>
        <w:t>Sobrepoblación</w:t>
      </w:r>
      <w:bookmarkEnd w:id="27"/>
    </w:p>
    <w:p w14:paraId="76B089D5"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Lejos de ser una cuestión técnica acerca de la capacidad y el funcionamiento de los lugares de encierro, la saturación del sistema constituye un problema histórico y político. La sobrepoblación es el resultado directo de una política criminal que sobre-encarcela. Estas políticas, sustentadas en la </w:t>
      </w:r>
      <w:r w:rsidRPr="003E3F5D">
        <w:rPr>
          <w:rFonts w:ascii="Calibri" w:eastAsia="Calibri" w:hAnsi="Calibri" w:cs="Calibri"/>
          <w:i/>
          <w:sz w:val="22"/>
          <w:szCs w:val="22"/>
        </w:rPr>
        <w:t>mano dura</w:t>
      </w:r>
      <w:r w:rsidRPr="003E3F5D">
        <w:rPr>
          <w:rFonts w:ascii="Calibri" w:eastAsia="Calibri" w:hAnsi="Calibri" w:cs="Calibri"/>
          <w:sz w:val="22"/>
          <w:szCs w:val="22"/>
        </w:rPr>
        <w:t xml:space="preserve"> como única solución al problema de la inseguridad, se despliegan en la Provincia desde la gestión del gobernador Carlos Ruckauf (1999) hasta la actualidad con escasas interrupciones que no alcanzaron a cambiar el rumbo.</w:t>
      </w:r>
    </w:p>
    <w:p w14:paraId="6DA4A663"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Frente a una capacidad de alojamiento relativamente estable, los niveles de sobrepoblación evolucionan en el mismo sentido que los niveles de población. En ese sentido, se pasó de una sobrepoblación de 278% en 2020 a 80% en 2024</w:t>
      </w:r>
      <w:r w:rsidRPr="003E3F5D">
        <w:rPr>
          <w:rFonts w:ascii="Calibri" w:eastAsia="Calibri" w:hAnsi="Calibri" w:cs="Calibri"/>
          <w:sz w:val="22"/>
          <w:szCs w:val="22"/>
          <w:vertAlign w:val="superscript"/>
        </w:rPr>
        <w:footnoteReference w:id="30"/>
      </w:r>
      <w:r w:rsidRPr="003E3F5D">
        <w:rPr>
          <w:rFonts w:ascii="Calibri" w:eastAsia="Calibri" w:hAnsi="Calibri" w:cs="Calibri"/>
          <w:sz w:val="22"/>
          <w:szCs w:val="22"/>
        </w:rPr>
        <w:t xml:space="preserve">. </w:t>
      </w:r>
    </w:p>
    <w:p w14:paraId="6090277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sistema carcelario, hasta fines de 2024, se componía de 57 cárceles, 15 alcaidías, una unidad-hospital y una unidad de tránsito, construidas entre 1877 y 2023. Se trata de 74 establecimientos con capacidad para alojar a 26.868 personas</w:t>
      </w:r>
      <w:r w:rsidRPr="003E3F5D">
        <w:rPr>
          <w:rFonts w:ascii="Calibri" w:eastAsia="Calibri" w:hAnsi="Calibri" w:cs="Calibri"/>
          <w:sz w:val="22"/>
          <w:szCs w:val="22"/>
          <w:vertAlign w:val="superscript"/>
        </w:rPr>
        <w:footnoteReference w:id="31"/>
      </w:r>
      <w:r w:rsidRPr="003E3F5D">
        <w:rPr>
          <w:rFonts w:ascii="Calibri" w:eastAsia="Calibri" w:hAnsi="Calibri" w:cs="Calibri"/>
          <w:sz w:val="22"/>
          <w:szCs w:val="22"/>
        </w:rPr>
        <w:t>. Considerando esa infraestructura, en diciembre de 2024 la sobrepoblación fue del 106%, lo cual implicó un incremento de 10 puntos porcentuales respecto al año anterior. Para un salto interanual mayor a este, hay que remitirse a 2017-2018 cuando varió de 92% a 113%</w:t>
      </w:r>
      <w:r w:rsidRPr="003E3F5D">
        <w:rPr>
          <w:rFonts w:ascii="Calibri" w:eastAsia="Calibri" w:hAnsi="Calibri" w:cs="Calibri"/>
          <w:sz w:val="22"/>
          <w:szCs w:val="22"/>
          <w:vertAlign w:val="superscript"/>
        </w:rPr>
        <w:footnoteReference w:id="32"/>
      </w:r>
      <w:r w:rsidRPr="003E3F5D">
        <w:rPr>
          <w:rFonts w:ascii="Calibri" w:eastAsia="Calibri" w:hAnsi="Calibri" w:cs="Calibri"/>
          <w:sz w:val="22"/>
          <w:szCs w:val="22"/>
        </w:rPr>
        <w:t>.</w:t>
      </w:r>
    </w:p>
    <w:p w14:paraId="1546D1A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Como hemos analizado en informes anteriores, las instancias de articulación institucional que podrían vehiculizar transformaciones progresivas —centralmente las mesas de trabajo en el marco de la causa Verbitsky ante la Suprema Corte de Justicia, de la causa sobre comisarías ante el Tribunal de Casación Penal o de las medidas cautelares en trámite ante la CIDH— nunca alcanzan definiciones efectivas y sostenibles en el tiempo, pese a coincidir en los diagnósticos. </w:t>
      </w:r>
    </w:p>
    <w:p w14:paraId="58E6C4B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Desde la reapertura de la causa Verbitsky en 2022, la única medida de la SCBA con carácter determinante fue la de crear una nueva estructura burocrática para el seguimiento del caso: la autoridad del programa de cumplimiento de sentencia (APCS) y el observatorio del programa de cumplimiento de sentencia (OPCS). La APCS, en coordinación con el Tribunal de Casación Penal, encabezó el objetivo de reducir la población detenida en comisarías alcanzando en 2024 la marca más baja desde 2015. </w:t>
      </w:r>
    </w:p>
    <w:p w14:paraId="2814BB4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Pese a esta disminución, se siguen relevando gravísimas condiciones de detención en comisarías: falta de acceso a la salud, alimentación nula o deficiente con casos de corrupción policial que implican no entregar alimentos registrados como entregados a las personas detenidas, muertes por enfermedad o suicidios no tratados o evitados. El alojamiento de personas enfermas o menores de edad son problemas que persisten. </w:t>
      </w:r>
    </w:p>
    <w:p w14:paraId="3E60773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Vale destacar además que la reducción de la población en comisarías se logra mediante el crecimiento de la población encarcelada en cárceles y alcaidías, lo que empeora todavía más la situación en estos espacios. Entre 2021-2024 las personas en comisarías disminuyeron 48%, mientras que en cárceles y alcaidías aumentaron 15% y 122% respectivamente. </w:t>
      </w:r>
    </w:p>
    <w:p w14:paraId="15CB5C1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forma que elige el poder judicial para intervenir en este problema estructural, además de diagnosticarlo, es impactar sobre el poder ejecutivo, o sólo con recomendaciones o exhortaciones sobre las decisiones jurisdiccionales de fiscalías y juzgados de garantías, que convalidan detenciones policiales y dictan prisiones preventivas sin fundamentos, o de juzgados de ejecución que retrasan sistemáticamente los egresos. No se ha modificado la escasa propensión a utilizar las alternativas al encierro para desc</w:t>
      </w:r>
      <w:r w:rsidRPr="003E3F5D">
        <w:rPr>
          <w:rFonts w:ascii="Calibri" w:eastAsia="Calibri" w:hAnsi="Calibri" w:cs="Calibri"/>
          <w:sz w:val="22"/>
          <w:szCs w:val="22"/>
        </w:rPr>
        <w:t>omprimir esta situación, siendo cada vez más las personas que egresan con la pena cumplida.</w:t>
      </w:r>
    </w:p>
    <w:p w14:paraId="3597CA2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Para consolidar el Estado de derecho y el sistema republicano de gobierno es necesario que la Suprema Corte adopte decisiones jurisdiccionales urgentes, categóricas, adecuadas y efectivas para desandar esta crisis humanitaria provocada por la política criminal de la provincia de Buenos Aires.</w:t>
      </w:r>
    </w:p>
    <w:p w14:paraId="1B32E2B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Todas las iniciativas de este nuevo programa se podrían comparar con una política de reducción de daños. Se trabaja sobre emergentes que en algunos temas y de manera positiva logran modificaciones pero distan de ser estructurales, y es poco probable que puedan sostenerse en el tiempo. Lo señalamos como positivo, ya que sin muchas de estas iniciativas la situación seguramente sería peor. No obstante debemos alertar que no se han abordado algunos de los problemas estructurales que la provocan, y eso constituy</w:t>
      </w:r>
      <w:r w:rsidRPr="003E3F5D">
        <w:rPr>
          <w:rFonts w:ascii="Calibri" w:eastAsia="Calibri" w:hAnsi="Calibri" w:cs="Calibri"/>
          <w:sz w:val="22"/>
          <w:szCs w:val="22"/>
        </w:rPr>
        <w:t>e un problema. De no hacerlo, más temprano que tarde la situación volverá a agravarse a un ritmo más acelerado.</w:t>
      </w:r>
    </w:p>
    <w:p w14:paraId="0A2FF78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Por su parte, el poder legislativo desertó en esta tarea al no constituir la comisión bicameral que debe abordar las necesarias y urgentes reformas procesales que hacen falta. Dicha comisión fue creada por la Legislatura provincial en 2022 mediante la ley 15.357 con el objetivo de “adecuar la legislación procesal penal en materia de prisión preventiva y excarcelación y demás alternativas o morigeraciones (…) y la legislación de ejecución penal y penitenciaria, a los estándares constitucionales e internacion</w:t>
      </w:r>
      <w:r w:rsidRPr="003E3F5D">
        <w:rPr>
          <w:rFonts w:ascii="Calibri" w:eastAsia="Calibri" w:hAnsi="Calibri" w:cs="Calibri"/>
          <w:sz w:val="22"/>
          <w:szCs w:val="22"/>
        </w:rPr>
        <w:t>ales”. Sin embargo, quedó desintegrada luego del recambio de legisladores a fines de 2023.</w:t>
      </w:r>
    </w:p>
    <w:p w14:paraId="6D369063" w14:textId="77777777" w:rsidR="00165BED" w:rsidRPr="003E3F5D" w:rsidRDefault="00165BED" w:rsidP="003E3F5D">
      <w:pPr>
        <w:jc w:val="both"/>
        <w:rPr>
          <w:rFonts w:ascii="Calibri" w:eastAsia="Calibri" w:hAnsi="Calibri" w:cs="Calibri"/>
          <w:sz w:val="22"/>
          <w:szCs w:val="22"/>
        </w:rPr>
      </w:pPr>
    </w:p>
    <w:p w14:paraId="614E0A38" w14:textId="77777777" w:rsidR="00165BED" w:rsidRPr="003E3F5D" w:rsidRDefault="00165BED" w:rsidP="003E3F5D">
      <w:pPr>
        <w:jc w:val="both"/>
        <w:rPr>
          <w:rFonts w:ascii="Calibri" w:eastAsia="Calibri" w:hAnsi="Calibri" w:cs="Calibri"/>
          <w:sz w:val="22"/>
          <w:szCs w:val="22"/>
        </w:rPr>
      </w:pPr>
    </w:p>
    <w:p w14:paraId="09EAE1AF" w14:textId="77777777" w:rsidR="00165BED" w:rsidRPr="003E3F5D" w:rsidRDefault="009D4909" w:rsidP="003E3F5D">
      <w:pPr>
        <w:pStyle w:val="Heading3"/>
        <w:jc w:val="both"/>
        <w:rPr>
          <w:rFonts w:ascii="Calibri" w:eastAsia="Calibri" w:hAnsi="Calibri" w:cs="Calibri"/>
          <w:sz w:val="22"/>
          <w:szCs w:val="22"/>
        </w:rPr>
      </w:pPr>
      <w:bookmarkStart w:id="28" w:name="_Toc211292072"/>
      <w:r w:rsidRPr="003E3F5D">
        <w:rPr>
          <w:rFonts w:ascii="Calibri" w:eastAsia="Calibri" w:hAnsi="Calibri" w:cs="Calibri"/>
          <w:sz w:val="22"/>
          <w:szCs w:val="22"/>
        </w:rPr>
        <w:t>La prisión preventiva como regla</w:t>
      </w:r>
      <w:bookmarkEnd w:id="28"/>
    </w:p>
    <w:p w14:paraId="12E0BA2A"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El sistema penal provincial se estructura sobre el uso generalizado de la prisión preventiva y del juicio abreviado, procesos judiciales que encarcelan personas inocentes y aceleran los tiempos de las sentencias condenatorias. Por un lado, a diciembre de 2024 sólo el 50% de las personas detenidas a cargo del SPB tenía condena firme</w:t>
      </w:r>
      <w:r w:rsidRPr="003E3F5D">
        <w:rPr>
          <w:rFonts w:ascii="Calibri" w:eastAsia="Calibri" w:hAnsi="Calibri" w:cs="Calibri"/>
          <w:sz w:val="22"/>
          <w:szCs w:val="22"/>
          <w:vertAlign w:val="superscript"/>
        </w:rPr>
        <w:footnoteReference w:id="33"/>
      </w:r>
      <w:r w:rsidRPr="003E3F5D">
        <w:rPr>
          <w:rFonts w:ascii="Calibri" w:eastAsia="Calibri" w:hAnsi="Calibri" w:cs="Calibri"/>
          <w:color w:val="000000"/>
          <w:sz w:val="22"/>
          <w:szCs w:val="22"/>
        </w:rPr>
        <w:t>.</w:t>
      </w:r>
    </w:p>
    <w:p w14:paraId="52528A97"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noProof/>
          <w:sz w:val="22"/>
          <w:szCs w:val="22"/>
        </w:rPr>
        <w:drawing>
          <wp:inline distT="0" distB="0" distL="0" distR="0" wp14:anchorId="05AF03EA" wp14:editId="2635CCB9">
            <wp:extent cx="4302125" cy="3191510"/>
            <wp:effectExtent l="0" t="0" r="0" b="0"/>
            <wp:docPr id="1087330679" name="image3.png" descr="C:\Users\pai\Downloads\Dashboard 2 (3).png"/>
            <wp:cNvGraphicFramePr/>
            <a:graphic xmlns:a="http://schemas.openxmlformats.org/drawingml/2006/main">
              <a:graphicData uri="http://schemas.openxmlformats.org/drawingml/2006/picture">
                <pic:pic xmlns:pic="http://schemas.openxmlformats.org/drawingml/2006/picture">
                  <pic:nvPicPr>
                    <pic:cNvPr id="0" name="image3.png" descr="C:\Users\pai\Downloads\Dashboard 2 (3).png"/>
                    <pic:cNvPicPr preferRelativeResize="0"/>
                  </pic:nvPicPr>
                  <pic:blipFill>
                    <a:blip r:embed="rId8"/>
                    <a:srcRect/>
                    <a:stretch>
                      <a:fillRect/>
                    </a:stretch>
                  </pic:blipFill>
                  <pic:spPr>
                    <a:xfrm>
                      <a:off x="0" y="0"/>
                      <a:ext cx="4302125" cy="3191510"/>
                    </a:xfrm>
                    <a:prstGeom prst="rect">
                      <a:avLst/>
                    </a:prstGeom>
                    <a:ln/>
                  </pic:spPr>
                </pic:pic>
              </a:graphicData>
            </a:graphic>
          </wp:inline>
        </w:drawing>
      </w:r>
    </w:p>
    <w:p w14:paraId="439B9893"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b/>
          <w:color w:val="000000"/>
          <w:sz w:val="22"/>
          <w:szCs w:val="22"/>
        </w:rPr>
        <w:t>Fuente:</w:t>
      </w:r>
      <w:r w:rsidRPr="003E3F5D">
        <w:rPr>
          <w:rFonts w:ascii="Calibri" w:eastAsia="Calibri" w:hAnsi="Calibri" w:cs="Calibri"/>
          <w:color w:val="000000"/>
          <w:sz w:val="22"/>
          <w:szCs w:val="22"/>
        </w:rPr>
        <w:t xml:space="preserve"> CPM en base a informes anuales del SNEEP (2002-2013) y a datos del Ministerio de Justicia de la provincia de Buenos Aires (2014-2024). </w:t>
      </w:r>
      <w:r w:rsidRPr="003E3F5D">
        <w:rPr>
          <w:rFonts w:ascii="Calibri" w:eastAsia="Calibri" w:hAnsi="Calibri" w:cs="Calibri"/>
          <w:b/>
          <w:color w:val="000000"/>
          <w:sz w:val="22"/>
          <w:szCs w:val="22"/>
        </w:rPr>
        <w:t>Nota:</w:t>
      </w:r>
      <w:r w:rsidRPr="003E3F5D">
        <w:rPr>
          <w:rFonts w:ascii="Calibri" w:eastAsia="Calibri" w:hAnsi="Calibri" w:cs="Calibri"/>
          <w:i/>
          <w:color w:val="000000"/>
          <w:sz w:val="22"/>
          <w:szCs w:val="22"/>
        </w:rPr>
        <w:t>condenadas</w:t>
      </w:r>
      <w:r w:rsidRPr="003E3F5D">
        <w:rPr>
          <w:rFonts w:ascii="Calibri" w:eastAsia="Calibri" w:hAnsi="Calibri" w:cs="Calibri"/>
          <w:color w:val="000000"/>
          <w:sz w:val="22"/>
          <w:szCs w:val="22"/>
        </w:rPr>
        <w:t xml:space="preserve"> refiere a personas con condena firme, y </w:t>
      </w:r>
      <w:r w:rsidRPr="003E3F5D">
        <w:rPr>
          <w:rFonts w:ascii="Calibri" w:eastAsia="Calibri" w:hAnsi="Calibri" w:cs="Calibri"/>
          <w:i/>
          <w:color w:val="000000"/>
          <w:sz w:val="22"/>
          <w:szCs w:val="22"/>
        </w:rPr>
        <w:t>procesadas</w:t>
      </w:r>
      <w:r w:rsidRPr="003E3F5D">
        <w:rPr>
          <w:rFonts w:ascii="Calibri" w:eastAsia="Calibri" w:hAnsi="Calibri" w:cs="Calibri"/>
          <w:color w:val="000000"/>
          <w:sz w:val="22"/>
          <w:szCs w:val="22"/>
        </w:rPr>
        <w:t xml:space="preserve"> a personas con condena no firme o sin condena. Para simplificar el gráfico no se incluyen personas sobreseídas o sin prisión preventiva, que representan una porción no significativa. Los datos corresponden a diciembre de cada año.</w:t>
      </w:r>
    </w:p>
    <w:p w14:paraId="43391173" w14:textId="77777777" w:rsidR="00165BED" w:rsidRPr="003E3F5D" w:rsidRDefault="00165BED" w:rsidP="003E3F5D">
      <w:pPr>
        <w:spacing w:before="120" w:after="0"/>
        <w:jc w:val="both"/>
        <w:rPr>
          <w:rFonts w:ascii="Calibri" w:eastAsia="Calibri" w:hAnsi="Calibri" w:cs="Calibri"/>
          <w:color w:val="000000"/>
          <w:sz w:val="22"/>
          <w:szCs w:val="22"/>
        </w:rPr>
      </w:pPr>
    </w:p>
    <w:p w14:paraId="7F5F3EA4"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La tendencia a una leve disminución proporcional de personas procesadas es producto de una aceleración de las condenas por incremento del juicio abreviado y no de una disminución en el uso de la prisión preventiva, que siguió aumentando en términos absolutos:</w:t>
      </w:r>
    </w:p>
    <w:p w14:paraId="03F31FEE"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El uso extendido de la prisión preventiva se profundiza al analizar la situación procesal según el género de las personas detenidas, ya que tiene un impacto diferenciado en las mujeres y personas trans detenidas. Al finalizar el 2024, el 61% de las personas trans y el 55% de las mujeres estaba detenida en calidad de procesadas, mientras los varones lo estaban en un 48%</w:t>
      </w:r>
    </w:p>
    <w:p w14:paraId="211C94CD"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 xml:space="preserve">Durante </w:t>
      </w:r>
      <w:r w:rsidRPr="003E3F5D">
        <w:rPr>
          <w:rFonts w:ascii="Calibri" w:eastAsia="Calibri" w:hAnsi="Calibri" w:cs="Calibri"/>
          <w:sz w:val="22"/>
          <w:szCs w:val="22"/>
        </w:rPr>
        <w:t>2024</w:t>
      </w:r>
      <w:r w:rsidRPr="003E3F5D">
        <w:rPr>
          <w:rFonts w:ascii="Calibri" w:eastAsia="Calibri" w:hAnsi="Calibri" w:cs="Calibri"/>
          <w:color w:val="000000"/>
          <w:sz w:val="22"/>
          <w:szCs w:val="22"/>
        </w:rPr>
        <w:t xml:space="preserve"> se dictaron </w:t>
      </w:r>
      <w:r w:rsidRPr="003E3F5D">
        <w:rPr>
          <w:rFonts w:ascii="Calibri" w:eastAsia="Calibri" w:hAnsi="Calibri" w:cs="Calibri"/>
          <w:sz w:val="22"/>
          <w:szCs w:val="22"/>
        </w:rPr>
        <w:t>21.164</w:t>
      </w:r>
      <w:r w:rsidRPr="003E3F5D">
        <w:rPr>
          <w:rFonts w:ascii="Calibri" w:eastAsia="Calibri" w:hAnsi="Calibri" w:cs="Calibri"/>
          <w:color w:val="000000"/>
          <w:sz w:val="22"/>
          <w:szCs w:val="22"/>
        </w:rPr>
        <w:t xml:space="preserve"> prisiones preventivas, lo que representa un aumento del </w:t>
      </w:r>
      <w:r w:rsidRPr="003E3F5D">
        <w:rPr>
          <w:rFonts w:ascii="Calibri" w:eastAsia="Calibri" w:hAnsi="Calibri" w:cs="Calibri"/>
          <w:sz w:val="22"/>
          <w:szCs w:val="22"/>
        </w:rPr>
        <w:t>7</w:t>
      </w:r>
      <w:r w:rsidRPr="003E3F5D">
        <w:rPr>
          <w:rFonts w:ascii="Calibri" w:eastAsia="Calibri" w:hAnsi="Calibri" w:cs="Calibri"/>
          <w:color w:val="000000"/>
          <w:sz w:val="22"/>
          <w:szCs w:val="22"/>
        </w:rPr>
        <w:t>% respecto a 202</w:t>
      </w:r>
      <w:r w:rsidRPr="003E3F5D">
        <w:rPr>
          <w:rFonts w:ascii="Calibri" w:eastAsia="Calibri" w:hAnsi="Calibri" w:cs="Calibri"/>
          <w:sz w:val="22"/>
          <w:szCs w:val="22"/>
        </w:rPr>
        <w:t>3</w:t>
      </w:r>
      <w:r w:rsidRPr="003E3F5D">
        <w:rPr>
          <w:rFonts w:ascii="Calibri" w:eastAsia="Calibri" w:hAnsi="Calibri" w:cs="Calibri"/>
          <w:color w:val="000000"/>
          <w:sz w:val="22"/>
          <w:szCs w:val="22"/>
        </w:rPr>
        <w:t>.</w:t>
      </w:r>
      <w:r w:rsidRPr="003E3F5D">
        <w:rPr>
          <w:rFonts w:ascii="Calibri" w:eastAsia="Calibri" w:hAnsi="Calibri" w:cs="Calibri"/>
          <w:color w:val="000000"/>
          <w:sz w:val="22"/>
          <w:szCs w:val="22"/>
          <w:vertAlign w:val="superscript"/>
        </w:rPr>
        <w:footnoteReference w:id="34"/>
      </w:r>
      <w:r w:rsidRPr="003E3F5D">
        <w:rPr>
          <w:rFonts w:ascii="Calibri" w:eastAsia="Calibri" w:hAnsi="Calibri" w:cs="Calibri"/>
          <w:color w:val="000000"/>
          <w:sz w:val="22"/>
          <w:szCs w:val="22"/>
        </w:rPr>
        <w:t xml:space="preserve"> </w:t>
      </w:r>
    </w:p>
    <w:p w14:paraId="60853DCF"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 xml:space="preserve">Al menos desde 2012, más de un tercio de las privaciones de libertad se convirtieron en prisiones preventivas. Desde 2020 se observa un salto de esta proporción, </w:t>
      </w:r>
      <w:r w:rsidRPr="003E3F5D">
        <w:rPr>
          <w:rFonts w:ascii="Calibri" w:eastAsia="Calibri" w:hAnsi="Calibri" w:cs="Calibri"/>
          <w:sz w:val="22"/>
          <w:szCs w:val="22"/>
        </w:rPr>
        <w:t>que se ha mantenido desde entonces.</w:t>
      </w:r>
      <w:r w:rsidRPr="003E3F5D">
        <w:rPr>
          <w:rFonts w:ascii="Calibri" w:eastAsia="Calibri" w:hAnsi="Calibri" w:cs="Calibri"/>
          <w:color w:val="000000"/>
          <w:sz w:val="22"/>
          <w:szCs w:val="22"/>
        </w:rPr>
        <w:t xml:space="preserve"> </w:t>
      </w:r>
    </w:p>
    <w:p w14:paraId="72A11705"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Según datos del RUD para 202</w:t>
      </w:r>
      <w:r w:rsidRPr="003E3F5D">
        <w:rPr>
          <w:rFonts w:ascii="Calibri" w:eastAsia="Calibri" w:hAnsi="Calibri" w:cs="Calibri"/>
          <w:sz w:val="22"/>
          <w:szCs w:val="22"/>
        </w:rPr>
        <w:t>4</w:t>
      </w:r>
      <w:r w:rsidRPr="003E3F5D">
        <w:rPr>
          <w:rFonts w:ascii="Calibri" w:eastAsia="Calibri" w:hAnsi="Calibri" w:cs="Calibri"/>
          <w:color w:val="000000"/>
          <w:sz w:val="22"/>
          <w:szCs w:val="22"/>
        </w:rPr>
        <w:t xml:space="preserve">, en promedio las personas pasaron detenidas </w:t>
      </w:r>
      <w:r w:rsidRPr="003E3F5D">
        <w:rPr>
          <w:rFonts w:ascii="Calibri" w:eastAsia="Calibri" w:hAnsi="Calibri" w:cs="Calibri"/>
          <w:sz w:val="22"/>
          <w:szCs w:val="22"/>
        </w:rPr>
        <w:t>444</w:t>
      </w:r>
      <w:r w:rsidRPr="003E3F5D">
        <w:rPr>
          <w:rFonts w:ascii="Calibri" w:eastAsia="Calibri" w:hAnsi="Calibri" w:cs="Calibri"/>
          <w:color w:val="000000"/>
          <w:sz w:val="22"/>
          <w:szCs w:val="22"/>
        </w:rPr>
        <w:t xml:space="preserve"> días hasta la sentencia de primera instancia, sin contar el tiempo hasta la sentencia firme, período durante el cual aún se las considera legalmente inocentes</w:t>
      </w:r>
      <w:r w:rsidRPr="003E3F5D">
        <w:rPr>
          <w:rFonts w:ascii="Calibri" w:eastAsia="Calibri" w:hAnsi="Calibri" w:cs="Calibri"/>
          <w:color w:val="000000"/>
          <w:sz w:val="22"/>
          <w:szCs w:val="22"/>
          <w:vertAlign w:val="superscript"/>
        </w:rPr>
        <w:footnoteReference w:id="35"/>
      </w:r>
      <w:r w:rsidRPr="003E3F5D">
        <w:rPr>
          <w:rFonts w:ascii="Calibri" w:eastAsia="Calibri" w:hAnsi="Calibri" w:cs="Calibri"/>
          <w:color w:val="000000"/>
          <w:sz w:val="22"/>
          <w:szCs w:val="22"/>
        </w:rPr>
        <w:t xml:space="preserve">. Este indicador ha aumentado de manera ininterrumpida desde 2013 y con mayor notoriedad desde 2021, dando cuenta de la responsabilidad del poder judicial en el aumento de la prisionización, como se indica más adelante. </w:t>
      </w:r>
    </w:p>
    <w:p w14:paraId="28FD1F71"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A modo de referencia, vale la pena comparar las prisiones preventivas concedidas (por juzgados de garantías) con las preventivas denegadas y con las alternativas a la preventiva (arts. 159 y 160 CPP). De esta comparación surge que en 2023 por cada 1 denegada y 1 alternativa, se concedieron 47 preventivas</w:t>
      </w:r>
    </w:p>
    <w:p w14:paraId="11ABF903"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 xml:space="preserve">Ello viene acompañado de la conversión en regla del juicio abreviado: un instituto que reduce el tiempo entre la detención y la condena, y afecta las garantías del debido proceso al constituirse en un acuerdo </w:t>
      </w:r>
      <w:r w:rsidRPr="003E3F5D">
        <w:rPr>
          <w:rFonts w:ascii="Calibri" w:eastAsia="Calibri" w:hAnsi="Calibri" w:cs="Calibri"/>
          <w:i/>
          <w:color w:val="000000"/>
          <w:sz w:val="22"/>
          <w:szCs w:val="22"/>
        </w:rPr>
        <w:t>extorsivo</w:t>
      </w:r>
      <w:r w:rsidRPr="003E3F5D">
        <w:rPr>
          <w:rFonts w:ascii="Calibri" w:eastAsia="Calibri" w:hAnsi="Calibri" w:cs="Calibri"/>
          <w:color w:val="000000"/>
          <w:sz w:val="22"/>
          <w:szCs w:val="22"/>
        </w:rPr>
        <w:t xml:space="preserve"> tendiente a una rápida condena en detrimento del juicio oral y público. Este mecanismo, que implica un acuerdo entre fiscal y defensor/a, se despliega en un sistema judicial que </w:t>
      </w:r>
      <w:r w:rsidRPr="003E3F5D">
        <w:rPr>
          <w:rFonts w:ascii="Calibri" w:eastAsia="Calibri" w:hAnsi="Calibri" w:cs="Calibri"/>
          <w:sz w:val="22"/>
          <w:szCs w:val="22"/>
        </w:rPr>
        <w:t>destina el</w:t>
      </w:r>
      <w:r w:rsidRPr="003E3F5D">
        <w:rPr>
          <w:rFonts w:ascii="Calibri" w:eastAsia="Calibri" w:hAnsi="Calibri" w:cs="Calibri"/>
          <w:color w:val="000000"/>
          <w:sz w:val="22"/>
          <w:szCs w:val="22"/>
        </w:rPr>
        <w:t xml:space="preserve"> doble de personas para acusar (520 agentes fiscales) que para defender (253 defensoras/es), y que cuenta con un/a defensor/a oficial cada 242 personas detenidas</w:t>
      </w:r>
      <w:r w:rsidRPr="003E3F5D">
        <w:rPr>
          <w:rFonts w:ascii="Calibri" w:eastAsia="Calibri" w:hAnsi="Calibri" w:cs="Calibri"/>
          <w:color w:val="000000"/>
          <w:sz w:val="22"/>
          <w:szCs w:val="22"/>
          <w:vertAlign w:val="superscript"/>
        </w:rPr>
        <w:footnoteReference w:id="36"/>
      </w:r>
      <w:r w:rsidRPr="003E3F5D">
        <w:rPr>
          <w:rFonts w:ascii="Calibri" w:eastAsia="Calibri" w:hAnsi="Calibri" w:cs="Calibri"/>
          <w:color w:val="000000"/>
          <w:sz w:val="22"/>
          <w:szCs w:val="22"/>
        </w:rPr>
        <w:t xml:space="preserve">. </w:t>
      </w:r>
    </w:p>
    <w:p w14:paraId="0D7C9C18"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Entre 2013-2024 las condenas por juicio abreviado aumentaron un 159% y las condenas por juicio oral se redujeron un 22%, como muestra el siguiente gráfico. El incremento global de sentencias judiciales se explica exclusivamente por la proliferación de condenas abreviadas</w:t>
      </w:r>
      <w:r w:rsidRPr="003E3F5D">
        <w:rPr>
          <w:rFonts w:ascii="Calibri" w:eastAsia="Calibri" w:hAnsi="Calibri" w:cs="Calibri"/>
          <w:color w:val="000000"/>
          <w:sz w:val="22"/>
          <w:szCs w:val="22"/>
          <w:vertAlign w:val="superscript"/>
        </w:rPr>
        <w:footnoteReference w:id="37"/>
      </w:r>
      <w:r w:rsidRPr="003E3F5D">
        <w:rPr>
          <w:rFonts w:ascii="Calibri" w:eastAsia="Calibri" w:hAnsi="Calibri" w:cs="Calibri"/>
          <w:color w:val="000000"/>
          <w:sz w:val="22"/>
          <w:szCs w:val="22"/>
        </w:rPr>
        <w:t>.</w:t>
      </w:r>
    </w:p>
    <w:p w14:paraId="007CFA72" w14:textId="77777777" w:rsidR="00165BED" w:rsidRPr="003E3F5D" w:rsidRDefault="009D4909" w:rsidP="003E3F5D">
      <w:pPr>
        <w:spacing w:before="120" w:after="0"/>
        <w:jc w:val="both"/>
        <w:rPr>
          <w:rFonts w:ascii="Calibri" w:eastAsia="Calibri" w:hAnsi="Calibri" w:cs="Calibri"/>
          <w:b/>
          <w:color w:val="000000"/>
          <w:sz w:val="22"/>
          <w:szCs w:val="22"/>
        </w:rPr>
      </w:pPr>
      <w:r w:rsidRPr="003E3F5D">
        <w:rPr>
          <w:rFonts w:ascii="Calibri" w:eastAsia="Calibri" w:hAnsi="Calibri" w:cs="Calibri"/>
          <w:color w:val="000000"/>
          <w:sz w:val="22"/>
          <w:szCs w:val="22"/>
        </w:rPr>
        <w:t>Tomando todo el período, 8,5 de cada 10 condenas se dictaron por juicio abreviado. En esta expansión juega un rol importante la defensa oficial: entre 2016-2022 requirió 68.134</w:t>
      </w:r>
      <w:r w:rsidRPr="003E3F5D">
        <w:rPr>
          <w:rFonts w:ascii="Calibri" w:eastAsia="Calibri" w:hAnsi="Calibri" w:cs="Calibri"/>
          <w:color w:val="000000"/>
          <w:sz w:val="22"/>
          <w:szCs w:val="22"/>
          <w:vertAlign w:val="superscript"/>
        </w:rPr>
        <w:footnoteReference w:id="38"/>
      </w:r>
      <w:r w:rsidRPr="003E3F5D">
        <w:rPr>
          <w:rFonts w:ascii="Calibri" w:eastAsia="Calibri" w:hAnsi="Calibri" w:cs="Calibri"/>
          <w:color w:val="000000"/>
          <w:sz w:val="22"/>
          <w:szCs w:val="22"/>
        </w:rPr>
        <w:t xml:space="preserve"> procesos abreviados, el 55% de los sustanciados en el período (123.088). </w:t>
      </w:r>
    </w:p>
    <w:p w14:paraId="55A0A3F5"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 xml:space="preserve">La prisión preventiva y el juicio abreviado son las herramientas jurídicas principales en el sostenimiento de la política de encierro. Pero al incremento y automaticidad de los ingresos se suma otro problema en el extremo opuesto del proceso penal: la retención también automática determinada tanto por condicionantes legales como por prácticas judiciales. </w:t>
      </w:r>
    </w:p>
    <w:p w14:paraId="0EBEBEDB"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b/>
          <w:color w:val="000000"/>
          <w:sz w:val="22"/>
          <w:szCs w:val="22"/>
        </w:rPr>
        <w:t>El poder judicial aplica excepcionalmente medidas alternativas al encierro</w:t>
      </w:r>
      <w:r w:rsidRPr="003E3F5D">
        <w:rPr>
          <w:rFonts w:ascii="Calibri" w:eastAsia="Calibri" w:hAnsi="Calibri" w:cs="Calibri"/>
          <w:color w:val="000000"/>
          <w:sz w:val="22"/>
          <w:szCs w:val="22"/>
        </w:rPr>
        <w:t xml:space="preserve"> desconociendo las reglas de Tokio y otras recomendaciones internacionales y locales</w:t>
      </w:r>
      <w:r w:rsidRPr="003E3F5D">
        <w:rPr>
          <w:rFonts w:ascii="Calibri" w:eastAsia="Calibri" w:hAnsi="Calibri" w:cs="Calibri"/>
          <w:color w:val="000000"/>
          <w:sz w:val="22"/>
          <w:szCs w:val="22"/>
          <w:vertAlign w:val="superscript"/>
        </w:rPr>
        <w:footnoteReference w:id="39"/>
      </w:r>
      <w:r w:rsidRPr="003E3F5D">
        <w:rPr>
          <w:rFonts w:ascii="Calibri" w:eastAsia="Calibri" w:hAnsi="Calibri" w:cs="Calibri"/>
          <w:color w:val="000000"/>
          <w:sz w:val="22"/>
          <w:szCs w:val="22"/>
        </w:rPr>
        <w:t>. Entre 2014</w:t>
      </w:r>
      <w:r w:rsidRPr="003E3F5D">
        <w:rPr>
          <w:rFonts w:ascii="Calibri" w:eastAsia="Calibri" w:hAnsi="Calibri" w:cs="Calibri"/>
          <w:sz w:val="22"/>
          <w:szCs w:val="22"/>
        </w:rPr>
        <w:t xml:space="preserve">-2024 </w:t>
      </w:r>
      <w:r w:rsidRPr="003E3F5D">
        <w:rPr>
          <w:rFonts w:ascii="Calibri" w:eastAsia="Calibri" w:hAnsi="Calibri" w:cs="Calibri"/>
          <w:color w:val="000000"/>
          <w:sz w:val="22"/>
          <w:szCs w:val="22"/>
        </w:rPr>
        <w:t xml:space="preserve">aumentó un </w:t>
      </w:r>
      <w:r w:rsidRPr="003E3F5D">
        <w:rPr>
          <w:rFonts w:ascii="Calibri" w:eastAsia="Calibri" w:hAnsi="Calibri" w:cs="Calibri"/>
          <w:sz w:val="22"/>
          <w:szCs w:val="22"/>
        </w:rPr>
        <w:t>177</w:t>
      </w:r>
      <w:r w:rsidRPr="003E3F5D">
        <w:rPr>
          <w:rFonts w:ascii="Calibri" w:eastAsia="Calibri" w:hAnsi="Calibri" w:cs="Calibri"/>
          <w:color w:val="000000"/>
          <w:sz w:val="22"/>
          <w:szCs w:val="22"/>
        </w:rPr>
        <w:t xml:space="preserve">% la cantidad de personas detenidas con arresto o prisión domiciliaria (de 1.823 a </w:t>
      </w:r>
      <w:r w:rsidRPr="003E3F5D">
        <w:rPr>
          <w:rFonts w:ascii="Calibri" w:eastAsia="Calibri" w:hAnsi="Calibri" w:cs="Calibri"/>
          <w:sz w:val="22"/>
          <w:szCs w:val="22"/>
        </w:rPr>
        <w:t>5.052</w:t>
      </w:r>
      <w:r w:rsidRPr="003E3F5D">
        <w:rPr>
          <w:rFonts w:ascii="Calibri" w:eastAsia="Calibri" w:hAnsi="Calibri" w:cs="Calibri"/>
          <w:color w:val="000000"/>
          <w:sz w:val="22"/>
          <w:szCs w:val="22"/>
        </w:rPr>
        <w:t>), aunque esto no modifica la situación estructural ya que cada año representa entre el 5% y el 8% del total de personas detenidas</w:t>
      </w:r>
      <w:r w:rsidRPr="003E3F5D">
        <w:rPr>
          <w:rFonts w:ascii="Calibri" w:eastAsia="Calibri" w:hAnsi="Calibri" w:cs="Calibri"/>
          <w:color w:val="000000"/>
          <w:sz w:val="22"/>
          <w:szCs w:val="22"/>
          <w:vertAlign w:val="superscript"/>
        </w:rPr>
        <w:footnoteReference w:id="40"/>
      </w:r>
      <w:r w:rsidRPr="003E3F5D">
        <w:rPr>
          <w:rFonts w:ascii="Calibri" w:eastAsia="Calibri" w:hAnsi="Calibri" w:cs="Calibri"/>
          <w:color w:val="000000"/>
          <w:sz w:val="22"/>
          <w:szCs w:val="22"/>
        </w:rPr>
        <w:t xml:space="preserve">. </w:t>
      </w:r>
    </w:p>
    <w:p w14:paraId="46AC9620"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La baja incidencia de las prisiones domiciliarias en la etapa de ejecución, coincide con el dato de resoluciones de los JEP: entre 2017-2024 el 83% de las resoluciones sobre prisión domiciliaria fueron denegatorias y el 17% concesiones.</w:t>
      </w:r>
    </w:p>
    <w:p w14:paraId="660816CD"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color w:val="000000"/>
          <w:sz w:val="22"/>
          <w:szCs w:val="22"/>
        </w:rPr>
        <w:t>Asimismo, en dicho período fueron negativas 8 de cada 10 resoluciones de libertad condicional, 7,5 cada 10 resoluciones de libertad asistida y 8 cada 10 de salidas transitorias</w:t>
      </w:r>
      <w:r w:rsidRPr="003E3F5D">
        <w:rPr>
          <w:rFonts w:ascii="Calibri" w:eastAsia="Calibri" w:hAnsi="Calibri" w:cs="Calibri"/>
          <w:color w:val="000000"/>
          <w:sz w:val="22"/>
          <w:szCs w:val="22"/>
          <w:vertAlign w:val="superscript"/>
        </w:rPr>
        <w:footnoteReference w:id="41"/>
      </w:r>
      <w:r w:rsidRPr="003E3F5D">
        <w:rPr>
          <w:rFonts w:ascii="Calibri" w:eastAsia="Calibri" w:hAnsi="Calibri" w:cs="Calibri"/>
          <w:color w:val="000000"/>
          <w:sz w:val="22"/>
          <w:szCs w:val="22"/>
        </w:rPr>
        <w:t>.</w:t>
      </w:r>
    </w:p>
    <w:p w14:paraId="5F5F93C2" w14:textId="77777777" w:rsidR="00165BED" w:rsidRPr="003E3F5D" w:rsidRDefault="00165BED" w:rsidP="003E3F5D">
      <w:pPr>
        <w:jc w:val="both"/>
        <w:rPr>
          <w:rFonts w:ascii="Calibri" w:eastAsia="Calibri" w:hAnsi="Calibri" w:cs="Calibri"/>
          <w:sz w:val="22"/>
          <w:szCs w:val="22"/>
        </w:rPr>
      </w:pPr>
    </w:p>
    <w:p w14:paraId="70B458C8" w14:textId="77777777" w:rsidR="00165BED" w:rsidRPr="003E3F5D" w:rsidRDefault="009D4909" w:rsidP="003E3F5D">
      <w:pPr>
        <w:pStyle w:val="Heading2"/>
        <w:jc w:val="both"/>
        <w:rPr>
          <w:rFonts w:ascii="Calibri" w:eastAsia="Calibri" w:hAnsi="Calibri" w:cs="Calibri"/>
          <w:sz w:val="22"/>
          <w:szCs w:val="22"/>
        </w:rPr>
      </w:pPr>
      <w:bookmarkStart w:id="29" w:name="_Toc211292073"/>
      <w:r w:rsidRPr="003E3F5D">
        <w:rPr>
          <w:rFonts w:ascii="Calibri" w:eastAsia="Calibri" w:hAnsi="Calibri" w:cs="Calibri"/>
          <w:sz w:val="22"/>
          <w:szCs w:val="22"/>
        </w:rPr>
        <w:t>Tortura Penitenciaria</w:t>
      </w:r>
      <w:bookmarkEnd w:id="29"/>
    </w:p>
    <w:p w14:paraId="51BEF2A8"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Durante 2024 los equipos de este MLPT realizaron </w:t>
      </w:r>
      <w:r w:rsidRPr="003E3F5D">
        <w:rPr>
          <w:rFonts w:ascii="Calibri" w:eastAsia="Calibri" w:hAnsi="Calibri" w:cs="Calibri"/>
          <w:b/>
          <w:sz w:val="22"/>
          <w:szCs w:val="22"/>
        </w:rPr>
        <w:t>45.414 entrevistas</w:t>
      </w:r>
      <w:r w:rsidRPr="003E3F5D">
        <w:rPr>
          <w:rFonts w:ascii="Calibri" w:eastAsia="Calibri" w:hAnsi="Calibri" w:cs="Calibri"/>
          <w:sz w:val="22"/>
          <w:szCs w:val="22"/>
        </w:rPr>
        <w:t xml:space="preserve"> o comunicaciones referidas a personas detenidas en </w:t>
      </w:r>
      <w:r w:rsidRPr="003E3F5D">
        <w:rPr>
          <w:rFonts w:ascii="Calibri" w:eastAsia="Calibri" w:hAnsi="Calibri" w:cs="Calibri"/>
          <w:b/>
          <w:sz w:val="22"/>
          <w:szCs w:val="22"/>
        </w:rPr>
        <w:t xml:space="preserve">cárceles y alcaidías </w:t>
      </w:r>
      <w:r w:rsidRPr="003E3F5D">
        <w:rPr>
          <w:rFonts w:ascii="Calibri" w:eastAsia="Calibri" w:hAnsi="Calibri" w:cs="Calibri"/>
          <w:sz w:val="22"/>
          <w:szCs w:val="22"/>
        </w:rPr>
        <w:t xml:space="preserve">bonaerenses, ya sea con ellas mismas o con familiares, allegados, otros organismos estatales u organizaciones de la sociedad civil. En ese marco, se registraron </w:t>
      </w:r>
      <w:r w:rsidRPr="003E3F5D">
        <w:rPr>
          <w:rFonts w:ascii="Calibri" w:eastAsia="Calibri" w:hAnsi="Calibri" w:cs="Calibri"/>
          <w:b/>
          <w:sz w:val="22"/>
          <w:szCs w:val="22"/>
        </w:rPr>
        <w:t>83.671</w:t>
      </w:r>
      <w:r w:rsidRPr="003E3F5D">
        <w:rPr>
          <w:rFonts w:ascii="Calibri" w:eastAsia="Calibri" w:hAnsi="Calibri" w:cs="Calibri"/>
          <w:sz w:val="22"/>
          <w:szCs w:val="22"/>
          <w:vertAlign w:val="superscript"/>
        </w:rPr>
        <w:footnoteReference w:id="42"/>
      </w:r>
      <w:r w:rsidRPr="003E3F5D">
        <w:rPr>
          <w:rFonts w:ascii="Calibri" w:eastAsia="Calibri" w:hAnsi="Calibri" w:cs="Calibri"/>
          <w:b/>
          <w:sz w:val="22"/>
          <w:szCs w:val="22"/>
        </w:rPr>
        <w:t>violaciones de derechos humanos</w:t>
      </w:r>
      <w:r w:rsidRPr="003E3F5D">
        <w:rPr>
          <w:rFonts w:ascii="Calibri" w:eastAsia="Calibri" w:hAnsi="Calibri" w:cs="Calibri"/>
          <w:sz w:val="22"/>
          <w:szCs w:val="22"/>
        </w:rPr>
        <w:t>, en promedio casi dos por entrevista</w:t>
      </w:r>
      <w:r w:rsidRPr="003E3F5D">
        <w:rPr>
          <w:rFonts w:ascii="Calibri" w:eastAsia="Calibri" w:hAnsi="Calibri" w:cs="Calibri"/>
          <w:sz w:val="22"/>
          <w:szCs w:val="22"/>
          <w:vertAlign w:val="superscript"/>
        </w:rPr>
        <w:footnoteReference w:id="43"/>
      </w:r>
      <w:r w:rsidRPr="003E3F5D">
        <w:rPr>
          <w:rFonts w:ascii="Calibri" w:eastAsia="Calibri" w:hAnsi="Calibri" w:cs="Calibri"/>
          <w:sz w:val="22"/>
          <w:szCs w:val="22"/>
        </w:rPr>
        <w:t>.</w:t>
      </w:r>
    </w:p>
    <w:p w14:paraId="256FF691"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Estas vulneraciones se extienden por todo el sistema penitenciario bonaerense: se relevaron hechos, con distinta frecuencia, en todos los establecimientos del SPB, con una significativa incidencia de aquellos ubicados lejos de los grandes aglomerados urbanos: agrupados por complejo penitenciario, uno de cada cinco hechos fue registrado en cárceles de los dos complejos del centro de la Provincia</w:t>
      </w:r>
      <w:r w:rsidRPr="003E3F5D">
        <w:rPr>
          <w:rFonts w:ascii="Calibri" w:eastAsia="Calibri" w:hAnsi="Calibri" w:cs="Calibri"/>
          <w:sz w:val="22"/>
          <w:szCs w:val="22"/>
          <w:vertAlign w:val="superscript"/>
        </w:rPr>
        <w:footnoteReference w:id="44"/>
      </w:r>
      <w:r w:rsidRPr="003E3F5D">
        <w:rPr>
          <w:rFonts w:ascii="Calibri" w:eastAsia="Calibri" w:hAnsi="Calibri" w:cs="Calibri"/>
          <w:sz w:val="22"/>
          <w:szCs w:val="22"/>
        </w:rPr>
        <w:t>.</w:t>
      </w:r>
    </w:p>
    <w:p w14:paraId="5352E2DB"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Se contempla el registro de todas las situaciones que las personas detenidas o allegadas estén dispuestas a informar, con independencia de que hayan sido denunciadas formalmente. Esto responde a que la gran mayoría de las torturas y los malos tratos no llegan a denunciarse por temor, naturalización, dificultades en el acceso y/o descreimiento en el poder judicial.</w:t>
      </w:r>
    </w:p>
    <w:p w14:paraId="2DD5BEA8"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De las 83.671 </w:t>
      </w:r>
      <w:r w:rsidRPr="003E3F5D">
        <w:rPr>
          <w:rFonts w:ascii="Calibri" w:eastAsia="Calibri" w:hAnsi="Calibri" w:cs="Calibri"/>
          <w:b/>
          <w:sz w:val="22"/>
          <w:szCs w:val="22"/>
        </w:rPr>
        <w:t xml:space="preserve">violaciones de derechos </w:t>
      </w:r>
      <w:r w:rsidRPr="003E3F5D">
        <w:rPr>
          <w:rFonts w:ascii="Calibri" w:eastAsia="Calibri" w:hAnsi="Calibri" w:cs="Calibri"/>
          <w:sz w:val="22"/>
          <w:szCs w:val="22"/>
        </w:rPr>
        <w:t>relevadas durante 2024 en cárceles y alcaidías bonaerenses, 64.605 (77%)</w:t>
      </w:r>
      <w:r w:rsidRPr="003E3F5D">
        <w:rPr>
          <w:rFonts w:ascii="Calibri" w:eastAsia="Calibri" w:hAnsi="Calibri" w:cs="Calibri"/>
          <w:sz w:val="22"/>
          <w:szCs w:val="22"/>
          <w:vertAlign w:val="superscript"/>
        </w:rPr>
        <w:footnoteReference w:id="45"/>
      </w:r>
      <w:r w:rsidRPr="003E3F5D">
        <w:rPr>
          <w:rFonts w:ascii="Calibri" w:eastAsia="Calibri" w:hAnsi="Calibri" w:cs="Calibri"/>
          <w:sz w:val="22"/>
          <w:szCs w:val="22"/>
        </w:rPr>
        <w:t xml:space="preserve">constituyen </w:t>
      </w:r>
      <w:r w:rsidRPr="003E3F5D">
        <w:rPr>
          <w:rFonts w:ascii="Calibri" w:eastAsia="Calibri" w:hAnsi="Calibri" w:cs="Calibri"/>
          <w:b/>
          <w:sz w:val="22"/>
          <w:szCs w:val="22"/>
        </w:rPr>
        <w:t>hechos de tortura</w:t>
      </w:r>
      <w:r w:rsidRPr="003E3F5D">
        <w:rPr>
          <w:rFonts w:ascii="Calibri" w:eastAsia="Calibri" w:hAnsi="Calibri" w:cs="Calibri"/>
          <w:sz w:val="22"/>
          <w:szCs w:val="22"/>
        </w:rPr>
        <w:t xml:space="preserve"> de acuerdo a la definición de la Convención Interamericana para Prevenir y Sancionar la Tortura de la OEA (1985)</w:t>
      </w:r>
      <w:r w:rsidRPr="003E3F5D">
        <w:rPr>
          <w:rFonts w:ascii="Calibri" w:eastAsia="Calibri" w:hAnsi="Calibri" w:cs="Calibri"/>
          <w:sz w:val="22"/>
          <w:szCs w:val="22"/>
          <w:vertAlign w:val="superscript"/>
        </w:rPr>
        <w:footnoteReference w:id="46"/>
      </w:r>
      <w:r w:rsidRPr="003E3F5D">
        <w:rPr>
          <w:rFonts w:ascii="Calibri" w:eastAsia="Calibri" w:hAnsi="Calibri" w:cs="Calibri"/>
          <w:sz w:val="22"/>
          <w:szCs w:val="22"/>
        </w:rPr>
        <w:t>y a la tipificación elaborada por el Registro Nacional de Casos de Tortura (RNCT)</w:t>
      </w:r>
      <w:r w:rsidRPr="003E3F5D">
        <w:rPr>
          <w:rFonts w:ascii="Calibri" w:eastAsia="Calibri" w:hAnsi="Calibri" w:cs="Calibri"/>
          <w:sz w:val="22"/>
          <w:szCs w:val="22"/>
          <w:vertAlign w:val="superscript"/>
        </w:rPr>
        <w:footnoteReference w:id="47"/>
      </w:r>
      <w:r w:rsidRPr="003E3F5D">
        <w:rPr>
          <w:rFonts w:ascii="Calibri" w:eastAsia="Calibri" w:hAnsi="Calibri" w:cs="Calibri"/>
          <w:sz w:val="22"/>
          <w:szCs w:val="22"/>
        </w:rPr>
        <w:t>: aislamiento, traslados gravosos, traslados constantes, agresiones físicas, requisa personal vejatoria, malas condiciones materiales, falta o deficiente alimentación, falta o deficiente asistencia de la salud, robo y/o daño de pertenencias, impedimentos de vinculación familiar y amenazas.</w:t>
      </w:r>
    </w:p>
    <w:p w14:paraId="7BFFF75D" w14:textId="77777777" w:rsidR="00165BED" w:rsidRPr="003E3F5D" w:rsidRDefault="00165BED" w:rsidP="003E3F5D">
      <w:pPr>
        <w:jc w:val="both"/>
        <w:rPr>
          <w:rFonts w:ascii="Calibri" w:eastAsia="Calibri" w:hAnsi="Calibri" w:cs="Calibri"/>
          <w:sz w:val="22"/>
          <w:szCs w:val="22"/>
        </w:rPr>
      </w:pPr>
    </w:p>
    <w:p w14:paraId="25C19DCD" w14:textId="77777777" w:rsidR="00165BED" w:rsidRPr="003E3F5D" w:rsidRDefault="009D4909" w:rsidP="003E3F5D">
      <w:pPr>
        <w:spacing w:before="120" w:after="0"/>
        <w:jc w:val="both"/>
        <w:rPr>
          <w:rFonts w:ascii="Calibri" w:eastAsia="Calibri" w:hAnsi="Calibri" w:cs="Calibri"/>
          <w:b/>
          <w:sz w:val="22"/>
          <w:szCs w:val="22"/>
        </w:rPr>
      </w:pPr>
      <w:r w:rsidRPr="003E3F5D">
        <w:rPr>
          <w:rFonts w:ascii="Calibri" w:eastAsia="Calibri" w:hAnsi="Calibri" w:cs="Calibri"/>
          <w:b/>
          <w:sz w:val="22"/>
          <w:szCs w:val="22"/>
        </w:rPr>
        <w:t xml:space="preserve">Tabla 2. </w:t>
      </w:r>
      <w:r w:rsidRPr="003E3F5D">
        <w:rPr>
          <w:rFonts w:ascii="Calibri" w:eastAsia="Calibri" w:hAnsi="Calibri" w:cs="Calibri"/>
          <w:sz w:val="22"/>
          <w:szCs w:val="22"/>
        </w:rPr>
        <w:t>Hechos de tortura padecidos por personas detenidas en cárceles y alcaidías del SPB comunicados a la CPM en 2024, según tipo</w:t>
      </w:r>
    </w:p>
    <w:tbl>
      <w:tblPr>
        <w:tblStyle w:val="a0"/>
        <w:tblW w:w="7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80"/>
        <w:gridCol w:w="1540"/>
        <w:gridCol w:w="1480"/>
      </w:tblGrid>
      <w:tr w:rsidR="00165BED" w:rsidRPr="003E3F5D" w14:paraId="6A14F182" w14:textId="77777777">
        <w:trPr>
          <w:trHeight w:val="315"/>
          <w:jc w:val="center"/>
        </w:trPr>
        <w:tc>
          <w:tcPr>
            <w:tcW w:w="4280" w:type="dxa"/>
            <w:vAlign w:val="center"/>
          </w:tcPr>
          <w:p w14:paraId="0FCF946C" w14:textId="77777777" w:rsidR="00165BED" w:rsidRPr="003E3F5D" w:rsidRDefault="009D4909" w:rsidP="003E3F5D">
            <w:pPr>
              <w:spacing w:before="120"/>
              <w:jc w:val="both"/>
              <w:rPr>
                <w:rFonts w:ascii="Calibri" w:eastAsia="Calibri" w:hAnsi="Calibri" w:cs="Calibri"/>
                <w:b/>
              </w:rPr>
            </w:pPr>
            <w:r w:rsidRPr="003E3F5D">
              <w:rPr>
                <w:rFonts w:ascii="Calibri" w:eastAsia="Calibri" w:hAnsi="Calibri" w:cs="Calibri"/>
                <w:b/>
              </w:rPr>
              <w:t>Hecho de tortura</w:t>
            </w:r>
          </w:p>
        </w:tc>
        <w:tc>
          <w:tcPr>
            <w:tcW w:w="1540" w:type="dxa"/>
            <w:vAlign w:val="center"/>
          </w:tcPr>
          <w:p w14:paraId="297DA9A2" w14:textId="77777777" w:rsidR="00165BED" w:rsidRPr="003E3F5D" w:rsidRDefault="009D4909" w:rsidP="003E3F5D">
            <w:pPr>
              <w:spacing w:before="120"/>
              <w:jc w:val="both"/>
              <w:rPr>
                <w:rFonts w:ascii="Calibri" w:eastAsia="Calibri" w:hAnsi="Calibri" w:cs="Calibri"/>
                <w:b/>
              </w:rPr>
            </w:pPr>
            <w:r w:rsidRPr="003E3F5D">
              <w:rPr>
                <w:rFonts w:ascii="Calibri" w:eastAsia="Calibri" w:hAnsi="Calibri" w:cs="Calibri"/>
                <w:b/>
              </w:rPr>
              <w:t>Cantidad</w:t>
            </w:r>
          </w:p>
        </w:tc>
        <w:tc>
          <w:tcPr>
            <w:tcW w:w="1480" w:type="dxa"/>
            <w:vAlign w:val="center"/>
          </w:tcPr>
          <w:p w14:paraId="54E180BF" w14:textId="77777777" w:rsidR="00165BED" w:rsidRPr="003E3F5D" w:rsidRDefault="009D4909" w:rsidP="003E3F5D">
            <w:pPr>
              <w:spacing w:before="120"/>
              <w:jc w:val="both"/>
              <w:rPr>
                <w:rFonts w:ascii="Calibri" w:eastAsia="Calibri" w:hAnsi="Calibri" w:cs="Calibri"/>
                <w:b/>
              </w:rPr>
            </w:pPr>
            <w:r w:rsidRPr="003E3F5D">
              <w:rPr>
                <w:rFonts w:ascii="Calibri" w:eastAsia="Calibri" w:hAnsi="Calibri" w:cs="Calibri"/>
                <w:b/>
              </w:rPr>
              <w:t>Porcentaje</w:t>
            </w:r>
          </w:p>
        </w:tc>
      </w:tr>
      <w:tr w:rsidR="00165BED" w:rsidRPr="003E3F5D" w14:paraId="3543760B" w14:textId="77777777">
        <w:trPr>
          <w:trHeight w:val="315"/>
          <w:jc w:val="center"/>
        </w:trPr>
        <w:tc>
          <w:tcPr>
            <w:tcW w:w="4280" w:type="dxa"/>
            <w:vAlign w:val="center"/>
          </w:tcPr>
          <w:p w14:paraId="4081E510"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Falta o deficiente asistencia de la salud</w:t>
            </w:r>
          </w:p>
        </w:tc>
        <w:tc>
          <w:tcPr>
            <w:tcW w:w="1540" w:type="dxa"/>
            <w:vAlign w:val="center"/>
          </w:tcPr>
          <w:p w14:paraId="523D72AC"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20.923</w:t>
            </w:r>
          </w:p>
        </w:tc>
        <w:tc>
          <w:tcPr>
            <w:tcW w:w="1480" w:type="dxa"/>
            <w:vAlign w:val="center"/>
          </w:tcPr>
          <w:p w14:paraId="1A6524DA"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32,4%</w:t>
            </w:r>
          </w:p>
        </w:tc>
      </w:tr>
      <w:tr w:rsidR="00165BED" w:rsidRPr="003E3F5D" w14:paraId="3553BC78" w14:textId="77777777">
        <w:trPr>
          <w:trHeight w:val="315"/>
          <w:jc w:val="center"/>
        </w:trPr>
        <w:tc>
          <w:tcPr>
            <w:tcW w:w="4280" w:type="dxa"/>
            <w:vAlign w:val="center"/>
          </w:tcPr>
          <w:p w14:paraId="78145C55"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Afectación del vínculo familiar y social</w:t>
            </w:r>
          </w:p>
        </w:tc>
        <w:tc>
          <w:tcPr>
            <w:tcW w:w="1540" w:type="dxa"/>
            <w:vAlign w:val="center"/>
          </w:tcPr>
          <w:p w14:paraId="40272F00"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15.832</w:t>
            </w:r>
          </w:p>
        </w:tc>
        <w:tc>
          <w:tcPr>
            <w:tcW w:w="1480" w:type="dxa"/>
            <w:vAlign w:val="center"/>
          </w:tcPr>
          <w:p w14:paraId="3A42F23C"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24,5%</w:t>
            </w:r>
          </w:p>
        </w:tc>
      </w:tr>
      <w:tr w:rsidR="00165BED" w:rsidRPr="003E3F5D" w14:paraId="6123ED62" w14:textId="77777777">
        <w:trPr>
          <w:trHeight w:val="315"/>
          <w:jc w:val="center"/>
        </w:trPr>
        <w:tc>
          <w:tcPr>
            <w:tcW w:w="4280" w:type="dxa"/>
            <w:vAlign w:val="center"/>
          </w:tcPr>
          <w:p w14:paraId="687204CF"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Malas condiciones materiales</w:t>
            </w:r>
          </w:p>
        </w:tc>
        <w:tc>
          <w:tcPr>
            <w:tcW w:w="1540" w:type="dxa"/>
            <w:vAlign w:val="center"/>
          </w:tcPr>
          <w:p w14:paraId="792F6265"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10.218</w:t>
            </w:r>
          </w:p>
        </w:tc>
        <w:tc>
          <w:tcPr>
            <w:tcW w:w="1480" w:type="dxa"/>
            <w:vAlign w:val="center"/>
          </w:tcPr>
          <w:p w14:paraId="29DEBDCB"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15,8%</w:t>
            </w:r>
          </w:p>
        </w:tc>
      </w:tr>
      <w:tr w:rsidR="00165BED" w:rsidRPr="003E3F5D" w14:paraId="275AFB42" w14:textId="77777777">
        <w:trPr>
          <w:trHeight w:val="315"/>
          <w:jc w:val="center"/>
        </w:trPr>
        <w:tc>
          <w:tcPr>
            <w:tcW w:w="4280" w:type="dxa"/>
            <w:vAlign w:val="center"/>
          </w:tcPr>
          <w:p w14:paraId="3A56C43C"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Aislamiento</w:t>
            </w:r>
          </w:p>
        </w:tc>
        <w:tc>
          <w:tcPr>
            <w:tcW w:w="1540" w:type="dxa"/>
            <w:vAlign w:val="center"/>
          </w:tcPr>
          <w:p w14:paraId="2DB30066"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7.515</w:t>
            </w:r>
          </w:p>
        </w:tc>
        <w:tc>
          <w:tcPr>
            <w:tcW w:w="1480" w:type="dxa"/>
            <w:vAlign w:val="center"/>
          </w:tcPr>
          <w:p w14:paraId="47231149"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11,6%</w:t>
            </w:r>
          </w:p>
        </w:tc>
      </w:tr>
      <w:tr w:rsidR="00165BED" w:rsidRPr="003E3F5D" w14:paraId="6D4A03FE" w14:textId="77777777">
        <w:trPr>
          <w:trHeight w:val="315"/>
          <w:jc w:val="center"/>
        </w:trPr>
        <w:tc>
          <w:tcPr>
            <w:tcW w:w="4280" w:type="dxa"/>
            <w:vAlign w:val="center"/>
          </w:tcPr>
          <w:p w14:paraId="6865CF5E"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Falta o deficiente alimentación</w:t>
            </w:r>
          </w:p>
        </w:tc>
        <w:tc>
          <w:tcPr>
            <w:tcW w:w="1540" w:type="dxa"/>
            <w:vAlign w:val="center"/>
          </w:tcPr>
          <w:p w14:paraId="24D1326D"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4.697</w:t>
            </w:r>
          </w:p>
        </w:tc>
        <w:tc>
          <w:tcPr>
            <w:tcW w:w="1480" w:type="dxa"/>
            <w:vAlign w:val="center"/>
          </w:tcPr>
          <w:p w14:paraId="08883AF2"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7,3%</w:t>
            </w:r>
          </w:p>
        </w:tc>
      </w:tr>
      <w:tr w:rsidR="00165BED" w:rsidRPr="003E3F5D" w14:paraId="615D768D" w14:textId="77777777">
        <w:trPr>
          <w:trHeight w:val="315"/>
          <w:jc w:val="center"/>
        </w:trPr>
        <w:tc>
          <w:tcPr>
            <w:tcW w:w="4280" w:type="dxa"/>
            <w:vAlign w:val="center"/>
          </w:tcPr>
          <w:p w14:paraId="4B881C50"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Agresiones físicas</w:t>
            </w:r>
          </w:p>
        </w:tc>
        <w:tc>
          <w:tcPr>
            <w:tcW w:w="1540" w:type="dxa"/>
            <w:vAlign w:val="center"/>
          </w:tcPr>
          <w:p w14:paraId="3FB2F869"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2.245</w:t>
            </w:r>
          </w:p>
        </w:tc>
        <w:tc>
          <w:tcPr>
            <w:tcW w:w="1480" w:type="dxa"/>
            <w:vAlign w:val="center"/>
          </w:tcPr>
          <w:p w14:paraId="4FF0BBB2"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3,5%</w:t>
            </w:r>
          </w:p>
        </w:tc>
      </w:tr>
      <w:tr w:rsidR="00165BED" w:rsidRPr="003E3F5D" w14:paraId="1D53EB2F" w14:textId="77777777">
        <w:trPr>
          <w:trHeight w:val="315"/>
          <w:jc w:val="center"/>
        </w:trPr>
        <w:tc>
          <w:tcPr>
            <w:tcW w:w="4280" w:type="dxa"/>
            <w:vAlign w:val="center"/>
          </w:tcPr>
          <w:p w14:paraId="5999E5B9"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Traslados constantes o gravosos</w:t>
            </w:r>
          </w:p>
        </w:tc>
        <w:tc>
          <w:tcPr>
            <w:tcW w:w="1540" w:type="dxa"/>
            <w:vAlign w:val="center"/>
          </w:tcPr>
          <w:p w14:paraId="000ED6A2"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1.758</w:t>
            </w:r>
          </w:p>
        </w:tc>
        <w:tc>
          <w:tcPr>
            <w:tcW w:w="1480" w:type="dxa"/>
            <w:vAlign w:val="center"/>
          </w:tcPr>
          <w:p w14:paraId="544CB1F5"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2,7%</w:t>
            </w:r>
          </w:p>
        </w:tc>
      </w:tr>
      <w:tr w:rsidR="00165BED" w:rsidRPr="003E3F5D" w14:paraId="2B2518A1" w14:textId="77777777">
        <w:trPr>
          <w:trHeight w:val="315"/>
          <w:jc w:val="center"/>
        </w:trPr>
        <w:tc>
          <w:tcPr>
            <w:tcW w:w="4280" w:type="dxa"/>
            <w:vAlign w:val="center"/>
          </w:tcPr>
          <w:p w14:paraId="37722FC2"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Amenazas</w:t>
            </w:r>
          </w:p>
        </w:tc>
        <w:tc>
          <w:tcPr>
            <w:tcW w:w="1540" w:type="dxa"/>
            <w:vAlign w:val="center"/>
          </w:tcPr>
          <w:p w14:paraId="329EFC78"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716</w:t>
            </w:r>
          </w:p>
        </w:tc>
        <w:tc>
          <w:tcPr>
            <w:tcW w:w="1480" w:type="dxa"/>
            <w:vAlign w:val="center"/>
          </w:tcPr>
          <w:p w14:paraId="18485D04"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1,1%</w:t>
            </w:r>
          </w:p>
        </w:tc>
      </w:tr>
      <w:tr w:rsidR="00165BED" w:rsidRPr="003E3F5D" w14:paraId="38CC414A" w14:textId="77777777">
        <w:trPr>
          <w:trHeight w:val="315"/>
          <w:jc w:val="center"/>
        </w:trPr>
        <w:tc>
          <w:tcPr>
            <w:tcW w:w="4280" w:type="dxa"/>
            <w:vAlign w:val="center"/>
          </w:tcPr>
          <w:p w14:paraId="492E987A"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Robo y/o daño de pertenencias</w:t>
            </w:r>
          </w:p>
        </w:tc>
        <w:tc>
          <w:tcPr>
            <w:tcW w:w="1540" w:type="dxa"/>
            <w:vAlign w:val="center"/>
          </w:tcPr>
          <w:p w14:paraId="1B9C5ECF"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464</w:t>
            </w:r>
          </w:p>
        </w:tc>
        <w:tc>
          <w:tcPr>
            <w:tcW w:w="1480" w:type="dxa"/>
            <w:vAlign w:val="center"/>
          </w:tcPr>
          <w:p w14:paraId="58EDE08C"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0,7%</w:t>
            </w:r>
          </w:p>
        </w:tc>
      </w:tr>
      <w:tr w:rsidR="00165BED" w:rsidRPr="003E3F5D" w14:paraId="39ACAFD4" w14:textId="77777777">
        <w:trPr>
          <w:trHeight w:val="315"/>
          <w:jc w:val="center"/>
        </w:trPr>
        <w:tc>
          <w:tcPr>
            <w:tcW w:w="4280" w:type="dxa"/>
            <w:vAlign w:val="center"/>
          </w:tcPr>
          <w:p w14:paraId="0EF172FA"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Requisa personal vejatoria</w:t>
            </w:r>
          </w:p>
        </w:tc>
        <w:tc>
          <w:tcPr>
            <w:tcW w:w="1540" w:type="dxa"/>
            <w:vAlign w:val="center"/>
          </w:tcPr>
          <w:p w14:paraId="5FD4920C"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237</w:t>
            </w:r>
          </w:p>
        </w:tc>
        <w:tc>
          <w:tcPr>
            <w:tcW w:w="1480" w:type="dxa"/>
            <w:vAlign w:val="center"/>
          </w:tcPr>
          <w:p w14:paraId="78F3BD28" w14:textId="77777777" w:rsidR="00165BED" w:rsidRPr="003E3F5D" w:rsidRDefault="009D4909" w:rsidP="003E3F5D">
            <w:pPr>
              <w:spacing w:before="120"/>
              <w:jc w:val="both"/>
              <w:rPr>
                <w:rFonts w:ascii="Calibri" w:eastAsia="Calibri" w:hAnsi="Calibri" w:cs="Calibri"/>
              </w:rPr>
            </w:pPr>
            <w:r w:rsidRPr="003E3F5D">
              <w:rPr>
                <w:rFonts w:ascii="Calibri" w:eastAsia="Calibri" w:hAnsi="Calibri" w:cs="Calibri"/>
              </w:rPr>
              <w:t>0,4%</w:t>
            </w:r>
          </w:p>
        </w:tc>
      </w:tr>
      <w:tr w:rsidR="00165BED" w:rsidRPr="003E3F5D" w14:paraId="726D0F4F" w14:textId="77777777">
        <w:trPr>
          <w:trHeight w:val="315"/>
          <w:jc w:val="center"/>
        </w:trPr>
        <w:tc>
          <w:tcPr>
            <w:tcW w:w="4280" w:type="dxa"/>
            <w:vAlign w:val="center"/>
          </w:tcPr>
          <w:p w14:paraId="30E21B14" w14:textId="77777777" w:rsidR="00165BED" w:rsidRPr="003E3F5D" w:rsidRDefault="009D4909" w:rsidP="003E3F5D">
            <w:pPr>
              <w:spacing w:before="120"/>
              <w:jc w:val="both"/>
              <w:rPr>
                <w:rFonts w:ascii="Calibri" w:eastAsia="Calibri" w:hAnsi="Calibri" w:cs="Calibri"/>
                <w:b/>
              </w:rPr>
            </w:pPr>
            <w:r w:rsidRPr="003E3F5D">
              <w:rPr>
                <w:rFonts w:ascii="Calibri" w:eastAsia="Calibri" w:hAnsi="Calibri" w:cs="Calibri"/>
                <w:b/>
              </w:rPr>
              <w:t>Total</w:t>
            </w:r>
          </w:p>
        </w:tc>
        <w:tc>
          <w:tcPr>
            <w:tcW w:w="1540" w:type="dxa"/>
            <w:vAlign w:val="center"/>
          </w:tcPr>
          <w:p w14:paraId="6D35978B" w14:textId="77777777" w:rsidR="00165BED" w:rsidRPr="003E3F5D" w:rsidRDefault="009D4909" w:rsidP="003E3F5D">
            <w:pPr>
              <w:spacing w:before="120"/>
              <w:jc w:val="both"/>
              <w:rPr>
                <w:rFonts w:ascii="Calibri" w:eastAsia="Calibri" w:hAnsi="Calibri" w:cs="Calibri"/>
                <w:b/>
              </w:rPr>
            </w:pPr>
            <w:r w:rsidRPr="003E3F5D">
              <w:rPr>
                <w:rFonts w:ascii="Calibri" w:eastAsia="Calibri" w:hAnsi="Calibri" w:cs="Calibri"/>
                <w:b/>
              </w:rPr>
              <w:t>64.605</w:t>
            </w:r>
          </w:p>
        </w:tc>
        <w:tc>
          <w:tcPr>
            <w:tcW w:w="1480" w:type="dxa"/>
            <w:vAlign w:val="center"/>
          </w:tcPr>
          <w:p w14:paraId="3C03A210" w14:textId="77777777" w:rsidR="00165BED" w:rsidRPr="003E3F5D" w:rsidRDefault="009D4909" w:rsidP="003E3F5D">
            <w:pPr>
              <w:spacing w:before="120"/>
              <w:jc w:val="both"/>
              <w:rPr>
                <w:rFonts w:ascii="Calibri" w:eastAsia="Calibri" w:hAnsi="Calibri" w:cs="Calibri"/>
                <w:b/>
              </w:rPr>
            </w:pPr>
            <w:r w:rsidRPr="003E3F5D">
              <w:rPr>
                <w:rFonts w:ascii="Calibri" w:eastAsia="Calibri" w:hAnsi="Calibri" w:cs="Calibri"/>
                <w:b/>
              </w:rPr>
              <w:t>100%</w:t>
            </w:r>
          </w:p>
        </w:tc>
      </w:tr>
    </w:tbl>
    <w:p w14:paraId="5CF13F2F"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b/>
          <w:sz w:val="22"/>
          <w:szCs w:val="22"/>
        </w:rPr>
        <w:t>Fuente</w:t>
      </w:r>
      <w:r w:rsidRPr="003E3F5D">
        <w:rPr>
          <w:rFonts w:ascii="Calibri" w:eastAsia="Calibri" w:hAnsi="Calibri" w:cs="Calibri"/>
          <w:sz w:val="22"/>
          <w:szCs w:val="22"/>
        </w:rPr>
        <w:t>: Registro Provincial de Torturas y otras violaciones de derechos humanos (CPM).Datos preliminares sujetos a revisión.</w:t>
      </w:r>
    </w:p>
    <w:p w14:paraId="2E11E716" w14:textId="77777777" w:rsidR="00165BED" w:rsidRPr="003E3F5D" w:rsidRDefault="00165BED" w:rsidP="003E3F5D">
      <w:pPr>
        <w:jc w:val="both"/>
        <w:rPr>
          <w:rFonts w:ascii="Calibri" w:eastAsia="Calibri" w:hAnsi="Calibri" w:cs="Calibri"/>
          <w:sz w:val="22"/>
          <w:szCs w:val="22"/>
        </w:rPr>
      </w:pPr>
    </w:p>
    <w:p w14:paraId="7FDAF7E0"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El hecho de tortura que surgió con mayor frecuencia en el monitoreo del MLPT durante 2024 fue la </w:t>
      </w:r>
      <w:r w:rsidRPr="003E3F5D">
        <w:rPr>
          <w:rFonts w:ascii="Calibri" w:eastAsia="Calibri" w:hAnsi="Calibri" w:cs="Calibri"/>
          <w:b/>
          <w:sz w:val="22"/>
          <w:szCs w:val="22"/>
        </w:rPr>
        <w:t>falta o deficiente asistencia de la salud</w:t>
      </w:r>
      <w:r w:rsidRPr="003E3F5D">
        <w:rPr>
          <w:rFonts w:ascii="Calibri" w:eastAsia="Calibri" w:hAnsi="Calibri" w:cs="Calibri"/>
          <w:sz w:val="22"/>
          <w:szCs w:val="22"/>
        </w:rPr>
        <w:t>, expresada en las restricciones para acceder al área de Sanidad o a la atención médica en hospitales, la falta o deficiente provisión de medicamentos o dieta especial, la falta de estudios o tratamientos. Se consideran problemas de salud diagnosticados o no diagnosticados, así como dolencias o lesiones. El tema será abordado en un apartado en particular.</w:t>
      </w:r>
    </w:p>
    <w:p w14:paraId="0E64581F"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En segundo lugar aparecen los </w:t>
      </w:r>
      <w:r w:rsidRPr="003E3F5D">
        <w:rPr>
          <w:rFonts w:ascii="Calibri" w:eastAsia="Calibri" w:hAnsi="Calibri" w:cs="Calibri"/>
          <w:b/>
          <w:sz w:val="22"/>
          <w:szCs w:val="22"/>
        </w:rPr>
        <w:t>impedimentos de vinculación familiar y social</w:t>
      </w:r>
      <w:r w:rsidRPr="003E3F5D">
        <w:rPr>
          <w:rFonts w:ascii="Calibri" w:eastAsia="Calibri" w:hAnsi="Calibri" w:cs="Calibri"/>
          <w:sz w:val="22"/>
          <w:szCs w:val="22"/>
        </w:rPr>
        <w:t xml:space="preserve">, un problema estructural generado por la ubicación de detenidos/as en unidades lejanas a su domicilio, por los maltratos a las/os visitantes, por la obstaculización de salidas y regímenes de visita inter-carcelaria, por la modalidad de traslados constantes, entre otras prácticas. En el plano afectivo, las familias contienen los padecimientos propios del encierro y representan la conexión con el mundo exterior al que esperan volver. En el plano material, son las </w:t>
      </w:r>
      <w:r w:rsidRPr="003E3F5D">
        <w:rPr>
          <w:rFonts w:ascii="Calibri" w:eastAsia="Calibri" w:hAnsi="Calibri" w:cs="Calibri"/>
          <w:sz w:val="22"/>
          <w:szCs w:val="22"/>
        </w:rPr>
        <w:t xml:space="preserve">principales proveedoras de alimentos, medicamentos, elementos de higiene, entre otras necesidades básicas no garantizadas por el Servicio Penitenciario Bonaerense que incumple con estas obligaciones. </w:t>
      </w:r>
    </w:p>
    <w:p w14:paraId="3A954799"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En ese sentido, la desvinculación familiar y social se considera un tipo de tortura porque “provoca angustia y depresión en el aspecto emocional-afectivo, perjudica el sostenimiento de estrategias alternativas de sobrevivencia alimenticia y material, y genera un contexto de indefensión en cuanto a la comunicación, reclamo y denuncias sobre las vulneraciones de derechos” (RNCT, 2020: 117). </w:t>
      </w:r>
    </w:p>
    <w:p w14:paraId="0BE8841D"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Las circunstancias de desvinculación familiar y social no son esporádicas sino que se suelen sostener por largos períodos de tiempo, intensificando los padecimientos de las víctimas por la lejanía de sus vínculos más cercanos. El promedio temporal de desvinculación, en la muestra del RNCT, es de un año.</w:t>
      </w:r>
    </w:p>
    <w:p w14:paraId="7221039B"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El tercer hecho de tortura más relevado fueron las </w:t>
      </w:r>
      <w:r w:rsidRPr="003E3F5D">
        <w:rPr>
          <w:rFonts w:ascii="Calibri" w:eastAsia="Calibri" w:hAnsi="Calibri" w:cs="Calibri"/>
          <w:b/>
          <w:sz w:val="22"/>
          <w:szCs w:val="22"/>
        </w:rPr>
        <w:t>malas condiciones materiales</w:t>
      </w:r>
      <w:r w:rsidRPr="003E3F5D">
        <w:rPr>
          <w:rFonts w:ascii="Calibri" w:eastAsia="Calibri" w:hAnsi="Calibri" w:cs="Calibri"/>
          <w:sz w:val="22"/>
          <w:szCs w:val="22"/>
        </w:rPr>
        <w:t xml:space="preserve"> que incluye sub-dimensiones como celda/alojamiento inundada, falta o riesgosa instalación eléctrica, falta o deficiente acceso a duchas, falta o deficiente estado de los sanitarios, falta o deficiente provisión de agua en la celda, falta de calefacción/refrigeración, falta o deficiente estado del colchón, falta o insuficiente luz artificial, falta o insuficiente luz natural, hacinamiento, falta de vidrios o vidrios rotos, presencia de plagas.</w:t>
      </w:r>
    </w:p>
    <w:p w14:paraId="77943E8D"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Las deficiencias atraviesan a todos los establecimientos y a todos los espacios: en los espacios de aislamiento y de alojamiento transitorio las condiciones materiales suelen ser peores, mientras que en los espacios de alojamiento habitual, por definición, dichas condiciones se padecen por más tiempo, excepto que las personas detenidas con recursos propios arreglen y mejoren el lugar, obras que nunca son estructurales y por lo tanto vuelven a deteriorarse al poco tiempo. </w:t>
      </w:r>
    </w:p>
    <w:p w14:paraId="0D30A12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cuarto lugar se registró la práctica de </w:t>
      </w:r>
      <w:r w:rsidRPr="003E3F5D">
        <w:rPr>
          <w:rFonts w:ascii="Calibri" w:eastAsia="Calibri" w:hAnsi="Calibri" w:cs="Calibri"/>
          <w:b/>
          <w:sz w:val="22"/>
          <w:szCs w:val="22"/>
        </w:rPr>
        <w:t>aislamiento</w:t>
      </w:r>
      <w:r w:rsidRPr="003E3F5D">
        <w:rPr>
          <w:rFonts w:ascii="Calibri" w:eastAsia="Calibri" w:hAnsi="Calibri" w:cs="Calibri"/>
          <w:sz w:val="22"/>
          <w:szCs w:val="22"/>
        </w:rPr>
        <w:t>: el encierro prolongado de una persona en celda durante toda o la mayor parte del día, en el cual se ahondará en otra sección.  Estos cuatro tipos (falta o deficiente asistencia de la salud, impedimentos de vinculación familiar, malas condiciones materiales y aislamiento) agrupan el 84% del total de hechos de tortura relevados durante 2024 por la CPM. El 16% restante incluye falta o deficiente alimentación, agresiones físicas, traslados constantes o gravosos, amenazas, robo y/o daño de pertenenc</w:t>
      </w:r>
      <w:r w:rsidRPr="003E3F5D">
        <w:rPr>
          <w:rFonts w:ascii="Calibri" w:eastAsia="Calibri" w:hAnsi="Calibri" w:cs="Calibri"/>
          <w:sz w:val="22"/>
          <w:szCs w:val="22"/>
        </w:rPr>
        <w:t>ias y requisas vejatorias.</w:t>
      </w:r>
    </w:p>
    <w:p w14:paraId="1DA25D36"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La </w:t>
      </w:r>
      <w:r w:rsidRPr="003E3F5D">
        <w:rPr>
          <w:rFonts w:ascii="Calibri" w:eastAsia="Calibri" w:hAnsi="Calibri" w:cs="Calibri"/>
          <w:b/>
          <w:sz w:val="22"/>
          <w:szCs w:val="22"/>
        </w:rPr>
        <w:t>falta o deficiente alimentación</w:t>
      </w:r>
      <w:r w:rsidRPr="003E3F5D">
        <w:rPr>
          <w:rFonts w:ascii="Calibri" w:eastAsia="Calibri" w:hAnsi="Calibri" w:cs="Calibri"/>
          <w:sz w:val="22"/>
          <w:szCs w:val="22"/>
        </w:rPr>
        <w:t xml:space="preserve"> incluye la falta de comida y bebida, así como las deficiencias en cantidad y calidad. Es recurrente la existencia de comida mal cocida (pastosa, pegajosa, cruda) o en mal estado (podrida, con hongos, con mal olor, con insectos). Las víctimas entrevistadas en 2024 padecieron hambre por no ingerir alimentos o por ingerirlos en forma irregular y/o discontinua. Estas deficiencias fuerzan a las víctimas a generar estrategias para alimentarse, especialmente con la comida o compleme</w:t>
      </w:r>
      <w:r w:rsidRPr="003E3F5D">
        <w:rPr>
          <w:rFonts w:ascii="Calibri" w:eastAsia="Calibri" w:hAnsi="Calibri" w:cs="Calibri"/>
          <w:sz w:val="22"/>
          <w:szCs w:val="22"/>
        </w:rPr>
        <w:t>ntos que las familias o presos de otros pabellones pueden aportarles, y también volviendo a cocinar aquello reutilizable de lo que proveen las instituciones. Sin embargo, esto también está mediado por el personal de custodia que gestiona las visitas, requisa las encomiendas, regula el contacto entre personas detenidas y controla el uso de utensilios de cocina</w:t>
      </w:r>
      <w:r w:rsidRPr="003E3F5D">
        <w:rPr>
          <w:rFonts w:ascii="Calibri" w:eastAsia="Calibri" w:hAnsi="Calibri" w:cs="Calibri"/>
          <w:sz w:val="22"/>
          <w:szCs w:val="22"/>
          <w:vertAlign w:val="superscript"/>
        </w:rPr>
        <w:footnoteReference w:id="48"/>
      </w:r>
      <w:r w:rsidRPr="003E3F5D">
        <w:rPr>
          <w:rFonts w:ascii="Calibri" w:eastAsia="Calibri" w:hAnsi="Calibri" w:cs="Calibri"/>
          <w:sz w:val="22"/>
          <w:szCs w:val="22"/>
        </w:rPr>
        <w:t>.</w:t>
      </w:r>
    </w:p>
    <w:p w14:paraId="78DE9B82"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Los </w:t>
      </w:r>
      <w:r w:rsidRPr="003E3F5D">
        <w:rPr>
          <w:rFonts w:ascii="Calibri" w:eastAsia="Calibri" w:hAnsi="Calibri" w:cs="Calibri"/>
          <w:b/>
          <w:sz w:val="22"/>
          <w:szCs w:val="22"/>
        </w:rPr>
        <w:t xml:space="preserve">traslados gravosos </w:t>
      </w:r>
      <w:r w:rsidRPr="003E3F5D">
        <w:rPr>
          <w:rFonts w:ascii="Calibri" w:eastAsia="Calibri" w:hAnsi="Calibri" w:cs="Calibri"/>
          <w:sz w:val="22"/>
          <w:szCs w:val="22"/>
        </w:rPr>
        <w:t>son un tipo de tortura referido a las situaciones de movimiento entre unidades o entre unidades y oficinas judiciales en las que las personas padecen malas condiciones materiales: falta de alimentación, de agua o acceso a un baño, aislamiento prolongado en vehículos o en celdas transitorias, agresiones físicas, robo o pérdida de pertenencias, dolores físicos producidos por la posición en que viajan (por ejemplo, varias horas con las manos esposadas al piso del camión y en posición inclina</w:t>
      </w:r>
      <w:r w:rsidRPr="003E3F5D">
        <w:rPr>
          <w:rFonts w:ascii="Calibri" w:eastAsia="Calibri" w:hAnsi="Calibri" w:cs="Calibri"/>
          <w:sz w:val="22"/>
          <w:szCs w:val="22"/>
        </w:rPr>
        <w:t>da hacia abajo o encorvada sin poder moverse).</w:t>
      </w:r>
    </w:p>
    <w:p w14:paraId="0F00C197"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El </w:t>
      </w:r>
      <w:r w:rsidRPr="003E3F5D">
        <w:rPr>
          <w:rFonts w:ascii="Calibri" w:eastAsia="Calibri" w:hAnsi="Calibri" w:cs="Calibri"/>
          <w:b/>
          <w:sz w:val="22"/>
          <w:szCs w:val="22"/>
        </w:rPr>
        <w:t>robo y/o daño de pertenencias por</w:t>
      </w:r>
      <w:r w:rsidRPr="003E3F5D">
        <w:rPr>
          <w:rFonts w:ascii="Calibri" w:eastAsia="Calibri" w:hAnsi="Calibri" w:cs="Calibri"/>
          <w:sz w:val="22"/>
          <w:szCs w:val="22"/>
        </w:rPr>
        <w:t xml:space="preserve"> parte de agentes penitenciarios se produce en diversas circunstancias: ingreso a la unidad, un traslado, una requisa de pabellón, una agresión física, una requisa de visita, una requisa de encomienda, un cambio de alojamiento intra-cárcel, entre otras. Los/as agentes roban o rompen indumentaria, calzado, teléfonos celulares, mobiliario, electrodomésticos, objetos de valor personal, alimentos, elementos de limpieza, ropa de cama, medicamentos o cigarrillos. Otra práctica es </w:t>
      </w:r>
      <w:r w:rsidRPr="003E3F5D">
        <w:rPr>
          <w:rFonts w:ascii="Calibri" w:eastAsia="Calibri" w:hAnsi="Calibri" w:cs="Calibri"/>
          <w:sz w:val="22"/>
          <w:szCs w:val="22"/>
        </w:rPr>
        <w:t xml:space="preserve">la de romper los paquetes y mezclar los alimentos. Estos malos tratos implican un desgaste y padecimiento psicológico en las víctimas, que deben </w:t>
      </w:r>
      <w:r w:rsidRPr="003E3F5D">
        <w:rPr>
          <w:rFonts w:ascii="Calibri" w:eastAsia="Calibri" w:hAnsi="Calibri" w:cs="Calibri"/>
          <w:i/>
          <w:sz w:val="22"/>
          <w:szCs w:val="22"/>
        </w:rPr>
        <w:t>empezar de nuevo</w:t>
      </w:r>
      <w:r w:rsidRPr="003E3F5D">
        <w:rPr>
          <w:rFonts w:ascii="Calibri" w:eastAsia="Calibri" w:hAnsi="Calibri" w:cs="Calibri"/>
          <w:sz w:val="22"/>
          <w:szCs w:val="22"/>
        </w:rPr>
        <w:t xml:space="preserve"> cada vez que son despojadas de objetos indispensables para la vida en esas condiciones (calentador, celular, elementos de limpieza e higiene, medicamentos, comida) o de objetos queridos o valorados afectivamente (fotos o regalos de la familia), en el contexto de un sistema que no provee los elementos básicos para subsistir</w:t>
      </w:r>
    </w:p>
    <w:p w14:paraId="2B0F7EF8"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La </w:t>
      </w:r>
      <w:r w:rsidRPr="003E3F5D">
        <w:rPr>
          <w:rFonts w:ascii="Calibri" w:eastAsia="Calibri" w:hAnsi="Calibri" w:cs="Calibri"/>
          <w:b/>
          <w:sz w:val="22"/>
          <w:szCs w:val="22"/>
        </w:rPr>
        <w:t xml:space="preserve">requisa vejatoria </w:t>
      </w:r>
      <w:r w:rsidRPr="003E3F5D">
        <w:rPr>
          <w:rFonts w:ascii="Calibri" w:eastAsia="Calibri" w:hAnsi="Calibri" w:cs="Calibri"/>
          <w:sz w:val="22"/>
          <w:szCs w:val="22"/>
        </w:rPr>
        <w:t xml:space="preserve">es una práctica de control por parte de las fuerzas de custodia. Formalmente, implica la revisión del cuerpo de las personas detenidas con fines de seguridad. Extendida a toda la población encarcelada, es un procedimiento regular que de por sí constituye una intromisión en la intimidad de las personas con un impacto humillante significativo. </w:t>
      </w:r>
    </w:p>
    <w:p w14:paraId="0C86C404"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En el relevamiento se destacan prácticas que se desarrollan con manifiesta arbitrariedad, como son las requisas inútiles y prolongadas con exposiciones al frío o al calor, inspecciones agresivas del cuerpo, imposición de desnudo, posturas y/o ejercicios humillantes para someter a la mirada la zona genital y anal (flexiones, sentadillas, agacharse, separarse las nalgas). A su vez, las requisas suelen combinarse con agresiones físicas o verbales, robo y daño de pertenencias.</w:t>
      </w:r>
    </w:p>
    <w:p w14:paraId="291A91B7"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La </w:t>
      </w:r>
      <w:r w:rsidRPr="003E3F5D">
        <w:rPr>
          <w:rFonts w:ascii="Calibri" w:eastAsia="Calibri" w:hAnsi="Calibri" w:cs="Calibri"/>
          <w:b/>
          <w:sz w:val="22"/>
          <w:szCs w:val="22"/>
        </w:rPr>
        <w:t xml:space="preserve">amenaza </w:t>
      </w:r>
      <w:r w:rsidRPr="003E3F5D">
        <w:rPr>
          <w:rFonts w:ascii="Calibri" w:eastAsia="Calibri" w:hAnsi="Calibri" w:cs="Calibri"/>
          <w:sz w:val="22"/>
          <w:szCs w:val="22"/>
        </w:rPr>
        <w:t>es una advertencia o intimidación que constituye una posible causa de riesgo o perjuicio; puede manifestarse de manera física (a través de miradas o gestos) o verbal y tiene por fin crear y reforzar la sumisión y el silenciamiento. Hay amenazas de muerte, de agresiones físicas, de traslado, de cambio de pabellón, de obstrucción al régimen de progresividad de la pena, de aislamiento, de fraguado de causa, de desvinculación familiar/social, entre otras. Como se ve, se trata de un tipo de tortura asoci</w:t>
      </w:r>
      <w:r w:rsidRPr="003E3F5D">
        <w:rPr>
          <w:rFonts w:ascii="Calibri" w:eastAsia="Calibri" w:hAnsi="Calibri" w:cs="Calibri"/>
          <w:sz w:val="22"/>
          <w:szCs w:val="22"/>
        </w:rPr>
        <w:t>ado a otros, ya sea real o potencialmente. Las amenazas se producen por diferentes motivos o propósitos: como represalia por haber informado al poder judicial una irregularidad o ilegalidad, como amedrentamiento para evitarlo, por solicitar entrevista con autoridad judicial o institucional, por quejarse o protestar ante una autoridad a causa de un desacuerdo o inconformidad, para obtener datos requeridos por la autoridad, o para que se incrimine o incrimine a otros/as en un hecho delictivo.  Las amenazas en</w:t>
      </w:r>
      <w:r w:rsidRPr="003E3F5D">
        <w:rPr>
          <w:rFonts w:ascii="Calibri" w:eastAsia="Calibri" w:hAnsi="Calibri" w:cs="Calibri"/>
          <w:sz w:val="22"/>
          <w:szCs w:val="22"/>
        </w:rPr>
        <w:t xml:space="preserve"> contextos de encierro se cumplen en un alto porcentaje, toda vez que los agentes penitenciarios suponen que su incumplimiento los coloca en un lugar de debilidad o falta de autoridad, valores que consideran indispensables para el gobierno o control de la población encarcelada</w:t>
      </w:r>
    </w:p>
    <w:p w14:paraId="7B54DF29"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Por último, las </w:t>
      </w:r>
      <w:r w:rsidRPr="003E3F5D">
        <w:rPr>
          <w:rFonts w:ascii="Calibri" w:eastAsia="Calibri" w:hAnsi="Calibri" w:cs="Calibri"/>
          <w:b/>
          <w:sz w:val="22"/>
          <w:szCs w:val="22"/>
        </w:rPr>
        <w:t>agresiones físicas</w:t>
      </w:r>
      <w:r w:rsidRPr="003E3F5D">
        <w:rPr>
          <w:rFonts w:ascii="Calibri" w:eastAsia="Calibri" w:hAnsi="Calibri" w:cs="Calibri"/>
          <w:sz w:val="22"/>
          <w:szCs w:val="22"/>
        </w:rPr>
        <w:t xml:space="preserve"> de agentes penitenciarios —que representan el 3,5% de los hechos de tortura relevados por la CPM durante 2024— se producen en diversas circunstancias, como la represión por conflicto entre presos/as; la represión ante pedidos, reclamos y/o denuncias; durante el ingreso a una cárcel; el traslado entre unidades; las requisas; el aislamiento; entre otras.</w:t>
      </w:r>
    </w:p>
    <w:p w14:paraId="02022541"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En cuanto a la modalidad, las agresiones incluyen golpes de puño, golpes con objetos contundentes, aplicación de gas pimienta o lacrimógeno, disparo de balas de goma, sujeciones prolongadas, asfixias o ahorcamientos, quemaduras, uso de picana eléctrica, entre otras</w:t>
      </w:r>
    </w:p>
    <w:p w14:paraId="275BDDBF" w14:textId="77777777" w:rsidR="00165BED" w:rsidRPr="003E3F5D" w:rsidRDefault="00165BED" w:rsidP="003E3F5D">
      <w:pPr>
        <w:jc w:val="both"/>
        <w:rPr>
          <w:rFonts w:ascii="Calibri" w:eastAsia="Calibri" w:hAnsi="Calibri" w:cs="Calibri"/>
          <w:sz w:val="22"/>
          <w:szCs w:val="22"/>
        </w:rPr>
      </w:pPr>
    </w:p>
    <w:p w14:paraId="0A56A589" w14:textId="77777777" w:rsidR="00165BED" w:rsidRPr="003E3F5D" w:rsidRDefault="009D4909" w:rsidP="003E3F5D">
      <w:pPr>
        <w:pStyle w:val="Heading2"/>
        <w:jc w:val="both"/>
        <w:rPr>
          <w:rFonts w:ascii="Calibri" w:eastAsia="Calibri" w:hAnsi="Calibri" w:cs="Calibri"/>
          <w:sz w:val="22"/>
          <w:szCs w:val="22"/>
        </w:rPr>
      </w:pPr>
      <w:bookmarkStart w:id="30" w:name="_Toc211292074"/>
      <w:r w:rsidRPr="003E3F5D">
        <w:rPr>
          <w:rFonts w:ascii="Calibri" w:eastAsia="Calibri" w:hAnsi="Calibri" w:cs="Calibri"/>
          <w:sz w:val="22"/>
          <w:szCs w:val="22"/>
        </w:rPr>
        <w:t>Casos de graves de salud y la imposibilidad de otorgamiento de medidas alternativas</w:t>
      </w:r>
      <w:bookmarkEnd w:id="30"/>
    </w:p>
    <w:p w14:paraId="39192547"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En cada informe anual, la Comisión Provincial de la Memoria (CPM) ha denunciado la vulneración del derecho de la salud de las personas encarceladas en el SPB como práctica sistemática de tortura y malos tratos. La falta o deficiente asistencia de salud es el hecho de tortura más comunicado a la CPM por las víctimas o sus familiares. En 2024 se registraron 20.923 hechos, el 32% del total de hechos de tortura comunicados. El 40% del total de víctimas alojadas en cárceles o alcaidías registradas por la CPM en </w:t>
      </w:r>
      <w:r w:rsidRPr="003E3F5D">
        <w:rPr>
          <w:rFonts w:ascii="Calibri" w:eastAsia="Calibri" w:hAnsi="Calibri" w:cs="Calibri"/>
          <w:sz w:val="22"/>
          <w:szCs w:val="22"/>
        </w:rPr>
        <w:t xml:space="preserve">2024 comunicó el padecimiento de, al menos, un hecho de desatención a la salud: un promedio de 3,6 hechos por persona. </w:t>
      </w:r>
    </w:p>
    <w:p w14:paraId="14B7EA97"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El tipo de hecho más comunicado es Falta o deficiente acceso a la atención extramuros, con un 30%. Es decir, las personas requieren atención de servicios especializados o realización de estudios en hospitales ya que no son realizados dentro de las unidades. El segundo hecho más comunicado es “Falta o deficiente acceso a medicación”, con un 21% del total, en línea con la situación de escasez que se detallará en el presente capítulo. </w:t>
      </w:r>
    </w:p>
    <w:p w14:paraId="6EAF5581" w14:textId="77777777" w:rsidR="00165BED" w:rsidRPr="003E3F5D" w:rsidRDefault="009D4909" w:rsidP="003E3F5D">
      <w:pPr>
        <w:spacing w:before="120" w:after="0"/>
        <w:jc w:val="both"/>
        <w:rPr>
          <w:rFonts w:ascii="Calibri" w:eastAsia="Calibri" w:hAnsi="Calibri" w:cs="Calibri"/>
          <w:b/>
          <w:sz w:val="22"/>
          <w:szCs w:val="22"/>
        </w:rPr>
      </w:pPr>
      <w:r w:rsidRPr="003E3F5D">
        <w:rPr>
          <w:rFonts w:ascii="Calibri" w:eastAsia="Calibri" w:hAnsi="Calibri" w:cs="Calibri"/>
          <w:b/>
          <w:sz w:val="22"/>
          <w:szCs w:val="22"/>
        </w:rPr>
        <w:t xml:space="preserve">Tabla 1. </w:t>
      </w:r>
      <w:r w:rsidRPr="003E3F5D">
        <w:rPr>
          <w:rFonts w:ascii="Calibri" w:eastAsia="Calibri" w:hAnsi="Calibri" w:cs="Calibri"/>
          <w:sz w:val="22"/>
          <w:szCs w:val="22"/>
        </w:rPr>
        <w:t xml:space="preserve">Hechos de </w:t>
      </w:r>
      <w:r w:rsidRPr="003E3F5D">
        <w:rPr>
          <w:rFonts w:ascii="Calibri" w:eastAsia="Calibri" w:hAnsi="Calibri" w:cs="Calibri"/>
          <w:i/>
          <w:sz w:val="22"/>
          <w:szCs w:val="22"/>
        </w:rPr>
        <w:t>Falta o deficiente asistencia de la salud</w:t>
      </w:r>
      <w:r w:rsidRPr="003E3F5D">
        <w:rPr>
          <w:rFonts w:ascii="Calibri" w:eastAsia="Calibri" w:hAnsi="Calibri" w:cs="Calibri"/>
          <w:sz w:val="22"/>
          <w:szCs w:val="22"/>
        </w:rPr>
        <w:t xml:space="preserve"> comunicados a la CPM padecidos por personas detenidas en cárceles y alcaidías del SPB, según tipo, 2024</w:t>
      </w:r>
    </w:p>
    <w:tbl>
      <w:tblPr>
        <w:tblStyle w:val="a1"/>
        <w:tblW w:w="7339" w:type="dxa"/>
        <w:jc w:val="center"/>
        <w:tblInd w:w="0" w:type="dxa"/>
        <w:tblLayout w:type="fixed"/>
        <w:tblLook w:val="0400" w:firstRow="0" w:lastRow="0" w:firstColumn="0" w:lastColumn="0" w:noHBand="0" w:noVBand="1"/>
      </w:tblPr>
      <w:tblGrid>
        <w:gridCol w:w="5103"/>
        <w:gridCol w:w="1031"/>
        <w:gridCol w:w="1205"/>
      </w:tblGrid>
      <w:tr w:rsidR="00165BED" w:rsidRPr="003E3F5D" w14:paraId="1BB325ED" w14:textId="77777777">
        <w:trPr>
          <w:trHeight w:val="300"/>
          <w:jc w:val="center"/>
        </w:trPr>
        <w:tc>
          <w:tcPr>
            <w:tcW w:w="5103" w:type="dxa"/>
            <w:tcBorders>
              <w:top w:val="single" w:sz="4" w:space="0" w:color="000000"/>
              <w:left w:val="single" w:sz="4" w:space="0" w:color="000000"/>
              <w:bottom w:val="single" w:sz="4" w:space="0" w:color="000000"/>
              <w:right w:val="single" w:sz="4" w:space="0" w:color="000000"/>
            </w:tcBorders>
            <w:vAlign w:val="bottom"/>
          </w:tcPr>
          <w:p w14:paraId="57702DF9" w14:textId="77777777" w:rsidR="00165BED" w:rsidRPr="003E3F5D" w:rsidRDefault="009D4909" w:rsidP="003E3F5D">
            <w:pPr>
              <w:spacing w:before="120" w:after="0"/>
              <w:jc w:val="both"/>
              <w:rPr>
                <w:rFonts w:ascii="Calibri" w:eastAsia="Calibri" w:hAnsi="Calibri" w:cs="Calibri"/>
                <w:b/>
                <w:color w:val="000000"/>
                <w:sz w:val="22"/>
                <w:szCs w:val="22"/>
              </w:rPr>
            </w:pPr>
            <w:r w:rsidRPr="003E3F5D">
              <w:rPr>
                <w:rFonts w:ascii="Calibri" w:eastAsia="Calibri" w:hAnsi="Calibri" w:cs="Calibri"/>
                <w:b/>
                <w:color w:val="000000"/>
                <w:sz w:val="22"/>
                <w:szCs w:val="22"/>
              </w:rPr>
              <w:t>Tipo de hecho</w:t>
            </w:r>
            <w:r w:rsidRPr="003E3F5D">
              <w:rPr>
                <w:rFonts w:ascii="Calibri" w:eastAsia="Calibri" w:hAnsi="Calibri" w:cs="Calibri"/>
                <w:b/>
                <w:color w:val="000000"/>
                <w:sz w:val="22"/>
                <w:szCs w:val="22"/>
                <w:vertAlign w:val="superscript"/>
              </w:rPr>
              <w:footnoteReference w:id="49"/>
            </w:r>
          </w:p>
        </w:tc>
        <w:tc>
          <w:tcPr>
            <w:tcW w:w="1031" w:type="dxa"/>
            <w:tcBorders>
              <w:top w:val="single" w:sz="4" w:space="0" w:color="000000"/>
              <w:left w:val="nil"/>
              <w:bottom w:val="single" w:sz="4" w:space="0" w:color="000000"/>
              <w:right w:val="single" w:sz="4" w:space="0" w:color="000000"/>
            </w:tcBorders>
            <w:vAlign w:val="bottom"/>
          </w:tcPr>
          <w:p w14:paraId="05A089E5" w14:textId="77777777" w:rsidR="00165BED" w:rsidRPr="003E3F5D" w:rsidRDefault="009D4909" w:rsidP="003E3F5D">
            <w:pPr>
              <w:spacing w:before="120" w:after="0"/>
              <w:jc w:val="both"/>
              <w:rPr>
                <w:rFonts w:ascii="Calibri" w:eastAsia="Calibri" w:hAnsi="Calibri" w:cs="Calibri"/>
                <w:b/>
                <w:color w:val="000000"/>
                <w:sz w:val="22"/>
                <w:szCs w:val="22"/>
              </w:rPr>
            </w:pPr>
            <w:r w:rsidRPr="003E3F5D">
              <w:rPr>
                <w:rFonts w:ascii="Calibri" w:eastAsia="Calibri" w:hAnsi="Calibri" w:cs="Calibri"/>
                <w:b/>
                <w:color w:val="000000"/>
                <w:sz w:val="22"/>
                <w:szCs w:val="22"/>
              </w:rPr>
              <w:t>Cantidad</w:t>
            </w:r>
          </w:p>
        </w:tc>
        <w:tc>
          <w:tcPr>
            <w:tcW w:w="1205" w:type="dxa"/>
            <w:tcBorders>
              <w:top w:val="single" w:sz="4" w:space="0" w:color="000000"/>
              <w:left w:val="nil"/>
              <w:bottom w:val="single" w:sz="4" w:space="0" w:color="000000"/>
              <w:right w:val="single" w:sz="4" w:space="0" w:color="000000"/>
            </w:tcBorders>
            <w:vAlign w:val="bottom"/>
          </w:tcPr>
          <w:p w14:paraId="7AD6C0E6" w14:textId="77777777" w:rsidR="00165BED" w:rsidRPr="003E3F5D" w:rsidRDefault="009D4909" w:rsidP="003E3F5D">
            <w:pPr>
              <w:spacing w:before="120" w:after="0"/>
              <w:jc w:val="both"/>
              <w:rPr>
                <w:rFonts w:ascii="Calibri" w:eastAsia="Calibri" w:hAnsi="Calibri" w:cs="Calibri"/>
                <w:b/>
                <w:color w:val="000000"/>
                <w:sz w:val="22"/>
                <w:szCs w:val="22"/>
              </w:rPr>
            </w:pPr>
            <w:r w:rsidRPr="003E3F5D">
              <w:rPr>
                <w:rFonts w:ascii="Calibri" w:eastAsia="Calibri" w:hAnsi="Calibri" w:cs="Calibri"/>
                <w:b/>
                <w:color w:val="000000"/>
                <w:sz w:val="22"/>
                <w:szCs w:val="22"/>
              </w:rPr>
              <w:t>Porcentaje</w:t>
            </w:r>
          </w:p>
        </w:tc>
      </w:tr>
      <w:tr w:rsidR="00165BED" w:rsidRPr="003E3F5D" w14:paraId="3C17F877"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42C2BE01"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Falta o deficiente acceso a la atención extramuros</w:t>
            </w:r>
          </w:p>
        </w:tc>
        <w:tc>
          <w:tcPr>
            <w:tcW w:w="1031" w:type="dxa"/>
            <w:tcBorders>
              <w:top w:val="nil"/>
              <w:left w:val="nil"/>
              <w:bottom w:val="single" w:sz="4" w:space="0" w:color="000000"/>
              <w:right w:val="single" w:sz="4" w:space="0" w:color="000000"/>
            </w:tcBorders>
            <w:vAlign w:val="bottom"/>
          </w:tcPr>
          <w:p w14:paraId="43FFFC16"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6.454</w:t>
            </w:r>
          </w:p>
        </w:tc>
        <w:tc>
          <w:tcPr>
            <w:tcW w:w="1205" w:type="dxa"/>
            <w:tcBorders>
              <w:top w:val="nil"/>
              <w:left w:val="nil"/>
              <w:bottom w:val="single" w:sz="4" w:space="0" w:color="000000"/>
              <w:right w:val="single" w:sz="4" w:space="0" w:color="000000"/>
            </w:tcBorders>
            <w:vAlign w:val="bottom"/>
          </w:tcPr>
          <w:p w14:paraId="4E76BC05"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31%</w:t>
            </w:r>
          </w:p>
        </w:tc>
      </w:tr>
      <w:tr w:rsidR="00165BED" w:rsidRPr="003E3F5D" w14:paraId="15F08E7A"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7EA3AF3D"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Falta o deficiente acceso a medicación</w:t>
            </w:r>
          </w:p>
        </w:tc>
        <w:tc>
          <w:tcPr>
            <w:tcW w:w="1031" w:type="dxa"/>
            <w:tcBorders>
              <w:top w:val="nil"/>
              <w:left w:val="nil"/>
              <w:bottom w:val="single" w:sz="4" w:space="0" w:color="000000"/>
              <w:right w:val="single" w:sz="4" w:space="0" w:color="000000"/>
            </w:tcBorders>
            <w:vAlign w:val="bottom"/>
          </w:tcPr>
          <w:p w14:paraId="6886B856"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4.334</w:t>
            </w:r>
          </w:p>
        </w:tc>
        <w:tc>
          <w:tcPr>
            <w:tcW w:w="1205" w:type="dxa"/>
            <w:tcBorders>
              <w:top w:val="nil"/>
              <w:left w:val="nil"/>
              <w:bottom w:val="single" w:sz="4" w:space="0" w:color="000000"/>
              <w:right w:val="single" w:sz="4" w:space="0" w:color="000000"/>
            </w:tcBorders>
            <w:vAlign w:val="bottom"/>
          </w:tcPr>
          <w:p w14:paraId="135A9AC7"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21%</w:t>
            </w:r>
          </w:p>
        </w:tc>
      </w:tr>
      <w:tr w:rsidR="00165BED" w:rsidRPr="003E3F5D" w14:paraId="75554255"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48968B0D"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No le realizan o le realizan deficientemente tratamientos/curaciones/controles</w:t>
            </w:r>
          </w:p>
        </w:tc>
        <w:tc>
          <w:tcPr>
            <w:tcW w:w="1031" w:type="dxa"/>
            <w:tcBorders>
              <w:top w:val="nil"/>
              <w:left w:val="nil"/>
              <w:bottom w:val="single" w:sz="4" w:space="0" w:color="000000"/>
              <w:right w:val="single" w:sz="4" w:space="0" w:color="000000"/>
            </w:tcBorders>
            <w:vAlign w:val="bottom"/>
          </w:tcPr>
          <w:p w14:paraId="52615C6B"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3.476</w:t>
            </w:r>
          </w:p>
        </w:tc>
        <w:tc>
          <w:tcPr>
            <w:tcW w:w="1205" w:type="dxa"/>
            <w:tcBorders>
              <w:top w:val="nil"/>
              <w:left w:val="nil"/>
              <w:bottom w:val="single" w:sz="4" w:space="0" w:color="000000"/>
              <w:right w:val="single" w:sz="4" w:space="0" w:color="000000"/>
            </w:tcBorders>
            <w:vAlign w:val="bottom"/>
          </w:tcPr>
          <w:p w14:paraId="7C2367E2"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17%</w:t>
            </w:r>
          </w:p>
        </w:tc>
      </w:tr>
      <w:tr w:rsidR="00165BED" w:rsidRPr="003E3F5D" w14:paraId="68A4565B"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62DEB32F"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Restricciones en el acceso al área de sanidad</w:t>
            </w:r>
          </w:p>
        </w:tc>
        <w:tc>
          <w:tcPr>
            <w:tcW w:w="1031" w:type="dxa"/>
            <w:tcBorders>
              <w:top w:val="nil"/>
              <w:left w:val="nil"/>
              <w:bottom w:val="single" w:sz="4" w:space="0" w:color="000000"/>
              <w:right w:val="single" w:sz="4" w:space="0" w:color="000000"/>
            </w:tcBorders>
            <w:vAlign w:val="bottom"/>
          </w:tcPr>
          <w:p w14:paraId="148CF91B"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2.850</w:t>
            </w:r>
          </w:p>
        </w:tc>
        <w:tc>
          <w:tcPr>
            <w:tcW w:w="1205" w:type="dxa"/>
            <w:tcBorders>
              <w:top w:val="nil"/>
              <w:left w:val="nil"/>
              <w:bottom w:val="single" w:sz="4" w:space="0" w:color="000000"/>
              <w:right w:val="single" w:sz="4" w:space="0" w:color="000000"/>
            </w:tcBorders>
            <w:vAlign w:val="bottom"/>
          </w:tcPr>
          <w:p w14:paraId="7F3D2AEA"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14%</w:t>
            </w:r>
          </w:p>
        </w:tc>
      </w:tr>
      <w:tr w:rsidR="00165BED" w:rsidRPr="003E3F5D" w14:paraId="57669D7C"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0391CAF0"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No le realizan o le realizan deficientemente estudios</w:t>
            </w:r>
          </w:p>
        </w:tc>
        <w:tc>
          <w:tcPr>
            <w:tcW w:w="1031" w:type="dxa"/>
            <w:tcBorders>
              <w:top w:val="nil"/>
              <w:left w:val="nil"/>
              <w:bottom w:val="single" w:sz="4" w:space="0" w:color="000000"/>
              <w:right w:val="single" w:sz="4" w:space="0" w:color="000000"/>
            </w:tcBorders>
            <w:vAlign w:val="bottom"/>
          </w:tcPr>
          <w:p w14:paraId="0B22FF8E"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2.262</w:t>
            </w:r>
          </w:p>
        </w:tc>
        <w:tc>
          <w:tcPr>
            <w:tcW w:w="1205" w:type="dxa"/>
            <w:tcBorders>
              <w:top w:val="nil"/>
              <w:left w:val="nil"/>
              <w:bottom w:val="single" w:sz="4" w:space="0" w:color="000000"/>
              <w:right w:val="single" w:sz="4" w:space="0" w:color="000000"/>
            </w:tcBorders>
            <w:vAlign w:val="bottom"/>
          </w:tcPr>
          <w:p w14:paraId="58B29E0F"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11%</w:t>
            </w:r>
          </w:p>
        </w:tc>
      </w:tr>
      <w:tr w:rsidR="00165BED" w:rsidRPr="003E3F5D" w14:paraId="25AC09D2"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16B47770"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Falta o deficiente dieta especial</w:t>
            </w:r>
          </w:p>
        </w:tc>
        <w:tc>
          <w:tcPr>
            <w:tcW w:w="1031" w:type="dxa"/>
            <w:tcBorders>
              <w:top w:val="nil"/>
              <w:left w:val="nil"/>
              <w:bottom w:val="single" w:sz="4" w:space="0" w:color="000000"/>
              <w:right w:val="single" w:sz="4" w:space="0" w:color="000000"/>
            </w:tcBorders>
            <w:vAlign w:val="bottom"/>
          </w:tcPr>
          <w:p w14:paraId="2456D1EA"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1.173</w:t>
            </w:r>
          </w:p>
        </w:tc>
        <w:tc>
          <w:tcPr>
            <w:tcW w:w="1205" w:type="dxa"/>
            <w:tcBorders>
              <w:top w:val="nil"/>
              <w:left w:val="nil"/>
              <w:bottom w:val="single" w:sz="4" w:space="0" w:color="000000"/>
              <w:right w:val="single" w:sz="4" w:space="0" w:color="000000"/>
            </w:tcBorders>
            <w:vAlign w:val="bottom"/>
          </w:tcPr>
          <w:p w14:paraId="31BFC9C3"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6%</w:t>
            </w:r>
          </w:p>
        </w:tc>
      </w:tr>
      <w:tr w:rsidR="00165BED" w:rsidRPr="003E3F5D" w14:paraId="71DF027C"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540177CF"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Otros hechos de desatención de la salud</w:t>
            </w:r>
          </w:p>
        </w:tc>
        <w:tc>
          <w:tcPr>
            <w:tcW w:w="1031" w:type="dxa"/>
            <w:tcBorders>
              <w:top w:val="nil"/>
              <w:left w:val="nil"/>
              <w:bottom w:val="single" w:sz="4" w:space="0" w:color="000000"/>
              <w:right w:val="single" w:sz="4" w:space="0" w:color="000000"/>
            </w:tcBorders>
            <w:vAlign w:val="bottom"/>
          </w:tcPr>
          <w:p w14:paraId="575E14B8"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374</w:t>
            </w:r>
          </w:p>
        </w:tc>
        <w:tc>
          <w:tcPr>
            <w:tcW w:w="1205" w:type="dxa"/>
            <w:tcBorders>
              <w:top w:val="nil"/>
              <w:left w:val="nil"/>
              <w:bottom w:val="single" w:sz="4" w:space="0" w:color="000000"/>
              <w:right w:val="single" w:sz="4" w:space="0" w:color="000000"/>
            </w:tcBorders>
            <w:vAlign w:val="bottom"/>
          </w:tcPr>
          <w:p w14:paraId="4F4DAC7C" w14:textId="77777777" w:rsidR="00165BED" w:rsidRPr="003E3F5D" w:rsidRDefault="009D4909" w:rsidP="003E3F5D">
            <w:pPr>
              <w:spacing w:before="120" w:after="0"/>
              <w:jc w:val="both"/>
              <w:rPr>
                <w:rFonts w:ascii="Calibri" w:eastAsia="Calibri" w:hAnsi="Calibri" w:cs="Calibri"/>
                <w:color w:val="000000"/>
                <w:sz w:val="22"/>
                <w:szCs w:val="22"/>
              </w:rPr>
            </w:pPr>
            <w:r w:rsidRPr="003E3F5D">
              <w:rPr>
                <w:rFonts w:ascii="Calibri" w:eastAsia="Calibri" w:hAnsi="Calibri" w:cs="Calibri"/>
                <w:color w:val="000000"/>
                <w:sz w:val="22"/>
                <w:szCs w:val="22"/>
              </w:rPr>
              <w:t>2%</w:t>
            </w:r>
          </w:p>
        </w:tc>
      </w:tr>
      <w:tr w:rsidR="00165BED" w:rsidRPr="003E3F5D" w14:paraId="73E2D225" w14:textId="77777777">
        <w:trPr>
          <w:trHeight w:val="300"/>
          <w:jc w:val="center"/>
        </w:trPr>
        <w:tc>
          <w:tcPr>
            <w:tcW w:w="5103" w:type="dxa"/>
            <w:tcBorders>
              <w:top w:val="nil"/>
              <w:left w:val="single" w:sz="4" w:space="0" w:color="000000"/>
              <w:bottom w:val="single" w:sz="4" w:space="0" w:color="000000"/>
              <w:right w:val="single" w:sz="4" w:space="0" w:color="000000"/>
            </w:tcBorders>
            <w:vAlign w:val="bottom"/>
          </w:tcPr>
          <w:p w14:paraId="136F4F67" w14:textId="77777777" w:rsidR="00165BED" w:rsidRPr="003E3F5D" w:rsidRDefault="009D4909" w:rsidP="003E3F5D">
            <w:pPr>
              <w:spacing w:before="120" w:after="0"/>
              <w:jc w:val="both"/>
              <w:rPr>
                <w:rFonts w:ascii="Calibri" w:eastAsia="Calibri" w:hAnsi="Calibri" w:cs="Calibri"/>
                <w:b/>
                <w:sz w:val="22"/>
                <w:szCs w:val="22"/>
              </w:rPr>
            </w:pPr>
            <w:r w:rsidRPr="003E3F5D">
              <w:rPr>
                <w:rFonts w:ascii="Calibri" w:eastAsia="Calibri" w:hAnsi="Calibri" w:cs="Calibri"/>
                <w:b/>
                <w:sz w:val="22"/>
                <w:szCs w:val="22"/>
              </w:rPr>
              <w:t>Total</w:t>
            </w:r>
          </w:p>
        </w:tc>
        <w:tc>
          <w:tcPr>
            <w:tcW w:w="1031" w:type="dxa"/>
            <w:tcBorders>
              <w:top w:val="nil"/>
              <w:left w:val="nil"/>
              <w:bottom w:val="single" w:sz="4" w:space="0" w:color="000000"/>
              <w:right w:val="single" w:sz="4" w:space="0" w:color="000000"/>
            </w:tcBorders>
            <w:vAlign w:val="bottom"/>
          </w:tcPr>
          <w:p w14:paraId="3045DBBD" w14:textId="77777777" w:rsidR="00165BED" w:rsidRPr="003E3F5D" w:rsidRDefault="009D4909" w:rsidP="003E3F5D">
            <w:pPr>
              <w:spacing w:before="120" w:after="0"/>
              <w:jc w:val="both"/>
              <w:rPr>
                <w:rFonts w:ascii="Calibri" w:eastAsia="Calibri" w:hAnsi="Calibri" w:cs="Calibri"/>
                <w:b/>
                <w:sz w:val="22"/>
                <w:szCs w:val="22"/>
              </w:rPr>
            </w:pPr>
            <w:r w:rsidRPr="003E3F5D">
              <w:rPr>
                <w:rFonts w:ascii="Calibri" w:eastAsia="Calibri" w:hAnsi="Calibri" w:cs="Calibri"/>
                <w:b/>
                <w:sz w:val="22"/>
                <w:szCs w:val="22"/>
              </w:rPr>
              <w:t>20.923</w:t>
            </w:r>
          </w:p>
        </w:tc>
        <w:tc>
          <w:tcPr>
            <w:tcW w:w="1205" w:type="dxa"/>
            <w:tcBorders>
              <w:top w:val="nil"/>
              <w:left w:val="nil"/>
              <w:bottom w:val="single" w:sz="4" w:space="0" w:color="000000"/>
              <w:right w:val="single" w:sz="4" w:space="0" w:color="000000"/>
            </w:tcBorders>
            <w:vAlign w:val="bottom"/>
          </w:tcPr>
          <w:p w14:paraId="030BB9C8" w14:textId="77777777" w:rsidR="00165BED" w:rsidRPr="003E3F5D" w:rsidRDefault="009D4909" w:rsidP="003E3F5D">
            <w:pPr>
              <w:spacing w:before="120" w:after="0"/>
              <w:jc w:val="both"/>
              <w:rPr>
                <w:rFonts w:ascii="Calibri" w:eastAsia="Calibri" w:hAnsi="Calibri" w:cs="Calibri"/>
                <w:b/>
                <w:color w:val="000000"/>
                <w:sz w:val="22"/>
                <w:szCs w:val="22"/>
              </w:rPr>
            </w:pPr>
            <w:r w:rsidRPr="003E3F5D">
              <w:rPr>
                <w:rFonts w:ascii="Calibri" w:eastAsia="Calibri" w:hAnsi="Calibri" w:cs="Calibri"/>
                <w:b/>
                <w:color w:val="000000"/>
                <w:sz w:val="22"/>
                <w:szCs w:val="22"/>
              </w:rPr>
              <w:t>100%</w:t>
            </w:r>
          </w:p>
        </w:tc>
      </w:tr>
    </w:tbl>
    <w:p w14:paraId="5FA4C0E4" w14:textId="77777777" w:rsidR="00165BED" w:rsidRPr="003E3F5D" w:rsidRDefault="009D4909" w:rsidP="003E3F5D">
      <w:pPr>
        <w:pBdr>
          <w:top w:val="nil"/>
          <w:left w:val="nil"/>
          <w:bottom w:val="nil"/>
          <w:right w:val="nil"/>
          <w:between w:val="nil"/>
        </w:pBdr>
        <w:spacing w:before="120" w:after="120" w:line="276" w:lineRule="auto"/>
        <w:jc w:val="both"/>
        <w:rPr>
          <w:rFonts w:ascii="Calibri" w:eastAsia="Calibri" w:hAnsi="Calibri" w:cs="Calibri"/>
          <w:color w:val="000000"/>
          <w:sz w:val="22"/>
          <w:szCs w:val="22"/>
        </w:rPr>
      </w:pPr>
      <w:r w:rsidRPr="003E3F5D">
        <w:rPr>
          <w:rFonts w:ascii="Calibri" w:eastAsia="Calibri" w:hAnsi="Calibri" w:cs="Calibri"/>
          <w:b/>
          <w:color w:val="000000"/>
          <w:sz w:val="22"/>
          <w:szCs w:val="22"/>
        </w:rPr>
        <w:t>Fuente</w:t>
      </w:r>
      <w:r w:rsidRPr="003E3F5D">
        <w:rPr>
          <w:rFonts w:ascii="Calibri" w:eastAsia="Calibri" w:hAnsi="Calibri" w:cs="Calibri"/>
          <w:color w:val="000000"/>
          <w:sz w:val="22"/>
          <w:szCs w:val="22"/>
        </w:rPr>
        <w:t>: SAVIT.</w:t>
      </w:r>
    </w:p>
    <w:p w14:paraId="4E88C784"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Estos datos expresan, cuantitativamente, la obstaculización del derecho a la salud en el encierro. Datos alarmantes si se considera que la falta o deficiente asistencia de la salud es la principal causa de muerte en las cárceles del SPB.</w:t>
      </w:r>
      <w:r w:rsidRPr="003E3F5D">
        <w:rPr>
          <w:rFonts w:ascii="Calibri" w:eastAsia="Calibri" w:hAnsi="Calibri" w:cs="Calibri"/>
          <w:sz w:val="22"/>
          <w:szCs w:val="22"/>
          <w:vertAlign w:val="superscript"/>
        </w:rPr>
        <w:footnoteReference w:id="50"/>
      </w:r>
      <w:r w:rsidRPr="003E3F5D">
        <w:rPr>
          <w:rFonts w:ascii="Calibri" w:eastAsia="Calibri" w:hAnsi="Calibri" w:cs="Calibri"/>
          <w:sz w:val="22"/>
          <w:szCs w:val="22"/>
        </w:rPr>
        <w:t xml:space="preserve"> La cárcel degrada a las personas, produce enfermedades que, por no ser adecuadamente tratadas, derivan en la muerte. </w:t>
      </w:r>
    </w:p>
    <w:p w14:paraId="705AE0E0"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Las personas que intentan en la cárcel acceder a respuestas a sus dolencias se encuentran con falta de información e incertidumbre. El tiempo se vuelve un factor determinante: los desfasajes entre quienes necesitan respuestas urgentes y la burocratización del sistema que demora meses o incluso años en brindar el abordaje adecuado, si es que efectivamente sucede, impactando en la salud de las personas, generando sufrimiento, angustia, discapacidades y, en algunos casos, la muerte. </w:t>
      </w:r>
    </w:p>
    <w:p w14:paraId="6971EDFB"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La CPM, a partir de sus tareas de monitoreo y el seguimiento de casos complejos de salud, ha expuesto la desarticulación entre el Servicio Penitenciario y la Dirección Provincial de Salud Penitencia, impactando directamente en la atención de la salud de las personas detenidas. Las autoridades de las unidades penales desconocen el funcionamiento del sector de Sanidad y responsabilizan al personal sanitario y de gestión de salud penitenciaria la falta de atención médica. Esto se ha evidenciado en las diferent</w:t>
      </w:r>
      <w:r w:rsidRPr="003E3F5D">
        <w:rPr>
          <w:rFonts w:ascii="Calibri" w:eastAsia="Calibri" w:hAnsi="Calibri" w:cs="Calibri"/>
          <w:sz w:val="22"/>
          <w:szCs w:val="22"/>
        </w:rPr>
        <w:t xml:space="preserve">es entrevistas a autoridades de las cárceles inspeccionadas por la CPM. </w:t>
      </w:r>
    </w:p>
    <w:p w14:paraId="52C392B8"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Por su parte, en las entrevistas al personal sanitario en las diferentes unidades se reconoció la falta de profesionales, de insumos y de medicación. La mayoría coincidió que, a raíz de esta situación, se solicitan turnos a hospitales; pero que no se llevan a cabo debido al incumplimiento del SPB en trasladar a las personas detenidas. </w:t>
      </w:r>
    </w:p>
    <w:p w14:paraId="33E0833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Por otro lado, también se ha observado la desarticulación entre la DPSP y los hospitales extramuros. Reflejada, especialmente, en la gestión de turnos para la realización de estudios y/o la evaluación de distintos servicios que no se llevan a cabo en los Centros de Atención de Salud Penitenciaria (CAS). A partir de las entrevistas a profesionales, se visibilizó que la vía de gestión de turnos depende de las facultades y herramientas que cada unidad sanitaria quiera poner a disposición. Se encontró que el CA</w:t>
      </w:r>
      <w:r w:rsidRPr="003E3F5D">
        <w:rPr>
          <w:rFonts w:ascii="Calibri" w:eastAsia="Calibri" w:hAnsi="Calibri" w:cs="Calibri"/>
          <w:sz w:val="22"/>
          <w:szCs w:val="22"/>
        </w:rPr>
        <w:t>S solicite el pedido a cada hospital por correo electrónico, que el personal sanitario lo gestione de manera presencial o, como se profundizará más adelante, se delegue la gestión a las familias de las personas detenidas</w:t>
      </w:r>
    </w:p>
    <w:p w14:paraId="4715F3A6"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A partir del monitoreo y el seguimiento de casos de la CPM, se ha constatado una profundización en los obstáculos para acceder a los tratamientos médicos que requieren las personas encarceladas. La restricción al acceso de medicamentos siempre ha sido una problemática para aquellas personas cursando enfermedades poco comunes en el encierro. Las medicaciones requeridas comenzaron a faltar ante los recortes presupuestarios a nivel nacional. La imposibilidad de sostener los tratamientos deteriora el estado de </w:t>
      </w:r>
      <w:r w:rsidRPr="003E3F5D">
        <w:rPr>
          <w:rFonts w:ascii="Calibri" w:eastAsia="Calibri" w:hAnsi="Calibri" w:cs="Calibri"/>
          <w:sz w:val="22"/>
          <w:szCs w:val="22"/>
        </w:rPr>
        <w:t>salud significativamente y, en muchos casos, con consecuencias irreversibles. Sin embargo, la situación se ha complejizado durante 2024, ya que la escasez de medicación también se ha relevado en enfermedades crónicas habituales, como hipertensión, diabetes, asma, HIV, entre otras. Se han registrado situaciones donde las personas no accedían a antibióticos, medicación antihipertensiva de primera línea (como enalapril), antirretrovirales, insulina.</w:t>
      </w:r>
    </w:p>
    <w:p w14:paraId="30310305"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A su vez se ha relevado la falta de insumos médicos en las cárceles. Se registraron faltantes de elementos básicos: gasas, vendas, pañales, bolsas de colostomía, sondas vesicales, antisépticos tópicos, cintas hipoalergénicas, tiras reactivas para realizar hemoglucotest, entre otras. Es decir, además de los obstáculos de las personas detenidas para acceder al sector sanitario y la poca voluntad del personal sanitario para atenderlas como ha denunciado la CPM a lo largo de los diferentes informes anuales, la </w:t>
      </w:r>
      <w:r w:rsidRPr="003E3F5D">
        <w:rPr>
          <w:rFonts w:ascii="Calibri" w:eastAsia="Calibri" w:hAnsi="Calibri" w:cs="Calibri"/>
          <w:sz w:val="22"/>
          <w:szCs w:val="22"/>
        </w:rPr>
        <w:t xml:space="preserve">escasez de insumos dificulta detectar tempranamente cuadros de salud, imposibilita un adecuado control de los mismos y agudiza las complicaciones que se derivan de las problemáticas de salud indebidamente tratadas. Estas situaciones requieren, en muchos casos, analgésicos para poder paliar las dolencias. Sin embargo, se observó la ausencia de analgésicos básicos como paracetamol, condicionando a que las personas detenidas sufran dolores de forma constante. </w:t>
      </w:r>
    </w:p>
    <w:p w14:paraId="634D96E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Este panorama del sistema sanitario en las cárceles ha conllevado a que el acceso a la medicación recaiga directamente en las familias de las personas detenidas. Los medicamentos, incluso los más básicos como un analgésico, se han convertido en insumos muy complicados de acceder en el encierro. El derecho al acceso a la salud de las personas detenidas debe ser garantizado por el Estado, pero ha quedado delegado a la disponibilidad y los recursos de sus familias</w:t>
      </w:r>
    </w:p>
    <w:p w14:paraId="32A21B31" w14:textId="77777777" w:rsidR="00165BED" w:rsidRPr="003E3F5D" w:rsidRDefault="00165BED" w:rsidP="003E3F5D">
      <w:pPr>
        <w:jc w:val="both"/>
        <w:rPr>
          <w:rFonts w:ascii="Calibri" w:eastAsia="Calibri" w:hAnsi="Calibri" w:cs="Calibri"/>
          <w:sz w:val="22"/>
          <w:szCs w:val="22"/>
        </w:rPr>
      </w:pPr>
    </w:p>
    <w:p w14:paraId="0FF9FE65" w14:textId="77777777" w:rsidR="00165BED" w:rsidRPr="003E3F5D" w:rsidRDefault="009D4909" w:rsidP="003E3F5D">
      <w:pPr>
        <w:pStyle w:val="Heading3"/>
        <w:jc w:val="both"/>
        <w:rPr>
          <w:rFonts w:ascii="Calibri" w:eastAsia="Calibri" w:hAnsi="Calibri" w:cs="Calibri"/>
          <w:sz w:val="22"/>
          <w:szCs w:val="22"/>
        </w:rPr>
      </w:pPr>
      <w:bookmarkStart w:id="31" w:name="_Toc211292075"/>
      <w:r w:rsidRPr="003E3F5D">
        <w:rPr>
          <w:rFonts w:ascii="Calibri" w:eastAsia="Calibri" w:hAnsi="Calibri" w:cs="Calibri"/>
          <w:sz w:val="22"/>
          <w:szCs w:val="22"/>
        </w:rPr>
        <w:t>Ausencia de control judicial efectivo</w:t>
      </w:r>
      <w:bookmarkEnd w:id="31"/>
    </w:p>
    <w:p w14:paraId="04A12922"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Al diagnóstico respecto a la desatención de la salud en las cárceles, se debe sumar el rol del poder judicial, que se constituye en todos los casos como el garante de los derechos de las personas que mantiene encarceladas. Lejos de desconocer las falencias y las problemáticas que posee el sistema sanitario en el SPB, los/as funcionarios/as judiciales tienen información sobre el estado de salud de las personas detenidas a su cargo, de la falta de acceso a los sistemas de salud en general y son advertidos/as </w:t>
      </w:r>
      <w:r w:rsidRPr="003E3F5D">
        <w:rPr>
          <w:rFonts w:ascii="Calibri" w:eastAsia="Calibri" w:hAnsi="Calibri" w:cs="Calibri"/>
          <w:sz w:val="22"/>
          <w:szCs w:val="22"/>
        </w:rPr>
        <w:t xml:space="preserve">del deterioro que sufren con el mero paso del tiempo. </w:t>
      </w:r>
    </w:p>
    <w:p w14:paraId="35B3B8EC"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En la práctica, toda solicitud de atención sanitaria de una persona detenida – ya sea en el sector de sanidad de la unidad donde se aloje o en un hospital general extramuros- se ordena judicialmente. Pero este procedimiento no implica que el poder judicial actúe como garante del derecho a la salud de la persona detenida. </w:t>
      </w:r>
    </w:p>
    <w:p w14:paraId="4AC9F8B8"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A partir de las tareas cotidianas de la CPM, podríamos describir el circuito que se suele registrar: las personas detenidas o sus familias se comunican con la CPM o son entrevistadas en los lugares de encierro, donde nos informan sobre la situación que atraviesan, indican cuáles son las problemáticas de salud, las cuales son informadas por la CPM al órgano judicial correspondiente. Éste, si se logra la respuesta, ordena que se garantice la atención de salud de la persona, pero la misma no se concreta. </w:t>
      </w:r>
    </w:p>
    <w:p w14:paraId="41579385"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Allí es donde se focaliza parte del problema. La falta de ejecución de las órdenes judiciales no deriva en una sanción ni poseen efectos sobre los/as funcionarios/as estatales que no garantizan su cumplimiento. Se han convertido en sentencias virtuales sin impacto concreto en la vida de las personas encarceladas. </w:t>
      </w:r>
    </w:p>
    <w:p w14:paraId="57C325A3"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 xml:space="preserve">La falta de control de los organismos judiciales de sus propias órdenes se presenta como un elemento que añade complejidad y profundiza la vulneración de los derechos de las personas detenidas y, a la vez, legitima el sistema de desatención generalizada. Quienes poseen la autoridad jurisdiccional para asegurar la garantía de derechos de las personas encarceladas, eluden el control posterior que cualquier sentencia requiere. De este modo, para las personas detenidas ya no es suficiente acceder a la justicia </w:t>
      </w:r>
      <w:r w:rsidRPr="003E3F5D">
        <w:rPr>
          <w:rFonts w:ascii="Calibri" w:eastAsia="Calibri" w:hAnsi="Calibri" w:cs="Calibri"/>
          <w:sz w:val="22"/>
          <w:szCs w:val="22"/>
        </w:rPr>
        <w:t xml:space="preserve">para solicitar aquello que requieren o denunciar la situación que padecen, se les suma la necesidad de impulsar el cumplimiento de las órdenes judiciales que se dictan a su favor. Mientras, ven cómo se agravan sus cuadros de salud. </w:t>
      </w:r>
    </w:p>
    <w:p w14:paraId="7487D3A0"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La CPM ha relevado diversas situaciones donde las personas permanecen mucho tiempo, incluso años, con las mismas problemáticas de salud sin ser atendidas; y el poder judicial aparece como un actor pasivo, indicando atenciones médicas que nunca se efectivizan.</w:t>
      </w:r>
    </w:p>
    <w:p w14:paraId="19CE932B"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De hecho, “Problemas de salud” es la principal causa de muerte en el encierro durante todo el período analizado y también durante el último año. En 2024 se registraron 194 muertes por esta causa, una tasa de 36 víctimas cada 10.000 personas, lo que representa un aumento de 33,8% respecto de la tasa de 2023 (26,9). La información disponible resulta insuficiente para determinar con precisión qué factores inciden en los aumentos y descensos en la cantidad de muertes por problemas de salud. La nula o deficiente</w:t>
      </w:r>
      <w:r w:rsidRPr="003E3F5D">
        <w:rPr>
          <w:rFonts w:ascii="Calibri" w:eastAsia="Calibri" w:hAnsi="Calibri" w:cs="Calibri"/>
          <w:sz w:val="22"/>
          <w:szCs w:val="22"/>
        </w:rPr>
        <w:t xml:space="preserve"> atención médica, la falta de medicamentos o realización de estudios diagnósticos, las dificultades permanentes para la atención especializada o extramuros, sumado a la mediación del Servicio Penitenciario Bonaerense, que entorpece el efectivo acceso a espacios sanitarios, son factores constantes en los espacios carcelarios. Es necesario profundizar aún más para lograr determinar la responsabilidad de la Dirección Provincial de Salud Penitenciaria (Ministerio de Justicia) en el elevado número de personas qu</w:t>
      </w:r>
      <w:r w:rsidRPr="003E3F5D">
        <w:rPr>
          <w:rFonts w:ascii="Calibri" w:eastAsia="Calibri" w:hAnsi="Calibri" w:cs="Calibri"/>
          <w:sz w:val="22"/>
          <w:szCs w:val="22"/>
        </w:rPr>
        <w:t>e fallecen por estas razones, ya sea por falta de políticas de promoción de la salud, preventivas y de atención temprana como por brindar una atención deficiente y desinteresada en la salud de las personas detenidas.</w:t>
      </w:r>
    </w:p>
    <w:p w14:paraId="24F09DC8"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La categoría “Problemas de salud” incluye todas las muertes que se produjeron de manera no traumática, y pueden ser consecuencia de estar transitando un problema de salud diagnosticado, o producirse de manera súbita, sin conocer con claridad los motivos que llevaron a ese desenlace, o bien como consecuencia de la falta de atención que lleva a falta de diagnósticos o diagnósticos tardíos.</w:t>
      </w:r>
    </w:p>
    <w:p w14:paraId="3DE1CE3C"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 xml:space="preserve">Al analizar las muertes según el tiempo de detención previo, se destaca que la mayoría de las personas estuvieron detenidas poco tiempo antes de su muerte (Un año o menos, 44,1%; y Entre 2 y 3 años, 20,5%). Por otra parte, si se analiza este dato en relación con la edad de las personas fallecidas, se observa que en todos los grupos etarios la mayor parte de las muertes se producen en el primer año de detención. Particularmente, en el caso de las personas entre 21 y 30 años, 8 de cada 10 fallecieron después </w:t>
      </w:r>
      <w:r w:rsidRPr="003E3F5D">
        <w:rPr>
          <w:rFonts w:ascii="Calibri" w:eastAsia="Calibri" w:hAnsi="Calibri" w:cs="Calibri"/>
          <w:sz w:val="22"/>
          <w:szCs w:val="22"/>
        </w:rPr>
        <w:t>de tres años de detención como máximo.  </w:t>
      </w:r>
    </w:p>
    <w:p w14:paraId="1AB19FB4"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Si se analiza el lugar de muerte, los datos dan cuenta que la mayoría de las personas habían sido trasladadas previamente a hospitales (75%) o bien a la UP 22, cárcel-hospital del SPB (6%). El 13% de las muertes se produjeron en la unidad donde estaba alojada la persona detenida, es decir, sin recibir más atención que la de emergencia, limitada a la reanimación, generalmente por parte de un/a enfermero/a ya que las sanidades no cuentan con médicos suficientes que cubran guardias permanentes.</w:t>
      </w:r>
    </w:p>
    <w:p w14:paraId="2B486FF1"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 xml:space="preserve">Como viene afirmando la CPM desde hace años, este tipo de muertes generalmente son consecuencia de la falta de una atención adecuada, en los casos que contaban con un diagnóstico médico y en aquellos que sufrieron una descompensación repentina. La demora en acceder a la atención médica, la falta de recursos humanos y materiales para abordar hasta los más básicos padecimientos de salud, la desidia y el desprecio por la vida de las personas detenidas son causas directas en este tipo de muertes. </w:t>
      </w:r>
    </w:p>
    <w:p w14:paraId="14FB4932"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 xml:space="preserve">El rol del poder judicial en el marco de las investigaciones sobre las muertes actúa como corolario, avalando la desatención de la salud al ceñirse a buscar </w:t>
      </w:r>
      <w:r w:rsidRPr="003E3F5D">
        <w:rPr>
          <w:rFonts w:ascii="Calibri" w:eastAsia="Calibri" w:hAnsi="Calibri" w:cs="Calibri"/>
          <w:i/>
          <w:sz w:val="22"/>
          <w:szCs w:val="22"/>
        </w:rPr>
        <w:t>la intención de matar,</w:t>
      </w:r>
      <w:r w:rsidRPr="003E3F5D">
        <w:rPr>
          <w:rFonts w:ascii="Calibri" w:eastAsia="Calibri" w:hAnsi="Calibri" w:cs="Calibri"/>
          <w:sz w:val="22"/>
          <w:szCs w:val="22"/>
        </w:rPr>
        <w:t xml:space="preserve"> dejando de lado lo que caracteriza la (no) intervención sanitaria en las cárceles.</w:t>
      </w:r>
    </w:p>
    <w:p w14:paraId="0733B213" w14:textId="77777777" w:rsidR="00165BED" w:rsidRPr="003E3F5D" w:rsidRDefault="00165BED" w:rsidP="003E3F5D">
      <w:pPr>
        <w:ind w:left="708" w:hanging="708"/>
        <w:jc w:val="both"/>
        <w:rPr>
          <w:rFonts w:ascii="Calibri" w:eastAsia="Calibri" w:hAnsi="Calibri" w:cs="Calibri"/>
          <w:b/>
          <w:sz w:val="22"/>
          <w:szCs w:val="22"/>
        </w:rPr>
      </w:pPr>
    </w:p>
    <w:p w14:paraId="65432B23" w14:textId="77777777" w:rsidR="00165BED" w:rsidRPr="003E3F5D" w:rsidRDefault="009D4909" w:rsidP="003E3F5D">
      <w:pPr>
        <w:pStyle w:val="Heading2"/>
        <w:jc w:val="both"/>
        <w:rPr>
          <w:rFonts w:ascii="Calibri" w:eastAsia="Calibri" w:hAnsi="Calibri" w:cs="Calibri"/>
          <w:sz w:val="22"/>
          <w:szCs w:val="22"/>
        </w:rPr>
      </w:pPr>
      <w:bookmarkStart w:id="32" w:name="_Toc211292076"/>
      <w:r w:rsidRPr="003E3F5D">
        <w:rPr>
          <w:rFonts w:ascii="Calibri" w:eastAsia="Calibri" w:hAnsi="Calibri" w:cs="Calibri"/>
          <w:sz w:val="22"/>
          <w:szCs w:val="22"/>
        </w:rPr>
        <w:t>Medidas de aislamiento</w:t>
      </w:r>
      <w:bookmarkEnd w:id="32"/>
    </w:p>
    <w:p w14:paraId="5CDACC4F" w14:textId="77777777" w:rsidR="00165BED" w:rsidRPr="003E3F5D" w:rsidRDefault="009D4909" w:rsidP="003E3F5D">
      <w:pPr>
        <w:pStyle w:val="Heading3"/>
        <w:jc w:val="both"/>
        <w:rPr>
          <w:rFonts w:ascii="Calibri" w:eastAsia="Calibri" w:hAnsi="Calibri" w:cs="Calibri"/>
          <w:sz w:val="22"/>
          <w:szCs w:val="22"/>
        </w:rPr>
      </w:pPr>
      <w:bookmarkStart w:id="33" w:name="_Toc211292077"/>
      <w:r w:rsidRPr="003E3F5D">
        <w:rPr>
          <w:rFonts w:ascii="Calibri" w:eastAsia="Calibri" w:hAnsi="Calibri" w:cs="Calibri"/>
          <w:sz w:val="22"/>
          <w:szCs w:val="22"/>
        </w:rPr>
        <w:t>Las leoneras como tortura y practica disciplinaria</w:t>
      </w:r>
      <w:bookmarkEnd w:id="33"/>
    </w:p>
    <w:p w14:paraId="50DCD06F"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En sus tareas de monitoreo la CPM ha identificado la práctica de </w:t>
      </w:r>
      <w:r w:rsidRPr="003E3F5D">
        <w:rPr>
          <w:rFonts w:ascii="Calibri" w:eastAsia="Calibri" w:hAnsi="Calibri" w:cs="Calibri"/>
          <w:b/>
          <w:sz w:val="22"/>
          <w:szCs w:val="22"/>
        </w:rPr>
        <w:t>aislamiento</w:t>
      </w:r>
      <w:r w:rsidRPr="003E3F5D">
        <w:rPr>
          <w:rFonts w:ascii="Calibri" w:eastAsia="Calibri" w:hAnsi="Calibri" w:cs="Calibri"/>
          <w:sz w:val="22"/>
          <w:szCs w:val="22"/>
          <w:vertAlign w:val="superscript"/>
        </w:rPr>
        <w:footnoteReference w:id="51"/>
      </w:r>
      <w:r w:rsidRPr="003E3F5D">
        <w:rPr>
          <w:rFonts w:ascii="Calibri" w:eastAsia="Calibri" w:hAnsi="Calibri" w:cs="Calibri"/>
          <w:sz w:val="22"/>
          <w:szCs w:val="22"/>
        </w:rPr>
        <w:t>: el encierro prolongado de una persona en celda durante toda o la mayor parte del día, ya sea por una sanción, es decir como castigo por incumplir una norma de la institución (medida en lo formal reglamentada, pero que suele aplicarse informalmente sin una notificación por escrito); por una medida de seguridad, cuyo objetivo declarado es el resguardo de la integridad física de las personas (que puede ser administrativa/penitenciaria o establecida por el poder judicial); por regímenes propios de los pabello</w:t>
      </w:r>
      <w:r w:rsidRPr="003E3F5D">
        <w:rPr>
          <w:rFonts w:ascii="Calibri" w:eastAsia="Calibri" w:hAnsi="Calibri" w:cs="Calibri"/>
          <w:sz w:val="22"/>
          <w:szCs w:val="22"/>
        </w:rPr>
        <w:t xml:space="preserve">nes aplicados como modo regular de vida; por admisión/ingreso (hasta la asignación de pabellón); como </w:t>
      </w:r>
      <w:r w:rsidRPr="003E3F5D">
        <w:rPr>
          <w:rFonts w:ascii="Calibri" w:eastAsia="Calibri" w:hAnsi="Calibri" w:cs="Calibri"/>
          <w:i/>
          <w:sz w:val="22"/>
          <w:szCs w:val="22"/>
        </w:rPr>
        <w:t>depósito</w:t>
      </w:r>
      <w:r w:rsidRPr="003E3F5D">
        <w:rPr>
          <w:rFonts w:ascii="Calibri" w:eastAsia="Calibri" w:hAnsi="Calibri" w:cs="Calibri"/>
          <w:sz w:val="22"/>
          <w:szCs w:val="22"/>
        </w:rPr>
        <w:t xml:space="preserve"> (encierro sin justificación explicitada ni previsiones de cese); por espera de traslado; por </w:t>
      </w:r>
      <w:r w:rsidRPr="003E3F5D">
        <w:rPr>
          <w:rFonts w:ascii="Calibri" w:eastAsia="Calibri" w:hAnsi="Calibri" w:cs="Calibri"/>
          <w:i/>
          <w:sz w:val="22"/>
          <w:szCs w:val="22"/>
        </w:rPr>
        <w:t>propia voluntad</w:t>
      </w:r>
      <w:r w:rsidRPr="003E3F5D">
        <w:rPr>
          <w:rFonts w:ascii="Calibri" w:eastAsia="Calibri" w:hAnsi="Calibri" w:cs="Calibri"/>
          <w:sz w:val="22"/>
          <w:szCs w:val="22"/>
        </w:rPr>
        <w:t xml:space="preserve"> (decisión condicionada de la víctima que “se tira a buzones” para conseguir un traslado o un cambio de pabellón, o por preferir una celda de aislamiento por sobre un pabellón porque teme por su seguridad); aislamiento en Sanidad; u otras modalidades menos frecuentes. En los últimos años se v</w:t>
      </w:r>
      <w:r w:rsidRPr="003E3F5D">
        <w:rPr>
          <w:rFonts w:ascii="Calibri" w:eastAsia="Calibri" w:hAnsi="Calibri" w:cs="Calibri"/>
          <w:sz w:val="22"/>
          <w:szCs w:val="22"/>
        </w:rPr>
        <w:t>iene identificando una tendencia a la diversificación de la práctica de aislamiento y a una expansión de su utilización en todo el sistema.</w:t>
      </w:r>
    </w:p>
    <w:p w14:paraId="42351514" w14:textId="77777777" w:rsidR="00165BED" w:rsidRPr="003E3F5D" w:rsidRDefault="009D4909" w:rsidP="003E3F5D">
      <w:pPr>
        <w:spacing w:before="120" w:after="0"/>
        <w:ind w:left="708"/>
        <w:jc w:val="both"/>
        <w:rPr>
          <w:rFonts w:ascii="Calibri" w:eastAsia="Calibri" w:hAnsi="Calibri" w:cs="Calibri"/>
          <w:sz w:val="22"/>
          <w:szCs w:val="22"/>
        </w:rPr>
      </w:pPr>
      <w:r w:rsidRPr="003E3F5D">
        <w:rPr>
          <w:rFonts w:ascii="Calibri" w:eastAsia="Calibri" w:hAnsi="Calibri" w:cs="Calibri"/>
          <w:sz w:val="22"/>
          <w:szCs w:val="22"/>
        </w:rPr>
        <w:t>“Me tiré a los buzones porque pensé que este era el método para irme de traslado, pero llevo dos meses y sigo acá, se ve que no era. Es re feo vivir acá, te tenés que bañar con botellas y agua fría. No tenemos fuelle, no te dejan pasar nada. No te sacan a patio ni a ducha. No vemos la luz del día. Me vuelvo loco. Decí que tengo teléfono, puedo ver una película, meto la cabeza ahí adentro, hablo con alguien. En el pabellón estaba jugando al rugby y estudiando. Soy joven, no me quiero quemar la cabeza acá ade</w:t>
      </w:r>
      <w:r w:rsidRPr="003E3F5D">
        <w:rPr>
          <w:rFonts w:ascii="Calibri" w:eastAsia="Calibri" w:hAnsi="Calibri" w:cs="Calibri"/>
          <w:sz w:val="22"/>
          <w:szCs w:val="22"/>
        </w:rPr>
        <w:t>ntro. Cómo voy a salir a flote si no me dejan salir de acá. Pero yo debería despejar mi cabeza haciendo cursos, aprendiendo cosas. Acá estoy mal”(caso RNCT 2024).</w:t>
      </w:r>
    </w:p>
    <w:p w14:paraId="0976898B" w14:textId="77777777" w:rsidR="00165BED" w:rsidRPr="003E3F5D" w:rsidRDefault="009D4909" w:rsidP="003E3F5D">
      <w:pPr>
        <w:spacing w:before="120" w:after="0"/>
        <w:ind w:left="708"/>
        <w:jc w:val="both"/>
        <w:rPr>
          <w:rFonts w:ascii="Calibri" w:eastAsia="Calibri" w:hAnsi="Calibri" w:cs="Calibri"/>
          <w:sz w:val="22"/>
          <w:szCs w:val="22"/>
        </w:rPr>
      </w:pPr>
      <w:r w:rsidRPr="003E3F5D">
        <w:rPr>
          <w:rFonts w:ascii="Calibri" w:eastAsia="Calibri" w:hAnsi="Calibri" w:cs="Calibri"/>
          <w:sz w:val="22"/>
          <w:szCs w:val="22"/>
        </w:rPr>
        <w:t>“Me ofrecieron un piso pero preferí estar en buzones esperando un traslado. Estando en pabellón te pueden tener unos meses sin trasladarte. Acá no podés hacer nada, no te dejan pasar tus cosas y estamos 24x7. Te dejan pasar lo que a ellos les conviene. Llega un momento que te volvés loco, tratando de que no te gane la mente. Ya querés que llegue el traslado”(caso RNCT 2024).</w:t>
      </w:r>
    </w:p>
    <w:p w14:paraId="238754D7"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El aislamiento es una práctica que en sí misma coarta los movimientos de las personas detenidas y las distintas formas de vinculación social intra o extra carcelaria, provocando un consiguiente deterioro físico y subjetivo. Pero además se combina con otras torturas como las malas condiciones materiales y alimentarias, una mayor restricción en el acceso a la salud y prácticas direccionadas de violencia como agresiones físicas, robos de pertenencias y amenazas. Debajo un claro ejemplo de lo relevado por la CP</w:t>
      </w:r>
      <w:r w:rsidRPr="003E3F5D">
        <w:rPr>
          <w:rFonts w:ascii="Calibri" w:eastAsia="Calibri" w:hAnsi="Calibri" w:cs="Calibri"/>
          <w:sz w:val="22"/>
          <w:szCs w:val="22"/>
        </w:rPr>
        <w:t>M:</w:t>
      </w:r>
    </w:p>
    <w:p w14:paraId="19CE908D"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En la UP 32 de Florencio Varela, se identificó el uso constante de espacios para aislamiento extremo y prolongado de personas, en condiciones inhumanas y degradantes. Además del alojamiento indebido en celdas de contención, comúnmente llamadas “leoneras”, que solamente deberían ser utilizadas como espacios de alojamiento transitorio o “paso”; se encontraron personas alojadas en patios enrejados a la intemperie o aulas que ni siquiera figuraban en los partes diarios oficiales de las unidades. La situación de</w:t>
      </w:r>
      <w:r w:rsidRPr="003E3F5D">
        <w:rPr>
          <w:rFonts w:ascii="Calibri" w:eastAsia="Calibri" w:hAnsi="Calibri" w:cs="Calibri"/>
          <w:sz w:val="22"/>
          <w:szCs w:val="22"/>
        </w:rPr>
        <w:t xml:space="preserve"> las personas alojadas en estos espacios se caracteriza por el sometimiento a pésimas condiciones materiales, falta de alimentación, régimen de vida de aislamiento extremo y prolongado, y total desvinculación social. </w:t>
      </w:r>
    </w:p>
    <w:p w14:paraId="248C3FE6"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En el caso de las celdas de contención, se constató la presencia de —por ejemplo— tres personas en un espacio con dimensiones que no superan los 2,25 metros cuadrados; sumado a la falta de sanitarios, agua y luz artificial. Las personas debían defecar en bolas y orinar en botellas que permanecen en la celda hasta que, de manera discrecional, el SPB autorice el desecho de las mismas. Estas condiciones de insalubridad se extienden al hecho de no poder higienizarse durante días, alimentarse con las manos (ante</w:t>
      </w:r>
      <w:r w:rsidRPr="003E3F5D">
        <w:rPr>
          <w:rFonts w:ascii="Calibri" w:eastAsia="Calibri" w:hAnsi="Calibri" w:cs="Calibri"/>
          <w:sz w:val="22"/>
          <w:szCs w:val="22"/>
        </w:rPr>
        <w:t xml:space="preserve"> la falta de cubiertos) ni acceder a sus pertenencias. </w:t>
      </w:r>
    </w:p>
    <w:p w14:paraId="337C29C1"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Las personas han indicado que “no podemos comer la comida porque si nos llega a caer mal no tenemos ni baño”. Al hambre se suma la imposibilidad de descanso, ya que no hay mobiliario (camas) ni colchones, viéndose obligadas a dormir sobre una manta en el suelo mientras cucarachas, moscas y roedores circulan sobre sus cuerpos. </w:t>
      </w:r>
    </w:p>
    <w:p w14:paraId="3D5AAABA"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Se identificó un espacio denominado “pajarera”, que las personas entrevistadas describieron como un lugar oculto en el que algunos son alojados bajo régimen de aislamiento. Allí debían permanecer desde las 7:00 hasta las 18:00, expuestos a las inclemencias climáticas y alejados absolutamente de cualquier posibilidad de socialización y asistencia, señalando incluso que no recibían alimentos.</w:t>
      </w:r>
    </w:p>
    <w:p w14:paraId="5A5484B3"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Las condiciones de vida en las “leoneras” someten a las personas al despojo total, a la completa dependencia y a la vulneración de derechos esenciales. Muchas veces a tal situación anteceden aislamientos previos, ya sea en la misma unidad o en otras. A modo de ejemplo, un detenido describió cómo, previo a ser alojado en el aula en la que llevaba 5 días aislado, debió permanecer tres semanas en una celda de contención, a la que llegó luego de haber permanecido seis meses en una celda de admisión en un pabell</w:t>
      </w:r>
      <w:r w:rsidRPr="003E3F5D">
        <w:rPr>
          <w:rFonts w:ascii="Calibri" w:eastAsia="Calibri" w:hAnsi="Calibri" w:cs="Calibri"/>
          <w:sz w:val="22"/>
          <w:szCs w:val="22"/>
        </w:rPr>
        <w:t>ón.</w:t>
      </w:r>
    </w:p>
    <w:p w14:paraId="7773ACC7"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En entrevistas con el Director de la Unidad, se indagó respecto a estos otros espacios utilizados con fines de aislamiento. Este aseguró la inexistencia de los mismos, agregando que se estaban realizando modificaciones en la infraestructura de las celdas de contención para mejorar sus condiciones, negando lo constatado por la Delegación Florencio Varela.</w:t>
      </w:r>
    </w:p>
    <w:p w14:paraId="2BB841C2" w14:textId="77777777" w:rsidR="00165BED" w:rsidRPr="003E3F5D" w:rsidRDefault="00165BED" w:rsidP="003E3F5D">
      <w:pPr>
        <w:jc w:val="both"/>
        <w:rPr>
          <w:rFonts w:ascii="Calibri" w:eastAsia="Calibri" w:hAnsi="Calibri" w:cs="Calibri"/>
          <w:b/>
          <w:sz w:val="22"/>
          <w:szCs w:val="22"/>
        </w:rPr>
      </w:pPr>
    </w:p>
    <w:p w14:paraId="56BF85DE" w14:textId="77777777" w:rsidR="00165BED" w:rsidRPr="003E3F5D" w:rsidRDefault="00165BED" w:rsidP="003E3F5D">
      <w:pPr>
        <w:ind w:left="708" w:hanging="708"/>
        <w:jc w:val="both"/>
        <w:rPr>
          <w:rFonts w:ascii="Calibri" w:eastAsia="Calibri" w:hAnsi="Calibri" w:cs="Calibri"/>
          <w:b/>
          <w:sz w:val="22"/>
          <w:szCs w:val="22"/>
        </w:rPr>
      </w:pPr>
    </w:p>
    <w:p w14:paraId="0C7F800D" w14:textId="77777777" w:rsidR="00165BED" w:rsidRPr="003E3F5D" w:rsidRDefault="009D4909" w:rsidP="003E3F5D">
      <w:pPr>
        <w:pStyle w:val="Heading2"/>
        <w:jc w:val="both"/>
        <w:rPr>
          <w:rFonts w:ascii="Calibri" w:eastAsia="Calibri" w:hAnsi="Calibri" w:cs="Calibri"/>
          <w:sz w:val="22"/>
          <w:szCs w:val="22"/>
        </w:rPr>
      </w:pPr>
      <w:bookmarkStart w:id="34" w:name="_Toc211292078"/>
      <w:r w:rsidRPr="003E3F5D">
        <w:rPr>
          <w:rFonts w:ascii="Calibri" w:eastAsia="Calibri" w:hAnsi="Calibri" w:cs="Calibri"/>
          <w:sz w:val="22"/>
          <w:szCs w:val="22"/>
        </w:rPr>
        <w:t>Niños, Niñas y Jóvenes (NNJ). condiciones de detención  en Hogares convivenciales y dentro del Sistema de Responsabilidad Juvenil</w:t>
      </w:r>
      <w:r w:rsidRPr="003E3F5D">
        <w:rPr>
          <w:rFonts w:ascii="Calibri" w:eastAsia="Calibri" w:hAnsi="Calibri" w:cs="Calibri"/>
          <w:sz w:val="22"/>
          <w:szCs w:val="22"/>
          <w:vertAlign w:val="superscript"/>
        </w:rPr>
        <w:footnoteReference w:id="52"/>
      </w:r>
      <w:bookmarkEnd w:id="34"/>
    </w:p>
    <w:p w14:paraId="12602381" w14:textId="77777777" w:rsidR="00165BED" w:rsidRPr="003E3F5D" w:rsidRDefault="00165BED" w:rsidP="003E3F5D">
      <w:pPr>
        <w:pBdr>
          <w:top w:val="nil"/>
          <w:left w:val="nil"/>
          <w:bottom w:val="nil"/>
          <w:right w:val="nil"/>
          <w:between w:val="nil"/>
        </w:pBdr>
        <w:jc w:val="both"/>
        <w:rPr>
          <w:rFonts w:ascii="Calibri" w:eastAsia="Calibri" w:hAnsi="Calibri" w:cs="Calibri"/>
          <w:sz w:val="22"/>
          <w:szCs w:val="22"/>
        </w:rPr>
      </w:pPr>
    </w:p>
    <w:p w14:paraId="0D3EC8DC"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Durante el 2024 se relevaron agravamientos en las condiciones de detención de los NNJ que se encuentran en hogares públicos y privados: torturas y malos tratos, aislamiento, ruptura de vínculos familiares y numerosas prácticas violentas que borran cualquier rastro de niñez ante abordajes de crisis, comportamientos o incluso la propia condición juvenil. A esto se suman condiciones de vida sumamente precarizadas por el deterioro edilicio de dispositivos penales e instituciones convivenciales. Advertimos que l</w:t>
      </w:r>
      <w:r w:rsidRPr="003E3F5D">
        <w:rPr>
          <w:rFonts w:ascii="Calibri" w:eastAsia="Calibri" w:hAnsi="Calibri" w:cs="Calibri"/>
          <w:sz w:val="22"/>
          <w:szCs w:val="22"/>
        </w:rPr>
        <w:t>a ausencia de estándares comunes a todos los dispositivos convivenciales y los deficientes mecanismos de supervisión y seguimiento del Organismo Provincial de Niñez y Adolescencia (OPNyA) profundizan una doble vara en materia de protección de derechos: ante las mismas vulneraciones se aplican criterios disímiles si se suceden en un entorno familiar o en un contexto institucional. NNyJ por quienes se toman medidas de protección de derechos vuelven a experimentar malos tratos, castigos o negligencia en los cu</w:t>
      </w:r>
      <w:r w:rsidRPr="003E3F5D">
        <w:rPr>
          <w:rFonts w:ascii="Calibri" w:eastAsia="Calibri" w:hAnsi="Calibri" w:cs="Calibri"/>
          <w:sz w:val="22"/>
          <w:szCs w:val="22"/>
        </w:rPr>
        <w:t xml:space="preserve">idados en espacios que deberían reparar y ofrecer otra vida posible; el año pasado, el extremo fue la muerte de niños. </w:t>
      </w:r>
    </w:p>
    <w:p w14:paraId="3CAC4DDA"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La hospitalización prolongada sin criterio médico a la espera de vacantes es otro aspecto que debe convocar a las diferentes reparticiones del Estado para modificar circuitos administrativos y asumir responsabilidades compartidas. Los hospitales no son lugares donde debe desarrollarse la vida de un niño en una etapa vital donde el presente es lo más valioso. Otro de los ejes analíticos destacados es la persistencia de abordajes de las crisis y puesta de límites a través del ejercicio de la violencia y el au</w:t>
      </w:r>
      <w:r w:rsidRPr="003E3F5D">
        <w:rPr>
          <w:rFonts w:ascii="Calibri" w:eastAsia="Calibri" w:hAnsi="Calibri" w:cs="Calibri"/>
          <w:sz w:val="22"/>
          <w:szCs w:val="22"/>
        </w:rPr>
        <w:t xml:space="preserve">toritarismo. En todos los monitoreos realizados entrevistamos NNyJ que relatan formas improvisadas, maniobras riesgosas, medidas irresponsables de los adultos que deberían cuidarlos y que ante desbordes emocionales reaccionan mediante comportamientos no permitidos, no adecuados o ilegales. La ausencia de formación y herramientas del personal de cuidado puede provocar daño y desvirtuar en lógicas de castigo algo que debería ser contenido desde lo terapéutico. Independiente del tipo de institución y proyecto </w:t>
      </w:r>
      <w:r w:rsidRPr="003E3F5D">
        <w:rPr>
          <w:rFonts w:ascii="Calibri" w:eastAsia="Calibri" w:hAnsi="Calibri" w:cs="Calibri"/>
          <w:sz w:val="22"/>
          <w:szCs w:val="22"/>
        </w:rPr>
        <w:t xml:space="preserve">que la contiene, es indispensable establecer pautas mínimas para reducir discrecionalidades y garantizar que el foco esté en la salud y en el reconocimiento de la los/ as niño/as como sujetos de derecho. </w:t>
      </w:r>
    </w:p>
    <w:p w14:paraId="39338B4C"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Una abrumadora mayoría de NNyJ institucionalizados se encuentra en hogares convivenciales conveniados: de un total de 4.102 NNyA cumpliendo medidas de abrigo en instituciones, en 2024, 3.323 estaban en dispositivos conveniados (83%). Este dato por sí solo, obliga al Estado provincial a ocuparse de supervisar cada una de esas institucionalizaciones y además, por supuesto, de aquellas que se cumplen en dispositivos oficiale Los/as NNyJ alojados en los hogares monitoreados han denunciado malos tratos o práctic</w:t>
      </w:r>
      <w:r w:rsidRPr="003E3F5D">
        <w:rPr>
          <w:rFonts w:ascii="Calibri" w:eastAsia="Calibri" w:hAnsi="Calibri" w:cs="Calibri"/>
          <w:sz w:val="22"/>
          <w:szCs w:val="22"/>
        </w:rPr>
        <w:t>as tortuosas como metodología de abordaje de crisis subjetivas, de salud mental o frente a “portarse mal”, en sus palabras. En las entrevistas y en los registros del equipo técnico se relevó que frente a las crisis la respuesta alternativa al ejercicio de la violencia es la medicalización, incluso en NNyJ sin ningún diagnóstico psicopatológico. Incluso los niños y niñas medicados no cuentan con tratamiento psicológico, lo que constituye un claro incumplimiento de lo reglado por la ley 26.657 de salud mental</w:t>
      </w:r>
      <w:r w:rsidRPr="003E3F5D">
        <w:rPr>
          <w:rFonts w:ascii="Calibri" w:eastAsia="Calibri" w:hAnsi="Calibri" w:cs="Calibri"/>
          <w:sz w:val="22"/>
          <w:szCs w:val="22"/>
        </w:rPr>
        <w:t xml:space="preserve">, que establece el derecho a acceder a tratamientos interdisciplinarios. A su vez se registró el uso del aislamiento, en espacios separados por rejas, como práctica para castigar las crisis. El tiempo de aislamiento es arbitrario y aleatorio, entre una hasta 24 horas: “desde el desayuno de un día hasta el desayuno del día siguiente me dejaron arriba sin poder bajar a comer”.  </w:t>
      </w:r>
    </w:p>
    <w:p w14:paraId="0973BA0E"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El abordaje de situaciones de crisis descripto evidencia graves vulneraciones en el acceso al derecho a la salud mental. La escasa capacitación y formación del personal de cuidado en el abordaje y la contención de niños con crisis de angustia y padecimiento mental deriva en intervenciones arbitrarias, artesanales e improvisadas que acaban configurándose como malos tratos y castigos frente a expresiones de sufrimiento y malestar subjetivo. Del mismo modo impactan negativamente las prácticas restrictivas y ex</w:t>
      </w:r>
      <w:r w:rsidRPr="003E3F5D">
        <w:rPr>
          <w:rFonts w:ascii="Calibri" w:eastAsia="Calibri" w:hAnsi="Calibri" w:cs="Calibri"/>
          <w:sz w:val="22"/>
          <w:szCs w:val="22"/>
        </w:rPr>
        <w:t xml:space="preserve">pulsivas que empujan a NNyJ a irse de los hogares sin ninguna garantía. Las historias de vulneración de derechos previas y las tensiones de lo convivencial en las instituciones pueden emerger como malestares en la cotidianidad. Esta emergencia es parte de lo esperable, incluso deseable, en la tramitación de tales historias y en los procesos subjetivos propios de la edad. El desborde de los dispositivos y la incapacidad para abordar respetuosa y efectivamente los malestares individuales y colectivos pone de </w:t>
      </w:r>
      <w:r w:rsidRPr="003E3F5D">
        <w:rPr>
          <w:rFonts w:ascii="Calibri" w:eastAsia="Calibri" w:hAnsi="Calibri" w:cs="Calibri"/>
          <w:sz w:val="22"/>
          <w:szCs w:val="22"/>
        </w:rPr>
        <w:t>relieve dificultades en la articulación entre las áreas de niñez y de salud mental. Esto lleva a recaer en la demanda de dispositivos específicos en salud mental que reproducen instituciones monovalentes (manicomios) destinadas al encierro y exclusión social de las personas padecientes. El camino a la institucionalización y manicomialización persiste como práctica y da cuenta de la vigencia de paradigmas anteriores al modelo social de discapacidad y que no perciben a NNyJ como sujetos de derechos</w:t>
      </w:r>
    </w:p>
    <w:p w14:paraId="37B55D9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Por otro lado, respecto del subsistema de</w:t>
      </w:r>
      <w:r w:rsidRPr="003E3F5D">
        <w:rPr>
          <w:rFonts w:ascii="Calibri" w:eastAsia="Calibri" w:hAnsi="Calibri" w:cs="Calibri"/>
          <w:b/>
          <w:sz w:val="22"/>
          <w:szCs w:val="22"/>
        </w:rPr>
        <w:t xml:space="preserve"> responsabilidad penal juvenil</w:t>
      </w:r>
      <w:r w:rsidRPr="003E3F5D">
        <w:rPr>
          <w:rFonts w:ascii="Calibri" w:eastAsia="Calibri" w:hAnsi="Calibri" w:cs="Calibri"/>
          <w:sz w:val="22"/>
          <w:szCs w:val="22"/>
        </w:rPr>
        <w:t xml:space="preserve">, se destacan prácticas de aislamiento dentro del sistema de encierro penal juvenil, utilizada diariamente para resolución de conflictos, organizar la dinámica institucional o simplemente castigar. Lo más grave es que todo conflicto o la mayoría de ellos, tienen relación directa con intervenciones iatrogénicas del mismo sistema, sea por acción u omisión. </w:t>
      </w:r>
    </w:p>
    <w:p w14:paraId="43D42DAA"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este sentido, se ha registrado la persistencia de una perspectiva punitivista por sobre una socio-educativa. Este punto es nodal en los procesos de intervención con NNyJ en el encierro. Todas las instituciones penales de privación de libertad juvenil -pese a re tipificarse como “centros socio educativos”- carecen de propuestas y recursos significativos que abonen a esta mirada: las prácticas se orientan a lo punitivo y el acceso a derechos está sujeto a la vieja fórmula de premios y castigos. La imagen m</w:t>
      </w:r>
      <w:r w:rsidRPr="003E3F5D">
        <w:rPr>
          <w:rFonts w:ascii="Calibri" w:eastAsia="Calibri" w:hAnsi="Calibri" w:cs="Calibri"/>
          <w:sz w:val="22"/>
          <w:szCs w:val="22"/>
        </w:rPr>
        <w:t>ás clara de esta incongruencia es que en varios años de existencia del sistema aún no existe un enlace o articulación establecida entre el sistema educativo de formación laboral y los dispositivos penales juveniles de encierro. No hay ofertas de formación laboral certificadas para los jóvenes y, cuando aparece el recurso es limitado en participantes y tiempo de duración. Más grave es que en lugar de este tipo de propuestas registramos formas de explotación laboral gravosas que requirieron intervención del M</w:t>
      </w:r>
      <w:r w:rsidRPr="003E3F5D">
        <w:rPr>
          <w:rFonts w:ascii="Calibri" w:eastAsia="Calibri" w:hAnsi="Calibri" w:cs="Calibri"/>
          <w:sz w:val="22"/>
          <w:szCs w:val="22"/>
        </w:rPr>
        <w:t>inisterio de Trabajo.</w:t>
      </w:r>
    </w:p>
    <w:p w14:paraId="3DE8BB5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Preocupa la adultización de los procesos y regímenes de vida y la búsqueda de culpables cada vez más pequeños. El encarcelamiento de niños menores de 16 años está creciendo con celeridad y obedece a presiones mediáticas y no a situaciones reales de pruebas fácticas y cifras concretas. </w:t>
      </w:r>
    </w:p>
    <w:p w14:paraId="246881C7"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A partir del monitoreo desarrollado en los centros penales y comunidades terapéuticas, las víctimas</w:t>
      </w:r>
      <w:r w:rsidRPr="003E3F5D">
        <w:rPr>
          <w:rFonts w:ascii="Calibri" w:eastAsia="Calibri" w:hAnsi="Calibri" w:cs="Calibri"/>
          <w:sz w:val="22"/>
          <w:szCs w:val="22"/>
          <w:vertAlign w:val="superscript"/>
        </w:rPr>
        <w:footnoteReference w:id="53"/>
      </w:r>
      <w:r w:rsidRPr="003E3F5D">
        <w:rPr>
          <w:rFonts w:ascii="Calibri" w:eastAsia="Calibri" w:hAnsi="Calibri" w:cs="Calibri"/>
          <w:sz w:val="22"/>
          <w:szCs w:val="22"/>
        </w:rPr>
        <w:t xml:space="preserve"> comunicaron 1.180 hechos de tortura y/o malos tratos: aislamiento, falta o deficiente acceso a educación, malas condiciones materiales, agresiones físicas, agresión verbal o psicológica, requisa vejatoria y/o violenta, traslados violatorios de derechos, falta o deficiente acceso a pertenencias, amenazas y violencia policial, falta o deficiente acceso a la justicia, afectación del vínculo familiar y social, falta o deficiente acceso a actividades deportivas, culturales, recreativas y/o, laborales, falta o d</w:t>
      </w:r>
      <w:r w:rsidRPr="003E3F5D">
        <w:rPr>
          <w:rFonts w:ascii="Calibri" w:eastAsia="Calibri" w:hAnsi="Calibri" w:cs="Calibri"/>
          <w:sz w:val="22"/>
          <w:szCs w:val="22"/>
        </w:rPr>
        <w:t>eficiente asistencia de la salud integral, falta o deficiente ejercicio de la participación, falta o deficiente alimentación.</w:t>
      </w:r>
    </w:p>
    <w:p w14:paraId="58478276"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Lamentablemente, se ha instalado nuevamente en el debate público la necesidad de bajar la edad de punibilidad como respuesta a los delitos cometidos por jóvenes menores de 16 años. En la actualidad, en pese a que la ley penal de fondo plantea los 16 años de límite a la sanción penal, la ley de procedimiento o ley de responsabilidad penal juvenil de la provincia de Buenos Aires, la 13.634, habilita en su artículo 6439 una excepción que permite detener a los jóvenes menores de 16 años: la aplicación de una me</w:t>
      </w:r>
      <w:r w:rsidRPr="003E3F5D">
        <w:rPr>
          <w:rFonts w:ascii="Calibri" w:eastAsia="Calibri" w:hAnsi="Calibri" w:cs="Calibri"/>
          <w:sz w:val="22"/>
          <w:szCs w:val="22"/>
        </w:rPr>
        <w:t>dida de seguridad. Esta medida de seguridad se cumple en los mismos centros donde se cumplen las sanciones penales de los jóvenes de entre 16 y 18 años, lugares donde se vulneran gravemente sus derechos</w:t>
      </w:r>
    </w:p>
    <w:p w14:paraId="4A64DA88"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Los jóvenes menores de 16 años que cometieron delitos graves, así como aquellos que no eran punibles al momento del hecho pero hoy tienen 16 años o más, se encuentran detenidos. La cifra de niños no punibles detenidos casi se triplicó entre 2021-2025, como se ve en la siguiente tabla (se desconocen datos previos). La variación porcentual entre los extremos del período, es del 21% para los punibles y del 191% para los no punibles.</w:t>
      </w:r>
    </w:p>
    <w:p w14:paraId="1A20824E"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Los problemas generales del fuero que la CPM ha denunciado año tras año, como el incumplimiento del derecho a ser oído o la irregularidad en el acceso a la justicia, se agravan en el caso de no punibles. Los niños ingresan desconociendo el proceso penal de la medida de seguridad, que tiene características tan propias y arbitrarias. Mantienen una expectativa de pronta salida, al igual que las familias, que luego no se condice con lo que sucede procesalmente. En otros casos confunden los pedidos que pueden ha</w:t>
      </w:r>
      <w:r w:rsidRPr="003E3F5D">
        <w:rPr>
          <w:rFonts w:ascii="Calibri" w:eastAsia="Calibri" w:hAnsi="Calibri" w:cs="Calibri"/>
          <w:sz w:val="22"/>
          <w:szCs w:val="22"/>
        </w:rPr>
        <w:t>cer o sus instancias procesales con las del proceso penal común, no entendiendo por qué no se realizan determinadas acciones. Resulta extremadamente grave la violencia con la que los efectores abordan a los niños no punibles y que su primer vínculo certero con el Estado suele ser el sistema penal. De los entrevistados por este MLPT en el año 2024, la mayoría denunció haber padecido hechos graves de violencia policial y en pocos casos recordaban haber tenido intervenciones previas de actores del sistema de p</w:t>
      </w:r>
      <w:r w:rsidRPr="003E3F5D">
        <w:rPr>
          <w:rFonts w:ascii="Calibri" w:eastAsia="Calibri" w:hAnsi="Calibri" w:cs="Calibri"/>
          <w:sz w:val="22"/>
          <w:szCs w:val="22"/>
        </w:rPr>
        <w:t>romoción y protección. Esto no implica que no hayan existido, pero sí que hay un problema si luego el niño ingresa al sistema penal o si no tiene registro de la intervención, porque implica que algo falló en la estrategia de contención. Además, son sometidos a un trato paternalista, mientras que las familias son puestas en juicio por el modo de crianza</w:t>
      </w:r>
    </w:p>
    <w:p w14:paraId="6C339737" w14:textId="77777777" w:rsidR="00165BED" w:rsidRPr="003E3F5D" w:rsidRDefault="009D4909" w:rsidP="003E3F5D">
      <w:pPr>
        <w:pBdr>
          <w:top w:val="nil"/>
          <w:left w:val="nil"/>
          <w:bottom w:val="nil"/>
          <w:right w:val="nil"/>
          <w:between w:val="nil"/>
        </w:pBdr>
        <w:jc w:val="both"/>
        <w:rPr>
          <w:rFonts w:ascii="Calibri" w:eastAsia="Calibri" w:hAnsi="Calibri" w:cs="Calibri"/>
          <w:color w:val="FF0000"/>
          <w:sz w:val="22"/>
          <w:szCs w:val="22"/>
        </w:rPr>
      </w:pPr>
      <w:r w:rsidRPr="003E3F5D">
        <w:rPr>
          <w:rFonts w:ascii="Calibri" w:eastAsia="Calibri" w:hAnsi="Calibri" w:cs="Calibri"/>
          <w:sz w:val="22"/>
          <w:szCs w:val="22"/>
        </w:rPr>
        <w:t>A lo largo del año 2024 se monitorearon distintos dispositivos de encierro penal juvenil en la provincia de Buenos Aires. Se han relevado sanciones arbitrarias e irrazonables para castigar comportamientos y actitudes juveniles típicas de los NNyJ. Sin embargo, la sanción de estos comportamientos pone de manifiesto que el castigo no es arbitrario sino que constituye una estrategia de disciplinamiento y anulación de la subjetividad y de los modos juveniles</w:t>
      </w:r>
      <w:r w:rsidRPr="003E3F5D">
        <w:rPr>
          <w:rFonts w:ascii="Calibri" w:eastAsia="Calibri" w:hAnsi="Calibri" w:cs="Calibri"/>
          <w:color w:val="FF0000"/>
          <w:sz w:val="22"/>
          <w:szCs w:val="22"/>
        </w:rPr>
        <w:t>.</w:t>
      </w:r>
    </w:p>
    <w:p w14:paraId="123D119E" w14:textId="77777777" w:rsidR="00165BED" w:rsidRPr="003E3F5D" w:rsidRDefault="00165BED" w:rsidP="003E3F5D">
      <w:pPr>
        <w:pBdr>
          <w:top w:val="nil"/>
          <w:left w:val="nil"/>
          <w:bottom w:val="nil"/>
          <w:right w:val="nil"/>
          <w:between w:val="nil"/>
        </w:pBdr>
        <w:jc w:val="both"/>
        <w:rPr>
          <w:rFonts w:ascii="Calibri" w:eastAsia="Calibri" w:hAnsi="Calibri" w:cs="Calibri"/>
          <w:color w:val="FF0000"/>
          <w:sz w:val="22"/>
          <w:szCs w:val="22"/>
        </w:rPr>
      </w:pPr>
    </w:p>
    <w:p w14:paraId="4BD99EF5" w14:textId="77777777" w:rsidR="00165BED" w:rsidRPr="003E3F5D" w:rsidRDefault="009D4909" w:rsidP="003E3F5D">
      <w:pPr>
        <w:pStyle w:val="Heading1"/>
        <w:jc w:val="both"/>
        <w:rPr>
          <w:rFonts w:ascii="Calibri" w:eastAsia="Calibri" w:hAnsi="Calibri" w:cs="Calibri"/>
          <w:sz w:val="22"/>
          <w:szCs w:val="22"/>
        </w:rPr>
      </w:pPr>
      <w:bookmarkStart w:id="35" w:name="_Toc211292079"/>
      <w:r w:rsidRPr="003E3F5D">
        <w:rPr>
          <w:rFonts w:ascii="Calibri" w:eastAsia="Calibri" w:hAnsi="Calibri" w:cs="Calibri"/>
          <w:sz w:val="22"/>
          <w:szCs w:val="22"/>
        </w:rPr>
        <w:t>Muertes en contexto de encierro penitenciario</w:t>
      </w:r>
      <w:bookmarkEnd w:id="35"/>
    </w:p>
    <w:p w14:paraId="76B3FE8F" w14:textId="77777777" w:rsidR="00165BED" w:rsidRPr="003E3F5D" w:rsidRDefault="00165BED" w:rsidP="003E3F5D">
      <w:pPr>
        <w:jc w:val="both"/>
        <w:rPr>
          <w:rFonts w:ascii="Calibri" w:eastAsia="Calibri" w:hAnsi="Calibri" w:cs="Calibri"/>
          <w:sz w:val="22"/>
          <w:szCs w:val="22"/>
          <w:highlight w:val="red"/>
        </w:rPr>
      </w:pPr>
    </w:p>
    <w:p w14:paraId="7239A0D1" w14:textId="77777777" w:rsidR="00165BED" w:rsidRPr="003E3F5D" w:rsidRDefault="009D4909" w:rsidP="003E3F5D">
      <w:pPr>
        <w:pStyle w:val="Heading2"/>
        <w:jc w:val="both"/>
        <w:rPr>
          <w:rFonts w:ascii="Calibri" w:eastAsia="Calibri" w:hAnsi="Calibri" w:cs="Calibri"/>
          <w:sz w:val="22"/>
          <w:szCs w:val="22"/>
        </w:rPr>
      </w:pPr>
      <w:bookmarkStart w:id="36" w:name="_Toc211292080"/>
      <w:r w:rsidRPr="003E3F5D">
        <w:rPr>
          <w:rFonts w:ascii="Calibri" w:eastAsia="Calibri" w:hAnsi="Calibri" w:cs="Calibri"/>
          <w:sz w:val="22"/>
          <w:szCs w:val="22"/>
        </w:rPr>
        <w:t>Análisis y Estadísticas sobre causales.</w:t>
      </w:r>
      <w:bookmarkEnd w:id="36"/>
      <w:r w:rsidRPr="003E3F5D">
        <w:rPr>
          <w:rFonts w:ascii="Calibri" w:eastAsia="Calibri" w:hAnsi="Calibri" w:cs="Calibri"/>
          <w:sz w:val="22"/>
          <w:szCs w:val="22"/>
        </w:rPr>
        <w:t xml:space="preserve"> </w:t>
      </w:r>
    </w:p>
    <w:p w14:paraId="27DB6F4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Como ya se ha mencionado, la falta o deficiencia en la atención a la salud es la principal causa de muerte. Es por ello que remitimos a lo mencionado supra para su análisis. De todas formas, debajo se realiza un pequeño resumen de los hallazgos encontrados por la CPM en la materia.</w:t>
      </w:r>
    </w:p>
    <w:p w14:paraId="2848F2A7"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i/>
          <w:sz w:val="22"/>
          <w:szCs w:val="22"/>
        </w:rPr>
        <w:t>La CPM registra las muertes en cárceles y alcaidías</w:t>
      </w:r>
      <w:r w:rsidRPr="003E3F5D">
        <w:rPr>
          <w:rFonts w:ascii="Calibri" w:eastAsia="Calibri" w:hAnsi="Calibri" w:cs="Calibri"/>
          <w:sz w:val="22"/>
          <w:szCs w:val="22"/>
        </w:rPr>
        <w:t xml:space="preserve"> las </w:t>
      </w:r>
      <w:r w:rsidRPr="003E3F5D">
        <w:rPr>
          <w:rFonts w:ascii="Calibri" w:eastAsia="Calibri" w:hAnsi="Calibri" w:cs="Calibri"/>
          <w:i/>
          <w:sz w:val="22"/>
          <w:szCs w:val="22"/>
        </w:rPr>
        <w:t>muertes en detención domiciliaria</w:t>
      </w:r>
      <w:r w:rsidRPr="003E3F5D">
        <w:rPr>
          <w:rFonts w:ascii="Calibri" w:eastAsia="Calibri" w:hAnsi="Calibri" w:cs="Calibri"/>
          <w:sz w:val="22"/>
          <w:szCs w:val="22"/>
        </w:rPr>
        <w:t xml:space="preserve"> . Por razones metodológicas y analíticas los datos se presentan de manera separada, sin desconocer que, en ambos casos, las personas se encuentran bajo control penitenciario y a disposición judicial. </w:t>
      </w:r>
    </w:p>
    <w:p w14:paraId="1191ADD0"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Como puede verse en la siguiente tabla, en 2024 aumenta el total de muertes, tanto en personas detenidas bajo monitoreo electrónico como en personas detenidas en cárceles y alcaidías. Si se considera el total, con la excepción del año 2023 cuando descendieron en ambas modalidades, todos los años se registra un aumento en la cantidad de personas fallecidas bajo custodia del SPB.</w:t>
      </w:r>
    </w:p>
    <w:p w14:paraId="1CC5C06F" w14:textId="77777777" w:rsidR="00165BED" w:rsidRPr="003E3F5D" w:rsidRDefault="00165BED" w:rsidP="003E3F5D">
      <w:pPr>
        <w:spacing w:before="120" w:after="120"/>
        <w:jc w:val="both"/>
        <w:rPr>
          <w:rFonts w:ascii="Calibri" w:eastAsia="Calibri" w:hAnsi="Calibri" w:cs="Calibri"/>
          <w:sz w:val="22"/>
          <w:szCs w:val="22"/>
        </w:rPr>
      </w:pPr>
    </w:p>
    <w:p w14:paraId="69741AD1"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sz w:val="22"/>
          <w:szCs w:val="22"/>
        </w:rPr>
        <w:t>Tabla.  Personas fallecidas bajo custodia del SPB, años 2016-2024 (valores absolutos)</w:t>
      </w:r>
    </w:p>
    <w:p w14:paraId="2635C27B"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noProof/>
          <w:sz w:val="22"/>
          <w:szCs w:val="22"/>
        </w:rPr>
        <w:drawing>
          <wp:inline distT="0" distB="0" distL="0" distR="0" wp14:anchorId="78FBAF31" wp14:editId="6A7CF0C5">
            <wp:extent cx="3145283" cy="2036012"/>
            <wp:effectExtent l="0" t="0" r="0" b="0"/>
            <wp:docPr id="1087330681" name="image1.png" descr="C:\Users\pai\Downloads\Hoja 1.png"/>
            <wp:cNvGraphicFramePr/>
            <a:graphic xmlns:a="http://schemas.openxmlformats.org/drawingml/2006/main">
              <a:graphicData uri="http://schemas.openxmlformats.org/drawingml/2006/picture">
                <pic:pic xmlns:pic="http://schemas.openxmlformats.org/drawingml/2006/picture">
                  <pic:nvPicPr>
                    <pic:cNvPr id="0" name="image1.png" descr="C:\Users\pai\Downloads\Hoja 1.png"/>
                    <pic:cNvPicPr preferRelativeResize="0"/>
                  </pic:nvPicPr>
                  <pic:blipFill>
                    <a:blip r:embed="rId9"/>
                    <a:srcRect/>
                    <a:stretch>
                      <a:fillRect/>
                    </a:stretch>
                  </pic:blipFill>
                  <pic:spPr>
                    <a:xfrm>
                      <a:off x="0" y="0"/>
                      <a:ext cx="3145283" cy="2036012"/>
                    </a:xfrm>
                    <a:prstGeom prst="rect">
                      <a:avLst/>
                    </a:prstGeom>
                    <a:ln/>
                  </pic:spPr>
                </pic:pic>
              </a:graphicData>
            </a:graphic>
          </wp:inline>
        </w:drawing>
      </w:r>
    </w:p>
    <w:p w14:paraId="7772BA81"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b/>
          <w:sz w:val="22"/>
          <w:szCs w:val="22"/>
        </w:rPr>
        <w:t>Fuente:</w:t>
      </w:r>
      <w:r w:rsidRPr="003E3F5D">
        <w:rPr>
          <w:rFonts w:ascii="Calibri" w:eastAsia="Calibri" w:hAnsi="Calibri" w:cs="Calibri"/>
          <w:sz w:val="22"/>
          <w:szCs w:val="22"/>
        </w:rPr>
        <w:t xml:space="preserve"> Registro CPM de muertes en cárceles y alcaidías; Registro CPM de muertes en detención domiciliaria. </w:t>
      </w:r>
    </w:p>
    <w:p w14:paraId="0769CE31" w14:textId="77777777" w:rsidR="00165BED" w:rsidRPr="003E3F5D" w:rsidRDefault="00165BED" w:rsidP="003E3F5D">
      <w:pPr>
        <w:spacing w:before="120" w:after="120"/>
        <w:jc w:val="both"/>
        <w:rPr>
          <w:rFonts w:ascii="Calibri" w:eastAsia="Calibri" w:hAnsi="Calibri" w:cs="Calibri"/>
          <w:sz w:val="22"/>
          <w:szCs w:val="22"/>
        </w:rPr>
      </w:pPr>
    </w:p>
    <w:p w14:paraId="0117F3DD"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 xml:space="preserve">La privación de libertad como pena, en el marco de condiciones inhumanas de vida y restricción sistemática del derecho a la salud, es causa de cientos de muertes evitables. En el período comprendido entre 2008 y 2024 se produjeron </w:t>
      </w:r>
      <w:r w:rsidRPr="003E3F5D">
        <w:rPr>
          <w:rFonts w:ascii="Calibri" w:eastAsia="Calibri" w:hAnsi="Calibri" w:cs="Calibri"/>
          <w:b/>
          <w:sz w:val="22"/>
          <w:szCs w:val="22"/>
        </w:rPr>
        <w:t>2.531</w:t>
      </w:r>
      <w:r w:rsidRPr="003E3F5D">
        <w:rPr>
          <w:rFonts w:ascii="Calibri" w:eastAsia="Calibri" w:hAnsi="Calibri" w:cs="Calibri"/>
          <w:sz w:val="22"/>
          <w:szCs w:val="22"/>
        </w:rPr>
        <w:t xml:space="preserve"> muertes en cárceles y alcaidías bonaerenses, lo que equivale a un promedio de 145 muertes por año y 12 por mes. En promedio se registra una tasa de 4,2 muertes cada 1.000 personas detenidas</w:t>
      </w:r>
      <w:r w:rsidRPr="003E3F5D">
        <w:rPr>
          <w:rFonts w:ascii="Calibri" w:eastAsia="Calibri" w:hAnsi="Calibri" w:cs="Calibri"/>
          <w:sz w:val="22"/>
          <w:szCs w:val="22"/>
          <w:vertAlign w:val="superscript"/>
        </w:rPr>
        <w:footnoteReference w:id="54"/>
      </w:r>
      <w:r w:rsidRPr="003E3F5D">
        <w:rPr>
          <w:rFonts w:ascii="Calibri" w:eastAsia="Calibri" w:hAnsi="Calibri" w:cs="Calibri"/>
          <w:sz w:val="22"/>
          <w:szCs w:val="22"/>
        </w:rPr>
        <w:t>. </w:t>
      </w:r>
    </w:p>
    <w:p w14:paraId="0EF31265"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En todo el período la principal causa de muerte fue “problema de salud”, 73,6% del total (1.863 casos). La segunda causa es “homicidio”, 11,9% (301 casos), seguido de “suicidio” (9,8%, 247 casos) y “accidente” (1,1%, 27 casos).  </w:t>
      </w:r>
    </w:p>
    <w:p w14:paraId="1E156D82"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Al analizar el comportamiento a lo largo de los años, se observa un aumento sostenido en la participación de las muertes por problemas de salud sobre el total: pasó de representar 6 de cada 10 muertes en 2008 a 9 de cada 10 en 2024. El aumento registrado en el total de muertes en 2024 se explica solo con el aumento de las muertes por cuestiones de salud. </w:t>
      </w:r>
    </w:p>
    <w:p w14:paraId="3716D7C6"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En 2024 se registraron 218 muertes en cárceles y alcaidías del SPB: 195 fueron por problemas de salud, 21 suicidios y 2 homicidios. La variación interanual fue de 28,7%, siendo las muertes por problemas de salud las que explican este aumento, con una tasa de 36 muertes cada 10.000 personas detenidas, un 34% más que el año anterior.</w:t>
      </w:r>
    </w:p>
    <w:p w14:paraId="0260AA53" w14:textId="77777777" w:rsidR="00165BED" w:rsidRPr="003E3F5D" w:rsidRDefault="009D4909" w:rsidP="003E3F5D">
      <w:pPr>
        <w:spacing w:before="120" w:after="120"/>
        <w:jc w:val="both"/>
        <w:rPr>
          <w:rFonts w:ascii="Calibri" w:eastAsia="Calibri" w:hAnsi="Calibri" w:cs="Calibri"/>
          <w:sz w:val="22"/>
          <w:szCs w:val="22"/>
        </w:rPr>
      </w:pPr>
      <w:r w:rsidRPr="003E3F5D">
        <w:rPr>
          <w:rFonts w:ascii="Calibri" w:eastAsia="Calibri" w:hAnsi="Calibri" w:cs="Calibri"/>
          <w:sz w:val="22"/>
          <w:szCs w:val="22"/>
        </w:rPr>
        <w:t>Como se puede observar el Estado provincial continúa sin poder establecer una estructura penitenciaria que permita estructurar un sistema que asegure el piso mínimo de garantía de derechos humanos y que permita evitar muertes en los casos de personas que se encuentran bajo su órbita directa de control y atención.</w:t>
      </w:r>
    </w:p>
    <w:p w14:paraId="5172F6C9" w14:textId="77777777" w:rsidR="00165BED" w:rsidRPr="003E3F5D" w:rsidRDefault="00165BED" w:rsidP="003E3F5D">
      <w:pPr>
        <w:spacing w:before="120" w:after="120"/>
        <w:jc w:val="both"/>
        <w:rPr>
          <w:rFonts w:ascii="Calibri" w:eastAsia="Calibri" w:hAnsi="Calibri" w:cs="Calibri"/>
          <w:sz w:val="22"/>
          <w:szCs w:val="22"/>
        </w:rPr>
      </w:pPr>
    </w:p>
    <w:p w14:paraId="4272658C" w14:textId="77777777" w:rsidR="00165BED" w:rsidRPr="003E3F5D" w:rsidRDefault="00165BED" w:rsidP="003E3F5D">
      <w:pPr>
        <w:spacing w:before="120" w:after="120"/>
        <w:jc w:val="both"/>
        <w:rPr>
          <w:rFonts w:ascii="Calibri" w:eastAsia="Calibri" w:hAnsi="Calibri" w:cs="Calibri"/>
          <w:sz w:val="22"/>
          <w:szCs w:val="22"/>
        </w:rPr>
      </w:pPr>
    </w:p>
    <w:p w14:paraId="39AE8540" w14:textId="77777777" w:rsidR="00165BED" w:rsidRPr="003E3F5D" w:rsidRDefault="009D4909" w:rsidP="003E3F5D">
      <w:pPr>
        <w:pStyle w:val="Heading3"/>
        <w:jc w:val="both"/>
        <w:rPr>
          <w:rFonts w:ascii="Calibri" w:eastAsia="Calibri" w:hAnsi="Calibri" w:cs="Calibri"/>
          <w:sz w:val="22"/>
          <w:szCs w:val="22"/>
        </w:rPr>
      </w:pPr>
      <w:bookmarkStart w:id="37" w:name="_Toc211292081"/>
      <w:r w:rsidRPr="003E3F5D">
        <w:rPr>
          <w:rFonts w:ascii="Calibri" w:eastAsia="Calibri" w:hAnsi="Calibri" w:cs="Calibri"/>
          <w:sz w:val="22"/>
          <w:szCs w:val="22"/>
        </w:rPr>
        <w:t>La investigación</w:t>
      </w:r>
      <w:bookmarkEnd w:id="37"/>
    </w:p>
    <w:p w14:paraId="773AB679" w14:textId="77777777" w:rsidR="00165BED" w:rsidRPr="003E3F5D" w:rsidRDefault="009D4909" w:rsidP="003E3F5D">
      <w:pPr>
        <w:pBdr>
          <w:top w:val="nil"/>
          <w:left w:val="nil"/>
          <w:bottom w:val="nil"/>
          <w:right w:val="nil"/>
          <w:between w:val="nil"/>
        </w:pBdr>
        <w:spacing w:before="120" w:after="120"/>
        <w:jc w:val="both"/>
        <w:rPr>
          <w:rFonts w:ascii="Calibri" w:eastAsia="Calibri" w:hAnsi="Calibri" w:cs="Calibri"/>
          <w:color w:val="000000"/>
          <w:sz w:val="22"/>
          <w:szCs w:val="22"/>
        </w:rPr>
      </w:pPr>
      <w:r w:rsidRPr="003E3F5D">
        <w:rPr>
          <w:rFonts w:ascii="Calibri" w:eastAsia="Calibri" w:hAnsi="Calibri" w:cs="Calibri"/>
          <w:color w:val="000000"/>
          <w:sz w:val="22"/>
          <w:szCs w:val="22"/>
        </w:rPr>
        <w:t>En función de los estándares internacionales y parámetros normativos nacionales se analizaron 61 investigaciones penales preparatorias (IPP) de muertes ocurridas en establecimientos penitenciarios de la provincia de Buenos Aires durante 2024. Cabe destacar que esta es una muestra del total de muertes registradas ese año (218)</w:t>
      </w:r>
      <w:r w:rsidRPr="003E3F5D">
        <w:rPr>
          <w:rFonts w:ascii="Calibri" w:eastAsia="Calibri" w:hAnsi="Calibri" w:cs="Calibri"/>
          <w:color w:val="000000"/>
          <w:sz w:val="22"/>
          <w:szCs w:val="22"/>
          <w:vertAlign w:val="superscript"/>
        </w:rPr>
        <w:footnoteReference w:id="55"/>
      </w:r>
      <w:r w:rsidRPr="003E3F5D">
        <w:rPr>
          <w:rFonts w:ascii="Calibri" w:eastAsia="Calibri" w:hAnsi="Calibri" w:cs="Calibri"/>
          <w:color w:val="000000"/>
          <w:sz w:val="22"/>
          <w:szCs w:val="22"/>
        </w:rPr>
        <w:t>, de las cuales se pudo tomar vista y realizar el correspondiente relevamiento y análisis. La mayor frecuencia de casos de muertes analizadas fue registrada en los establecimientos penitenciarios ubicados en La Plata (Lisandro Olmos, Melchor Romero) y Olavarría (Sierra Chica). De las 61 investigaciones analizadas, 45 corresponden a muertes no traumáticas y 16 a muertes traumáticas (15 suicidios y un homicidio)15. Todos los suicidios corresponden a asfixias mecánicas por compresión extrínseca de cuello (ahor</w:t>
      </w:r>
      <w:r w:rsidRPr="003E3F5D">
        <w:rPr>
          <w:rFonts w:ascii="Calibri" w:eastAsia="Calibri" w:hAnsi="Calibri" w:cs="Calibri"/>
          <w:color w:val="000000"/>
          <w:sz w:val="22"/>
          <w:szCs w:val="22"/>
        </w:rPr>
        <w:t>camientos). Entre las muertes no traumáticas analizadas (45), se destacan como causas inmediatas registradas el paro cardiorrespiratorio, el paro cardíaco, la falla multiorgánica, y en menor medida insuficiencia respiratoria, shock séptico e insuficiencia cardíaca. Entre las causas originarias identificadas luego de la autopsia médico-legal, se destacan la ahorcadura (vinculada a los suicidios), neumopatías, tuberculosis en sus diferentes evoluciones, diabetes e hipertensión, cáncer, entre otras. Estas auto</w:t>
      </w:r>
      <w:r w:rsidRPr="003E3F5D">
        <w:rPr>
          <w:rFonts w:ascii="Calibri" w:eastAsia="Calibri" w:hAnsi="Calibri" w:cs="Calibri"/>
          <w:color w:val="000000"/>
          <w:sz w:val="22"/>
          <w:szCs w:val="22"/>
        </w:rPr>
        <w:t xml:space="preserve">psias médico-legales fueron realizadas por las asesorías periciales de la SCBA (45) y por las morgues judiciales de los institutos de ciencias forenses dependientes de la Procuración General (16)18.En el marco de las investigaciones analizadas, generalmente los agentes fiscales ordenan el secuestro de las historias clínicas (56 IPP) y las mismas son evaluadas por los cuerpos forenses intervinientes. Es decir que en términos generales los médicos evalúan los antecedentes de las historias clínicas al momento </w:t>
      </w:r>
      <w:r w:rsidRPr="003E3F5D">
        <w:rPr>
          <w:rFonts w:ascii="Calibri" w:eastAsia="Calibri" w:hAnsi="Calibri" w:cs="Calibri"/>
          <w:color w:val="000000"/>
          <w:sz w:val="22"/>
          <w:szCs w:val="22"/>
        </w:rPr>
        <w:t>de establecer las conclusiones médicas legales luego de las operaciones de autopsia. Otro elemento de sustancial importancia para la investigación forense de las muertes en custodia, según los estándares de los protocolos de Estambul y Minnesota, es la fotografía forense tanto de la escena de los hechos como de la autopsia médico legal. Respecto de esta última se observó que en 42 de las 61 IPP analizadas se registró mediante fotografía o video filmación la autopsia y en 19 no. Esto es fundamental para la d</w:t>
      </w:r>
      <w:r w:rsidRPr="003E3F5D">
        <w:rPr>
          <w:rFonts w:ascii="Calibri" w:eastAsia="Calibri" w:hAnsi="Calibri" w:cs="Calibri"/>
          <w:color w:val="000000"/>
          <w:sz w:val="22"/>
          <w:szCs w:val="22"/>
        </w:rPr>
        <w:t>ocumentación y posterior revisión de esta medida de prueba de vital importancia. La conservación de los cadáveres es un elemento clave para una correcta evaluación de posibles lesiones u otros indicios forenses que puedan surgir de la autopsia médico-legal. En este aspecto, en 48 de las 61 IPP analizadas se registró la conservación en cámara de frío de la víctima y en 13 no. Se pudo observar que en 16 casos los cuerpos se encontraban en estado de putrefacción al momento de la evaluación tanatológica durante</w:t>
      </w:r>
      <w:r w:rsidRPr="003E3F5D">
        <w:rPr>
          <w:rFonts w:ascii="Calibri" w:eastAsia="Calibri" w:hAnsi="Calibri" w:cs="Calibri"/>
          <w:color w:val="000000"/>
          <w:sz w:val="22"/>
          <w:szCs w:val="22"/>
        </w:rPr>
        <w:t xml:space="preserve"> la operación de autopsia. Esto podría ser indicativo de malas prácticas en la conservación del cuerpo, infraestructura deficiente y/o fallas en los sistemas de refrigeración de las morgues o instituciones hospitalarias en las que son resguardados, entre otras circunstancias</w:t>
      </w:r>
    </w:p>
    <w:p w14:paraId="22773213" w14:textId="77777777" w:rsidR="00165BED" w:rsidRPr="003E3F5D" w:rsidRDefault="009D4909" w:rsidP="003E3F5D">
      <w:pPr>
        <w:jc w:val="both"/>
        <w:rPr>
          <w:rFonts w:ascii="Calibri" w:hAnsi="Calibri" w:cs="Calibri"/>
          <w:sz w:val="22"/>
          <w:szCs w:val="22"/>
        </w:rPr>
      </w:pPr>
      <w:bookmarkStart w:id="38" w:name="_heading=h.8mhwhnrp7kwv" w:colFirst="0" w:colLast="0"/>
      <w:bookmarkEnd w:id="38"/>
      <w:r w:rsidRPr="003E3F5D">
        <w:rPr>
          <w:rFonts w:ascii="Calibri" w:hAnsi="Calibri" w:cs="Calibri"/>
          <w:sz w:val="22"/>
          <w:szCs w:val="22"/>
        </w:rPr>
        <w:t>Un déficit observado en las diferentes causas analizadas es la ausencia del pesaje preciso de los cuerpos. En 55 de las 61 IPP analizadas el peso del cuerpo de la víctima fue establecido por aproximación. Esto es indicativo de la falta de elementos básicos para el adecuado desarrollo de las tareas forenses. Otra evidencia clave para la investigación de muertes en custodia, en armonía con los estándares internacionales y locales en la materia, es la toma de placas radiográficas. En más de un tercio de las IP</w:t>
      </w:r>
      <w:r w:rsidRPr="003E3F5D">
        <w:rPr>
          <w:rFonts w:ascii="Calibri" w:hAnsi="Calibri" w:cs="Calibri"/>
          <w:sz w:val="22"/>
          <w:szCs w:val="22"/>
        </w:rPr>
        <w:t xml:space="preserve">P analizadas no se tomaron placas radiográficas al momento de practicar la autopsia. Esta situación se torna más problemática si la muerte es traumática: de las 16 analizadas, en 5 no se tomaron placas radiológicas del cuerpo. </w:t>
      </w:r>
    </w:p>
    <w:p w14:paraId="51C8CEF4" w14:textId="77777777" w:rsidR="00165BED" w:rsidRPr="003E3F5D" w:rsidRDefault="009D4909" w:rsidP="003E3F5D">
      <w:pPr>
        <w:jc w:val="both"/>
        <w:rPr>
          <w:rFonts w:ascii="Calibri" w:hAnsi="Calibri" w:cs="Calibri"/>
          <w:sz w:val="22"/>
          <w:szCs w:val="22"/>
        </w:rPr>
      </w:pPr>
      <w:bookmarkStart w:id="39" w:name="_heading=h.7n7n0totu7wi" w:colFirst="0" w:colLast="0"/>
      <w:bookmarkEnd w:id="39"/>
      <w:r w:rsidRPr="003E3F5D">
        <w:rPr>
          <w:rFonts w:ascii="Calibri" w:hAnsi="Calibri" w:cs="Calibri"/>
          <w:sz w:val="22"/>
          <w:szCs w:val="22"/>
        </w:rPr>
        <w:t xml:space="preserve">Otra práctica relevante en la investigación de muertes potencialmente ilícitas ocurridas en custodia es la extracción mediante el hisopado de posibles muestras de ADN y otros elementos biológicos de los lechos ungueales, zona bucal, órganos sexuales y/o ropa. En 48 de los 61 casos analizados no se realizó dicha práctica. Más aún, no se llevó a cabo en 7 de las 16 muertes traumáticas analizadas.  </w:t>
      </w:r>
    </w:p>
    <w:p w14:paraId="1FB84E7E" w14:textId="77777777" w:rsidR="00165BED" w:rsidRPr="003E3F5D" w:rsidRDefault="009D4909" w:rsidP="003E3F5D">
      <w:pPr>
        <w:jc w:val="both"/>
        <w:rPr>
          <w:rFonts w:ascii="Calibri" w:hAnsi="Calibri" w:cs="Calibri"/>
          <w:sz w:val="22"/>
          <w:szCs w:val="22"/>
        </w:rPr>
      </w:pPr>
      <w:bookmarkStart w:id="40" w:name="_heading=h.1ah29md6qt36" w:colFirst="0" w:colLast="0"/>
      <w:bookmarkEnd w:id="40"/>
      <w:r w:rsidRPr="003E3F5D">
        <w:rPr>
          <w:rFonts w:ascii="Calibri" w:hAnsi="Calibri" w:cs="Calibri"/>
          <w:sz w:val="22"/>
          <w:szCs w:val="22"/>
        </w:rPr>
        <w:t>Respecto de las directrices emanadas de la resolución PG 1.390/01 y de la ley provincial 14.687/14 en relación a la restricción de las facultades delegatorias de la investigación del agente fiscal en las fuerzas de seguridad en casos de muerte en custodia, se halló que en 30 casos esto se cumplimenta, en 29 no y en dos casos no se encuentran datos suficientes para corroborarlo. En 37 de las 61 de las IPP analizadas la muerte se produjo extramuros, es decir fuera de un espacio de un establecimiento penitenci</w:t>
      </w:r>
      <w:r w:rsidRPr="003E3F5D">
        <w:rPr>
          <w:rFonts w:ascii="Calibri" w:hAnsi="Calibri" w:cs="Calibri"/>
          <w:sz w:val="22"/>
          <w:szCs w:val="22"/>
        </w:rPr>
        <w:t xml:space="preserve">ario, y en 24 de los casos analizados ocurrieron en espacios penitenciarios (celdas, PSAC, sanidad, duchas, pabellones). En 37 el agente fiscal a cargo no ordenó el correspondiente levantamiento de rastros de la escena de los hechos. </w:t>
      </w:r>
    </w:p>
    <w:p w14:paraId="7CA8082B" w14:textId="77777777" w:rsidR="00165BED" w:rsidRPr="003E3F5D" w:rsidRDefault="009D4909" w:rsidP="003E3F5D">
      <w:pPr>
        <w:jc w:val="both"/>
        <w:rPr>
          <w:rFonts w:ascii="Calibri" w:hAnsi="Calibri" w:cs="Calibri"/>
          <w:sz w:val="22"/>
          <w:szCs w:val="22"/>
        </w:rPr>
      </w:pPr>
      <w:bookmarkStart w:id="41" w:name="_heading=h.t363gk5z975u" w:colFirst="0" w:colLast="0"/>
      <w:bookmarkEnd w:id="41"/>
      <w:r w:rsidRPr="003E3F5D">
        <w:rPr>
          <w:rFonts w:ascii="Calibri" w:hAnsi="Calibri" w:cs="Calibri"/>
          <w:sz w:val="22"/>
          <w:szCs w:val="22"/>
        </w:rPr>
        <w:t>En 55 de las 61 IPP analizadas la familia no fue convocada a prestar declaración testimonial. Sólo en 14 se convocó a otras personas privadas de libertad que compartieron el lugar de alojamiento con la víctima. Por otro lado, en 17 se convocó a testimoniar al personal del SPB a cargo de la custodia de la víctima.</w:t>
      </w:r>
    </w:p>
    <w:p w14:paraId="554E5600" w14:textId="77777777" w:rsidR="00165BED" w:rsidRPr="003E3F5D" w:rsidRDefault="00165BED" w:rsidP="003E3F5D">
      <w:pPr>
        <w:jc w:val="both"/>
        <w:rPr>
          <w:rFonts w:ascii="Calibri" w:hAnsi="Calibri" w:cs="Calibri"/>
          <w:sz w:val="22"/>
          <w:szCs w:val="22"/>
        </w:rPr>
      </w:pPr>
    </w:p>
    <w:p w14:paraId="39462BEC" w14:textId="77777777" w:rsidR="00165BED" w:rsidRPr="003E3F5D" w:rsidRDefault="009D4909" w:rsidP="003E3F5D">
      <w:pPr>
        <w:pStyle w:val="Heading2"/>
        <w:jc w:val="both"/>
        <w:rPr>
          <w:rFonts w:ascii="Calibri" w:hAnsi="Calibri" w:cs="Calibri"/>
          <w:sz w:val="22"/>
          <w:szCs w:val="22"/>
        </w:rPr>
      </w:pPr>
      <w:bookmarkStart w:id="42" w:name="_Toc211292082"/>
      <w:r w:rsidRPr="003E3F5D">
        <w:rPr>
          <w:rFonts w:ascii="Calibri" w:hAnsi="Calibri" w:cs="Calibri"/>
          <w:sz w:val="22"/>
          <w:szCs w:val="22"/>
        </w:rPr>
        <w:t>El Sistema de salud mental</w:t>
      </w:r>
      <w:bookmarkEnd w:id="42"/>
    </w:p>
    <w:p w14:paraId="540FC21E" w14:textId="77777777" w:rsidR="00165BED" w:rsidRPr="003E3F5D" w:rsidRDefault="00165BED" w:rsidP="003E3F5D">
      <w:pPr>
        <w:pBdr>
          <w:top w:val="nil"/>
          <w:left w:val="nil"/>
          <w:bottom w:val="nil"/>
          <w:right w:val="nil"/>
          <w:between w:val="nil"/>
        </w:pBdr>
        <w:jc w:val="both"/>
        <w:rPr>
          <w:rFonts w:ascii="Calibri" w:eastAsia="Calibri" w:hAnsi="Calibri" w:cs="Calibri"/>
          <w:sz w:val="22"/>
          <w:szCs w:val="22"/>
        </w:rPr>
      </w:pPr>
    </w:p>
    <w:p w14:paraId="7B96DA60"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 xml:space="preserve">En línea con lo establecido por el Comité en anteriores observaciones, continúa la </w:t>
      </w:r>
      <w:r w:rsidRPr="003E3F5D">
        <w:rPr>
          <w:rFonts w:ascii="Calibri" w:eastAsia="Calibri" w:hAnsi="Calibri" w:cs="Calibri"/>
          <w:b/>
          <w:sz w:val="22"/>
          <w:szCs w:val="22"/>
        </w:rPr>
        <w:t>ausencia de abordaje integral en contextos de encierro</w:t>
      </w:r>
      <w:r w:rsidRPr="003E3F5D">
        <w:rPr>
          <w:rFonts w:ascii="Calibri" w:eastAsia="Calibri" w:hAnsi="Calibri" w:cs="Calibri"/>
          <w:sz w:val="22"/>
          <w:szCs w:val="22"/>
        </w:rPr>
        <w:t xml:space="preserve">. Solo en la provincia de Buenos Aires la CPM en 2024 ha registrado 21 suicidios, número que supera la tasa de suicidios a nivel provincial.  A ello se le suma que se continúa registrando como práctica el empleo de torturas y malos tratos asociados al régimen de las cárceles especiales  y la permanencia de personas sin criterio de internación y la prolongación de las medidas de seguridad por cuestiones de carencias sociales , principalmente relacionadas </w:t>
      </w:r>
      <w:r w:rsidRPr="003E3F5D">
        <w:rPr>
          <w:rFonts w:ascii="Calibri" w:eastAsia="Calibri" w:hAnsi="Calibri" w:cs="Calibri"/>
          <w:sz w:val="22"/>
          <w:szCs w:val="22"/>
        </w:rPr>
        <w:t>con la falta de poder adquisitivo (Pobreza). En este contexto se registra la aplicación regular de torturas y malos tratos. Ello a través de la violencia física, verbal y psicológica, malas condiciones de detención, falta de acceso a la salud y alimentación, sobremedicación, sujeción mecánica, aislamiento, entre otras</w:t>
      </w:r>
      <w:r w:rsidRPr="003E3F5D">
        <w:rPr>
          <w:rFonts w:ascii="Calibri" w:eastAsia="Calibri" w:hAnsi="Calibri" w:cs="Calibri"/>
          <w:sz w:val="22"/>
          <w:szCs w:val="22"/>
          <w:vertAlign w:val="superscript"/>
        </w:rPr>
        <w:footnoteReference w:id="56"/>
      </w:r>
      <w:r w:rsidRPr="003E3F5D">
        <w:rPr>
          <w:rFonts w:ascii="Calibri" w:eastAsia="Calibri" w:hAnsi="Calibri" w:cs="Calibri"/>
          <w:sz w:val="22"/>
          <w:szCs w:val="22"/>
        </w:rPr>
        <w:t xml:space="preserve">. </w:t>
      </w:r>
    </w:p>
    <w:p w14:paraId="6544A124"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 xml:space="preserve">En otro orden de ideas, la CPM expresa particular preocupación en lo que respecta a las </w:t>
      </w:r>
      <w:r w:rsidRPr="003E3F5D">
        <w:rPr>
          <w:rFonts w:ascii="Calibri" w:eastAsia="Calibri" w:hAnsi="Calibri" w:cs="Calibri"/>
          <w:b/>
          <w:sz w:val="22"/>
          <w:szCs w:val="22"/>
        </w:rPr>
        <w:t xml:space="preserve">Comunidades terapéuticas para abordaje de consumos. </w:t>
      </w:r>
      <w:r w:rsidRPr="003E3F5D">
        <w:rPr>
          <w:rFonts w:ascii="Calibri" w:eastAsia="Calibri" w:hAnsi="Calibri" w:cs="Calibri"/>
          <w:sz w:val="22"/>
          <w:szCs w:val="22"/>
        </w:rPr>
        <w:t>En los últimos años se ha detectado una falencia severa en el control estatal. Algunas funcionan con habilitaciones provisorias y otras de manera clandestina, por lo tanto se desconoce con exactitud cuántas existen. En 2024, solo en provincia de Buenos Aires, se detectaron 155 casos de falta o carencia de asistencia a la salud. Los supuestos tratamientos brindados, están orientados al castigo y no respetan los estándares internacionales y nacionales en mat</w:t>
      </w:r>
      <w:r w:rsidRPr="003E3F5D">
        <w:rPr>
          <w:rFonts w:ascii="Calibri" w:eastAsia="Calibri" w:hAnsi="Calibri" w:cs="Calibri"/>
          <w:sz w:val="22"/>
          <w:szCs w:val="22"/>
        </w:rPr>
        <w:t>eria de salud mental. En este sentido se han detectado: violencia física y verbal, sujeción mecánica, sobremedicación, desvinculación familiar. A ello se le suma que es regular la ausencia de personal de salud (psicólogos/psiquiatras). La dinámica cotidiana funciona en general por la intervención de ex consumidores que pasaron por esas comunidades. Se detectó como grave práctica la intervención de grupos que practican internaciones involuntarias secuestrando a las personas y trasladándolas a las comunidades</w:t>
      </w:r>
      <w:r w:rsidRPr="003E3F5D">
        <w:rPr>
          <w:rFonts w:ascii="Calibri" w:eastAsia="Calibri" w:hAnsi="Calibri" w:cs="Calibri"/>
          <w:sz w:val="22"/>
          <w:szCs w:val="22"/>
        </w:rPr>
        <w:t xml:space="preserve"> sin su consentimiento, principalmente durante la madrugada. Todo esto ocurre bajo la ausencia o carencia del control judicial y administrativo. En este contexto se han producido graves casos de torturas y muertes. </w:t>
      </w:r>
    </w:p>
    <w:p w14:paraId="14E6BD1E" w14:textId="77777777" w:rsidR="00165BED" w:rsidRPr="003E3F5D" w:rsidRDefault="009D4909" w:rsidP="003E3F5D">
      <w:pPr>
        <w:pBdr>
          <w:top w:val="nil"/>
          <w:left w:val="nil"/>
          <w:bottom w:val="nil"/>
          <w:right w:val="nil"/>
          <w:between w:val="nil"/>
        </w:pBdr>
        <w:jc w:val="both"/>
        <w:rPr>
          <w:rFonts w:ascii="Calibri" w:eastAsia="Calibri" w:hAnsi="Calibri" w:cs="Calibri"/>
          <w:sz w:val="22"/>
          <w:szCs w:val="22"/>
        </w:rPr>
      </w:pPr>
      <w:r w:rsidRPr="003E3F5D">
        <w:rPr>
          <w:rFonts w:ascii="Calibri" w:eastAsia="Calibri" w:hAnsi="Calibri" w:cs="Calibri"/>
          <w:sz w:val="22"/>
          <w:szCs w:val="22"/>
        </w:rPr>
        <w:t xml:space="preserve">Otro aspecto que reviste central gravedad es la </w:t>
      </w:r>
      <w:r w:rsidRPr="003E3F5D">
        <w:rPr>
          <w:rFonts w:ascii="Calibri" w:eastAsia="Calibri" w:hAnsi="Calibri" w:cs="Calibri"/>
          <w:b/>
          <w:sz w:val="22"/>
          <w:szCs w:val="22"/>
        </w:rPr>
        <w:t>intervención policial ante conflictos que involucran a personas  con algún padecimiento de salud mental</w:t>
      </w:r>
      <w:r w:rsidRPr="003E3F5D">
        <w:rPr>
          <w:rFonts w:ascii="Calibri" w:eastAsia="Calibri" w:hAnsi="Calibri" w:cs="Calibri"/>
          <w:sz w:val="22"/>
          <w:szCs w:val="22"/>
        </w:rPr>
        <w:t xml:space="preserve"> incluidos los cuadros de excitación producidos por consumos. En estos casos predomina la intervención exclusiva del personal policial (o de guardias municipales), utilizando como mecanismo el uso excesivo de la fuerza. Esto incluye la sujeción o compresión entre varias personas, el empleo de golpes o el uso de agresivos químicos como gas pimienta. En estas intervenciones se han registrado casos compatible</w:t>
      </w:r>
      <w:r w:rsidRPr="003E3F5D">
        <w:rPr>
          <w:rFonts w:ascii="Calibri" w:eastAsia="Calibri" w:hAnsi="Calibri" w:cs="Calibri"/>
          <w:sz w:val="22"/>
          <w:szCs w:val="22"/>
        </w:rPr>
        <w:t xml:space="preserve">s con las torturas y los malos tratos e incluso muertes. Se destaca la ausencia de intervención del personal de salud y la inexistencia o falta de aplicación de protocolos de actuación. En la provincia de Buenos Aires, si bien existen guías para la actuación policial y del personal de salud, estas no se aplican por falta de decisión, desconocimiento o falta de formación. </w:t>
      </w:r>
    </w:p>
    <w:p w14:paraId="72F1F5F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Finalmente en relación a las clínicas psiquiátricas, la CPM ha relevado en sus monitoreos,  que las autoridades de estas instituciones desconocen la normativa o deciden no aplicarla y subyace incluso la idea de que no deberían ser controladas por el Estado por ser propietarios. Se constató que el control estatal por parte de las autoridades sanitarias que detentan dicha función continúa siendo deficiente e insuficiente. Las vulneraciones de derechos arraigadas se basan en lógicas manicomiales que tienen com</w:t>
      </w:r>
      <w:r w:rsidRPr="003E3F5D">
        <w:rPr>
          <w:rFonts w:ascii="Calibri" w:eastAsia="Calibri" w:hAnsi="Calibri" w:cs="Calibri"/>
          <w:sz w:val="22"/>
          <w:szCs w:val="22"/>
        </w:rPr>
        <w:t>o consecuencia la desubjetivación y deshumanización de las personas. Estas consecuencias atentan contra el sostenimiento de las externaciones, en los pocos casos en los que se producen. En términos generales, en todas las clínicas monitoreadas se relevó el predominio del paradigma psiquiátrico-manicomial y el consecuente incumplimiento de las leyes nacionales de salud mental y de historias clínicas. Se constató: falta de evaluaciones interdisciplinarias que justifiquen las internaciones, abandono, desidia y</w:t>
      </w:r>
      <w:r w:rsidRPr="003E3F5D">
        <w:rPr>
          <w:rFonts w:ascii="Calibri" w:eastAsia="Calibri" w:hAnsi="Calibri" w:cs="Calibri"/>
          <w:sz w:val="22"/>
          <w:szCs w:val="22"/>
        </w:rPr>
        <w:t xml:space="preserve"> escasas o nulas estrategias de externación; esto último implica la permanencia durante mucho tiempo de personas que, en su mayoría, son adultas mayores, y redunda en la geriatrización de estas instituciones. A partir del relato de las personas entrevistadas se relevó que el tratamiento ofrecido se basa exclusivamente en el suministro de psicofármacos sin seguimiento ni control adecuado, y que no hay otro tipo de espacios terapéuticos. En la mayoría de las inspecciones se constataron signos de sobremedicaci</w:t>
      </w:r>
      <w:r w:rsidRPr="003E3F5D">
        <w:rPr>
          <w:rFonts w:ascii="Calibri" w:eastAsia="Calibri" w:hAnsi="Calibri" w:cs="Calibri"/>
          <w:sz w:val="22"/>
          <w:szCs w:val="22"/>
        </w:rPr>
        <w:t>ón (discurso enlentecido, falta de estabilidad en la marcha, salivación excesiva) y personas que durmieron durante todo el monitoreo. Durante 2024 se registraron 12 hechos de sobre-medicación en clínicas neuropsiquiátricas. De manera transversal se relevó una cantidad insuficiente de profesionales de salud mental y de personal de enfermería disponible para la cantidad de personas alojadas. Se destaca con preocupación la presencia de personas menores de edad sin acompañamiento y alojadas en los mismos espaci</w:t>
      </w:r>
      <w:r w:rsidRPr="003E3F5D">
        <w:rPr>
          <w:rFonts w:ascii="Calibri" w:eastAsia="Calibri" w:hAnsi="Calibri" w:cs="Calibri"/>
          <w:sz w:val="22"/>
          <w:szCs w:val="22"/>
        </w:rPr>
        <w:t>os que las adultas, sin garantías de abordaje particular ni actividades adaptadas al rango etario. Se relevaron torturas y malos tratos, violencia verbal y psicológica, prácticas de castigo y disciplinamiento, amenazas, extraterritorialidad del abordaje (personas oriundas de otras provincias o de lugares lejanos), lo que obstaculiza el acceso a un abordaje comunitario. En 2024 se comunicaron un total 366 hechos de tortura y malos tratos en clínicas neuropsiquiátricas. En todas las instituciones observamos p</w:t>
      </w:r>
      <w:r w:rsidRPr="003E3F5D">
        <w:rPr>
          <w:rFonts w:ascii="Calibri" w:eastAsia="Calibri" w:hAnsi="Calibri" w:cs="Calibri"/>
          <w:sz w:val="22"/>
          <w:szCs w:val="22"/>
        </w:rPr>
        <w:t>ersonas adultas mayores o con algún tipo de discapacidad, postradas en la cama, sin asistencia, sin actividades, en estado de abandono y la existencia de internaciones por “razones sociales”. A partir de lo constatado afirmamos que en la realidad estas instituciones funcionan con la modalidad de hogares o geriátricos, alojan personas sin criterio de internación y no garantizan los cuidados o apoyos requeridos. Según el análisis de lo relevado, esto responde a la falta de respuesta por parte de las obras soc</w:t>
      </w:r>
      <w:r w:rsidRPr="003E3F5D">
        <w:rPr>
          <w:rFonts w:ascii="Calibri" w:eastAsia="Calibri" w:hAnsi="Calibri" w:cs="Calibri"/>
          <w:sz w:val="22"/>
          <w:szCs w:val="22"/>
        </w:rPr>
        <w:t>iales para garantizar la derivación y traslado a otro tipo de dispositivos adecuados a sus necesidades, sobre todo IOMA y PAMI que tienen la mayor cantidad de personas afiliadas internadas Todo lo mencionado da cuenta del estado de abandono en el que se encuentran la mayoría de las personas alojadas en estas instituciones. Estas condiciones de vida totalmente indignas y denigrantes afectan la salud integral, disminuyen la autonomía y agravan los cuadros de salud mental generando consecuencias irreversibles.</w:t>
      </w:r>
    </w:p>
    <w:p w14:paraId="477635A3" w14:textId="77777777" w:rsidR="00165BED" w:rsidRPr="003E3F5D" w:rsidRDefault="00165BED" w:rsidP="003E3F5D">
      <w:pPr>
        <w:pStyle w:val="Heading1"/>
        <w:jc w:val="both"/>
        <w:rPr>
          <w:rFonts w:ascii="Calibri" w:eastAsia="Calibri" w:hAnsi="Calibri" w:cs="Calibri"/>
          <w:sz w:val="22"/>
          <w:szCs w:val="22"/>
        </w:rPr>
      </w:pPr>
    </w:p>
    <w:p w14:paraId="1CF48283" w14:textId="77777777" w:rsidR="00165BED" w:rsidRPr="003E3F5D" w:rsidRDefault="009D4909" w:rsidP="003E3F5D">
      <w:pPr>
        <w:pStyle w:val="Heading1"/>
        <w:jc w:val="both"/>
        <w:rPr>
          <w:rFonts w:ascii="Calibri" w:eastAsia="Calibri" w:hAnsi="Calibri" w:cs="Calibri"/>
          <w:sz w:val="22"/>
          <w:szCs w:val="22"/>
        </w:rPr>
      </w:pPr>
      <w:bookmarkStart w:id="43" w:name="_Toc211292083"/>
      <w:r w:rsidRPr="003E3F5D">
        <w:rPr>
          <w:rFonts w:ascii="Calibri" w:eastAsia="Calibri" w:hAnsi="Calibri" w:cs="Calibri"/>
          <w:sz w:val="22"/>
          <w:szCs w:val="22"/>
        </w:rPr>
        <w:t>Detención en comisarías</w:t>
      </w:r>
      <w:bookmarkEnd w:id="43"/>
    </w:p>
    <w:p w14:paraId="6B3F9C53" w14:textId="77777777" w:rsidR="00165BED" w:rsidRPr="003E3F5D" w:rsidRDefault="009D4909" w:rsidP="003E3F5D">
      <w:pPr>
        <w:pStyle w:val="Heading2"/>
        <w:jc w:val="both"/>
        <w:rPr>
          <w:rFonts w:ascii="Calibri" w:eastAsia="Calibri" w:hAnsi="Calibri" w:cs="Calibri"/>
          <w:sz w:val="22"/>
          <w:szCs w:val="22"/>
        </w:rPr>
      </w:pPr>
      <w:bookmarkStart w:id="44" w:name="_Toc211292084"/>
      <w:r w:rsidRPr="003E3F5D">
        <w:rPr>
          <w:rFonts w:ascii="Calibri" w:eastAsia="Calibri" w:hAnsi="Calibri" w:cs="Calibri"/>
          <w:sz w:val="22"/>
          <w:szCs w:val="22"/>
        </w:rPr>
        <w:t>Estadísticas y modus operandi</w:t>
      </w:r>
      <w:bookmarkEnd w:id="44"/>
    </w:p>
    <w:p w14:paraId="025D19F6"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 xml:space="preserve">La población detenida en comisarías vista en el largo plazo y a grandes rasgos, registró una tendencia decreciente entre 2002 y 2012 y creciente de 2013 en adelante, aunque con interrupciones o retrocesos. Pese al compromiso de actores judiciales y ministeriales de reducir la población detenida en comisarías, los años 2020 y 2021 presentaron las cifras más altas desde 2006. En 2022 y 2023 se registraron descensos del 11% y el 40% respectivamente. En diciembre de 2024 la población fue de 2.314, disminuyendo </w:t>
      </w:r>
      <w:r w:rsidRPr="003E3F5D">
        <w:rPr>
          <w:rFonts w:ascii="Calibri" w:eastAsia="Calibri" w:hAnsi="Calibri" w:cs="Calibri"/>
          <w:sz w:val="22"/>
          <w:szCs w:val="22"/>
        </w:rPr>
        <w:t>un 2%.</w:t>
      </w:r>
    </w:p>
    <w:p w14:paraId="48B9A4F2" w14:textId="77777777" w:rsidR="00165BED" w:rsidRPr="003E3F5D" w:rsidRDefault="009D4909" w:rsidP="003E3F5D">
      <w:pPr>
        <w:spacing w:before="120" w:after="0"/>
        <w:jc w:val="both"/>
        <w:rPr>
          <w:rFonts w:ascii="Calibri" w:eastAsia="Calibri" w:hAnsi="Calibri" w:cs="Calibri"/>
          <w:sz w:val="22"/>
          <w:szCs w:val="22"/>
        </w:rPr>
      </w:pPr>
      <w:r w:rsidRPr="003E3F5D">
        <w:rPr>
          <w:rFonts w:ascii="Calibri" w:eastAsia="Calibri" w:hAnsi="Calibri" w:cs="Calibri"/>
          <w:sz w:val="22"/>
          <w:szCs w:val="22"/>
        </w:rPr>
        <w:t>Si analizamos el período 2021-2024, de baja ininterrumpida de la población en comisarías, se observa que la disminución entre esos años (-48%) puede haber impactado en alcaidías (+122%), en el monitoreo electrónico (+34%)</w:t>
      </w:r>
      <w:r w:rsidRPr="003E3F5D">
        <w:rPr>
          <w:rFonts w:ascii="Calibri" w:eastAsia="Calibri" w:hAnsi="Calibri" w:cs="Calibri"/>
          <w:sz w:val="22"/>
          <w:szCs w:val="22"/>
          <w:vertAlign w:val="superscript"/>
        </w:rPr>
        <w:footnoteReference w:id="57"/>
      </w:r>
      <w:r w:rsidRPr="003E3F5D">
        <w:rPr>
          <w:rFonts w:ascii="Calibri" w:eastAsia="Calibri" w:hAnsi="Calibri" w:cs="Calibri"/>
          <w:sz w:val="22"/>
          <w:szCs w:val="22"/>
        </w:rPr>
        <w:t xml:space="preserve"> y en cárceles (+15%). </w:t>
      </w:r>
    </w:p>
    <w:p w14:paraId="14F9A2B3" w14:textId="77777777" w:rsidR="00165BED" w:rsidRPr="003E3F5D" w:rsidRDefault="00165BED" w:rsidP="003E3F5D">
      <w:pPr>
        <w:jc w:val="both"/>
        <w:rPr>
          <w:rFonts w:ascii="Calibri" w:eastAsia="Calibri" w:hAnsi="Calibri" w:cs="Calibri"/>
          <w:sz w:val="22"/>
          <w:szCs w:val="22"/>
        </w:rPr>
      </w:pPr>
    </w:p>
    <w:p w14:paraId="47E35BC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Como todos los años, la CPM registra y denuncia las condiciones inhumanas y degradantes en las cuales las personas privadas de su libertad se encuentran en las comisarías de la provincia de Buenos Aires, y señalamos que se trata de una de las más graves violaciones a los derechos humanos que acontecen de forma sistemática y al alcance de la vista de todos los poderes del Estado</w:t>
      </w:r>
    </w:p>
    <w:p w14:paraId="7844EEA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Al finalizar el año 2024 se encontraban 2.314 personas detenidas en las comisarías bonaerenses. En comparación con la población detenida en el SPB, la cifra sobre personas alojadas en dependencias policiales es fluctuante, con múltiples ascensos y descensos a lo largo del periodo registrado. Sin embargo, desde 2013 se asistió a un aumento relativamente sostenido, y pese al compromiso de actores judiciales y ministeriales de reducir la población detenida en comisarías, los años 2020 y 2021 presentaron las ci</w:t>
      </w:r>
      <w:r w:rsidRPr="003E3F5D">
        <w:rPr>
          <w:rFonts w:ascii="Calibri" w:eastAsia="Calibri" w:hAnsi="Calibri" w:cs="Calibri"/>
          <w:sz w:val="22"/>
          <w:szCs w:val="22"/>
        </w:rPr>
        <w:t xml:space="preserve">fras más altas desde 2005 (cuando la CSJN dictó el fallo </w:t>
      </w:r>
      <w:r w:rsidRPr="003E3F5D">
        <w:rPr>
          <w:rFonts w:ascii="Calibri" w:eastAsia="Calibri" w:hAnsi="Calibri" w:cs="Calibri"/>
          <w:i/>
          <w:sz w:val="22"/>
          <w:szCs w:val="22"/>
        </w:rPr>
        <w:t xml:space="preserve">“Verbitsky, Horacio s/ habeas corpus” </w:t>
      </w:r>
      <w:r w:rsidRPr="003E3F5D">
        <w:rPr>
          <w:rFonts w:ascii="Calibri" w:eastAsia="Calibri" w:hAnsi="Calibri" w:cs="Calibri"/>
          <w:sz w:val="22"/>
          <w:szCs w:val="22"/>
        </w:rPr>
        <w:t>de fecha 3 de mayo de 2005). Como hemos señalado en el informe anterior, en los últimos años se viene registrando una disminución en la cantidad de personas alojadas en comisarías, lo cual es un logro en el marco de la causa judicial abierta en la Sala V del Tribunal de Casación Penal de la provincia de Buenos Aires, que sostuvo un seguimiento periódico mediante resoluciones, intervenciones y articulaciones con di</w:t>
      </w:r>
      <w:r w:rsidRPr="003E3F5D">
        <w:rPr>
          <w:rFonts w:ascii="Calibri" w:eastAsia="Calibri" w:hAnsi="Calibri" w:cs="Calibri"/>
          <w:sz w:val="22"/>
          <w:szCs w:val="22"/>
        </w:rPr>
        <w:t>ferentes actores estatales.</w:t>
      </w:r>
      <w:r w:rsidRPr="003E3F5D">
        <w:rPr>
          <w:rFonts w:ascii="Calibri" w:eastAsia="Calibri" w:hAnsi="Calibri" w:cs="Calibri"/>
          <w:sz w:val="22"/>
          <w:szCs w:val="22"/>
          <w:vertAlign w:val="superscript"/>
        </w:rPr>
        <w:footnoteReference w:id="58"/>
      </w:r>
    </w:p>
    <w:p w14:paraId="0785800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Pese a ello, reiteramos que este descenso no se basa en el cambio de los motivos esenciales que explican el aumento de personas detenidas en dependencias policiales. Es decir, no hubo modificaciones en materia de política criminal y se continúa con la captación policial indiscriminada como técnica de control social de los segmentos marginados de la población y el sobre-encarcelamiento como respuesta predominante del sistema penal.</w:t>
      </w:r>
    </w:p>
    <w:p w14:paraId="278E297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Así, la respuesta a esta problemática consiste en el traslado de personas alojadas en comisarías a la órbita del SPB, lo cual incrementa la cifra de personas privadas de su libertad en alcaidías y cárceles, profundizando el colapso del sistema penal. </w:t>
      </w:r>
    </w:p>
    <w:p w14:paraId="13DABE8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ensayo de las mismas recetas para la descompresión del alojamiento masivo en comisarías permite adelantar un nuevo pico de crecimiento, salvo que se asuma como variable el incremento indefinido de la sobrepoblación y hacinamiento del sistema carcelario. </w:t>
      </w:r>
    </w:p>
    <w:p w14:paraId="49CB651B"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Gráfico. Personas detenidas en comisarías de la provincia de Buenos Aires, 2013-2024</w:t>
      </w:r>
    </w:p>
    <w:p w14:paraId="1AF29B85" w14:textId="77777777" w:rsidR="00165BED" w:rsidRPr="003E3F5D" w:rsidRDefault="00165BED" w:rsidP="003E3F5D">
      <w:pPr>
        <w:jc w:val="both"/>
        <w:rPr>
          <w:rFonts w:ascii="Calibri" w:eastAsia="Calibri" w:hAnsi="Calibri" w:cs="Calibri"/>
          <w:sz w:val="22"/>
          <w:szCs w:val="22"/>
        </w:rPr>
      </w:pPr>
    </w:p>
    <w:p w14:paraId="6845079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noProof/>
          <w:sz w:val="22"/>
          <w:szCs w:val="22"/>
        </w:rPr>
        <w:drawing>
          <wp:inline distT="0" distB="0" distL="0" distR="0" wp14:anchorId="562DAD13" wp14:editId="3155A73E">
            <wp:extent cx="4514850" cy="2619375"/>
            <wp:effectExtent l="0" t="0" r="0" b="0"/>
            <wp:docPr id="1087330680" name="image4.png" descr="Gráfico, Gráfico de barra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4.png" descr="Gráfico, Gráfico de barras&#10;&#10;El contenido generado por IA puede ser incorrecto."/>
                    <pic:cNvPicPr preferRelativeResize="0"/>
                  </pic:nvPicPr>
                  <pic:blipFill>
                    <a:blip r:embed="rId10"/>
                    <a:srcRect/>
                    <a:stretch>
                      <a:fillRect/>
                    </a:stretch>
                  </pic:blipFill>
                  <pic:spPr>
                    <a:xfrm>
                      <a:off x="0" y="0"/>
                      <a:ext cx="4514850" cy="2619375"/>
                    </a:xfrm>
                    <a:prstGeom prst="rect">
                      <a:avLst/>
                    </a:prstGeom>
                    <a:ln/>
                  </pic:spPr>
                </pic:pic>
              </a:graphicData>
            </a:graphic>
          </wp:inline>
        </w:drawing>
      </w:r>
    </w:p>
    <w:p w14:paraId="3B40461A"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b/>
          <w:sz w:val="22"/>
          <w:szCs w:val="22"/>
        </w:rPr>
        <w:t>Fuente</w:t>
      </w:r>
      <w:r w:rsidRPr="003E3F5D">
        <w:rPr>
          <w:rFonts w:ascii="Calibri" w:eastAsia="Calibri" w:hAnsi="Calibri" w:cs="Calibri"/>
          <w:sz w:val="22"/>
          <w:szCs w:val="22"/>
        </w:rPr>
        <w:t>: CPM en base a partes mensuales del Centro de Operaciones Policiales (COP) del Ministerio de Seguridad de la provincia de Buenos Aires. Los datos corresponden al mes de diciembre de cada año.</w:t>
      </w:r>
    </w:p>
    <w:p w14:paraId="2BCE3A06" w14:textId="77777777" w:rsidR="00165BED" w:rsidRPr="003E3F5D" w:rsidRDefault="00165BED" w:rsidP="003E3F5D">
      <w:pPr>
        <w:jc w:val="both"/>
        <w:rPr>
          <w:rFonts w:ascii="Calibri" w:eastAsia="Calibri" w:hAnsi="Calibri" w:cs="Calibri"/>
          <w:sz w:val="22"/>
          <w:szCs w:val="22"/>
        </w:rPr>
      </w:pPr>
    </w:p>
    <w:p w14:paraId="2194C53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 diciembre de 2024 había 248 comisarías que alojaban detenidos. En total dichas dependencias registraban una capacidad para alojar 1.284 personas, redundando eso en un 80,2% de sobrepoblación. Si se observa el porcentaje de sobrepoblación mes a mes, se registra un promedio anual de 104% de sobrepoblación durante 2024.</w:t>
      </w:r>
    </w:p>
    <w:p w14:paraId="635E519A"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De las 248 dependencias que alojaban personas a diciembre de 2024, el 19% (84) se encontraban inhabilitadas ya sea por clausura ministerial o judicial. Pese a ello, alojaban al 25% del total de personas detenidas (583). </w:t>
      </w:r>
    </w:p>
    <w:p w14:paraId="346D687F"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sz w:val="22"/>
          <w:szCs w:val="22"/>
        </w:rPr>
        <w:t>Respecto a las 19 comisarías cauteladas por la CIDH, en diciembre 2024 había 32 personas alojadas en 5 de ellas. Además, 16 poseían también una clausura judicial o administrativa. A lo largo del año, en promedio, hubo 7 personas alojadas por mes en dichas dependencias. Si bien hubo una disminución significativa con respecto a las personas detenidas en comisarías cauteladas en el año 2023, en noviembre y diciembre de 2024 volvió a haber 28 y 32 personas, debido a la rehabilitación de las comisarías 5ta de Sa</w:t>
      </w:r>
      <w:r w:rsidRPr="003E3F5D">
        <w:rPr>
          <w:rFonts w:ascii="Calibri" w:eastAsia="Calibri" w:hAnsi="Calibri" w:cs="Calibri"/>
          <w:sz w:val="22"/>
          <w:szCs w:val="22"/>
        </w:rPr>
        <w:t>n Martín, 3ra de José C. Paz, 1ra y 8va de Moreno (que no obstante permanecen siendo objeto de la medida cautelar).</w:t>
      </w:r>
    </w:p>
    <w:p w14:paraId="644EAB06" w14:textId="77777777" w:rsidR="00165BED" w:rsidRPr="003E3F5D" w:rsidRDefault="00165BED" w:rsidP="003E3F5D">
      <w:pPr>
        <w:jc w:val="both"/>
        <w:rPr>
          <w:rFonts w:ascii="Calibri" w:eastAsia="Calibri" w:hAnsi="Calibri" w:cs="Calibri"/>
          <w:sz w:val="22"/>
          <w:szCs w:val="22"/>
        </w:rPr>
      </w:pPr>
    </w:p>
    <w:p w14:paraId="3903EBAF" w14:textId="77777777" w:rsidR="00165BED" w:rsidRPr="003E3F5D" w:rsidRDefault="009D4909" w:rsidP="003E3F5D">
      <w:pPr>
        <w:pStyle w:val="Heading3"/>
        <w:jc w:val="both"/>
        <w:rPr>
          <w:rFonts w:ascii="Calibri" w:eastAsia="Calibri" w:hAnsi="Calibri" w:cs="Calibri"/>
          <w:sz w:val="22"/>
          <w:szCs w:val="22"/>
          <w:highlight w:val="yellow"/>
        </w:rPr>
      </w:pPr>
      <w:bookmarkStart w:id="45" w:name="_Toc211292085"/>
      <w:r w:rsidRPr="003E3F5D">
        <w:rPr>
          <w:rFonts w:ascii="Calibri" w:eastAsia="Calibri" w:hAnsi="Calibri" w:cs="Calibri"/>
          <w:sz w:val="22"/>
          <w:szCs w:val="22"/>
        </w:rPr>
        <w:t>Torturas y malos tratos en comisarías</w:t>
      </w:r>
      <w:bookmarkEnd w:id="45"/>
    </w:p>
    <w:p w14:paraId="66755EA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 continuación, se menciona un caso que ejemplifica las diversas situaciones de torturas y malos tratos sufridos por las personas alojadas en comisarías, que en ningún modo constituyen un caso aislado. </w:t>
      </w:r>
    </w:p>
    <w:p w14:paraId="3FBC4052" w14:textId="77777777" w:rsidR="00165BED" w:rsidRPr="003E3F5D" w:rsidRDefault="009D4909" w:rsidP="003E3F5D">
      <w:pPr>
        <w:jc w:val="both"/>
        <w:rPr>
          <w:rFonts w:ascii="Calibri" w:hAnsi="Calibri" w:cs="Calibri"/>
          <w:b/>
          <w:bCs/>
          <w:sz w:val="22"/>
          <w:szCs w:val="22"/>
        </w:rPr>
      </w:pPr>
      <w:r w:rsidRPr="003E3F5D">
        <w:rPr>
          <w:rFonts w:ascii="Calibri" w:hAnsi="Calibri" w:cs="Calibri"/>
          <w:b/>
          <w:bCs/>
          <w:sz w:val="22"/>
          <w:szCs w:val="22"/>
        </w:rPr>
        <w:t xml:space="preserve">Torturas y amenazas de muerte en la Comisaría 7ma de Almirante Brown-Glew. </w:t>
      </w:r>
    </w:p>
    <w:p w14:paraId="33FC70F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14 de agosto de 2024 realizamos una denuncia penal</w:t>
      </w:r>
      <w:r w:rsidRPr="003E3F5D">
        <w:rPr>
          <w:rFonts w:ascii="Calibri" w:eastAsia="Calibri" w:hAnsi="Calibri" w:cs="Calibri"/>
          <w:sz w:val="22"/>
          <w:szCs w:val="22"/>
          <w:vertAlign w:val="superscript"/>
        </w:rPr>
        <w:footnoteReference w:id="59"/>
      </w:r>
      <w:r w:rsidRPr="003E3F5D">
        <w:rPr>
          <w:rFonts w:ascii="Calibri" w:eastAsia="Calibri" w:hAnsi="Calibri" w:cs="Calibri"/>
          <w:sz w:val="22"/>
          <w:szCs w:val="22"/>
        </w:rPr>
        <w:t xml:space="preserve"> por lo ocurrido a E.D.M. cuando fue detenido y alojado en la Comisaría 7ma de Almirante Brown-Glew. Cuando dialogamos con él, detalló: </w:t>
      </w:r>
    </w:p>
    <w:p w14:paraId="76869223"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i/>
          <w:sz w:val="22"/>
          <w:szCs w:val="22"/>
        </w:rPr>
        <w:t>"Fue el día del padre, cerca del mediodía me llevan a la comisaría. Los policías me decían que le habían arruinado el día del padre. Me roban las pertenencias, no me hacen firmar nada. Me tuvieron dos días esposado en un buzón siempre amenazándome y a tres chicos más. La declaración la arman en la comisaría. Me tienen 48 horas torturándome. Me amagaron con cortarme los dedos, con pegarme un tiro. Con un cortacadena me apoyaban los dedos y me amenazaban con que los iban a cortar. A un compañero le hicieron p</w:t>
      </w:r>
      <w:r w:rsidRPr="003E3F5D">
        <w:rPr>
          <w:rFonts w:ascii="Calibri" w:eastAsia="Calibri" w:hAnsi="Calibri" w:cs="Calibri"/>
          <w:i/>
          <w:sz w:val="22"/>
          <w:szCs w:val="22"/>
        </w:rPr>
        <w:t>oner el arma en la boca, rompiéndole el labio. A mi me la pusieron en la cabeza, amenazando con disparar".</w:t>
      </w:r>
    </w:p>
    <w:p w14:paraId="23A143D3"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i/>
          <w:sz w:val="22"/>
          <w:szCs w:val="22"/>
        </w:rPr>
        <w:t xml:space="preserve"> Me fisuraron dos costillas. Está todo registrado porque me mandaron a hacer el precario médico. Ahí me obligaron a decir que me había caído del catre de la comisaría y dije eso porque tenía miedo" (…) "Primero estaba en una celda, hasta que nos llevaron a un cuarto al fondo de la comisaría. Ahí nos pegaron. Fuimos a un cuarto que era como una oficina. Nos llevaron de a dos. Me tuvieron esposado, con las manos atrás, orinando en una botella, desabrigado, no me dejaban salir al baño, no nos daban agua, colch</w:t>
      </w:r>
      <w:r w:rsidRPr="003E3F5D">
        <w:rPr>
          <w:rFonts w:ascii="Calibri" w:eastAsia="Calibri" w:hAnsi="Calibri" w:cs="Calibri"/>
          <w:i/>
          <w:sz w:val="22"/>
          <w:szCs w:val="22"/>
        </w:rPr>
        <w:t xml:space="preserve">ón, nada. A lo último nos pusieron a los 4 en el buzón. Nunca me sacaron las esposas. No nos dieron comida por dos días. Mi familia llevó comida pero no la pasaron". </w:t>
      </w:r>
      <w:r w:rsidRPr="003E3F5D">
        <w:rPr>
          <w:rFonts w:ascii="Calibri" w:eastAsia="Calibri" w:hAnsi="Calibri" w:cs="Calibri"/>
          <w:sz w:val="22"/>
          <w:szCs w:val="22"/>
        </w:rPr>
        <w:t>En relación a los golpes recibidos, describió:</w:t>
      </w:r>
      <w:r w:rsidRPr="003E3F5D">
        <w:rPr>
          <w:rFonts w:ascii="Calibri" w:eastAsia="Calibri" w:hAnsi="Calibri" w:cs="Calibri"/>
          <w:i/>
          <w:sz w:val="22"/>
          <w:szCs w:val="22"/>
        </w:rPr>
        <w:t xml:space="preserve"> "A mi me golpearon entre tres o cuatro. Esos dos más uno morocho y este es el que se queda con el reloj de mi compañero".</w:t>
      </w:r>
    </w:p>
    <w:p w14:paraId="7CB3B9E9" w14:textId="77777777" w:rsidR="00165BED" w:rsidRPr="003E3F5D" w:rsidRDefault="00165BED" w:rsidP="003E3F5D">
      <w:pPr>
        <w:jc w:val="both"/>
        <w:rPr>
          <w:rFonts w:ascii="Calibri" w:eastAsia="Calibri" w:hAnsi="Calibri" w:cs="Calibri"/>
          <w:b/>
          <w:sz w:val="22"/>
          <w:szCs w:val="22"/>
        </w:rPr>
      </w:pPr>
    </w:p>
    <w:p w14:paraId="15F00BB2" w14:textId="77777777" w:rsidR="00165BED" w:rsidRPr="003E3F5D" w:rsidRDefault="009D4909" w:rsidP="003E3F5D">
      <w:pPr>
        <w:pStyle w:val="Heading3"/>
        <w:jc w:val="both"/>
        <w:rPr>
          <w:rFonts w:ascii="Calibri" w:eastAsia="Calibri" w:hAnsi="Calibri" w:cs="Calibri"/>
          <w:sz w:val="22"/>
          <w:szCs w:val="22"/>
        </w:rPr>
      </w:pPr>
      <w:bookmarkStart w:id="46" w:name="_Toc211292086"/>
      <w:r w:rsidRPr="003E3F5D">
        <w:rPr>
          <w:rFonts w:ascii="Calibri" w:eastAsia="Calibri" w:hAnsi="Calibri" w:cs="Calibri"/>
          <w:sz w:val="22"/>
          <w:szCs w:val="22"/>
        </w:rPr>
        <w:t>Muertes en comisarías</w:t>
      </w:r>
      <w:bookmarkEnd w:id="46"/>
    </w:p>
    <w:p w14:paraId="34FD5C7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 ello se le suman las muertes ocurridas en comisarías de la provincia de Buenos Aires, las cuales constituyen una grave vulneración de derechos humanos y una muestra del incumplimiento por parte del Estado de su deber de cuidado. Estas situaciones no solo reflejan condiciones de detención inadecuadas y prácticas institucionales violentas, sino que también evidencian una responsabilidad del Estado, en tanto garante de la integridad física y psíquica de las personas privadas de su libertad. Esta responsabili</w:t>
      </w:r>
      <w:r w:rsidRPr="003E3F5D">
        <w:rPr>
          <w:rFonts w:ascii="Calibri" w:eastAsia="Calibri" w:hAnsi="Calibri" w:cs="Calibri"/>
          <w:sz w:val="22"/>
          <w:szCs w:val="22"/>
        </w:rPr>
        <w:t>dad se materializa en la actuación u omisión de los funcionarios públicos encargados de la custodia de las personas privadas de la libertad que son alojadas en las distintas dependencias policiales de la provincia.</w:t>
      </w:r>
    </w:p>
    <w:p w14:paraId="76D03E6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incumplimiento por parte del Estado es constante, en primer lugar, debido a que las comisarías no son lugares habilitados para alojar personas por más de 48 horas. En los distintos informes anuales hemos dado cuenta de que las personas son privadas de su libertad en comisarías por periodos prolongados en calabozos que están clausurados, bajo condiciones de hacinamiento, sin poder acceder a derechos básicos como la salud y la alimentación, con dificultades para establecer contacto con sus vínculos familia</w:t>
      </w:r>
      <w:r w:rsidRPr="003E3F5D">
        <w:rPr>
          <w:rFonts w:ascii="Calibri" w:eastAsia="Calibri" w:hAnsi="Calibri" w:cs="Calibri"/>
          <w:sz w:val="22"/>
          <w:szCs w:val="22"/>
        </w:rPr>
        <w:t>res y en condiciones materiales de detención inhumanas y riesgosas. Estas condiciones se registraron todavía en el año 2024.</w:t>
      </w:r>
    </w:p>
    <w:p w14:paraId="2DF6F01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este marco, estas muertes se analizan no como hechos aislados, sino como parte de una dinámica estructural que involucra patrones de violencia institucional y negligencia sistemática por parte del aparato estatal, aportando datos que emergen de un análisis preliminar y que deja en vista la desprotección a la que quedan expuestas las personas detenidas.</w:t>
      </w:r>
    </w:p>
    <w:p w14:paraId="7564F01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Durante 2024 se registraron 24 muertes de personas alojadas en comisarías bonaerenses, lo que representa una tasa de 9,5 muertes cada 1.000 personas detenidas, es la tasa más alta de los últimos 10 años. Entre 2012 y 2024 murieron, al menos, 261 personas en las comisarías de la provincia, un promedio de 20 muertes al año. </w:t>
      </w:r>
    </w:p>
    <w:p w14:paraId="3C5B0DA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causa de muerte resulta una variable difícil de analizar debido a las falencias de la información disponible. Para el acumulado 2012-2024, se desconoce la causa en el 31% de los casos. Esto impide medir la proporción real de las distintas causas.</w:t>
      </w:r>
    </w:p>
    <w:p w14:paraId="0C287A9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Bajo esta premisa, en 2024 se registraron 12 muertes por ahorcamiento, 4 por problemas de salud, 6 por causas no informadas, 1 por homicidio y 1 por otra causa.</w:t>
      </w:r>
    </w:p>
    <w:p w14:paraId="07F3DD6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Las muertes presentadas como suicidio plantean una hipótesis ya explicitada: la falta de deber de cuidado y la obligación estatal de garantizar la integridad física y la vida de las personas detenidas, donde resulta necesario advertir acerca de algunos puntos que dan cuenta del nulo esfuerzo estatal por evitar estas muertes. </w:t>
      </w:r>
    </w:p>
    <w:p w14:paraId="31819D7F" w14:textId="77777777" w:rsidR="00165BED" w:rsidRPr="003E3F5D" w:rsidRDefault="00165BED" w:rsidP="003E3F5D">
      <w:pPr>
        <w:jc w:val="both"/>
        <w:rPr>
          <w:rFonts w:ascii="Calibri" w:eastAsia="Calibri" w:hAnsi="Calibri" w:cs="Calibri"/>
          <w:sz w:val="22"/>
          <w:szCs w:val="22"/>
        </w:rPr>
      </w:pPr>
    </w:p>
    <w:p w14:paraId="5483EC40" w14:textId="77777777" w:rsidR="00165BED" w:rsidRPr="003E3F5D" w:rsidRDefault="009D4909" w:rsidP="003E3F5D">
      <w:pPr>
        <w:pStyle w:val="Heading1"/>
        <w:jc w:val="both"/>
        <w:rPr>
          <w:rFonts w:ascii="Calibri" w:eastAsia="Calibri" w:hAnsi="Calibri" w:cs="Calibri"/>
          <w:b/>
          <w:color w:val="000000"/>
          <w:sz w:val="22"/>
          <w:szCs w:val="22"/>
        </w:rPr>
      </w:pPr>
      <w:bookmarkStart w:id="47" w:name="_Toc211292087"/>
      <w:r w:rsidRPr="003E3F5D">
        <w:rPr>
          <w:rFonts w:ascii="Calibri" w:eastAsia="Calibri" w:hAnsi="Calibri" w:cs="Calibri"/>
          <w:sz w:val="22"/>
          <w:szCs w:val="22"/>
        </w:rPr>
        <w:t>Sobre las medidas para prevenir los femicidios, la trata y toda forma de violencia contra las mujeres</w:t>
      </w:r>
      <w:bookmarkEnd w:id="47"/>
    </w:p>
    <w:p w14:paraId="640B284B"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Si bien la estructura de discriminación en cuanto a las mujeres y personas trans se reproduce en el esquema de violencias al interno del SPB y el accionar policial, en el presente apartado se busca hacer hincapié en una situación que requieren especial atención.</w:t>
      </w:r>
    </w:p>
    <w:p w14:paraId="1B15A54F" w14:textId="77777777" w:rsidR="00165BED" w:rsidRPr="003E3F5D" w:rsidRDefault="009D4909" w:rsidP="003E3F5D">
      <w:pPr>
        <w:pStyle w:val="Heading2"/>
        <w:jc w:val="both"/>
        <w:rPr>
          <w:rFonts w:ascii="Calibri" w:eastAsia="Calibri" w:hAnsi="Calibri" w:cs="Calibri"/>
          <w:sz w:val="22"/>
          <w:szCs w:val="22"/>
        </w:rPr>
      </w:pPr>
      <w:bookmarkStart w:id="48" w:name="_Toc211292088"/>
      <w:r w:rsidRPr="003E3F5D">
        <w:rPr>
          <w:rFonts w:ascii="Calibri" w:eastAsia="Calibri" w:hAnsi="Calibri" w:cs="Calibri"/>
          <w:sz w:val="22"/>
          <w:szCs w:val="22"/>
        </w:rPr>
        <w:t>Violencia obstétrica</w:t>
      </w:r>
      <w:bookmarkEnd w:id="48"/>
    </w:p>
    <w:p w14:paraId="287375EF"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En el SPB se encuentran mujeres encarceladas embarazadas y/o alojadas junto a sus hijos/as. En diferentes informes, la CPM ha denunciado las condiciones en las que se encuentran, las prácticas violentas a las que son sometidas y las vulneraciones de derechos que padecen, tanto ellas como los/as niños/as. Al finalizar el 2024, había 62 mujeres embarazadas o con sus hijos/as en el encierro (casi un 3% del total de mujeres alojadas en el SPB) y 32 niños/as. Un 27% más que el año 2023, el número más alto regist</w:t>
      </w:r>
      <w:r w:rsidRPr="003E3F5D">
        <w:rPr>
          <w:rFonts w:ascii="Calibri" w:eastAsia="Calibri" w:hAnsi="Calibri" w:cs="Calibri"/>
          <w:sz w:val="22"/>
          <w:szCs w:val="22"/>
        </w:rPr>
        <w:t>rado desde 2020.</w:t>
      </w:r>
      <w:r w:rsidRPr="003E3F5D">
        <w:rPr>
          <w:rFonts w:ascii="Calibri" w:eastAsia="Calibri" w:hAnsi="Calibri" w:cs="Calibri"/>
          <w:sz w:val="22"/>
          <w:szCs w:val="22"/>
          <w:vertAlign w:val="superscript"/>
        </w:rPr>
        <w:footnoteReference w:id="60"/>
      </w:r>
    </w:p>
    <w:p w14:paraId="70800812"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En el último informe la CPM expuso las vulneraciones en el acceso integral a la salud durante el embarazo y las prácticas violentas en el preparto, parto y posparto sufridas por las mujeres detenidas en la UP 33 de Los Hornos. Las mujeres refirieron no haber recibido información médica en los controles durante el embarazo, habían sido trasladadas esposadas, habían sido sujetadas mecánicamente a la cama del hospital mientras realizaron los trabajos de preparto en presencia de personal penitenciario masculino</w:t>
      </w:r>
      <w:r w:rsidRPr="003E3F5D">
        <w:rPr>
          <w:rFonts w:ascii="Calibri" w:eastAsia="Calibri" w:hAnsi="Calibri" w:cs="Calibri"/>
          <w:sz w:val="22"/>
          <w:szCs w:val="22"/>
        </w:rPr>
        <w:t xml:space="preserve"> armado dentro de la habitación y que sólo les habían retirado las esposas en el quirófano, para volver a ser esposadas inmediatamente después de parir.</w:t>
      </w:r>
    </w:p>
    <w:p w14:paraId="7AC287DB"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sz w:val="22"/>
          <w:szCs w:val="22"/>
        </w:rPr>
        <w:t>En este contexto, y para ejemplificar lo que sucede: la CPM realizó una presentación en el Juzgado de Ejecución Penal N° 2 de La Plata</w:t>
      </w:r>
      <w:r w:rsidRPr="003E3F5D">
        <w:rPr>
          <w:rFonts w:ascii="Calibri" w:eastAsia="Calibri" w:hAnsi="Calibri" w:cs="Calibri"/>
          <w:sz w:val="22"/>
          <w:szCs w:val="22"/>
          <w:vertAlign w:val="superscript"/>
        </w:rPr>
        <w:footnoteReference w:id="61"/>
      </w:r>
      <w:r w:rsidRPr="003E3F5D">
        <w:rPr>
          <w:rFonts w:ascii="Calibri" w:eastAsia="Calibri" w:hAnsi="Calibri" w:cs="Calibri"/>
          <w:sz w:val="22"/>
          <w:szCs w:val="22"/>
        </w:rPr>
        <w:t>, denunciando el apartamiento a la ley provincial 15.188</w:t>
      </w:r>
      <w:r w:rsidRPr="003E3F5D">
        <w:rPr>
          <w:rFonts w:ascii="Calibri" w:eastAsia="Calibri" w:hAnsi="Calibri" w:cs="Calibri"/>
          <w:sz w:val="22"/>
          <w:szCs w:val="22"/>
          <w:vertAlign w:val="superscript"/>
        </w:rPr>
        <w:footnoteReference w:id="62"/>
      </w:r>
      <w:r w:rsidRPr="003E3F5D">
        <w:rPr>
          <w:rFonts w:ascii="Calibri" w:eastAsia="Calibri" w:hAnsi="Calibri" w:cs="Calibri"/>
          <w:sz w:val="22"/>
          <w:szCs w:val="22"/>
        </w:rPr>
        <w:t xml:space="preserve"> de parto respetado y a la Guía de Implementación del Parto Respetado de la provincia de Buenos Aires. Sin embargo, el control de legalidad de las condiciones de las mujeres embarazadas no se resolvió hasta tanto el juzgado decidió, entre otras medidas, ordenar al Estado provincial que arbitre las medidas pertinentes a su alcance a fin de disponer el cese de las prácticas violatorias a los derechos humanos realizada sobre las mujeres embarazadas detenidas. Pese a la medida dispuesta, la CPM volvió a entrevi</w:t>
      </w:r>
      <w:r w:rsidRPr="003E3F5D">
        <w:rPr>
          <w:rFonts w:ascii="Calibri" w:eastAsia="Calibri" w:hAnsi="Calibri" w:cs="Calibri"/>
          <w:sz w:val="22"/>
          <w:szCs w:val="22"/>
        </w:rPr>
        <w:t xml:space="preserve">star a dos mujeres que manifestaron que parieron esposadas a la cama en presencial de personal penitenciario y sin el acompañamiento afectivo por prohibición del SPB. Además, en ambos casos, el personal </w:t>
      </w:r>
      <w:r w:rsidRPr="003E3F5D">
        <w:rPr>
          <w:rFonts w:ascii="Calibri" w:eastAsia="Calibri" w:hAnsi="Calibri" w:cs="Calibri"/>
          <w:color w:val="1E1E1E"/>
          <w:sz w:val="22"/>
          <w:szCs w:val="22"/>
          <w:highlight w:val="white"/>
        </w:rPr>
        <w:t xml:space="preserve">penitenciario sacó fotografías a los recién nacidos desde sus celulares. </w:t>
      </w:r>
    </w:p>
    <w:p w14:paraId="13E2DD5D" w14:textId="77777777" w:rsidR="00165BED" w:rsidRPr="003E3F5D" w:rsidRDefault="009D4909" w:rsidP="003E3F5D">
      <w:pPr>
        <w:spacing w:before="120"/>
        <w:jc w:val="both"/>
        <w:rPr>
          <w:rFonts w:ascii="Calibri" w:eastAsia="Calibri" w:hAnsi="Calibri" w:cs="Calibri"/>
          <w:color w:val="1E1E1E"/>
          <w:sz w:val="22"/>
          <w:szCs w:val="22"/>
          <w:highlight w:val="white"/>
        </w:rPr>
      </w:pPr>
      <w:r w:rsidRPr="003E3F5D">
        <w:rPr>
          <w:rFonts w:ascii="Calibri" w:eastAsia="Calibri" w:hAnsi="Calibri" w:cs="Calibri"/>
          <w:color w:val="1E1E1E"/>
          <w:sz w:val="22"/>
          <w:szCs w:val="22"/>
          <w:highlight w:val="white"/>
        </w:rPr>
        <w:t>Frente a ello, se celebraron diferentes audiencias durante el proceso judicial que contaron con la presencia de personal de salud penitenciaria dependiente del Ministerio de Justicia y Derechos Humanos, y autoridades del Ministerio de Salud de la Provincia de Buenos Aires (en más de una ocasión participó el Director del Hospital Gutiérrez de La Plata). En el marco de dichas audiencias, la CPM manifestó que la falta de autonomía en mujeres embarazadas y en estado puerperio debido a las sujeciones obstaculiza</w:t>
      </w:r>
      <w:r w:rsidRPr="003E3F5D">
        <w:rPr>
          <w:rFonts w:ascii="Calibri" w:eastAsia="Calibri" w:hAnsi="Calibri" w:cs="Calibri"/>
          <w:color w:val="1E1E1E"/>
          <w:sz w:val="22"/>
          <w:szCs w:val="22"/>
          <w:highlight w:val="white"/>
        </w:rPr>
        <w:t xml:space="preserve">ban el normal funcionamiento del trabajo de efectores de la salud y que, además, maximizaban los dolores de las mujeres constituían actos de tortura. Por ello y, ante la falta de efectividad de las medidas judiciales dispuestas, la CPM solicitó que, por un lado,  se instrumentalice un nuevo protocolo y/o guía de parto respetado que contemple la situación de mujeres y personas gestantes en contexto de encierro y que, subsidiariamente como medida cautelar de protección, se disponga la prohibición absoluta de </w:t>
      </w:r>
      <w:r w:rsidRPr="003E3F5D">
        <w:rPr>
          <w:rFonts w:ascii="Calibri" w:eastAsia="Calibri" w:hAnsi="Calibri" w:cs="Calibri"/>
          <w:color w:val="1E1E1E"/>
          <w:sz w:val="22"/>
          <w:szCs w:val="22"/>
          <w:highlight w:val="white"/>
        </w:rPr>
        <w:t xml:space="preserve">toda medida de sujeción mecánica de mujeres en período de preparto, parto y postparto dentro de la unidad penal y durante sus traslados a hospitales, hasta tanto se apruebe y cobre vigencia dicho protocolo. Lo peticionado por la CPM se resolvió favorablemente. </w:t>
      </w:r>
    </w:p>
    <w:p w14:paraId="0152F58E" w14:textId="77777777" w:rsidR="00165BED" w:rsidRPr="003E3F5D" w:rsidRDefault="009D4909" w:rsidP="003E3F5D">
      <w:pPr>
        <w:spacing w:before="120"/>
        <w:jc w:val="both"/>
        <w:rPr>
          <w:rFonts w:ascii="Calibri" w:eastAsia="Calibri" w:hAnsi="Calibri" w:cs="Calibri"/>
          <w:color w:val="1E1E1E"/>
          <w:sz w:val="22"/>
          <w:szCs w:val="22"/>
        </w:rPr>
      </w:pPr>
      <w:r w:rsidRPr="003E3F5D">
        <w:rPr>
          <w:rFonts w:ascii="Calibri" w:eastAsia="Calibri" w:hAnsi="Calibri" w:cs="Calibri"/>
          <w:color w:val="1E1E1E"/>
          <w:sz w:val="22"/>
          <w:szCs w:val="22"/>
          <w:highlight w:val="white"/>
        </w:rPr>
        <w:t>Sin embargo, la CPM intervino en una nueva situación de sujeción mecánica de una mujer embarazada de 7 meses al ser trasladad</w:t>
      </w:r>
      <w:r w:rsidRPr="003E3F5D">
        <w:rPr>
          <w:rFonts w:ascii="Calibri" w:eastAsia="Calibri" w:hAnsi="Calibri" w:cs="Calibri"/>
          <w:color w:val="1E1E1E"/>
          <w:sz w:val="22"/>
          <w:szCs w:val="22"/>
        </w:rPr>
        <w:t>a forzosamente de la UP 33 a la UP 54 de Florencio Varela, con el agravante de haber sufrido amenazas, violencia verbal y física de agentes jerárquicas del SPB. La mujer, luego fue reintegrada a la UP 33, nuevamente sujetada. Esto originó un nuevo expediente judicial referido específicamente a los traslados de mujeres en contexto de encierro dentro del departamento judicial de La Plata.</w:t>
      </w:r>
      <w:r w:rsidRPr="003E3F5D">
        <w:rPr>
          <w:rFonts w:ascii="Calibri" w:eastAsia="Calibri" w:hAnsi="Calibri" w:cs="Calibri"/>
          <w:color w:val="1E1E1E"/>
          <w:sz w:val="22"/>
          <w:szCs w:val="22"/>
          <w:vertAlign w:val="superscript"/>
        </w:rPr>
        <w:footnoteReference w:id="63"/>
      </w:r>
    </w:p>
    <w:p w14:paraId="66A307F9" w14:textId="77777777" w:rsidR="00165BED" w:rsidRPr="003E3F5D" w:rsidRDefault="009D4909" w:rsidP="003E3F5D">
      <w:pPr>
        <w:spacing w:before="120"/>
        <w:jc w:val="both"/>
        <w:rPr>
          <w:rFonts w:ascii="Calibri" w:eastAsia="Calibri" w:hAnsi="Calibri" w:cs="Calibri"/>
          <w:sz w:val="22"/>
          <w:szCs w:val="22"/>
        </w:rPr>
      </w:pPr>
      <w:r w:rsidRPr="003E3F5D">
        <w:rPr>
          <w:rFonts w:ascii="Calibri" w:eastAsia="Calibri" w:hAnsi="Calibri" w:cs="Calibri"/>
          <w:color w:val="1E1E1E"/>
          <w:sz w:val="22"/>
          <w:szCs w:val="22"/>
        </w:rPr>
        <w:t>Finalmente, la participación en las audiencias permitió que la oralidad sea el recurso más utilizado como mecanismo estratégico litigante para dotar de eficacia a las medidas dispuestas por el Juzgado de Ejecución N°2 de La Plata. Además, la actividad procesal impartida principalmente por la CPM impulsó a que, de manera mancomunada, el Ministerio de Salud, el Ministerio de Justicia y Derechos Humanos, y el Ministerio de las Mujeres y Políticas de Género de la provincia implementen una nueva política pública</w:t>
      </w:r>
      <w:r w:rsidRPr="003E3F5D">
        <w:rPr>
          <w:rFonts w:ascii="Calibri" w:eastAsia="Calibri" w:hAnsi="Calibri" w:cs="Calibri"/>
          <w:color w:val="1E1E1E"/>
          <w:sz w:val="22"/>
          <w:szCs w:val="22"/>
        </w:rPr>
        <w:t xml:space="preserve"> que se instrumentalizó en la creación de un nuevo Protocolo de intervención e implementación de medidas de seguridad para el parto respetado de personas gestantes en contexto de encierro, aunque continue el problema de la efectivización del mismo.</w:t>
      </w:r>
    </w:p>
    <w:p w14:paraId="1775CEED" w14:textId="77777777" w:rsidR="00165BED" w:rsidRPr="003E3F5D" w:rsidRDefault="009D4909" w:rsidP="003E3F5D">
      <w:pPr>
        <w:pStyle w:val="Heading1"/>
        <w:jc w:val="both"/>
        <w:rPr>
          <w:rFonts w:ascii="Calibri" w:hAnsi="Calibri" w:cs="Calibri"/>
          <w:sz w:val="22"/>
          <w:szCs w:val="22"/>
        </w:rPr>
      </w:pPr>
      <w:bookmarkStart w:id="49" w:name="_Toc211292089"/>
      <w:r w:rsidRPr="003E3F5D">
        <w:rPr>
          <w:rFonts w:ascii="Calibri" w:hAnsi="Calibri" w:cs="Calibri"/>
          <w:sz w:val="22"/>
          <w:szCs w:val="22"/>
        </w:rPr>
        <w:t>Investigación de tortura y malos tratos</w:t>
      </w:r>
      <w:bookmarkEnd w:id="49"/>
    </w:p>
    <w:p w14:paraId="1D901585" w14:textId="77777777" w:rsidR="00165BED" w:rsidRPr="003E3F5D" w:rsidRDefault="009D4909" w:rsidP="003E3F5D">
      <w:pPr>
        <w:pStyle w:val="Heading2"/>
        <w:jc w:val="both"/>
        <w:rPr>
          <w:rFonts w:ascii="Calibri" w:eastAsia="Calibri" w:hAnsi="Calibri" w:cs="Calibri"/>
          <w:sz w:val="22"/>
          <w:szCs w:val="22"/>
        </w:rPr>
      </w:pPr>
      <w:bookmarkStart w:id="50" w:name="_Toc211292090"/>
      <w:r w:rsidRPr="003E3F5D">
        <w:rPr>
          <w:rFonts w:ascii="Calibri" w:eastAsia="Calibri" w:hAnsi="Calibri" w:cs="Calibri"/>
          <w:sz w:val="22"/>
          <w:szCs w:val="22"/>
        </w:rPr>
        <w:t>Introducción</w:t>
      </w:r>
      <w:bookmarkEnd w:id="50"/>
    </w:p>
    <w:p w14:paraId="3B96445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Como se describirá a continuación, el sistema de tortura no solo es generalizado e implementado a traves del accionar del SPB y de los efectivos policiales, sino que goza de una estructura judicial que no efectiviza los estandares internacionales en materia de acceso a la justicia y a un recurso efectivo para las victimas de tortura.</w:t>
      </w:r>
    </w:p>
    <w:p w14:paraId="0EC994B5" w14:textId="77777777" w:rsidR="00165BED" w:rsidRPr="003E3F5D" w:rsidRDefault="009D4909" w:rsidP="003E3F5D">
      <w:pPr>
        <w:pStyle w:val="Heading2"/>
        <w:jc w:val="both"/>
        <w:rPr>
          <w:rFonts w:ascii="Calibri" w:eastAsia="Calibri" w:hAnsi="Calibri" w:cs="Calibri"/>
          <w:sz w:val="22"/>
          <w:szCs w:val="22"/>
        </w:rPr>
      </w:pPr>
      <w:bookmarkStart w:id="51" w:name="_Toc211292091"/>
      <w:r w:rsidRPr="003E3F5D">
        <w:rPr>
          <w:rFonts w:ascii="Calibri" w:eastAsia="Calibri" w:hAnsi="Calibri" w:cs="Calibri"/>
          <w:sz w:val="22"/>
          <w:szCs w:val="22"/>
        </w:rPr>
        <w:t>El rol del poder judicial en la investigación de funcionarios públicos</w:t>
      </w:r>
      <w:r w:rsidRPr="003E3F5D">
        <w:rPr>
          <w:rFonts w:ascii="Calibri" w:eastAsia="Calibri" w:hAnsi="Calibri" w:cs="Calibri"/>
          <w:sz w:val="22"/>
          <w:szCs w:val="22"/>
          <w:vertAlign w:val="superscript"/>
        </w:rPr>
        <w:footnoteReference w:id="64"/>
      </w:r>
      <w:bookmarkEnd w:id="51"/>
    </w:p>
    <w:p w14:paraId="665A8CF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las causas donde se denuncia la violencia ejercida por funcionarios públicos, la investigación fiscal es deficiente, sin directivas o acciones de las instancias superiores tendientes a revertir este cuadro. La Procuración General de la Provincia sigue incumpliendo la ley 14.687/14 de creación de las unidades de investigación y juicio especializadas en violencia institucional. De las 21 fiscalías que la ley manda crear, según lo informado por la Procuración a la CPM, actualmente existen 3 fiscalías especi</w:t>
      </w:r>
      <w:r w:rsidRPr="003E3F5D">
        <w:rPr>
          <w:rFonts w:ascii="Calibri" w:eastAsia="Calibri" w:hAnsi="Calibri" w:cs="Calibri"/>
          <w:sz w:val="22"/>
          <w:szCs w:val="22"/>
        </w:rPr>
        <w:t xml:space="preserve">alizadas en los departamentos judiciales de Azul, Dolores y Quilmes, y 5 ayudantías fiscales(órganos de menor jerarquía) en los departamentos de Azul, La Matanza, La Plata, Morón y Zárate-Campana. Además otras 13 fiscalías y 1 ayudantía tienen competencia sobre delitos de violencia institucional pero compartida con otros delitos. Por último, en cuatro departamentos (Junín, Mercedes, Necochea y Trenque Lauquen) funcionan áreas específicas dentro de las fiscalías generales destinadas a intervenir sobre estos </w:t>
      </w:r>
      <w:r w:rsidRPr="003E3F5D">
        <w:rPr>
          <w:rFonts w:ascii="Calibri" w:eastAsia="Calibri" w:hAnsi="Calibri" w:cs="Calibri"/>
          <w:sz w:val="22"/>
          <w:szCs w:val="22"/>
        </w:rPr>
        <w:t>casos. En total son 26 los organismos dedicados a abordar la violencia institucional, pero sólo ocho de manera exclusiva y sólo 3 con la jerarquía prevista en la ley 14.687. Hay cinco departamentos judiciales que no cuentan con ningún organismo de este tipo: Bahía Blanca, Mar del Plata, Pergamino, San Isidro y San Martín.</w:t>
      </w:r>
    </w:p>
    <w:p w14:paraId="3ADEB5D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Por otro lado, en las unidades puestas en marcha se registran serios problemas de formación, perspectiva de derechos humanos e incluso del cumplimiento de la ley que las crea, principalmente en la falta de apartamiento y continuidad de la delegación de la investigación en la fuerza investigada. Estos déficits dan cuenta de que no se trata solamente de falta de presupuesto para implementarlas, sino de decisión política para garantizar su funcionamiento. Este hecho es de gravedad institucional, toda vez que l</w:t>
      </w:r>
      <w:r w:rsidRPr="003E3F5D">
        <w:rPr>
          <w:rFonts w:ascii="Calibri" w:eastAsia="Calibri" w:hAnsi="Calibri" w:cs="Calibri"/>
          <w:sz w:val="22"/>
          <w:szCs w:val="22"/>
        </w:rPr>
        <w:t>a Procuración General incumple con la ley vigente y esta situación es conocida por la Suprema Corte provincial, que no adopta las medidas tendientes a revertirlo.</w:t>
      </w:r>
    </w:p>
    <w:p w14:paraId="0CF22E2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Las causas abiertas entre 2018-2024 por violencia institucional, en el marco de la ley 14.687, representan el 0,4% del total de investigaciones iniciadas en la Provincia. Al desagregar esa cifra por departamento judicial, surge que el promedio general es representativo de los veinte departamentos. En otras palabras, ninguno se destaca por investigar más o menos la violencia estatal, al contrario, los datos reflejan una línea de conducta homogénea</w:t>
      </w:r>
    </w:p>
    <w:p w14:paraId="41E25BF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el 67% de las 22.648 causas del período, los presuntos autores de estos delitos pertenecen a fuerzas policiales (mayoritariamente la policía bonaerense). Otro 27% son agentes del SPB y el 6% restante se reparte entre agentes municipales, sanitarios, educativos, judiciales y otros. El primer dato que resalta es que el poder judicial no se investiga a sí mismo: en los más de  22 mil hechos, sólo se registran 128 ocurridos en “dependencias judiciales”.</w:t>
      </w:r>
    </w:p>
    <w:p w14:paraId="23EF415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46% de los hechos investigados se perpetraron en lugares de encierro (26% en cárceles y 20% en comisarías), seguidamente en la vía pública (30%), domicilios particulares (15%) y el resto en otros lugares. </w:t>
      </w:r>
    </w:p>
    <w:p w14:paraId="2CA97C72"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sz w:val="22"/>
          <w:szCs w:val="22"/>
        </w:rPr>
        <w:t>De los casi 13.000 presuntos autores involucrados en las causas, menos de la mitad fueron sindicados (41%) y apenas 573 (3%) fueron imputados formalmente en los términos del artículo 308 del Código Procesal Penal de la Provincia. De esos 573 imputados, dos tercios estaban en libertad y un tercio detenidos al momento del registro. En ese sentido, se puede decir que la prisión preventiva es utilizada en proporciones distintas si se trata de funcionarios públicos (31% de los imputados) o de civiles (50% de los</w:t>
      </w:r>
      <w:r w:rsidRPr="003E3F5D">
        <w:rPr>
          <w:rFonts w:ascii="Calibri" w:eastAsia="Calibri" w:hAnsi="Calibri" w:cs="Calibri"/>
          <w:sz w:val="22"/>
          <w:szCs w:val="22"/>
        </w:rPr>
        <w:t xml:space="preserve"> presos).</w:t>
      </w:r>
    </w:p>
    <w:p w14:paraId="7D17E7D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Entre las causas finalizadas, 9 de cada 10 se resuelven mediante el archivo (64%) o la desestimación (27%). Sólo en el 4% de los expedientes se requirió la elevación a juicio oral</w:t>
      </w:r>
      <w:r w:rsidRPr="003E3F5D">
        <w:rPr>
          <w:rFonts w:ascii="Calibri" w:eastAsia="Calibri" w:hAnsi="Calibri" w:cs="Calibri"/>
          <w:sz w:val="22"/>
          <w:szCs w:val="22"/>
          <w:vertAlign w:val="superscript"/>
        </w:rPr>
        <w:footnoteReference w:id="65"/>
      </w:r>
      <w:r w:rsidRPr="003E3F5D">
        <w:rPr>
          <w:rFonts w:ascii="Calibri" w:eastAsia="Calibri" w:hAnsi="Calibri" w:cs="Calibri"/>
          <w:sz w:val="22"/>
          <w:szCs w:val="22"/>
        </w:rPr>
        <w:t>.</w:t>
      </w:r>
    </w:p>
    <w:p w14:paraId="19263FC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ley 14.687 se incumple en la creación de las fiscalías especializadas y también en los principios y criterios para la investigación de estos hechos. Sólo se cumple con la implementación del Registro de Violencia Institucional (RVI), que desde 2018 recolecta datos sobre presuntos delitos cometidos por funcionarios/as públicos/as, pero que no abonan a estrategias de investigación.</w:t>
      </w:r>
    </w:p>
    <w:p w14:paraId="6B69AE4D" w14:textId="77777777" w:rsidR="00165BED" w:rsidRPr="003E3F5D" w:rsidRDefault="00165BED" w:rsidP="003E3F5D">
      <w:pPr>
        <w:jc w:val="both"/>
        <w:rPr>
          <w:rFonts w:ascii="Calibri" w:eastAsia="Calibri" w:hAnsi="Calibri" w:cs="Calibri"/>
          <w:sz w:val="22"/>
          <w:szCs w:val="22"/>
        </w:rPr>
      </w:pPr>
    </w:p>
    <w:p w14:paraId="5050A739" w14:textId="77777777" w:rsidR="00165BED" w:rsidRPr="003E3F5D" w:rsidRDefault="009D4909" w:rsidP="003E3F5D">
      <w:pPr>
        <w:pStyle w:val="Heading2"/>
        <w:jc w:val="both"/>
        <w:rPr>
          <w:rFonts w:ascii="Calibri" w:hAnsi="Calibri" w:cs="Calibri"/>
          <w:sz w:val="22"/>
          <w:szCs w:val="22"/>
        </w:rPr>
      </w:pPr>
      <w:bookmarkStart w:id="52" w:name="_Toc211292092"/>
      <w:r w:rsidRPr="003E3F5D">
        <w:rPr>
          <w:rFonts w:ascii="Calibri" w:eastAsia="Calibri" w:hAnsi="Calibri" w:cs="Calibri"/>
          <w:sz w:val="22"/>
          <w:szCs w:val="22"/>
        </w:rPr>
        <w:t>La falta de proactividad ante las denuncias y Falta de órganos especializados para investigar las denuncias</w:t>
      </w:r>
      <w:r w:rsidRPr="003E3F5D">
        <w:rPr>
          <w:rFonts w:ascii="Calibri" w:eastAsia="Calibri" w:hAnsi="Calibri" w:cs="Calibri"/>
          <w:sz w:val="22"/>
          <w:szCs w:val="22"/>
          <w:vertAlign w:val="superscript"/>
        </w:rPr>
        <w:footnoteReference w:id="66"/>
      </w:r>
      <w:bookmarkEnd w:id="52"/>
    </w:p>
    <w:p w14:paraId="412C1B3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Para ilustrar la situación generalizada de la provincia de buenos aires a continuación se detalla el análisis y los principales obstáculos encontrados en el Departamento Judicial de la Plata</w:t>
      </w:r>
    </w:p>
    <w:p w14:paraId="541DAB5B"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i/>
          <w:sz w:val="22"/>
          <w:szCs w:val="22"/>
        </w:rPr>
        <w:t xml:space="preserve">Falta de impulso en las investigaciones. </w:t>
      </w:r>
      <w:r w:rsidRPr="003E3F5D">
        <w:rPr>
          <w:rFonts w:ascii="Calibri" w:eastAsia="Calibri" w:hAnsi="Calibri" w:cs="Calibri"/>
          <w:sz w:val="22"/>
          <w:szCs w:val="22"/>
        </w:rPr>
        <w:t>Las causas suelen iniciarse por denuncias realizadas por las propias víctimas o sus familiares, por presentaciones de los abogados defensores, por habeas corpus presentados por la CPM o denuncias receptadas por este organismo y remitidas a la agencia judicial correspondiente. En las causas en las que se investigan severidades, vejaciones y/o apremios ilegales en unidades penitenciarias, la UFI a cargo le da intervención a la Ayudantía Fiscal Especializada en Delitos Acaecidos en Unidades Carcelarias cuya ac</w:t>
      </w:r>
      <w:r w:rsidRPr="003E3F5D">
        <w:rPr>
          <w:rFonts w:ascii="Calibri" w:eastAsia="Calibri" w:hAnsi="Calibri" w:cs="Calibri"/>
          <w:sz w:val="22"/>
          <w:szCs w:val="22"/>
        </w:rPr>
        <w:t>ción central consiste en gestionar los testimonios de las víctimas, los cuales no siempre se producen. No se registran otras medidas de prueba, en general, que den cuenta de la proactividad en las investigaciones. Las causas se archivan rápidamente o se prolongan indefinidamente sin resultado alguno.</w:t>
      </w:r>
    </w:p>
    <w:p w14:paraId="1143A4BE"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i/>
          <w:sz w:val="22"/>
          <w:szCs w:val="22"/>
        </w:rPr>
        <w:t xml:space="preserve">Falta de medios de prueba exhaustivos. </w:t>
      </w:r>
      <w:r w:rsidRPr="003E3F5D">
        <w:rPr>
          <w:rFonts w:ascii="Calibri" w:eastAsia="Calibri" w:hAnsi="Calibri" w:cs="Calibri"/>
          <w:sz w:val="22"/>
          <w:szCs w:val="22"/>
        </w:rPr>
        <w:t>Por otro lado, se verifica una escasez en la producción de medios de prueba, que resulta llamativa en investigaciones de hechos de violencia institucional, en los que debe primar el principio de debida diligencia por parte del Estado. En las causas por severidades, vejaciones y/o apremios ilegales, en la inmensa mayoría de los casos, solamente se requiere la declaración testimonial de la víctima. En ningún caso se han solicitado los libros de guardia de las unidades penitenciarias, ni que se informe el pers</w:t>
      </w:r>
      <w:r w:rsidRPr="003E3F5D">
        <w:rPr>
          <w:rFonts w:ascii="Calibri" w:eastAsia="Calibri" w:hAnsi="Calibri" w:cs="Calibri"/>
          <w:sz w:val="22"/>
          <w:szCs w:val="22"/>
        </w:rPr>
        <w:t>onal a cargo en el turno y sector en el que se produjo el hecho denunciado; ni que se remitan las videograbaciones; ni mucho menos se ha citado a ningún agente o funcionario del Servicio Penitenciario a prestar declaración en sede fiscal, ni siquiera testimonial.</w:t>
      </w:r>
    </w:p>
    <w:p w14:paraId="6B13C8F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algunos casos puntuales se ha solicitado a la Unidad Penitenciaria correspondiente que informe si se han iniciado actuaciones disciplinarias solo respecto de quien aparece como víctima en la causa; en ningún caso se observa requerimiento respecto de actuaciones administrativas que involucren al personal penitenciario.</w:t>
      </w:r>
    </w:p>
    <w:p w14:paraId="7111918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En las causas sobre averiguación de causales de muerte, ante de la denuncia del deceso se ordenan autopsia y pericias complementarias, se solicita historia clínica y se cierra la investigación. No se indaga en profundidad sobre las reales causales de muerte, no se analizan las historias clínicas, no se investigan las eventuales responsabilidades que podrían caber relacionadas con la presunta falta de acceso a la salud de personas bajo tutela del Estado. No se verifica tampoco la aplicación del Protocolo de </w:t>
      </w:r>
      <w:r w:rsidRPr="003E3F5D">
        <w:rPr>
          <w:rFonts w:ascii="Calibri" w:eastAsia="Calibri" w:hAnsi="Calibri" w:cs="Calibri"/>
          <w:sz w:val="22"/>
          <w:szCs w:val="22"/>
        </w:rPr>
        <w:t>Minnesota sobre la Investigación de Muertes Potencialmente Ilícitas.</w:t>
      </w:r>
    </w:p>
    <w:p w14:paraId="4A09EF18"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i/>
          <w:sz w:val="22"/>
          <w:szCs w:val="22"/>
        </w:rPr>
        <w:t xml:space="preserve">Investigaciones estandarizadas. </w:t>
      </w:r>
      <w:r w:rsidRPr="003E3F5D">
        <w:rPr>
          <w:rFonts w:ascii="Calibri" w:eastAsia="Calibri" w:hAnsi="Calibri" w:cs="Calibri"/>
          <w:sz w:val="22"/>
          <w:szCs w:val="22"/>
        </w:rPr>
        <w:t>Lo descripto en los puntos anteriores forma parte de lo que caracterizamos como investigaciones estandarizadas. Se observan, de manera recurrente, procesos con acciones mecanizadas en los que la vocación por la búsqueda de la verdad y la determinación de las eventuales responsabilidades penales resulta difícil de vislumbrar.</w:t>
      </w:r>
    </w:p>
    <w:p w14:paraId="7A2644F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Las causas por severidades, vejaciones y/o apremios ilegales ocurridas en unidades penitenciarias son remitidas, como hemos mencionado, a la Ayudantía Fiscal Especializada en Delitos Acaecido en Unidades Carcelarias. El procedimiento verificado es el siguiente: la Fiscalía de turno delega la instrucción en dicha Ayudantía, ésta solicita autorización al órgano judicial correspondiente para que la víctima (privada de libertad) preste declaración testimonial. Si la víctima declara que no tiene interés en que a</w:t>
      </w:r>
      <w:r w:rsidRPr="003E3F5D">
        <w:rPr>
          <w:rFonts w:ascii="Calibri" w:eastAsia="Calibri" w:hAnsi="Calibri" w:cs="Calibri"/>
          <w:sz w:val="22"/>
          <w:szCs w:val="22"/>
        </w:rPr>
        <w:t xml:space="preserve">vance la investigación o si manifiesta su negativa a declarar, usualmente la Fiscalía interviniente resuelve el archivo de la causa, sin más trámite, como si se tratara de un delito de instancia privada. </w:t>
      </w:r>
    </w:p>
    <w:p w14:paraId="293051A8"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muchos casos la víctima se niega a ser trasladada desde la unidad penitenciaria a prestar declaración por diversas razones: porque tiene visita familiar, porque los traslados le llevan muchas horas o porque teme represalias. Se observan causas en las que la Ayudantía Fiscal ha fijado hasta seis audiencias testimoniales sin que la víctima haya comparecido, manteniéndose abierta la investigación pero sin otro medio de prueba o diligencia ordenada. En ninguno de esos casos funcionarios judiciales a cargo de</w:t>
      </w:r>
      <w:r w:rsidRPr="003E3F5D">
        <w:rPr>
          <w:rFonts w:ascii="Calibri" w:eastAsia="Calibri" w:hAnsi="Calibri" w:cs="Calibri"/>
          <w:sz w:val="22"/>
          <w:szCs w:val="22"/>
        </w:rPr>
        <w:t xml:space="preserve"> la instrucción tomaron contacto personal con la víctima ni se hicieron presentes en su lugar de detención para recibirles declaración testimonial. En solo un caso la Fiscalía interviniente le solicitó a otra Fiscalía, del departamento judicial donde la víctima se hallaba privada de su libertad (Azul) que se acercara a tomarle declaración, lo que valoramos como una buena práctica que debiera  replicarse.  Esta mecanización de las investigaciones no ha producido resultados satisfactorios. De las 162 causas i</w:t>
      </w:r>
      <w:r w:rsidRPr="003E3F5D">
        <w:rPr>
          <w:rFonts w:ascii="Calibri" w:eastAsia="Calibri" w:hAnsi="Calibri" w:cs="Calibri"/>
          <w:sz w:val="22"/>
          <w:szCs w:val="22"/>
        </w:rPr>
        <w:t>niciadas en el Departamento Judicial de la Plata en el período analizado, solo 1 fue elevada a juicio.</w:t>
      </w:r>
    </w:p>
    <w:p w14:paraId="3DB96E2D" w14:textId="77777777" w:rsidR="00165BED" w:rsidRPr="003E3F5D" w:rsidRDefault="009D4909" w:rsidP="003E3F5D">
      <w:pPr>
        <w:jc w:val="both"/>
        <w:rPr>
          <w:rFonts w:ascii="Calibri" w:eastAsia="Calibri" w:hAnsi="Calibri" w:cs="Calibri"/>
          <w:i/>
          <w:sz w:val="22"/>
          <w:szCs w:val="22"/>
        </w:rPr>
      </w:pPr>
      <w:r w:rsidRPr="003E3F5D">
        <w:rPr>
          <w:rFonts w:ascii="Calibri" w:eastAsia="Calibri" w:hAnsi="Calibri" w:cs="Calibri"/>
          <w:i/>
          <w:sz w:val="22"/>
          <w:szCs w:val="22"/>
        </w:rPr>
        <w:t xml:space="preserve">Falta de perspectiva de los derechos de las víctimas. </w:t>
      </w:r>
      <w:r w:rsidRPr="003E3F5D">
        <w:rPr>
          <w:rFonts w:ascii="Calibri" w:eastAsia="Calibri" w:hAnsi="Calibri" w:cs="Calibri"/>
          <w:sz w:val="22"/>
          <w:szCs w:val="22"/>
        </w:rPr>
        <w:t xml:space="preserve">Lo expresado anteriormente permite deducir la ausencia de una perspectiva de protección de los derechos de las víctimas en estas investigaciones. Se trata de delitos cometidos, eventualmente, por agentes del Estado, lo que debería implicar una protección aún mayor de quienes padecen este tipo de hechos, extremando las medidas para garantizar su seguridad, en particular cuando se trata de personas privadas de su libertad. </w:t>
      </w:r>
    </w:p>
    <w:p w14:paraId="0DC48D8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negativa a asistir a las audiencias por parte de las personas detenidas obedece, muchas veces, a la sensación de vulnerabilidad frente a la realidad de continuar bajo la custodia de los agentes por ellas denunciados. Sumado a eso, la falta de respuesta que podemos observar en el análisis de las causas bajo estudio respecto de la no determinación de responsabilidades penales inhibe a las víctimas, genera sensación de impunidad y legitima a los agentes involucrados, lo que podría implicar un proceso de re-</w:t>
      </w:r>
      <w:r w:rsidRPr="003E3F5D">
        <w:rPr>
          <w:rFonts w:ascii="Calibri" w:eastAsia="Calibri" w:hAnsi="Calibri" w:cs="Calibri"/>
          <w:sz w:val="22"/>
          <w:szCs w:val="22"/>
        </w:rPr>
        <w:t xml:space="preserve">victimización. </w:t>
      </w:r>
    </w:p>
    <w:p w14:paraId="4875BA4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el año 2020, se dictó la Ley provincial 15.232, que garantiza y asegura“ a las personas humanas y/o jurídicas que individual o colectivamente fueran víctimas de presuntos hechos ilícitos que originen un proceso penal, el asesoramiento, asistencia jurídica, representación en el proceso y protección personal en todas las etapas procesales del mismo, en caso de petición expresa” (art.1). Ello se suma a la la Ley Nacional 27.372 de  2017, inspiradora de las legislaciones provinciales, instalando el paradigma</w:t>
      </w:r>
      <w:r w:rsidRPr="003E3F5D">
        <w:rPr>
          <w:rFonts w:ascii="Calibri" w:eastAsia="Calibri" w:hAnsi="Calibri" w:cs="Calibri"/>
          <w:sz w:val="22"/>
          <w:szCs w:val="22"/>
        </w:rPr>
        <w:t xml:space="preserve"> de una perspectiva de derechos de las víctimas. Sin embargo no existe un mecanismo efectivo de fiscalización de esta normativa, que de acuerdo a todo lo mencionado anteriormente, se vulnera diariamente. </w:t>
      </w:r>
    </w:p>
    <w:p w14:paraId="6777E78B" w14:textId="77777777" w:rsidR="00165BED" w:rsidRPr="003E3F5D" w:rsidRDefault="009D4909" w:rsidP="003E3F5D">
      <w:pPr>
        <w:pStyle w:val="Heading3"/>
        <w:jc w:val="both"/>
        <w:rPr>
          <w:rFonts w:ascii="Calibri" w:eastAsia="Calibri" w:hAnsi="Calibri" w:cs="Calibri"/>
          <w:sz w:val="22"/>
          <w:szCs w:val="22"/>
        </w:rPr>
      </w:pPr>
      <w:bookmarkStart w:id="53" w:name="_Toc211292093"/>
      <w:r w:rsidRPr="003E3F5D">
        <w:rPr>
          <w:rFonts w:ascii="Calibri" w:eastAsia="Calibri" w:hAnsi="Calibri" w:cs="Calibri"/>
          <w:sz w:val="22"/>
          <w:szCs w:val="22"/>
        </w:rPr>
        <w:t>Principio de debida diligencia. Delitos de acción pública</w:t>
      </w:r>
      <w:bookmarkEnd w:id="53"/>
    </w:p>
    <w:p w14:paraId="7DFAB0B6"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estudio realizado por la CPM permite concluir que las investigaciones penales sobre hechos de violencia institucional no cumplen con los estándares de investigación adecuados; adolecen de falta de celeridad; evidencian escasez de medios probatorios; carecen de una perspectiva de la víctima; se archivan rápidamente y pocas veces se determinan responsabilidades penales</w:t>
      </w:r>
    </w:p>
    <w:p w14:paraId="155A219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CPM, en su rol de MLPT, no puede dejar de llamar la atención sobre las disfunciones que se evidencian en las investigaciones penales de este tipo de delitos, porque además de cada hecho particular, la reiteración y naturalización de los mismos, la sensación de impunidad que se genera y la desatención de las víctimas, avala y legitima a los autores, a la par que produce un proceso de revictimización. Todo lo cual, propicia un círculo de violencia que conforma un sistema cruel, inhumano y degradante para l</w:t>
      </w:r>
      <w:r w:rsidRPr="003E3F5D">
        <w:rPr>
          <w:rFonts w:ascii="Calibri" w:eastAsia="Calibri" w:hAnsi="Calibri" w:cs="Calibri"/>
          <w:sz w:val="22"/>
          <w:szCs w:val="22"/>
        </w:rPr>
        <w:t>a condición humana que es urgente transformar.</w:t>
      </w:r>
    </w:p>
    <w:p w14:paraId="3DC67D6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La falta de recursos financieros, institucionales y humanos pueden ser una realidad que conlleva dificultades para dar respuesta a este tipo de causas. La creación de las Fiscalías especializadas sobre Violencia Institucional ha sido un avance pero su accionar resulta insuficiente. </w:t>
      </w:r>
    </w:p>
    <w:p w14:paraId="02C6E94A"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Estado debe mejorar sustancialmente las condiciones materiales de las agencias judiciales abocadas a esta tarea. Pero junto a ello, es indispensable avanzar en otras dimensiones vinculadas con una real perspectiva desde los derechos humanos y la consideración del rol de víctima, sobre todo cuando se trata de personas bajo custodia del Estado.</w:t>
      </w:r>
    </w:p>
    <w:p w14:paraId="23F066D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diagnóstico realizado por la CPM permite concluir que resulta necesario el diseño de un Protocolo par a el tratamiento de causas de violencia institucional que marque las pautas para todas las investigaciones, fijando estándares de actuación para las agencias judiciales involucradas, promoviendo la articulación y la cooperación interinstitucional que permitan proteger los derechos de las víctimas, sancionar a los responsables, brindar la garantía de no repetición y, finalmente, desmontar una práctica que</w:t>
      </w:r>
      <w:r w:rsidRPr="003E3F5D">
        <w:rPr>
          <w:rFonts w:ascii="Calibri" w:eastAsia="Calibri" w:hAnsi="Calibri" w:cs="Calibri"/>
          <w:sz w:val="22"/>
          <w:szCs w:val="22"/>
        </w:rPr>
        <w:t xml:space="preserve"> por su carácter sistemático resulta deshumanizante y es agraviante para el Estado de Derecho.</w:t>
      </w:r>
    </w:p>
    <w:p w14:paraId="58A53CD7" w14:textId="77777777" w:rsidR="00165BED" w:rsidRPr="003E3F5D" w:rsidRDefault="009D4909" w:rsidP="003E3F5D">
      <w:pPr>
        <w:pStyle w:val="Heading2"/>
        <w:jc w:val="both"/>
        <w:rPr>
          <w:rFonts w:ascii="Calibri" w:eastAsia="Calibri" w:hAnsi="Calibri" w:cs="Calibri"/>
          <w:sz w:val="22"/>
          <w:szCs w:val="22"/>
        </w:rPr>
      </w:pPr>
      <w:bookmarkStart w:id="54" w:name="_Toc211292094"/>
      <w:r w:rsidRPr="003E3F5D">
        <w:rPr>
          <w:rFonts w:ascii="Calibri" w:eastAsia="Calibri" w:hAnsi="Calibri" w:cs="Calibri"/>
          <w:sz w:val="22"/>
          <w:szCs w:val="22"/>
        </w:rPr>
        <w:t>Derechos y garantías de las víctimas de tortura</w:t>
      </w:r>
      <w:bookmarkEnd w:id="54"/>
    </w:p>
    <w:p w14:paraId="561BD793" w14:textId="77777777" w:rsidR="00165BED" w:rsidRPr="003E3F5D" w:rsidRDefault="009D4909" w:rsidP="003E3F5D">
      <w:pPr>
        <w:pStyle w:val="Heading3"/>
        <w:jc w:val="both"/>
        <w:rPr>
          <w:rFonts w:ascii="Calibri" w:eastAsia="Calibri" w:hAnsi="Calibri" w:cs="Calibri"/>
          <w:sz w:val="22"/>
          <w:szCs w:val="22"/>
        </w:rPr>
      </w:pPr>
      <w:bookmarkStart w:id="55" w:name="_Toc211292095"/>
      <w:r w:rsidRPr="003E3F5D">
        <w:rPr>
          <w:rFonts w:ascii="Calibri" w:eastAsia="Calibri" w:hAnsi="Calibri" w:cs="Calibri"/>
          <w:sz w:val="22"/>
          <w:szCs w:val="22"/>
        </w:rPr>
        <w:t>El caso de la defensa de los victimarios por parte del Estado</w:t>
      </w:r>
      <w:bookmarkEnd w:id="55"/>
    </w:p>
    <w:p w14:paraId="052A099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CPM ha denunciado en reiteradas ocasiones la dificultad para acceder al sistema judicial a las víctimas de torturas. Inclusive una vez denunciado los hechos, es claro que el sistema bonaerense no ha materializado los estándares internacionales de investigación y debida diligencia, e impide construir un poder judicial que haga lugar a las demandas y necesidades de las víctimas.</w:t>
      </w:r>
    </w:p>
    <w:p w14:paraId="38BE512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A los históricos obstáculos ya mencionados por el Comité en reiteradas ocasiones, en la provincia de Buenos Aires se suma la defensa a los presuntos responsables de violencia institucional por parte del Estado, desbalanceando más aún el equilibrio dentro del proceso judicial. </w:t>
      </w:r>
    </w:p>
    <w:p w14:paraId="783D001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La CPM ha dado cuenta en varias ocasiones de la intervención de la Dirección de Asesoría Letrada de Policía en juicios donde se investiga la violencia institucional. Es decir, la utilización de recursos materiales y humanos del Ministerio de Seguridad de la Provincia de Buenos Aires al servicio de la defensa penal particular de agentes de policía acusados de graves violaciones a los derechos humanos. </w:t>
      </w:r>
    </w:p>
    <w:p w14:paraId="57395CE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los ciudadanos bonaerenses que por cualquier motivo se encuentren imputados de la comisión de un delito en el marco de una causa penal, cuentan con el derecho de hacerse defender por un letrado de su confianza y la garantía —para el caso de no poder o no querer costearlo— de contar con un Defensor Oficial provisto por el Estado.Dicha tarea es cumplida en forma descentralizada a lo largo de todo el territorio provincial por las 238 defensorías y los/as 253 defensores/as oficiales existentes</w:t>
      </w:r>
      <w:r w:rsidRPr="003E3F5D">
        <w:rPr>
          <w:rFonts w:ascii="Calibri" w:eastAsia="Calibri" w:hAnsi="Calibri" w:cs="Calibri"/>
          <w:sz w:val="22"/>
          <w:szCs w:val="22"/>
          <w:vertAlign w:val="superscript"/>
        </w:rPr>
        <w:footnoteReference w:id="67"/>
      </w:r>
      <w:r w:rsidRPr="003E3F5D">
        <w:rPr>
          <w:rFonts w:ascii="Calibri" w:eastAsia="Calibri" w:hAnsi="Calibri" w:cs="Calibri"/>
          <w:sz w:val="22"/>
          <w:szCs w:val="22"/>
        </w:rPr>
        <w:t>.</w:t>
      </w:r>
    </w:p>
    <w:p w14:paraId="4EADEF2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Sin embargo, esta arquitectura institucional entra en tensión cuando se observa el tratamiento diferencial que se da a ciertos actores del aparato estatal, particularmente en el caso de las fuerzas de seguridad. La creación de cuerpos de abogados defensores ad-hoc, como la Dirección de Asesoría Letrada de la Policía para la defensa específica de agentes policiales —muchas veces acusados de cometer graves violaciones a los derechos humanos— plantea serios problemas desde una perspectiva de derechos humanos y</w:t>
      </w:r>
      <w:r w:rsidRPr="003E3F5D">
        <w:rPr>
          <w:rFonts w:ascii="Calibri" w:eastAsia="Calibri" w:hAnsi="Calibri" w:cs="Calibri"/>
          <w:sz w:val="22"/>
          <w:szCs w:val="22"/>
        </w:rPr>
        <w:t xml:space="preserve"> del principio de igualdad ante la ley. </w:t>
      </w:r>
    </w:p>
    <w:p w14:paraId="01BC477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ley 13.982 que establece el régimen del personal policial provincial prevé en su art. 10 inc.kel derecho a la asistencia letrada a cargo del Estado por medio de profesionales de la Institución, en juicios penales o acciones civiles que se le inicien o inicie y en actuaciones administrativas labradas con motivo de actos o procedimientos del servicio, mientras subsista el estado policial, conforme lo establezca la reglamentación.</w:t>
      </w:r>
    </w:p>
    <w:p w14:paraId="2F0F799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Decreto 1050/09 que reglamenta la ley 13.982 establece que la asistencia letrada en el marco de un proceso judicial será prestada por los abogados de la Asesoría Letrada a solicitud del interesado, siempre y cuando las actuaciones en que se viera involucrado deriven del cumplimiento de actos o procedimientos del servicio. Prevé que el derecho cesará cuando el defendido o patrocinado sea sancionado mediante resolución firme de cesantía o exoneración.</w:t>
      </w:r>
    </w:p>
    <w:p w14:paraId="7FB7DD3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Es decir que, al derecho de defensa a través de la defensa oficial que le cabe a todo ciudadano, se le suma como privilegio especial al personal policial el de ser defendido por profesionales de la institución. Las tensiones antes señaladas se encuentran al menos en tres niveles.</w:t>
      </w:r>
    </w:p>
    <w:p w14:paraId="4BAE452C"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primer lugar, se configura una contradicción con el principio de igualdad: mientras que el ciudadano común debe recurrir a la defensa pública, muchas veces sobrecargada y con recursos limitados, los agentes del Estado implicados en delitos que en algunas ocasiones son particularmente graves acceden a una estructura de defensa especializada y financiada por el mismo aparato estatal. Esto implica un uso desigual de recursos públicos y una forma de privilegio institucional que refuerza las asimetrías de pod</w:t>
      </w:r>
      <w:r w:rsidRPr="003E3F5D">
        <w:rPr>
          <w:rFonts w:ascii="Calibri" w:eastAsia="Calibri" w:hAnsi="Calibri" w:cs="Calibri"/>
          <w:sz w:val="22"/>
          <w:szCs w:val="22"/>
        </w:rPr>
        <w:t xml:space="preserve">er, más aún cuando quienes están acusados son representantes del poder coercitivo del Estado. </w:t>
      </w:r>
    </w:p>
    <w:p w14:paraId="77A079D4"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segundo lugar, se configura un conflicto ético e institucional cuando el mismo Estado, responsable de garantizar los derechos humanos, utiliza fondos públicos para defender a quienes están acusados de vulnerarlos de manera grave. Como se dijera antes, toda persona tiene derecho a una defensa técnica, lo que es garantizado por el Estado provincial. De allí que el establecimiento de una defensa especial para policías acusados por violaciones a los derechos humanos puede ser leído como una señal de respaldo</w:t>
      </w:r>
      <w:r w:rsidRPr="003E3F5D">
        <w:rPr>
          <w:rFonts w:ascii="Calibri" w:eastAsia="Calibri" w:hAnsi="Calibri" w:cs="Calibri"/>
          <w:sz w:val="22"/>
          <w:szCs w:val="22"/>
        </w:rPr>
        <w:t xml:space="preserve"> institucional a prácticas abusivas, o al menos como una falta de voluntad clara para erradicarlas. </w:t>
      </w:r>
    </w:p>
    <w:p w14:paraId="626EB9D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Finalmente, se produce un efecto simbólico negativo: se refuerza la percepción de impunidad para miembros de las fuerzas de seguridad y debilita la confianza de las víctimas —en muchos casos pertenecientes a colectivos vulnerables históricamente postergados en el sistema judicial—. Esta dinámica resulta especialmente preocupante en contextos donde existe una historia de violencia institucional y falta de rendición de cuentas por parte de las fuerzas deseguridad. </w:t>
      </w:r>
    </w:p>
    <w:p w14:paraId="4CDC68D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Ahora bien, esta situación se agrava considerablemente cuando se observa en la práctica tribunalicia que no sólo el Ministerio de Seguridad pone a disposición de los policías acusados una asistencia letrada específica, sino que además aporta otros recursos materiales y humanos destinados a otros fines para dicha defensa.</w:t>
      </w:r>
    </w:p>
    <w:p w14:paraId="3EADC92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Se advierte en tal sentido que los letrados de la Asesoría Letrada de la Policía se sirven de peritos, institutos forenses y laboratorios periciales pertenecientes orgánicamente a las policías de Investigaciones —particularmente de la Policía Científica— para que intervengan como peritos de parte en la defensa de los intereses particulares de los policías acusados de delitos. </w:t>
      </w:r>
    </w:p>
    <w:p w14:paraId="2C09E17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Estos recursos están concebidos para asistir a los funcionarios encargados de administrar justicia de manera objetiva y técnica, no para favorecer a una de las partes en un proceso penal. Si se utilizan para la defensa de imputados pertenecientes a la propia fuerza que los administra, se rompe la imparcialidad y se produce una concentración de funciones incompatible con el debido proceso y la igualdad de armas.</w:t>
      </w:r>
    </w:p>
    <w:p w14:paraId="121B49FB"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causas por graves violaciones a los derechos humanos, el uso de recursos estatales para defender a los acusados refuerza la percepción de impunidad, daña la confianza pública en las instituciones del Estado y puede constituir una forma de re-victimización simbólica, especialmente cuando los recursos usados pertenecen a la misma institución señalada como responsable.</w:t>
      </w:r>
    </w:p>
    <w:p w14:paraId="3BF1DB0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Pero además, los institutos forenses de las fuerzas de seguridad deben actuar como auxiliares de la justicia, no como herramientas de defensa corporativa. Su uso con fines particulares crea un conflicto de interés y puede favorecer prácticas de ocultamiento o manipulación probatoria, afectando la integridad del proceso penal.</w:t>
      </w:r>
    </w:p>
    <w:p w14:paraId="486D7CC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Si bien existe un marco normativo</w:t>
      </w:r>
      <w:r w:rsidRPr="003E3F5D">
        <w:rPr>
          <w:rFonts w:ascii="Calibri" w:eastAsia="Calibri" w:hAnsi="Calibri" w:cs="Calibri"/>
          <w:sz w:val="22"/>
          <w:szCs w:val="22"/>
          <w:vertAlign w:val="superscript"/>
        </w:rPr>
        <w:footnoteReference w:id="68"/>
      </w:r>
      <w:r w:rsidRPr="003E3F5D">
        <w:rPr>
          <w:rFonts w:ascii="Calibri" w:eastAsia="Calibri" w:hAnsi="Calibri" w:cs="Calibri"/>
          <w:sz w:val="22"/>
          <w:szCs w:val="22"/>
        </w:rPr>
        <w:t xml:space="preserve"> que busca impedir estas situaciones en busca de garantizar la imparcialidad, la ética y la transparencia, estableciendo prohibiciones para evitar conflictos de interés y asegurar la confianza pública en las instituciones, este no se cumple. </w:t>
      </w:r>
    </w:p>
    <w:p w14:paraId="2B57DBB2" w14:textId="77777777" w:rsidR="00165BED" w:rsidRPr="003E3F5D" w:rsidRDefault="00165BED" w:rsidP="003E3F5D">
      <w:pPr>
        <w:jc w:val="both"/>
        <w:rPr>
          <w:rFonts w:ascii="Calibri" w:eastAsia="Calibri" w:hAnsi="Calibri" w:cs="Calibri"/>
          <w:i/>
          <w:sz w:val="22"/>
          <w:szCs w:val="22"/>
        </w:rPr>
      </w:pPr>
    </w:p>
    <w:p w14:paraId="6493FE80" w14:textId="77777777" w:rsidR="00165BED" w:rsidRPr="003E3F5D" w:rsidRDefault="009D4909" w:rsidP="003E3F5D">
      <w:pPr>
        <w:pStyle w:val="Heading1"/>
        <w:jc w:val="both"/>
        <w:rPr>
          <w:rFonts w:ascii="Calibri" w:hAnsi="Calibri" w:cs="Calibri"/>
          <w:sz w:val="22"/>
          <w:szCs w:val="22"/>
        </w:rPr>
      </w:pPr>
      <w:bookmarkStart w:id="56" w:name="_Toc211292096"/>
      <w:r w:rsidRPr="003E3F5D">
        <w:rPr>
          <w:rFonts w:ascii="Calibri" w:hAnsi="Calibri" w:cs="Calibri"/>
          <w:sz w:val="22"/>
          <w:szCs w:val="22"/>
        </w:rPr>
        <w:t>Uso de la fuerza. El accionar policial ante la represión de la protesta.</w:t>
      </w:r>
      <w:bookmarkEnd w:id="56"/>
    </w:p>
    <w:p w14:paraId="1C974F3E" w14:textId="77777777" w:rsidR="00165BED" w:rsidRPr="003E3F5D" w:rsidRDefault="00165BED" w:rsidP="003E3F5D">
      <w:pPr>
        <w:jc w:val="both"/>
        <w:rPr>
          <w:rFonts w:ascii="Calibri" w:eastAsia="Calibri" w:hAnsi="Calibri" w:cs="Calibri"/>
          <w:sz w:val="22"/>
          <w:szCs w:val="22"/>
        </w:rPr>
      </w:pPr>
    </w:p>
    <w:p w14:paraId="73C7AFB9" w14:textId="77777777" w:rsidR="00165BED" w:rsidRPr="003E3F5D" w:rsidRDefault="009D4909" w:rsidP="003E3F5D">
      <w:pPr>
        <w:pStyle w:val="Heading2"/>
        <w:jc w:val="both"/>
        <w:rPr>
          <w:rFonts w:ascii="Calibri" w:eastAsia="Calibri" w:hAnsi="Calibri" w:cs="Calibri"/>
          <w:sz w:val="22"/>
          <w:szCs w:val="22"/>
        </w:rPr>
      </w:pPr>
      <w:bookmarkStart w:id="57" w:name="_Toc211292097"/>
      <w:r w:rsidRPr="003E3F5D">
        <w:rPr>
          <w:rFonts w:ascii="Calibri" w:eastAsia="Calibri" w:hAnsi="Calibri" w:cs="Calibri"/>
          <w:sz w:val="22"/>
          <w:szCs w:val="22"/>
        </w:rPr>
        <w:t>Introducción</w:t>
      </w:r>
      <w:bookmarkEnd w:id="57"/>
    </w:p>
    <w:p w14:paraId="4EAD40D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represión de las manifestaciones para el actual gobierno se ha convertido en un accionar cotidiano y normalizado, tal y como se observa en el presente apartado y se desprende las declaraciones y accionar de los funcionarios de alto rango. La CPM desde el inicio de 2023 prácticamente semanalmente se encuentra monitoreando dicho accionar arbitrario.</w:t>
      </w:r>
    </w:p>
    <w:p w14:paraId="679E7DCE" w14:textId="4BAF08AA"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Como se desprende del informe anual realizado por la CPM</w:t>
      </w:r>
      <w:r w:rsidRPr="003E3F5D">
        <w:rPr>
          <w:rFonts w:ascii="Calibri" w:eastAsia="Calibri" w:hAnsi="Calibri" w:cs="Calibri"/>
          <w:sz w:val="22"/>
          <w:szCs w:val="22"/>
          <w:vertAlign w:val="superscript"/>
        </w:rPr>
        <w:footnoteReference w:id="69"/>
      </w:r>
      <w:r w:rsidRPr="003E3F5D">
        <w:rPr>
          <w:rFonts w:ascii="Calibri" w:eastAsia="Calibri" w:hAnsi="Calibri" w:cs="Calibri"/>
          <w:sz w:val="22"/>
          <w:szCs w:val="22"/>
        </w:rPr>
        <w:t>, la represión durante el 2024 ha dejado como saldo más de 1216 heridos - de los cuales 98 trabajadores de prensa, 24 defensores de derechos humanos, 42 adultos mayores, 4 niños niñas y adolescentes) y al menos 93 detenciones arbitrarias.  A ello se le suma que en el primer semestre del 2025</w:t>
      </w:r>
      <w:r w:rsidRPr="003E3F5D">
        <w:rPr>
          <w:rFonts w:ascii="Calibri" w:eastAsia="Calibri" w:hAnsi="Calibri" w:cs="Calibri"/>
          <w:sz w:val="22"/>
          <w:szCs w:val="22"/>
          <w:vertAlign w:val="superscript"/>
        </w:rPr>
        <w:footnoteReference w:id="70"/>
      </w:r>
      <w:r w:rsidRPr="003E3F5D">
        <w:rPr>
          <w:rFonts w:ascii="Calibri" w:eastAsia="Calibri" w:hAnsi="Calibri" w:cs="Calibri"/>
          <w:sz w:val="22"/>
          <w:szCs w:val="22"/>
        </w:rPr>
        <w:t xml:space="preserve">, la política represiva del estado ha dejado un saldo de 1251 heridos y 130 detenidos arbitrariamente. En suma, la CPM ha podido constatar desde diciembre de 2023 hasta junio 2025 al menos 2467 heridos y </w:t>
      </w:r>
      <w:r w:rsidR="00D340EF">
        <w:rPr>
          <w:rFonts w:ascii="Calibri" w:eastAsia="Calibri" w:hAnsi="Calibri" w:cs="Calibri"/>
          <w:sz w:val="22"/>
          <w:szCs w:val="22"/>
        </w:rPr>
        <w:t>223</w:t>
      </w:r>
      <w:r w:rsidR="00182DBA">
        <w:rPr>
          <w:rStyle w:val="FootnoteReference"/>
          <w:rFonts w:ascii="Calibri" w:eastAsia="Calibri" w:hAnsi="Calibri" w:cs="Calibri"/>
          <w:sz w:val="22"/>
          <w:szCs w:val="22"/>
        </w:rPr>
        <w:footnoteReference w:id="71"/>
      </w:r>
      <w:r w:rsidRPr="003E3F5D">
        <w:rPr>
          <w:rFonts w:ascii="Calibri" w:eastAsia="Calibri" w:hAnsi="Calibri" w:cs="Calibri"/>
          <w:sz w:val="22"/>
          <w:szCs w:val="22"/>
        </w:rPr>
        <w:t xml:space="preserve"> detenidos arbitrariamente.</w:t>
      </w:r>
    </w:p>
    <w:p w14:paraId="464D3D06" w14:textId="77777777" w:rsidR="00165BED" w:rsidRPr="003E3F5D" w:rsidRDefault="009D4909" w:rsidP="003E3F5D">
      <w:pPr>
        <w:pBdr>
          <w:top w:val="nil"/>
          <w:left w:val="nil"/>
          <w:bottom w:val="nil"/>
          <w:right w:val="nil"/>
          <w:between w:val="nil"/>
        </w:pBdr>
        <w:jc w:val="both"/>
        <w:rPr>
          <w:rFonts w:ascii="Calibri" w:eastAsia="Calibri" w:hAnsi="Calibri" w:cs="Calibri"/>
          <w:b/>
          <w:sz w:val="22"/>
          <w:szCs w:val="22"/>
        </w:rPr>
      </w:pPr>
      <w:r w:rsidRPr="003E3F5D">
        <w:rPr>
          <w:rFonts w:ascii="Calibri" w:eastAsia="Calibri" w:hAnsi="Calibri" w:cs="Calibri"/>
          <w:color w:val="000000"/>
          <w:sz w:val="22"/>
          <w:szCs w:val="22"/>
        </w:rPr>
        <w:t xml:space="preserve">En este sentido, </w:t>
      </w:r>
      <w:r w:rsidRPr="003E3F5D">
        <w:rPr>
          <w:rFonts w:ascii="Calibri" w:eastAsia="Calibri" w:hAnsi="Calibri" w:cs="Calibri"/>
          <w:sz w:val="22"/>
          <w:szCs w:val="22"/>
        </w:rPr>
        <w:t>del</w:t>
      </w:r>
      <w:r w:rsidRPr="003E3F5D">
        <w:rPr>
          <w:rFonts w:ascii="Calibri" w:eastAsia="Calibri" w:hAnsi="Calibri" w:cs="Calibri"/>
          <w:color w:val="000000"/>
          <w:sz w:val="22"/>
          <w:szCs w:val="22"/>
        </w:rPr>
        <w:t xml:space="preserve"> monitoreo </w:t>
      </w:r>
      <w:r w:rsidRPr="003E3F5D">
        <w:rPr>
          <w:rFonts w:ascii="Calibri" w:eastAsia="Calibri" w:hAnsi="Calibri" w:cs="Calibri"/>
          <w:sz w:val="22"/>
          <w:szCs w:val="22"/>
        </w:rPr>
        <w:t xml:space="preserve">se desprende que </w:t>
      </w:r>
      <w:r w:rsidRPr="003E3F5D">
        <w:rPr>
          <w:rFonts w:ascii="Calibri" w:eastAsia="Calibri" w:hAnsi="Calibri" w:cs="Calibri"/>
          <w:b/>
          <w:sz w:val="22"/>
          <w:szCs w:val="22"/>
        </w:rPr>
        <w:t>el Estado ante la manifestación pacífica de los ciudadanos,</w:t>
      </w:r>
      <w:r w:rsidRPr="003E3F5D">
        <w:rPr>
          <w:rFonts w:ascii="Calibri" w:eastAsia="Calibri" w:hAnsi="Calibri" w:cs="Calibri"/>
          <w:sz w:val="22"/>
          <w:szCs w:val="22"/>
        </w:rPr>
        <w:t xml:space="preserve"> </w:t>
      </w:r>
      <w:r w:rsidRPr="003E3F5D">
        <w:rPr>
          <w:rFonts w:ascii="Calibri" w:eastAsia="Calibri" w:hAnsi="Calibri" w:cs="Calibri"/>
          <w:b/>
          <w:sz w:val="22"/>
          <w:szCs w:val="22"/>
        </w:rPr>
        <w:t xml:space="preserve">reprime y restringe ilegítimamente los derechos de los manifestantes, no de forma aislada, sino como política de Estado. </w:t>
      </w:r>
    </w:p>
    <w:p w14:paraId="1C2AEC51" w14:textId="77777777" w:rsidR="00165BED" w:rsidRPr="003E3F5D" w:rsidRDefault="00165BED" w:rsidP="003E3F5D">
      <w:pPr>
        <w:pBdr>
          <w:top w:val="nil"/>
          <w:left w:val="nil"/>
          <w:bottom w:val="nil"/>
          <w:right w:val="nil"/>
          <w:between w:val="nil"/>
        </w:pBdr>
        <w:jc w:val="both"/>
        <w:rPr>
          <w:rFonts w:ascii="Calibri" w:eastAsia="Calibri" w:hAnsi="Calibri" w:cs="Calibri"/>
          <w:b/>
          <w:sz w:val="22"/>
          <w:szCs w:val="22"/>
        </w:rPr>
      </w:pPr>
    </w:p>
    <w:p w14:paraId="35B8B0CD" w14:textId="77777777" w:rsidR="00165BED" w:rsidRPr="003E3F5D" w:rsidRDefault="009D4909" w:rsidP="003E3F5D">
      <w:pPr>
        <w:pStyle w:val="Heading2"/>
        <w:jc w:val="both"/>
        <w:rPr>
          <w:rFonts w:ascii="Calibri" w:eastAsia="Calibri" w:hAnsi="Calibri" w:cs="Calibri"/>
          <w:sz w:val="22"/>
          <w:szCs w:val="22"/>
        </w:rPr>
      </w:pPr>
      <w:bookmarkStart w:id="58" w:name="_Toc211292098"/>
      <w:r w:rsidRPr="003E3F5D">
        <w:rPr>
          <w:rFonts w:ascii="Calibri" w:eastAsia="Calibri" w:hAnsi="Calibri" w:cs="Calibri"/>
          <w:sz w:val="22"/>
          <w:szCs w:val="22"/>
        </w:rPr>
        <w:t>Modificación del marco jurídico de referencia</w:t>
      </w:r>
      <w:bookmarkEnd w:id="58"/>
    </w:p>
    <w:p w14:paraId="096365FE"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w:t>
      </w:r>
      <w:r w:rsidRPr="003E3F5D">
        <w:rPr>
          <w:rFonts w:ascii="Calibri" w:eastAsia="Calibri" w:hAnsi="Calibri" w:cs="Calibri"/>
          <w:color w:val="000000"/>
          <w:sz w:val="22"/>
          <w:szCs w:val="22"/>
        </w:rPr>
        <w:t>a represión de la protesta y la consecuente violación de derechos humanos no es algo nuevo en Argentina</w:t>
      </w:r>
      <w:r w:rsidRPr="003E3F5D">
        <w:rPr>
          <w:rFonts w:ascii="Calibri" w:eastAsia="Calibri" w:hAnsi="Calibri" w:cs="Calibri"/>
          <w:sz w:val="22"/>
          <w:szCs w:val="22"/>
        </w:rPr>
        <w:t>; esta Honorable Institución ya ha sido informada en repetidas ocasiones</w:t>
      </w:r>
      <w:r w:rsidRPr="003E3F5D">
        <w:rPr>
          <w:rFonts w:ascii="Calibri" w:eastAsia="Calibri" w:hAnsi="Calibri" w:cs="Calibri"/>
          <w:color w:val="000000"/>
          <w:sz w:val="22"/>
          <w:szCs w:val="22"/>
          <w:vertAlign w:val="superscript"/>
        </w:rPr>
        <w:footnoteReference w:id="72"/>
      </w:r>
      <w:r w:rsidRPr="003E3F5D">
        <w:rPr>
          <w:rFonts w:ascii="Calibri" w:eastAsia="Calibri" w:hAnsi="Calibri" w:cs="Calibri"/>
          <w:color w:val="000000"/>
          <w:sz w:val="22"/>
          <w:szCs w:val="22"/>
          <w:vertAlign w:val="superscript"/>
        </w:rPr>
        <w:t xml:space="preserve">. </w:t>
      </w:r>
      <w:r w:rsidRPr="003E3F5D">
        <w:rPr>
          <w:rFonts w:ascii="Calibri" w:eastAsia="Calibri" w:hAnsi="Calibri" w:cs="Calibri"/>
          <w:color w:val="000000"/>
          <w:sz w:val="22"/>
          <w:szCs w:val="22"/>
        </w:rPr>
        <w:t xml:space="preserve"> La tradición política del país de manifestarse ante la amenaza de políticas públicas regresivas en materia de derechos humanos trae como correlato la represión </w:t>
      </w:r>
      <w:r w:rsidRPr="003E3F5D">
        <w:rPr>
          <w:rFonts w:ascii="Calibri" w:eastAsia="Calibri" w:hAnsi="Calibri" w:cs="Calibri"/>
          <w:sz w:val="22"/>
          <w:szCs w:val="22"/>
        </w:rPr>
        <w:t>pública</w:t>
      </w:r>
      <w:r w:rsidRPr="003E3F5D">
        <w:rPr>
          <w:rFonts w:ascii="Calibri" w:eastAsia="Calibri" w:hAnsi="Calibri" w:cs="Calibri"/>
          <w:color w:val="000000"/>
          <w:sz w:val="22"/>
          <w:szCs w:val="22"/>
        </w:rPr>
        <w:t xml:space="preserve"> y violenta por parte de las fuerzas de seguridad</w:t>
      </w:r>
      <w:r w:rsidRPr="003E3F5D">
        <w:rPr>
          <w:rFonts w:ascii="Calibri" w:eastAsia="Calibri" w:hAnsi="Calibri" w:cs="Calibri"/>
          <w:sz w:val="22"/>
          <w:szCs w:val="22"/>
        </w:rPr>
        <w:t xml:space="preserve"> hacia</w:t>
      </w:r>
      <w:r w:rsidRPr="003E3F5D">
        <w:rPr>
          <w:rFonts w:ascii="Calibri" w:eastAsia="Calibri" w:hAnsi="Calibri" w:cs="Calibri"/>
          <w:color w:val="000000"/>
          <w:sz w:val="22"/>
          <w:szCs w:val="22"/>
        </w:rPr>
        <w:t xml:space="preserve"> quienes denuncian el detrimento de sus derechos. Sin embargo,</w:t>
      </w:r>
      <w:r w:rsidRPr="003E3F5D">
        <w:rPr>
          <w:rFonts w:ascii="Calibri" w:eastAsia="Calibri" w:hAnsi="Calibri" w:cs="Calibri"/>
          <w:sz w:val="22"/>
          <w:szCs w:val="22"/>
        </w:rPr>
        <w:t xml:space="preserve"> desde la asunción de la actual gestión de gobierno a nivel nacional</w:t>
      </w:r>
      <w:r w:rsidRPr="003E3F5D">
        <w:rPr>
          <w:rFonts w:ascii="Calibri" w:eastAsia="Calibri" w:hAnsi="Calibri" w:cs="Calibri"/>
          <w:color w:val="000000"/>
          <w:sz w:val="22"/>
          <w:szCs w:val="22"/>
        </w:rPr>
        <w:t xml:space="preserve">, </w:t>
      </w:r>
      <w:r w:rsidRPr="003E3F5D">
        <w:rPr>
          <w:rFonts w:ascii="Calibri" w:eastAsia="Calibri" w:hAnsi="Calibri" w:cs="Calibri"/>
          <w:sz w:val="22"/>
          <w:szCs w:val="22"/>
        </w:rPr>
        <w:t>las modificaciones institucionales han otorgado una legitimidad jurídica a las fuerzas de seguridad agravando así las consecuencias negativas para con la ple</w:t>
      </w:r>
      <w:r w:rsidRPr="003E3F5D">
        <w:rPr>
          <w:rFonts w:ascii="Calibri" w:eastAsia="Calibri" w:hAnsi="Calibri" w:cs="Calibri"/>
          <w:sz w:val="22"/>
          <w:szCs w:val="22"/>
        </w:rPr>
        <w:t>na vigencia de los derechos humanos.</w:t>
      </w:r>
    </w:p>
    <w:p w14:paraId="454C799F" w14:textId="16F0E86B" w:rsidR="00165BED" w:rsidRPr="003E3F5D" w:rsidRDefault="009D4909" w:rsidP="003E3F5D">
      <w:pPr>
        <w:jc w:val="both"/>
        <w:rPr>
          <w:rFonts w:ascii="Calibri" w:eastAsia="Calibri" w:hAnsi="Calibri" w:cs="Calibri"/>
          <w:color w:val="000000"/>
          <w:sz w:val="22"/>
          <w:szCs w:val="22"/>
        </w:rPr>
      </w:pPr>
      <w:r w:rsidRPr="003E3F5D">
        <w:rPr>
          <w:rFonts w:ascii="Calibri" w:eastAsia="Calibri" w:hAnsi="Calibri" w:cs="Calibri"/>
          <w:color w:val="000000"/>
          <w:sz w:val="22"/>
          <w:szCs w:val="22"/>
        </w:rPr>
        <w:t>El 14 de diciembre de 2023 se aprobó la Resolución 943/23 del Ministerio de Seguridad de la Nación, conocido como Protocolo “anti-piquetes”</w:t>
      </w:r>
      <w:r w:rsidRPr="003E3F5D">
        <w:rPr>
          <w:rFonts w:ascii="Calibri" w:eastAsia="Calibri" w:hAnsi="Calibri" w:cs="Calibri"/>
          <w:sz w:val="22"/>
          <w:szCs w:val="22"/>
        </w:rPr>
        <w:t>. Dicha resolución es un</w:t>
      </w:r>
      <w:r w:rsidRPr="003E3F5D">
        <w:rPr>
          <w:rFonts w:ascii="Calibri" w:eastAsia="Calibri" w:hAnsi="Calibri" w:cs="Calibri"/>
          <w:color w:val="000000"/>
          <w:sz w:val="22"/>
          <w:szCs w:val="22"/>
        </w:rPr>
        <w:t xml:space="preserve"> acto administrativo</w:t>
      </w:r>
      <w:r w:rsidRPr="003E3F5D">
        <w:rPr>
          <w:rFonts w:ascii="Calibri" w:eastAsia="Calibri" w:hAnsi="Calibri" w:cs="Calibri"/>
          <w:sz w:val="22"/>
          <w:szCs w:val="22"/>
        </w:rPr>
        <w:t xml:space="preserve"> </w:t>
      </w:r>
      <w:r w:rsidRPr="003E3F5D">
        <w:rPr>
          <w:rFonts w:ascii="Calibri" w:eastAsia="Calibri" w:hAnsi="Calibri" w:cs="Calibri"/>
          <w:color w:val="000000"/>
          <w:sz w:val="22"/>
          <w:szCs w:val="22"/>
        </w:rPr>
        <w:t>que excede las facultades del poder ejecutivo dado que, entre otras, agrav</w:t>
      </w:r>
      <w:r w:rsidRPr="003E3F5D">
        <w:rPr>
          <w:rFonts w:ascii="Calibri" w:eastAsia="Calibri" w:hAnsi="Calibri" w:cs="Calibri"/>
          <w:sz w:val="22"/>
          <w:szCs w:val="22"/>
        </w:rPr>
        <w:t>a</w:t>
      </w:r>
      <w:r w:rsidRPr="003E3F5D">
        <w:rPr>
          <w:rFonts w:ascii="Calibri" w:eastAsia="Calibri" w:hAnsi="Calibri" w:cs="Calibri"/>
          <w:color w:val="000000"/>
          <w:sz w:val="22"/>
          <w:szCs w:val="22"/>
        </w:rPr>
        <w:t xml:space="preserve"> las penas aplicables a quienes se </w:t>
      </w:r>
      <w:r w:rsidRPr="003E3F5D">
        <w:rPr>
          <w:rFonts w:ascii="Calibri" w:eastAsia="Calibri" w:hAnsi="Calibri" w:cs="Calibri"/>
          <w:sz w:val="22"/>
          <w:szCs w:val="22"/>
        </w:rPr>
        <w:t>expresan</w:t>
      </w:r>
      <w:r w:rsidRPr="003E3F5D">
        <w:rPr>
          <w:rFonts w:ascii="Calibri" w:eastAsia="Calibri" w:hAnsi="Calibri" w:cs="Calibri"/>
          <w:color w:val="000000"/>
          <w:sz w:val="22"/>
          <w:szCs w:val="22"/>
        </w:rPr>
        <w:t xml:space="preserve"> en la vía pública</w:t>
      </w:r>
    </w:p>
    <w:p w14:paraId="21E29305" w14:textId="77777777" w:rsidR="00165BED" w:rsidRPr="003E3F5D" w:rsidRDefault="009D4909" w:rsidP="003E3F5D">
      <w:pPr>
        <w:jc w:val="both"/>
        <w:rPr>
          <w:rFonts w:ascii="Calibri" w:eastAsia="Calibri" w:hAnsi="Calibri" w:cs="Calibri"/>
          <w:color w:val="000000"/>
          <w:sz w:val="22"/>
          <w:szCs w:val="22"/>
        </w:rPr>
      </w:pPr>
      <w:r w:rsidRPr="003E3F5D">
        <w:rPr>
          <w:rFonts w:ascii="Calibri" w:eastAsia="Calibri" w:hAnsi="Calibri" w:cs="Calibri"/>
          <w:color w:val="000000"/>
          <w:sz w:val="22"/>
          <w:szCs w:val="22"/>
        </w:rPr>
        <w:t>El protocolo limita el derecho a la protesta protegido por el Art. 4 de la C.N. y los tratados internacionales de derechos humanos de jerarquía constitucional; avanza sobre facultades de los poderes legislativo y judicial al definir el alcance del tipo penal previsto en el artículo 194 del Código Penal de la Nación, y autoriza la d</w:t>
      </w:r>
      <w:r w:rsidRPr="003E3F5D">
        <w:rPr>
          <w:rFonts w:ascii="Calibri" w:eastAsia="Calibri" w:hAnsi="Calibri" w:cs="Calibri"/>
          <w:b/>
          <w:color w:val="000000"/>
          <w:sz w:val="22"/>
          <w:szCs w:val="22"/>
        </w:rPr>
        <w:t>etención de personas sin orden judicial</w:t>
      </w:r>
      <w:r w:rsidRPr="003E3F5D">
        <w:rPr>
          <w:rFonts w:ascii="Calibri" w:eastAsia="Calibri" w:hAnsi="Calibri" w:cs="Calibri"/>
          <w:color w:val="000000"/>
          <w:sz w:val="22"/>
          <w:szCs w:val="22"/>
        </w:rPr>
        <w:t xml:space="preserve">; avanza sobre competencias y jurisdicciones provinciales en contradicción con la Ley de Seguridad Interior; no prevé limitaciones para el uso de armas letales y munición de plomo de acuerdo a los estándares internacionales y el marco normativo interno; </w:t>
      </w:r>
      <w:r w:rsidRPr="003E3F5D">
        <w:rPr>
          <w:rFonts w:ascii="Calibri" w:eastAsia="Calibri" w:hAnsi="Calibri" w:cs="Calibri"/>
          <w:sz w:val="22"/>
          <w:szCs w:val="22"/>
        </w:rPr>
        <w:t xml:space="preserve">y Por último contiene </w:t>
      </w:r>
      <w:r w:rsidRPr="003E3F5D">
        <w:rPr>
          <w:rFonts w:ascii="Calibri" w:eastAsia="Calibri" w:hAnsi="Calibri" w:cs="Calibri"/>
          <w:color w:val="000000"/>
          <w:sz w:val="22"/>
          <w:szCs w:val="22"/>
        </w:rPr>
        <w:t xml:space="preserve">diversas disposiciones </w:t>
      </w:r>
      <w:r w:rsidRPr="003E3F5D">
        <w:rPr>
          <w:rFonts w:ascii="Calibri" w:eastAsia="Calibri" w:hAnsi="Calibri" w:cs="Calibri"/>
          <w:sz w:val="22"/>
          <w:szCs w:val="22"/>
        </w:rPr>
        <w:t>relativas a la</w:t>
      </w:r>
      <w:r w:rsidRPr="003E3F5D">
        <w:rPr>
          <w:rFonts w:ascii="Calibri" w:eastAsia="Calibri" w:hAnsi="Calibri" w:cs="Calibri"/>
          <w:color w:val="000000"/>
          <w:sz w:val="22"/>
          <w:szCs w:val="22"/>
        </w:rPr>
        <w:t xml:space="preserve"> identificación y registro de manifestantes y organizaciones que colisionan con las prohibiciones establecidas en la Ley de Inteligencia Nacional.</w:t>
      </w:r>
    </w:p>
    <w:p w14:paraId="0C2EDA85"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color w:val="000000"/>
          <w:sz w:val="22"/>
          <w:szCs w:val="22"/>
        </w:rPr>
        <w:t>A pocos días de establecer la vigencia de este Protocolo para limitar la protesta social, el 21 de diciembre el gobierno emitió un Decreto de Necesidad y Urgencia (DNU) mediante el cual derogó varias leyes (Ley de Alquileres, Ley de Abastecimiento, Ley de Góndolas, Ley del "Compre Nacional", entre otras), y avanzó con la desregulación de varias normativas hasta entonces vigentes, incluso las relacionadas a derechos laborales</w:t>
      </w:r>
      <w:r w:rsidRPr="003E3F5D">
        <w:rPr>
          <w:rFonts w:ascii="Calibri" w:eastAsia="Calibri" w:hAnsi="Calibri" w:cs="Calibri"/>
          <w:color w:val="000000"/>
          <w:sz w:val="22"/>
          <w:szCs w:val="22"/>
          <w:vertAlign w:val="superscript"/>
        </w:rPr>
        <w:footnoteReference w:id="73"/>
      </w:r>
      <w:r w:rsidRPr="003E3F5D">
        <w:rPr>
          <w:rFonts w:ascii="Calibri" w:eastAsia="Calibri" w:hAnsi="Calibri" w:cs="Calibri"/>
          <w:color w:val="000000"/>
          <w:sz w:val="22"/>
          <w:szCs w:val="22"/>
        </w:rPr>
        <w:t xml:space="preserve">. </w:t>
      </w:r>
      <w:r w:rsidRPr="003E3F5D">
        <w:rPr>
          <w:rFonts w:ascii="Calibri" w:eastAsia="Calibri" w:hAnsi="Calibri" w:cs="Calibri"/>
          <w:sz w:val="22"/>
          <w:szCs w:val="22"/>
        </w:rPr>
        <w:t>En concordancia con ello, el gobierno presentó el 27 de diciembre de 2023 el entonces proyecto de “Ley Bases”, conocido como “Ley Ómnibus”, por tratarse de un documento de 664 artículos, tendiente a establecer modificaciones estructurales en materia de derechos laborales, comerciales, fiscales, industriales y desregulaciones normativas con el fin de propiciar privatizaciones en varias empresas y organismos estatales. Sin embargo, el mismo fue objeto de cambios y negociaciones en las Cámaras de Diputados y</w:t>
      </w:r>
      <w:r w:rsidRPr="003E3F5D">
        <w:rPr>
          <w:rFonts w:ascii="Calibri" w:eastAsia="Calibri" w:hAnsi="Calibri" w:cs="Calibri"/>
          <w:sz w:val="22"/>
          <w:szCs w:val="22"/>
        </w:rPr>
        <w:t xml:space="preserve"> Senadores de la Nación, lo que llevó a la aprobación de una versión reducida con 279 artículos, el 27 de junio de 2024</w:t>
      </w:r>
      <w:r w:rsidRPr="003E3F5D">
        <w:rPr>
          <w:rFonts w:ascii="Calibri" w:eastAsia="Calibri" w:hAnsi="Calibri" w:cs="Calibri"/>
          <w:sz w:val="22"/>
          <w:szCs w:val="22"/>
          <w:vertAlign w:val="superscript"/>
        </w:rPr>
        <w:footnoteReference w:id="74"/>
      </w:r>
    </w:p>
    <w:p w14:paraId="7C81E087" w14:textId="77777777" w:rsidR="00165BED" w:rsidRPr="003E3F5D" w:rsidRDefault="009D4909" w:rsidP="003E3F5D">
      <w:pPr>
        <w:jc w:val="both"/>
        <w:rPr>
          <w:rFonts w:ascii="Calibri" w:eastAsia="Calibri" w:hAnsi="Calibri" w:cs="Calibri"/>
          <w:color w:val="000000"/>
          <w:sz w:val="22"/>
          <w:szCs w:val="22"/>
        </w:rPr>
      </w:pPr>
      <w:r w:rsidRPr="003E3F5D">
        <w:rPr>
          <w:rFonts w:ascii="Calibri" w:eastAsia="Calibri" w:hAnsi="Calibri" w:cs="Calibri"/>
          <w:sz w:val="22"/>
          <w:szCs w:val="22"/>
        </w:rPr>
        <w:t>D</w:t>
      </w:r>
      <w:r w:rsidRPr="003E3F5D">
        <w:rPr>
          <w:rFonts w:ascii="Calibri" w:eastAsia="Calibri" w:hAnsi="Calibri" w:cs="Calibri"/>
          <w:color w:val="000000"/>
          <w:sz w:val="22"/>
          <w:szCs w:val="22"/>
        </w:rPr>
        <w:t xml:space="preserve">icho contexto va </w:t>
      </w:r>
      <w:r w:rsidRPr="003E3F5D">
        <w:rPr>
          <w:rFonts w:ascii="Calibri" w:eastAsia="Calibri" w:hAnsi="Calibri" w:cs="Calibri"/>
          <w:sz w:val="22"/>
          <w:szCs w:val="22"/>
        </w:rPr>
        <w:t>acompañado</w:t>
      </w:r>
      <w:r w:rsidRPr="003E3F5D">
        <w:rPr>
          <w:rFonts w:ascii="Calibri" w:eastAsia="Calibri" w:hAnsi="Calibri" w:cs="Calibri"/>
          <w:color w:val="000000"/>
          <w:sz w:val="22"/>
          <w:szCs w:val="22"/>
        </w:rPr>
        <w:t xml:space="preserve"> de declaraciones negativas </w:t>
      </w:r>
      <w:r w:rsidRPr="003E3F5D">
        <w:rPr>
          <w:rFonts w:ascii="Calibri" w:eastAsia="Calibri" w:hAnsi="Calibri" w:cs="Calibri"/>
          <w:sz w:val="22"/>
          <w:szCs w:val="22"/>
        </w:rPr>
        <w:t>hacia</w:t>
      </w:r>
      <w:r w:rsidRPr="003E3F5D">
        <w:rPr>
          <w:rFonts w:ascii="Calibri" w:eastAsia="Calibri" w:hAnsi="Calibri" w:cs="Calibri"/>
          <w:color w:val="000000"/>
          <w:sz w:val="22"/>
          <w:szCs w:val="22"/>
        </w:rPr>
        <w:t xml:space="preserve"> las principales organizaciones que realizan protestas, generando un clima de hostigamiento y desprestigio de los principales referentes políticos de dichas organizaciones</w:t>
      </w:r>
      <w:r w:rsidRPr="003E3F5D">
        <w:rPr>
          <w:rFonts w:ascii="Calibri" w:eastAsia="Calibri" w:hAnsi="Calibri" w:cs="Calibri"/>
          <w:sz w:val="22"/>
          <w:szCs w:val="22"/>
        </w:rPr>
        <w:t xml:space="preserve"> </w:t>
      </w:r>
      <w:r w:rsidRPr="003E3F5D">
        <w:rPr>
          <w:rFonts w:ascii="Calibri" w:eastAsia="Calibri" w:hAnsi="Calibri" w:cs="Calibri"/>
          <w:color w:val="000000"/>
          <w:sz w:val="22"/>
          <w:szCs w:val="22"/>
        </w:rPr>
        <w:t>por parte de funcionarios del actual gobierno nacional y de la ciudad de Buenos Aires.</w:t>
      </w:r>
    </w:p>
    <w:p w14:paraId="1D8F8E6F" w14:textId="77777777" w:rsidR="00165BED" w:rsidRPr="003E3F5D" w:rsidRDefault="009D4909" w:rsidP="003E3F5D">
      <w:pPr>
        <w:jc w:val="both"/>
        <w:rPr>
          <w:rFonts w:ascii="Calibri" w:eastAsia="Calibri" w:hAnsi="Calibri" w:cs="Calibri"/>
          <w:color w:val="000000"/>
          <w:sz w:val="22"/>
          <w:szCs w:val="22"/>
        </w:rPr>
      </w:pPr>
      <w:r w:rsidRPr="003E3F5D">
        <w:rPr>
          <w:rFonts w:ascii="Calibri" w:eastAsia="Calibri" w:hAnsi="Calibri" w:cs="Calibri"/>
          <w:color w:val="000000"/>
          <w:sz w:val="22"/>
          <w:szCs w:val="22"/>
        </w:rPr>
        <w:t>Todos estos discursos se inscriben en un contexto que</w:t>
      </w:r>
      <w:r w:rsidRPr="003E3F5D">
        <w:rPr>
          <w:rFonts w:ascii="Calibri" w:eastAsia="Calibri" w:hAnsi="Calibri" w:cs="Calibri"/>
          <w:sz w:val="22"/>
          <w:szCs w:val="22"/>
        </w:rPr>
        <w:t xml:space="preserve"> tiene </w:t>
      </w:r>
      <w:r w:rsidRPr="003E3F5D">
        <w:rPr>
          <w:rFonts w:ascii="Calibri" w:eastAsia="Calibri" w:hAnsi="Calibri" w:cs="Calibri"/>
          <w:color w:val="000000"/>
          <w:sz w:val="22"/>
          <w:szCs w:val="22"/>
        </w:rPr>
        <w:t>como objetivo primordial la criminalización de la protesta social y la consecuente persecución de aquellos que alienten estas medidas como modo de manifestación</w:t>
      </w:r>
      <w:r w:rsidRPr="003E3F5D">
        <w:rPr>
          <w:rFonts w:ascii="Calibri" w:eastAsia="Calibri" w:hAnsi="Calibri" w:cs="Calibri"/>
          <w:sz w:val="22"/>
          <w:szCs w:val="22"/>
        </w:rPr>
        <w:t>. De hecho, se establece</w:t>
      </w:r>
      <w:r w:rsidRPr="003E3F5D">
        <w:rPr>
          <w:rFonts w:ascii="Calibri" w:eastAsia="Calibri" w:hAnsi="Calibri" w:cs="Calibri"/>
          <w:color w:val="000000"/>
          <w:sz w:val="22"/>
          <w:szCs w:val="22"/>
        </w:rPr>
        <w:t xml:space="preserve"> la posibilidad de la judicialización de aquellos que no acaten la reglamentación establecida por el Ministerio de Seguridad de la Nación. </w:t>
      </w:r>
    </w:p>
    <w:p w14:paraId="275807AD" w14:textId="77777777" w:rsidR="00165BED" w:rsidRPr="003E3F5D" w:rsidRDefault="009D4909" w:rsidP="003E3F5D">
      <w:pPr>
        <w:tabs>
          <w:tab w:val="left" w:pos="7230"/>
        </w:tabs>
        <w:jc w:val="both"/>
        <w:rPr>
          <w:rFonts w:ascii="Calibri" w:eastAsia="Calibri" w:hAnsi="Calibri" w:cs="Calibri"/>
          <w:color w:val="000000"/>
          <w:sz w:val="22"/>
          <w:szCs w:val="22"/>
        </w:rPr>
      </w:pPr>
      <w:r w:rsidRPr="003E3F5D">
        <w:rPr>
          <w:rFonts w:ascii="Calibri" w:eastAsia="Calibri" w:hAnsi="Calibri" w:cs="Calibri"/>
          <w:color w:val="000000"/>
          <w:sz w:val="22"/>
          <w:szCs w:val="22"/>
        </w:rPr>
        <w:t xml:space="preserve">Esto se refleja particularmente a través de la propuesta de modificación de varios artículos del </w:t>
      </w:r>
      <w:r w:rsidRPr="003E3F5D">
        <w:rPr>
          <w:rFonts w:ascii="Calibri" w:eastAsia="Calibri" w:hAnsi="Calibri" w:cs="Calibri"/>
          <w:sz w:val="22"/>
          <w:szCs w:val="22"/>
        </w:rPr>
        <w:t>C</w:t>
      </w:r>
      <w:r w:rsidRPr="003E3F5D">
        <w:rPr>
          <w:rFonts w:ascii="Calibri" w:eastAsia="Calibri" w:hAnsi="Calibri" w:cs="Calibri"/>
          <w:color w:val="000000"/>
          <w:sz w:val="22"/>
          <w:szCs w:val="22"/>
        </w:rPr>
        <w:t xml:space="preserve">ódigo </w:t>
      </w:r>
      <w:r w:rsidRPr="003E3F5D">
        <w:rPr>
          <w:rFonts w:ascii="Calibri" w:eastAsia="Calibri" w:hAnsi="Calibri" w:cs="Calibri"/>
          <w:sz w:val="22"/>
          <w:szCs w:val="22"/>
        </w:rPr>
        <w:t>P</w:t>
      </w:r>
      <w:r w:rsidRPr="003E3F5D">
        <w:rPr>
          <w:rFonts w:ascii="Calibri" w:eastAsia="Calibri" w:hAnsi="Calibri" w:cs="Calibri"/>
          <w:color w:val="000000"/>
          <w:sz w:val="22"/>
          <w:szCs w:val="22"/>
        </w:rPr>
        <w:t xml:space="preserve">enal que buscan criminalizar severamente no solo a quienes marchan sino también a los organizadores, difusores, </w:t>
      </w:r>
      <w:r w:rsidRPr="003E3F5D">
        <w:rPr>
          <w:rFonts w:ascii="Calibri" w:eastAsia="Calibri" w:hAnsi="Calibri" w:cs="Calibri"/>
          <w:sz w:val="22"/>
          <w:szCs w:val="22"/>
        </w:rPr>
        <w:t>transportistas entre</w:t>
      </w:r>
      <w:r w:rsidRPr="003E3F5D">
        <w:rPr>
          <w:rFonts w:ascii="Calibri" w:eastAsia="Calibri" w:hAnsi="Calibri" w:cs="Calibri"/>
          <w:color w:val="000000"/>
          <w:sz w:val="22"/>
          <w:szCs w:val="22"/>
        </w:rPr>
        <w:t xml:space="preserve"> otros; mientras se desregula el accionar de las fuerzas de seguridad en la represión.</w:t>
      </w:r>
      <w:r w:rsidRPr="003E3F5D">
        <w:rPr>
          <w:rFonts w:ascii="Calibri" w:eastAsia="Calibri" w:hAnsi="Calibri" w:cs="Calibri"/>
          <w:i/>
          <w:color w:val="000000"/>
          <w:sz w:val="22"/>
          <w:szCs w:val="22"/>
        </w:rPr>
        <w:t xml:space="preserve"> </w:t>
      </w:r>
      <w:r w:rsidRPr="003E3F5D">
        <w:rPr>
          <w:rFonts w:ascii="Calibri" w:eastAsia="Calibri" w:hAnsi="Calibri" w:cs="Calibri"/>
          <w:color w:val="000000"/>
          <w:sz w:val="22"/>
          <w:szCs w:val="22"/>
        </w:rPr>
        <w:t xml:space="preserve"> A ello se le suman modificaciones a la reglamentación del uso de armas menos letales</w:t>
      </w:r>
      <w:r w:rsidRPr="003E3F5D">
        <w:rPr>
          <w:rFonts w:ascii="Calibri" w:eastAsia="Calibri" w:hAnsi="Calibri" w:cs="Calibri"/>
          <w:color w:val="000000"/>
          <w:sz w:val="22"/>
          <w:szCs w:val="22"/>
          <w:vertAlign w:val="superscript"/>
        </w:rPr>
        <w:footnoteReference w:id="75"/>
      </w:r>
      <w:r w:rsidRPr="003E3F5D">
        <w:rPr>
          <w:rFonts w:ascii="Calibri" w:eastAsia="Calibri" w:hAnsi="Calibri" w:cs="Calibri"/>
          <w:color w:val="000000"/>
          <w:sz w:val="22"/>
          <w:szCs w:val="22"/>
        </w:rPr>
        <w:t xml:space="preserve"> y a la normativa de inteligencia nacional.</w:t>
      </w:r>
    </w:p>
    <w:p w14:paraId="772B3908" w14:textId="77777777" w:rsidR="00165BED" w:rsidRPr="003E3F5D" w:rsidRDefault="009D4909" w:rsidP="003E3F5D">
      <w:pPr>
        <w:jc w:val="both"/>
        <w:rPr>
          <w:rFonts w:ascii="Calibri" w:eastAsia="Calibri" w:hAnsi="Calibri" w:cs="Calibri"/>
          <w:color w:val="000000"/>
          <w:sz w:val="22"/>
          <w:szCs w:val="22"/>
        </w:rPr>
      </w:pPr>
      <w:r w:rsidRPr="003E3F5D">
        <w:rPr>
          <w:rFonts w:ascii="Calibri" w:eastAsia="Calibri" w:hAnsi="Calibri" w:cs="Calibri"/>
          <w:sz w:val="22"/>
          <w:szCs w:val="22"/>
        </w:rPr>
        <w:t>Es importante destacar e</w:t>
      </w:r>
      <w:r w:rsidRPr="003E3F5D">
        <w:rPr>
          <w:rFonts w:ascii="Calibri" w:eastAsia="Calibri" w:hAnsi="Calibri" w:cs="Calibri"/>
          <w:color w:val="000000"/>
          <w:sz w:val="22"/>
          <w:szCs w:val="22"/>
        </w:rPr>
        <w:t>n</w:t>
      </w:r>
      <w:r w:rsidRPr="003E3F5D">
        <w:rPr>
          <w:rFonts w:ascii="Calibri" w:eastAsia="Calibri" w:hAnsi="Calibri" w:cs="Calibri"/>
          <w:sz w:val="22"/>
          <w:szCs w:val="22"/>
        </w:rPr>
        <w:t xml:space="preserve"> lo que respecta a esto último que </w:t>
      </w:r>
      <w:r w:rsidRPr="003E3F5D">
        <w:rPr>
          <w:rFonts w:ascii="Calibri" w:eastAsia="Calibri" w:hAnsi="Calibri" w:cs="Calibri"/>
          <w:color w:val="000000"/>
          <w:sz w:val="22"/>
          <w:szCs w:val="22"/>
        </w:rPr>
        <w:t>recientemente se han realizado modificaciones sustantivas en la ley de inteligencia 25.520 y se incrementaron los fondos reservados asignados al sistema de inteligencia.  En este sentido, el Decreto 614/24 -de fundamentos imprecisos e inconsistentes- dispone, entre otros aspectos relevantes, disolver la Agencia Federal de Inteligencia (AFI) y restituir la Secretaría de Inteligencia del Estado (SIDE). También revierte las prohibiciones a la realización de tareas de auxilia</w:t>
      </w:r>
      <w:r w:rsidRPr="003E3F5D">
        <w:rPr>
          <w:rFonts w:ascii="Calibri" w:eastAsia="Calibri" w:hAnsi="Calibri" w:cs="Calibri"/>
          <w:color w:val="000000"/>
          <w:sz w:val="22"/>
          <w:szCs w:val="22"/>
        </w:rPr>
        <w:t>r de la justicia, habilitando nuevamente los potenciales vínculos espurios entre la central de espías y la justicia. Además, posibilita la remisión de oficio de información de inteligencia a la justicia ante la detección de posibles delitos, dando luz verde al potencial uso arbitrario del instrumento de inteligencia para el armado de causas. Asimismo, se modifica la ley de personal (615/24) y se otorgan 100.000.000.000 de pesos en carácter de fondos reservados (656/24) a este nuevo esquema de inteligencia d</w:t>
      </w:r>
      <w:r w:rsidRPr="003E3F5D">
        <w:rPr>
          <w:rFonts w:ascii="Calibri" w:eastAsia="Calibri" w:hAnsi="Calibri" w:cs="Calibri"/>
          <w:color w:val="000000"/>
          <w:sz w:val="22"/>
          <w:szCs w:val="22"/>
        </w:rPr>
        <w:t>iseñado por fuera de todo estándar internacional en la materia y desnaturalizando el espíritu de la ley 25.520.</w:t>
      </w:r>
      <w:r w:rsidRPr="003E3F5D">
        <w:rPr>
          <w:rFonts w:ascii="Calibri" w:eastAsia="Calibri" w:hAnsi="Calibri" w:cs="Calibri"/>
          <w:color w:val="000000"/>
          <w:sz w:val="22"/>
          <w:szCs w:val="22"/>
          <w:vertAlign w:val="superscript"/>
        </w:rPr>
        <w:footnoteReference w:id="76"/>
      </w:r>
    </w:p>
    <w:p w14:paraId="5037E928" w14:textId="77777777" w:rsidR="00165BED" w:rsidRPr="003E3F5D" w:rsidRDefault="009D4909" w:rsidP="003E3F5D">
      <w:pPr>
        <w:jc w:val="both"/>
        <w:rPr>
          <w:rFonts w:ascii="Calibri" w:eastAsia="Calibri" w:hAnsi="Calibri" w:cs="Calibri"/>
          <w:color w:val="000000"/>
          <w:sz w:val="22"/>
          <w:szCs w:val="22"/>
        </w:rPr>
      </w:pPr>
      <w:r w:rsidRPr="003E3F5D">
        <w:rPr>
          <w:rFonts w:ascii="Calibri" w:eastAsia="Calibri" w:hAnsi="Calibri" w:cs="Calibri"/>
          <w:color w:val="000000"/>
          <w:sz w:val="22"/>
          <w:szCs w:val="22"/>
        </w:rPr>
        <w:t>En esta línea, el Ministerio de Seguridad de la Nación emitió la resolución 710/24 que crea la Unidad de Inteligencia Artificial aplicada a la Seguridad (UIAAS) en la órbita de la Dirección de Ciberdelito y Asuntos Cibernéticos, dependiente de la Unidad Gabinete de Asesores de ese Ministerio. Atento a lo expresado por especialistas en la materia, el gobierno nacional crea en este caso una dependencia oficial de patrullaje digital, invocando el uso de Inteligencia Artificial (IA) para recortar derechos const</w:t>
      </w:r>
      <w:r w:rsidRPr="003E3F5D">
        <w:rPr>
          <w:rFonts w:ascii="Calibri" w:eastAsia="Calibri" w:hAnsi="Calibri" w:cs="Calibri"/>
          <w:color w:val="000000"/>
          <w:sz w:val="22"/>
          <w:szCs w:val="22"/>
        </w:rPr>
        <w:t>itucionales, habilitando al Ministerio de Seguridad, a cargo de Patricia Bullrich, en actividades que se encuentran vedadas por los estándares existentes</w:t>
      </w:r>
      <w:r w:rsidRPr="003E3F5D">
        <w:rPr>
          <w:rFonts w:ascii="Calibri" w:eastAsia="Calibri" w:hAnsi="Calibri" w:cs="Calibri"/>
          <w:color w:val="000000"/>
          <w:sz w:val="22"/>
          <w:szCs w:val="22"/>
          <w:vertAlign w:val="superscript"/>
        </w:rPr>
        <w:footnoteReference w:id="77"/>
      </w:r>
      <w:r w:rsidRPr="003E3F5D">
        <w:rPr>
          <w:rFonts w:ascii="Calibri" w:eastAsia="Calibri" w:hAnsi="Calibri" w:cs="Calibri"/>
          <w:sz w:val="22"/>
          <w:szCs w:val="22"/>
        </w:rPr>
        <w:t>, s</w:t>
      </w:r>
      <w:r w:rsidRPr="003E3F5D">
        <w:rPr>
          <w:rFonts w:ascii="Calibri" w:eastAsia="Calibri" w:hAnsi="Calibri" w:cs="Calibri"/>
          <w:color w:val="000000"/>
          <w:sz w:val="22"/>
          <w:szCs w:val="22"/>
        </w:rPr>
        <w:t>egún el Reglamento de IA de la Unión Europea</w:t>
      </w:r>
      <w:r w:rsidRPr="003E3F5D">
        <w:rPr>
          <w:rFonts w:ascii="Calibri" w:eastAsia="Calibri" w:hAnsi="Calibri" w:cs="Calibri"/>
          <w:color w:val="000000"/>
          <w:sz w:val="22"/>
          <w:szCs w:val="22"/>
          <w:vertAlign w:val="superscript"/>
        </w:rPr>
        <w:footnoteReference w:id="78"/>
      </w:r>
      <w:r w:rsidRPr="003E3F5D">
        <w:rPr>
          <w:rFonts w:ascii="Calibri" w:eastAsia="Calibri" w:hAnsi="Calibri" w:cs="Calibri"/>
          <w:color w:val="000000"/>
          <w:sz w:val="22"/>
          <w:szCs w:val="22"/>
        </w:rPr>
        <w:t xml:space="preserve"> </w:t>
      </w:r>
    </w:p>
    <w:p w14:paraId="0BF88A1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Sumado a todo ello, la actual gestión de gobierno dictó el decreto 496/2024 por el cual podrá incluir en el “Registro público de personas vinculadas a actos de terrorismo y su financiamiento” a quienes se considere que son una amenaza actual o potencial a la seguridad de la Nación. La amplitud de esta norma está a la medida de las desmesuradas definiciones del Poder Ejecutivo Nacional y de la justicia federal: ambas instituciones han calificado los hechos ocurridos durante la manifestación del 12 de junio  </w:t>
      </w:r>
      <w:r w:rsidRPr="003E3F5D">
        <w:rPr>
          <w:rFonts w:ascii="Calibri" w:eastAsia="Calibri" w:hAnsi="Calibri" w:cs="Calibri"/>
          <w:sz w:val="22"/>
          <w:szCs w:val="22"/>
        </w:rPr>
        <w:t xml:space="preserve"> de 2024 como actos de terrorismo. La noción de “terrorismo” de la que hacen uso las autoridades del gobierno nacional remite -de manera directa- a la de la última dictadura militar: clasificar a la disidencia política como “elementos disolventes” del orden público. “El delito de terrorismo y sedición permite amplios márgenes de arbitrariedad a las fuerzas de seguridad, en este caso con la clara intención de criminalizar la protesta social. La aplicación del derecho penal frente a conductas de los participa</w:t>
      </w:r>
      <w:r w:rsidRPr="003E3F5D">
        <w:rPr>
          <w:rFonts w:ascii="Calibri" w:eastAsia="Calibri" w:hAnsi="Calibri" w:cs="Calibri"/>
          <w:sz w:val="22"/>
          <w:szCs w:val="22"/>
        </w:rPr>
        <w:t>ntes en una manifestación constituye una restricción grave y con serias consecuencias para la libertad de expresión y los derechos de reunión, asociación y participación política, que solo pueden utilizarse de modo muy excepcional y está sujeto a un mayor nivel de escrutinio”</w:t>
      </w:r>
      <w:r w:rsidRPr="003E3F5D">
        <w:rPr>
          <w:rFonts w:ascii="Calibri" w:eastAsia="Calibri" w:hAnsi="Calibri" w:cs="Calibri"/>
          <w:sz w:val="22"/>
          <w:szCs w:val="22"/>
          <w:vertAlign w:val="superscript"/>
        </w:rPr>
        <w:footnoteReference w:id="79"/>
      </w:r>
      <w:r w:rsidRPr="003E3F5D">
        <w:rPr>
          <w:rFonts w:ascii="Calibri" w:eastAsia="Calibri" w:hAnsi="Calibri" w:cs="Calibri"/>
          <w:sz w:val="22"/>
          <w:szCs w:val="22"/>
        </w:rPr>
        <w:t>.</w:t>
      </w:r>
    </w:p>
    <w:p w14:paraId="58D72132"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Sumado a ello, el 20 de febrero de 2025 el senado sancionó la Ley 27.786, conocida como “Antimafias”</w:t>
      </w:r>
      <w:r w:rsidRPr="003E3F5D">
        <w:rPr>
          <w:rFonts w:ascii="Calibri" w:eastAsia="Calibri" w:hAnsi="Calibri" w:cs="Calibri"/>
          <w:sz w:val="22"/>
          <w:szCs w:val="22"/>
          <w:vertAlign w:val="superscript"/>
        </w:rPr>
        <w:footnoteReference w:id="80"/>
      </w:r>
      <w:r w:rsidRPr="003E3F5D">
        <w:rPr>
          <w:rFonts w:ascii="Calibri" w:eastAsia="Calibri" w:hAnsi="Calibri" w:cs="Calibri"/>
          <w:sz w:val="22"/>
          <w:szCs w:val="22"/>
        </w:rPr>
        <w:t xml:space="preserve"> presentada como análoga a la ley RICO de Estados Unidos. La misma habilita a los fiscales y al ministerio de seguridad a establecer una “Zona de investigación especial” creando la posibilidad de un estado de sitio de facto sin intervención alguna del Congreso Nacional en clara contraposición con la Constitución Nacional</w:t>
      </w:r>
      <w:r w:rsidRPr="003E3F5D">
        <w:rPr>
          <w:rFonts w:ascii="Calibri" w:eastAsia="Calibri" w:hAnsi="Calibri" w:cs="Calibri"/>
          <w:sz w:val="22"/>
          <w:szCs w:val="22"/>
          <w:vertAlign w:val="superscript"/>
        </w:rPr>
        <w:footnoteReference w:id="81"/>
      </w:r>
      <w:r w:rsidRPr="003E3F5D">
        <w:rPr>
          <w:rFonts w:ascii="Calibri" w:eastAsia="Calibri" w:hAnsi="Calibri" w:cs="Calibri"/>
          <w:sz w:val="22"/>
          <w:szCs w:val="22"/>
        </w:rPr>
        <w:t>. Así, con la declaración de zona especial (indeterminada en cuanto a su tamaño) la policía o fiscal puede detener personas sin orden judicial por plazo de hasta 30 días dejando de lado las garantías constitucionales y procesales bajo la premisa de combatir bandas delictivas. Cabe agregar que Argentina ya ha sido condenada por la Corte Interamericana por esquemas normativos que permitan el arresto sin orden judicial, y en el presente caso, la propia de redacción de la norma da cuenta la discrecionalidad que</w:t>
      </w:r>
      <w:r w:rsidRPr="003E3F5D">
        <w:rPr>
          <w:rFonts w:ascii="Calibri" w:eastAsia="Calibri" w:hAnsi="Calibri" w:cs="Calibri"/>
          <w:sz w:val="22"/>
          <w:szCs w:val="22"/>
        </w:rPr>
        <w:t xml:space="preserve"> se le otorga a las fuerzas de seguridad y al poder ejecutivo, lesionando el principio de legalidad, desconociendo las garantías procesales; claramente destinado a aumentar la represión sobre los sectores históricamente vulnerados</w:t>
      </w:r>
      <w:r w:rsidRPr="003E3F5D">
        <w:rPr>
          <w:rFonts w:ascii="Calibri" w:eastAsia="Calibri" w:hAnsi="Calibri" w:cs="Calibri"/>
          <w:sz w:val="22"/>
          <w:szCs w:val="22"/>
          <w:vertAlign w:val="superscript"/>
        </w:rPr>
        <w:footnoteReference w:id="82"/>
      </w:r>
      <w:r w:rsidRPr="003E3F5D">
        <w:rPr>
          <w:rFonts w:ascii="Calibri" w:eastAsia="Calibri" w:hAnsi="Calibri" w:cs="Calibri"/>
          <w:sz w:val="22"/>
          <w:szCs w:val="22"/>
        </w:rPr>
        <w:t xml:space="preserve"> en vez de combatir el crimen organizado. De mas esta agregar que dicha ley contribuye a la arbitrariedad con que las fuerzas de seguridad utilizarán dicha habilitación durante las manifestaciones públicas, que de acuerdo a la laxa descripción de la normativa, pueden incluirse en las categorías habilitantes de estas zonas especiales. </w:t>
      </w:r>
    </w:p>
    <w:p w14:paraId="502170E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En la misma línea, el senado aprobó la ley de reiterancia. Según la ley el concepto consiste en “la imputación en una causa penal en forma coexistente con otro u otros procesos en los que la misma persona hubiera sido imputada”. Esto implica acumulación de expedientes penales abiertos en los que una persona se encuentra mencionada, aun sin que esté procesada o condenada, y que serán tenidos en cuenta para la decisión judicial en materia de prisión preventiva, que ya de por si es utilizada como regla y no co</w:t>
      </w:r>
      <w:r w:rsidRPr="003E3F5D">
        <w:rPr>
          <w:rFonts w:ascii="Calibri" w:eastAsia="Calibri" w:hAnsi="Calibri" w:cs="Calibri"/>
          <w:sz w:val="22"/>
          <w:szCs w:val="22"/>
        </w:rPr>
        <w:t>mo excepción en nuestro país</w:t>
      </w:r>
      <w:r w:rsidRPr="003E3F5D">
        <w:rPr>
          <w:rFonts w:ascii="Calibri" w:eastAsia="Calibri" w:hAnsi="Calibri" w:cs="Calibri"/>
          <w:sz w:val="22"/>
          <w:szCs w:val="22"/>
          <w:vertAlign w:val="superscript"/>
        </w:rPr>
        <w:footnoteReference w:id="83"/>
      </w:r>
      <w:r w:rsidRPr="003E3F5D">
        <w:rPr>
          <w:rFonts w:ascii="Calibri" w:eastAsia="Calibri" w:hAnsi="Calibri" w:cs="Calibri"/>
          <w:sz w:val="22"/>
          <w:szCs w:val="22"/>
        </w:rPr>
        <w:t>. Ello atenta flagrantemente contra el principio de inocencia. Si bien tiene varias implicaciones en materia de garantías penales, en un escenario de creciente criminalización de la protesta, el concepto de ‘reiterancia’</w:t>
      </w:r>
      <w:r w:rsidRPr="003E3F5D">
        <w:rPr>
          <w:rFonts w:ascii="Calibri" w:eastAsia="Calibri" w:hAnsi="Calibri" w:cs="Calibri"/>
          <w:sz w:val="22"/>
          <w:szCs w:val="22"/>
          <w:vertAlign w:val="superscript"/>
        </w:rPr>
        <w:footnoteReference w:id="84"/>
      </w:r>
      <w:r w:rsidRPr="003E3F5D">
        <w:rPr>
          <w:rFonts w:ascii="Calibri" w:eastAsia="Calibri" w:hAnsi="Calibri" w:cs="Calibri"/>
          <w:sz w:val="22"/>
          <w:szCs w:val="22"/>
        </w:rPr>
        <w:t xml:space="preserve"> será clave como argumento para dictar prisión preventiva a manifestantes</w:t>
      </w:r>
      <w:r w:rsidRPr="003E3F5D">
        <w:rPr>
          <w:rFonts w:ascii="Calibri" w:eastAsia="Calibri" w:hAnsi="Calibri" w:cs="Calibri"/>
          <w:sz w:val="22"/>
          <w:szCs w:val="22"/>
          <w:vertAlign w:val="superscript"/>
        </w:rPr>
        <w:footnoteReference w:id="85"/>
      </w:r>
      <w:r w:rsidRPr="003E3F5D">
        <w:rPr>
          <w:rFonts w:ascii="Calibri" w:eastAsia="Calibri" w:hAnsi="Calibri" w:cs="Calibri"/>
          <w:sz w:val="22"/>
          <w:szCs w:val="22"/>
        </w:rPr>
        <w:t>, que con el simple hecho de ser mencionados por las fuerzas de seguridad en más de una denuncia, podrán ser privados de su libertad de forma indeterminada.</w:t>
      </w:r>
    </w:p>
    <w:p w14:paraId="2DF428E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La criminalización</w:t>
      </w:r>
      <w:r w:rsidRPr="003E3F5D">
        <w:rPr>
          <w:rFonts w:ascii="Calibri" w:eastAsia="Calibri" w:hAnsi="Calibri" w:cs="Calibri"/>
          <w:sz w:val="22"/>
          <w:szCs w:val="22"/>
          <w:vertAlign w:val="superscript"/>
        </w:rPr>
        <w:footnoteReference w:id="86"/>
      </w:r>
      <w:r w:rsidRPr="003E3F5D">
        <w:rPr>
          <w:rFonts w:ascii="Calibri" w:eastAsia="Calibri" w:hAnsi="Calibri" w:cs="Calibri"/>
          <w:sz w:val="22"/>
          <w:szCs w:val="22"/>
        </w:rPr>
        <w:t xml:space="preserve"> de personas que participen en manifestaciones públicas o que las lideren no solo tiene impacto sobre el derecho de libertad de expresión y reunión, sino también efectos graves y sistémicos sobre el ejercicio de los derechos de libertad de asociación y de participación política. En particular, la criminalización genera una serie de impactos sobre el libre funcionamiento y articulación de las organizaciones, partidos políticos, sindicatos, redes, movimientos u otros grupos a los que pertenecen las personas i</w:t>
      </w:r>
      <w:r w:rsidRPr="003E3F5D">
        <w:rPr>
          <w:rFonts w:ascii="Calibri" w:eastAsia="Calibri" w:hAnsi="Calibri" w:cs="Calibri"/>
          <w:sz w:val="22"/>
          <w:szCs w:val="22"/>
        </w:rPr>
        <w:t>mputadas.</w:t>
      </w:r>
    </w:p>
    <w:p w14:paraId="0AD2E6FD" w14:textId="77777777" w:rsidR="00165BED" w:rsidRPr="003E3F5D" w:rsidRDefault="009D4909" w:rsidP="003E3F5D">
      <w:pPr>
        <w:tabs>
          <w:tab w:val="left" w:pos="567"/>
        </w:tabs>
        <w:jc w:val="both"/>
        <w:rPr>
          <w:rFonts w:ascii="Calibri" w:eastAsia="Calibri" w:hAnsi="Calibri" w:cs="Calibri"/>
          <w:color w:val="000000"/>
          <w:sz w:val="22"/>
          <w:szCs w:val="22"/>
        </w:rPr>
      </w:pPr>
      <w:r w:rsidRPr="003E3F5D">
        <w:rPr>
          <w:rFonts w:ascii="Calibri" w:eastAsia="Calibri" w:hAnsi="Calibri" w:cs="Calibri"/>
          <w:color w:val="000000"/>
          <w:sz w:val="22"/>
          <w:szCs w:val="22"/>
        </w:rPr>
        <w:t>Solo a modo de mención en el desarrollo de las tareas de monitoreo</w:t>
      </w:r>
      <w:r w:rsidRPr="003E3F5D">
        <w:rPr>
          <w:rFonts w:ascii="Calibri" w:eastAsia="Calibri" w:hAnsi="Calibri" w:cs="Calibri"/>
          <w:color w:val="000000"/>
          <w:sz w:val="22"/>
          <w:szCs w:val="22"/>
          <w:vertAlign w:val="superscript"/>
        </w:rPr>
        <w:footnoteReference w:id="87"/>
      </w:r>
      <w:r w:rsidRPr="003E3F5D">
        <w:rPr>
          <w:rFonts w:ascii="Calibri" w:eastAsia="Calibri" w:hAnsi="Calibri" w:cs="Calibri"/>
          <w:color w:val="000000"/>
          <w:sz w:val="22"/>
          <w:szCs w:val="22"/>
        </w:rPr>
        <w:t xml:space="preserve"> fueron registradas las siguientes transgresiones a estándares internacionales: Portación de arma de fuego por parte de agentes partícipes de las movilizaciones, utilización indebida de armas menos letales, actuación irregular del cuerpo motorizado de las diferentes fuerzas de seguridad registradas, el uso de fuerzas intermedias: el caso de Gendarmería Nacional y Prefectura Naval Argentina, detenciones arbitrarias, agresión a trabajadores de medios de comunicación y defensores de derechos humanos. En dicho </w:t>
      </w:r>
      <w:r w:rsidRPr="003E3F5D">
        <w:rPr>
          <w:rFonts w:ascii="Calibri" w:eastAsia="Calibri" w:hAnsi="Calibri" w:cs="Calibri"/>
          <w:color w:val="000000"/>
          <w:sz w:val="22"/>
          <w:szCs w:val="22"/>
        </w:rPr>
        <w:t xml:space="preserve">contexto, un marco de represión y detención arbitraria con un marco jurídico habilitante impacta directamente en la materialización de los estándares contra la tortura. </w:t>
      </w:r>
    </w:p>
    <w:p w14:paraId="57F4380C" w14:textId="77777777" w:rsidR="00165BED" w:rsidRPr="003E3F5D" w:rsidRDefault="00165BED" w:rsidP="003E3F5D">
      <w:pPr>
        <w:tabs>
          <w:tab w:val="left" w:pos="567"/>
        </w:tabs>
        <w:jc w:val="both"/>
        <w:rPr>
          <w:rFonts w:ascii="Calibri" w:eastAsia="Calibri" w:hAnsi="Calibri" w:cs="Calibri"/>
          <w:color w:val="000000"/>
          <w:sz w:val="22"/>
          <w:szCs w:val="22"/>
        </w:rPr>
      </w:pPr>
    </w:p>
    <w:p w14:paraId="4F1710C8" w14:textId="77777777" w:rsidR="00165BED" w:rsidRPr="003E3F5D" w:rsidRDefault="009D4909" w:rsidP="003E3F5D">
      <w:pPr>
        <w:pStyle w:val="Heading1"/>
        <w:jc w:val="both"/>
        <w:rPr>
          <w:rFonts w:ascii="Calibri" w:eastAsia="Calibri" w:hAnsi="Calibri" w:cs="Calibri"/>
          <w:sz w:val="22"/>
          <w:szCs w:val="22"/>
        </w:rPr>
      </w:pPr>
      <w:bookmarkStart w:id="59" w:name="_Toc211292099"/>
      <w:r w:rsidRPr="003E3F5D">
        <w:rPr>
          <w:rFonts w:ascii="Calibri" w:eastAsia="Calibri" w:hAnsi="Calibri" w:cs="Calibri"/>
          <w:sz w:val="22"/>
          <w:szCs w:val="22"/>
        </w:rPr>
        <w:t>Conclusiones</w:t>
      </w:r>
      <w:bookmarkEnd w:id="59"/>
    </w:p>
    <w:p w14:paraId="42EB9C20"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Como se ha podido observar, el informe del Estado argentino, sin bien revela ciertos avances no se condice con las condiciones materiales bajo las que viven las personas bajo su custodia. </w:t>
      </w:r>
    </w:p>
    <w:p w14:paraId="63D15ECD"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Si bien existe una normativa que abarca en gran medida las acciones que promoverían un cumplimiento parcial de la Convención, es claro que en el monitoreo diario que realiza la CPM se puede observar que dicha normativa no se materializa, sea por falta de fondos, falta de infraestructura, falta de capacitación, pero principalmente por falta de voluntad política de los organismos que deberían asegurar los medidos para prevenir, sancionar y erradicar la tortura en la Provincia de Buenos aires en particular, y </w:t>
      </w:r>
      <w:r w:rsidRPr="003E3F5D">
        <w:rPr>
          <w:rFonts w:ascii="Calibri" w:eastAsia="Calibri" w:hAnsi="Calibri" w:cs="Calibri"/>
          <w:sz w:val="22"/>
          <w:szCs w:val="22"/>
        </w:rPr>
        <w:t>en Argentina en general.</w:t>
      </w:r>
    </w:p>
    <w:p w14:paraId="722EBCE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Del presente informe se observan las condiciones de detención que reproducen un sistema de tortura institucionalizado, dicho sistema no solo viene perpetuado por las practicas penitenciarias y policiales, sino que se sostiene gracias a la impunidad ante la deficiente investigación de los hechos acaecidos en su marco de actuación. La estructura actual (que en este momento está en funcionamiento) del poder judicial bonaerense, no da cuenta de los estándares internacionales en materia de investigación de poten</w:t>
      </w:r>
      <w:r w:rsidRPr="003E3F5D">
        <w:rPr>
          <w:rFonts w:ascii="Calibri" w:eastAsia="Calibri" w:hAnsi="Calibri" w:cs="Calibri"/>
          <w:sz w:val="22"/>
          <w:szCs w:val="22"/>
        </w:rPr>
        <w:t>ciales hechos de tortura o de cualquier tipo de violencia institucional, por lo tanto el sistema se perpetua con la venia de las instituciones que deberían asegurar su sanción.</w:t>
      </w:r>
    </w:p>
    <w:p w14:paraId="0610FED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Durante años la CPM ha denunciado la diferencia entre la estructura normativa, la práctica judicial y las condiciones de detención. Aun así en los últimos años también nos encontramos con una regresión en materia jurídica, y una prevalencia del discurso punitivista cristalizado en diversas leyes y decretos del 2024 y 2025 ya mencionados.</w:t>
      </w:r>
    </w:p>
    <w:p w14:paraId="550D8F17"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Esto nos deja en una situación aún más compleja que la enunciada por este Honorable Comité en sus últimas observaciones al Estado Argentino. Actualmente el desfase en materia de derechos humanos no es solo entre normativa y práctica penitenciaria/policial o judicial sino que ahora nos encontramos con un marco normativo legitimante de las prácticas abusivas de las fuerzas del orden. </w:t>
      </w:r>
    </w:p>
    <w:p w14:paraId="04375168" w14:textId="77777777" w:rsidR="00165BED" w:rsidRPr="003E3F5D" w:rsidRDefault="00165BED" w:rsidP="003E3F5D">
      <w:pPr>
        <w:jc w:val="both"/>
        <w:rPr>
          <w:rFonts w:ascii="Calibri" w:eastAsia="Calibri" w:hAnsi="Calibri" w:cs="Calibri"/>
          <w:color w:val="FF0000"/>
          <w:sz w:val="22"/>
          <w:szCs w:val="22"/>
        </w:rPr>
      </w:pPr>
    </w:p>
    <w:p w14:paraId="593AB369" w14:textId="77777777" w:rsidR="00165BED" w:rsidRPr="003E3F5D" w:rsidRDefault="009D4909" w:rsidP="003E3F5D">
      <w:pPr>
        <w:pStyle w:val="Heading1"/>
        <w:jc w:val="both"/>
        <w:rPr>
          <w:rFonts w:ascii="Calibri" w:eastAsia="Calibri" w:hAnsi="Calibri" w:cs="Calibri"/>
          <w:sz w:val="22"/>
          <w:szCs w:val="22"/>
        </w:rPr>
      </w:pPr>
      <w:bookmarkStart w:id="60" w:name="_Toc211292100"/>
      <w:r w:rsidRPr="003E3F5D">
        <w:rPr>
          <w:rFonts w:ascii="Calibri" w:eastAsia="Calibri" w:hAnsi="Calibri" w:cs="Calibri"/>
          <w:sz w:val="22"/>
          <w:szCs w:val="22"/>
        </w:rPr>
        <w:t>Recomendaciones</w:t>
      </w:r>
      <w:bookmarkEnd w:id="60"/>
      <w:r w:rsidRPr="003E3F5D">
        <w:rPr>
          <w:rFonts w:ascii="Calibri" w:eastAsia="Calibri" w:hAnsi="Calibri" w:cs="Calibri"/>
          <w:sz w:val="22"/>
          <w:szCs w:val="22"/>
        </w:rPr>
        <w:t xml:space="preserve"> </w:t>
      </w:r>
    </w:p>
    <w:p w14:paraId="3C019890" w14:textId="77777777" w:rsidR="00165BED" w:rsidRPr="003E3F5D" w:rsidRDefault="00165BED" w:rsidP="003E3F5D">
      <w:pPr>
        <w:jc w:val="both"/>
        <w:rPr>
          <w:rFonts w:ascii="Calibri" w:eastAsia="Calibri" w:hAnsi="Calibri" w:cs="Calibri"/>
          <w:sz w:val="22"/>
          <w:szCs w:val="22"/>
        </w:rPr>
      </w:pPr>
    </w:p>
    <w:p w14:paraId="2446A8DA" w14:textId="77777777" w:rsidR="00165BED" w:rsidRPr="003E3F5D" w:rsidRDefault="009D4909" w:rsidP="003E3F5D">
      <w:pPr>
        <w:jc w:val="both"/>
        <w:rPr>
          <w:rFonts w:ascii="Calibri" w:hAnsi="Calibri" w:cs="Calibri"/>
          <w:sz w:val="22"/>
          <w:szCs w:val="22"/>
        </w:rPr>
      </w:pPr>
      <w:r w:rsidRPr="003E3F5D">
        <w:rPr>
          <w:rFonts w:ascii="Calibri" w:hAnsi="Calibri" w:cs="Calibri"/>
          <w:sz w:val="22"/>
          <w:szCs w:val="22"/>
        </w:rPr>
        <w:t>En términos generales,</w:t>
      </w:r>
    </w:p>
    <w:p w14:paraId="45C8732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estado argentino debe adecuar la legislación procesal penal en materia de prisión preventiva y excarcelación y demás alternativas o morigeraciones y la legislación de ejecución penal y penitenciaria, a los estándares constitucionales e internacionales. </w:t>
      </w:r>
    </w:p>
    <w:p w14:paraId="35F7B08F"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estado argentino debe crear una infraestructura publica con las debidas garantias institucionales para desmantelar el sistema de tortura que se depliega en las calles, carceles y comisarias de todo el territorio Nacional. Para ello el Estado argentino debe promover instancias de articulación institucional teniendo como modelo las mesas de trabajo que en la provincia de Buenos Aires se han dado en el marco de la causa Verbitsky. </w:t>
      </w:r>
    </w:p>
    <w:p w14:paraId="7A3D39A9"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 xml:space="preserve">El Estado argentino debe garantizar la coordinación efectiva de las instituciones de salud y las instituciones de encierro para asegurar la plena efectivización de los derechos de los detenidos, impidiendo que el acceso a un tratamiento médico adecuado sea arbitrariamente dispuesto. </w:t>
      </w:r>
    </w:p>
    <w:p w14:paraId="19D9EED3"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estado argentino debe re adecuar su legislación en materia de intervención en las manifestaciones públicas para garantizar el derecho a la libertad de expresión y a la integridad personal, prohibiendo las detenciones arbitrarias, el uso de armas prohibidas, la intervención de organismos de inteligencia y de las fuerzas armadas.</w:t>
      </w:r>
    </w:p>
    <w:p w14:paraId="58ABD3D1" w14:textId="77777777" w:rsidR="00165BED" w:rsidRPr="003E3F5D" w:rsidRDefault="009D4909" w:rsidP="003E3F5D">
      <w:pPr>
        <w:jc w:val="both"/>
        <w:rPr>
          <w:rFonts w:ascii="Calibri" w:eastAsia="Calibri" w:hAnsi="Calibri" w:cs="Calibri"/>
          <w:sz w:val="22"/>
          <w:szCs w:val="22"/>
        </w:rPr>
      </w:pPr>
      <w:r w:rsidRPr="003E3F5D">
        <w:rPr>
          <w:rFonts w:ascii="Calibri" w:eastAsia="Calibri" w:hAnsi="Calibri" w:cs="Calibri"/>
          <w:sz w:val="22"/>
          <w:szCs w:val="22"/>
        </w:rPr>
        <w:t>El estado debe diseñar un Protocolo para el tratamiento de causas de violencia institucional que marque las pautas para todas las investigaciones, fijando estándares de actuación para las agencias judiciales involucradas, promoviendo la articulación y la cooperación interinstitucional que permitan proteger los derechos de las víctimas, sancionar a los responsables, brindar la garantía de no repetición y, finalmente, desmontar una práctica que por su carácter sistemático resulta deshumanizante y es agraviant</w:t>
      </w:r>
      <w:r w:rsidRPr="003E3F5D">
        <w:rPr>
          <w:rFonts w:ascii="Calibri" w:eastAsia="Calibri" w:hAnsi="Calibri" w:cs="Calibri"/>
          <w:sz w:val="22"/>
          <w:szCs w:val="22"/>
        </w:rPr>
        <w:t>e para el Estado de Derecho.</w:t>
      </w:r>
    </w:p>
    <w:p w14:paraId="52E9D77C" w14:textId="77777777" w:rsidR="00165BED" w:rsidRPr="003E3F5D" w:rsidRDefault="00165BED" w:rsidP="003E3F5D">
      <w:pPr>
        <w:jc w:val="both"/>
        <w:rPr>
          <w:rFonts w:ascii="Calibri" w:eastAsia="Calibri" w:hAnsi="Calibri" w:cs="Calibri"/>
          <w:sz w:val="22"/>
          <w:szCs w:val="22"/>
        </w:rPr>
      </w:pPr>
    </w:p>
    <w:p w14:paraId="6FFC92BA"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sz w:val="22"/>
          <w:szCs w:val="22"/>
        </w:rPr>
        <w:t>En particular,</w:t>
      </w:r>
    </w:p>
    <w:p w14:paraId="4795CBE0"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Reiterar la recomendación del Comité para evitar las demoras y aprehensiones sin orden judicial salvo los casos de estricta flagrancia. Se inste al poder legislativo a que legisle de manera precisa los supuestos de flagrancia para que no permitan su uso discrecional. </w:t>
      </w:r>
    </w:p>
    <w:p w14:paraId="58BB3634"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Limitar la intervención policial en la aprehensión de NNA, sólo a los casos de delitos flagrantes. Se garantice la intervención inmediata de equipos especializados en niñez y se derive de manera inmediata a centros de detención especializados sin paso previo o detención en dependencias policiales. Se garantice que la revisión médica independiente se realice en estos centros especializados.</w:t>
      </w:r>
    </w:p>
    <w:p w14:paraId="211B3CF6"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Reiterar el cumplimiento de la prohibición de alojamiento en comisarías de mujeres embarazadas o con hijos pequeños, personas enfermas o con tratamientos médicos y personas adultas mayores.   </w:t>
      </w:r>
    </w:p>
    <w:p w14:paraId="2CFE7B91"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Disponer medidas para evitar la permanencia de personas en dependencias policiales por períodos prolongados mayores a 48 hs. Establecer criterios específicos para la disposición de medidas alternativas al encierro cuando este estándar no pueda cumplirse y la permanencia implique agravamiento de las condiciones de detención o riesgo a la integridad física o la vida.</w:t>
      </w:r>
    </w:p>
    <w:p w14:paraId="39D7271E"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Prohibir la aprehensión o detención y el ingreso a dependencias policiales, de personas que se encuentran atravesando cuadros asociados a padecimientos del orden de la salud mental o de quienes se tenga indicios que atraviesan consumos problemáticos. Requerir la aplicación de protocolos para la intervención de equipos de salud integral especializados. </w:t>
      </w:r>
    </w:p>
    <w:p w14:paraId="0E0481A5"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Elaborar un programa de adecuación de la infraestructura de comisarías siguiendo lo indicado por los Lineamientos sobre capacidad y condiciones de privación de libertad en lugares de detención provisoria del CNPT. Es recomendable que ese programa detalle el plazo previsto para la realización de las obras contemplando la disponibilidad de los fondos requeridos. </w:t>
      </w:r>
    </w:p>
    <w:p w14:paraId="5DEE3EF4"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Elaborar un protocolo específico que regule todos los aspectos asociados al registro, permanencia y derivación de las personas privadas de la libertad en dependencias de alojamiento provisorio</w:t>
      </w:r>
    </w:p>
    <w:p w14:paraId="17F1F055"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Adaptar las regulaciones sobre uso de la fuerza letal a los estándares internacionales. En particular revise la resolución 956/2018 adaptándola a los estándares internacionales sobre uso de la fuerza. </w:t>
      </w:r>
    </w:p>
    <w:p w14:paraId="379DB09D"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Crear un registro de manera centralizada y fehaciente de los casos en que sus agentes producen la muerte. </w:t>
      </w:r>
    </w:p>
    <w:p w14:paraId="378D58AB" w14:textId="77777777" w:rsidR="00165BED" w:rsidRPr="003E3F5D" w:rsidRDefault="009D4909" w:rsidP="003E3F5D">
      <w:pPr>
        <w:numPr>
          <w:ilvl w:val="0"/>
          <w:numId w:val="6"/>
        </w:numPr>
        <w:jc w:val="both"/>
        <w:rPr>
          <w:rFonts w:ascii="Calibri" w:eastAsia="Calibri" w:hAnsi="Calibri" w:cs="Calibri"/>
          <w:sz w:val="22"/>
          <w:szCs w:val="22"/>
        </w:rPr>
      </w:pPr>
      <w:r w:rsidRPr="003E3F5D">
        <w:rPr>
          <w:rFonts w:ascii="Calibri" w:eastAsia="Calibri" w:hAnsi="Calibri" w:cs="Calibri"/>
          <w:sz w:val="22"/>
          <w:szCs w:val="22"/>
        </w:rPr>
        <w:t>Derogar normativa que establece el estado policial y el requerimiento de intervención policial más allá del horario de servicio. Se limite la portación y uso del arma reglamentaria cuando el personal se encuentra fuera de servicio.</w:t>
      </w:r>
    </w:p>
    <w:p w14:paraId="448F6599"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 xml:space="preserve">Sobre las salvaguardias: </w:t>
      </w:r>
    </w:p>
    <w:p w14:paraId="4C397161"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Crear en la órbita de los efectores de salud dispositivos que garanticen la revisión médica independiente y en condiciones de confidencialidad de las personas detenidas. Se establezcan pautas que incorporen los principios del protocolo de Estambul.</w:t>
      </w:r>
    </w:p>
    <w:p w14:paraId="52BF6510"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 xml:space="preserve">Disponer el acceso de las personas alojadas en dependencias policiales a mecanismos de comunicación que garanticen confidencialidad. Se habilite de manera regulada el acceso a dispositivos celulares. </w:t>
      </w:r>
    </w:p>
    <w:p w14:paraId="1394F3F4" w14:textId="77777777" w:rsidR="00165BED" w:rsidRPr="003E3F5D" w:rsidRDefault="009D4909" w:rsidP="003E3F5D">
      <w:pPr>
        <w:numPr>
          <w:ilvl w:val="0"/>
          <w:numId w:val="6"/>
        </w:numPr>
        <w:spacing w:after="0"/>
        <w:jc w:val="both"/>
        <w:rPr>
          <w:rFonts w:ascii="Calibri" w:eastAsia="Calibri" w:hAnsi="Calibri" w:cs="Calibri"/>
          <w:sz w:val="22"/>
          <w:szCs w:val="22"/>
        </w:rPr>
      </w:pPr>
      <w:r w:rsidRPr="003E3F5D">
        <w:rPr>
          <w:rFonts w:ascii="Calibri" w:eastAsia="Calibri" w:hAnsi="Calibri" w:cs="Calibri"/>
          <w:sz w:val="22"/>
          <w:szCs w:val="22"/>
        </w:rPr>
        <w:t>Garantizar asistencia legal inmediata de las defensorías públicas a todas las personas que sean aprehendidas más allá de que se encuentren o no imputadas, de manera efectiva, pronta y en condiciones de confidencialidad.</w:t>
      </w:r>
    </w:p>
    <w:p w14:paraId="545F82A6" w14:textId="77777777" w:rsidR="00165BED" w:rsidRPr="003E3F5D" w:rsidRDefault="009D4909" w:rsidP="003E3F5D">
      <w:pPr>
        <w:numPr>
          <w:ilvl w:val="0"/>
          <w:numId w:val="6"/>
        </w:numPr>
        <w:jc w:val="both"/>
        <w:rPr>
          <w:rFonts w:ascii="Calibri" w:eastAsia="Calibri" w:hAnsi="Calibri" w:cs="Calibri"/>
          <w:sz w:val="22"/>
          <w:szCs w:val="22"/>
        </w:rPr>
      </w:pPr>
      <w:r w:rsidRPr="003E3F5D">
        <w:rPr>
          <w:rFonts w:ascii="Calibri" w:eastAsia="Calibri" w:hAnsi="Calibri" w:cs="Calibri"/>
          <w:sz w:val="22"/>
          <w:szCs w:val="22"/>
        </w:rPr>
        <w:t>Garantizar la comunicación inmediata de la persona detenida con una persona de su confianza.</w:t>
      </w:r>
    </w:p>
    <w:p w14:paraId="6F23FE2E"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Sobre las patrullas municipales</w:t>
      </w:r>
    </w:p>
    <w:p w14:paraId="52DB2FC8" w14:textId="77777777" w:rsidR="00165BED" w:rsidRPr="003E3F5D" w:rsidRDefault="009D4909" w:rsidP="003E3F5D">
      <w:pPr>
        <w:numPr>
          <w:ilvl w:val="0"/>
          <w:numId w:val="1"/>
        </w:num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Evitar la asunción  o</w:t>
      </w:r>
      <w:r w:rsidRPr="003E3F5D">
        <w:rPr>
          <w:rFonts w:ascii="Calibri" w:eastAsia="Calibri" w:hAnsi="Calibri" w:cs="Calibri"/>
          <w:sz w:val="22"/>
          <w:szCs w:val="22"/>
        </w:rPr>
        <w:t xml:space="preserve"> delegación ilegal de facultades policiales pertenecientes al estado provincial o federal por parte de los cuerpos municipales de prevención, tales como guardias o patrullas urbanas. </w:t>
      </w:r>
    </w:p>
    <w:p w14:paraId="3DC4FC46" w14:textId="77777777" w:rsidR="00165BED" w:rsidRPr="003E3F5D" w:rsidRDefault="009D4909" w:rsidP="003E3F5D">
      <w:pPr>
        <w:numPr>
          <w:ilvl w:val="0"/>
          <w:numId w:val="1"/>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Evitar cualquier intervención que implique aprehensiones o cacheos. </w:t>
      </w:r>
    </w:p>
    <w:p w14:paraId="490EE37E" w14:textId="77777777" w:rsidR="00165BED" w:rsidRPr="003E3F5D" w:rsidRDefault="009D4909" w:rsidP="003E3F5D">
      <w:pPr>
        <w:numPr>
          <w:ilvl w:val="0"/>
          <w:numId w:val="1"/>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Impulsar medidas para evitar todo tipo de torturas, malos tratos incluidas prácticas discriminatorias o sustracción de pertenencias indispensables para la subsistencia.  </w:t>
      </w:r>
    </w:p>
    <w:p w14:paraId="5B3A3F59" w14:textId="77777777" w:rsidR="00165BED" w:rsidRPr="003E3F5D" w:rsidRDefault="009D4909" w:rsidP="003E3F5D">
      <w:pPr>
        <w:numPr>
          <w:ilvl w:val="0"/>
          <w:numId w:val="1"/>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En particular, abstenerse de realizar estas prácticas respecto de colectivos especialmente vulnerables tales como vendedores ambulantes, personas en situación de calle o con padecimientos de salud mental. En estos casos, se disponga la intervención de dispositivos asistenciales.</w:t>
      </w:r>
    </w:p>
    <w:p w14:paraId="649D2CB8" w14:textId="77777777" w:rsidR="00165BED" w:rsidRPr="003E3F5D" w:rsidRDefault="009D4909" w:rsidP="003E3F5D">
      <w:pPr>
        <w:numPr>
          <w:ilvl w:val="0"/>
          <w:numId w:val="1"/>
        </w:numPr>
        <w:spacing w:after="240" w:line="360" w:lineRule="auto"/>
        <w:jc w:val="both"/>
        <w:rPr>
          <w:rFonts w:ascii="Calibri" w:eastAsia="Calibri" w:hAnsi="Calibri" w:cs="Calibri"/>
          <w:sz w:val="22"/>
          <w:szCs w:val="22"/>
        </w:rPr>
      </w:pPr>
      <w:r w:rsidRPr="003E3F5D">
        <w:rPr>
          <w:rFonts w:ascii="Calibri" w:eastAsia="Calibri" w:hAnsi="Calibri" w:cs="Calibri"/>
          <w:sz w:val="22"/>
          <w:szCs w:val="22"/>
        </w:rPr>
        <w:t>Evitar la asimilación de estos cuerpos con las agencias policiales, limitando la adquisición y usos de elementos propios de estas últimas como las denominadas armas menos letales.</w:t>
      </w:r>
    </w:p>
    <w:p w14:paraId="7CC9848D" w14:textId="77777777" w:rsidR="00165BED" w:rsidRPr="003E3F5D" w:rsidRDefault="009D4909" w:rsidP="003E3F5D">
      <w:pPr>
        <w:spacing w:before="240" w:after="240" w:line="360" w:lineRule="auto"/>
        <w:jc w:val="both"/>
        <w:rPr>
          <w:rFonts w:ascii="Calibri" w:eastAsia="Calibri" w:hAnsi="Calibri" w:cs="Calibri"/>
          <w:b/>
          <w:sz w:val="22"/>
          <w:szCs w:val="22"/>
        </w:rPr>
      </w:pPr>
      <w:r w:rsidRPr="003E3F5D">
        <w:rPr>
          <w:rFonts w:ascii="Calibri" w:eastAsia="Calibri" w:hAnsi="Calibri" w:cs="Calibri"/>
          <w:b/>
          <w:sz w:val="22"/>
          <w:szCs w:val="22"/>
        </w:rPr>
        <w:t>Sobre el uso de armas menos letales</w:t>
      </w:r>
    </w:p>
    <w:p w14:paraId="59EF2323" w14:textId="77777777" w:rsidR="00165BED" w:rsidRPr="003E3F5D" w:rsidRDefault="009D4909" w:rsidP="003E3F5D">
      <w:pPr>
        <w:numPr>
          <w:ilvl w:val="0"/>
          <w:numId w:val="2"/>
        </w:num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Regular de manera restrictiva el uso de estas armas, bajo la premisa de reconocer su carácter sólo menos letal, prohibiendo su uso regular en el marco de manifestaciones públicas u otro tipo de concentraciones. </w:t>
      </w:r>
    </w:p>
    <w:p w14:paraId="4623D0C1" w14:textId="77777777" w:rsidR="00165BED" w:rsidRPr="003E3F5D" w:rsidRDefault="009D4909" w:rsidP="003E3F5D">
      <w:pPr>
        <w:numPr>
          <w:ilvl w:val="0"/>
          <w:numId w:val="2"/>
        </w:numPr>
        <w:spacing w:after="240" w:line="360" w:lineRule="auto"/>
        <w:jc w:val="both"/>
        <w:rPr>
          <w:rFonts w:ascii="Calibri" w:eastAsia="Calibri" w:hAnsi="Calibri" w:cs="Calibri"/>
          <w:sz w:val="22"/>
          <w:szCs w:val="22"/>
        </w:rPr>
      </w:pPr>
      <w:r w:rsidRPr="003E3F5D">
        <w:rPr>
          <w:rFonts w:ascii="Calibri" w:eastAsia="Calibri" w:hAnsi="Calibri" w:cs="Calibri"/>
          <w:sz w:val="22"/>
          <w:szCs w:val="22"/>
        </w:rPr>
        <w:t xml:space="preserve">Prohibir la habilitación de uso y adquisición por fuerzas que no cumplen tareas policiales, tales como guardias urbanas o de prevención. </w:t>
      </w:r>
    </w:p>
    <w:p w14:paraId="670C4A30" w14:textId="77777777" w:rsidR="00165BED" w:rsidRPr="003E3F5D" w:rsidRDefault="009D4909" w:rsidP="003E3F5D">
      <w:pPr>
        <w:spacing w:before="240" w:after="240" w:line="360" w:lineRule="auto"/>
        <w:jc w:val="both"/>
        <w:rPr>
          <w:rFonts w:ascii="Calibri" w:eastAsia="Calibri" w:hAnsi="Calibri" w:cs="Calibri"/>
          <w:b/>
          <w:sz w:val="22"/>
          <w:szCs w:val="22"/>
        </w:rPr>
      </w:pPr>
      <w:r w:rsidRPr="003E3F5D">
        <w:rPr>
          <w:rFonts w:ascii="Calibri" w:eastAsia="Calibri" w:hAnsi="Calibri" w:cs="Calibri"/>
          <w:b/>
          <w:sz w:val="22"/>
          <w:szCs w:val="22"/>
        </w:rPr>
        <w:t>Sobre la represión de la protesta</w:t>
      </w:r>
    </w:p>
    <w:p w14:paraId="5D86F79D" w14:textId="77777777" w:rsidR="00165BED" w:rsidRPr="003E3F5D" w:rsidRDefault="009D4909" w:rsidP="003E3F5D">
      <w:pPr>
        <w:numPr>
          <w:ilvl w:val="0"/>
          <w:numId w:val="11"/>
        </w:numPr>
        <w:spacing w:after="0"/>
        <w:jc w:val="both"/>
        <w:rPr>
          <w:rFonts w:ascii="Calibri" w:eastAsia="Calibri" w:hAnsi="Calibri" w:cs="Calibri"/>
          <w:sz w:val="22"/>
          <w:szCs w:val="22"/>
        </w:rPr>
      </w:pPr>
      <w:r w:rsidRPr="003E3F5D">
        <w:rPr>
          <w:rFonts w:ascii="Calibri" w:eastAsia="Calibri" w:hAnsi="Calibri" w:cs="Calibri"/>
          <w:sz w:val="22"/>
          <w:szCs w:val="22"/>
        </w:rPr>
        <w:t>Modificar urgentemente el marco jurídico de referencia promoviendo una infraestructura de seguridad democrática basada en el paradigma de los derechos humanos. En particular anular la Resolución 943/2023  que establece el denominado “protocolo antipiquete”</w:t>
      </w:r>
    </w:p>
    <w:p w14:paraId="1DD63C9F" w14:textId="77777777" w:rsidR="00165BED" w:rsidRPr="003E3F5D" w:rsidRDefault="009D4909" w:rsidP="003E3F5D">
      <w:pPr>
        <w:numPr>
          <w:ilvl w:val="0"/>
          <w:numId w:val="11"/>
        </w:numPr>
        <w:spacing w:after="0"/>
        <w:jc w:val="both"/>
        <w:rPr>
          <w:rFonts w:ascii="Calibri" w:eastAsia="Calibri" w:hAnsi="Calibri" w:cs="Calibri"/>
          <w:sz w:val="22"/>
          <w:szCs w:val="22"/>
        </w:rPr>
      </w:pPr>
      <w:r w:rsidRPr="003E3F5D">
        <w:rPr>
          <w:rFonts w:ascii="Calibri" w:eastAsia="Calibri" w:hAnsi="Calibri" w:cs="Calibri"/>
          <w:sz w:val="22"/>
          <w:szCs w:val="22"/>
        </w:rPr>
        <w:t xml:space="preserve">Se establezcan protocolos efectivos para evitar los abusos policiales durante las manifestaciones, incorporando los estándares internacionales al respecto. </w:t>
      </w:r>
    </w:p>
    <w:p w14:paraId="3EE05988" w14:textId="77777777" w:rsidR="00165BED" w:rsidRPr="003E3F5D" w:rsidRDefault="009D4909" w:rsidP="003E3F5D">
      <w:pPr>
        <w:numPr>
          <w:ilvl w:val="0"/>
          <w:numId w:val="7"/>
        </w:numPr>
        <w:jc w:val="both"/>
        <w:rPr>
          <w:rFonts w:ascii="Calibri" w:eastAsia="Calibri" w:hAnsi="Calibri" w:cs="Calibri"/>
          <w:color w:val="FF0000"/>
          <w:sz w:val="22"/>
          <w:szCs w:val="22"/>
        </w:rPr>
      </w:pPr>
      <w:r w:rsidRPr="003E3F5D">
        <w:rPr>
          <w:rFonts w:ascii="Calibri" w:eastAsia="Calibri" w:hAnsi="Calibri" w:cs="Calibri"/>
          <w:sz w:val="22"/>
          <w:szCs w:val="22"/>
        </w:rPr>
        <w:t>Reiterar las recomendaciones sobre el uso excepcional de la prisión preventiva y la promoción de medidas alternativas al encierro, con particular énfasis en los estándares establecidos por el SIDH</w:t>
      </w:r>
      <w:r w:rsidRPr="003E3F5D">
        <w:rPr>
          <w:rFonts w:ascii="Calibri" w:eastAsia="Calibri" w:hAnsi="Calibri" w:cs="Calibri"/>
          <w:color w:val="FF0000"/>
          <w:sz w:val="22"/>
          <w:szCs w:val="22"/>
        </w:rPr>
        <w:t>.</w:t>
      </w:r>
    </w:p>
    <w:p w14:paraId="3FD791F8"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Sobre las condiciones de detención</w:t>
      </w:r>
    </w:p>
    <w:p w14:paraId="4C07AF95"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Reiterar las recomendaciones realizadas en anteriores observaciones por parte del Comité</w:t>
      </w:r>
    </w:p>
    <w:p w14:paraId="5DE7D4D3"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Eliminar definitivamente las celdas de contención, conocidas como “leoneras” de todos los ámbitos penitenciarios.</w:t>
      </w:r>
    </w:p>
    <w:p w14:paraId="21DC797F"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Se inste al Estado a aplicar los protocolos en materia de sujeción mecánica como medida excepcional y sólo con prescripción médica especializada, en particular en los casos de personas hospitalizadas y aquellas que se encuentran bajo una condición de salud mental.</w:t>
      </w:r>
    </w:p>
    <w:p w14:paraId="222DC49F"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Adoptar medidas a fin de que los procedimientos de requisa se ajusten a la garantía de derechos y no impliquen afectaciones a la integridad psico-física de las personas detenidas. Específicamente en el caso de las mujeres y personas trans detenidas.</w:t>
      </w:r>
    </w:p>
    <w:p w14:paraId="50DCC62D" w14:textId="77777777" w:rsidR="00165BED" w:rsidRPr="003E3F5D" w:rsidRDefault="009D4909" w:rsidP="003E3F5D">
      <w:pPr>
        <w:numPr>
          <w:ilvl w:val="0"/>
          <w:numId w:val="3"/>
        </w:numPr>
        <w:spacing w:after="0"/>
        <w:jc w:val="both"/>
        <w:rPr>
          <w:rFonts w:ascii="Calibri" w:eastAsia="Calibri" w:hAnsi="Calibri" w:cs="Calibri"/>
          <w:sz w:val="22"/>
          <w:szCs w:val="22"/>
        </w:rPr>
      </w:pPr>
      <w:r w:rsidRPr="003E3F5D">
        <w:rPr>
          <w:rFonts w:ascii="Calibri" w:eastAsia="Calibri" w:hAnsi="Calibri" w:cs="Calibri"/>
          <w:sz w:val="22"/>
          <w:szCs w:val="22"/>
        </w:rPr>
        <w:t>Solicitar que la atención sanitaria brindada por la Dirección de Salud Penitenciaria dependiente del Ministerio de Justicia provincial, pase a depender del Ministerio de Salud de la provincia</w:t>
      </w:r>
      <w:r w:rsidRPr="003E3F5D">
        <w:rPr>
          <w:rFonts w:ascii="Calibri" w:eastAsia="Calibri" w:hAnsi="Calibri" w:cs="Calibri"/>
          <w:b/>
          <w:sz w:val="22"/>
          <w:szCs w:val="22"/>
        </w:rPr>
        <w:t xml:space="preserve">, </w:t>
      </w:r>
      <w:r w:rsidRPr="003E3F5D">
        <w:rPr>
          <w:rFonts w:ascii="Calibri" w:eastAsia="Calibri" w:hAnsi="Calibri" w:cs="Calibri"/>
          <w:sz w:val="22"/>
          <w:szCs w:val="22"/>
        </w:rPr>
        <w:t>para integrarse a las políticas sanitarias de dicha cartera.</w:t>
      </w:r>
    </w:p>
    <w:p w14:paraId="40AB91F3" w14:textId="77777777" w:rsidR="00165BED" w:rsidRPr="003E3F5D" w:rsidRDefault="009D4909" w:rsidP="003E3F5D">
      <w:pPr>
        <w:numPr>
          <w:ilvl w:val="0"/>
          <w:numId w:val="3"/>
        </w:numPr>
        <w:jc w:val="both"/>
        <w:rPr>
          <w:rFonts w:ascii="Calibri" w:eastAsia="Calibri" w:hAnsi="Calibri" w:cs="Calibri"/>
          <w:sz w:val="22"/>
          <w:szCs w:val="22"/>
        </w:rPr>
      </w:pPr>
      <w:r w:rsidRPr="003E3F5D">
        <w:rPr>
          <w:rFonts w:ascii="Calibri" w:eastAsia="Calibri" w:hAnsi="Calibri" w:cs="Calibri"/>
          <w:sz w:val="22"/>
          <w:szCs w:val="22"/>
        </w:rPr>
        <w:t xml:space="preserve">Eliminar regímenes de vida que consisten en el aislamiento permanente de personas por más de 14 días, llegando a varios meses e incluso años, como ocurre en los Pabellones 11B de la Unidad 2 de Sierra Chica en la Unidad 30 de General Alvear.  </w:t>
      </w:r>
    </w:p>
    <w:p w14:paraId="110AFCCF" w14:textId="77777777" w:rsidR="00165BED" w:rsidRPr="003E3F5D" w:rsidRDefault="009D4909" w:rsidP="003E3F5D">
      <w:pPr>
        <w:jc w:val="both"/>
        <w:rPr>
          <w:rFonts w:ascii="Calibri" w:eastAsia="Calibri" w:hAnsi="Calibri" w:cs="Calibri"/>
          <w:b/>
          <w:sz w:val="22"/>
          <w:szCs w:val="22"/>
        </w:rPr>
      </w:pPr>
      <w:r w:rsidRPr="003E3F5D">
        <w:rPr>
          <w:rFonts w:ascii="Calibri" w:eastAsia="Calibri" w:hAnsi="Calibri" w:cs="Calibri"/>
          <w:b/>
          <w:sz w:val="22"/>
          <w:szCs w:val="22"/>
        </w:rPr>
        <w:t>En materia de salud mental</w:t>
      </w:r>
    </w:p>
    <w:p w14:paraId="6D914965" w14:textId="77777777" w:rsidR="00165BED" w:rsidRPr="003E3F5D" w:rsidRDefault="009D4909" w:rsidP="003E3F5D">
      <w:pPr>
        <w:numPr>
          <w:ilvl w:val="0"/>
          <w:numId w:val="10"/>
        </w:numPr>
        <w:spacing w:after="0"/>
        <w:jc w:val="both"/>
        <w:rPr>
          <w:rFonts w:ascii="Calibri" w:eastAsia="Calibri" w:hAnsi="Calibri" w:cs="Calibri"/>
          <w:sz w:val="22"/>
          <w:szCs w:val="22"/>
        </w:rPr>
      </w:pPr>
      <w:r w:rsidRPr="003E3F5D">
        <w:rPr>
          <w:rFonts w:ascii="Calibri" w:eastAsia="Calibri" w:hAnsi="Calibri" w:cs="Calibri"/>
          <w:sz w:val="22"/>
          <w:szCs w:val="22"/>
        </w:rPr>
        <w:t xml:space="preserve">Instar nuevamente a garantizar la aplicación de la ley de salud mental en los establecimientos de encierro. </w:t>
      </w:r>
    </w:p>
    <w:p w14:paraId="79B98A5E" w14:textId="77777777" w:rsidR="00165BED" w:rsidRPr="003E3F5D" w:rsidRDefault="009D4909" w:rsidP="003E3F5D">
      <w:pPr>
        <w:numPr>
          <w:ilvl w:val="0"/>
          <w:numId w:val="10"/>
        </w:numPr>
        <w:jc w:val="both"/>
        <w:rPr>
          <w:rFonts w:ascii="Calibri" w:eastAsia="Calibri" w:hAnsi="Calibri" w:cs="Calibri"/>
          <w:sz w:val="22"/>
          <w:szCs w:val="22"/>
        </w:rPr>
      </w:pPr>
      <w:r w:rsidRPr="003E3F5D">
        <w:rPr>
          <w:rFonts w:ascii="Calibri" w:eastAsia="Calibri" w:hAnsi="Calibri" w:cs="Calibri"/>
          <w:sz w:val="22"/>
          <w:szCs w:val="22"/>
        </w:rPr>
        <w:t>Aplicar la debida diligencia para garantizar que las comunidades terapéuticas en funcionamiento respeten el abordaje establecido en las leyes de salud mental, disminuyendo así los casos de secuestros, malos tratos y torturas.</w:t>
      </w:r>
    </w:p>
    <w:p w14:paraId="5DFE40E4" w14:textId="77777777" w:rsidR="00165BED" w:rsidRPr="003E3F5D" w:rsidRDefault="009D4909" w:rsidP="003E3F5D">
      <w:pPr>
        <w:spacing w:before="240" w:after="240"/>
        <w:jc w:val="both"/>
        <w:rPr>
          <w:rFonts w:ascii="Calibri" w:eastAsia="Calibri" w:hAnsi="Calibri" w:cs="Calibri"/>
          <w:b/>
          <w:sz w:val="22"/>
          <w:szCs w:val="22"/>
        </w:rPr>
      </w:pPr>
      <w:r w:rsidRPr="003E3F5D">
        <w:rPr>
          <w:rFonts w:ascii="Calibri" w:eastAsia="Calibri" w:hAnsi="Calibri" w:cs="Calibri"/>
          <w:b/>
          <w:sz w:val="22"/>
          <w:szCs w:val="22"/>
        </w:rPr>
        <w:t>En materia de niñez:</w:t>
      </w:r>
    </w:p>
    <w:p w14:paraId="7E0C57B2" w14:textId="77777777" w:rsidR="00165BED" w:rsidRPr="003E3F5D" w:rsidRDefault="009D4909" w:rsidP="003E3F5D">
      <w:pPr>
        <w:numPr>
          <w:ilvl w:val="0"/>
          <w:numId w:val="4"/>
        </w:numPr>
        <w:spacing w:before="240" w:after="0"/>
        <w:jc w:val="both"/>
        <w:rPr>
          <w:rFonts w:ascii="Calibri" w:eastAsia="Calibri" w:hAnsi="Calibri" w:cs="Calibri"/>
          <w:sz w:val="22"/>
          <w:szCs w:val="22"/>
        </w:rPr>
      </w:pPr>
      <w:r w:rsidRPr="003E3F5D">
        <w:rPr>
          <w:rFonts w:ascii="Calibri" w:eastAsia="Calibri" w:hAnsi="Calibri" w:cs="Calibri"/>
          <w:sz w:val="22"/>
          <w:szCs w:val="22"/>
        </w:rPr>
        <w:t>Instar a la creación de estándares mínimos sobre dispositivos convivenciales oficiales y conveniados de la Provincia de Buenos Aires, en consonancia con lo establecido por las recomendaciones internacionales en general y en particular la Directrices de Naciones Unidas sobre Modalidades Alternativas de Cuidado de Niños (RES/64/142 , Asamblea Naciones Unidas, Febrero 2010).</w:t>
      </w:r>
    </w:p>
    <w:p w14:paraId="3A8D44F2" w14:textId="77777777" w:rsidR="00165BED" w:rsidRPr="003E3F5D" w:rsidRDefault="009D4909" w:rsidP="003E3F5D">
      <w:pPr>
        <w:numPr>
          <w:ilvl w:val="0"/>
          <w:numId w:val="4"/>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Prohibir la permanencia de NNyJ en Hospitales sin criterio de internación por deficiencias en la gestión de vacantes en dispositivos acordes o restricciones discriminatorias de las instituciones convivenciales. </w:t>
      </w:r>
    </w:p>
    <w:p w14:paraId="589AC65D" w14:textId="77777777" w:rsidR="00165BED" w:rsidRPr="003E3F5D" w:rsidRDefault="009D4909" w:rsidP="003E3F5D">
      <w:pPr>
        <w:numPr>
          <w:ilvl w:val="0"/>
          <w:numId w:val="4"/>
        </w:numPr>
        <w:spacing w:after="0"/>
        <w:jc w:val="both"/>
        <w:rPr>
          <w:rFonts w:ascii="Calibri" w:eastAsia="Calibri" w:hAnsi="Calibri" w:cs="Calibri"/>
          <w:sz w:val="22"/>
          <w:szCs w:val="22"/>
        </w:rPr>
      </w:pPr>
      <w:r w:rsidRPr="003E3F5D">
        <w:rPr>
          <w:rFonts w:ascii="Calibri" w:eastAsia="Calibri" w:hAnsi="Calibri" w:cs="Calibri"/>
          <w:sz w:val="22"/>
          <w:szCs w:val="22"/>
        </w:rPr>
        <w:t>No tomar medidas regresivas en materia de punibilidad de NNyJ, en particular lo que respecta a la baja de edad de punibilidad.</w:t>
      </w:r>
    </w:p>
    <w:p w14:paraId="44B8BE71" w14:textId="77777777" w:rsidR="00165BED" w:rsidRPr="003E3F5D" w:rsidRDefault="009D4909" w:rsidP="003E3F5D">
      <w:pPr>
        <w:numPr>
          <w:ilvl w:val="0"/>
          <w:numId w:val="4"/>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Prevenir la asimilación del sistema de responsabilidad juvenil al sistema de adultos sea en términos procesales que en condiciones de detención. </w:t>
      </w:r>
    </w:p>
    <w:p w14:paraId="7E6EDB06" w14:textId="77777777" w:rsidR="00165BED" w:rsidRPr="003E3F5D" w:rsidRDefault="009D4909" w:rsidP="003E3F5D">
      <w:pPr>
        <w:numPr>
          <w:ilvl w:val="0"/>
          <w:numId w:val="4"/>
        </w:numPr>
        <w:spacing w:after="0"/>
        <w:jc w:val="both"/>
        <w:rPr>
          <w:rFonts w:ascii="Calibri" w:eastAsia="Calibri" w:hAnsi="Calibri" w:cs="Calibri"/>
          <w:sz w:val="22"/>
          <w:szCs w:val="22"/>
        </w:rPr>
      </w:pPr>
      <w:r w:rsidRPr="003E3F5D">
        <w:rPr>
          <w:rFonts w:ascii="Calibri" w:eastAsia="Calibri" w:hAnsi="Calibri" w:cs="Calibri"/>
          <w:sz w:val="22"/>
          <w:szCs w:val="22"/>
        </w:rPr>
        <w:t xml:space="preserve">Disminuir el tiempo de permanencia en dispositivos de ingreso al sistema de responsabilidad penal juvenil, promoviendo medidas alternativas al encierro o bien la inclusión a dispositivos que garanticen el acceso a derechos. </w:t>
      </w:r>
    </w:p>
    <w:p w14:paraId="7DD57D8C" w14:textId="77777777" w:rsidR="00165BED" w:rsidRPr="003E3F5D" w:rsidRDefault="009D4909" w:rsidP="003E3F5D">
      <w:pPr>
        <w:numPr>
          <w:ilvl w:val="0"/>
          <w:numId w:val="4"/>
        </w:numPr>
        <w:spacing w:after="0"/>
        <w:jc w:val="both"/>
        <w:rPr>
          <w:rFonts w:ascii="Calibri" w:eastAsia="Calibri" w:hAnsi="Calibri" w:cs="Calibri"/>
          <w:sz w:val="22"/>
          <w:szCs w:val="22"/>
        </w:rPr>
      </w:pPr>
      <w:r w:rsidRPr="003E3F5D">
        <w:rPr>
          <w:rFonts w:ascii="Calibri" w:eastAsia="Calibri" w:hAnsi="Calibri" w:cs="Calibri"/>
          <w:sz w:val="22"/>
          <w:szCs w:val="22"/>
        </w:rPr>
        <w:t>Adoptar medidas a fin de que los procedimientos de requisa a familiares y referentes afectivos de NNyJ se ajusten a la garantía de derechos y no impliquen vejaciones y afectaciones a la integridad psico-física.</w:t>
      </w:r>
    </w:p>
    <w:p w14:paraId="023E542E" w14:textId="77777777" w:rsidR="00165BED" w:rsidRPr="003E3F5D" w:rsidRDefault="009D4909" w:rsidP="003E3F5D">
      <w:pPr>
        <w:numPr>
          <w:ilvl w:val="0"/>
          <w:numId w:val="4"/>
        </w:numPr>
        <w:spacing w:after="0"/>
        <w:jc w:val="both"/>
        <w:rPr>
          <w:rFonts w:ascii="Calibri" w:eastAsia="Calibri" w:hAnsi="Calibri" w:cs="Calibri"/>
          <w:sz w:val="22"/>
          <w:szCs w:val="22"/>
        </w:rPr>
      </w:pPr>
      <w:r w:rsidRPr="003E3F5D">
        <w:rPr>
          <w:rFonts w:ascii="Calibri" w:eastAsia="Calibri" w:hAnsi="Calibri" w:cs="Calibri"/>
          <w:sz w:val="22"/>
          <w:szCs w:val="22"/>
        </w:rPr>
        <w:t>Garantizar el acceso a propuestas de formación laboral certificada de todos los jóvenes privados de la libertad.</w:t>
      </w:r>
    </w:p>
    <w:p w14:paraId="2C3026FA" w14:textId="77777777" w:rsidR="00165BED" w:rsidRPr="003E3F5D" w:rsidRDefault="009D4909" w:rsidP="003E3F5D">
      <w:pPr>
        <w:numPr>
          <w:ilvl w:val="0"/>
          <w:numId w:val="4"/>
        </w:numPr>
        <w:spacing w:after="240"/>
        <w:jc w:val="both"/>
        <w:rPr>
          <w:rFonts w:ascii="Calibri" w:eastAsia="Calibri" w:hAnsi="Calibri" w:cs="Calibri"/>
          <w:sz w:val="22"/>
          <w:szCs w:val="22"/>
        </w:rPr>
      </w:pPr>
      <w:r w:rsidRPr="003E3F5D">
        <w:rPr>
          <w:rFonts w:ascii="Calibri" w:eastAsia="Calibri" w:hAnsi="Calibri" w:cs="Calibri"/>
          <w:sz w:val="22"/>
          <w:szCs w:val="22"/>
        </w:rPr>
        <w:t>Reiterar la prohibición de prácticas de aislamiento en niños y jóvenes cualquiera sea el motivo (ingreso, régimen de vida, gestión de conflictividad o sanciones).</w:t>
      </w:r>
    </w:p>
    <w:p w14:paraId="4E541C7D" w14:textId="77777777" w:rsidR="00165BED" w:rsidRPr="003E3F5D" w:rsidRDefault="009D4909" w:rsidP="003E3F5D">
      <w:pPr>
        <w:spacing w:before="240" w:after="0" w:line="360" w:lineRule="auto"/>
        <w:jc w:val="both"/>
        <w:rPr>
          <w:rFonts w:ascii="Calibri" w:eastAsia="Calibri" w:hAnsi="Calibri" w:cs="Calibri"/>
          <w:b/>
          <w:sz w:val="22"/>
          <w:szCs w:val="22"/>
        </w:rPr>
      </w:pPr>
      <w:r w:rsidRPr="003E3F5D">
        <w:rPr>
          <w:rFonts w:ascii="Calibri" w:eastAsia="Calibri" w:hAnsi="Calibri" w:cs="Calibri"/>
          <w:b/>
          <w:sz w:val="22"/>
          <w:szCs w:val="22"/>
        </w:rPr>
        <w:t>Sobre las investigaciones</w:t>
      </w:r>
    </w:p>
    <w:p w14:paraId="0BD5C5D3" w14:textId="77777777" w:rsidR="00165BED" w:rsidRPr="003E3F5D" w:rsidRDefault="009D4909" w:rsidP="003E3F5D">
      <w:pPr>
        <w:numPr>
          <w:ilvl w:val="0"/>
          <w:numId w:val="9"/>
        </w:numPr>
        <w:spacing w:before="240" w:after="0" w:line="360" w:lineRule="auto"/>
        <w:jc w:val="both"/>
        <w:rPr>
          <w:rFonts w:ascii="Calibri" w:eastAsia="Calibri" w:hAnsi="Calibri" w:cs="Calibri"/>
          <w:sz w:val="22"/>
          <w:szCs w:val="22"/>
        </w:rPr>
      </w:pPr>
      <w:r w:rsidRPr="003E3F5D">
        <w:rPr>
          <w:rFonts w:ascii="Calibri" w:eastAsia="Calibri" w:hAnsi="Calibri" w:cs="Calibri"/>
          <w:sz w:val="22"/>
          <w:szCs w:val="22"/>
        </w:rPr>
        <w:t>Reiterar la recomendación sobre Investigar con prontitud, eficacia e imparcialidad todas las denuncias de torturas o malos tratos y velar por que los presuntos autores, así como los superiores jerárquicos que supieran o debieran haber sabido que se estaban cometiendo estos actos, sean enjuiciados, y de ser declarados culpables, sancionados de conformidad con la gravedad de sus actos.</w:t>
      </w:r>
    </w:p>
    <w:p w14:paraId="2312DE09"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Definir políticas y protocolos específicos para la investigación prioritaria de los casos de torturas y malos tratos. Se pongan en funcionamiento de manera efectiva las fiscalías especializadas (ley provincial N°14.687) y los cuerpos de investigación judicial (ley provincial N° 15.005), dotándolos de recursos suficientes y calificados, en particular garantizando la integración de sus cuerpos con profesionales con perspectiva en Derechos Humanos.</w:t>
      </w:r>
    </w:p>
    <w:p w14:paraId="25DCC375"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Aplicar plenamente de la Resolución 115/13 de la Procuración General que establece la obligatoriedad de iniciar una investigación penal y realizar una autopsia médico-legal ante todos los fallecimientos ocurridos en contextos de encierro/. Implementación plena de la Resolución 1390, apartando de las investigaciones judiciales a las fuerzas responsables de los hechos que se investigan</w:t>
      </w:r>
    </w:p>
    <w:p w14:paraId="21431E39"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 xml:space="preserve">Incorporar las previsiones de los protocolos de Estambul y Minnesota como pautas de intervención obligatoria y se realicen las modificaciones funcionales, normativas y presupuestarias para garantizar su aplicación. </w:t>
      </w:r>
    </w:p>
    <w:p w14:paraId="26EB2575" w14:textId="77777777" w:rsidR="00165BED" w:rsidRPr="003E3F5D" w:rsidRDefault="009D4909" w:rsidP="003E3F5D">
      <w:pPr>
        <w:numPr>
          <w:ilvl w:val="0"/>
          <w:numId w:val="9"/>
        </w:numPr>
        <w:spacing w:after="0" w:line="360" w:lineRule="auto"/>
        <w:jc w:val="both"/>
        <w:rPr>
          <w:rFonts w:ascii="Calibri" w:eastAsia="Calibri" w:hAnsi="Calibri" w:cs="Calibri"/>
          <w:sz w:val="22"/>
          <w:szCs w:val="22"/>
        </w:rPr>
      </w:pPr>
      <w:r w:rsidRPr="003E3F5D">
        <w:rPr>
          <w:rFonts w:ascii="Calibri" w:eastAsia="Calibri" w:hAnsi="Calibri" w:cs="Calibri"/>
          <w:sz w:val="22"/>
          <w:szCs w:val="22"/>
        </w:rPr>
        <w:t>Prohibir que se utilicen cuerpos de abogados defensores ad-hoc, como la Dirección de Asesoría Letrada de la Policía para la defensa específica de agentes policiales acusados de cometer crímenes.</w:t>
      </w:r>
    </w:p>
    <w:p w14:paraId="2608CE8D" w14:textId="77777777" w:rsidR="00165BED" w:rsidRPr="003E3F5D" w:rsidRDefault="009D4909" w:rsidP="003E3F5D">
      <w:pPr>
        <w:spacing w:before="240" w:after="0" w:line="360" w:lineRule="auto"/>
        <w:jc w:val="both"/>
        <w:rPr>
          <w:rFonts w:ascii="Calibri" w:eastAsia="Calibri" w:hAnsi="Calibri" w:cs="Calibri"/>
          <w:b/>
          <w:sz w:val="22"/>
          <w:szCs w:val="22"/>
        </w:rPr>
      </w:pPr>
      <w:r w:rsidRPr="003E3F5D">
        <w:rPr>
          <w:rFonts w:ascii="Calibri" w:eastAsia="Calibri" w:hAnsi="Calibri" w:cs="Calibri"/>
          <w:b/>
          <w:sz w:val="22"/>
          <w:szCs w:val="22"/>
        </w:rPr>
        <w:t>En materia de género</w:t>
      </w:r>
    </w:p>
    <w:p w14:paraId="3AE8B0EB" w14:textId="77777777" w:rsidR="00165BED" w:rsidRPr="003E3F5D" w:rsidRDefault="009D4909" w:rsidP="003E3F5D">
      <w:pPr>
        <w:numPr>
          <w:ilvl w:val="0"/>
          <w:numId w:val="5"/>
        </w:numPr>
        <w:spacing w:after="0"/>
        <w:jc w:val="both"/>
        <w:rPr>
          <w:rFonts w:ascii="Calibri" w:eastAsia="Calibri" w:hAnsi="Calibri" w:cs="Calibri"/>
          <w:sz w:val="22"/>
          <w:szCs w:val="22"/>
        </w:rPr>
      </w:pPr>
      <w:r w:rsidRPr="003E3F5D">
        <w:rPr>
          <w:rFonts w:ascii="Calibri" w:eastAsia="Calibri" w:hAnsi="Calibri" w:cs="Calibri"/>
          <w:sz w:val="22"/>
          <w:szCs w:val="22"/>
        </w:rPr>
        <w:t xml:space="preserve">Prohibir la sujeción mecánica de las mujeres embarazadas, estableciendo un protocolo de cumplimiento efectivo. </w:t>
      </w:r>
    </w:p>
    <w:p w14:paraId="0BD7FBF8" w14:textId="77777777" w:rsidR="00165BED" w:rsidRPr="003E3F5D" w:rsidRDefault="009D4909" w:rsidP="003E3F5D">
      <w:pPr>
        <w:numPr>
          <w:ilvl w:val="0"/>
          <w:numId w:val="5"/>
        </w:numPr>
        <w:jc w:val="both"/>
        <w:rPr>
          <w:rFonts w:ascii="Calibri" w:eastAsia="Calibri" w:hAnsi="Calibri" w:cs="Calibri"/>
          <w:sz w:val="22"/>
          <w:szCs w:val="22"/>
        </w:rPr>
      </w:pPr>
      <w:r w:rsidRPr="003E3F5D">
        <w:rPr>
          <w:rFonts w:ascii="Calibri" w:eastAsia="Calibri" w:hAnsi="Calibri" w:cs="Calibri"/>
          <w:sz w:val="22"/>
          <w:szCs w:val="22"/>
        </w:rPr>
        <w:t>Establecer protocolos integrales efectivos para el acceso a la salud pre, durante y post parto.</w:t>
      </w:r>
    </w:p>
    <w:p w14:paraId="77EA0F57" w14:textId="77777777" w:rsidR="00165BED" w:rsidRPr="003E3F5D" w:rsidRDefault="00165BED" w:rsidP="003E3F5D">
      <w:pPr>
        <w:jc w:val="both"/>
        <w:rPr>
          <w:rFonts w:ascii="Calibri" w:eastAsia="Calibri" w:hAnsi="Calibri" w:cs="Calibri"/>
          <w:color w:val="FF0000"/>
          <w:sz w:val="22"/>
          <w:szCs w:val="22"/>
        </w:rPr>
      </w:pPr>
    </w:p>
    <w:p w14:paraId="695B69EC" w14:textId="77777777" w:rsidR="00165BED" w:rsidRDefault="00165BED" w:rsidP="003E3F5D">
      <w:pPr>
        <w:jc w:val="both"/>
        <w:rPr>
          <w:rFonts w:ascii="Calibri" w:eastAsia="Calibri" w:hAnsi="Calibri" w:cs="Calibri"/>
          <w:sz w:val="22"/>
          <w:szCs w:val="22"/>
        </w:rPr>
      </w:pPr>
    </w:p>
    <w:p w14:paraId="1E28B045" w14:textId="77777777" w:rsidR="003E3F5D" w:rsidRDefault="003E3F5D" w:rsidP="003E3F5D">
      <w:pPr>
        <w:jc w:val="both"/>
        <w:rPr>
          <w:rFonts w:ascii="Calibri" w:eastAsia="Calibri" w:hAnsi="Calibri" w:cs="Calibri"/>
          <w:sz w:val="22"/>
          <w:szCs w:val="22"/>
        </w:rPr>
      </w:pPr>
    </w:p>
    <w:p w14:paraId="654EBEA2" w14:textId="77777777" w:rsidR="003E3F5D" w:rsidRDefault="003E3F5D" w:rsidP="003E3F5D">
      <w:pPr>
        <w:jc w:val="both"/>
        <w:rPr>
          <w:rFonts w:ascii="Calibri" w:eastAsia="Calibri" w:hAnsi="Calibri" w:cs="Calibri"/>
          <w:sz w:val="22"/>
          <w:szCs w:val="22"/>
        </w:rPr>
      </w:pPr>
    </w:p>
    <w:p w14:paraId="6B8E0E2D" w14:textId="77777777" w:rsidR="003E3F5D" w:rsidRDefault="003E3F5D" w:rsidP="003E3F5D">
      <w:pPr>
        <w:jc w:val="both"/>
        <w:rPr>
          <w:rFonts w:ascii="Calibri" w:eastAsia="Calibri" w:hAnsi="Calibri" w:cs="Calibri"/>
          <w:sz w:val="22"/>
          <w:szCs w:val="22"/>
        </w:rPr>
      </w:pPr>
    </w:p>
    <w:p w14:paraId="1FE8EA72" w14:textId="77777777" w:rsidR="003E3F5D" w:rsidRDefault="003E3F5D" w:rsidP="003E3F5D">
      <w:pPr>
        <w:jc w:val="both"/>
        <w:rPr>
          <w:rFonts w:ascii="Calibri" w:eastAsia="Calibri" w:hAnsi="Calibri" w:cs="Calibri"/>
          <w:sz w:val="22"/>
          <w:szCs w:val="22"/>
        </w:rPr>
      </w:pPr>
    </w:p>
    <w:p w14:paraId="78E2438A" w14:textId="77777777" w:rsidR="003E3F5D" w:rsidRDefault="003E3F5D" w:rsidP="003E3F5D">
      <w:pPr>
        <w:jc w:val="both"/>
        <w:rPr>
          <w:rFonts w:ascii="Calibri" w:eastAsia="Calibri" w:hAnsi="Calibri" w:cs="Calibri"/>
          <w:sz w:val="22"/>
          <w:szCs w:val="22"/>
        </w:rPr>
      </w:pPr>
    </w:p>
    <w:p w14:paraId="694D1A4B" w14:textId="77777777" w:rsidR="003E3F5D" w:rsidRDefault="003E3F5D" w:rsidP="003E3F5D">
      <w:pPr>
        <w:jc w:val="both"/>
        <w:rPr>
          <w:rFonts w:ascii="Calibri" w:eastAsia="Calibri" w:hAnsi="Calibri" w:cs="Calibri"/>
          <w:sz w:val="22"/>
          <w:szCs w:val="22"/>
        </w:rPr>
      </w:pPr>
    </w:p>
    <w:p w14:paraId="0945DC84" w14:textId="77777777" w:rsidR="003E3F5D" w:rsidRDefault="003E3F5D" w:rsidP="003E3F5D">
      <w:pPr>
        <w:jc w:val="both"/>
        <w:rPr>
          <w:rFonts w:ascii="Calibri" w:eastAsia="Calibri" w:hAnsi="Calibri" w:cs="Calibri"/>
          <w:sz w:val="22"/>
          <w:szCs w:val="22"/>
        </w:rPr>
      </w:pPr>
    </w:p>
    <w:p w14:paraId="492984D8" w14:textId="77777777" w:rsidR="003E3F5D" w:rsidRDefault="003E3F5D" w:rsidP="003E3F5D">
      <w:pPr>
        <w:jc w:val="both"/>
        <w:rPr>
          <w:rFonts w:ascii="Calibri" w:eastAsia="Calibri" w:hAnsi="Calibri" w:cs="Calibri"/>
          <w:sz w:val="22"/>
          <w:szCs w:val="22"/>
        </w:rPr>
      </w:pPr>
    </w:p>
    <w:p w14:paraId="48101FC6" w14:textId="77777777" w:rsidR="003E3F5D" w:rsidRDefault="003E3F5D" w:rsidP="003E3F5D">
      <w:pPr>
        <w:jc w:val="both"/>
        <w:rPr>
          <w:rFonts w:ascii="Calibri" w:eastAsia="Calibri" w:hAnsi="Calibri" w:cs="Calibri"/>
          <w:sz w:val="22"/>
          <w:szCs w:val="22"/>
        </w:rPr>
      </w:pPr>
    </w:p>
    <w:p w14:paraId="63877A86" w14:textId="77777777" w:rsidR="003E3F5D" w:rsidRDefault="003E3F5D" w:rsidP="003E3F5D">
      <w:pPr>
        <w:jc w:val="both"/>
        <w:rPr>
          <w:rFonts w:ascii="Calibri" w:eastAsia="Calibri" w:hAnsi="Calibri" w:cs="Calibri"/>
          <w:sz w:val="22"/>
          <w:szCs w:val="22"/>
        </w:rPr>
      </w:pPr>
    </w:p>
    <w:p w14:paraId="0D9EF4AB" w14:textId="77777777" w:rsidR="003E3F5D" w:rsidRDefault="003E3F5D" w:rsidP="003E3F5D">
      <w:pPr>
        <w:jc w:val="both"/>
        <w:rPr>
          <w:rFonts w:ascii="Calibri" w:eastAsia="Calibri" w:hAnsi="Calibri" w:cs="Calibri"/>
          <w:sz w:val="22"/>
          <w:szCs w:val="22"/>
        </w:rPr>
      </w:pPr>
    </w:p>
    <w:p w14:paraId="40565A20" w14:textId="77777777" w:rsidR="003E3F5D" w:rsidRDefault="003E3F5D" w:rsidP="003E3F5D">
      <w:pPr>
        <w:jc w:val="both"/>
        <w:rPr>
          <w:rFonts w:ascii="Calibri" w:eastAsia="Calibri" w:hAnsi="Calibri" w:cs="Calibri"/>
          <w:sz w:val="22"/>
          <w:szCs w:val="22"/>
        </w:rPr>
      </w:pPr>
    </w:p>
    <w:p w14:paraId="7894E9CA" w14:textId="77777777" w:rsidR="003E3F5D" w:rsidRDefault="003E3F5D" w:rsidP="003E3F5D">
      <w:pPr>
        <w:jc w:val="both"/>
        <w:rPr>
          <w:rFonts w:ascii="Calibri" w:eastAsia="Calibri" w:hAnsi="Calibri" w:cs="Calibri"/>
          <w:sz w:val="22"/>
          <w:szCs w:val="22"/>
        </w:rPr>
      </w:pPr>
    </w:p>
    <w:p w14:paraId="5765CC8E" w14:textId="77777777" w:rsidR="003E3F5D" w:rsidRDefault="003E3F5D" w:rsidP="003E3F5D">
      <w:pPr>
        <w:jc w:val="both"/>
        <w:rPr>
          <w:rFonts w:ascii="Calibri" w:eastAsia="Calibri" w:hAnsi="Calibri" w:cs="Calibri"/>
          <w:sz w:val="22"/>
          <w:szCs w:val="22"/>
        </w:rPr>
      </w:pPr>
    </w:p>
    <w:p w14:paraId="034860E2" w14:textId="77777777" w:rsidR="003E3F5D" w:rsidRDefault="003E3F5D" w:rsidP="003E3F5D">
      <w:pPr>
        <w:jc w:val="both"/>
        <w:rPr>
          <w:rFonts w:ascii="Calibri" w:eastAsia="Calibri" w:hAnsi="Calibri" w:cs="Calibri"/>
          <w:sz w:val="22"/>
          <w:szCs w:val="22"/>
        </w:rPr>
      </w:pPr>
    </w:p>
    <w:p w14:paraId="0877BEBC" w14:textId="77777777" w:rsidR="003E3F5D" w:rsidRDefault="003E3F5D" w:rsidP="003E3F5D">
      <w:pPr>
        <w:jc w:val="both"/>
        <w:rPr>
          <w:rFonts w:ascii="Calibri" w:eastAsia="Calibri" w:hAnsi="Calibri" w:cs="Calibri"/>
          <w:sz w:val="22"/>
          <w:szCs w:val="22"/>
        </w:rPr>
      </w:pPr>
    </w:p>
    <w:p w14:paraId="5A8F654C" w14:textId="77777777" w:rsidR="003E3F5D" w:rsidRDefault="003E3F5D" w:rsidP="003E3F5D">
      <w:pPr>
        <w:jc w:val="both"/>
        <w:rPr>
          <w:rFonts w:ascii="Calibri" w:eastAsia="Calibri" w:hAnsi="Calibri" w:cs="Calibri"/>
          <w:sz w:val="22"/>
          <w:szCs w:val="22"/>
        </w:rPr>
      </w:pPr>
    </w:p>
    <w:p w14:paraId="5F7D7F4F" w14:textId="77777777" w:rsidR="003E3F5D" w:rsidRDefault="003E3F5D" w:rsidP="003E3F5D">
      <w:pPr>
        <w:jc w:val="both"/>
        <w:rPr>
          <w:rFonts w:ascii="Calibri" w:eastAsia="Calibri" w:hAnsi="Calibri" w:cs="Calibri"/>
          <w:sz w:val="22"/>
          <w:szCs w:val="22"/>
        </w:rPr>
      </w:pPr>
    </w:p>
    <w:p w14:paraId="26324FAD" w14:textId="77777777" w:rsidR="003E3F5D" w:rsidRDefault="003E3F5D" w:rsidP="003E3F5D">
      <w:pPr>
        <w:jc w:val="both"/>
        <w:rPr>
          <w:rFonts w:ascii="Calibri" w:eastAsia="Calibri" w:hAnsi="Calibri" w:cs="Calibri"/>
          <w:sz w:val="22"/>
          <w:szCs w:val="22"/>
        </w:rPr>
      </w:pPr>
    </w:p>
    <w:p w14:paraId="4C4EC84A" w14:textId="77777777" w:rsidR="003E3F5D" w:rsidRPr="003E3F5D" w:rsidRDefault="003E3F5D" w:rsidP="003E3F5D">
      <w:pPr>
        <w:jc w:val="both"/>
        <w:rPr>
          <w:rFonts w:ascii="Calibri" w:eastAsia="Calibri" w:hAnsi="Calibri" w:cs="Calibri"/>
          <w:sz w:val="22"/>
          <w:szCs w:val="22"/>
        </w:rPr>
      </w:pPr>
    </w:p>
    <w:p w14:paraId="72FB8389" w14:textId="0566A790" w:rsidR="00165BED" w:rsidRPr="003E3F5D" w:rsidRDefault="009D4909" w:rsidP="003E3F5D">
      <w:pPr>
        <w:jc w:val="center"/>
        <w:rPr>
          <w:rFonts w:ascii="Calibri" w:eastAsia="Calibri" w:hAnsi="Calibri" w:cs="Calibri"/>
          <w:b/>
          <w:sz w:val="22"/>
          <w:szCs w:val="22"/>
        </w:rPr>
      </w:pPr>
      <w:r w:rsidRPr="003E3F5D">
        <w:rPr>
          <w:rFonts w:ascii="Calibri" w:eastAsia="Calibri" w:hAnsi="Calibri" w:cs="Calibri"/>
          <w:b/>
          <w:sz w:val="22"/>
          <w:szCs w:val="22"/>
        </w:rPr>
        <w:t>COMISIÓN PROVINCIAL POR LA MEMORIA</w:t>
      </w:r>
    </w:p>
    <w:p w14:paraId="35F201D3" w14:textId="4E36E946" w:rsidR="00165BED" w:rsidRPr="003E3F5D" w:rsidRDefault="009D4909" w:rsidP="003E3F5D">
      <w:pPr>
        <w:jc w:val="center"/>
        <w:rPr>
          <w:rFonts w:ascii="Calibri" w:eastAsia="Calibri" w:hAnsi="Calibri" w:cs="Calibri"/>
          <w:b/>
          <w:sz w:val="22"/>
          <w:szCs w:val="22"/>
        </w:rPr>
      </w:pPr>
      <w:r w:rsidRPr="003E3F5D">
        <w:rPr>
          <w:rFonts w:ascii="Calibri" w:eastAsia="Calibri" w:hAnsi="Calibri" w:cs="Calibri"/>
          <w:b/>
          <w:sz w:val="22"/>
          <w:szCs w:val="22"/>
        </w:rPr>
        <w:t>Adolfo Pérez Esquivel (presidente)</w:t>
      </w:r>
    </w:p>
    <w:p w14:paraId="203CDA97" w14:textId="2B9FF17B" w:rsidR="00165BED" w:rsidRPr="003E3F5D" w:rsidRDefault="009D4909" w:rsidP="003E3F5D">
      <w:pPr>
        <w:jc w:val="center"/>
        <w:rPr>
          <w:rFonts w:ascii="Calibri" w:eastAsia="Calibri" w:hAnsi="Calibri" w:cs="Calibri"/>
          <w:b/>
          <w:sz w:val="22"/>
          <w:szCs w:val="22"/>
        </w:rPr>
      </w:pPr>
      <w:r w:rsidRPr="003E3F5D">
        <w:rPr>
          <w:rFonts w:ascii="Calibri" w:eastAsia="Calibri" w:hAnsi="Calibri" w:cs="Calibri"/>
          <w:b/>
          <w:sz w:val="22"/>
          <w:szCs w:val="22"/>
        </w:rPr>
        <w:t>Dora Barrancos (presidenta)</w:t>
      </w:r>
    </w:p>
    <w:p w14:paraId="599A8BA6" w14:textId="31FFC75D"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Víctor De Gennaro (vicepresidente)</w:t>
      </w:r>
    </w:p>
    <w:p w14:paraId="18EC535F" w14:textId="3C8FFFCB"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Ana Barletta (vicepresidenta)</w:t>
      </w:r>
    </w:p>
    <w:p w14:paraId="3D4724DA" w14:textId="7B54F3BF"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Roberto Cipriano García (secretario)</w:t>
      </w:r>
    </w:p>
    <w:p w14:paraId="6D5D81A7" w14:textId="0517E0E6"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Guillermo Torremare (prosecretario)</w:t>
      </w:r>
    </w:p>
    <w:p w14:paraId="3743E84B" w14:textId="001B8A6F"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Ana María Soffiantini (tesorera)</w:t>
      </w:r>
    </w:p>
    <w:p w14:paraId="43334C34" w14:textId="3B9A849D"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Gonzalo Conte (protesorero)</w:t>
      </w:r>
    </w:p>
    <w:p w14:paraId="21FF4142" w14:textId="77777777"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Ernesto Alonso</w:t>
      </w:r>
    </w:p>
    <w:p w14:paraId="587736B3" w14:textId="388ABF85"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Víctor Mendibil</w:t>
      </w:r>
    </w:p>
    <w:p w14:paraId="707A53EE" w14:textId="3DE23472"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Susana Méndez</w:t>
      </w:r>
    </w:p>
    <w:p w14:paraId="1FF2C8AD" w14:textId="77777777"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Yamila Zavala Rodríguez</w:t>
      </w:r>
    </w:p>
    <w:p w14:paraId="40094806" w14:textId="4B3841B9"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María Sonderéguer</w:t>
      </w:r>
    </w:p>
    <w:p w14:paraId="3F1CEA58" w14:textId="483E2C86"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Laura Ginsberg</w:t>
      </w:r>
    </w:p>
    <w:p w14:paraId="5356F57A" w14:textId="143EF41D"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Miguel Velo Elsa Pavón</w:t>
      </w:r>
    </w:p>
    <w:p w14:paraId="4A143C69" w14:textId="4E27B16F" w:rsidR="00165BED" w:rsidRPr="003E3F5D" w:rsidRDefault="009D4909" w:rsidP="003E3F5D">
      <w:pPr>
        <w:jc w:val="center"/>
        <w:rPr>
          <w:rFonts w:ascii="Calibri" w:eastAsia="Calibri" w:hAnsi="Calibri" w:cs="Calibri"/>
          <w:b/>
          <w:sz w:val="22"/>
          <w:szCs w:val="22"/>
        </w:rPr>
      </w:pPr>
      <w:r w:rsidRPr="003E3F5D">
        <w:rPr>
          <w:rFonts w:ascii="Calibri" w:eastAsia="Calibri" w:hAnsi="Calibri" w:cs="Calibri"/>
          <w:sz w:val="22"/>
          <w:szCs w:val="22"/>
        </w:rPr>
        <w:t>Consultores académicos Baltasar Garzón, Theo Van Boven, Antonio González Quintana, Patricia Funes.</w:t>
      </w:r>
    </w:p>
    <w:p w14:paraId="055E61FD" w14:textId="63CED24D" w:rsidR="00165BED" w:rsidRPr="003E3F5D" w:rsidRDefault="009D4909" w:rsidP="003E3F5D">
      <w:pPr>
        <w:jc w:val="center"/>
        <w:rPr>
          <w:rFonts w:ascii="Calibri" w:eastAsia="Calibri" w:hAnsi="Calibri" w:cs="Calibri"/>
          <w:b/>
          <w:sz w:val="22"/>
          <w:szCs w:val="22"/>
        </w:rPr>
      </w:pPr>
      <w:r w:rsidRPr="003E3F5D">
        <w:rPr>
          <w:rFonts w:ascii="Calibri" w:eastAsia="Calibri" w:hAnsi="Calibri" w:cs="Calibri"/>
          <w:b/>
          <w:sz w:val="22"/>
          <w:szCs w:val="22"/>
        </w:rPr>
        <w:t>Mesa ejecutiva</w:t>
      </w:r>
    </w:p>
    <w:p w14:paraId="10E1D239" w14:textId="1066D228"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Coordinador: Roberto F. Cipriano García.</w:t>
      </w:r>
    </w:p>
    <w:p w14:paraId="424A87BC" w14:textId="5398F783" w:rsidR="00165BED" w:rsidRPr="003E3F5D" w:rsidRDefault="009D4909" w:rsidP="003E3F5D">
      <w:pPr>
        <w:jc w:val="center"/>
        <w:rPr>
          <w:rFonts w:ascii="Calibri" w:eastAsia="Calibri" w:hAnsi="Calibri" w:cs="Calibri"/>
          <w:sz w:val="22"/>
          <w:szCs w:val="22"/>
          <w:lang w:val="it-IT"/>
        </w:rPr>
      </w:pPr>
      <w:r w:rsidRPr="003E3F5D">
        <w:rPr>
          <w:rFonts w:ascii="Calibri" w:eastAsia="Calibri" w:hAnsi="Calibri" w:cs="Calibri"/>
          <w:sz w:val="22"/>
          <w:szCs w:val="22"/>
          <w:lang w:val="it-IT"/>
        </w:rPr>
        <w:t>Integrantes: Ana Barletta, Gonzalo Conte, Ana María Soffiantini, Guillermo Torremare, Sandra Raggio, Maximiliano Batista.</w:t>
      </w:r>
    </w:p>
    <w:p w14:paraId="40460586" w14:textId="2E5C3229"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Dirección general de áreas: Sandra Raggio.</w:t>
      </w:r>
    </w:p>
    <w:p w14:paraId="594EB16E" w14:textId="21FD1302"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Dirección general de administración: Maximiliano Batista.</w:t>
      </w:r>
    </w:p>
    <w:p w14:paraId="3AF9BB4D" w14:textId="04CEEB7A"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Área justicia y seguridad Coordinador: Rodrigo Pomares.</w:t>
      </w:r>
    </w:p>
    <w:p w14:paraId="199359DC" w14:textId="112C6032"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Área educación, investigación y archivo Coordinadora: María Elena Saraví.</w:t>
      </w:r>
    </w:p>
    <w:p w14:paraId="44EAFB14" w14:textId="77777777" w:rsidR="00165BED" w:rsidRPr="003E3F5D" w:rsidRDefault="009D4909" w:rsidP="003E3F5D">
      <w:pPr>
        <w:jc w:val="center"/>
        <w:rPr>
          <w:rFonts w:ascii="Calibri" w:eastAsia="Calibri" w:hAnsi="Calibri" w:cs="Calibri"/>
          <w:sz w:val="22"/>
          <w:szCs w:val="22"/>
        </w:rPr>
      </w:pPr>
      <w:r w:rsidRPr="003E3F5D">
        <w:rPr>
          <w:rFonts w:ascii="Calibri" w:eastAsia="Calibri" w:hAnsi="Calibri" w:cs="Calibri"/>
          <w:sz w:val="22"/>
          <w:szCs w:val="22"/>
        </w:rPr>
        <w:t>Área comunicación y cultura Coordinador: Diego Díaz.</w:t>
      </w:r>
    </w:p>
    <w:sectPr w:rsidR="00165BED" w:rsidRPr="003E3F5D">
      <w:headerReference w:type="default" r:id="rId11"/>
      <w:footerReference w:type="default" r:id="rId12"/>
      <w:headerReference w:type="first" r:id="rId13"/>
      <w:footerReference w:type="first" r:id="rId14"/>
      <w:pgSz w:w="12240" w:h="15840"/>
      <w:pgMar w:top="992"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C52F6" w14:textId="77777777" w:rsidR="00A60F5D" w:rsidRDefault="00A60F5D">
      <w:pPr>
        <w:spacing w:after="0" w:line="240" w:lineRule="auto"/>
      </w:pPr>
      <w:r>
        <w:separator/>
      </w:r>
    </w:p>
  </w:endnote>
  <w:endnote w:type="continuationSeparator" w:id="0">
    <w:p w14:paraId="2D661510" w14:textId="77777777" w:rsidR="00A60F5D" w:rsidRDefault="00A60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BFCFEC9-268D-4D70-ADC2-27D73881009A}"/>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5B61367B-A6F3-4C1C-B8BF-D2C3712194F7}"/>
    <w:embedBold r:id="rId3" w:fontKey="{C9ECF34E-6003-42FB-AE4A-8AA995C91680}"/>
    <w:embedItalic r:id="rId4" w:fontKey="{C4E49982-AEA8-4490-A9C6-5E0E15DC7774}"/>
  </w:font>
  <w:font w:name="Aptos Display">
    <w:charset w:val="00"/>
    <w:family w:val="swiss"/>
    <w:pitch w:val="variable"/>
    <w:sig w:usb0="20000287" w:usb1="00000003" w:usb2="00000000" w:usb3="00000000" w:csb0="0000019F" w:csb1="00000000"/>
    <w:embedRegular r:id="rId5" w:fontKey="{35E95A1E-FBF4-408D-92F3-FAB9F39B6D7B}"/>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embedRegular r:id="rId6" w:fontKey="{8B654C5B-C507-430F-8C14-832FA876FBAD}"/>
  </w:font>
  <w:font w:name="Calibri">
    <w:panose1 w:val="020F0502020204030204"/>
    <w:charset w:val="00"/>
    <w:family w:val="swiss"/>
    <w:pitch w:val="variable"/>
    <w:sig w:usb0="E4002EFF" w:usb1="C200247B" w:usb2="00000009" w:usb3="00000000" w:csb0="000001FF" w:csb1="00000000"/>
    <w:embedRegular r:id="rId7" w:fontKey="{03958724-6EA4-4EF4-B676-CABA4217DB78}"/>
    <w:embedBold r:id="rId8" w:fontKey="{439A775E-7367-4918-ABAC-5A474567557D}"/>
    <w:embedItalic r:id="rId9" w:fontKey="{90125827-2A53-46A9-A0CD-54D860A7139D}"/>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embedRegular r:id="rId10" w:fontKey="{9484D755-1C31-4C54-9D13-9BDE15BC5F7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6CBF0" w14:textId="77777777" w:rsidR="00165BED" w:rsidRDefault="00165BE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0743F" w14:textId="77777777" w:rsidR="00165BED" w:rsidRDefault="00165B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2C053" w14:textId="77777777" w:rsidR="00A60F5D" w:rsidRDefault="00A60F5D">
      <w:pPr>
        <w:spacing w:after="0" w:line="240" w:lineRule="auto"/>
      </w:pPr>
      <w:r>
        <w:separator/>
      </w:r>
    </w:p>
  </w:footnote>
  <w:footnote w:type="continuationSeparator" w:id="0">
    <w:p w14:paraId="7FB26C51" w14:textId="77777777" w:rsidR="00A60F5D" w:rsidRDefault="00A60F5D">
      <w:pPr>
        <w:spacing w:after="0" w:line="240" w:lineRule="auto"/>
      </w:pPr>
      <w:r>
        <w:continuationSeparator/>
      </w:r>
    </w:p>
  </w:footnote>
  <w:footnote w:id="1">
    <w:p w14:paraId="559B3333" w14:textId="17ED4A3F" w:rsidR="00123742" w:rsidRPr="00123742" w:rsidRDefault="00123742">
      <w:pPr>
        <w:pStyle w:val="FootnoteText"/>
        <w:rPr>
          <w:lang w:val="es-ES"/>
        </w:rPr>
      </w:pPr>
      <w:r>
        <w:rPr>
          <w:rStyle w:val="FootnoteReference"/>
        </w:rPr>
        <w:footnoteRef/>
      </w:r>
      <w:r>
        <w:t xml:space="preserve"> </w:t>
      </w:r>
      <w:r>
        <w:rPr>
          <w:rFonts w:ascii="Calibri" w:hAnsi="Calibri" w:cs="Calibri"/>
          <w:sz w:val="18"/>
          <w:szCs w:val="18"/>
        </w:rPr>
        <w:t>L</w:t>
      </w:r>
      <w:r w:rsidRPr="00182DBA">
        <w:rPr>
          <w:rFonts w:ascii="Calibri" w:hAnsi="Calibri" w:cs="Calibri"/>
          <w:sz w:val="18"/>
          <w:szCs w:val="18"/>
        </w:rPr>
        <w:t xml:space="preserve">a cifra ha sido modificada para corregir una errata en el documento remitido el </w:t>
      </w:r>
      <w:r>
        <w:rPr>
          <w:rFonts w:ascii="Calibri" w:hAnsi="Calibri" w:cs="Calibri"/>
          <w:sz w:val="18"/>
          <w:szCs w:val="18"/>
        </w:rPr>
        <w:t>13</w:t>
      </w:r>
      <w:r w:rsidRPr="00182DBA">
        <w:rPr>
          <w:rFonts w:ascii="Calibri" w:hAnsi="Calibri" w:cs="Calibri"/>
          <w:sz w:val="18"/>
          <w:szCs w:val="18"/>
        </w:rPr>
        <w:t xml:space="preserve"> de octubre de 2025</w:t>
      </w:r>
    </w:p>
  </w:footnote>
  <w:footnote w:id="2">
    <w:p w14:paraId="4B677DB3"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Informe SNEEP 2023. Al momento de edición de este informe, no se habían publicado los datos correspondientes a 2024.</w:t>
      </w:r>
    </w:p>
  </w:footnote>
  <w:footnote w:id="3">
    <w:p w14:paraId="5C4E1F88"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Parte policial del 31/12/2024 remitido por el Ministerio de Seguridad provincial.</w:t>
      </w:r>
    </w:p>
  </w:footnote>
  <w:footnote w:id="4">
    <w:p w14:paraId="3C1C86A3"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Parte de población detenida en el SPB a diciembre de 2024. Más datos en </w:t>
      </w:r>
      <w:hyperlink r:id="rId1" w:anchor="titulo2">
        <w:r w:rsidR="00165BED" w:rsidRPr="003E3F5D">
          <w:rPr>
            <w:rFonts w:ascii="Calibri" w:hAnsi="Calibri" w:cs="Calibri"/>
            <w:color w:val="467886"/>
            <w:sz w:val="18"/>
            <w:szCs w:val="18"/>
            <w:u w:val="single"/>
          </w:rPr>
          <w:t>Datos Abiertos CPM</w:t>
        </w:r>
      </w:hyperlink>
    </w:p>
  </w:footnote>
  <w:footnote w:id="5">
    <w:p w14:paraId="2D65FA13"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Para mayor detalle ver seccion salud mental Informe CPM 2025 disponible en https://www.comisionporlamemoria.org/informeanual2025/wp-content/uploads/sites/16/sites/43/2025/08/saludmental.pdf</w:t>
      </w:r>
    </w:p>
  </w:footnote>
  <w:footnote w:id="6">
    <w:p w14:paraId="3C378318"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En 2024, había 30 mujeres embarazadas y 32 alojadas junto a sus hijos/as. Más información disponible en </w:t>
      </w:r>
      <w:hyperlink r:id="rId2" w:anchor="titulo2">
        <w:r w:rsidR="00165BED" w:rsidRPr="003E3F5D">
          <w:rPr>
            <w:rFonts w:ascii="Calibri" w:hAnsi="Calibri" w:cs="Calibri"/>
            <w:color w:val="467886"/>
            <w:sz w:val="18"/>
            <w:szCs w:val="18"/>
            <w:u w:val="single"/>
          </w:rPr>
          <w:t>Datos Abiertos CPM</w:t>
        </w:r>
      </w:hyperlink>
    </w:p>
  </w:footnote>
  <w:footnote w:id="7">
    <w:p w14:paraId="38AD018B"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https://wadmin.uca.edu.ar/public/ckeditor/Observatorio%20Deuda%20Social/Presentaciones/2024/Observatorio_CARITAS_presentacion_3-06-2024.pdf</w:t>
      </w:r>
    </w:p>
  </w:footnote>
  <w:footnote w:id="8">
    <w:p w14:paraId="6020F275"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Creado en el año 2010 por acuerdo interinstitucional de la Comisión por la Memoria de la provincia de Buenos Aires (CPM), la Procuración Penitenciaria de la Nación (PPN) y el Grupo de Estudios sobre Sistema Penal y Derechos Humanos del Instituto de Investigaciones Gino Germani, Facultad de Ciencias Sociales, Universidad de Buenos Aires (GESPyDH). </w:t>
      </w:r>
    </w:p>
  </w:footnote>
  <w:footnote w:id="9">
    <w:p w14:paraId="6B025ED9"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El RNCT identifica la tortura como un fenómeno multidimensional que contiene distintos tipos de violaciones a los derechos humanos y dimensiones de la violencia policial que no ocurren de manera aislada sino de forma simultánea o encadenada. En función de esto, releva 10 tipos distintos de torturas y malos tratos: aislamiento, traslados gravosos, agresiones físicas, requisa personal vejatoria, malas condiciones materiales de detención, falta o deficiente alimentación, falta o deficiente asistencia de la sa</w:t>
      </w:r>
      <w:r w:rsidRPr="003E3F5D">
        <w:rPr>
          <w:rFonts w:ascii="Calibri" w:hAnsi="Calibri" w:cs="Calibri"/>
          <w:color w:val="000000"/>
          <w:sz w:val="18"/>
          <w:szCs w:val="18"/>
        </w:rPr>
        <w:t>lud, robo y/o daño de pertenencias, impedimentos de vinculación familiar y social, y amenazas.</w:t>
      </w:r>
    </w:p>
  </w:footnote>
  <w:footnote w:id="10">
    <w:p w14:paraId="54FD9DB2"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Sistema de categorías de la Procuración Penitenciaria de la Nación (2008). </w:t>
      </w:r>
      <w:r w:rsidRPr="003E3F5D">
        <w:rPr>
          <w:rFonts w:ascii="Calibri" w:hAnsi="Calibri" w:cs="Calibri"/>
          <w:i/>
          <w:color w:val="000000"/>
          <w:sz w:val="18"/>
          <w:szCs w:val="18"/>
        </w:rPr>
        <w:t>Cuerpos castigados: malos tratos y tortura física en cárceles federales</w:t>
      </w:r>
      <w:r w:rsidRPr="003E3F5D">
        <w:rPr>
          <w:rFonts w:ascii="Calibri" w:hAnsi="Calibri" w:cs="Calibri"/>
          <w:color w:val="000000"/>
          <w:sz w:val="18"/>
          <w:szCs w:val="18"/>
        </w:rPr>
        <w:t xml:space="preserve">. Buenos Aires: Del Puerto. Según esta categorización, las </w:t>
      </w:r>
      <w:r w:rsidRPr="003E3F5D">
        <w:rPr>
          <w:rFonts w:ascii="Calibri" w:hAnsi="Calibri" w:cs="Calibri"/>
          <w:i/>
          <w:color w:val="000000"/>
          <w:sz w:val="18"/>
          <w:szCs w:val="18"/>
        </w:rPr>
        <w:t>lesiones leves</w:t>
      </w:r>
      <w:r w:rsidRPr="003E3F5D">
        <w:rPr>
          <w:rFonts w:ascii="Calibri" w:hAnsi="Calibri" w:cs="Calibri"/>
          <w:color w:val="000000"/>
          <w:sz w:val="18"/>
          <w:szCs w:val="18"/>
        </w:rPr>
        <w:t xml:space="preserve"> son aquel daño físico que refiere a la producción de marcas y dolor en diferentes partes del cuerpo: hematomas, raspaduras, excoriaciones, etcétera, consecuencia de una significativa intensidad y frecuencia de los golpes infligidos. Las </w:t>
      </w:r>
      <w:r w:rsidRPr="003E3F5D">
        <w:rPr>
          <w:rFonts w:ascii="Calibri" w:hAnsi="Calibri" w:cs="Calibri"/>
          <w:i/>
          <w:color w:val="000000"/>
          <w:sz w:val="18"/>
          <w:szCs w:val="18"/>
        </w:rPr>
        <w:t>lesiones intermedias</w:t>
      </w:r>
      <w:r w:rsidRPr="003E3F5D">
        <w:rPr>
          <w:rFonts w:ascii="Calibri" w:hAnsi="Calibri" w:cs="Calibri"/>
          <w:color w:val="000000"/>
          <w:sz w:val="18"/>
          <w:szCs w:val="18"/>
        </w:rPr>
        <w:t xml:space="preserve"> suponen una mayor intensidad en e</w:t>
      </w:r>
      <w:r w:rsidRPr="003E3F5D">
        <w:rPr>
          <w:rFonts w:ascii="Calibri" w:hAnsi="Calibri" w:cs="Calibri"/>
          <w:color w:val="000000"/>
          <w:sz w:val="18"/>
          <w:szCs w:val="18"/>
        </w:rPr>
        <w:t xml:space="preserve">l dolor físico y en el daño producido que las lesiones leves y además marcan al cuerpo de la persona detenida con cortes y lastimaduras, aunque no comprometan ningún órgano o función orgánica; también incluyen la hinchazón o inflamación de diferentes zonas del cuerpo -tobillos, rodillas, ojos, boca, etcétera-. Las </w:t>
      </w:r>
      <w:r w:rsidRPr="003E3F5D">
        <w:rPr>
          <w:rFonts w:ascii="Calibri" w:hAnsi="Calibri" w:cs="Calibri"/>
          <w:i/>
          <w:color w:val="000000"/>
          <w:sz w:val="18"/>
          <w:szCs w:val="18"/>
        </w:rPr>
        <w:t>lesiones severas</w:t>
      </w:r>
      <w:r w:rsidRPr="003E3F5D">
        <w:rPr>
          <w:rFonts w:ascii="Calibri" w:hAnsi="Calibri" w:cs="Calibri"/>
          <w:color w:val="000000"/>
          <w:sz w:val="18"/>
          <w:szCs w:val="18"/>
        </w:rPr>
        <w:t xml:space="preserve"> incluyen fisuras, quebraduras, desgarros, cortes profundos por puñaladas, lesiones profundas externas o internas (orgánico-funcionales, que implican pérdida de algún órgano o func</w:t>
      </w:r>
      <w:r w:rsidRPr="003E3F5D">
        <w:rPr>
          <w:rFonts w:ascii="Calibri" w:hAnsi="Calibri" w:cs="Calibri"/>
          <w:color w:val="000000"/>
          <w:sz w:val="18"/>
          <w:szCs w:val="18"/>
        </w:rPr>
        <w:t>ión orgánica imprescindible para el normal desarrollo de la persona en su vida cotidiana). Ejemplos: perforación de oído, hemoptisis -vómito de sangre-, conmoción cerebral, desprendimiento de retina, pérdida de dientes o de la visión, fracturas y fisuras de miembros superiores o inferiores (brazos o piernas).</w:t>
      </w:r>
    </w:p>
  </w:footnote>
  <w:footnote w:id="11">
    <w:p w14:paraId="2097A10A"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r w:rsidRPr="003E3F5D">
        <w:rPr>
          <w:rFonts w:ascii="Calibri" w:eastAsia="Calibri" w:hAnsi="Calibri" w:cs="Calibri"/>
          <w:sz w:val="18"/>
          <w:szCs w:val="18"/>
        </w:rPr>
        <w:t>Se trata de armas menos letales que disparan proyectiles que contienen agresivos químicos y expulsar a las personas que selectivamente identifica molestas para la convivencia en el entorno de la ciudad de Mar del Plata. Es de destacar que el límite de las facultades de la Patrulla Municipal, surge del Decreto municipal N° 0988 del 18/06/2020 (modificado por decreto N° 1144), en el que se establece que la: “Patrulla Municipal” tendrá por misión “Colaborar y coordinar con las fuerzas de seguridad federales y</w:t>
      </w:r>
      <w:r w:rsidRPr="003E3F5D">
        <w:rPr>
          <w:rFonts w:ascii="Calibri" w:eastAsia="Calibri" w:hAnsi="Calibri" w:cs="Calibri"/>
          <w:sz w:val="18"/>
          <w:szCs w:val="18"/>
        </w:rPr>
        <w:t xml:space="preserve"> provinciales, conforme directivas de la superioridad, a efectos de materializar las políticas generales de prevención y seguridad en el ámbito del Partido de General Pueyrredón.</w:t>
      </w:r>
    </w:p>
    <w:p w14:paraId="7409BB45" w14:textId="77777777" w:rsidR="00165BED" w:rsidRPr="003E3F5D" w:rsidRDefault="00165BED" w:rsidP="003E3F5D">
      <w:pPr>
        <w:spacing w:after="0" w:line="240" w:lineRule="auto"/>
        <w:jc w:val="both"/>
        <w:rPr>
          <w:rFonts w:ascii="Calibri" w:hAnsi="Calibri" w:cs="Calibri"/>
          <w:sz w:val="18"/>
          <w:szCs w:val="18"/>
        </w:rPr>
      </w:pPr>
    </w:p>
  </w:footnote>
  <w:footnote w:id="12">
    <w:p w14:paraId="34624093"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hyperlink r:id="rId3">
        <w:r w:rsidR="00165BED" w:rsidRPr="003E3F5D">
          <w:rPr>
            <w:rFonts w:ascii="Calibri" w:eastAsia="Calibri" w:hAnsi="Calibri" w:cs="Calibri"/>
            <w:color w:val="1155CC"/>
            <w:sz w:val="18"/>
            <w:szCs w:val="18"/>
            <w:u w:val="single"/>
          </w:rPr>
          <w:t>https://www.infocielo.com/politica-y-economia/vicente-lopez-jorge-macri-presento-la-fuerza-los-guardianes-calle-n38902</w:t>
        </w:r>
      </w:hyperlink>
      <w:r w:rsidRPr="003E3F5D">
        <w:rPr>
          <w:rFonts w:ascii="Calibri" w:eastAsia="Calibri" w:hAnsi="Calibri" w:cs="Calibri"/>
          <w:sz w:val="18"/>
          <w:szCs w:val="18"/>
        </w:rPr>
        <w:t xml:space="preserve"> </w:t>
      </w:r>
    </w:p>
  </w:footnote>
  <w:footnote w:id="13">
    <w:p w14:paraId="385420A5"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hyperlink r:id="rId4">
        <w:r w:rsidR="00165BED" w:rsidRPr="003E3F5D">
          <w:rPr>
            <w:rFonts w:ascii="Calibri" w:eastAsia="Calibri" w:hAnsi="Calibri" w:cs="Calibri"/>
            <w:color w:val="1155CC"/>
            <w:sz w:val="18"/>
            <w:szCs w:val="18"/>
            <w:u w:val="single"/>
          </w:rPr>
          <w:t>https://www.vicentelopez.gov.ar/gestion/nuevas-camionetas-y-motos-de-patrulla</w:t>
        </w:r>
      </w:hyperlink>
      <w:r w:rsidRPr="003E3F5D">
        <w:rPr>
          <w:rFonts w:ascii="Calibri" w:eastAsia="Calibri" w:hAnsi="Calibri" w:cs="Calibri"/>
          <w:sz w:val="18"/>
          <w:szCs w:val="18"/>
        </w:rPr>
        <w:t xml:space="preserve"> </w:t>
      </w:r>
    </w:p>
  </w:footnote>
  <w:footnote w:id="14">
    <w:p w14:paraId="0E751A3C"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r w:rsidRPr="003E3F5D">
        <w:rPr>
          <w:rFonts w:ascii="Calibri" w:eastAsia="Calibri" w:hAnsi="Calibri" w:cs="Calibri"/>
          <w:sz w:val="18"/>
          <w:szCs w:val="18"/>
        </w:rPr>
        <w:t xml:space="preserve">Decreto 4079/2025 – Resolución 880-2025 </w:t>
      </w:r>
    </w:p>
  </w:footnote>
  <w:footnote w:id="15">
    <w:p w14:paraId="3D7C1D6E"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hyperlink r:id="rId5">
        <w:r w:rsidR="00165BED" w:rsidRPr="003E3F5D">
          <w:rPr>
            <w:rFonts w:ascii="Calibri" w:eastAsia="Calibri" w:hAnsi="Calibri" w:cs="Calibri"/>
            <w:color w:val="1155CC"/>
            <w:sz w:val="18"/>
            <w:szCs w:val="18"/>
            <w:u w:val="single"/>
          </w:rPr>
          <w:t>https://www.vicentelopez.gov.ar/gestion/patrulla-armada-con-pistolas-byrn</w:t>
        </w:r>
      </w:hyperlink>
      <w:r w:rsidRPr="003E3F5D">
        <w:rPr>
          <w:rFonts w:ascii="Calibri" w:eastAsia="Calibri" w:hAnsi="Calibri" w:cs="Calibri"/>
          <w:sz w:val="18"/>
          <w:szCs w:val="18"/>
        </w:rPr>
        <w:t xml:space="preserve">, </w:t>
      </w:r>
      <w:hyperlink r:id="rId6">
        <w:r w:rsidR="00165BED" w:rsidRPr="003E3F5D">
          <w:rPr>
            <w:rFonts w:ascii="Calibri" w:eastAsia="Calibri" w:hAnsi="Calibri" w:cs="Calibri"/>
            <w:color w:val="1155CC"/>
            <w:sz w:val="18"/>
            <w:szCs w:val="18"/>
            <w:u w:val="single"/>
          </w:rPr>
          <w:t>https://www.youtube.com/watch?v=GuX-2wUzce8</w:t>
        </w:r>
      </w:hyperlink>
      <w:r w:rsidRPr="003E3F5D">
        <w:rPr>
          <w:rFonts w:ascii="Calibri" w:eastAsia="Calibri" w:hAnsi="Calibri" w:cs="Calibri"/>
          <w:sz w:val="18"/>
          <w:szCs w:val="18"/>
        </w:rPr>
        <w:t xml:space="preserve"> </w:t>
      </w:r>
    </w:p>
  </w:footnote>
  <w:footnote w:id="16">
    <w:p w14:paraId="5D81D030"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r w:rsidRPr="003E3F5D">
        <w:rPr>
          <w:rFonts w:ascii="Calibri" w:eastAsia="Calibri" w:hAnsi="Calibri" w:cs="Calibri"/>
          <w:sz w:val="18"/>
          <w:szCs w:val="18"/>
        </w:rPr>
        <w:t>Esta causa es investigada por la UFI de Vicente Lopez Este bajo la IPP 14-06-4128-25</w:t>
      </w:r>
    </w:p>
  </w:footnote>
  <w:footnote w:id="17">
    <w:p w14:paraId="581CA95D"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w:t>
      </w:r>
      <w:r w:rsidRPr="003E3F5D">
        <w:rPr>
          <w:rFonts w:ascii="Calibri" w:eastAsia="Calibri" w:hAnsi="Calibri" w:cs="Calibri"/>
          <w:color w:val="000000"/>
          <w:sz w:val="18"/>
          <w:szCs w:val="18"/>
        </w:rPr>
        <w:t xml:space="preserve">Estas comisarías son: 6ta del Talar-Tigre, 7ma de Glew, 11va de San Isidro, 3ra Munro y 6ta de Vicente López, 6ta de Mariano Acosta-Merlo, 1ra y 2da de Malvinas Argentinas, 2da de Esteban Echeverría-Luis Guillón, 1ra de Esteban Echeverría-Monte Grande, 2da y 9na de Villa Ballester, 4ta Villa Pineral, 5ta,  6ta y 10ma de Tres de Febrero, 1ra de San Justo, 6ta Los pinos La Matanza, 1ra de Pilar, 1ra, 2da  y 4ta de San Fernando, 1ra de La Plata, 3ra de Quilmes, 5ta de Billinghurst, 6ta Talar-Tigre, 3ra Pablo </w:t>
      </w:r>
      <w:r w:rsidRPr="003E3F5D">
        <w:rPr>
          <w:rFonts w:ascii="Calibri" w:eastAsia="Calibri" w:hAnsi="Calibri" w:cs="Calibri"/>
          <w:color w:val="000000"/>
          <w:sz w:val="18"/>
          <w:szCs w:val="18"/>
        </w:rPr>
        <w:t>Nogués, 1ra y 11va La Cava-San Isidro, 3ra Boulogne, 5ta Almirante Brown, 3ra San Miguel, 1ra  y 2da Moreno, 4ta San Martín, 5ta Beccar San Isidro, 2da Este Isidro Casanova, 1ra Norte San Justo, 9na Lomas del Millón, 2da Villa Ballester, 8va Lanús.</w:t>
      </w:r>
    </w:p>
  </w:footnote>
  <w:footnote w:id="18">
    <w:p w14:paraId="5E9A2C26"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Las fiscalías que no garantizaron el acceso son: UFI 5 de Avellaneda-Lanús, Ayudantía de delitos de gravedad institucional de La Matanza,  UFI 2 de Mercedes, UFI 2 y UFI 9 de Moreno-General Rodríguez, UFI 5 y UFI 6 de Morón, UFI 2 de Pilar,  UFI descentralizada El Talar-Tigre y UFI  correccional de San Isidro, UFI 23 de Malvinas Argentinas, UFI 1 de San Martín, UFI 7, 1 UFI 3 de San Martín.</w:t>
      </w:r>
    </w:p>
  </w:footnote>
  <w:footnote w:id="19">
    <w:p w14:paraId="5B9CA610"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La policía de la provincia de Buenos Aires lleva un registro diario de las detenciones de personas en comisarías. Esta información, asentada en libros no digitalizados y construida por los propios agentes policiales, permite conocer la dinámica y el verdadero alcance de la circulación cotidiana registrada de personas por las dependencias policiales, así como las principales orientaciones de las aprehensiones policiales, aportando información que no se encuentra disponible en otras fuentes oficiales. En esp</w:t>
      </w:r>
      <w:r w:rsidRPr="003E3F5D">
        <w:rPr>
          <w:rFonts w:ascii="Calibri" w:eastAsia="Calibri" w:hAnsi="Calibri" w:cs="Calibri"/>
          <w:color w:val="000000"/>
          <w:sz w:val="18"/>
          <w:szCs w:val="18"/>
        </w:rPr>
        <w:t>ecial son relevantes las variables referidas al motivo de detención, al tiempo de permanencia, al domicilio de origen, a aspectos demográficos y al destino de las personas detenidas, así como los diversos cruces que pueden hacerse entre ellas. El Ministerio de Seguridad, sin embargo, no asume la tarea de recopilar y sistematizar esta información para darle un uso en la elaboración de su política diaria o estratégica, perdiéndose así una importante fuente de material de análisis. Es por ello que la CPM lleva</w:t>
      </w:r>
      <w:r w:rsidRPr="003E3F5D">
        <w:rPr>
          <w:rFonts w:ascii="Calibri" w:eastAsia="Calibri" w:hAnsi="Calibri" w:cs="Calibri"/>
          <w:color w:val="000000"/>
          <w:sz w:val="18"/>
          <w:szCs w:val="18"/>
        </w:rPr>
        <w:t xml:space="preserve"> desde 2015 un registro propio sobre los libros de detenciones en comisarías (en adelante LCD), registro que conlleva recabar en forma directa la información original, la digitalización de las tablas manuscritas, la construcción de una base de datos y su posterior procesamiento, análisis y publicación de resultados.</w:t>
      </w:r>
    </w:p>
  </w:footnote>
  <w:footnote w:id="20">
    <w:p w14:paraId="239BA21C"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lang w:val="it-IT"/>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w:t>
      </w:r>
      <w:r w:rsidRPr="003E3F5D">
        <w:rPr>
          <w:rFonts w:ascii="Calibri" w:eastAsia="Calibri" w:hAnsi="Calibri" w:cs="Calibri"/>
          <w:color w:val="000000"/>
          <w:sz w:val="18"/>
          <w:szCs w:val="18"/>
        </w:rPr>
        <w:t xml:space="preserve">Se </w:t>
      </w:r>
      <w:r w:rsidRPr="003E3F5D">
        <w:rPr>
          <w:rFonts w:ascii="Calibri" w:eastAsia="Calibri" w:hAnsi="Calibri" w:cs="Calibri"/>
          <w:sz w:val="18"/>
          <w:szCs w:val="18"/>
        </w:rPr>
        <w:t>relevaron</w:t>
      </w:r>
      <w:r w:rsidRPr="003E3F5D">
        <w:rPr>
          <w:rFonts w:ascii="Calibri" w:eastAsia="Calibri" w:hAnsi="Calibri" w:cs="Calibri"/>
          <w:color w:val="000000"/>
          <w:sz w:val="18"/>
          <w:szCs w:val="18"/>
        </w:rPr>
        <w:t xml:space="preserve"> las comisarías de: San Martin: 3ra Villa Linch, 4ta- José León Suárez, 8va-Villa Concepción, Destacamento Femenino, DDI San Martin, 2nda-Villa Ballester, 6ta-Villa Maipú y 9na-Villa Ballester. Moreno: 1ra-Moreno, 2da-Trujui, 4ta-Cuartel V, 5ta- Paso del Rey, 6ta-Francisco Álvarez, 7ma-La Reja, 8va-Las Catonas. General Rodríguez: Comando de Patrullas de Gral. Rodríguez, DDI Moreno- Gral. Rodríguez, 1ra-Gral. Rodríguez, 2da- Las Malvinas. La Matanza: Ciudad Evita, 7ma-Los Pinos, Gregorio de Lafe</w:t>
      </w:r>
      <w:r w:rsidRPr="003E3F5D">
        <w:rPr>
          <w:rFonts w:ascii="Calibri" w:eastAsia="Calibri" w:hAnsi="Calibri" w:cs="Calibri"/>
          <w:color w:val="000000"/>
          <w:sz w:val="18"/>
          <w:szCs w:val="18"/>
        </w:rPr>
        <w:t xml:space="preserve">rrere Sur, Este 2-Isidro Casanova, Noroeste 2-Ramos Mejía, Villa Luzuriaga, Villa Celina, Rafael Castillo, San Alberto, San Carlos, San Justo, 1ra Sur González Catán, Villa Dorrego y Virrey del Pino Sur. </w:t>
      </w:r>
      <w:r w:rsidRPr="003E3F5D">
        <w:rPr>
          <w:rFonts w:ascii="Calibri" w:eastAsia="Calibri" w:hAnsi="Calibri" w:cs="Calibri"/>
          <w:color w:val="000000"/>
          <w:sz w:val="18"/>
          <w:szCs w:val="18"/>
          <w:lang w:val="it-IT"/>
        </w:rPr>
        <w:t>Avellaneda: 1ra- Avellaneda, Avellaneda 2da- Piñeyro,3ra- Dock Sud, 4ta- Sarandí, 5ta-Wlde, Avellaneda 6ta- Gerli (Echenagucía) y 7ma-Villa Corina</w:t>
      </w:r>
      <w:r w:rsidRPr="003E3F5D">
        <w:rPr>
          <w:rFonts w:ascii="Calibri" w:hAnsi="Calibri" w:cs="Calibri"/>
          <w:color w:val="000000"/>
          <w:sz w:val="18"/>
          <w:szCs w:val="18"/>
          <w:lang w:val="it-IT"/>
        </w:rPr>
        <w:t>.</w:t>
      </w:r>
    </w:p>
  </w:footnote>
  <w:footnote w:id="21">
    <w:p w14:paraId="24A6CE09" w14:textId="77777777" w:rsidR="00165BED" w:rsidRPr="003E3F5D" w:rsidRDefault="009D4909" w:rsidP="003E3F5D">
      <w:pPr>
        <w:spacing w:after="0" w:line="240" w:lineRule="auto"/>
        <w:jc w:val="both"/>
        <w:rPr>
          <w:rFonts w:ascii="Calibri" w:eastAsia="Calibri" w:hAnsi="Calibri" w:cs="Calibri"/>
          <w:sz w:val="18"/>
          <w:szCs w:val="18"/>
          <w:lang w:val="it-IT"/>
        </w:rPr>
      </w:pPr>
      <w:r w:rsidRPr="003E3F5D">
        <w:rPr>
          <w:rFonts w:ascii="Calibri" w:hAnsi="Calibri" w:cs="Calibri"/>
          <w:sz w:val="18"/>
          <w:szCs w:val="18"/>
          <w:vertAlign w:val="superscript"/>
        </w:rPr>
        <w:footnoteRef/>
      </w:r>
      <w:r w:rsidRPr="003E3F5D">
        <w:rPr>
          <w:rFonts w:ascii="Calibri" w:eastAsia="Calibri" w:hAnsi="Calibri" w:cs="Calibri"/>
          <w:sz w:val="18"/>
          <w:szCs w:val="18"/>
          <w:lang w:val="it-IT"/>
        </w:rPr>
        <w:t xml:space="preserve"> https://www.comisionporlamemoria.org/datosabiertos/violencia-policial-datos/</w:t>
      </w:r>
    </w:p>
  </w:footnote>
  <w:footnote w:id="22">
    <w:p w14:paraId="2E3AFC26"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Se solicito al Estado: </w:t>
      </w:r>
    </w:p>
    <w:p w14:paraId="27E7FF38"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color w:val="000000"/>
          <w:sz w:val="18"/>
          <w:szCs w:val="18"/>
        </w:rPr>
        <w:t>En relación con las anteriores observaciones finales (párrs</w:t>
      </w:r>
      <w:r w:rsidRPr="003E3F5D">
        <w:rPr>
          <w:rFonts w:ascii="Calibri" w:hAnsi="Calibri" w:cs="Calibri"/>
          <w:color w:val="000000"/>
          <w:sz w:val="18"/>
          <w:szCs w:val="18"/>
        </w:rPr>
        <w:t>. 15 a 18), sírvanse describir las medidas legislativas y de otra índole adoptadas para reducir el uso y duración de la prisión preventiva en la ley y en la práctica , especialmente de niños, niñas y adolescentes en conflicto con la ley25. Faciliten también información sobre las iniciativas diseñadas para reducir la tasa de encarcelamiento nacional y el hacinamiento en las cárceles , especificando los resultados que se han alcanzado en cada jurisdicción y las medidas dirigidas a acelerar la aplicación de me</w:t>
      </w:r>
      <w:r w:rsidRPr="003E3F5D">
        <w:rPr>
          <w:rFonts w:ascii="Calibri" w:hAnsi="Calibri" w:cs="Calibri"/>
          <w:color w:val="000000"/>
          <w:sz w:val="18"/>
          <w:szCs w:val="18"/>
        </w:rPr>
        <w:t>didas alternativas a la detención antes y después del juicio, especialmente en relación con mujeres embarazadas o con hijos27 o en el caso de delitos no violentos . A</w:t>
      </w:r>
    </w:p>
  </w:footnote>
  <w:footnote w:id="23">
    <w:p w14:paraId="0A36D0C7"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Informe SNEEP 2023. Al momento de edición de este informe, no se habían publicado los datos correspondientes a 2024.</w:t>
      </w:r>
    </w:p>
  </w:footnote>
  <w:footnote w:id="24">
    <w:p w14:paraId="73F41611"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Parte policial del 31/12/2024 remitido por el Ministerio de Seguridad provincial.</w:t>
      </w:r>
    </w:p>
  </w:footnote>
  <w:footnote w:id="25">
    <w:p w14:paraId="75FF77B8"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Más datos en </w:t>
      </w:r>
      <w:hyperlink r:id="rId7" w:anchor="titulo1">
        <w:r w:rsidR="00165BED" w:rsidRPr="003E3F5D">
          <w:rPr>
            <w:rFonts w:ascii="Calibri" w:hAnsi="Calibri" w:cs="Calibri"/>
            <w:color w:val="467886"/>
            <w:sz w:val="18"/>
            <w:szCs w:val="18"/>
            <w:u w:val="single"/>
          </w:rPr>
          <w:t>Datos Abiertos CPM</w:t>
        </w:r>
      </w:hyperlink>
    </w:p>
  </w:footnote>
  <w:footnote w:id="26">
    <w:p w14:paraId="64A0BD43"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EL informe menciona que : </w:t>
      </w:r>
      <w:r w:rsidRPr="003E3F5D">
        <w:rPr>
          <w:rFonts w:ascii="Calibri" w:hAnsi="Calibri" w:cs="Calibri"/>
          <w:color w:val="000000"/>
          <w:sz w:val="18"/>
          <w:szCs w:val="18"/>
        </w:rPr>
        <w:br/>
        <w:t>136.Por otra parte, se aporta información específica de la Provincia de Buenos Aires, atento que la jurisdicción nacional-federal, junto con la mencionada provincia, contienen la mayor cantidad de centros de detención y personas detenidas de nuestro país. Así, en el marco del estado de emergencia declarado mediante la ley n° 14.80630 en el ámbito de esa provincia, se diseñó un Plan de Infraestructura Edilicia tendiente a disminuir progresivamente el crítico nivel de superpoblación</w:t>
      </w:r>
      <w:r w:rsidRPr="003E3F5D">
        <w:rPr>
          <w:rFonts w:ascii="Calibri" w:hAnsi="Calibri" w:cs="Calibri"/>
          <w:color w:val="000000"/>
          <w:sz w:val="18"/>
          <w:szCs w:val="18"/>
        </w:rPr>
        <w:t xml:space="preserve"> carcelaria.</w:t>
      </w:r>
    </w:p>
    <w:p w14:paraId="05899114"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color w:val="000000"/>
          <w:sz w:val="18"/>
          <w:szCs w:val="18"/>
        </w:rPr>
        <w:t>137. El plan consta de tres grandes etapas: la continuación de obras en ejecución o a ejecutar que suman 1.940 nuevas plazas de alojamiento; la construcción en unidades existentes de 16 hospitales sanitarios; y la concreción de obras para crear 18.000 nuevas plazas, mediante la edificación de nuevas unidades penitenciarias, alcaidías departamentales y casas de pre-egreso que mejoren las condiciones de detención dentro del sistema penitenciario provincial.</w:t>
      </w:r>
    </w:p>
    <w:p w14:paraId="098F68A9"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color w:val="000000"/>
          <w:sz w:val="18"/>
          <w:szCs w:val="18"/>
        </w:rPr>
        <w:t xml:space="preserve">138. Asimismo, en el marco de lo ordenado en la sentencia dictada en octubre de 2020 en la causa N° 100.983 caratulada “Internos de las Unidades Carcelarias N° 17, 30 y 31 del Servicio Penitenciario de la Provincia de Buenos Aires s/ Habeas Corpus Colectivo”, el Ministerio de Justicia y Derechos Humanos provincial elaboró una propuesta de descongestión progresiva de comisarías, cuya implementación está siendo actualmente monitoreadas por las autoridades judiciales y la Defensoría del Pueblo de la Provincia </w:t>
      </w:r>
      <w:r w:rsidRPr="003E3F5D">
        <w:rPr>
          <w:rFonts w:ascii="Calibri" w:hAnsi="Calibri" w:cs="Calibri"/>
          <w:color w:val="000000"/>
          <w:sz w:val="18"/>
          <w:szCs w:val="18"/>
        </w:rPr>
        <w:t>de Buenos Aires.</w:t>
      </w:r>
    </w:p>
  </w:footnote>
  <w:footnote w:id="27">
    <w:p w14:paraId="5DAEDE4E"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Más datos en </w:t>
      </w:r>
      <w:hyperlink r:id="rId8" w:anchor="titulo4">
        <w:r w:rsidR="00165BED" w:rsidRPr="003E3F5D">
          <w:rPr>
            <w:rFonts w:ascii="Calibri" w:hAnsi="Calibri" w:cs="Calibri"/>
            <w:color w:val="467886"/>
            <w:sz w:val="18"/>
            <w:szCs w:val="18"/>
            <w:u w:val="single"/>
          </w:rPr>
          <w:t>Datos abiertos CPM</w:t>
        </w:r>
      </w:hyperlink>
      <w:r w:rsidRPr="003E3F5D">
        <w:rPr>
          <w:rFonts w:ascii="Calibri" w:hAnsi="Calibri" w:cs="Calibri"/>
          <w:sz w:val="18"/>
          <w:szCs w:val="18"/>
        </w:rPr>
        <w:t>. Es necesario aclarar que esta tasa es distinta a la informada por el RUD, que por demoras de los funcionarios en la carga de datos puede sobreestimar la cantidad de personas detenidas, además contabiliza personas a disposición de la justicia provincial pero detenidas en otras provincias.</w:t>
      </w:r>
    </w:p>
  </w:footnote>
  <w:footnote w:id="28">
    <w:p w14:paraId="1893380C"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La tasa específica se calcula quitando de la población de base a las personas menores de 18 años (aproximadamente el 30% del total), debido a que el universo analizado en materia penal es exclusivamente la población adulta.</w:t>
      </w:r>
    </w:p>
  </w:footnote>
  <w:footnote w:id="29">
    <w:p w14:paraId="62D9D270"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Medidas cautelares MC-104-12 “Unidades penitenciarias 46, 47 y 48 del Servicio Penitenciario de la provincia de Buenos Aires”, MC 496-14 y 37-15 “Asunto sobre seis comisarías ubicadas en el departamento de Lomas de Zamora y La Matanza” y su ampliación en 2019 “Asunto personas privadas de libertad en 15 comisarías respecto de Argentina”. </w:t>
      </w:r>
    </w:p>
  </w:footnote>
  <w:footnote w:id="30">
    <w:p w14:paraId="596B07B9"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Más datos en </w:t>
      </w:r>
      <w:hyperlink r:id="rId9" w:anchor="titulo2">
        <w:r w:rsidR="00165BED" w:rsidRPr="003E3F5D">
          <w:rPr>
            <w:rFonts w:ascii="Calibri" w:hAnsi="Calibri" w:cs="Calibri"/>
            <w:color w:val="467886"/>
            <w:sz w:val="18"/>
            <w:szCs w:val="18"/>
            <w:u w:val="single"/>
          </w:rPr>
          <w:t>https://www.comisionporlamemoria.org/datosabiertos/comisarias-datos/#titulo2</w:t>
        </w:r>
      </w:hyperlink>
    </w:p>
  </w:footnote>
  <w:footnote w:id="31">
    <w:p w14:paraId="7A1439C4"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Según el cálculo realizado por la CPM en base a una actualización del </w:t>
      </w:r>
      <w:r w:rsidRPr="003E3F5D">
        <w:rPr>
          <w:rFonts w:ascii="Calibri" w:hAnsi="Calibri" w:cs="Calibri"/>
          <w:i/>
          <w:sz w:val="18"/>
          <w:szCs w:val="18"/>
        </w:rPr>
        <w:t>Plan edilicio y de servicios</w:t>
      </w:r>
      <w:r w:rsidRPr="003E3F5D">
        <w:rPr>
          <w:rFonts w:ascii="Calibri" w:hAnsi="Calibri" w:cs="Calibri"/>
          <w:sz w:val="18"/>
          <w:szCs w:val="18"/>
        </w:rPr>
        <w:t xml:space="preserve"> del Ministerio de Justicia (2008) y otras fuentes complementarias. Por ser espacios de alojamiento transitorio, dicha cifra no incluye las unidades 22 y 29, como tampoco los pabellones de aislamiento. En 2023 fueron inauguradas 3.832 nuevas plazas, correspondientes a la habilitación de 2 cárceles (59 y 60 de Merlo) y 6 alcaidías (Almirante Brown, Berazategui, La Matanza, Lomas de Zamora II, Melchor Romero y Merlo). En 2024 no se informaron nuevas habilitaciones. </w:t>
      </w:r>
    </w:p>
  </w:footnote>
  <w:footnote w:id="32">
    <w:p w14:paraId="74F9142E"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Más datos en </w:t>
      </w:r>
      <w:hyperlink r:id="rId10" w:anchor="titulo2">
        <w:r w:rsidR="00165BED" w:rsidRPr="003E3F5D">
          <w:rPr>
            <w:rFonts w:ascii="Calibri" w:hAnsi="Calibri" w:cs="Calibri"/>
            <w:color w:val="467886"/>
            <w:sz w:val="18"/>
            <w:szCs w:val="18"/>
            <w:u w:val="single"/>
          </w:rPr>
          <w:t>Datos Abiertos CPM</w:t>
        </w:r>
      </w:hyperlink>
    </w:p>
  </w:footnote>
  <w:footnote w:id="33">
    <w:p w14:paraId="12880BD8"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Parte de población detenida en el SPB a diciembre de 2024. Más datos en </w:t>
      </w:r>
      <w:hyperlink r:id="rId11" w:anchor="titulo2">
        <w:r w:rsidR="00165BED" w:rsidRPr="003E3F5D">
          <w:rPr>
            <w:rFonts w:ascii="Calibri" w:hAnsi="Calibri" w:cs="Calibri"/>
            <w:color w:val="467886"/>
            <w:sz w:val="18"/>
            <w:szCs w:val="18"/>
            <w:u w:val="single"/>
          </w:rPr>
          <w:t>Datos Abiertos CPM</w:t>
        </w:r>
      </w:hyperlink>
    </w:p>
  </w:footnote>
  <w:footnote w:id="34">
    <w:p w14:paraId="083B1CF0"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Más datos en </w:t>
      </w:r>
      <w:hyperlink r:id="rId12" w:anchor="titulo2">
        <w:r w:rsidR="00165BED" w:rsidRPr="003E3F5D">
          <w:rPr>
            <w:rFonts w:ascii="Calibri" w:hAnsi="Calibri" w:cs="Calibri"/>
            <w:color w:val="467886"/>
            <w:sz w:val="18"/>
            <w:szCs w:val="18"/>
            <w:u w:val="single"/>
          </w:rPr>
          <w:t>Datos abiertos CPM</w:t>
        </w:r>
      </w:hyperlink>
    </w:p>
  </w:footnote>
  <w:footnote w:id="35">
    <w:p w14:paraId="5ED1D0E4"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Según la Procuración, desde que se abre una investigación penal preparatoria, pasan 119 días hasta su finalización por juicio abreviado y723 días en total desde el inicio hasta que finaliza en juicio (Informe de control de gestión del Ministerio Público Fiscal de la provincia de Buenos Aires, 2023, datos promedios).</w:t>
      </w:r>
    </w:p>
  </w:footnote>
  <w:footnote w:id="36">
    <w:p w14:paraId="3247B364"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Informes de control de gestión, Procuración General de la provincia de Buenos Aires (2023).</w:t>
      </w:r>
    </w:p>
  </w:footnote>
  <w:footnote w:id="37">
    <w:p w14:paraId="03B9C0C6"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Más datos en </w:t>
      </w:r>
      <w:hyperlink r:id="rId13" w:anchor="titulo3">
        <w:r w:rsidR="00165BED" w:rsidRPr="003E3F5D">
          <w:rPr>
            <w:rFonts w:ascii="Calibri" w:hAnsi="Calibri" w:cs="Calibri"/>
            <w:color w:val="467886"/>
            <w:sz w:val="18"/>
            <w:szCs w:val="18"/>
            <w:u w:val="single"/>
          </w:rPr>
          <w:t>Datos abiertos CPM</w:t>
        </w:r>
      </w:hyperlink>
    </w:p>
  </w:footnote>
  <w:footnote w:id="38">
    <w:p w14:paraId="08251D50"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Informes de control de gestión, Procuración General de la provincia de Buenos Aires (2023).</w:t>
      </w:r>
    </w:p>
  </w:footnote>
  <w:footnote w:id="39">
    <w:p w14:paraId="12E22E14"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Reglas mínimas de las Naciones Unidas sobre las medidas no privativas de la libertad. Asamblea General, resolución 45/110, 14 de diciembre de 1990, Tokio.</w:t>
      </w:r>
    </w:p>
  </w:footnote>
  <w:footnote w:id="40">
    <w:p w14:paraId="0A0E6898"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Informe RUD 2023. Más datos en </w:t>
      </w:r>
      <w:hyperlink r:id="rId14" w:anchor="titulo4">
        <w:r w:rsidR="00165BED" w:rsidRPr="003E3F5D">
          <w:rPr>
            <w:rFonts w:ascii="Calibri" w:hAnsi="Calibri" w:cs="Calibri"/>
            <w:color w:val="467886"/>
            <w:sz w:val="18"/>
            <w:szCs w:val="18"/>
            <w:u w:val="single"/>
          </w:rPr>
          <w:t>Datos abiertos CPM</w:t>
        </w:r>
      </w:hyperlink>
    </w:p>
  </w:footnote>
  <w:footnote w:id="41">
    <w:p w14:paraId="65CF52F4"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Más datos en </w:t>
      </w:r>
      <w:hyperlink r:id="rId15" w:anchor="titulo2">
        <w:r w:rsidR="00165BED" w:rsidRPr="003E3F5D">
          <w:rPr>
            <w:rFonts w:ascii="Calibri" w:hAnsi="Calibri" w:cs="Calibri"/>
            <w:color w:val="467886"/>
            <w:sz w:val="18"/>
            <w:szCs w:val="18"/>
            <w:u w:val="single"/>
          </w:rPr>
          <w:t>Datos abiertos CPM</w:t>
        </w:r>
      </w:hyperlink>
    </w:p>
  </w:footnote>
  <w:footnote w:id="42">
    <w:p w14:paraId="5DAE3C45"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Esta cifra es superior a la informada para 2023 (CPM, 2024), que alcanzaba aproximadamente las 67.000 vulneraciones. La diferencia no debe interpretarse como un </w:t>
      </w:r>
      <w:r w:rsidRPr="003E3F5D">
        <w:rPr>
          <w:rFonts w:ascii="Calibri" w:hAnsi="Calibri" w:cs="Calibri"/>
          <w:i/>
          <w:color w:val="000000"/>
          <w:sz w:val="18"/>
          <w:szCs w:val="18"/>
        </w:rPr>
        <w:t>incremento de casos</w:t>
      </w:r>
      <w:r w:rsidRPr="003E3F5D">
        <w:rPr>
          <w:rFonts w:ascii="Calibri" w:hAnsi="Calibri" w:cs="Calibri"/>
          <w:color w:val="000000"/>
          <w:sz w:val="18"/>
          <w:szCs w:val="18"/>
        </w:rPr>
        <w:t>, los cuales siempre se presumen superiores a las capacidades de registro, es decir que siempre se trata de una cifra incompleta. Que en 2024 se hayan registrado 16.000 vulneraciones más que el año anterior, responde al fortalecimiento de los equipos de trabajo y a la consolidación del sistema informático de gestión de casos.</w:t>
      </w:r>
    </w:p>
  </w:footnote>
  <w:footnote w:id="43">
    <w:p w14:paraId="004B16E9"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Datos preliminares sujetos a revisión.</w:t>
      </w:r>
    </w:p>
  </w:footnote>
  <w:footnote w:id="44">
    <w:p w14:paraId="5BBA9513"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Complejo Centro-Sur: UP 2, 27 y 38 de Sierra Chica, 17 de Urdampilleta. Complejo Centro-Norte: UP 7 y 52 de Azul, 14 y 30 de Alvear, 37 de Barker.</w:t>
      </w:r>
    </w:p>
  </w:footnote>
  <w:footnote w:id="45">
    <w:p w14:paraId="1FF5EF18"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Esta cifra se obtiene restando de la Tabla 1 los siguientes tipos de vulneraciones: falta o deficiente acceso a la justicia,falta o deficiente acceso a actividades (educativas, laborales o recreativas), agresión verbal o psicológica y otros hechos comunicados.</w:t>
      </w:r>
    </w:p>
  </w:footnote>
  <w:footnote w:id="46">
    <w:p w14:paraId="38E230E1"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“Todo acto realizado intencionalmente por el cual se inflijan a una persona penas o sufrimientos físicos o mentales, con fines de investigación criminal, como medio intimidatorio, como castigo personal, como medida preventiva, como pena o con cualquier otro fin. Se entenderá también como tortura la aplicación sobre una persona de métodos tendientes a anular la personalidad de la víctima o a disminuir su capacidad física o mental, aunque no causen dolor físico o angustia psíquica” (Art. 2).</w:t>
      </w:r>
    </w:p>
  </w:footnote>
  <w:footnote w:id="47">
    <w:p w14:paraId="5879F450"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La CPM, la Procuración Penitenciaria de la Nación (PPN) y el Grupo de estudios sobre sistema penal y derechos humanos (Gespydh) del Instituto de Investigaciones Gino Germani (UBA).</w:t>
      </w:r>
    </w:p>
  </w:footnote>
  <w:footnote w:id="48">
    <w:p w14:paraId="599E9354"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Para un mayor desarrollo de este tema, ver </w:t>
      </w:r>
      <w:r w:rsidRPr="003E3F5D">
        <w:rPr>
          <w:rFonts w:ascii="Calibri" w:hAnsi="Calibri" w:cs="Calibri"/>
          <w:i/>
          <w:color w:val="000000"/>
          <w:sz w:val="18"/>
          <w:szCs w:val="18"/>
        </w:rPr>
        <w:t>La alimentación en las cárceles bonaerenses</w:t>
      </w:r>
      <w:r w:rsidRPr="003E3F5D">
        <w:rPr>
          <w:rFonts w:ascii="Calibri" w:hAnsi="Calibri" w:cs="Calibri"/>
          <w:color w:val="000000"/>
          <w:sz w:val="18"/>
          <w:szCs w:val="18"/>
        </w:rPr>
        <w:t xml:space="preserve"> (CPM, 2024b), disponible en</w:t>
      </w:r>
      <w:hyperlink r:id="rId16">
        <w:r w:rsidR="00165BED" w:rsidRPr="003E3F5D">
          <w:rPr>
            <w:rFonts w:ascii="Calibri" w:hAnsi="Calibri" w:cs="Calibri"/>
            <w:color w:val="467886"/>
            <w:sz w:val="18"/>
            <w:szCs w:val="18"/>
            <w:u w:val="single"/>
          </w:rPr>
          <w:t>https://www.comisionporlamemoria.org/project/informe-especial-la-alimentacion-en-las-carceles-bonaerenses/</w:t>
        </w:r>
      </w:hyperlink>
    </w:p>
  </w:footnote>
  <w:footnote w:id="49">
    <w:p w14:paraId="3386D76E"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Las definiciones de las categorías son: </w:t>
      </w:r>
      <w:r w:rsidRPr="003E3F5D">
        <w:rPr>
          <w:rFonts w:ascii="Calibri" w:hAnsi="Calibri" w:cs="Calibri"/>
          <w:i/>
          <w:color w:val="000000"/>
          <w:sz w:val="18"/>
          <w:szCs w:val="18"/>
        </w:rPr>
        <w:t>Falta o deficiente acceso a la atención extramuros</w:t>
      </w:r>
      <w:r w:rsidRPr="003E3F5D">
        <w:rPr>
          <w:rFonts w:ascii="Calibri" w:hAnsi="Calibri" w:cs="Calibri"/>
          <w:color w:val="000000"/>
          <w:sz w:val="18"/>
          <w:szCs w:val="18"/>
        </w:rPr>
        <w:t xml:space="preserve">: la persona no accede a turnos extramuros o los pierde por restricciones institucionales. </w:t>
      </w:r>
      <w:r w:rsidRPr="003E3F5D">
        <w:rPr>
          <w:rFonts w:ascii="Calibri" w:hAnsi="Calibri" w:cs="Calibri"/>
          <w:i/>
          <w:color w:val="000000"/>
          <w:sz w:val="18"/>
          <w:szCs w:val="18"/>
        </w:rPr>
        <w:t>Falta o deficiente acceso a medicación</w:t>
      </w:r>
      <w:r w:rsidRPr="003E3F5D">
        <w:rPr>
          <w:rFonts w:ascii="Calibri" w:hAnsi="Calibri" w:cs="Calibri"/>
          <w:color w:val="000000"/>
          <w:sz w:val="18"/>
          <w:szCs w:val="18"/>
        </w:rPr>
        <w:t xml:space="preserve">: la persona tiene indicada medicación y no la recibe o la recibe de manera insuficiente o discontinua. </w:t>
      </w:r>
      <w:r w:rsidRPr="003E3F5D">
        <w:rPr>
          <w:rFonts w:ascii="Calibri" w:hAnsi="Calibri" w:cs="Calibri"/>
          <w:i/>
          <w:color w:val="000000"/>
          <w:sz w:val="18"/>
          <w:szCs w:val="18"/>
        </w:rPr>
        <w:t>No le realizan o le realizan deficientemente tratamientos o curaciones</w:t>
      </w:r>
      <w:r w:rsidRPr="003E3F5D">
        <w:rPr>
          <w:rFonts w:ascii="Calibri" w:hAnsi="Calibri" w:cs="Calibri"/>
          <w:color w:val="000000"/>
          <w:sz w:val="18"/>
          <w:szCs w:val="18"/>
        </w:rPr>
        <w:t>: la persona tiene indicados tratamientos (psicológicos, psiquiátricos, rehabilitación, cirugías) y/o curaciones que no</w:t>
      </w:r>
      <w:r w:rsidRPr="003E3F5D">
        <w:rPr>
          <w:rFonts w:ascii="Calibri" w:hAnsi="Calibri" w:cs="Calibri"/>
          <w:color w:val="000000"/>
          <w:sz w:val="18"/>
          <w:szCs w:val="18"/>
        </w:rPr>
        <w:t xml:space="preserve"> se realizan o se realizan insuficientemente. </w:t>
      </w:r>
      <w:r w:rsidRPr="003E3F5D">
        <w:rPr>
          <w:rFonts w:ascii="Calibri" w:hAnsi="Calibri" w:cs="Calibri"/>
          <w:i/>
          <w:color w:val="000000"/>
          <w:sz w:val="18"/>
          <w:szCs w:val="18"/>
        </w:rPr>
        <w:t>No le realizan o le realizan deficientemente estudios</w:t>
      </w:r>
      <w:r w:rsidRPr="003E3F5D">
        <w:rPr>
          <w:rFonts w:ascii="Calibri" w:hAnsi="Calibri" w:cs="Calibri"/>
          <w:color w:val="000000"/>
          <w:sz w:val="18"/>
          <w:szCs w:val="18"/>
        </w:rPr>
        <w:t xml:space="preserve">: la persona requiere la realización de estudios que no se realizan o se realizan de manera insuficiente. </w:t>
      </w:r>
      <w:r w:rsidRPr="003E3F5D">
        <w:rPr>
          <w:rFonts w:ascii="Calibri" w:hAnsi="Calibri" w:cs="Calibri"/>
          <w:i/>
          <w:color w:val="000000"/>
          <w:sz w:val="18"/>
          <w:szCs w:val="18"/>
        </w:rPr>
        <w:t>Restricciones en el acceso al área de Sanidad</w:t>
      </w:r>
      <w:r w:rsidRPr="003E3F5D">
        <w:rPr>
          <w:rFonts w:ascii="Calibri" w:hAnsi="Calibri" w:cs="Calibri"/>
          <w:color w:val="000000"/>
          <w:sz w:val="18"/>
          <w:szCs w:val="18"/>
        </w:rPr>
        <w:t xml:space="preserve">: el acceso al área de Sanidad está restringido por obstáculos institucionales y/o ausencia de médicos; o es inadecuado por la presencia de agente/s de seguridad. </w:t>
      </w:r>
      <w:r w:rsidRPr="003E3F5D">
        <w:rPr>
          <w:rFonts w:ascii="Calibri" w:hAnsi="Calibri" w:cs="Calibri"/>
          <w:i/>
          <w:color w:val="000000"/>
          <w:sz w:val="18"/>
          <w:szCs w:val="18"/>
        </w:rPr>
        <w:t>Falta o deficiente dieta especial</w:t>
      </w:r>
      <w:r w:rsidRPr="003E3F5D">
        <w:rPr>
          <w:rFonts w:ascii="Calibri" w:hAnsi="Calibri" w:cs="Calibri"/>
          <w:color w:val="000000"/>
          <w:sz w:val="18"/>
          <w:szCs w:val="18"/>
        </w:rPr>
        <w:t xml:space="preserve">: la persona tiene prescripta una dieta especial y no la recibe o </w:t>
      </w:r>
      <w:r w:rsidRPr="003E3F5D">
        <w:rPr>
          <w:rFonts w:ascii="Calibri" w:hAnsi="Calibri" w:cs="Calibri"/>
          <w:color w:val="000000"/>
          <w:sz w:val="18"/>
          <w:szCs w:val="18"/>
        </w:rPr>
        <w:t xml:space="preserve">la recibe de manera insuficiente/discontinua. </w:t>
      </w:r>
      <w:r w:rsidRPr="003E3F5D">
        <w:rPr>
          <w:rFonts w:ascii="Calibri" w:hAnsi="Calibri" w:cs="Calibri"/>
          <w:i/>
          <w:color w:val="000000"/>
          <w:sz w:val="18"/>
          <w:szCs w:val="18"/>
        </w:rPr>
        <w:t>Otros hechos de desatención a la salud</w:t>
      </w:r>
      <w:r w:rsidRPr="003E3F5D">
        <w:rPr>
          <w:rFonts w:ascii="Calibri" w:hAnsi="Calibri" w:cs="Calibri"/>
          <w:color w:val="000000"/>
          <w:sz w:val="18"/>
          <w:szCs w:val="18"/>
        </w:rPr>
        <w:t>: otras falencias en el acceso a la salud no contempladas en las demás categorías cerradas.</w:t>
      </w:r>
    </w:p>
  </w:footnote>
  <w:footnote w:id="50">
    <w:p w14:paraId="57036F9A"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El 83% del total de las muertes producidas en cárceles y alcaidías del SPB entre 2016 y 2024 fueron por problemas de salud (1.230 de un total de 1.489 muertes). Para un mayor análisis de las muertes en el SPB ver el capítulo 4 de la presente sección. Más información estadística disponible en </w:t>
      </w:r>
      <w:hyperlink r:id="rId17" w:anchor="titulo4">
        <w:r w:rsidR="00165BED" w:rsidRPr="003E3F5D">
          <w:rPr>
            <w:rFonts w:ascii="Calibri" w:hAnsi="Calibri" w:cs="Calibri"/>
            <w:color w:val="467886"/>
            <w:sz w:val="18"/>
            <w:szCs w:val="18"/>
            <w:u w:val="single"/>
          </w:rPr>
          <w:t>Datos abiertos CPM</w:t>
        </w:r>
      </w:hyperlink>
      <w:r w:rsidRPr="003E3F5D">
        <w:rPr>
          <w:rFonts w:ascii="Calibri" w:hAnsi="Calibri" w:cs="Calibri"/>
          <w:color w:val="000000"/>
          <w:sz w:val="18"/>
          <w:szCs w:val="18"/>
        </w:rPr>
        <w:t>.</w:t>
      </w:r>
    </w:p>
  </w:footnote>
  <w:footnote w:id="51">
    <w:p w14:paraId="39DD3C37"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Para un mayor desarrollo de este tema, ver </w:t>
      </w:r>
      <w:r w:rsidRPr="003E3F5D">
        <w:rPr>
          <w:rFonts w:ascii="Calibri" w:hAnsi="Calibri" w:cs="Calibri"/>
          <w:i/>
          <w:color w:val="000000"/>
          <w:sz w:val="18"/>
          <w:szCs w:val="18"/>
        </w:rPr>
        <w:t xml:space="preserve">El aislamiento en las cárceles bonaerenses </w:t>
      </w:r>
      <w:r w:rsidRPr="003E3F5D">
        <w:rPr>
          <w:rFonts w:ascii="Calibri" w:hAnsi="Calibri" w:cs="Calibri"/>
          <w:color w:val="000000"/>
          <w:sz w:val="18"/>
          <w:szCs w:val="18"/>
        </w:rPr>
        <w:t xml:space="preserve">(CPM, 2021), disponible en </w:t>
      </w:r>
      <w:hyperlink r:id="rId18">
        <w:r w:rsidR="00165BED" w:rsidRPr="003E3F5D">
          <w:rPr>
            <w:rFonts w:ascii="Calibri" w:hAnsi="Calibri" w:cs="Calibri"/>
            <w:color w:val="467886"/>
            <w:sz w:val="18"/>
            <w:szCs w:val="18"/>
            <w:u w:val="single"/>
          </w:rPr>
          <w:t>https://www.comisionporlamemoria.org/project/el-aislamiento-en-las-carceles-bonaerenses/</w:t>
        </w:r>
      </w:hyperlink>
    </w:p>
  </w:footnote>
  <w:footnote w:id="52">
    <w:p w14:paraId="775BD894"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r w:rsidRPr="003E3F5D">
        <w:rPr>
          <w:rFonts w:ascii="Calibri" w:eastAsia="Roboto" w:hAnsi="Calibri" w:cs="Calibri"/>
          <w:sz w:val="18"/>
          <w:szCs w:val="18"/>
          <w:highlight w:val="white"/>
        </w:rPr>
        <w:t xml:space="preserve">Para una descripción detallada ver: </w:t>
      </w:r>
      <w:hyperlink r:id="rId19">
        <w:r w:rsidR="00165BED" w:rsidRPr="003E3F5D">
          <w:rPr>
            <w:rFonts w:ascii="Calibri" w:eastAsia="Roboto" w:hAnsi="Calibri" w:cs="Calibri"/>
            <w:color w:val="1155CC"/>
            <w:sz w:val="18"/>
            <w:szCs w:val="18"/>
            <w:highlight w:val="white"/>
            <w:u w:val="single"/>
          </w:rPr>
          <w:t>https://www.comisionporlamemoria.org/informeanual2025/wp-content/uploads/sites/16/sites/43/2025/08/niniez.pdf</w:t>
        </w:r>
      </w:hyperlink>
      <w:r w:rsidRPr="003E3F5D">
        <w:rPr>
          <w:rFonts w:ascii="Calibri" w:eastAsia="Roboto" w:hAnsi="Calibri" w:cs="Calibri"/>
          <w:sz w:val="18"/>
          <w:szCs w:val="18"/>
          <w:highlight w:val="white"/>
        </w:rPr>
        <w:t xml:space="preserve"> </w:t>
      </w:r>
    </w:p>
  </w:footnote>
  <w:footnote w:id="53">
    <w:p w14:paraId="1990945D"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El programa de Niñez de la CPM entrevistó durante el año 2023 a 531 víctimas del sistema penal.</w:t>
      </w:r>
    </w:p>
  </w:footnote>
  <w:footnote w:id="54">
    <w:p w14:paraId="5A986B28"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w:t>
      </w:r>
      <w:r w:rsidRPr="003E3F5D">
        <w:rPr>
          <w:rFonts w:ascii="Calibri" w:eastAsia="Calibri" w:hAnsi="Calibri" w:cs="Calibri"/>
          <w:color w:val="000000"/>
          <w:sz w:val="18"/>
          <w:szCs w:val="18"/>
          <w:highlight w:val="white"/>
        </w:rPr>
        <w:t>En los datos que se presentan a continuación no se incluyen los fallecimientos ocurridos bajo la modalidad de detención domiciliaria con monitoreo electrónico. Estos se analizan de manera diferenciada en el apartado 4.3.</w:t>
      </w:r>
    </w:p>
  </w:footnote>
  <w:footnote w:id="55">
    <w:p w14:paraId="2453C04A"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Disponible en https://www.comisionporlamemoria.org/datosabiertos/carceles-datos/#titulo4</w:t>
      </w:r>
    </w:p>
  </w:footnote>
  <w:footnote w:id="56">
    <w:p w14:paraId="3C0499CB"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Para mayor detalle ver seccion salud mental Informe CPM 2025 disponible en https://www.comisionporlamemoria.org/informeanual2025/wp-content/uploads/sites/16/sites/43/2025/08/saludmental.pdf</w:t>
      </w:r>
    </w:p>
  </w:footnote>
  <w:footnote w:id="57">
    <w:p w14:paraId="178CE275"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En el período 2021-2024 creció 29% el monitoreo electrónico de personas procesadas.</w:t>
      </w:r>
    </w:p>
  </w:footnote>
  <w:footnote w:id="58">
    <w:p w14:paraId="12D85097"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Más datos en </w:t>
      </w:r>
      <w:hyperlink r:id="rId20">
        <w:r w:rsidR="00165BED" w:rsidRPr="003E3F5D">
          <w:rPr>
            <w:rFonts w:ascii="Calibri" w:hAnsi="Calibri" w:cs="Calibri"/>
            <w:color w:val="467886"/>
            <w:sz w:val="18"/>
            <w:szCs w:val="18"/>
            <w:u w:val="single"/>
          </w:rPr>
          <w:t>https://www.comisionporlamemoria.org/datosabiertos/comisarias-datos/</w:t>
        </w:r>
      </w:hyperlink>
      <w:r w:rsidRPr="003E3F5D">
        <w:rPr>
          <w:rFonts w:ascii="Calibri" w:hAnsi="Calibri" w:cs="Calibri"/>
          <w:color w:val="000000"/>
          <w:sz w:val="18"/>
          <w:szCs w:val="18"/>
        </w:rPr>
        <w:t xml:space="preserve"> </w:t>
      </w:r>
    </w:p>
  </w:footnote>
  <w:footnote w:id="59">
    <w:p w14:paraId="0F98592C"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IPP 07-00-035252-24, de trámite ante la UFI N° 8 de Lomas de Zamora.</w:t>
      </w:r>
    </w:p>
  </w:footnote>
  <w:footnote w:id="60">
    <w:p w14:paraId="62A195D2"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En 2024, había 30 mujeres embarazadas y 32 alojadas junto a sus hijos/as. Más información disponible en </w:t>
      </w:r>
      <w:hyperlink r:id="rId21" w:anchor="titulo2">
        <w:r w:rsidR="00165BED" w:rsidRPr="003E3F5D">
          <w:rPr>
            <w:rFonts w:ascii="Calibri" w:hAnsi="Calibri" w:cs="Calibri"/>
            <w:color w:val="467886"/>
            <w:sz w:val="18"/>
            <w:szCs w:val="18"/>
            <w:u w:val="single"/>
          </w:rPr>
          <w:t>Datos Abiertos CPM</w:t>
        </w:r>
      </w:hyperlink>
    </w:p>
  </w:footnote>
  <w:footnote w:id="61">
    <w:p w14:paraId="6BFD72E7"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Allí se encontraban radicado los autos “Comision Provincial por la Memoria– Condiciones de salud Cárcel N° 33 Los Hornos Art 25 Inc 3 CPPBA S/ HABEAS CORPUS COLECTIVO” Número de causa: 15.219. Juzgado a cargo del Dr. José Villafañe.</w:t>
      </w:r>
    </w:p>
  </w:footnote>
  <w:footnote w:id="62">
    <w:p w14:paraId="752DEB0C"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Mediante la presente ley, provincia de Buenos Aires adhiere a la ley nacional 25.929.</w:t>
      </w:r>
    </w:p>
  </w:footnote>
  <w:footnote w:id="63">
    <w:p w14:paraId="7D9F112F"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Actuaciones de oficio Art. 25 Inc. 3 S/ Traslado mujeres privadas de la libertad Dep Judicial La Plata C 8 y C 33 de Los Hornos y C 51 de Magdalena. Número de causa: 16.611.</w:t>
      </w:r>
    </w:p>
  </w:footnote>
  <w:footnote w:id="64">
    <w:p w14:paraId="5A633295"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Para un análisis detallado por departamento judicial ver: Más datos en </w:t>
      </w:r>
      <w:hyperlink r:id="rId22" w:anchor="titulo4">
        <w:r w:rsidR="00165BED" w:rsidRPr="003E3F5D">
          <w:rPr>
            <w:rFonts w:ascii="Calibri" w:hAnsi="Calibri" w:cs="Calibri"/>
            <w:color w:val="467886"/>
            <w:sz w:val="18"/>
            <w:szCs w:val="18"/>
            <w:u w:val="single"/>
          </w:rPr>
          <w:t>https://www.comisionporlamemoria.org/datosabiertos/politica-criminal-datos/#titulo4</w:t>
        </w:r>
      </w:hyperlink>
    </w:p>
  </w:footnote>
  <w:footnote w:id="65">
    <w:p w14:paraId="2A98575F"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Más datos en </w:t>
      </w:r>
      <w:hyperlink r:id="rId23" w:anchor="titulo4">
        <w:r w:rsidR="00165BED" w:rsidRPr="003E3F5D">
          <w:rPr>
            <w:rFonts w:ascii="Calibri" w:hAnsi="Calibri" w:cs="Calibri"/>
            <w:color w:val="467886"/>
            <w:sz w:val="18"/>
            <w:szCs w:val="18"/>
            <w:u w:val="single"/>
          </w:rPr>
          <w:t>https://www.comisionporlamemoria.org/datosabiertos/politica-criminal-datos/#titulo4</w:t>
        </w:r>
      </w:hyperlink>
    </w:p>
  </w:footnote>
  <w:footnote w:id="66">
    <w:p w14:paraId="315C97CD"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Se le pidió al estado:</w:t>
      </w:r>
    </w:p>
    <w:p w14:paraId="48386778"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color w:val="000000"/>
          <w:sz w:val="18"/>
          <w:szCs w:val="18"/>
        </w:rPr>
        <w:t>informar sobre las medidas para aumentar la efectividad e independencia de los mecanismos de investigación de la tortura y garantizar que no exista conexión jerárquica o institucional entre los presuntos autores de torturas y los investigadores64 , de manera que las primeras pericias sobre hechos de tortura sean desarrolladas por funcionarios externos a las instituciones de seguridad y penitenciarias. A este respecto, aclaren si el Estado parte ha considerado la creación de una policía judicial independient</w:t>
      </w:r>
      <w:r w:rsidRPr="003E3F5D">
        <w:rPr>
          <w:rFonts w:ascii="Calibri" w:hAnsi="Calibri" w:cs="Calibri"/>
          <w:color w:val="000000"/>
          <w:sz w:val="18"/>
          <w:szCs w:val="18"/>
        </w:rPr>
        <w:t>e a las órdenes de la Fiscalía</w:t>
      </w:r>
    </w:p>
    <w:p w14:paraId="36E631D3" w14:textId="77777777" w:rsidR="00165BED" w:rsidRPr="003E3F5D" w:rsidRDefault="00165BED" w:rsidP="003E3F5D">
      <w:pPr>
        <w:pBdr>
          <w:top w:val="nil"/>
          <w:left w:val="nil"/>
          <w:bottom w:val="nil"/>
          <w:right w:val="nil"/>
          <w:between w:val="nil"/>
        </w:pBdr>
        <w:spacing w:after="0" w:line="240" w:lineRule="auto"/>
        <w:jc w:val="both"/>
        <w:rPr>
          <w:rFonts w:ascii="Calibri" w:hAnsi="Calibri" w:cs="Calibri"/>
          <w:color w:val="000000"/>
          <w:sz w:val="18"/>
          <w:szCs w:val="18"/>
        </w:rPr>
      </w:pPr>
    </w:p>
    <w:p w14:paraId="38122D37"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color w:val="000000"/>
          <w:sz w:val="18"/>
          <w:szCs w:val="18"/>
        </w:rPr>
        <w:t xml:space="preserve">El informe estatal menciona: </w:t>
      </w:r>
    </w:p>
    <w:p w14:paraId="2C5D6E59"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color w:val="000000"/>
          <w:sz w:val="18"/>
          <w:szCs w:val="18"/>
        </w:rPr>
        <w:t>Por su parte, en la Provincia de Buenos Aires, la ley n° 13.204 dispuso la creación de la Auditoría General de Asuntos Internos, bajo la órbita del Ministro de Seguridad de la Provincia de Buenos Aires, con el objeto de conducir las acciones tendientes a prevenir, investigar y sancionar conductas vinculadas con la actuación del personal policial de la provincia, que puedan constituir faltas éticas y abusos funcionales graves</w:t>
      </w:r>
    </w:p>
  </w:footnote>
  <w:footnote w:id="67">
    <w:p w14:paraId="175F1E3B"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Más datos en </w:t>
      </w:r>
      <w:hyperlink r:id="rId24" w:anchor="titulo1">
        <w:r w:rsidR="00165BED" w:rsidRPr="003E3F5D">
          <w:rPr>
            <w:rFonts w:ascii="Calibri" w:hAnsi="Calibri" w:cs="Calibri"/>
            <w:color w:val="467886"/>
            <w:sz w:val="18"/>
            <w:szCs w:val="18"/>
            <w:u w:val="single"/>
          </w:rPr>
          <w:t>https://www.comisionporlamemoria.org/datosabiertos/politica-criminal-datos/#titulo1</w:t>
        </w:r>
      </w:hyperlink>
    </w:p>
  </w:footnote>
  <w:footnote w:id="68">
    <w:p w14:paraId="3717855E" w14:textId="77777777" w:rsidR="00165BED" w:rsidRPr="003E3F5D" w:rsidRDefault="009D4909" w:rsidP="003E3F5D">
      <w:pPr>
        <w:pBdr>
          <w:top w:val="nil"/>
          <w:left w:val="nil"/>
          <w:bottom w:val="nil"/>
          <w:right w:val="nil"/>
          <w:between w:val="nil"/>
        </w:pBdr>
        <w:spacing w:after="0" w:line="240" w:lineRule="auto"/>
        <w:jc w:val="both"/>
        <w:rPr>
          <w:rFonts w:ascii="Calibri" w:hAnsi="Calibri" w:cs="Calibri"/>
          <w:color w:val="000000"/>
          <w:sz w:val="18"/>
          <w:szCs w:val="18"/>
        </w:rPr>
      </w:pPr>
      <w:r w:rsidRPr="003E3F5D">
        <w:rPr>
          <w:rFonts w:ascii="Calibri" w:hAnsi="Calibri" w:cs="Calibri"/>
          <w:sz w:val="18"/>
          <w:szCs w:val="18"/>
          <w:vertAlign w:val="superscript"/>
        </w:rPr>
        <w:footnoteRef/>
      </w:r>
      <w:r w:rsidRPr="003E3F5D">
        <w:rPr>
          <w:rFonts w:ascii="Calibri" w:hAnsi="Calibri" w:cs="Calibri"/>
          <w:color w:val="000000"/>
          <w:sz w:val="18"/>
          <w:szCs w:val="18"/>
        </w:rPr>
        <w:t xml:space="preserve"> ley 14.687, ley 5.177, 13.982, Decreto reglamentario 1050/09, resolución general 1.390/01 del Procurador General de la SCBA</w:t>
      </w:r>
    </w:p>
  </w:footnote>
  <w:footnote w:id="69">
    <w:p w14:paraId="1C642903"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eastAsia="Calibri" w:hAnsi="Calibri" w:cs="Calibri"/>
          <w:sz w:val="18"/>
          <w:szCs w:val="18"/>
        </w:rPr>
        <w:t>https://www.comisionporlamemoria.org/project/informe-especial-monitoreo-de-la-represion-de-las-fuerzas-de-seguridad-a-las-manifestaciones-publicas/</w:t>
      </w:r>
    </w:p>
  </w:footnote>
  <w:footnote w:id="70">
    <w:p w14:paraId="498624F7"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Ver informe 2025, disponible en https://www.comisionporlamemoria.org/wp-content/uploads/sites/16/2025/07/revista_informe-2025_web.pdf</w:t>
      </w:r>
    </w:p>
  </w:footnote>
  <w:footnote w:id="71">
    <w:p w14:paraId="14EC43C4" w14:textId="44F0B6A8" w:rsidR="00182DBA" w:rsidRPr="00182DBA" w:rsidRDefault="00182DBA">
      <w:pPr>
        <w:pStyle w:val="FootnoteText"/>
        <w:rPr>
          <w:rFonts w:ascii="Calibri" w:hAnsi="Calibri" w:cs="Calibri"/>
          <w:sz w:val="18"/>
          <w:szCs w:val="18"/>
          <w:lang w:val="es-ES"/>
        </w:rPr>
      </w:pPr>
      <w:r>
        <w:rPr>
          <w:rStyle w:val="FootnoteReference"/>
        </w:rPr>
        <w:footnoteRef/>
      </w:r>
      <w:r>
        <w:t xml:space="preserve"> </w:t>
      </w:r>
      <w:r>
        <w:rPr>
          <w:rFonts w:ascii="Calibri" w:hAnsi="Calibri" w:cs="Calibri"/>
          <w:sz w:val="18"/>
          <w:szCs w:val="18"/>
        </w:rPr>
        <w:t>L</w:t>
      </w:r>
      <w:r w:rsidRPr="00182DBA">
        <w:rPr>
          <w:rFonts w:ascii="Calibri" w:hAnsi="Calibri" w:cs="Calibri"/>
          <w:sz w:val="18"/>
          <w:szCs w:val="18"/>
        </w:rPr>
        <w:t xml:space="preserve">a cifra ha sido modificada para corregir una errata en el documento remitido el </w:t>
      </w:r>
      <w:r>
        <w:rPr>
          <w:rFonts w:ascii="Calibri" w:hAnsi="Calibri" w:cs="Calibri"/>
          <w:sz w:val="18"/>
          <w:szCs w:val="18"/>
        </w:rPr>
        <w:t>13</w:t>
      </w:r>
      <w:r w:rsidRPr="00182DBA">
        <w:rPr>
          <w:rFonts w:ascii="Calibri" w:hAnsi="Calibri" w:cs="Calibri"/>
          <w:sz w:val="18"/>
          <w:szCs w:val="18"/>
        </w:rPr>
        <w:t xml:space="preserve"> de octubre de 2025</w:t>
      </w:r>
    </w:p>
  </w:footnote>
  <w:footnote w:id="72">
    <w:p w14:paraId="3A44FF82"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Comité para la Eliminación de la Discriminación Racial, Observaciones finales sobre los informes periódicos 24° a 26° combinados de la Argentina, 28 de abril de 2023, CERD/C/ARG/CO/24-26, párr. 26.</w:t>
      </w:r>
    </w:p>
    <w:p w14:paraId="040AE7A9"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eastAsia="Calibri" w:hAnsi="Calibri" w:cs="Calibri"/>
          <w:color w:val="000000"/>
          <w:sz w:val="18"/>
          <w:szCs w:val="18"/>
        </w:rPr>
        <w:t>Grupo de Trabajo sobre Detención Arbitraria, Informe acerca de su misión a la Argentina, 18 de julio de 2018, A/HRC/39/45/Add.1, párr. 56.</w:t>
      </w:r>
    </w:p>
    <w:p w14:paraId="3165F22C" w14:textId="77777777" w:rsidR="00165BED" w:rsidRPr="003E3F5D" w:rsidRDefault="00165BED"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p>
  </w:footnote>
  <w:footnote w:id="73">
    <w:p w14:paraId="6BEBBF86" w14:textId="77777777" w:rsidR="00165BED" w:rsidRPr="003E3F5D" w:rsidRDefault="009D4909" w:rsidP="003E3F5D">
      <w:pPr>
        <w:spacing w:after="0"/>
        <w:ind w:firstLine="567"/>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En el </w:t>
      </w:r>
      <w:hyperlink r:id="rId25">
        <w:r w:rsidR="00165BED" w:rsidRPr="003E3F5D">
          <w:rPr>
            <w:rFonts w:ascii="Calibri" w:eastAsia="Calibri" w:hAnsi="Calibri" w:cs="Calibri"/>
            <w:color w:val="000000"/>
            <w:sz w:val="18"/>
            <w:szCs w:val="18"/>
          </w:rPr>
          <w:t>DNU 70/2023</w:t>
        </w:r>
      </w:hyperlink>
      <w:r w:rsidRPr="003E3F5D">
        <w:rPr>
          <w:rFonts w:ascii="Calibri" w:eastAsia="Calibri" w:hAnsi="Calibri" w:cs="Calibri"/>
          <w:color w:val="000000"/>
          <w:sz w:val="18"/>
          <w:szCs w:val="18"/>
        </w:rPr>
        <w:t>, cuyo fragmento laboral fue frenado por la Justicia, se limitaba el descuento compulsivo de la cuota sindical que aportan los trabajadores registrados (afiliados o no). Además, se eliminó el artículo que establecía que la participación en bloqueos o tomas de establecimiento era razón de “justa causa” de despido.</w:t>
      </w:r>
    </w:p>
  </w:footnote>
  <w:footnote w:id="74">
    <w:p w14:paraId="4E1F6DC4"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eastAsia="Calibri" w:hAnsi="Calibri" w:cs="Calibri"/>
          <w:sz w:val="18"/>
          <w:szCs w:val="18"/>
        </w:rPr>
        <w:t xml:space="preserve"> Durante el proceso de tratamiento de la Ley, la CPM presentó un </w:t>
      </w:r>
      <w:hyperlink r:id="rId26">
        <w:r w:rsidR="00165BED" w:rsidRPr="003E3F5D">
          <w:rPr>
            <w:rFonts w:ascii="Calibri" w:eastAsia="Calibri" w:hAnsi="Calibri" w:cs="Calibri"/>
            <w:sz w:val="18"/>
            <w:szCs w:val="18"/>
          </w:rPr>
          <w:t>documento</w:t>
        </w:r>
      </w:hyperlink>
      <w:r w:rsidRPr="003E3F5D">
        <w:rPr>
          <w:rFonts w:ascii="Calibri" w:eastAsia="Calibri" w:hAnsi="Calibri" w:cs="Calibri"/>
          <w:sz w:val="18"/>
          <w:szCs w:val="18"/>
        </w:rPr>
        <w:t xml:space="preserve"> a los diputados y senadores nacionales advirtiendo sobre la posible modificación regresiva en materias sensibles para el Estado de derecho y la vigencia de los derechos humanos en nuestro país-</w:t>
      </w:r>
    </w:p>
  </w:footnote>
  <w:footnote w:id="75">
    <w:p w14:paraId="26C2DC3C"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El 25 de julio de 2024, el Ministerio de Seguridad de la Nación, reglamentó mediante la Resolución MS N° 704/2024, el empleo de armamento no letal de inmovilización e incapacitación por parte de miembros de las fuerzas de seguridad</w:t>
      </w:r>
    </w:p>
  </w:footnote>
  <w:footnote w:id="76">
    <w:p w14:paraId="1C87B015"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w:t>
      </w:r>
      <w:r w:rsidRPr="003E3F5D">
        <w:rPr>
          <w:rFonts w:ascii="Calibri" w:eastAsia="Calibri" w:hAnsi="Calibri" w:cs="Calibri"/>
          <w:sz w:val="18"/>
          <w:szCs w:val="18"/>
        </w:rPr>
        <w:t>Es relevante destacar que con motivo de la manifestación convocada para el día 19-03-2025, el Jefe de Gabinete convocó para coordinar las acciones de la misma tanto a la titular del los ministerios de Seguridad y Justicia, como a los respoonsables de la SIDE, lo que constituye una flagrante violación a la ley de inteligencia nacional. Ver https://www.infobae.com/politica/2025/03/18/cumbre-en-casa-rosada-bullrich-y-santiago-caputo-encabezan-una-reunion-para-coordinar-el-operativo-de-seguridad-para-la-marcha</w:t>
      </w:r>
      <w:r w:rsidRPr="003E3F5D">
        <w:rPr>
          <w:rFonts w:ascii="Calibri" w:eastAsia="Calibri" w:hAnsi="Calibri" w:cs="Calibri"/>
          <w:sz w:val="18"/>
          <w:szCs w:val="18"/>
        </w:rPr>
        <w:t>-de-manana/</w:t>
      </w:r>
    </w:p>
  </w:footnote>
  <w:footnote w:id="77">
    <w:p w14:paraId="1C7AD7A5"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Reglamento (UE) 2024/1689 del Parlamento Europeo y del Consejo, de 13 de junio de 2024, por el que se establecen normas armonizadas sobre la inteligencia artificial. Ver en línea el análisis realizado por Martín Becerra disponible en </w:t>
      </w:r>
      <w:hyperlink r:id="rId27">
        <w:r w:rsidR="00165BED" w:rsidRPr="003E3F5D">
          <w:rPr>
            <w:rFonts w:ascii="Calibri" w:eastAsia="Calibri" w:hAnsi="Calibri" w:cs="Calibri"/>
            <w:color w:val="000000"/>
            <w:sz w:val="18"/>
            <w:szCs w:val="18"/>
            <w:u w:val="single"/>
          </w:rPr>
          <w:t>https://accion.coop/opinion/regulacion-europea-patrullaje-argentino/</w:t>
        </w:r>
      </w:hyperlink>
      <w:r w:rsidRPr="003E3F5D">
        <w:rPr>
          <w:rFonts w:ascii="Calibri" w:eastAsia="Calibri" w:hAnsi="Calibri" w:cs="Calibri"/>
          <w:color w:val="000000"/>
          <w:sz w:val="18"/>
          <w:szCs w:val="18"/>
        </w:rPr>
        <w:t xml:space="preserve"> </w:t>
      </w:r>
    </w:p>
  </w:footnote>
  <w:footnote w:id="78">
    <w:p w14:paraId="2FAF8964"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Disponible en </w:t>
      </w:r>
      <w:hyperlink r:id="rId28">
        <w:r w:rsidR="00165BED" w:rsidRPr="003E3F5D">
          <w:rPr>
            <w:rFonts w:ascii="Calibri" w:eastAsia="Calibri" w:hAnsi="Calibri" w:cs="Calibri"/>
            <w:color w:val="000000"/>
            <w:sz w:val="18"/>
            <w:szCs w:val="18"/>
            <w:u w:val="single"/>
          </w:rPr>
          <w:t>https://eur-lex.europa.eu/eli/reg/2024/1689/oj</w:t>
        </w:r>
      </w:hyperlink>
      <w:r w:rsidRPr="003E3F5D">
        <w:rPr>
          <w:rFonts w:ascii="Calibri" w:eastAsia="Calibri" w:hAnsi="Calibri" w:cs="Calibri"/>
          <w:color w:val="000000"/>
          <w:sz w:val="18"/>
          <w:szCs w:val="18"/>
        </w:rPr>
        <w:t xml:space="preserve"> </w:t>
      </w:r>
    </w:p>
  </w:footnote>
  <w:footnote w:id="79">
    <w:p w14:paraId="7C36A0DC"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eastAsia="Calibri" w:hAnsi="Calibri" w:cs="Calibri"/>
          <w:sz w:val="18"/>
          <w:szCs w:val="18"/>
        </w:rPr>
        <w:t xml:space="preserve"> Ver Protesta y Derechos Humanos. CIDH 2019. Punto 185</w:t>
      </w:r>
    </w:p>
  </w:footnote>
  <w:footnote w:id="80">
    <w:p w14:paraId="56C60877"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eastAsia="Calibri" w:hAnsi="Calibri" w:cs="Calibri"/>
          <w:sz w:val="18"/>
          <w:szCs w:val="18"/>
        </w:rPr>
        <w:t xml:space="preserve"> https://www.pagina12.com.ar/802559-una-ley-antimafia-que-no-persigue-a-las-mafias</w:t>
      </w:r>
    </w:p>
  </w:footnote>
  <w:footnote w:id="81">
    <w:p w14:paraId="063F907B"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eastAsia="Calibri" w:hAnsi="Calibri" w:cs="Calibri"/>
          <w:sz w:val="18"/>
          <w:szCs w:val="18"/>
        </w:rPr>
        <w:t>https://ctaa.org.ar/wp-content/uploads/2025/01/NOTA-AL-SENADO-PIDIENDO-EL-RECHAZO-DE-LA-LEY-ANTIMAFIAS.pdf</w:t>
      </w:r>
    </w:p>
  </w:footnote>
  <w:footnote w:id="82">
    <w:p w14:paraId="4F966A97"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https://www.cels.org.ar/web/2024/05/reformas-penales-agravan-problemas/</w:t>
      </w:r>
    </w:p>
  </w:footnote>
  <w:footnote w:id="83">
    <w:p w14:paraId="58840DA1"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Ver informes Anuales CPM</w:t>
      </w:r>
    </w:p>
  </w:footnote>
  <w:footnote w:id="84">
    <w:p w14:paraId="5D0BAD1B"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 xml:space="preserve"> https://www.cels.org.ar/web/opiniones/proyecto-de-reiterancia-carcel-por-las-dudas/</w:t>
      </w:r>
    </w:p>
  </w:footnote>
  <w:footnote w:id="85">
    <w:p w14:paraId="23FCD9EC" w14:textId="77777777" w:rsidR="00165BED" w:rsidRPr="003E3F5D" w:rsidRDefault="009D4909" w:rsidP="003E3F5D">
      <w:pPr>
        <w:spacing w:after="0" w:line="240" w:lineRule="auto"/>
        <w:jc w:val="both"/>
        <w:rPr>
          <w:rFonts w:ascii="Calibri" w:hAnsi="Calibri" w:cs="Calibri"/>
          <w:sz w:val="18"/>
          <w:szCs w:val="18"/>
        </w:rPr>
      </w:pPr>
      <w:r w:rsidRPr="003E3F5D">
        <w:rPr>
          <w:rFonts w:ascii="Calibri" w:hAnsi="Calibri" w:cs="Calibri"/>
          <w:sz w:val="18"/>
          <w:szCs w:val="18"/>
          <w:vertAlign w:val="superscript"/>
        </w:rPr>
        <w:footnoteRef/>
      </w:r>
      <w:r w:rsidRPr="003E3F5D">
        <w:rPr>
          <w:rFonts w:ascii="Calibri" w:hAnsi="Calibri" w:cs="Calibri"/>
          <w:sz w:val="18"/>
          <w:szCs w:val="18"/>
        </w:rPr>
        <w:t>https://cnpt.gob.ar/2022/wp-content/uploads/2024/05/Observaciones-Proyectos-de-Ley-Seguridad.pdf</w:t>
      </w:r>
    </w:p>
  </w:footnote>
  <w:footnote w:id="86">
    <w:p w14:paraId="364108E7" w14:textId="77777777" w:rsidR="00165BED" w:rsidRPr="003E3F5D" w:rsidRDefault="009D4909" w:rsidP="003E3F5D">
      <w:pPr>
        <w:spacing w:after="0" w:line="240" w:lineRule="auto"/>
        <w:jc w:val="both"/>
        <w:rPr>
          <w:rFonts w:ascii="Calibri" w:eastAsia="Calibri" w:hAnsi="Calibri" w:cs="Calibri"/>
          <w:sz w:val="18"/>
          <w:szCs w:val="18"/>
        </w:rPr>
      </w:pPr>
      <w:r w:rsidRPr="003E3F5D">
        <w:rPr>
          <w:rFonts w:ascii="Calibri" w:hAnsi="Calibri" w:cs="Calibri"/>
          <w:sz w:val="18"/>
          <w:szCs w:val="18"/>
          <w:vertAlign w:val="superscript"/>
        </w:rPr>
        <w:footnoteRef/>
      </w:r>
      <w:r w:rsidRPr="003E3F5D">
        <w:rPr>
          <w:rFonts w:ascii="Calibri" w:eastAsia="Calibri" w:hAnsi="Calibri" w:cs="Calibri"/>
          <w:sz w:val="18"/>
          <w:szCs w:val="18"/>
        </w:rPr>
        <w:t xml:space="preserve"> La criminalización del derecho a la protesta muchas veces es el resultado de la aplicación de tipos penales que por su vaguedad o ambigüedad resultan violatorios del principio de legalidad y de los estándares interamericanos. En otros casos se penaliza directamente conductas propias de una protesta social, como sucede con las sanciones penales por falta de autorización o el desacato. También suele darse a través de una aplicación formalista de figuras penales, que aísla las conductas que pretende sancionar</w:t>
      </w:r>
      <w:r w:rsidRPr="003E3F5D">
        <w:rPr>
          <w:rFonts w:ascii="Calibri" w:eastAsia="Calibri" w:hAnsi="Calibri" w:cs="Calibri"/>
          <w:sz w:val="18"/>
          <w:szCs w:val="18"/>
        </w:rPr>
        <w:t xml:space="preserve"> del contexto de ejercicio del derecho a la protesta social en el cual ocurren y desarrolla una interpretación literal de los textos penales que contradice las normas constitucionales, o extiende indebidamente el ámbito de aplicación de la norma penal. (Ver Protesta y Derechos Humanos. CIDH 2019. Punto 19).</w:t>
      </w:r>
    </w:p>
  </w:footnote>
  <w:footnote w:id="87">
    <w:p w14:paraId="77FF5B68" w14:textId="77777777" w:rsidR="00165BED" w:rsidRPr="003E3F5D" w:rsidRDefault="009D4909" w:rsidP="003E3F5D">
      <w:pPr>
        <w:pBdr>
          <w:top w:val="nil"/>
          <w:left w:val="nil"/>
          <w:bottom w:val="nil"/>
          <w:right w:val="nil"/>
          <w:between w:val="nil"/>
        </w:pBdr>
        <w:spacing w:after="0" w:line="240" w:lineRule="auto"/>
        <w:jc w:val="both"/>
        <w:rPr>
          <w:rFonts w:ascii="Calibri" w:eastAsia="Calibri" w:hAnsi="Calibri" w:cs="Calibri"/>
          <w:color w:val="000000"/>
          <w:sz w:val="18"/>
          <w:szCs w:val="18"/>
        </w:rPr>
      </w:pPr>
      <w:r w:rsidRPr="003E3F5D">
        <w:rPr>
          <w:rFonts w:ascii="Calibri" w:hAnsi="Calibri" w:cs="Calibri"/>
          <w:sz w:val="18"/>
          <w:szCs w:val="18"/>
          <w:vertAlign w:val="superscript"/>
        </w:rPr>
        <w:footnoteRef/>
      </w:r>
      <w:r w:rsidRPr="003E3F5D">
        <w:rPr>
          <w:rFonts w:ascii="Calibri" w:eastAsia="Calibri" w:hAnsi="Calibri" w:cs="Calibri"/>
          <w:color w:val="000000"/>
          <w:sz w:val="18"/>
          <w:szCs w:val="18"/>
        </w:rPr>
        <w:t xml:space="preserve"> Para un detalle de cada una de las manifestaciones en las que se realizo el monitoreo ver: https://www.comisionporlamemoria.org/informes-monitoreo/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5980F" w14:textId="77777777" w:rsidR="00165BED" w:rsidRDefault="00165BED">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A753" w14:textId="77777777" w:rsidR="00165BED" w:rsidRDefault="009D4909">
    <w:r>
      <w:rPr>
        <w:noProof/>
      </w:rPr>
      <w:drawing>
        <wp:anchor distT="114300" distB="114300" distL="114300" distR="114300" simplePos="0" relativeHeight="251658240" behindDoc="1" locked="0" layoutInCell="1" hidden="0" allowOverlap="1" wp14:anchorId="6E2B55F6" wp14:editId="0F8DBBBA">
          <wp:simplePos x="0" y="0"/>
          <wp:positionH relativeFrom="column">
            <wp:posOffset>1466850</wp:posOffset>
          </wp:positionH>
          <wp:positionV relativeFrom="paragraph">
            <wp:posOffset>-335279</wp:posOffset>
          </wp:positionV>
          <wp:extent cx="3201353" cy="1103352"/>
          <wp:effectExtent l="0" t="0" r="0" b="0"/>
          <wp:wrapNone/>
          <wp:docPr id="10873306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201353" cy="110335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062B"/>
    <w:multiLevelType w:val="multilevel"/>
    <w:tmpl w:val="A816D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E06B75"/>
    <w:multiLevelType w:val="multilevel"/>
    <w:tmpl w:val="7682D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FF5551"/>
    <w:multiLevelType w:val="multilevel"/>
    <w:tmpl w:val="BC0E185E"/>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45584A"/>
    <w:multiLevelType w:val="multilevel"/>
    <w:tmpl w:val="A45AA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EF27AE"/>
    <w:multiLevelType w:val="multilevel"/>
    <w:tmpl w:val="EDE4D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6001DC"/>
    <w:multiLevelType w:val="multilevel"/>
    <w:tmpl w:val="EE062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7F01F6"/>
    <w:multiLevelType w:val="multilevel"/>
    <w:tmpl w:val="D2E67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F1448A8"/>
    <w:multiLevelType w:val="multilevel"/>
    <w:tmpl w:val="3E3AA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1B3062"/>
    <w:multiLevelType w:val="multilevel"/>
    <w:tmpl w:val="0A2ED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110DEE"/>
    <w:multiLevelType w:val="multilevel"/>
    <w:tmpl w:val="2F9E1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5954A5"/>
    <w:multiLevelType w:val="multilevel"/>
    <w:tmpl w:val="12548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1586054">
    <w:abstractNumId w:val="8"/>
  </w:num>
  <w:num w:numId="2" w16cid:durableId="622997708">
    <w:abstractNumId w:val="0"/>
  </w:num>
  <w:num w:numId="3" w16cid:durableId="2053530814">
    <w:abstractNumId w:val="6"/>
  </w:num>
  <w:num w:numId="4" w16cid:durableId="1843929675">
    <w:abstractNumId w:val="9"/>
  </w:num>
  <w:num w:numId="5" w16cid:durableId="1912348176">
    <w:abstractNumId w:val="4"/>
  </w:num>
  <w:num w:numId="6" w16cid:durableId="405955225">
    <w:abstractNumId w:val="5"/>
  </w:num>
  <w:num w:numId="7" w16cid:durableId="1730762064">
    <w:abstractNumId w:val="1"/>
  </w:num>
  <w:num w:numId="8" w16cid:durableId="650864726">
    <w:abstractNumId w:val="2"/>
  </w:num>
  <w:num w:numId="9" w16cid:durableId="686294705">
    <w:abstractNumId w:val="10"/>
  </w:num>
  <w:num w:numId="10" w16cid:durableId="1273055041">
    <w:abstractNumId w:val="7"/>
  </w:num>
  <w:num w:numId="11" w16cid:durableId="482895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BED"/>
    <w:rsid w:val="000B1FCE"/>
    <w:rsid w:val="00123742"/>
    <w:rsid w:val="00165BED"/>
    <w:rsid w:val="00182DBA"/>
    <w:rsid w:val="002A08F6"/>
    <w:rsid w:val="003E3F5D"/>
    <w:rsid w:val="005D7B9C"/>
    <w:rsid w:val="00707939"/>
    <w:rsid w:val="00863D79"/>
    <w:rsid w:val="00897158"/>
    <w:rsid w:val="00961929"/>
    <w:rsid w:val="009D4909"/>
    <w:rsid w:val="00A60F5D"/>
    <w:rsid w:val="00D340EF"/>
    <w:rsid w:val="00ED06A5"/>
    <w:rsid w:val="00EE164F"/>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AEB1B"/>
  <w15:docId w15:val="{1B6C3F95-9CE4-4987-8376-007EA724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089"/>
  </w:style>
  <w:style w:type="paragraph" w:styleId="Heading1">
    <w:name w:val="heading 1"/>
    <w:basedOn w:val="Normal"/>
    <w:next w:val="Normal"/>
    <w:link w:val="Heading1Char"/>
    <w:uiPriority w:val="9"/>
    <w:qFormat/>
    <w:rsid w:val="004A6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6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6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A6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4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4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4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4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4A64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A6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6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6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A6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4BD"/>
    <w:rPr>
      <w:rFonts w:eastAsiaTheme="majorEastAsia" w:cstheme="majorBidi"/>
      <w:color w:val="272727" w:themeColor="text1" w:themeTint="D8"/>
    </w:rPr>
  </w:style>
  <w:style w:type="character" w:customStyle="1" w:styleId="TitleChar">
    <w:name w:val="Title Char"/>
    <w:basedOn w:val="DefaultParagraphFont"/>
    <w:link w:val="Title"/>
    <w:uiPriority w:val="10"/>
    <w:rsid w:val="004A6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4A6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4BD"/>
    <w:pPr>
      <w:spacing w:before="160"/>
      <w:jc w:val="center"/>
    </w:pPr>
    <w:rPr>
      <w:i/>
      <w:iCs/>
      <w:color w:val="404040" w:themeColor="text1" w:themeTint="BF"/>
    </w:rPr>
  </w:style>
  <w:style w:type="character" w:customStyle="1" w:styleId="QuoteChar">
    <w:name w:val="Quote Char"/>
    <w:basedOn w:val="DefaultParagraphFont"/>
    <w:link w:val="Quote"/>
    <w:uiPriority w:val="29"/>
    <w:rsid w:val="004A64BD"/>
    <w:rPr>
      <w:i/>
      <w:iCs/>
      <w:color w:val="404040" w:themeColor="text1" w:themeTint="BF"/>
    </w:rPr>
  </w:style>
  <w:style w:type="paragraph" w:styleId="ListParagraph">
    <w:name w:val="List Paragraph"/>
    <w:basedOn w:val="Normal"/>
    <w:uiPriority w:val="34"/>
    <w:qFormat/>
    <w:rsid w:val="004A64BD"/>
    <w:pPr>
      <w:ind w:left="720"/>
      <w:contextualSpacing/>
    </w:pPr>
  </w:style>
  <w:style w:type="character" w:styleId="IntenseEmphasis">
    <w:name w:val="Intense Emphasis"/>
    <w:basedOn w:val="DefaultParagraphFont"/>
    <w:uiPriority w:val="21"/>
    <w:qFormat/>
    <w:rsid w:val="004A64BD"/>
    <w:rPr>
      <w:i/>
      <w:iCs/>
      <w:color w:val="0F4761" w:themeColor="accent1" w:themeShade="BF"/>
    </w:rPr>
  </w:style>
  <w:style w:type="paragraph" w:styleId="IntenseQuote">
    <w:name w:val="Intense Quote"/>
    <w:basedOn w:val="Normal"/>
    <w:next w:val="Normal"/>
    <w:link w:val="IntenseQuoteChar"/>
    <w:uiPriority w:val="30"/>
    <w:qFormat/>
    <w:rsid w:val="004A6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4BD"/>
    <w:rPr>
      <w:i/>
      <w:iCs/>
      <w:color w:val="0F4761" w:themeColor="accent1" w:themeShade="BF"/>
    </w:rPr>
  </w:style>
  <w:style w:type="character" w:styleId="IntenseReference">
    <w:name w:val="Intense Reference"/>
    <w:basedOn w:val="DefaultParagraphFont"/>
    <w:uiPriority w:val="32"/>
    <w:qFormat/>
    <w:rsid w:val="004A64BD"/>
    <w:rPr>
      <w:b/>
      <w:bCs/>
      <w:smallCaps/>
      <w:color w:val="0F4761" w:themeColor="accent1" w:themeShade="BF"/>
      <w:spacing w:val="5"/>
    </w:rPr>
  </w:style>
  <w:style w:type="paragraph" w:styleId="FootnoteText">
    <w:name w:val="footnote text"/>
    <w:aliases w:val="Car,5_G,Texto nota pie 2,Car11,Car Car Car11 Car Car2 Car Car Car Car Car,Car Car Car11 Car Car2 Car Car Car Car,Car Car Car Car1,Texto nota pie1,Car112,Footnote Text Char,Car Car2 Ca Car Car Car,Car Car2 Ca Car Car,Footnote reference,Cha"/>
    <w:basedOn w:val="Normal"/>
    <w:link w:val="FootnoteTextChar1"/>
    <w:uiPriority w:val="99"/>
    <w:unhideWhenUsed/>
    <w:qFormat/>
    <w:rsid w:val="001B091C"/>
    <w:pPr>
      <w:spacing w:after="0" w:line="240" w:lineRule="auto"/>
    </w:pPr>
    <w:rPr>
      <w:sz w:val="20"/>
      <w:szCs w:val="20"/>
    </w:rPr>
  </w:style>
  <w:style w:type="character" w:customStyle="1" w:styleId="FootnoteTextChar1">
    <w:name w:val="Footnote Text Char1"/>
    <w:aliases w:val="Car Char,5_G Char,Texto nota pie 2 Char,Car11 Char,Car Car Car11 Car Car2 Car Car Car Car Car Char,Car Car Car11 Car Car2 Car Car Car Car Char,Car Car Car Car1 Char,Texto nota pie1 Char,Car112 Char,Footnote Text Char Char,Cha Char"/>
    <w:basedOn w:val="DefaultParagraphFont"/>
    <w:link w:val="FootnoteText"/>
    <w:uiPriority w:val="99"/>
    <w:qFormat/>
    <w:rsid w:val="001B091C"/>
    <w:rPr>
      <w:sz w:val="20"/>
      <w:szCs w:val="20"/>
    </w:rPr>
  </w:style>
  <w:style w:type="character" w:styleId="FootnoteReference">
    <w:name w:val="footnote reference"/>
    <w:aliases w:val="4_G,Ref,de nota al pie,Footnotes refss,Texto de nota al pie,normal,Appel note de bas de page,referencia nota al pie,Footnote number,BVI fnr,f,16 Point,Superscript 6 Point,Texto nota al pie,Footnote Reference Char3,rodap» Char Char,fr"/>
    <w:basedOn w:val="DefaultParagraphFont"/>
    <w:uiPriority w:val="99"/>
    <w:unhideWhenUsed/>
    <w:qFormat/>
    <w:rsid w:val="001B091C"/>
    <w:rPr>
      <w:vertAlign w:val="superscript"/>
    </w:rPr>
  </w:style>
  <w:style w:type="character" w:styleId="CommentReference">
    <w:name w:val="annotation reference"/>
    <w:basedOn w:val="DefaultParagraphFont"/>
    <w:uiPriority w:val="99"/>
    <w:semiHidden/>
    <w:unhideWhenUsed/>
    <w:rsid w:val="00D10FFB"/>
    <w:rPr>
      <w:sz w:val="16"/>
      <w:szCs w:val="16"/>
    </w:rPr>
  </w:style>
  <w:style w:type="paragraph" w:styleId="CommentText">
    <w:name w:val="annotation text"/>
    <w:basedOn w:val="Normal"/>
    <w:link w:val="CommentTextChar"/>
    <w:uiPriority w:val="99"/>
    <w:unhideWhenUsed/>
    <w:rsid w:val="00D10FFB"/>
    <w:pPr>
      <w:spacing w:line="240" w:lineRule="auto"/>
    </w:pPr>
    <w:rPr>
      <w:sz w:val="20"/>
      <w:szCs w:val="20"/>
    </w:rPr>
  </w:style>
  <w:style w:type="character" w:customStyle="1" w:styleId="CommentTextChar">
    <w:name w:val="Comment Text Char"/>
    <w:basedOn w:val="DefaultParagraphFont"/>
    <w:link w:val="CommentText"/>
    <w:uiPriority w:val="99"/>
    <w:rsid w:val="00D10FFB"/>
    <w:rPr>
      <w:sz w:val="20"/>
      <w:szCs w:val="20"/>
    </w:rPr>
  </w:style>
  <w:style w:type="paragraph" w:styleId="CommentSubject">
    <w:name w:val="annotation subject"/>
    <w:basedOn w:val="CommentText"/>
    <w:next w:val="CommentText"/>
    <w:link w:val="CommentSubjectChar"/>
    <w:uiPriority w:val="99"/>
    <w:semiHidden/>
    <w:unhideWhenUsed/>
    <w:rsid w:val="00D10FFB"/>
    <w:rPr>
      <w:b/>
      <w:bCs/>
    </w:rPr>
  </w:style>
  <w:style w:type="character" w:customStyle="1" w:styleId="CommentSubjectChar">
    <w:name w:val="Comment Subject Char"/>
    <w:basedOn w:val="CommentTextChar"/>
    <w:link w:val="CommentSubject"/>
    <w:uiPriority w:val="99"/>
    <w:semiHidden/>
    <w:rsid w:val="00D10FFB"/>
    <w:rPr>
      <w:b/>
      <w:bCs/>
      <w:sz w:val="20"/>
      <w:szCs w:val="20"/>
    </w:rPr>
  </w:style>
  <w:style w:type="paragraph" w:styleId="BalloonText">
    <w:name w:val="Balloon Text"/>
    <w:basedOn w:val="Normal"/>
    <w:link w:val="BalloonTextChar"/>
    <w:uiPriority w:val="99"/>
    <w:semiHidden/>
    <w:unhideWhenUsed/>
    <w:rsid w:val="00D10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FFB"/>
    <w:rPr>
      <w:rFonts w:ascii="Tahoma" w:hAnsi="Tahoma" w:cs="Tahoma"/>
      <w:sz w:val="16"/>
      <w:szCs w:val="16"/>
    </w:rPr>
  </w:style>
  <w:style w:type="character" w:styleId="Hyperlink">
    <w:name w:val="Hyperlink"/>
    <w:basedOn w:val="DefaultParagraphFont"/>
    <w:uiPriority w:val="99"/>
    <w:unhideWhenUsed/>
    <w:rsid w:val="00D10FFB"/>
    <w:rPr>
      <w:color w:val="467886" w:themeColor="hyperlink"/>
      <w:u w:val="single"/>
    </w:rPr>
  </w:style>
  <w:style w:type="paragraph" w:styleId="Footer">
    <w:name w:val="footer"/>
    <w:basedOn w:val="Normal"/>
    <w:link w:val="FooterChar"/>
    <w:uiPriority w:val="99"/>
    <w:unhideWhenUsed/>
    <w:rsid w:val="000233C3"/>
    <w:pPr>
      <w:tabs>
        <w:tab w:val="center" w:pos="4419"/>
        <w:tab w:val="right" w:pos="8838"/>
      </w:tabs>
      <w:spacing w:after="0" w:line="240" w:lineRule="auto"/>
    </w:pPr>
  </w:style>
  <w:style w:type="character" w:customStyle="1" w:styleId="FooterChar">
    <w:name w:val="Footer Char"/>
    <w:basedOn w:val="DefaultParagraphFont"/>
    <w:link w:val="Footer"/>
    <w:uiPriority w:val="99"/>
    <w:rsid w:val="000233C3"/>
  </w:style>
  <w:style w:type="paragraph" w:customStyle="1" w:styleId="Normal1">
    <w:name w:val="Normal1"/>
    <w:rsid w:val="001C6376"/>
    <w:pPr>
      <w:spacing w:line="259" w:lineRule="auto"/>
    </w:pPr>
    <w:rPr>
      <w:rFonts w:ascii="Calibri" w:eastAsia="Calibri" w:hAnsi="Calibri" w:cs="Calibri"/>
      <w:sz w:val="22"/>
      <w:szCs w:val="22"/>
      <w:lang w:val="es-ES" w:eastAsia="es-ES"/>
    </w:rPr>
  </w:style>
  <w:style w:type="character" w:customStyle="1" w:styleId="normaltextrun">
    <w:name w:val="normaltextrun"/>
    <w:basedOn w:val="DefaultParagraphFont"/>
    <w:rsid w:val="0012490E"/>
  </w:style>
  <w:style w:type="character" w:styleId="UnresolvedMention">
    <w:name w:val="Unresolved Mention"/>
    <w:basedOn w:val="DefaultParagraphFont"/>
    <w:uiPriority w:val="99"/>
    <w:semiHidden/>
    <w:unhideWhenUsed/>
    <w:rsid w:val="00AA58DD"/>
    <w:rPr>
      <w:color w:val="605E5C"/>
      <w:shd w:val="clear" w:color="auto" w:fill="E1DFDD"/>
    </w:rPr>
  </w:style>
  <w:style w:type="table" w:styleId="TableGrid">
    <w:name w:val="Table Grid"/>
    <w:basedOn w:val="TableNormal"/>
    <w:uiPriority w:val="59"/>
    <w:unhideWhenUsed/>
    <w:rsid w:val="002F764B"/>
    <w:pPr>
      <w:spacing w:after="0" w:line="240" w:lineRule="auto"/>
    </w:pPr>
    <w:rPr>
      <w:rFonts w:eastAsiaTheme="minorEastAsia"/>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C0223"/>
    <w:pPr>
      <w:spacing w:before="240" w:after="0" w:line="259" w:lineRule="auto"/>
      <w:outlineLvl w:val="9"/>
    </w:pPr>
    <w:rPr>
      <w:sz w:val="32"/>
      <w:szCs w:val="32"/>
    </w:rPr>
  </w:style>
  <w:style w:type="paragraph" w:styleId="TOC1">
    <w:name w:val="toc 1"/>
    <w:basedOn w:val="Normal"/>
    <w:next w:val="Normal"/>
    <w:autoRedefine/>
    <w:uiPriority w:val="39"/>
    <w:unhideWhenUsed/>
    <w:rsid w:val="005C0223"/>
    <w:pPr>
      <w:spacing w:after="100"/>
    </w:pPr>
  </w:style>
  <w:style w:type="paragraph" w:styleId="TOC2">
    <w:name w:val="toc 2"/>
    <w:basedOn w:val="Normal"/>
    <w:next w:val="Normal"/>
    <w:autoRedefine/>
    <w:uiPriority w:val="39"/>
    <w:unhideWhenUsed/>
    <w:rsid w:val="005C0223"/>
    <w:pPr>
      <w:spacing w:after="100"/>
      <w:ind w:left="240"/>
    </w:pPr>
  </w:style>
  <w:style w:type="paragraph" w:styleId="TOC3">
    <w:name w:val="toc 3"/>
    <w:basedOn w:val="Normal"/>
    <w:next w:val="Normal"/>
    <w:autoRedefine/>
    <w:uiPriority w:val="39"/>
    <w:unhideWhenUsed/>
    <w:rsid w:val="005C0223"/>
    <w:pPr>
      <w:spacing w:after="100"/>
      <w:ind w:left="480"/>
    </w:pPr>
  </w:style>
  <w:style w:type="paragraph" w:styleId="Header">
    <w:name w:val="header"/>
    <w:basedOn w:val="Normal"/>
    <w:link w:val="HeaderChar"/>
    <w:uiPriority w:val="99"/>
    <w:unhideWhenUsed/>
    <w:rsid w:val="002F43A2"/>
    <w:pPr>
      <w:tabs>
        <w:tab w:val="center" w:pos="4419"/>
        <w:tab w:val="right" w:pos="8838"/>
      </w:tabs>
      <w:spacing w:after="0" w:line="240" w:lineRule="auto"/>
    </w:pPr>
  </w:style>
  <w:style w:type="character" w:customStyle="1" w:styleId="HeaderChar">
    <w:name w:val="Header Char"/>
    <w:basedOn w:val="DefaultParagraphFont"/>
    <w:link w:val="Header"/>
    <w:uiPriority w:val="99"/>
    <w:rsid w:val="002F43A2"/>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pPr>
      <w:spacing w:after="0" w:line="240" w:lineRule="auto"/>
    </w:pPr>
    <w:rPr>
      <w:sz w:val="22"/>
      <w:szCs w:val="22"/>
    </w:rPr>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comisionporlamemoria.org/datosabiertos/fuero-penal-de-adultos-datos/" TargetMode="External"/><Relationship Id="rId13" Type="http://schemas.openxmlformats.org/officeDocument/2006/relationships/hyperlink" Target="https://www.comisionporlamemoria.org/datosabiertos/fuero-penal-de-adultos-datos/" TargetMode="External"/><Relationship Id="rId18" Type="http://schemas.openxmlformats.org/officeDocument/2006/relationships/hyperlink" Target="https://www.comisionporlamemoria.org/project/el-aislamiento-en-las-carceles-bonaerenses/" TargetMode="External"/><Relationship Id="rId26" Type="http://schemas.openxmlformats.org/officeDocument/2006/relationships/hyperlink" Target="https://drive.google.com/file/d/11kjsHX9PMeO2NNcGG5lpbDJZsxc1a1bM/view?usp=sharing" TargetMode="External"/><Relationship Id="rId3" Type="http://schemas.openxmlformats.org/officeDocument/2006/relationships/hyperlink" Target="https://www.infocielo.com/politica-y-economia/vicente-lopez-jorge-macri-presento-la-fuerza-los-guardianes-calle-n38902" TargetMode="External"/><Relationship Id="rId21" Type="http://schemas.openxmlformats.org/officeDocument/2006/relationships/hyperlink" Target="https://www.comisionporlamemoria.org/datosabiertos/carceles-datos/" TargetMode="External"/><Relationship Id="rId7" Type="http://schemas.openxmlformats.org/officeDocument/2006/relationships/hyperlink" Target="https://www.comisionporlamemoria.org/datosabiertos/fuero-penal-de-adultos-datos/" TargetMode="External"/><Relationship Id="rId12" Type="http://schemas.openxmlformats.org/officeDocument/2006/relationships/hyperlink" Target="https://www.comisionporlamemoria.org/datosabiertos/fuero-penal-de-adultos-datos/" TargetMode="External"/><Relationship Id="rId17" Type="http://schemas.openxmlformats.org/officeDocument/2006/relationships/hyperlink" Target="https://www.comisionporlamemoria.org/datosabiertos/carceles-datos/" TargetMode="External"/><Relationship Id="rId25" Type="http://schemas.openxmlformats.org/officeDocument/2006/relationships/hyperlink" Target="https://www.boletinoficial.gob.ar/detalleAviso/primera/301122/20231221" TargetMode="External"/><Relationship Id="rId2" Type="http://schemas.openxmlformats.org/officeDocument/2006/relationships/hyperlink" Target="https://www.comisionporlamemoria.org/datosabiertos/carceles-datos/" TargetMode="External"/><Relationship Id="rId16" Type="http://schemas.openxmlformats.org/officeDocument/2006/relationships/hyperlink" Target="https://www.comisionporlamemoria.org/project/informe-especial-la-alimentacion-en-las-carceles-bonaerenses/" TargetMode="External"/><Relationship Id="rId20" Type="http://schemas.openxmlformats.org/officeDocument/2006/relationships/hyperlink" Target="https://www.comisionporlamemoria.org/datosabiertos/comisarias-datos/" TargetMode="External"/><Relationship Id="rId1" Type="http://schemas.openxmlformats.org/officeDocument/2006/relationships/hyperlink" Target="https://www.comisionporlamemoria.org/datosabiertos/carceles-datos/" TargetMode="External"/><Relationship Id="rId6" Type="http://schemas.openxmlformats.org/officeDocument/2006/relationships/hyperlink" Target="https://www.youtube.com/watch?v=GuX-2wUzce8" TargetMode="External"/><Relationship Id="rId11" Type="http://schemas.openxmlformats.org/officeDocument/2006/relationships/hyperlink" Target="https://www.comisionporlamemoria.org/datosabiertos/carceles-datos/" TargetMode="External"/><Relationship Id="rId24" Type="http://schemas.openxmlformats.org/officeDocument/2006/relationships/hyperlink" Target="https://www.comisionporlamemoria.org/datosabiertos/politica-criminal-datos/" TargetMode="External"/><Relationship Id="rId5" Type="http://schemas.openxmlformats.org/officeDocument/2006/relationships/hyperlink" Target="https://www.vicentelopez.gov.ar/gestion/patrulla-armada-con-pistolas-byrn" TargetMode="External"/><Relationship Id="rId15" Type="http://schemas.openxmlformats.org/officeDocument/2006/relationships/hyperlink" Target="https://www.comisionporlamemoria.org/datosabiertos/fuero-penal-de-adultos-datos/" TargetMode="External"/><Relationship Id="rId23" Type="http://schemas.openxmlformats.org/officeDocument/2006/relationships/hyperlink" Target="https://www.comisionporlamemoria.org/datosabiertos/politica-criminal-datos/" TargetMode="External"/><Relationship Id="rId28" Type="http://schemas.openxmlformats.org/officeDocument/2006/relationships/hyperlink" Target="https://eur-lex.europa.eu/eli/reg/2024/1689/oj" TargetMode="External"/><Relationship Id="rId10" Type="http://schemas.openxmlformats.org/officeDocument/2006/relationships/hyperlink" Target="https://www.comisionporlamemoria.org/datosabiertos/carceles-datos/" TargetMode="External"/><Relationship Id="rId19" Type="http://schemas.openxmlformats.org/officeDocument/2006/relationships/hyperlink" Target="https://www.comisionporlamemoria.org/informeanual2025/wp-content/uploads/sites/16/sites/43/2025/08/niniez.pdf" TargetMode="External"/><Relationship Id="rId4" Type="http://schemas.openxmlformats.org/officeDocument/2006/relationships/hyperlink" Target="https://www.vicentelopez.gov.ar/gestion/nuevas-camionetas-y-motos-de-patrulla" TargetMode="External"/><Relationship Id="rId9" Type="http://schemas.openxmlformats.org/officeDocument/2006/relationships/hyperlink" Target="https://www.comisionporlamemoria.org/datosabiertos/comisarias-datos/" TargetMode="External"/><Relationship Id="rId14" Type="http://schemas.openxmlformats.org/officeDocument/2006/relationships/hyperlink" Target="https://www.comisionporlamemoria.org/datosabiertos/fuero-penal-de-adultos-datos/" TargetMode="External"/><Relationship Id="rId22" Type="http://schemas.openxmlformats.org/officeDocument/2006/relationships/hyperlink" Target="https://www.comisionporlamemoria.org/datosabiertos/politica-criminal-datos/" TargetMode="External"/><Relationship Id="rId27" Type="http://schemas.openxmlformats.org/officeDocument/2006/relationships/hyperlink" Target="https://accion.coop/opinion/regulacion-europea-patrullaje-argentin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OnBZMpMFyNB3tjAuQWVJibMzww==">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78</Pages>
  <Words>32825</Words>
  <Characters>187103</Characters>
  <Application>Microsoft Office Word</Application>
  <DocSecurity>4</DocSecurity>
  <Lines>1559</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ILLESCAS ALVAREZ</dc:creator>
  <cp:lastModifiedBy>Denise D''Aniello</cp:lastModifiedBy>
  <cp:revision>2</cp:revision>
  <dcterms:created xsi:type="dcterms:W3CDTF">2025-11-18T11:16:00Z</dcterms:created>
  <dcterms:modified xsi:type="dcterms:W3CDTF">2025-11-18T11:16:00Z</dcterms:modified>
</cp:coreProperties>
</file>