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BEA448" w14:textId="77777777" w:rsidR="00132485" w:rsidRPr="00132485" w:rsidRDefault="00132485" w:rsidP="00132485">
      <w:pPr>
        <w:spacing w:after="160" w:line="360" w:lineRule="auto"/>
        <w:rPr>
          <w:rFonts w:ascii="Calibri" w:eastAsia="Calibri" w:hAnsi="Calibri" w:cs="Calibri"/>
          <w:b/>
          <w:sz w:val="22"/>
          <w:szCs w:val="22"/>
          <w:lang w:val="es-UY" w:eastAsia="en-US"/>
        </w:rPr>
      </w:pPr>
      <w:bookmarkStart w:id="0" w:name="_GoBack"/>
      <w:bookmarkEnd w:id="0"/>
    </w:p>
    <w:p w14:paraId="7CB11CF1" w14:textId="77777777" w:rsidR="00132485" w:rsidRPr="00132485" w:rsidRDefault="00132485" w:rsidP="00132485">
      <w:pPr>
        <w:spacing w:after="160" w:line="360" w:lineRule="auto"/>
        <w:rPr>
          <w:rFonts w:ascii="Calibri" w:eastAsia="Calibri" w:hAnsi="Calibri" w:cs="Calibri"/>
          <w:b/>
          <w:sz w:val="22"/>
          <w:szCs w:val="22"/>
          <w:lang w:val="es-UY" w:eastAsia="en-US"/>
        </w:rPr>
      </w:pPr>
    </w:p>
    <w:p w14:paraId="31B051FF" w14:textId="77777777" w:rsidR="00132485" w:rsidRPr="00132485" w:rsidRDefault="00132485" w:rsidP="00132485">
      <w:pPr>
        <w:spacing w:after="160" w:line="360" w:lineRule="auto"/>
        <w:rPr>
          <w:rFonts w:ascii="Calibri" w:eastAsia="Calibri" w:hAnsi="Calibri" w:cs="Calibri"/>
          <w:b/>
          <w:sz w:val="22"/>
          <w:szCs w:val="22"/>
          <w:lang w:val="es-UY" w:eastAsia="en-US"/>
        </w:rPr>
      </w:pPr>
    </w:p>
    <w:p w14:paraId="544674A2" w14:textId="77777777" w:rsidR="00132485" w:rsidRPr="00132485" w:rsidRDefault="00132485" w:rsidP="00132485">
      <w:pPr>
        <w:spacing w:after="160" w:line="360" w:lineRule="auto"/>
        <w:rPr>
          <w:rFonts w:ascii="Calibri" w:eastAsia="Calibri" w:hAnsi="Calibri" w:cs="Calibri"/>
          <w:b/>
          <w:sz w:val="22"/>
          <w:szCs w:val="22"/>
          <w:lang w:val="es-UY" w:eastAsia="en-US"/>
        </w:rPr>
      </w:pPr>
    </w:p>
    <w:p w14:paraId="2DF55241" w14:textId="77777777" w:rsidR="00132485" w:rsidRPr="00132485" w:rsidRDefault="00132485" w:rsidP="00132485">
      <w:pPr>
        <w:spacing w:after="160" w:line="360" w:lineRule="auto"/>
        <w:rPr>
          <w:rFonts w:ascii="Calibri" w:eastAsia="Calibri" w:hAnsi="Calibri" w:cs="Calibri"/>
          <w:b/>
          <w:sz w:val="22"/>
          <w:szCs w:val="22"/>
          <w:lang w:val="es-UY" w:eastAsia="en-US"/>
        </w:rPr>
      </w:pPr>
      <w:r w:rsidRPr="00132485">
        <w:rPr>
          <w:rFonts w:ascii="Calibri" w:eastAsia="Calibri" w:hAnsi="Calibri" w:cs="Calibri"/>
          <w:b/>
          <w:sz w:val="22"/>
          <w:szCs w:val="22"/>
          <w:lang w:val="es-UY" w:eastAsia="en-US"/>
        </w:rPr>
        <w:t>Convención para la Eliminación de todas las formas de Discriminación Racial</w:t>
      </w:r>
    </w:p>
    <w:p w14:paraId="37615491" w14:textId="77777777" w:rsidR="00132485" w:rsidRPr="00132485" w:rsidRDefault="00132485" w:rsidP="00132485">
      <w:pPr>
        <w:spacing w:after="160" w:line="360" w:lineRule="auto"/>
        <w:rPr>
          <w:rFonts w:ascii="Calibri" w:eastAsia="Calibri" w:hAnsi="Calibri" w:cs="Calibri"/>
          <w:b/>
          <w:sz w:val="22"/>
          <w:szCs w:val="22"/>
          <w:lang w:val="es-UY" w:eastAsia="en-US"/>
        </w:rPr>
      </w:pPr>
    </w:p>
    <w:p w14:paraId="2BF6070F" w14:textId="77777777" w:rsidR="00132485" w:rsidRPr="00132485" w:rsidRDefault="00132485" w:rsidP="00132485">
      <w:pPr>
        <w:spacing w:after="160" w:line="360" w:lineRule="auto"/>
        <w:rPr>
          <w:rFonts w:ascii="Calibri" w:eastAsia="Calibri" w:hAnsi="Calibri" w:cs="Calibri"/>
          <w:b/>
          <w:sz w:val="22"/>
          <w:szCs w:val="22"/>
          <w:lang w:val="es-UY" w:eastAsia="en-US"/>
        </w:rPr>
      </w:pPr>
      <w:r w:rsidRPr="00132485">
        <w:rPr>
          <w:rFonts w:ascii="Calibri" w:eastAsia="Calibri" w:hAnsi="Calibri" w:cs="Calibri"/>
          <w:b/>
          <w:sz w:val="22"/>
          <w:szCs w:val="22"/>
          <w:lang w:val="es-UY" w:eastAsia="en-US"/>
        </w:rPr>
        <w:t>Comité para la Eliminación de la Discriminación Racial (CERD)</w:t>
      </w:r>
      <w:r w:rsidRPr="00132485">
        <w:rPr>
          <w:rFonts w:ascii="Calibri" w:eastAsia="Calibri" w:hAnsi="Calibri" w:cs="Calibri"/>
          <w:b/>
          <w:sz w:val="22"/>
          <w:szCs w:val="22"/>
          <w:lang w:val="es-UY" w:eastAsia="en-US"/>
        </w:rPr>
        <w:cr/>
      </w:r>
    </w:p>
    <w:p w14:paraId="18798FC3" w14:textId="77777777" w:rsidR="00132485" w:rsidRPr="00132485" w:rsidRDefault="00132485" w:rsidP="00132485">
      <w:pPr>
        <w:spacing w:after="160" w:line="360" w:lineRule="auto"/>
        <w:rPr>
          <w:rFonts w:ascii="Calibri" w:eastAsia="Calibri" w:hAnsi="Calibri" w:cs="Calibri"/>
          <w:b/>
          <w:sz w:val="22"/>
          <w:szCs w:val="22"/>
          <w:lang w:val="es-UY" w:eastAsia="en-US"/>
        </w:rPr>
      </w:pPr>
      <w:r w:rsidRPr="00132485">
        <w:rPr>
          <w:rFonts w:ascii="Calibri" w:eastAsia="Calibri" w:hAnsi="Calibri" w:cs="Calibri"/>
          <w:b/>
          <w:sz w:val="22"/>
          <w:szCs w:val="22"/>
          <w:lang w:val="es-UY" w:eastAsia="en-US"/>
        </w:rPr>
        <w:t>110º Período de sesiones</w:t>
      </w:r>
    </w:p>
    <w:p w14:paraId="0A8CDFFE" w14:textId="77777777" w:rsidR="00132485" w:rsidRPr="00132485" w:rsidRDefault="00132485" w:rsidP="00132485">
      <w:pPr>
        <w:spacing w:after="160" w:line="360" w:lineRule="auto"/>
        <w:rPr>
          <w:rFonts w:ascii="Calibri" w:eastAsia="Calibri" w:hAnsi="Calibri" w:cs="Calibri"/>
          <w:b/>
          <w:sz w:val="22"/>
          <w:szCs w:val="22"/>
          <w:lang w:val="es-UY" w:eastAsia="en-US"/>
        </w:rPr>
      </w:pPr>
    </w:p>
    <w:p w14:paraId="5979D6EF" w14:textId="77777777" w:rsidR="00132485" w:rsidRPr="00132485" w:rsidRDefault="00132485" w:rsidP="00132485">
      <w:pPr>
        <w:spacing w:after="160" w:line="360" w:lineRule="auto"/>
        <w:rPr>
          <w:rFonts w:ascii="Calibri" w:eastAsia="Calibri" w:hAnsi="Calibri" w:cs="Calibri"/>
          <w:b/>
          <w:sz w:val="22"/>
          <w:szCs w:val="22"/>
          <w:lang w:val="es-UY" w:eastAsia="en-US"/>
        </w:rPr>
      </w:pPr>
    </w:p>
    <w:p w14:paraId="3237697D" w14:textId="77777777" w:rsidR="00132485" w:rsidRPr="00132485" w:rsidRDefault="00132485" w:rsidP="00132485">
      <w:pPr>
        <w:spacing w:after="160" w:line="360" w:lineRule="auto"/>
        <w:rPr>
          <w:rFonts w:ascii="Calibri" w:eastAsia="Calibri" w:hAnsi="Calibri" w:cs="Calibri"/>
          <w:b/>
          <w:sz w:val="22"/>
          <w:szCs w:val="22"/>
          <w:lang w:val="es-UY" w:eastAsia="en-US"/>
        </w:rPr>
      </w:pPr>
    </w:p>
    <w:p w14:paraId="12D6B203" w14:textId="77777777" w:rsidR="00132485" w:rsidRPr="00132485" w:rsidRDefault="00132485" w:rsidP="00132485">
      <w:pPr>
        <w:spacing w:after="160" w:line="360" w:lineRule="auto"/>
        <w:rPr>
          <w:rFonts w:ascii="Calibri" w:eastAsia="Calibri" w:hAnsi="Calibri" w:cs="Calibri"/>
          <w:b/>
          <w:sz w:val="22"/>
          <w:szCs w:val="22"/>
          <w:lang w:val="es-UY" w:eastAsia="en-US"/>
        </w:rPr>
      </w:pPr>
    </w:p>
    <w:p w14:paraId="5177C926" w14:textId="77777777" w:rsidR="00132485" w:rsidRPr="00132485" w:rsidRDefault="00132485" w:rsidP="00132485">
      <w:pPr>
        <w:spacing w:after="160" w:line="360" w:lineRule="auto"/>
        <w:rPr>
          <w:rFonts w:ascii="Calibri" w:eastAsia="Calibri" w:hAnsi="Calibri" w:cs="Calibri"/>
          <w:b/>
          <w:sz w:val="22"/>
          <w:szCs w:val="22"/>
          <w:lang w:val="es-UY" w:eastAsia="en-US"/>
        </w:rPr>
      </w:pPr>
      <w:r w:rsidRPr="00132485">
        <w:rPr>
          <w:rFonts w:ascii="Calibri" w:eastAsia="Calibri" w:hAnsi="Calibri" w:cs="Calibri"/>
          <w:b/>
          <w:sz w:val="22"/>
          <w:szCs w:val="22"/>
          <w:lang w:val="es-UY" w:eastAsia="en-US"/>
        </w:rPr>
        <w:t>Informe de la Institución Nacional de Derechos Humanos y Defensoría del Pueblo de la República Oriental del Uruguay</w:t>
      </w:r>
    </w:p>
    <w:p w14:paraId="7B6C8926" w14:textId="77777777" w:rsidR="00132485" w:rsidRPr="00132485" w:rsidRDefault="00132485" w:rsidP="00132485">
      <w:pPr>
        <w:keepNext/>
        <w:keepLines/>
        <w:spacing w:before="240" w:line="360" w:lineRule="auto"/>
        <w:rPr>
          <w:rFonts w:ascii="Calibri" w:eastAsia="等线 Light" w:hAnsi="Calibri" w:cs="Calibri"/>
          <w:color w:val="2E74B5"/>
          <w:sz w:val="22"/>
          <w:szCs w:val="22"/>
          <w:lang w:val="es-UY"/>
        </w:rPr>
      </w:pPr>
    </w:p>
    <w:p w14:paraId="0DD6688D" w14:textId="77777777" w:rsidR="00132485" w:rsidRPr="00132485" w:rsidRDefault="00132485" w:rsidP="00132485">
      <w:pPr>
        <w:spacing w:after="160" w:line="360" w:lineRule="auto"/>
        <w:rPr>
          <w:rFonts w:ascii="Calibri" w:eastAsia="Calibri" w:hAnsi="Calibri" w:cs="Calibri"/>
          <w:sz w:val="22"/>
          <w:szCs w:val="22"/>
          <w:lang w:val="es-UY"/>
        </w:rPr>
      </w:pPr>
    </w:p>
    <w:p w14:paraId="75759281" w14:textId="77777777" w:rsidR="00132485" w:rsidRPr="00132485" w:rsidRDefault="00132485" w:rsidP="00132485">
      <w:pPr>
        <w:spacing w:after="160" w:line="360" w:lineRule="auto"/>
        <w:rPr>
          <w:rFonts w:ascii="Calibri" w:eastAsia="Calibri" w:hAnsi="Calibri" w:cs="Calibri"/>
          <w:sz w:val="22"/>
          <w:szCs w:val="22"/>
          <w:lang w:val="es-UY"/>
        </w:rPr>
      </w:pPr>
    </w:p>
    <w:p w14:paraId="3A82624A" w14:textId="77777777" w:rsidR="00132485" w:rsidRPr="00132485" w:rsidRDefault="00132485" w:rsidP="00132485">
      <w:pPr>
        <w:spacing w:after="160" w:line="360" w:lineRule="auto"/>
        <w:rPr>
          <w:rFonts w:ascii="Calibri" w:eastAsia="Calibri" w:hAnsi="Calibri" w:cs="Calibri"/>
          <w:sz w:val="22"/>
          <w:szCs w:val="22"/>
          <w:lang w:val="es-UY"/>
        </w:rPr>
      </w:pPr>
    </w:p>
    <w:p w14:paraId="37017B70" w14:textId="77777777" w:rsidR="00132485" w:rsidRPr="00132485" w:rsidRDefault="00132485" w:rsidP="00132485">
      <w:pPr>
        <w:spacing w:line="360" w:lineRule="auto"/>
        <w:jc w:val="both"/>
        <w:rPr>
          <w:rFonts w:ascii="Calibri" w:eastAsia="Calibri" w:hAnsi="Calibri" w:cs="Calibri"/>
          <w:sz w:val="22"/>
          <w:szCs w:val="22"/>
          <w:lang w:val="es-UY" w:eastAsia="en-US"/>
        </w:rPr>
      </w:pPr>
    </w:p>
    <w:p w14:paraId="4EE94743" w14:textId="77777777" w:rsidR="00132485" w:rsidRPr="00132485" w:rsidRDefault="00132485" w:rsidP="00132485">
      <w:pPr>
        <w:spacing w:line="360" w:lineRule="auto"/>
        <w:jc w:val="both"/>
        <w:rPr>
          <w:rFonts w:ascii="Calibri" w:eastAsia="Calibri" w:hAnsi="Calibri" w:cs="Calibri"/>
          <w:sz w:val="22"/>
          <w:szCs w:val="22"/>
          <w:lang w:val="es-UY" w:eastAsia="en-US"/>
        </w:rPr>
      </w:pPr>
    </w:p>
    <w:p w14:paraId="665FAB6E" w14:textId="77777777" w:rsidR="00132485" w:rsidRPr="00132485" w:rsidRDefault="00132485" w:rsidP="00132485">
      <w:pPr>
        <w:spacing w:line="360" w:lineRule="auto"/>
        <w:jc w:val="both"/>
        <w:rPr>
          <w:rFonts w:ascii="Calibri" w:eastAsia="Calibri" w:hAnsi="Calibri" w:cs="Calibri"/>
          <w:sz w:val="22"/>
          <w:szCs w:val="22"/>
          <w:lang w:val="es-UY" w:eastAsia="en-US"/>
        </w:rPr>
      </w:pPr>
    </w:p>
    <w:p w14:paraId="7F408FD8" w14:textId="77777777" w:rsidR="00132485" w:rsidRPr="00132485" w:rsidRDefault="00132485" w:rsidP="00132485">
      <w:pPr>
        <w:spacing w:line="360" w:lineRule="auto"/>
        <w:jc w:val="both"/>
        <w:rPr>
          <w:rFonts w:ascii="Calibri" w:eastAsia="Calibri" w:hAnsi="Calibri" w:cs="Calibri"/>
          <w:sz w:val="22"/>
          <w:szCs w:val="22"/>
          <w:lang w:val="es-UY" w:eastAsia="en-US"/>
        </w:rPr>
      </w:pPr>
    </w:p>
    <w:p w14:paraId="6ADB5F75" w14:textId="77777777" w:rsidR="00132485" w:rsidRPr="00132485" w:rsidRDefault="00132485" w:rsidP="00132485">
      <w:pPr>
        <w:spacing w:line="360" w:lineRule="auto"/>
        <w:jc w:val="both"/>
        <w:rPr>
          <w:rFonts w:ascii="Calibri" w:eastAsia="Calibri" w:hAnsi="Calibri" w:cs="Calibri"/>
          <w:sz w:val="22"/>
          <w:szCs w:val="22"/>
          <w:lang w:val="es-UY" w:eastAsia="en-US"/>
        </w:rPr>
      </w:pPr>
    </w:p>
    <w:p w14:paraId="7CE9ED6F" w14:textId="77777777" w:rsidR="00132485" w:rsidRPr="00132485" w:rsidRDefault="00132485" w:rsidP="00132485">
      <w:pPr>
        <w:spacing w:line="360"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w:t>
      </w:r>
      <w:r w:rsidRPr="00132485">
        <w:rPr>
          <w:rFonts w:ascii="Calibri" w:eastAsia="Calibri" w:hAnsi="Calibri" w:cs="Calibri"/>
          <w:sz w:val="22"/>
          <w:szCs w:val="22"/>
          <w:lang w:val="es-MX" w:eastAsia="en-US"/>
        </w:rPr>
        <w:t>12</w:t>
      </w:r>
      <w:r w:rsidRPr="00132485">
        <w:rPr>
          <w:rFonts w:ascii="Calibri" w:eastAsia="Calibri" w:hAnsi="Calibri" w:cs="Calibri"/>
          <w:sz w:val="22"/>
          <w:szCs w:val="22"/>
          <w:lang w:val="es-UY" w:eastAsia="en-US"/>
        </w:rPr>
        <w:t xml:space="preserve"> de julio de 2023]</w:t>
      </w:r>
    </w:p>
    <w:p w14:paraId="3546A4C0" w14:textId="77777777" w:rsidR="00132485" w:rsidRPr="00132485" w:rsidRDefault="00132485" w:rsidP="00132485">
      <w:pPr>
        <w:spacing w:after="160" w:line="259" w:lineRule="auto"/>
        <w:rPr>
          <w:rFonts w:ascii="Calibri" w:eastAsia="Calibri" w:hAnsi="Calibri" w:cs="Calibri"/>
          <w:sz w:val="22"/>
          <w:szCs w:val="22"/>
          <w:lang w:val="es-UY" w:eastAsia="en-US"/>
        </w:rPr>
      </w:pPr>
    </w:p>
    <w:sdt>
      <w:sdtPr>
        <w:rPr>
          <w:rFonts w:ascii="Calibri" w:eastAsia="Calibri" w:hAnsi="Calibri"/>
          <w:sz w:val="22"/>
          <w:szCs w:val="22"/>
          <w:lang w:eastAsia="en-US"/>
        </w:rPr>
        <w:id w:val="1761868330"/>
        <w:docPartObj>
          <w:docPartGallery w:val="Table of Contents"/>
          <w:docPartUnique/>
        </w:docPartObj>
      </w:sdtPr>
      <w:sdtEndPr>
        <w:rPr>
          <w:b/>
          <w:bCs/>
        </w:rPr>
      </w:sdtEndPr>
      <w:sdtContent>
        <w:p w14:paraId="0AFC89A4" w14:textId="77777777" w:rsidR="00132485" w:rsidRPr="00132485" w:rsidRDefault="00132485" w:rsidP="00132485">
          <w:pPr>
            <w:rPr>
              <w:rFonts w:ascii="Calibri Light" w:eastAsia="等线 Light" w:hAnsi="Calibri Light"/>
              <w:color w:val="2E74B5"/>
              <w:sz w:val="26"/>
              <w:szCs w:val="26"/>
              <w:lang w:val="es-UY" w:eastAsia="en-US"/>
            </w:rPr>
          </w:pPr>
          <w:r w:rsidRPr="00132485">
            <w:rPr>
              <w:rFonts w:ascii="Calibri Light" w:eastAsia="等线 Light" w:hAnsi="Calibri Light"/>
              <w:color w:val="2E74B5"/>
              <w:sz w:val="26"/>
              <w:szCs w:val="26"/>
              <w:lang w:val="es-UY" w:eastAsia="en-US"/>
            </w:rPr>
            <w:t>Índice</w:t>
          </w:r>
        </w:p>
        <w:p w14:paraId="153908C3" w14:textId="77777777" w:rsidR="00132485" w:rsidRPr="00132485" w:rsidRDefault="00132485" w:rsidP="00132485">
          <w:pPr>
            <w:rPr>
              <w:rFonts w:ascii="Calibri" w:eastAsia="Calibri" w:hAnsi="Calibri"/>
              <w:sz w:val="22"/>
              <w:szCs w:val="22"/>
              <w:lang w:val="es-UY" w:eastAsia="en-US"/>
            </w:rPr>
          </w:pPr>
        </w:p>
        <w:p w14:paraId="4811CC73" w14:textId="43CB224A" w:rsidR="00132485" w:rsidRPr="00132485" w:rsidRDefault="00132485" w:rsidP="00132485">
          <w:pPr>
            <w:tabs>
              <w:tab w:val="right" w:leader="dot" w:pos="9062"/>
            </w:tabs>
            <w:spacing w:after="100" w:line="259" w:lineRule="auto"/>
            <w:rPr>
              <w:rFonts w:ascii="Calibri" w:eastAsia="DengXian" w:hAnsi="Calibri"/>
              <w:sz w:val="22"/>
              <w:szCs w:val="22"/>
              <w:lang w:val="es-UY" w:eastAsia="es-UY"/>
            </w:rPr>
          </w:pPr>
          <w:r w:rsidRPr="00132485">
            <w:rPr>
              <w:rFonts w:ascii="Calibri" w:eastAsia="DengXian" w:hAnsi="Calibri"/>
              <w:sz w:val="22"/>
              <w:szCs w:val="22"/>
              <w:lang w:val="es-UY" w:eastAsia="es-UY"/>
            </w:rPr>
            <w:fldChar w:fldCharType="begin"/>
          </w:r>
          <w:r w:rsidRPr="00132485">
            <w:rPr>
              <w:rFonts w:ascii="Calibri" w:eastAsia="DengXian" w:hAnsi="Calibri"/>
              <w:sz w:val="22"/>
              <w:szCs w:val="22"/>
              <w:lang w:val="es-UY" w:eastAsia="es-UY"/>
            </w:rPr>
            <w:instrText xml:space="preserve"> TOC \o "1-3" \h \z \u </w:instrText>
          </w:r>
          <w:r w:rsidRPr="00132485">
            <w:rPr>
              <w:rFonts w:ascii="Calibri" w:eastAsia="DengXian" w:hAnsi="Calibri"/>
              <w:sz w:val="22"/>
              <w:szCs w:val="22"/>
              <w:lang w:val="es-UY" w:eastAsia="es-UY"/>
            </w:rPr>
            <w:fldChar w:fldCharType="separate"/>
          </w:r>
          <w:hyperlink w:anchor="_Toc138930079" w:history="1">
            <w:r w:rsidRPr="00132485">
              <w:rPr>
                <w:rFonts w:ascii="Calibri" w:eastAsia="DengXian" w:hAnsi="Calibri"/>
                <w:color w:val="0000FF"/>
                <w:sz w:val="22"/>
                <w:szCs w:val="22"/>
                <w:u w:val="single"/>
                <w:lang w:val="es-UY" w:eastAsia="es-UY"/>
              </w:rPr>
              <w:t>Introducción</w:t>
            </w:r>
            <w:r w:rsidRPr="00132485">
              <w:rPr>
                <w:rFonts w:ascii="Calibri" w:eastAsia="DengXian" w:hAnsi="Calibri"/>
                <w:sz w:val="22"/>
                <w:szCs w:val="22"/>
                <w:lang w:val="es-UY" w:eastAsia="es-UY"/>
              </w:rPr>
              <w:tab/>
            </w:r>
            <w:r w:rsidRPr="00132485">
              <w:rPr>
                <w:rFonts w:ascii="Calibri" w:eastAsia="DengXian" w:hAnsi="Calibri"/>
                <w:sz w:val="22"/>
                <w:szCs w:val="22"/>
                <w:lang w:val="es-UY" w:eastAsia="es-UY"/>
              </w:rPr>
              <w:fldChar w:fldCharType="begin"/>
            </w:r>
            <w:r w:rsidRPr="00132485">
              <w:rPr>
                <w:rFonts w:ascii="Calibri" w:eastAsia="DengXian" w:hAnsi="Calibri"/>
                <w:sz w:val="22"/>
                <w:szCs w:val="22"/>
                <w:lang w:val="es-UY" w:eastAsia="es-UY"/>
              </w:rPr>
              <w:instrText xml:space="preserve"> PAGEREF _Toc138930079 \h </w:instrText>
            </w:r>
            <w:r w:rsidRPr="00132485">
              <w:rPr>
                <w:rFonts w:ascii="Calibri" w:eastAsia="DengXian" w:hAnsi="Calibri"/>
                <w:sz w:val="22"/>
                <w:szCs w:val="22"/>
                <w:lang w:val="es-UY" w:eastAsia="es-UY"/>
              </w:rPr>
            </w:r>
            <w:r w:rsidRPr="00132485">
              <w:rPr>
                <w:rFonts w:ascii="Calibri" w:eastAsia="DengXian" w:hAnsi="Calibri"/>
                <w:sz w:val="22"/>
                <w:szCs w:val="22"/>
                <w:lang w:val="es-UY" w:eastAsia="es-UY"/>
              </w:rPr>
              <w:fldChar w:fldCharType="separate"/>
            </w:r>
            <w:r w:rsidR="00B12CCE">
              <w:rPr>
                <w:rFonts w:ascii="Calibri" w:eastAsia="DengXian" w:hAnsi="Calibri"/>
                <w:noProof/>
                <w:sz w:val="22"/>
                <w:szCs w:val="22"/>
                <w:lang w:val="es-UY" w:eastAsia="es-UY"/>
              </w:rPr>
              <w:t>2</w:t>
            </w:r>
            <w:r w:rsidRPr="00132485">
              <w:rPr>
                <w:rFonts w:ascii="Calibri" w:eastAsia="DengXian" w:hAnsi="Calibri"/>
                <w:sz w:val="22"/>
                <w:szCs w:val="22"/>
                <w:lang w:val="es-UY" w:eastAsia="es-UY"/>
              </w:rPr>
              <w:fldChar w:fldCharType="end"/>
            </w:r>
          </w:hyperlink>
        </w:p>
        <w:p w14:paraId="6DDD26AD" w14:textId="2E8D3B64" w:rsidR="00132485" w:rsidRPr="00132485" w:rsidRDefault="00B12CCE" w:rsidP="00132485">
          <w:pPr>
            <w:tabs>
              <w:tab w:val="right" w:leader="dot" w:pos="9062"/>
            </w:tabs>
            <w:spacing w:after="100" w:line="259" w:lineRule="auto"/>
            <w:rPr>
              <w:rFonts w:ascii="Calibri" w:eastAsia="DengXian" w:hAnsi="Calibri"/>
              <w:sz w:val="22"/>
              <w:szCs w:val="22"/>
              <w:lang w:val="es-UY" w:eastAsia="es-UY"/>
            </w:rPr>
          </w:pPr>
          <w:hyperlink w:anchor="_Toc138930080" w:history="1">
            <w:r w:rsidR="00132485" w:rsidRPr="00132485">
              <w:rPr>
                <w:rFonts w:ascii="Calibri" w:eastAsia="DengXian" w:hAnsi="Calibri"/>
                <w:color w:val="0000FF"/>
                <w:sz w:val="22"/>
                <w:szCs w:val="22"/>
                <w:u w:val="single"/>
                <w:lang w:val="es-UY" w:eastAsia="es-UY"/>
              </w:rPr>
              <w:t>La Convención en el derecho interno y el marco institucional y normativo para su aplicación (arts. 1, 2, 4 y 5)</w:t>
            </w:r>
            <w:r w:rsidR="00132485" w:rsidRPr="00132485">
              <w:rPr>
                <w:rFonts w:ascii="Calibri" w:eastAsia="DengXian" w:hAnsi="Calibri"/>
                <w:color w:val="0000FF"/>
                <w:sz w:val="22"/>
                <w:szCs w:val="22"/>
                <w:u w:val="single"/>
                <w:lang w:val="es-MX" w:eastAsia="es-UY"/>
              </w:rPr>
              <w:t>. Lista de temas 3 al 7</w:t>
            </w:r>
            <w:r w:rsidR="00132485" w:rsidRPr="00132485">
              <w:rPr>
                <w:rFonts w:ascii="Calibri" w:eastAsia="DengXian" w:hAnsi="Calibri"/>
                <w:sz w:val="22"/>
                <w:szCs w:val="22"/>
                <w:lang w:val="es-UY" w:eastAsia="es-UY"/>
              </w:rPr>
              <w:tab/>
            </w:r>
            <w:r w:rsidR="00132485">
              <w:rPr>
                <w:rFonts w:ascii="Calibri" w:eastAsia="DengXian" w:hAnsi="Calibri"/>
                <w:sz w:val="22"/>
                <w:szCs w:val="22"/>
                <w:lang w:val="es-UY" w:eastAsia="es-UY"/>
              </w:rPr>
              <w:t>4</w:t>
            </w:r>
          </w:hyperlink>
        </w:p>
        <w:p w14:paraId="58219EF3" w14:textId="47C78B7A" w:rsidR="00132485" w:rsidRPr="00132485" w:rsidRDefault="00B12CCE" w:rsidP="00132485">
          <w:pPr>
            <w:tabs>
              <w:tab w:val="right" w:leader="dot" w:pos="9062"/>
            </w:tabs>
            <w:spacing w:after="100" w:line="259" w:lineRule="auto"/>
            <w:rPr>
              <w:rFonts w:ascii="Calibri" w:eastAsia="DengXian" w:hAnsi="Calibri"/>
              <w:sz w:val="22"/>
              <w:szCs w:val="22"/>
              <w:lang w:val="es-UY" w:eastAsia="es-UY"/>
            </w:rPr>
          </w:pPr>
          <w:hyperlink w:anchor="_Toc138930081" w:history="1">
            <w:r w:rsidR="00132485" w:rsidRPr="00132485">
              <w:rPr>
                <w:rFonts w:ascii="Calibri" w:eastAsia="DengXian" w:hAnsi="Calibri"/>
                <w:color w:val="0000FF"/>
                <w:sz w:val="22"/>
                <w:szCs w:val="22"/>
                <w:u w:val="single"/>
                <w:lang w:val="es-UY" w:eastAsia="es-UY"/>
              </w:rPr>
              <w:t>Situación de la población afrodescendiente (arts. 2 y 5)</w:t>
            </w:r>
            <w:r w:rsidR="00132485" w:rsidRPr="00132485">
              <w:rPr>
                <w:rFonts w:ascii="Calibri" w:eastAsia="DengXian" w:hAnsi="Calibri"/>
                <w:sz w:val="22"/>
                <w:szCs w:val="22"/>
                <w:lang w:val="es-UY" w:eastAsia="es-UY"/>
              </w:rPr>
              <w:tab/>
            </w:r>
            <w:r w:rsidR="00132485">
              <w:rPr>
                <w:rFonts w:ascii="Calibri" w:eastAsia="DengXian" w:hAnsi="Calibri"/>
                <w:sz w:val="22"/>
                <w:szCs w:val="22"/>
                <w:lang w:val="es-UY" w:eastAsia="es-UY"/>
              </w:rPr>
              <w:t>8</w:t>
            </w:r>
          </w:hyperlink>
        </w:p>
        <w:p w14:paraId="1CDBC3E5" w14:textId="1146E3F2" w:rsidR="00132485" w:rsidRPr="00132485" w:rsidRDefault="00B12CCE" w:rsidP="00132485">
          <w:pPr>
            <w:tabs>
              <w:tab w:val="right" w:leader="dot" w:pos="9062"/>
            </w:tabs>
            <w:spacing w:after="100" w:line="259" w:lineRule="auto"/>
            <w:rPr>
              <w:rFonts w:ascii="Calibri" w:eastAsia="DengXian" w:hAnsi="Calibri"/>
              <w:sz w:val="22"/>
              <w:szCs w:val="22"/>
              <w:lang w:val="es-UY" w:eastAsia="es-UY"/>
            </w:rPr>
          </w:pPr>
          <w:hyperlink w:anchor="_Toc138930082" w:history="1">
            <w:r w:rsidR="00132485" w:rsidRPr="00132485">
              <w:rPr>
                <w:rFonts w:ascii="Calibri" w:eastAsia="DengXian" w:hAnsi="Calibri"/>
                <w:color w:val="0000FF"/>
                <w:sz w:val="22"/>
                <w:szCs w:val="22"/>
                <w:u w:val="single"/>
                <w:lang w:val="es-UY" w:eastAsia="es-UY"/>
              </w:rPr>
              <w:t>Acceso a la justicia (arts. 5 y 6) (lista de temas 20 y 21)</w:t>
            </w:r>
            <w:r w:rsidR="00132485" w:rsidRPr="00132485">
              <w:rPr>
                <w:rFonts w:ascii="Calibri" w:eastAsia="DengXian" w:hAnsi="Calibri"/>
                <w:sz w:val="22"/>
                <w:szCs w:val="22"/>
                <w:lang w:val="es-UY" w:eastAsia="es-UY"/>
              </w:rPr>
              <w:tab/>
            </w:r>
            <w:r w:rsidR="00132485" w:rsidRPr="00132485">
              <w:rPr>
                <w:rFonts w:ascii="Calibri" w:eastAsia="DengXian" w:hAnsi="Calibri"/>
                <w:sz w:val="22"/>
                <w:szCs w:val="22"/>
                <w:lang w:val="es-UY" w:eastAsia="es-UY"/>
              </w:rPr>
              <w:fldChar w:fldCharType="begin"/>
            </w:r>
            <w:r w:rsidR="00132485" w:rsidRPr="00132485">
              <w:rPr>
                <w:rFonts w:ascii="Calibri" w:eastAsia="DengXian" w:hAnsi="Calibri"/>
                <w:sz w:val="22"/>
                <w:szCs w:val="22"/>
                <w:lang w:val="es-UY" w:eastAsia="es-UY"/>
              </w:rPr>
              <w:instrText xml:space="preserve"> PAGEREF _Toc138930082 \h </w:instrText>
            </w:r>
            <w:r w:rsidR="00132485" w:rsidRPr="00132485">
              <w:rPr>
                <w:rFonts w:ascii="Calibri" w:eastAsia="DengXian" w:hAnsi="Calibri"/>
                <w:sz w:val="22"/>
                <w:szCs w:val="22"/>
                <w:lang w:val="es-UY" w:eastAsia="es-UY"/>
              </w:rPr>
            </w:r>
            <w:r w:rsidR="00132485" w:rsidRPr="00132485">
              <w:rPr>
                <w:rFonts w:ascii="Calibri" w:eastAsia="DengXian" w:hAnsi="Calibri"/>
                <w:sz w:val="22"/>
                <w:szCs w:val="22"/>
                <w:lang w:val="es-UY" w:eastAsia="es-UY"/>
              </w:rPr>
              <w:fldChar w:fldCharType="separate"/>
            </w:r>
            <w:r>
              <w:rPr>
                <w:rFonts w:ascii="Calibri" w:eastAsia="DengXian" w:hAnsi="Calibri"/>
                <w:noProof/>
                <w:sz w:val="22"/>
                <w:szCs w:val="22"/>
                <w:lang w:val="es-UY" w:eastAsia="es-UY"/>
              </w:rPr>
              <w:t>12</w:t>
            </w:r>
            <w:r w:rsidR="00132485" w:rsidRPr="00132485">
              <w:rPr>
                <w:rFonts w:ascii="Calibri" w:eastAsia="DengXian" w:hAnsi="Calibri"/>
                <w:sz w:val="22"/>
                <w:szCs w:val="22"/>
                <w:lang w:val="es-UY" w:eastAsia="es-UY"/>
              </w:rPr>
              <w:fldChar w:fldCharType="end"/>
            </w:r>
          </w:hyperlink>
        </w:p>
        <w:p w14:paraId="35F6E615" w14:textId="039DE634" w:rsidR="00132485" w:rsidRPr="00132485" w:rsidRDefault="00B12CCE" w:rsidP="00132485">
          <w:pPr>
            <w:tabs>
              <w:tab w:val="right" w:leader="dot" w:pos="9062"/>
            </w:tabs>
            <w:spacing w:after="100" w:line="259" w:lineRule="auto"/>
            <w:rPr>
              <w:rFonts w:ascii="Calibri" w:eastAsia="DengXian" w:hAnsi="Calibri"/>
              <w:sz w:val="22"/>
              <w:szCs w:val="22"/>
              <w:lang w:val="es-UY" w:eastAsia="es-UY"/>
            </w:rPr>
          </w:pPr>
          <w:hyperlink w:anchor="_Toc138930083" w:history="1">
            <w:r w:rsidR="00132485" w:rsidRPr="00132485">
              <w:rPr>
                <w:rFonts w:ascii="Calibri" w:eastAsia="DengXian" w:hAnsi="Calibri"/>
                <w:color w:val="0000FF"/>
                <w:sz w:val="22"/>
                <w:szCs w:val="22"/>
                <w:u w:val="single"/>
                <w:lang w:val="es-UY" w:eastAsia="es-UY"/>
              </w:rPr>
              <w:t>ANEXO 1</w:t>
            </w:r>
            <w:r w:rsidR="00132485" w:rsidRPr="00132485">
              <w:rPr>
                <w:rFonts w:ascii="Calibri" w:eastAsia="DengXian" w:hAnsi="Calibri"/>
                <w:sz w:val="22"/>
                <w:szCs w:val="22"/>
                <w:lang w:val="es-UY" w:eastAsia="es-UY"/>
              </w:rPr>
              <w:tab/>
            </w:r>
            <w:r w:rsidR="00132485" w:rsidRPr="00132485">
              <w:rPr>
                <w:rFonts w:ascii="Calibri" w:eastAsia="DengXian" w:hAnsi="Calibri"/>
                <w:sz w:val="22"/>
                <w:szCs w:val="22"/>
                <w:lang w:val="es-UY" w:eastAsia="es-UY"/>
              </w:rPr>
              <w:fldChar w:fldCharType="begin"/>
            </w:r>
            <w:r w:rsidR="00132485" w:rsidRPr="00132485">
              <w:rPr>
                <w:rFonts w:ascii="Calibri" w:eastAsia="DengXian" w:hAnsi="Calibri"/>
                <w:sz w:val="22"/>
                <w:szCs w:val="22"/>
                <w:lang w:val="es-UY" w:eastAsia="es-UY"/>
              </w:rPr>
              <w:instrText xml:space="preserve"> PAGEREF _Toc138930083 \h </w:instrText>
            </w:r>
            <w:r w:rsidR="00132485" w:rsidRPr="00132485">
              <w:rPr>
                <w:rFonts w:ascii="Calibri" w:eastAsia="DengXian" w:hAnsi="Calibri"/>
                <w:sz w:val="22"/>
                <w:szCs w:val="22"/>
                <w:lang w:val="es-UY" w:eastAsia="es-UY"/>
              </w:rPr>
            </w:r>
            <w:r w:rsidR="00132485" w:rsidRPr="00132485">
              <w:rPr>
                <w:rFonts w:ascii="Calibri" w:eastAsia="DengXian" w:hAnsi="Calibri"/>
                <w:sz w:val="22"/>
                <w:szCs w:val="22"/>
                <w:lang w:val="es-UY" w:eastAsia="es-UY"/>
              </w:rPr>
              <w:fldChar w:fldCharType="separate"/>
            </w:r>
            <w:r>
              <w:rPr>
                <w:rFonts w:ascii="Calibri" w:eastAsia="DengXian" w:hAnsi="Calibri"/>
                <w:noProof/>
                <w:sz w:val="22"/>
                <w:szCs w:val="22"/>
                <w:lang w:val="es-UY" w:eastAsia="es-UY"/>
              </w:rPr>
              <w:t>16</w:t>
            </w:r>
            <w:r w:rsidR="00132485" w:rsidRPr="00132485">
              <w:rPr>
                <w:rFonts w:ascii="Calibri" w:eastAsia="DengXian" w:hAnsi="Calibri"/>
                <w:sz w:val="22"/>
                <w:szCs w:val="22"/>
                <w:lang w:val="es-UY" w:eastAsia="es-UY"/>
              </w:rPr>
              <w:fldChar w:fldCharType="end"/>
            </w:r>
          </w:hyperlink>
        </w:p>
        <w:p w14:paraId="5BE58ED1" w14:textId="7EF7301A" w:rsidR="00132485" w:rsidRPr="00132485" w:rsidRDefault="00B12CCE" w:rsidP="00132485">
          <w:pPr>
            <w:tabs>
              <w:tab w:val="right" w:leader="dot" w:pos="9062"/>
            </w:tabs>
            <w:spacing w:after="100" w:line="259" w:lineRule="auto"/>
            <w:rPr>
              <w:rFonts w:ascii="Calibri" w:eastAsia="DengXian" w:hAnsi="Calibri"/>
              <w:sz w:val="22"/>
              <w:szCs w:val="22"/>
              <w:lang w:val="es-UY" w:eastAsia="es-UY"/>
            </w:rPr>
          </w:pPr>
          <w:hyperlink w:anchor="_Toc138930084" w:history="1">
            <w:r w:rsidR="00132485" w:rsidRPr="00132485">
              <w:rPr>
                <w:rFonts w:ascii="Calibri" w:eastAsia="DengXian" w:hAnsi="Calibri"/>
                <w:color w:val="0000FF"/>
                <w:sz w:val="22"/>
                <w:szCs w:val="22"/>
                <w:u w:val="single"/>
                <w:lang w:val="es-UY" w:eastAsia="es-UY"/>
              </w:rPr>
              <w:t>ANEXO 2</w:t>
            </w:r>
            <w:r w:rsidR="00132485" w:rsidRPr="00132485">
              <w:rPr>
                <w:rFonts w:ascii="Calibri" w:eastAsia="DengXian" w:hAnsi="Calibri"/>
                <w:sz w:val="22"/>
                <w:szCs w:val="22"/>
                <w:lang w:val="es-UY" w:eastAsia="es-UY"/>
              </w:rPr>
              <w:tab/>
            </w:r>
            <w:r w:rsidR="00132485" w:rsidRPr="00132485">
              <w:rPr>
                <w:rFonts w:ascii="Calibri" w:eastAsia="DengXian" w:hAnsi="Calibri"/>
                <w:sz w:val="22"/>
                <w:szCs w:val="22"/>
                <w:lang w:val="es-UY" w:eastAsia="es-UY"/>
              </w:rPr>
              <w:fldChar w:fldCharType="begin"/>
            </w:r>
            <w:r w:rsidR="00132485" w:rsidRPr="00132485">
              <w:rPr>
                <w:rFonts w:ascii="Calibri" w:eastAsia="DengXian" w:hAnsi="Calibri"/>
                <w:sz w:val="22"/>
                <w:szCs w:val="22"/>
                <w:lang w:val="es-UY" w:eastAsia="es-UY"/>
              </w:rPr>
              <w:instrText xml:space="preserve"> PAGEREF _Toc138930084 \h </w:instrText>
            </w:r>
            <w:r w:rsidR="00132485" w:rsidRPr="00132485">
              <w:rPr>
                <w:rFonts w:ascii="Calibri" w:eastAsia="DengXian" w:hAnsi="Calibri"/>
                <w:sz w:val="22"/>
                <w:szCs w:val="22"/>
                <w:lang w:val="es-UY" w:eastAsia="es-UY"/>
              </w:rPr>
            </w:r>
            <w:r w:rsidR="00132485" w:rsidRPr="00132485">
              <w:rPr>
                <w:rFonts w:ascii="Calibri" w:eastAsia="DengXian" w:hAnsi="Calibri"/>
                <w:sz w:val="22"/>
                <w:szCs w:val="22"/>
                <w:lang w:val="es-UY" w:eastAsia="es-UY"/>
              </w:rPr>
              <w:fldChar w:fldCharType="separate"/>
            </w:r>
            <w:r>
              <w:rPr>
                <w:rFonts w:ascii="Calibri" w:eastAsia="DengXian" w:hAnsi="Calibri"/>
                <w:noProof/>
                <w:sz w:val="22"/>
                <w:szCs w:val="22"/>
                <w:lang w:val="es-UY" w:eastAsia="es-UY"/>
              </w:rPr>
              <w:t>19</w:t>
            </w:r>
            <w:r w:rsidR="00132485" w:rsidRPr="00132485">
              <w:rPr>
                <w:rFonts w:ascii="Calibri" w:eastAsia="DengXian" w:hAnsi="Calibri"/>
                <w:sz w:val="22"/>
                <w:szCs w:val="22"/>
                <w:lang w:val="es-UY" w:eastAsia="es-UY"/>
              </w:rPr>
              <w:fldChar w:fldCharType="end"/>
            </w:r>
          </w:hyperlink>
        </w:p>
        <w:p w14:paraId="10A4C3F1" w14:textId="71E82652" w:rsidR="00132485" w:rsidRPr="00132485" w:rsidRDefault="00B12CCE" w:rsidP="00132485">
          <w:pPr>
            <w:tabs>
              <w:tab w:val="right" w:leader="dot" w:pos="9062"/>
            </w:tabs>
            <w:spacing w:after="100" w:line="259" w:lineRule="auto"/>
            <w:rPr>
              <w:rFonts w:ascii="Calibri" w:eastAsia="DengXian" w:hAnsi="Calibri"/>
              <w:sz w:val="22"/>
              <w:szCs w:val="22"/>
              <w:lang w:val="es-UY" w:eastAsia="es-UY"/>
            </w:rPr>
          </w:pPr>
          <w:hyperlink w:anchor="_Toc138930085" w:history="1">
            <w:r w:rsidR="00132485" w:rsidRPr="00132485">
              <w:rPr>
                <w:rFonts w:ascii="Calibri" w:eastAsia="DengXian" w:hAnsi="Calibri"/>
                <w:color w:val="0000FF"/>
                <w:sz w:val="22"/>
                <w:szCs w:val="22"/>
                <w:u w:val="single"/>
                <w:lang w:val="es-UY" w:eastAsia="es-UY"/>
              </w:rPr>
              <w:t>ANEXO 3</w:t>
            </w:r>
            <w:r w:rsidR="00132485" w:rsidRPr="00132485">
              <w:rPr>
                <w:rFonts w:ascii="Calibri" w:eastAsia="DengXian" w:hAnsi="Calibri"/>
                <w:sz w:val="22"/>
                <w:szCs w:val="22"/>
                <w:lang w:val="es-UY" w:eastAsia="es-UY"/>
              </w:rPr>
              <w:tab/>
            </w:r>
            <w:r w:rsidR="00132485" w:rsidRPr="00132485">
              <w:rPr>
                <w:rFonts w:ascii="Calibri" w:eastAsia="DengXian" w:hAnsi="Calibri"/>
                <w:sz w:val="22"/>
                <w:szCs w:val="22"/>
                <w:lang w:val="es-UY" w:eastAsia="es-UY"/>
              </w:rPr>
              <w:fldChar w:fldCharType="begin"/>
            </w:r>
            <w:r w:rsidR="00132485" w:rsidRPr="00132485">
              <w:rPr>
                <w:rFonts w:ascii="Calibri" w:eastAsia="DengXian" w:hAnsi="Calibri"/>
                <w:sz w:val="22"/>
                <w:szCs w:val="22"/>
                <w:lang w:val="es-UY" w:eastAsia="es-UY"/>
              </w:rPr>
              <w:instrText xml:space="preserve"> PAGEREF _Toc138930085 \h </w:instrText>
            </w:r>
            <w:r w:rsidR="00132485" w:rsidRPr="00132485">
              <w:rPr>
                <w:rFonts w:ascii="Calibri" w:eastAsia="DengXian" w:hAnsi="Calibri"/>
                <w:sz w:val="22"/>
                <w:szCs w:val="22"/>
                <w:lang w:val="es-UY" w:eastAsia="es-UY"/>
              </w:rPr>
            </w:r>
            <w:r w:rsidR="00132485" w:rsidRPr="00132485">
              <w:rPr>
                <w:rFonts w:ascii="Calibri" w:eastAsia="DengXian" w:hAnsi="Calibri"/>
                <w:sz w:val="22"/>
                <w:szCs w:val="22"/>
                <w:lang w:val="es-UY" w:eastAsia="es-UY"/>
              </w:rPr>
              <w:fldChar w:fldCharType="separate"/>
            </w:r>
            <w:r>
              <w:rPr>
                <w:rFonts w:ascii="Calibri" w:eastAsia="DengXian" w:hAnsi="Calibri"/>
                <w:noProof/>
                <w:sz w:val="22"/>
                <w:szCs w:val="22"/>
                <w:lang w:val="es-UY" w:eastAsia="es-UY"/>
              </w:rPr>
              <w:t>23</w:t>
            </w:r>
            <w:r w:rsidR="00132485" w:rsidRPr="00132485">
              <w:rPr>
                <w:rFonts w:ascii="Calibri" w:eastAsia="DengXian" w:hAnsi="Calibri"/>
                <w:sz w:val="22"/>
                <w:szCs w:val="22"/>
                <w:lang w:val="es-UY" w:eastAsia="es-UY"/>
              </w:rPr>
              <w:fldChar w:fldCharType="end"/>
            </w:r>
          </w:hyperlink>
        </w:p>
        <w:p w14:paraId="1BFDAA21" w14:textId="77777777" w:rsidR="00132485" w:rsidRPr="00132485" w:rsidRDefault="00132485" w:rsidP="00132485">
          <w:pPr>
            <w:spacing w:after="160" w:line="259" w:lineRule="auto"/>
            <w:rPr>
              <w:rFonts w:ascii="Calibri" w:eastAsia="Calibri" w:hAnsi="Calibri"/>
              <w:sz w:val="22"/>
              <w:szCs w:val="22"/>
              <w:lang w:val="es-UY" w:eastAsia="en-US"/>
            </w:rPr>
          </w:pPr>
          <w:r w:rsidRPr="00132485">
            <w:rPr>
              <w:rFonts w:ascii="Calibri" w:eastAsia="Calibri" w:hAnsi="Calibri"/>
              <w:b/>
              <w:bCs/>
              <w:sz w:val="22"/>
              <w:szCs w:val="22"/>
              <w:lang w:eastAsia="en-US"/>
            </w:rPr>
            <w:fldChar w:fldCharType="end"/>
          </w:r>
        </w:p>
      </w:sdtContent>
    </w:sdt>
    <w:p w14:paraId="6D746297" w14:textId="77777777" w:rsidR="00132485" w:rsidRPr="00132485" w:rsidRDefault="00132485" w:rsidP="00132485">
      <w:pPr>
        <w:keepNext/>
        <w:keepLines/>
        <w:spacing w:before="240" w:line="259" w:lineRule="auto"/>
        <w:outlineLvl w:val="0"/>
        <w:rPr>
          <w:rFonts w:ascii="Calibri Light" w:eastAsia="等线 Light" w:hAnsi="Calibri Light"/>
          <w:color w:val="2E74B5"/>
          <w:sz w:val="32"/>
          <w:szCs w:val="32"/>
          <w:lang w:val="es-UY" w:eastAsia="en-US"/>
        </w:rPr>
      </w:pPr>
      <w:bookmarkStart w:id="1" w:name="_Toc138930079"/>
      <w:r w:rsidRPr="00132485">
        <w:rPr>
          <w:rFonts w:ascii="Calibri Light" w:eastAsia="等线 Light" w:hAnsi="Calibri Light"/>
          <w:color w:val="2E74B5"/>
          <w:sz w:val="32"/>
          <w:szCs w:val="32"/>
          <w:lang w:val="es-UY" w:eastAsia="en-US"/>
        </w:rPr>
        <w:t>Introducción</w:t>
      </w:r>
      <w:bookmarkEnd w:id="1"/>
    </w:p>
    <w:p w14:paraId="24F73A4F" w14:textId="77777777" w:rsidR="00132485" w:rsidRPr="00132485" w:rsidRDefault="00132485" w:rsidP="00132485">
      <w:pPr>
        <w:spacing w:after="150" w:line="288" w:lineRule="auto"/>
        <w:jc w:val="both"/>
        <w:rPr>
          <w:rFonts w:ascii="Calibri" w:eastAsia="Calibri" w:hAnsi="Calibri" w:cs="Calibri"/>
          <w:sz w:val="22"/>
          <w:szCs w:val="22"/>
          <w:lang w:val="es-UY" w:eastAsia="en-US"/>
        </w:rPr>
      </w:pPr>
    </w:p>
    <w:p w14:paraId="3B84C17D" w14:textId="77777777" w:rsidR="00132485" w:rsidRPr="00132485" w:rsidRDefault="00132485" w:rsidP="00132485">
      <w:pPr>
        <w:spacing w:after="15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 xml:space="preserve">1. La Institución Nacional de Derechos Humanos y Defensoría del Pueblo de la República Oriental del Uruguay (en adelante </w:t>
      </w:r>
      <w:r w:rsidRPr="00132485">
        <w:rPr>
          <w:rFonts w:ascii="Calibri" w:eastAsia="Calibri" w:hAnsi="Calibri" w:cs="Calibri"/>
          <w:smallCaps/>
          <w:sz w:val="22"/>
          <w:szCs w:val="22"/>
          <w:lang w:val="es-UY" w:eastAsia="en-US"/>
        </w:rPr>
        <w:t>INDDHH</w:t>
      </w:r>
      <w:r w:rsidRPr="00132485">
        <w:rPr>
          <w:rFonts w:ascii="Calibri" w:eastAsia="Calibri" w:hAnsi="Calibri" w:cs="Calibri"/>
          <w:sz w:val="22"/>
          <w:szCs w:val="22"/>
          <w:lang w:val="es-UY" w:eastAsia="en-US"/>
        </w:rPr>
        <w:t xml:space="preserve">) presenta este informe en virtud del artículo 9 de la </w:t>
      </w:r>
      <w:r w:rsidRPr="00132485">
        <w:rPr>
          <w:rFonts w:ascii="Calibri" w:eastAsia="Calibri" w:hAnsi="Calibri" w:cs="Calibri"/>
          <w:b/>
          <w:sz w:val="22"/>
          <w:szCs w:val="22"/>
          <w:lang w:val="es-UY" w:eastAsia="en-US"/>
        </w:rPr>
        <w:t>Convención para la Eliminación de todas las formas de Discriminación Racial</w:t>
      </w:r>
      <w:r w:rsidRPr="00132485">
        <w:rPr>
          <w:rFonts w:ascii="Calibri" w:eastAsia="Calibri" w:hAnsi="Calibri" w:cs="Calibri"/>
          <w:sz w:val="22"/>
          <w:szCs w:val="22"/>
          <w:lang w:val="es-UY" w:eastAsia="en-US"/>
        </w:rPr>
        <w:t>, en la 110ª sesión del Comité para la Eliminación de la Discriminación Racial que considerará los informes 24º a 26º combinados de Uruguay.</w:t>
      </w:r>
    </w:p>
    <w:p w14:paraId="6EFFBB9D" w14:textId="77777777" w:rsidR="00132485" w:rsidRPr="00132485" w:rsidRDefault="00132485" w:rsidP="00132485">
      <w:pPr>
        <w:spacing w:after="15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 xml:space="preserve">2. La </w:t>
      </w:r>
      <w:r w:rsidRPr="00132485">
        <w:rPr>
          <w:rFonts w:ascii="Calibri" w:eastAsia="Calibri" w:hAnsi="Calibri" w:cs="Calibri"/>
          <w:smallCaps/>
          <w:sz w:val="22"/>
          <w:szCs w:val="22"/>
          <w:lang w:val="es-UY" w:eastAsia="en-US"/>
        </w:rPr>
        <w:t>INDDHH</w:t>
      </w:r>
      <w:r w:rsidRPr="00132485">
        <w:rPr>
          <w:rFonts w:ascii="Calibri" w:eastAsia="Calibri" w:hAnsi="Calibri" w:cs="Calibri"/>
          <w:sz w:val="22"/>
          <w:szCs w:val="22"/>
          <w:lang w:val="es-UY" w:eastAsia="en-US"/>
        </w:rPr>
        <w:t xml:space="preserve"> fue creada </w:t>
      </w:r>
      <w:r w:rsidRPr="00132485">
        <w:rPr>
          <w:rFonts w:ascii="Calibri" w:eastAsia="Calibri" w:hAnsi="Calibri" w:cs="Calibri"/>
          <w:color w:val="000000"/>
          <w:sz w:val="22"/>
          <w:szCs w:val="22"/>
          <w:lang w:val="es-UY" w:eastAsia="en-US"/>
        </w:rPr>
        <w:t xml:space="preserve">por la Ley 18446 de 24 de diciembre de 2008 (modificada por las leyes 18806 de 14 de setiembre de 2011 y 19763 de 23 de julio de 2019) en cumplimiento de los Principios de París, adoptados por la Asamblea General de las Naciones Unidas, por Resolución 48/134 de 1993, así como de los compromisos asumidos en la Declaración y Programa de Acción de Viena, emanados de la Conferencia Mundial de Derechos Humanos del año 1993. </w:t>
      </w:r>
    </w:p>
    <w:p w14:paraId="63CD62C1" w14:textId="77777777" w:rsidR="00132485" w:rsidRPr="00132485" w:rsidRDefault="00132485" w:rsidP="00132485">
      <w:pPr>
        <w:autoSpaceDE w:val="0"/>
        <w:autoSpaceDN w:val="0"/>
        <w:adjustRightInd w:val="0"/>
        <w:spacing w:after="150" w:line="288" w:lineRule="auto"/>
        <w:jc w:val="both"/>
        <w:rPr>
          <w:rFonts w:ascii="Calibri" w:eastAsia="Calibri" w:hAnsi="Calibri" w:cs="Calibri"/>
          <w:color w:val="000000"/>
          <w:sz w:val="22"/>
          <w:szCs w:val="22"/>
          <w:lang w:val="es-UY" w:eastAsia="en-US"/>
        </w:rPr>
      </w:pPr>
      <w:r w:rsidRPr="00132485">
        <w:rPr>
          <w:rFonts w:ascii="Calibri" w:eastAsia="Calibri" w:hAnsi="Calibri" w:cs="Calibri"/>
          <w:color w:val="000000"/>
          <w:sz w:val="22"/>
          <w:szCs w:val="22"/>
          <w:lang w:val="es-UY" w:eastAsia="en-US"/>
        </w:rPr>
        <w:t xml:space="preserve">3. Su primer Consejo Directivo fue instalado en 2012. En setiembre de 2022 asumió funciones su tercer Consejo Directivo (2022-2027) integrado por: Marcos Israel, Jimena Fernández, Bernardo Legnani, Carmen Rodríguez y Wilder Tayler. </w:t>
      </w:r>
    </w:p>
    <w:p w14:paraId="59527588" w14:textId="77777777" w:rsidR="00132485" w:rsidRPr="00132485" w:rsidRDefault="00132485" w:rsidP="00132485">
      <w:pPr>
        <w:autoSpaceDE w:val="0"/>
        <w:autoSpaceDN w:val="0"/>
        <w:adjustRightInd w:val="0"/>
        <w:spacing w:after="150" w:line="288" w:lineRule="auto"/>
        <w:jc w:val="both"/>
        <w:rPr>
          <w:rFonts w:ascii="Calibri" w:eastAsia="Calibri" w:hAnsi="Calibri" w:cs="Calibri"/>
          <w:color w:val="000000"/>
          <w:sz w:val="22"/>
          <w:szCs w:val="22"/>
          <w:lang w:val="es-UY" w:eastAsia="en-US"/>
        </w:rPr>
      </w:pPr>
      <w:r w:rsidRPr="00132485">
        <w:rPr>
          <w:rFonts w:ascii="Calibri" w:eastAsia="Calibri" w:hAnsi="Calibri" w:cs="Calibri"/>
          <w:color w:val="000000"/>
          <w:sz w:val="22"/>
          <w:szCs w:val="22"/>
          <w:lang w:val="es-UY" w:eastAsia="en-US"/>
        </w:rPr>
        <w:t xml:space="preserve">4. </w:t>
      </w:r>
      <w:r w:rsidRPr="00132485">
        <w:rPr>
          <w:rFonts w:ascii="Calibri" w:eastAsia="Calibri" w:hAnsi="Calibri" w:cs="Calibri"/>
          <w:sz w:val="22"/>
          <w:szCs w:val="22"/>
          <w:lang w:val="es-UY" w:eastAsia="en-US"/>
        </w:rPr>
        <w:t xml:space="preserve">La Alianza Global de las Instituciones Nacionales de Derechos Humanos (GANHRI) acreditó a la </w:t>
      </w:r>
      <w:r w:rsidRPr="00132485">
        <w:rPr>
          <w:rFonts w:ascii="Calibri" w:eastAsia="Calibri" w:hAnsi="Calibri" w:cs="Calibri"/>
          <w:smallCaps/>
          <w:sz w:val="22"/>
          <w:szCs w:val="22"/>
          <w:lang w:val="es-UY" w:eastAsia="en-US"/>
        </w:rPr>
        <w:t>INDDHH</w:t>
      </w:r>
      <w:r w:rsidRPr="00132485">
        <w:rPr>
          <w:rFonts w:ascii="Calibri" w:eastAsia="Calibri" w:hAnsi="Calibri" w:cs="Calibri"/>
          <w:sz w:val="22"/>
          <w:szCs w:val="22"/>
          <w:lang w:val="es-UY" w:eastAsia="en-US"/>
        </w:rPr>
        <w:t xml:space="preserve"> con la calificación A en mayo de 2016. En octubre de 2021 fue renovada la acreditación de la categoría A.</w:t>
      </w:r>
    </w:p>
    <w:p w14:paraId="4B73C011" w14:textId="77777777" w:rsidR="00132485" w:rsidRPr="00132485" w:rsidRDefault="00132485" w:rsidP="00132485">
      <w:pPr>
        <w:autoSpaceDE w:val="0"/>
        <w:autoSpaceDN w:val="0"/>
        <w:adjustRightInd w:val="0"/>
        <w:spacing w:after="150" w:line="288" w:lineRule="auto"/>
        <w:jc w:val="both"/>
        <w:rPr>
          <w:rFonts w:ascii="Calibri" w:eastAsia="Calibri" w:hAnsi="Calibri" w:cs="Calibri"/>
          <w:color w:val="000000"/>
          <w:sz w:val="22"/>
          <w:szCs w:val="22"/>
          <w:lang w:val="es-UY" w:eastAsia="en-US"/>
        </w:rPr>
      </w:pPr>
      <w:r w:rsidRPr="00132485">
        <w:rPr>
          <w:rFonts w:ascii="Calibri" w:eastAsia="Calibri" w:hAnsi="Calibri" w:cs="Calibri"/>
          <w:color w:val="000000"/>
          <w:sz w:val="22"/>
          <w:szCs w:val="22"/>
          <w:lang w:val="es-UY" w:eastAsia="en-US"/>
        </w:rPr>
        <w:t>5. La INDDHH integra el sistema de garantías de los derechos humanos en Uruguay.</w:t>
      </w:r>
      <w:r w:rsidRPr="00132485">
        <w:rPr>
          <w:rFonts w:ascii="Calibri" w:eastAsia="Calibri" w:hAnsi="Calibri" w:cs="Calibri"/>
          <w:sz w:val="22"/>
          <w:szCs w:val="22"/>
          <w:lang w:val="es-UY" w:eastAsia="en-US"/>
        </w:rPr>
        <w:t xml:space="preserve"> Su ley de creación le ha concedido un largo elenco competencial, que ha sido ampliado por normas posteriores asignándole una serie de funciones estrechamente vinculadas a la protección de los derechos humanos. Defensa de los derechos en materia de comunicación audiovisual (Ley 19307), Defensa de los derechos en materia de salud mental (Ley 19529), Búsqueda de detenidos desaparecidos (Ley 19822), Sitios de memoria histórica del pasado reciente (ley 19641), combate a la violencia hacia las mujeres basada en género (Ley 19580) y en materia de </w:t>
      </w:r>
      <w:r w:rsidRPr="00132485">
        <w:rPr>
          <w:rFonts w:ascii="Calibri" w:eastAsia="Calibri" w:hAnsi="Calibri" w:cs="Calibri"/>
          <w:sz w:val="22"/>
          <w:szCs w:val="22"/>
          <w:lang w:val="es-UY" w:eastAsia="en-US"/>
        </w:rPr>
        <w:lastRenderedPageBreak/>
        <w:t>igualdad y no discriminación entre mujeres y varones (Ley 19846).</w:t>
      </w:r>
      <w:r w:rsidRPr="00132485">
        <w:rPr>
          <w:rFonts w:ascii="Calibri" w:eastAsia="Calibri" w:hAnsi="Calibri" w:cs="Calibri"/>
          <w:color w:val="000000"/>
          <w:sz w:val="22"/>
          <w:szCs w:val="22"/>
          <w:lang w:val="es-UY" w:eastAsia="en-US"/>
        </w:rPr>
        <w:t xml:space="preserve"> El artículo 83 de la Ley 18.446 le asigna a la INDDHH “las funciones del Mecanismo Nacional de Prevención (MNP) al que se refiere el Protocolo Facultativo de la Convención contra la Tortura”, que fuera ratificado por Uruguay por Ley 17914 de 25 de octubre de 2005. </w:t>
      </w:r>
    </w:p>
    <w:p w14:paraId="329C27F7" w14:textId="77777777" w:rsidR="00132485" w:rsidRPr="00132485" w:rsidRDefault="00132485" w:rsidP="00132485">
      <w:pPr>
        <w:autoSpaceDE w:val="0"/>
        <w:autoSpaceDN w:val="0"/>
        <w:adjustRightInd w:val="0"/>
        <w:spacing w:after="150" w:line="288" w:lineRule="auto"/>
        <w:jc w:val="both"/>
        <w:rPr>
          <w:rFonts w:ascii="Calibri" w:eastAsia="Calibri" w:hAnsi="Calibri" w:cs="Calibri"/>
          <w:color w:val="000000"/>
          <w:sz w:val="22"/>
          <w:szCs w:val="22"/>
          <w:lang w:eastAsia="en-US"/>
        </w:rPr>
      </w:pPr>
      <w:r w:rsidRPr="00132485">
        <w:rPr>
          <w:rFonts w:ascii="Calibri" w:eastAsia="Calibri" w:hAnsi="Calibri" w:cs="Calibri"/>
          <w:color w:val="000000"/>
          <w:sz w:val="22"/>
          <w:szCs w:val="22"/>
          <w:lang w:eastAsia="en-US"/>
        </w:rPr>
        <w:t>6. El presente informe está estructurado siguiendo observaciones finales dirigidas al Estado uruguayo en el documento CERD/C/URY/21-23 y la lista de temas comunicadas para la 110ª sesión en el documento CERD/C/URY/Q/24.</w:t>
      </w:r>
    </w:p>
    <w:p w14:paraId="2BB5F5C4" w14:textId="77777777" w:rsidR="00132485" w:rsidRPr="00132485" w:rsidRDefault="00132485" w:rsidP="00132485">
      <w:pPr>
        <w:autoSpaceDE w:val="0"/>
        <w:autoSpaceDN w:val="0"/>
        <w:adjustRightInd w:val="0"/>
        <w:spacing w:after="150" w:line="288" w:lineRule="auto"/>
        <w:jc w:val="both"/>
        <w:rPr>
          <w:rFonts w:ascii="Calibri" w:eastAsia="Calibri" w:hAnsi="Calibri" w:cs="Calibri"/>
          <w:color w:val="000000"/>
          <w:sz w:val="22"/>
          <w:szCs w:val="22"/>
          <w:lang w:eastAsia="en-US"/>
        </w:rPr>
      </w:pPr>
      <w:r w:rsidRPr="00132485">
        <w:rPr>
          <w:rFonts w:ascii="Calibri" w:eastAsia="Calibri" w:hAnsi="Calibri" w:cs="Calibri"/>
          <w:color w:val="000000"/>
          <w:sz w:val="22"/>
          <w:szCs w:val="22"/>
          <w:lang w:eastAsia="en-US"/>
        </w:rPr>
        <w:t>7. El informe se centra particularmente en la situación de la población afrodescendiente, población sobre la que la INDDHH ha trabajado en forma continua desde su creación y que cuenta con el trabajo de una unidad especializada creada recientemente</w:t>
      </w:r>
      <w:r w:rsidRPr="00132485">
        <w:rPr>
          <w:rFonts w:ascii="Calibri" w:eastAsia="Calibri" w:hAnsi="Calibri" w:cs="Calibri"/>
          <w:color w:val="000000"/>
          <w:sz w:val="22"/>
          <w:szCs w:val="22"/>
          <w:vertAlign w:val="superscript"/>
          <w:lang w:val="fr-CH" w:eastAsia="en-US"/>
        </w:rPr>
        <w:footnoteReference w:id="1"/>
      </w:r>
      <w:r w:rsidRPr="00132485">
        <w:rPr>
          <w:rFonts w:ascii="Calibri" w:eastAsia="Calibri" w:hAnsi="Calibri" w:cs="Calibri"/>
          <w:color w:val="000000"/>
          <w:sz w:val="22"/>
          <w:szCs w:val="22"/>
          <w:lang w:eastAsia="en-US"/>
        </w:rPr>
        <w:t>. Este reporte utiliza como fuentes principales los casos tramitados en la INDDHH por el área que recibe denuncias de vulneración de derechos humanos y la información procesada en el Mirador DESCA. Adicionalmente, se presenta información recabada en actividades de promoción y defensa de los derechos humanos en las que se participa con otros actores.</w:t>
      </w:r>
      <w:r w:rsidRPr="00132485">
        <w:rPr>
          <w:rFonts w:ascii="Calibri" w:eastAsia="Calibri" w:hAnsi="Calibri" w:cs="Calibri"/>
          <w:color w:val="000000"/>
          <w:sz w:val="22"/>
          <w:szCs w:val="22"/>
          <w:vertAlign w:val="superscript"/>
          <w:lang w:val="fr-CH" w:eastAsia="en-US"/>
        </w:rPr>
        <w:footnoteReference w:id="2"/>
      </w:r>
      <w:r w:rsidRPr="00132485">
        <w:rPr>
          <w:rFonts w:ascii="Calibri" w:eastAsia="Calibri" w:hAnsi="Calibri" w:cs="Calibri"/>
          <w:color w:val="000000"/>
          <w:sz w:val="22"/>
          <w:szCs w:val="22"/>
          <w:lang w:eastAsia="en-US"/>
        </w:rPr>
        <w:t xml:space="preserve"> </w:t>
      </w:r>
    </w:p>
    <w:p w14:paraId="7EA21B2B" w14:textId="77777777" w:rsidR="00132485" w:rsidRPr="00132485" w:rsidRDefault="00132485" w:rsidP="00132485">
      <w:pPr>
        <w:spacing w:after="15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8. La INDDHH ha desarrollado una plataforma de indicadores de derechos humanos, http://www.miradordesca.uy, que conforma un sistema de indicadores estructurales, de proceso y resultados –siguiendo la conceptualización de organismos especializados– que incluye el monitoreo de 7 derechos en Uruguay: salud, vivienda, seguridad social, educación, trabajo, ambiente y alimentación (en preparación). Además, integra información sobre 7 poblaciones vulnerables: personas afrodescendientes; personas con discapacidad; mujeres; niñas, niños y adolescentes; personas privadas de libertad; personas migrantes; personas LGTBI.</w:t>
      </w:r>
    </w:p>
    <w:p w14:paraId="2BF93EF4" w14:textId="77777777" w:rsidR="00132485" w:rsidRPr="00132485" w:rsidRDefault="00132485" w:rsidP="00132485">
      <w:pPr>
        <w:spacing w:after="15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 xml:space="preserve">9. Esta plataforma de indicadores es fruto de una alianza entre la INDDHH y la Unidad de Métodos y Acceso a Datos de la Facultad de Ciencias Sociales de la Universidad de la República (UDELAR), con el apoyo de la Oficina del Alto Comisionado para los Derechos Humanos para Uruguay. Por otra parte, el Mirador DESCA, en el marco de este intercambio sostenido con la oficina de OACNUDH participó como contraparte en el proyecto de fortalecimiento de la información sobre los derechos económicos y sociales de la población afrodescendiente. Este proyecto es parte de la Iniciativa SURGE de ACNUDH. El objetivo del proyecto fue presentar evidencia, a partir de un enfoque basado en derechos humanos, sobre las brechas en el acceso a los DESC de la población afrodescendiente en Uruguay y contribuir así a los esfuerzos de no dejar a nadie atrás. El proyecto generó, en base a la información disponible del Sistema Nacional de Estadística, un conjunto específico de indicadores de derechos humanos sobre el disfrute de </w:t>
      </w:r>
      <w:r w:rsidRPr="00132485">
        <w:rPr>
          <w:rFonts w:ascii="Calibri" w:eastAsia="Calibri" w:hAnsi="Calibri" w:cs="Calibri"/>
          <w:sz w:val="22"/>
          <w:szCs w:val="22"/>
          <w:lang w:val="es-UY" w:eastAsia="en-US"/>
        </w:rPr>
        <w:lastRenderedPageBreak/>
        <w:t>los DESC por parte de la población afrodescendiente en Uruguay que son también fuente de información de este informe.</w:t>
      </w:r>
    </w:p>
    <w:p w14:paraId="13F0D3B6" w14:textId="77777777" w:rsidR="00132485" w:rsidRPr="00132485" w:rsidRDefault="00132485" w:rsidP="00132485">
      <w:pPr>
        <w:keepNext/>
        <w:keepLines/>
        <w:spacing w:before="240" w:line="259" w:lineRule="auto"/>
        <w:outlineLvl w:val="0"/>
        <w:rPr>
          <w:rFonts w:ascii="Calibri Light" w:eastAsia="等线 Light" w:hAnsi="Calibri Light"/>
          <w:color w:val="2E74B5"/>
          <w:sz w:val="32"/>
          <w:szCs w:val="32"/>
          <w:lang w:val="es-UY" w:eastAsia="en-US"/>
        </w:rPr>
      </w:pPr>
      <w:bookmarkStart w:id="2" w:name="_Toc138930080"/>
      <w:r w:rsidRPr="00132485">
        <w:rPr>
          <w:rFonts w:ascii="Calibri Light" w:eastAsia="等线 Light" w:hAnsi="Calibri Light"/>
          <w:color w:val="2E74B5"/>
          <w:sz w:val="32"/>
          <w:szCs w:val="32"/>
          <w:lang w:val="es-UY" w:eastAsia="en-US"/>
        </w:rPr>
        <w:t>La Convención en el derecho interno y el marco institucional y normativo para su aplicación (arts. 1, 2, 4 y 5). Lista de temas 3 al 7</w:t>
      </w:r>
      <w:bookmarkEnd w:id="2"/>
    </w:p>
    <w:p w14:paraId="18F6A205" w14:textId="77777777" w:rsidR="00132485" w:rsidRPr="00132485" w:rsidRDefault="00132485" w:rsidP="00132485">
      <w:pPr>
        <w:spacing w:after="150" w:line="288" w:lineRule="auto"/>
        <w:jc w:val="both"/>
        <w:rPr>
          <w:rFonts w:ascii="Calibri" w:eastAsia="Calibri" w:hAnsi="Calibri" w:cs="Calibri"/>
          <w:sz w:val="22"/>
          <w:szCs w:val="22"/>
          <w:lang w:val="es-UY" w:eastAsia="en-US"/>
        </w:rPr>
      </w:pPr>
    </w:p>
    <w:p w14:paraId="48B2566F" w14:textId="77777777" w:rsidR="00132485" w:rsidRPr="00132485" w:rsidRDefault="00132485" w:rsidP="00132485">
      <w:pPr>
        <w:spacing w:after="15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10. En la plataforma Mirador DESCA se presenta, en la sección dedicada a indicadores estructurales, la normativa nacional e internacional relevante. Se destacan respecto de las poblaciones de interés para este Comité, las principales normas nacionales e internacionales aprobadas. Las disposiciones de los tratados internacionales de derechos humanos aprobados por el Estado uruguayo se aplican directamente en su ordenamiento jurídico, en virtud de lo dispuesto por los artículos 72 y 332 de la Constitución Nacional.</w:t>
      </w:r>
    </w:p>
    <w:p w14:paraId="7CAAB823" w14:textId="77777777" w:rsidR="00132485" w:rsidRPr="00132485" w:rsidRDefault="00132485" w:rsidP="00132485">
      <w:pPr>
        <w:spacing w:after="15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11. Desde 2016, en que el Estado uruguayo presentó su informe al Comité para la Eliminación de la Discriminación Racial, los siguientes tratados internacionales han sido ratificados:</w:t>
      </w:r>
    </w:p>
    <w:p w14:paraId="3C67126C" w14:textId="77777777" w:rsidR="00132485" w:rsidRPr="00132485" w:rsidRDefault="00132485" w:rsidP="00132485">
      <w:pPr>
        <w:numPr>
          <w:ilvl w:val="0"/>
          <w:numId w:val="5"/>
        </w:numPr>
        <w:spacing w:after="150" w:line="288" w:lineRule="auto"/>
        <w:contextualSpacing/>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Convención Interamericana sobre la Protección de los Derechos Humanos de las Personas Mayores (Ley 19430 del 8/9/2016).</w:t>
      </w:r>
    </w:p>
    <w:p w14:paraId="593A8EE0" w14:textId="77777777" w:rsidR="00132485" w:rsidRPr="00132485" w:rsidRDefault="00132485" w:rsidP="00132485">
      <w:pPr>
        <w:numPr>
          <w:ilvl w:val="0"/>
          <w:numId w:val="5"/>
        </w:numPr>
        <w:spacing w:after="150" w:line="288" w:lineRule="auto"/>
        <w:contextualSpacing/>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Convención Interamericana contra el Racismo, la Discriminación Racial y Formas Conexas de Intolerancia (Ley 19517 de 21/7/2017).</w:t>
      </w:r>
    </w:p>
    <w:p w14:paraId="368818D1" w14:textId="77777777" w:rsidR="00132485" w:rsidRPr="00132485" w:rsidRDefault="00132485" w:rsidP="00132485">
      <w:pPr>
        <w:numPr>
          <w:ilvl w:val="0"/>
          <w:numId w:val="5"/>
        </w:numPr>
        <w:spacing w:after="150" w:line="288" w:lineRule="auto"/>
        <w:contextualSpacing/>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Convención Interamericana contra toda forma de Discriminación e Intolerancia (Ley 19584 de 28/12/ 2017).</w:t>
      </w:r>
    </w:p>
    <w:p w14:paraId="1E2CE3EB" w14:textId="77777777" w:rsidR="00132485" w:rsidRPr="00132485" w:rsidRDefault="00132485" w:rsidP="00132485">
      <w:pPr>
        <w:numPr>
          <w:ilvl w:val="0"/>
          <w:numId w:val="5"/>
        </w:numPr>
        <w:spacing w:after="150" w:line="288" w:lineRule="auto"/>
        <w:contextualSpacing/>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Acuerdo Regional sobre el Acceso a la Información, la Participación Pública y el Acceso a la Justicia en Asuntos Ambientales en América Latina y el Caribe (Acuerdo de Escazú) (Ley 19773 de 17/07/2019).</w:t>
      </w:r>
    </w:p>
    <w:p w14:paraId="3B30679E" w14:textId="77777777" w:rsidR="00132485" w:rsidRPr="00132485" w:rsidRDefault="00132485" w:rsidP="00132485">
      <w:pPr>
        <w:spacing w:after="120" w:line="288" w:lineRule="auto"/>
        <w:jc w:val="both"/>
        <w:rPr>
          <w:rFonts w:ascii="Calibri" w:eastAsia="SimSun" w:hAnsi="Calibri" w:cs="Calibri"/>
          <w:sz w:val="22"/>
          <w:szCs w:val="22"/>
          <w:lang w:val="es-UY" w:eastAsia="zh-CN"/>
        </w:rPr>
      </w:pPr>
      <w:r w:rsidRPr="00132485">
        <w:rPr>
          <w:rFonts w:ascii="Calibri" w:eastAsia="SimSun" w:hAnsi="Calibri" w:cs="Calibri"/>
          <w:sz w:val="22"/>
          <w:szCs w:val="22"/>
          <w:lang w:val="es-UY" w:eastAsia="zh-CN"/>
        </w:rPr>
        <w:t>12. El Estado uruguayo, a partir de la aprobación de la Convención (Ley 13670 del 1968) ha impulsado distintas medidas de carácter legislativo que implican una prohibición clara y explícita de discriminación racial que reúna todos los requisitos establecidos en el art. 1, párr. 1 de la misma, contemplando los actos de discriminación directa e indirecta en todas las esferas del derecho y de la vida pública</w:t>
      </w:r>
      <w:r w:rsidRPr="00132485">
        <w:rPr>
          <w:rFonts w:ascii="Calibri" w:eastAsia="SimSun" w:hAnsi="Calibri" w:cs="Calibri"/>
          <w:sz w:val="22"/>
          <w:szCs w:val="22"/>
          <w:vertAlign w:val="superscript"/>
          <w:lang w:val="es-UY" w:eastAsia="zh-CN"/>
        </w:rPr>
        <w:footnoteReference w:id="3"/>
      </w:r>
      <w:r w:rsidRPr="00132485">
        <w:rPr>
          <w:rFonts w:ascii="Calibri" w:eastAsia="SimSun" w:hAnsi="Calibri" w:cs="Calibri"/>
          <w:sz w:val="22"/>
          <w:szCs w:val="22"/>
          <w:lang w:val="es-UY" w:eastAsia="zh-CN"/>
        </w:rPr>
        <w:t>.</w:t>
      </w:r>
    </w:p>
    <w:p w14:paraId="4B03E98C" w14:textId="77777777" w:rsidR="00132485" w:rsidRPr="00132485" w:rsidRDefault="00132485" w:rsidP="00132485">
      <w:pPr>
        <w:spacing w:after="120" w:line="288" w:lineRule="auto"/>
        <w:jc w:val="both"/>
        <w:rPr>
          <w:rFonts w:ascii="Calibri" w:eastAsia="SimSun" w:hAnsi="Calibri" w:cs="Calibri"/>
          <w:sz w:val="22"/>
          <w:szCs w:val="22"/>
          <w:shd w:val="clear" w:color="auto" w:fill="FFFFFF"/>
          <w:lang w:val="es-UY" w:eastAsia="zh-CN"/>
        </w:rPr>
      </w:pPr>
      <w:r w:rsidRPr="00132485">
        <w:rPr>
          <w:rFonts w:ascii="Calibri" w:eastAsia="SimSun" w:hAnsi="Calibri" w:cs="Calibri"/>
          <w:sz w:val="22"/>
          <w:szCs w:val="22"/>
          <w:lang w:val="es-UY" w:eastAsia="zh-CN"/>
        </w:rPr>
        <w:t xml:space="preserve">13. Se destaca en el Código Penal: art. 149 bis y 149 ter, de acuerdo a los cuales se castiga a quien </w:t>
      </w:r>
      <w:r w:rsidRPr="00132485">
        <w:rPr>
          <w:rFonts w:ascii="Calibri" w:eastAsia="SimSun" w:hAnsi="Calibri" w:cs="Calibri"/>
          <w:sz w:val="22"/>
          <w:szCs w:val="22"/>
          <w:shd w:val="clear" w:color="auto" w:fill="FFFFFF"/>
          <w:lang w:val="es-UY" w:eastAsia="zh-CN"/>
        </w:rPr>
        <w:t>públicamente o mediante cualquier medio apto para su difusión pública incitare al odio, al desprecio, o a cualquier forma de violencia moral o física contra una o más personas en razón del color de su piel, su raza, religión, origen nacional o étnico, orientación sexual o identidad sexual o cometa actos de violencia moral o física de odio o de desprecio contra una o más personas por el mismo motivo.</w:t>
      </w:r>
    </w:p>
    <w:p w14:paraId="70236ED5" w14:textId="77777777" w:rsidR="00132485" w:rsidRPr="00132485" w:rsidRDefault="00132485" w:rsidP="00132485">
      <w:pPr>
        <w:spacing w:after="120" w:line="288" w:lineRule="auto"/>
        <w:jc w:val="both"/>
        <w:rPr>
          <w:rFonts w:ascii="Calibri" w:hAnsi="Calibri" w:cs="Calibri"/>
          <w:bCs/>
          <w:sz w:val="22"/>
          <w:szCs w:val="22"/>
          <w:lang w:val="es-UY" w:eastAsia="zh-CN"/>
        </w:rPr>
      </w:pPr>
      <w:r w:rsidRPr="00132485">
        <w:rPr>
          <w:rFonts w:ascii="Calibri" w:eastAsia="Calibri" w:hAnsi="Calibri" w:cs="Calibri"/>
          <w:sz w:val="22"/>
          <w:szCs w:val="22"/>
          <w:lang w:val="es-MX" w:eastAsia="en-US"/>
        </w:rPr>
        <w:lastRenderedPageBreak/>
        <w:t xml:space="preserve">14. No obstante, </w:t>
      </w:r>
      <w:r w:rsidRPr="00132485">
        <w:rPr>
          <w:rFonts w:ascii="Calibri" w:eastAsia="Calibri" w:hAnsi="Calibri" w:cs="Calibri"/>
          <w:sz w:val="22"/>
          <w:szCs w:val="22"/>
          <w:lang w:val="es-UY" w:eastAsia="en-US"/>
        </w:rPr>
        <w:t xml:space="preserve">la INDDHH, la Comisión Honoraria contra el Racismo, la Xenofobia y toda otra forma de Discriminación (CHRXD), el Área Étnico Racial (AER) del Ministerio del Interior  (MI) y el Poder Judicial, </w:t>
      </w:r>
      <w:r w:rsidRPr="00132485">
        <w:rPr>
          <w:rFonts w:ascii="Calibri" w:eastAsia="Calibri" w:hAnsi="Calibri" w:cs="Calibri"/>
          <w:sz w:val="22"/>
          <w:szCs w:val="22"/>
          <w:lang w:val="es-MX" w:eastAsia="en-US"/>
        </w:rPr>
        <w:t xml:space="preserve">redactaron en el año 2019 </w:t>
      </w:r>
      <w:r w:rsidRPr="00132485">
        <w:rPr>
          <w:rFonts w:ascii="Calibri" w:eastAsia="Calibri" w:hAnsi="Calibri" w:cs="Calibri"/>
          <w:sz w:val="22"/>
          <w:szCs w:val="22"/>
          <w:lang w:val="es-UY" w:eastAsia="en-US"/>
        </w:rPr>
        <w:t>un anteproyecto de Ley para la inclusión al Código Penal del Artículo 149 quater introduciendo la sanción específica para actos que signifiquen la denegación de derechos</w:t>
      </w:r>
      <w:r w:rsidRPr="00132485">
        <w:rPr>
          <w:rFonts w:ascii="Calibri" w:eastAsia="Calibri" w:hAnsi="Calibri" w:cs="Calibri"/>
          <w:sz w:val="22"/>
          <w:szCs w:val="22"/>
          <w:lang w:val="es-MX" w:eastAsia="en-US"/>
        </w:rPr>
        <w:t xml:space="preserve"> consistentes en la negación de </w:t>
      </w:r>
      <w:r w:rsidRPr="00132485">
        <w:rPr>
          <w:rFonts w:ascii="Calibri" w:hAnsi="Calibri" w:cs="Calibri"/>
          <w:bCs/>
          <w:sz w:val="22"/>
          <w:szCs w:val="22"/>
          <w:lang w:val="es-UY" w:eastAsia="zh-CN"/>
        </w:rPr>
        <w:t>un empleo, ascenso o cualquier mejora relativa al mismo, el ingreso o permanencia en locales o establecimientos comerciales, medios de transportes, espectáculos, actividades deportivas, así como cualquier prestación o servicio de naturaleza pública o privada, por razones de color de piel, religión, origen étnico racial, orientación sexual o identidad sexual</w:t>
      </w:r>
      <w:r w:rsidRPr="00132485">
        <w:rPr>
          <w:rFonts w:ascii="Calibri" w:hAnsi="Calibri" w:cs="Calibri"/>
          <w:bCs/>
          <w:sz w:val="22"/>
          <w:szCs w:val="22"/>
          <w:lang w:val="es-MX" w:eastAsia="zh-CN"/>
        </w:rPr>
        <w:t>, estableciendo que en</w:t>
      </w:r>
      <w:r w:rsidRPr="00132485">
        <w:rPr>
          <w:rFonts w:ascii="Calibri" w:hAnsi="Calibri" w:cs="Calibri"/>
          <w:bCs/>
          <w:sz w:val="22"/>
          <w:szCs w:val="22"/>
          <w:lang w:val="es-UY" w:eastAsia="zh-CN"/>
        </w:rPr>
        <w:t xml:space="preserve"> ningún caso podrá invocarse al respecto derecho de admisión.</w:t>
      </w:r>
    </w:p>
    <w:p w14:paraId="1A5FCC74" w14:textId="77777777" w:rsidR="00132485" w:rsidRPr="00132485" w:rsidRDefault="00132485" w:rsidP="00132485">
      <w:pPr>
        <w:spacing w:after="120" w:line="288" w:lineRule="auto"/>
        <w:jc w:val="both"/>
        <w:rPr>
          <w:rFonts w:ascii="Calibri" w:eastAsia="Calibri" w:hAnsi="Calibri" w:cs="Calibri"/>
          <w:sz w:val="22"/>
          <w:szCs w:val="22"/>
          <w:lang w:val="es-MX" w:eastAsia="en-US"/>
        </w:rPr>
      </w:pPr>
      <w:r w:rsidRPr="00132485">
        <w:rPr>
          <w:rFonts w:ascii="Calibri" w:hAnsi="Calibri" w:cs="Calibri"/>
          <w:bCs/>
          <w:sz w:val="22"/>
          <w:szCs w:val="22"/>
          <w:lang w:val="es-MX" w:eastAsia="zh-CN"/>
        </w:rPr>
        <w:t>15. Este anteproyecto de ley, si bien inició estado parlamentario en setiembre de 2019 al ingresar</w:t>
      </w:r>
      <w:r w:rsidRPr="00132485">
        <w:rPr>
          <w:rFonts w:ascii="Calibri" w:hAnsi="Calibri" w:cs="Calibri"/>
          <w:b/>
          <w:sz w:val="22"/>
          <w:szCs w:val="22"/>
          <w:lang w:val="es-MX" w:eastAsia="zh-CN"/>
        </w:rPr>
        <w:t xml:space="preserve"> </w:t>
      </w:r>
      <w:r w:rsidRPr="00132485">
        <w:rPr>
          <w:rFonts w:ascii="Calibri" w:hAnsi="Calibri" w:cs="Calibri"/>
          <w:sz w:val="22"/>
          <w:szCs w:val="22"/>
          <w:lang w:val="es-MX" w:eastAsia="zh-CN"/>
        </w:rPr>
        <w:t>en la</w:t>
      </w:r>
      <w:r w:rsidRPr="00132485">
        <w:rPr>
          <w:rFonts w:ascii="Calibri" w:hAnsi="Calibri" w:cs="Calibri"/>
          <w:b/>
          <w:sz w:val="22"/>
          <w:szCs w:val="22"/>
          <w:lang w:val="es-MX" w:eastAsia="zh-CN"/>
        </w:rPr>
        <w:t xml:space="preserve"> </w:t>
      </w:r>
      <w:r w:rsidRPr="00132485">
        <w:rPr>
          <w:rFonts w:ascii="Calibri" w:eastAsia="Calibri" w:hAnsi="Calibri" w:cs="Calibri"/>
          <w:sz w:val="22"/>
          <w:szCs w:val="22"/>
          <w:lang w:val="es-UY" w:eastAsia="en-US"/>
        </w:rPr>
        <w:t>C</w:t>
      </w:r>
      <w:r w:rsidRPr="00132485">
        <w:rPr>
          <w:rFonts w:ascii="Calibri" w:eastAsia="Calibri" w:hAnsi="Calibri" w:cs="Calibri"/>
          <w:sz w:val="22"/>
          <w:szCs w:val="22"/>
          <w:lang w:val="es-MX" w:eastAsia="en-US"/>
        </w:rPr>
        <w:t>omisión de Constitución y Códigos de la Cámara de Representantes, no tuvo tratamiento y dado el cambio de Legislatura producido en el 2020 se procedió a su archivo, no habiéndose presentado hasta el presente ningún anteproyecto de contenido similar.</w:t>
      </w:r>
    </w:p>
    <w:p w14:paraId="68334758" w14:textId="77777777" w:rsidR="00132485" w:rsidRPr="00132485" w:rsidRDefault="00132485" w:rsidP="00132485">
      <w:pPr>
        <w:spacing w:after="120" w:line="288" w:lineRule="auto"/>
        <w:jc w:val="both"/>
        <w:rPr>
          <w:rFonts w:ascii="Calibri" w:eastAsia="Calibri" w:hAnsi="Calibri" w:cs="Calibri"/>
          <w:sz w:val="22"/>
          <w:szCs w:val="22"/>
          <w:lang w:val="es-MX" w:eastAsia="en-US"/>
        </w:rPr>
      </w:pPr>
      <w:r w:rsidRPr="00132485">
        <w:rPr>
          <w:rFonts w:ascii="Calibri" w:eastAsia="Calibri" w:hAnsi="Calibri" w:cs="Calibri"/>
          <w:sz w:val="22"/>
          <w:szCs w:val="22"/>
          <w:lang w:val="es-MX" w:eastAsia="en-US"/>
        </w:rPr>
        <w:t xml:space="preserve">16. </w:t>
      </w:r>
      <w:r w:rsidRPr="00132485">
        <w:rPr>
          <w:rFonts w:ascii="Calibri" w:eastAsia="Calibri" w:hAnsi="Calibri" w:cs="Calibri"/>
          <w:sz w:val="22"/>
          <w:szCs w:val="22"/>
          <w:lang w:val="es-UY" w:eastAsia="en-US"/>
        </w:rPr>
        <w:t>La Ley 17817, del 6 de setiembre de 200</w:t>
      </w:r>
      <w:r w:rsidRPr="00132485">
        <w:rPr>
          <w:rFonts w:ascii="Calibri" w:eastAsia="Calibri" w:hAnsi="Calibri" w:cs="Calibri"/>
          <w:sz w:val="22"/>
          <w:szCs w:val="22"/>
          <w:lang w:val="es-MX" w:eastAsia="en-US"/>
        </w:rPr>
        <w:t>4</w:t>
      </w:r>
      <w:r w:rsidRPr="00132485">
        <w:rPr>
          <w:rFonts w:ascii="Calibri" w:eastAsia="Calibri" w:hAnsi="Calibri" w:cs="Calibri"/>
          <w:sz w:val="22"/>
          <w:szCs w:val="22"/>
          <w:lang w:val="es-UY" w:eastAsia="en-US"/>
        </w:rPr>
        <w:t xml:space="preserve"> </w:t>
      </w:r>
      <w:r w:rsidRPr="00132485">
        <w:rPr>
          <w:rFonts w:ascii="Calibri" w:eastAsia="Calibri" w:hAnsi="Calibri" w:cs="Calibri"/>
          <w:sz w:val="22"/>
          <w:szCs w:val="22"/>
          <w:lang w:val="es-MX" w:eastAsia="en-US"/>
        </w:rPr>
        <w:t>“L</w:t>
      </w:r>
      <w:r w:rsidRPr="00132485">
        <w:rPr>
          <w:rFonts w:ascii="Calibri" w:eastAsia="Calibri" w:hAnsi="Calibri" w:cs="Calibri"/>
          <w:sz w:val="22"/>
          <w:szCs w:val="22"/>
          <w:lang w:val="es-UY" w:eastAsia="en-US"/>
        </w:rPr>
        <w:t>ucha contra el racismo, la xenofobia y la discriminación</w:t>
      </w:r>
      <w:r w:rsidRPr="00132485">
        <w:rPr>
          <w:rFonts w:ascii="Calibri" w:eastAsia="Calibri" w:hAnsi="Calibri" w:cs="Calibri"/>
          <w:sz w:val="22"/>
          <w:szCs w:val="22"/>
          <w:lang w:val="es-MX" w:eastAsia="en-US"/>
        </w:rPr>
        <w:t xml:space="preserve">”, define </w:t>
      </w:r>
      <w:r w:rsidRPr="00132485">
        <w:rPr>
          <w:rFonts w:ascii="Calibri" w:eastAsia="Calibri" w:hAnsi="Calibri" w:cs="Calibri"/>
          <w:sz w:val="22"/>
          <w:szCs w:val="22"/>
          <w:lang w:val="es-UY" w:eastAsia="en-US"/>
        </w:rPr>
        <w:t>la discriminación con todos los elementos pautados e incluidos en las diversas Convenciones antidiscriminatorias de ONU, ratificadas por Uruguay</w:t>
      </w:r>
      <w:r w:rsidRPr="00132485">
        <w:rPr>
          <w:rFonts w:ascii="Calibri" w:eastAsia="Calibri" w:hAnsi="Calibri" w:cs="Calibri"/>
          <w:sz w:val="22"/>
          <w:szCs w:val="22"/>
          <w:lang w:val="es-MX" w:eastAsia="en-US"/>
        </w:rPr>
        <w:t>, declara</w:t>
      </w:r>
      <w:r w:rsidRPr="00132485">
        <w:rPr>
          <w:rFonts w:ascii="Calibri" w:eastAsia="Calibri" w:hAnsi="Calibri" w:cs="Calibri"/>
          <w:sz w:val="22"/>
          <w:szCs w:val="22"/>
          <w:lang w:val="es-UY" w:eastAsia="en-US"/>
        </w:rPr>
        <w:t xml:space="preserve"> de interés nacional la lucha contra el racismo, la xenofobia y toda otra forma de discriminación</w:t>
      </w:r>
      <w:r w:rsidRPr="00132485">
        <w:rPr>
          <w:rFonts w:ascii="Calibri" w:eastAsia="Calibri" w:hAnsi="Calibri" w:cs="Calibri"/>
          <w:sz w:val="22"/>
          <w:szCs w:val="22"/>
          <w:lang w:val="es-MX" w:eastAsia="en-US"/>
        </w:rPr>
        <w:t xml:space="preserve"> y crea </w:t>
      </w:r>
      <w:r w:rsidRPr="00132485">
        <w:rPr>
          <w:rFonts w:ascii="Calibri" w:eastAsia="Calibri" w:hAnsi="Calibri" w:cs="Calibri"/>
          <w:sz w:val="22"/>
          <w:szCs w:val="22"/>
          <w:lang w:val="es-UY" w:eastAsia="en-US"/>
        </w:rPr>
        <w:t>la Comisión Honoraria contra el Racismo; la Xenofobia y toda otra forma de Discriminación</w:t>
      </w:r>
      <w:r w:rsidRPr="00132485">
        <w:rPr>
          <w:rFonts w:ascii="Calibri" w:eastAsia="Calibri" w:hAnsi="Calibri" w:cs="Calibri"/>
          <w:sz w:val="22"/>
          <w:szCs w:val="22"/>
          <w:lang w:val="es-MX" w:eastAsia="en-US"/>
        </w:rPr>
        <w:t xml:space="preserve"> (CHRXD). Esta norma prevé que la CHRXD recepcione denuncias por discriminación y se le da la potestad de realizar investigaciones administrativas y presentar eventuales denuncias penales. </w:t>
      </w:r>
    </w:p>
    <w:p w14:paraId="1244E692" w14:textId="77777777" w:rsidR="00132485" w:rsidRPr="00132485" w:rsidRDefault="00132485" w:rsidP="00132485">
      <w:pPr>
        <w:spacing w:after="120" w:line="288" w:lineRule="auto"/>
        <w:jc w:val="both"/>
        <w:rPr>
          <w:rFonts w:ascii="Calibri" w:eastAsia="Calibri" w:hAnsi="Calibri" w:cs="Calibri"/>
          <w:sz w:val="22"/>
          <w:szCs w:val="22"/>
          <w:lang w:val="es-MX" w:eastAsia="en-US"/>
        </w:rPr>
      </w:pPr>
      <w:r w:rsidRPr="00132485">
        <w:rPr>
          <w:rFonts w:ascii="Calibri" w:eastAsia="Calibri" w:hAnsi="Calibri" w:cs="Calibri"/>
          <w:sz w:val="22"/>
          <w:szCs w:val="22"/>
          <w:lang w:val="es-MX" w:eastAsia="en-US"/>
        </w:rPr>
        <w:t xml:space="preserve">17. </w:t>
      </w:r>
      <w:r w:rsidRPr="00132485">
        <w:rPr>
          <w:rFonts w:ascii="Calibri" w:eastAsia="Calibri" w:hAnsi="Calibri" w:cs="Calibri"/>
          <w:sz w:val="22"/>
          <w:szCs w:val="22"/>
          <w:lang w:val="es-UY" w:eastAsia="en-US"/>
        </w:rPr>
        <w:t xml:space="preserve">En agosto de 2019 la Institución Nacional de Derechos Humanos y Defensoría del Pueblo (INDDHH) coordinó un espacio de intercambios sobre avances, vacíos y desafíos a partir de las normativas nacionales en relación a la problemática de la discriminación. Este espacio se llevó a cabo entre autoridades nacionales y la sociedad civil, promoviendo el desarrollo de propuestas que hagan sinergias en los propósitos. </w:t>
      </w:r>
    </w:p>
    <w:p w14:paraId="784E1C38" w14:textId="77777777" w:rsidR="00132485" w:rsidRPr="00132485" w:rsidRDefault="00132485" w:rsidP="00132485">
      <w:pPr>
        <w:spacing w:after="120" w:line="288" w:lineRule="auto"/>
        <w:jc w:val="both"/>
        <w:rPr>
          <w:rFonts w:ascii="Calibri" w:eastAsia="Calibri" w:hAnsi="Calibri" w:cs="Calibri"/>
          <w:sz w:val="22"/>
          <w:szCs w:val="22"/>
          <w:lang w:val="es-MX" w:eastAsia="en-US"/>
        </w:rPr>
      </w:pPr>
      <w:r w:rsidRPr="00132485">
        <w:rPr>
          <w:rFonts w:ascii="Calibri" w:eastAsia="Calibri" w:hAnsi="Calibri" w:cs="Calibri"/>
          <w:sz w:val="22"/>
          <w:szCs w:val="22"/>
          <w:lang w:val="es-MX" w:eastAsia="en-US"/>
        </w:rPr>
        <w:t>18. Fruto de este esfuerzo, la INDDHH acordó con la CHRXD un “Protocolo de actuación ante Denuncias o peticiones de casos de racismo, xenofobia y toda otra forma de discriminación” donde se definieron criterios generales para la actuación y garantías del procedimiento y cómo ambas instituciones colaboran en la sustanciación de las denuncias y en la definición de sus resoluciones.</w:t>
      </w:r>
    </w:p>
    <w:p w14:paraId="679D7E7C" w14:textId="77777777" w:rsidR="00132485" w:rsidRPr="00132485" w:rsidRDefault="00132485" w:rsidP="00132485">
      <w:pPr>
        <w:spacing w:after="120" w:line="288" w:lineRule="auto"/>
        <w:jc w:val="both"/>
        <w:rPr>
          <w:rFonts w:ascii="Calibri" w:eastAsia="Calibri" w:hAnsi="Calibri" w:cs="Calibri"/>
          <w:sz w:val="22"/>
          <w:szCs w:val="22"/>
          <w:lang w:val="es-MX" w:eastAsia="en-US"/>
        </w:rPr>
      </w:pPr>
      <w:r w:rsidRPr="00132485">
        <w:rPr>
          <w:rFonts w:ascii="Calibri" w:eastAsia="Calibri" w:hAnsi="Calibri" w:cs="Calibri"/>
          <w:sz w:val="22"/>
          <w:szCs w:val="22"/>
          <w:lang w:val="es-UY" w:eastAsia="en-US"/>
        </w:rPr>
        <w:t xml:space="preserve"> </w:t>
      </w:r>
      <w:r w:rsidRPr="00132485">
        <w:rPr>
          <w:rFonts w:ascii="Calibri" w:eastAsia="Calibri" w:hAnsi="Calibri" w:cs="Calibri"/>
          <w:sz w:val="22"/>
          <w:szCs w:val="22"/>
          <w:lang w:val="es-MX" w:eastAsia="en-US"/>
        </w:rPr>
        <w:t xml:space="preserve">19. Las medidas adoptadas por el Estado para </w:t>
      </w:r>
      <w:r w:rsidRPr="00132485">
        <w:rPr>
          <w:rFonts w:ascii="Calibri" w:eastAsia="SimSun" w:hAnsi="Calibri" w:cs="Calibri"/>
          <w:sz w:val="22"/>
          <w:szCs w:val="22"/>
          <w:lang w:val="es-UY" w:eastAsia="en-US"/>
        </w:rPr>
        <w:t>prevenir, investigar y sancionar el discurso de odio e incitación a la discriminación, a la xenofobia y a la violencia racia</w:t>
      </w:r>
      <w:r w:rsidRPr="00132485">
        <w:rPr>
          <w:rFonts w:ascii="Calibri" w:eastAsia="Calibri" w:hAnsi="Calibri" w:cs="Calibri"/>
          <w:sz w:val="22"/>
          <w:szCs w:val="22"/>
          <w:lang w:val="es-MX" w:eastAsia="en-US"/>
        </w:rPr>
        <w:t>l de carácter legislativo se encuentran en la normativa ya señalada. Las denuncias en tal sentido pueden canalizarse a través del procedimiento penal de carácter general o acudir al procedimiento de denuncias establecidos para la INDDHH o la CHRDX.</w:t>
      </w:r>
    </w:p>
    <w:p w14:paraId="200A5BDA" w14:textId="77777777" w:rsidR="00132485" w:rsidRPr="00132485" w:rsidRDefault="00132485" w:rsidP="00132485">
      <w:pPr>
        <w:spacing w:after="120" w:line="288" w:lineRule="auto"/>
        <w:jc w:val="both"/>
        <w:rPr>
          <w:rFonts w:ascii="Calibri" w:eastAsia="Calibri" w:hAnsi="Calibri" w:cs="Calibri"/>
          <w:sz w:val="22"/>
          <w:szCs w:val="22"/>
          <w:lang w:val="es-MX" w:eastAsia="en-US"/>
        </w:rPr>
      </w:pPr>
      <w:r w:rsidRPr="00132485">
        <w:rPr>
          <w:rFonts w:ascii="Calibri" w:eastAsia="Calibri" w:hAnsi="Calibri" w:cs="Calibri"/>
          <w:sz w:val="22"/>
          <w:szCs w:val="22"/>
          <w:lang w:val="es-MX" w:eastAsia="en-US"/>
        </w:rPr>
        <w:t>20. L</w:t>
      </w:r>
      <w:r w:rsidRPr="00132485">
        <w:rPr>
          <w:rFonts w:ascii="Calibri" w:eastAsia="Calibri" w:hAnsi="Calibri" w:cs="Calibri"/>
          <w:sz w:val="22"/>
          <w:szCs w:val="22"/>
          <w:lang w:val="es-UY" w:eastAsia="en-US"/>
        </w:rPr>
        <w:t>a Ley 19.580 de Violencia hacia las Mujeres basada en Género</w:t>
      </w:r>
      <w:r w:rsidRPr="00132485">
        <w:rPr>
          <w:rFonts w:ascii="Calibri" w:eastAsia="Calibri" w:hAnsi="Calibri" w:cs="Calibri"/>
          <w:sz w:val="22"/>
          <w:szCs w:val="22"/>
          <w:lang w:val="es-MX" w:eastAsia="en-US"/>
        </w:rPr>
        <w:t xml:space="preserve"> (</w:t>
      </w:r>
      <w:r w:rsidRPr="00132485">
        <w:rPr>
          <w:rFonts w:ascii="Calibri" w:eastAsia="Calibri" w:hAnsi="Calibri" w:cs="Calibri"/>
          <w:sz w:val="22"/>
          <w:szCs w:val="22"/>
          <w:lang w:val="es-UY" w:eastAsia="en-US"/>
        </w:rPr>
        <w:t>2018</w:t>
      </w:r>
      <w:r w:rsidRPr="00132485">
        <w:rPr>
          <w:rFonts w:ascii="Calibri" w:eastAsia="Calibri" w:hAnsi="Calibri" w:cs="Calibri"/>
          <w:sz w:val="22"/>
          <w:szCs w:val="22"/>
          <w:lang w:val="es-MX" w:eastAsia="en-US"/>
        </w:rPr>
        <w:t>) i</w:t>
      </w:r>
      <w:r w:rsidRPr="00132485">
        <w:rPr>
          <w:rFonts w:ascii="Calibri" w:eastAsia="Calibri" w:hAnsi="Calibri" w:cs="Calibri"/>
          <w:sz w:val="22"/>
          <w:szCs w:val="22"/>
          <w:lang w:val="es-UY" w:eastAsia="en-US"/>
        </w:rPr>
        <w:t xml:space="preserve">ncluye un artículo específico que define la Violencia Étnica Racial como “toda agresión física, moral, verbal o </w:t>
      </w:r>
      <w:r w:rsidRPr="00132485">
        <w:rPr>
          <w:rFonts w:ascii="Calibri" w:eastAsia="Calibri" w:hAnsi="Calibri" w:cs="Calibri"/>
          <w:sz w:val="22"/>
          <w:szCs w:val="22"/>
          <w:lang w:val="es-UY" w:eastAsia="en-US"/>
        </w:rPr>
        <w:lastRenderedPageBreak/>
        <w:t>psicológica, tratamiento humillante u ofensivo, ejercido contra una mujer en virtud de su pertenencia étnica o en alusión a la misma; provocando en la víctima sentimientos de intimidación, de vergüenza, menosprecio, de denigración. Sea que este tipo de violencia sea ejercida en público, en privado, o con independencia del ámbito en el que ocurra”.</w:t>
      </w:r>
    </w:p>
    <w:p w14:paraId="487276E3" w14:textId="77777777" w:rsidR="00132485" w:rsidRPr="00132485" w:rsidRDefault="00132485" w:rsidP="001324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88" w:lineRule="auto"/>
        <w:jc w:val="both"/>
        <w:rPr>
          <w:rFonts w:ascii="Calibri" w:eastAsia="SimSun" w:hAnsi="Calibri" w:cs="Calibri"/>
          <w:sz w:val="22"/>
          <w:szCs w:val="22"/>
          <w:shd w:val="clear" w:color="auto" w:fill="FFFFFF"/>
          <w:lang w:val="es-UY" w:eastAsia="zh-CN"/>
        </w:rPr>
      </w:pPr>
      <w:r w:rsidRPr="00132485">
        <w:rPr>
          <w:rFonts w:ascii="Calibri" w:eastAsia="SimSun" w:hAnsi="Calibri" w:cs="Calibri"/>
          <w:sz w:val="22"/>
          <w:szCs w:val="22"/>
          <w:lang w:val="es-MX" w:eastAsia="zh-CN"/>
        </w:rPr>
        <w:t>21. La Ley 19.307 “Servicios de Comunicación Audiovisual” prevé en su art. 28  el “</w:t>
      </w:r>
      <w:r w:rsidRPr="00132485">
        <w:rPr>
          <w:rFonts w:ascii="Calibri" w:eastAsia="SimSun" w:hAnsi="Calibri" w:cs="Calibri"/>
          <w:sz w:val="22"/>
          <w:szCs w:val="22"/>
          <w:shd w:val="clear" w:color="auto" w:fill="FFFFFF"/>
          <w:lang w:eastAsia="zh-CN"/>
        </w:rPr>
        <w:t xml:space="preserve">Derecho </w:t>
      </w:r>
      <w:r w:rsidRPr="00132485">
        <w:rPr>
          <w:rFonts w:ascii="Calibri" w:eastAsia="SimSun" w:hAnsi="Calibri" w:cs="Calibri"/>
          <w:sz w:val="22"/>
          <w:szCs w:val="22"/>
          <w:shd w:val="clear" w:color="auto" w:fill="FFFFFF"/>
          <w:lang w:val="es-UY" w:eastAsia="zh-CN"/>
        </w:rPr>
        <w:t>a la no discriminación” estableciendo que  los servicios de comunicación audiovisual no podrán difundir contenidos que inciten o hagan apología de la discriminación y el odio nacional, racial o religioso, que constituyan incitaciones a la violencia o cualquier otra acción ilegal similar contra cualquier persona o grupo de personas, sea motivada por su raza, etnia, sexo, género, orientación sexual, identidad de género, edad, discapacidad, identidad cultural, lugar de nacimiento, credo o condición socioeconómica. Aclarando que en ningún caso estas disposiciones deben interpretarse como una imposibilidad de informar sobre los hechos, o de analizar y discutir sobre estos temas, en particular durante programas educativos, informativos y periodísticos.</w:t>
      </w:r>
    </w:p>
    <w:p w14:paraId="6A47C13F" w14:textId="77777777" w:rsidR="00132485" w:rsidRPr="00132485" w:rsidRDefault="00132485" w:rsidP="001324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88" w:lineRule="auto"/>
        <w:jc w:val="both"/>
        <w:rPr>
          <w:rFonts w:ascii="Calibri" w:eastAsia="SimSun" w:hAnsi="Calibri" w:cs="Calibri"/>
          <w:sz w:val="22"/>
          <w:szCs w:val="22"/>
          <w:shd w:val="clear" w:color="auto" w:fill="FFFFFF"/>
          <w:lang w:val="es-UY" w:eastAsia="zh-CN"/>
        </w:rPr>
      </w:pPr>
      <w:r w:rsidRPr="00132485">
        <w:rPr>
          <w:rFonts w:ascii="Calibri" w:eastAsia="SimSun" w:hAnsi="Calibri" w:cs="Calibri"/>
          <w:sz w:val="22"/>
          <w:szCs w:val="22"/>
          <w:shd w:val="clear" w:color="auto" w:fill="FFFFFF"/>
          <w:lang w:val="es-UY" w:eastAsia="zh-CN"/>
        </w:rPr>
        <w:t>22. El mismo artículo establece que los servicios de comunicación audiovisual deberán promover en su programación, expresiones y acciones afirmativas e inclusivas a favor de personas o grupos objeto de discriminación.</w:t>
      </w:r>
    </w:p>
    <w:p w14:paraId="5DCD8579" w14:textId="77777777" w:rsidR="00132485" w:rsidRPr="00132485" w:rsidRDefault="00132485" w:rsidP="001324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88" w:lineRule="auto"/>
        <w:jc w:val="both"/>
        <w:rPr>
          <w:rFonts w:ascii="Calibri" w:eastAsia="SimSun" w:hAnsi="Calibri" w:cs="Calibri"/>
          <w:sz w:val="22"/>
          <w:szCs w:val="22"/>
          <w:lang w:val="es-UY" w:eastAsia="zh-CN"/>
        </w:rPr>
      </w:pPr>
      <w:r w:rsidRPr="00132485">
        <w:rPr>
          <w:rFonts w:ascii="Calibri" w:eastAsia="SimSun" w:hAnsi="Calibri" w:cs="Calibri"/>
          <w:sz w:val="22"/>
          <w:szCs w:val="22"/>
          <w:shd w:val="clear" w:color="auto" w:fill="FFFFFF"/>
          <w:lang w:val="es-UY" w:eastAsia="zh-CN"/>
        </w:rPr>
        <w:t xml:space="preserve">23. Esta Ley otorga a la INDDHH la potestad -entre otras- de recibir y tramitar denuncias sobre el eventual apartamiento de los servicios de comunicación audiovisual respecto de las disposiciones que reconocen y garantizan el derecho de las personas, lo cual incluye la posibilidad de recibir denuncias por discursos de odio e incitación a </w:t>
      </w:r>
      <w:r w:rsidRPr="00132485">
        <w:rPr>
          <w:rFonts w:ascii="Calibri" w:eastAsia="SimSun" w:hAnsi="Calibri" w:cs="Calibri"/>
          <w:sz w:val="22"/>
          <w:szCs w:val="22"/>
          <w:lang w:val="es-UY" w:eastAsia="zh-CN"/>
        </w:rPr>
        <w:t>la discriminación, a la xenofobia y a la violencia racial en los medios de comunicación.</w:t>
      </w:r>
    </w:p>
    <w:p w14:paraId="308648E7" w14:textId="77777777" w:rsidR="00132485" w:rsidRPr="00132485" w:rsidRDefault="00132485" w:rsidP="001324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88" w:lineRule="auto"/>
        <w:jc w:val="both"/>
        <w:rPr>
          <w:rFonts w:ascii="Calibri" w:eastAsia="SimSun" w:hAnsi="Calibri" w:cs="Calibri"/>
          <w:sz w:val="22"/>
          <w:szCs w:val="22"/>
          <w:lang w:val="es-UY" w:eastAsia="zh-CN"/>
        </w:rPr>
      </w:pPr>
      <w:r w:rsidRPr="00132485">
        <w:rPr>
          <w:rFonts w:ascii="Calibri" w:eastAsia="SimSun" w:hAnsi="Calibri" w:cs="Calibri"/>
          <w:sz w:val="22"/>
          <w:szCs w:val="22"/>
          <w:lang w:val="es-UY" w:eastAsia="zh-CN"/>
        </w:rPr>
        <w:t>24. A la fecha de presentación del informe, se encuentra en trámite parlamentario un anteproyecto de Ley que, de ser aprobado, derogaría esta Ley 19307. Al respecto, la INDDHH ha presentado el 26 de mayo de 2021 ante la Comisión de la Comisión de Industria, Energía y Minería de la Cámara de Representantes un Informe</w:t>
      </w:r>
      <w:r w:rsidRPr="00132485">
        <w:rPr>
          <w:rFonts w:ascii="Calibri" w:eastAsia="SimSun" w:hAnsi="Calibri" w:cs="Calibri"/>
          <w:sz w:val="22"/>
          <w:szCs w:val="22"/>
          <w:vertAlign w:val="superscript"/>
          <w:lang w:val="es-UY" w:eastAsia="zh-CN"/>
        </w:rPr>
        <w:footnoteReference w:id="4"/>
      </w:r>
      <w:r w:rsidRPr="00132485">
        <w:rPr>
          <w:rFonts w:ascii="Calibri" w:eastAsia="SimSun" w:hAnsi="Calibri" w:cs="Calibri"/>
          <w:sz w:val="22"/>
          <w:szCs w:val="22"/>
          <w:lang w:val="es-UY" w:eastAsia="zh-CN"/>
        </w:rPr>
        <w:t xml:space="preserve"> recomendando su no derogación, pues de serlo se perderían estas medidas concretas ya adoptadas para prevenir, investigar y sancionar este tipo de conductas.</w:t>
      </w:r>
    </w:p>
    <w:p w14:paraId="2AA78682" w14:textId="77777777" w:rsidR="00132485" w:rsidRPr="00132485" w:rsidRDefault="00132485" w:rsidP="001324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88" w:lineRule="auto"/>
        <w:jc w:val="both"/>
        <w:rPr>
          <w:rFonts w:ascii="Calibri" w:eastAsia="SimSun" w:hAnsi="Calibri" w:cs="Calibri"/>
          <w:sz w:val="22"/>
          <w:szCs w:val="22"/>
          <w:lang w:val="es-UY" w:eastAsia="zh-CN"/>
        </w:rPr>
      </w:pPr>
      <w:r w:rsidRPr="00132485">
        <w:rPr>
          <w:rFonts w:ascii="Calibri" w:eastAsia="SimSun" w:hAnsi="Calibri" w:cs="Calibri"/>
          <w:sz w:val="22"/>
          <w:szCs w:val="22"/>
          <w:lang w:val="es-UY" w:eastAsia="zh-CN"/>
        </w:rPr>
        <w:t>25. No hay en el marco legal nacional una previsión especial que prevenga, investigue y sanciones de estas conductas en Internet y plataformas sociales, estándose a lo previsto por las normas de carácter general establecidas por el Código Penal.</w:t>
      </w:r>
    </w:p>
    <w:p w14:paraId="77DFF2BA" w14:textId="77777777" w:rsidR="00132485" w:rsidRPr="00132485" w:rsidRDefault="00132485" w:rsidP="00132485">
      <w:pPr>
        <w:spacing w:after="120" w:line="288" w:lineRule="auto"/>
        <w:jc w:val="both"/>
        <w:rPr>
          <w:rFonts w:ascii="Calibri" w:eastAsia="Calibri" w:hAnsi="Calibri" w:cs="Calibri"/>
          <w:color w:val="000000"/>
          <w:sz w:val="22"/>
          <w:szCs w:val="22"/>
          <w:lang w:val="es-MX" w:eastAsia="en-US"/>
        </w:rPr>
      </w:pPr>
      <w:r w:rsidRPr="00132485">
        <w:rPr>
          <w:rFonts w:ascii="Calibri" w:eastAsia="Calibri" w:hAnsi="Calibri" w:cs="Calibri"/>
          <w:sz w:val="22"/>
          <w:szCs w:val="22"/>
          <w:lang w:val="es-MX" w:eastAsia="en-US"/>
        </w:rPr>
        <w:t>26. En el ámbito interno de la INDDHH e</w:t>
      </w:r>
      <w:r w:rsidRPr="00132485">
        <w:rPr>
          <w:rFonts w:ascii="Calibri" w:eastAsia="Calibri" w:hAnsi="Calibri" w:cs="Calibri"/>
          <w:color w:val="000000"/>
          <w:sz w:val="22"/>
          <w:szCs w:val="22"/>
          <w:lang w:val="es-UY" w:eastAsia="en-US"/>
        </w:rPr>
        <w:t xml:space="preserve">l 1 de noviembre de 2022 creó la </w:t>
      </w:r>
      <w:r w:rsidRPr="00132485">
        <w:rPr>
          <w:rFonts w:ascii="Calibri" w:eastAsia="Calibri" w:hAnsi="Calibri" w:cs="Calibri"/>
          <w:color w:val="000000"/>
          <w:sz w:val="22"/>
          <w:szCs w:val="22"/>
          <w:lang w:val="es-MX" w:eastAsia="en-US"/>
        </w:rPr>
        <w:t>U</w:t>
      </w:r>
      <w:r w:rsidRPr="00132485">
        <w:rPr>
          <w:rFonts w:ascii="Calibri" w:eastAsia="Calibri" w:hAnsi="Calibri" w:cs="Calibri"/>
          <w:color w:val="000000"/>
          <w:sz w:val="22"/>
          <w:szCs w:val="22"/>
          <w:lang w:val="es-UY" w:eastAsia="en-US"/>
        </w:rPr>
        <w:t xml:space="preserve">nidad especializada en la atención y abordaje de la equidad étnico racial que depende del Área de Igualdad y no </w:t>
      </w:r>
      <w:r w:rsidRPr="00132485">
        <w:rPr>
          <w:rFonts w:ascii="Calibri" w:eastAsia="Calibri" w:hAnsi="Calibri" w:cs="Calibri"/>
          <w:color w:val="000000"/>
          <w:sz w:val="22"/>
          <w:szCs w:val="22"/>
          <w:lang w:val="es-UY" w:eastAsia="en-US"/>
        </w:rPr>
        <w:lastRenderedPageBreak/>
        <w:t xml:space="preserve">discriminación, los cometidos de la Unidad </w:t>
      </w:r>
      <w:r w:rsidRPr="00132485">
        <w:rPr>
          <w:rFonts w:ascii="Calibri" w:eastAsia="Calibri" w:hAnsi="Calibri" w:cs="Calibri"/>
          <w:color w:val="000000"/>
          <w:sz w:val="22"/>
          <w:szCs w:val="22"/>
          <w:lang w:val="es-MX" w:eastAsia="en-US"/>
        </w:rPr>
        <w:t>incluyen la coordinación y articulación con otros organismos (en especial con la CHRXD), la recolección de información</w:t>
      </w:r>
      <w:r w:rsidRPr="00132485">
        <w:rPr>
          <w:rFonts w:ascii="Calibri" w:eastAsia="Calibri" w:hAnsi="Calibri" w:cs="Calibri"/>
          <w:color w:val="000000"/>
          <w:sz w:val="22"/>
          <w:szCs w:val="22"/>
          <w:lang w:val="es-UY" w:eastAsia="en-US"/>
        </w:rPr>
        <w:t xml:space="preserve"> proveniente de sociedad civil</w:t>
      </w:r>
      <w:r w:rsidRPr="00132485">
        <w:rPr>
          <w:rFonts w:ascii="Calibri" w:eastAsia="Calibri" w:hAnsi="Calibri" w:cs="Calibri"/>
          <w:color w:val="000000"/>
          <w:sz w:val="22"/>
          <w:szCs w:val="22"/>
          <w:lang w:val="es-MX" w:eastAsia="en-US"/>
        </w:rPr>
        <w:t xml:space="preserve">, </w:t>
      </w:r>
      <w:r w:rsidRPr="00132485">
        <w:rPr>
          <w:rFonts w:ascii="Calibri" w:eastAsia="Calibri" w:hAnsi="Calibri" w:cs="Calibri"/>
          <w:color w:val="000000"/>
          <w:sz w:val="22"/>
          <w:szCs w:val="22"/>
          <w:lang w:val="es-UY" w:eastAsia="en-US"/>
        </w:rPr>
        <w:t>el monitoreo</w:t>
      </w:r>
      <w:r w:rsidRPr="00132485">
        <w:rPr>
          <w:rFonts w:ascii="Calibri" w:eastAsia="Calibri" w:hAnsi="Calibri" w:cs="Calibri"/>
          <w:color w:val="000000"/>
          <w:sz w:val="22"/>
          <w:szCs w:val="22"/>
          <w:lang w:val="es-MX" w:eastAsia="en-US"/>
        </w:rPr>
        <w:t xml:space="preserve"> </w:t>
      </w:r>
      <w:r w:rsidRPr="00132485">
        <w:rPr>
          <w:rFonts w:ascii="Calibri" w:eastAsia="Calibri" w:hAnsi="Calibri" w:cs="Calibri"/>
          <w:color w:val="000000"/>
          <w:sz w:val="22"/>
          <w:szCs w:val="22"/>
          <w:lang w:val="es-UY" w:eastAsia="en-US"/>
        </w:rPr>
        <w:t xml:space="preserve">del cumplimiento de leyes vigentes en relación a acciones afirmativas, </w:t>
      </w:r>
      <w:r w:rsidRPr="00132485">
        <w:rPr>
          <w:rFonts w:ascii="Calibri" w:eastAsia="Calibri" w:hAnsi="Calibri" w:cs="Calibri"/>
          <w:color w:val="000000"/>
          <w:sz w:val="22"/>
          <w:szCs w:val="22"/>
          <w:lang w:val="es-MX" w:eastAsia="en-US"/>
        </w:rPr>
        <w:t>la generación de informes generales y especiales en la materia y la promoción de oficio o a instancia de parte de distintas acciones ante</w:t>
      </w:r>
      <w:r w:rsidRPr="00132485">
        <w:rPr>
          <w:rFonts w:ascii="Calibri" w:eastAsia="Calibri" w:hAnsi="Calibri" w:cs="Calibri"/>
          <w:color w:val="000000"/>
          <w:sz w:val="22"/>
          <w:szCs w:val="22"/>
          <w:lang w:val="es-UY" w:eastAsia="en-US"/>
        </w:rPr>
        <w:t xml:space="preserve"> presuntas violaciones a los derechos humanos relacionados a la temática</w:t>
      </w:r>
      <w:r w:rsidRPr="00132485">
        <w:rPr>
          <w:rFonts w:ascii="Calibri" w:eastAsia="Calibri" w:hAnsi="Calibri" w:cs="Calibri"/>
          <w:color w:val="000000"/>
          <w:sz w:val="22"/>
          <w:szCs w:val="22"/>
          <w:lang w:val="es-MX" w:eastAsia="en-US"/>
        </w:rPr>
        <w:t xml:space="preserve">. </w:t>
      </w:r>
    </w:p>
    <w:p w14:paraId="656FD10A" w14:textId="77777777" w:rsidR="00132485" w:rsidRPr="00132485" w:rsidRDefault="00132485" w:rsidP="00132485">
      <w:pPr>
        <w:spacing w:after="12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MX" w:eastAsia="en-US"/>
        </w:rPr>
        <w:t>27. L</w:t>
      </w:r>
      <w:r w:rsidRPr="00132485">
        <w:rPr>
          <w:rFonts w:ascii="Calibri" w:eastAsia="Calibri" w:hAnsi="Calibri" w:cs="Calibri"/>
          <w:sz w:val="22"/>
          <w:szCs w:val="22"/>
          <w:lang w:val="es-UY" w:eastAsia="en-US"/>
        </w:rPr>
        <w:t xml:space="preserve">a desigualdad en el bienestar entre afrodescendientes y el resto de la población son problemas de larga data y provoca un racismo estructural y sistémico. El </w:t>
      </w:r>
      <w:r w:rsidRPr="00132485">
        <w:rPr>
          <w:rFonts w:ascii="Calibri" w:eastAsia="Calibri" w:hAnsi="Calibri" w:cs="Calibri"/>
          <w:sz w:val="22"/>
          <w:szCs w:val="22"/>
          <w:lang w:val="es-MX" w:eastAsia="en-US"/>
        </w:rPr>
        <w:t>E</w:t>
      </w:r>
      <w:r w:rsidRPr="00132485">
        <w:rPr>
          <w:rFonts w:ascii="Calibri" w:eastAsia="Calibri" w:hAnsi="Calibri" w:cs="Calibri"/>
          <w:sz w:val="22"/>
          <w:szCs w:val="22"/>
          <w:lang w:val="es-UY" w:eastAsia="en-US"/>
        </w:rPr>
        <w:t>stado realizó dos esfuerzos importantes respecto a la implementación de políticas públicas para la población afrodescendiente: la Estrategia Nacional de Desarrollo 2050 y la Estrategia Nacional de Políticas para Afrodescendientes 2030.</w:t>
      </w:r>
    </w:p>
    <w:p w14:paraId="0DB3560F" w14:textId="77777777" w:rsidR="00132485" w:rsidRPr="00132485" w:rsidRDefault="00132485" w:rsidP="00132485">
      <w:pPr>
        <w:spacing w:after="120" w:line="288" w:lineRule="auto"/>
        <w:jc w:val="both"/>
        <w:rPr>
          <w:rFonts w:ascii="Calibri" w:eastAsia="Calibri" w:hAnsi="Calibri" w:cs="Calibri"/>
          <w:sz w:val="22"/>
          <w:szCs w:val="22"/>
          <w:lang w:eastAsia="en-US"/>
        </w:rPr>
      </w:pPr>
      <w:r w:rsidRPr="00132485">
        <w:rPr>
          <w:rFonts w:ascii="Calibri" w:eastAsia="Calibri" w:hAnsi="Calibri" w:cs="Calibri"/>
          <w:sz w:val="22"/>
          <w:szCs w:val="22"/>
          <w:lang w:eastAsia="en-US"/>
        </w:rPr>
        <w:t xml:space="preserve">28. Desde 2015, la Oficina de Planeamiento y Presupuesto (OPP) da comienzo a la elaboración de una Estrategia Nacional de Desarrollo 2050, en la cual estableció tres miradas transversales integradas a la concepción de desarrollo integral en Uruguay: Equidad Territorial, Igualdad de Género e Igualdad Racial. En el caso de la Estrategia Nacional de Políticas Públicas para Población Afrouruguaya y Afrodescendiente al 2030, esta es elaborada con la cooperación técnica del Banco Interamericano de Desarrollo – BID, la Agencia Española de Cooperación Internacional para el Desarrollo (AECID) y el Banco Mundial (BM). </w:t>
      </w:r>
    </w:p>
    <w:p w14:paraId="33F946BB" w14:textId="77777777" w:rsidR="00132485" w:rsidRPr="00132485" w:rsidRDefault="00132485" w:rsidP="00132485">
      <w:pPr>
        <w:spacing w:after="12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29. La Estrategia Nacional de Políticas para Afrodescendientes 2030 (ENPA 2030) es un conjunto de recomendaciones de política pública de mediano plazo que promueven la equidad socioeconómica, productiva y política. Su propósito es contribuir con el cumplimiento de los compromisos asumidos en el marco de la Agenda 2030 de Desarrollo Sostenible de la Organización la de Naciones Unidas (ONU).</w:t>
      </w:r>
    </w:p>
    <w:p w14:paraId="7D1B4022" w14:textId="77777777" w:rsidR="00132485" w:rsidRPr="00132485" w:rsidRDefault="00132485" w:rsidP="00132485">
      <w:pPr>
        <w:spacing w:after="120" w:line="288" w:lineRule="auto"/>
        <w:jc w:val="both"/>
        <w:rPr>
          <w:rFonts w:ascii="Calibri" w:eastAsia="Calibri" w:hAnsi="Calibri" w:cs="Calibri"/>
          <w:b/>
          <w:bCs/>
          <w:sz w:val="22"/>
          <w:szCs w:val="22"/>
          <w:lang w:val="es-UY" w:eastAsia="en-US"/>
        </w:rPr>
      </w:pPr>
      <w:r w:rsidRPr="00132485">
        <w:rPr>
          <w:rFonts w:ascii="Calibri" w:eastAsia="Calibri" w:hAnsi="Calibri" w:cs="Calibri"/>
          <w:sz w:val="22"/>
          <w:szCs w:val="22"/>
          <w:lang w:val="es-UY" w:eastAsia="en-US"/>
        </w:rPr>
        <w:t>30. Hasta la fecha el Estado no ha asumido la ejecución del ENPA, esto se refleja en que no existe organismo que la ejecute de forma plena. El Estado ha asumido no ejecutar políticas públicas a mediano plazo sino a corto plazo, como lo expresa la ejecución del Plan Nacional de Equidad Racial y Afrodescendencia.</w:t>
      </w:r>
    </w:p>
    <w:p w14:paraId="19784E24" w14:textId="77777777" w:rsidR="00132485" w:rsidRPr="00132485" w:rsidRDefault="00132485" w:rsidP="00132485">
      <w:pPr>
        <w:spacing w:after="12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 xml:space="preserve">31. La creación, a través de la Ley 19.924 del año 2020 de Presupuesto Nacional para 2020-2024, de la División de Promoción de Políticas Públicas para Afrodescendientes en el Ministerio de Desarrollo Social </w:t>
      </w:r>
      <w:r w:rsidRPr="00132485">
        <w:rPr>
          <w:rFonts w:ascii="Calibri" w:eastAsia="Calibri" w:hAnsi="Calibri" w:cs="Calibri"/>
          <w:sz w:val="22"/>
          <w:szCs w:val="22"/>
          <w:lang w:val="es-MX" w:eastAsia="en-US"/>
        </w:rPr>
        <w:t>es</w:t>
      </w:r>
      <w:r w:rsidRPr="00132485">
        <w:rPr>
          <w:rFonts w:ascii="Calibri" w:eastAsia="Calibri" w:hAnsi="Calibri" w:cs="Calibri"/>
          <w:sz w:val="22"/>
          <w:szCs w:val="22"/>
          <w:lang w:val="es-UY" w:eastAsia="en-US"/>
        </w:rPr>
        <w:t xml:space="preserve"> una señal alentadora ya que para la lucha contra las múltiples exclusiones que padece la población afrodescendiente, es necesario un presupuesto acorde. </w:t>
      </w:r>
    </w:p>
    <w:p w14:paraId="375A833C" w14:textId="77777777" w:rsidR="00132485" w:rsidRPr="00132485" w:rsidRDefault="00132485" w:rsidP="00132485">
      <w:pPr>
        <w:spacing w:after="12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 xml:space="preserve">32. También la INDDHH se ha congratulado con la ejecución del Consejo Nacional de Equidad Racial el cual lleva adelante las comisiones de educación y cultura, salud, trabajo, empleo y seguridad social y racismo y discriminación racial. Sin embargo, la participación de algunos organismos </w:t>
      </w:r>
      <w:r w:rsidRPr="00132485">
        <w:rPr>
          <w:rFonts w:ascii="Calibri" w:eastAsia="Calibri" w:hAnsi="Calibri" w:cs="Calibri"/>
          <w:sz w:val="22"/>
          <w:szCs w:val="22"/>
          <w:lang w:val="es-MX" w:eastAsia="en-US"/>
        </w:rPr>
        <w:t>es aún muy débil</w:t>
      </w:r>
      <w:r w:rsidRPr="00132485">
        <w:rPr>
          <w:rFonts w:ascii="Calibri" w:eastAsia="Calibri" w:hAnsi="Calibri" w:cs="Calibri"/>
          <w:sz w:val="22"/>
          <w:szCs w:val="22"/>
          <w:lang w:val="es-UY" w:eastAsia="en-US"/>
        </w:rPr>
        <w:t xml:space="preserve"> como es el caso del Ministerio de Salud Pública a la </w:t>
      </w:r>
      <w:r w:rsidRPr="00132485">
        <w:rPr>
          <w:rFonts w:ascii="Calibri" w:eastAsia="Calibri" w:hAnsi="Calibri" w:cs="Calibri"/>
          <w:sz w:val="22"/>
          <w:szCs w:val="22"/>
          <w:lang w:val="es-MX" w:eastAsia="en-US"/>
        </w:rPr>
        <w:t>C</w:t>
      </w:r>
      <w:r w:rsidRPr="00132485">
        <w:rPr>
          <w:rFonts w:ascii="Calibri" w:eastAsia="Calibri" w:hAnsi="Calibri" w:cs="Calibri"/>
          <w:sz w:val="22"/>
          <w:szCs w:val="22"/>
          <w:lang w:val="es-UY" w:eastAsia="en-US"/>
        </w:rPr>
        <w:t xml:space="preserve">omisión de </w:t>
      </w:r>
      <w:r w:rsidRPr="00132485">
        <w:rPr>
          <w:rFonts w:ascii="Calibri" w:eastAsia="Calibri" w:hAnsi="Calibri" w:cs="Calibri"/>
          <w:sz w:val="22"/>
          <w:szCs w:val="22"/>
          <w:lang w:val="es-MX" w:eastAsia="en-US"/>
        </w:rPr>
        <w:t>S</w:t>
      </w:r>
      <w:r w:rsidRPr="00132485">
        <w:rPr>
          <w:rFonts w:ascii="Calibri" w:eastAsia="Calibri" w:hAnsi="Calibri" w:cs="Calibri"/>
          <w:sz w:val="22"/>
          <w:szCs w:val="22"/>
          <w:lang w:val="es-UY" w:eastAsia="en-US"/>
        </w:rPr>
        <w:t xml:space="preserve">alud y el Ministerio de Educación y Cultura y la Administración Nacional de Educación Pública a la </w:t>
      </w:r>
      <w:r w:rsidRPr="00132485">
        <w:rPr>
          <w:rFonts w:ascii="Calibri" w:eastAsia="Calibri" w:hAnsi="Calibri" w:cs="Calibri"/>
          <w:sz w:val="22"/>
          <w:szCs w:val="22"/>
          <w:lang w:val="es-MX" w:eastAsia="en-US"/>
        </w:rPr>
        <w:t>C</w:t>
      </w:r>
      <w:r w:rsidRPr="00132485">
        <w:rPr>
          <w:rFonts w:ascii="Calibri" w:eastAsia="Calibri" w:hAnsi="Calibri" w:cs="Calibri"/>
          <w:sz w:val="22"/>
          <w:szCs w:val="22"/>
          <w:lang w:val="es-UY" w:eastAsia="en-US"/>
        </w:rPr>
        <w:t xml:space="preserve">omisión de </w:t>
      </w:r>
      <w:r w:rsidRPr="00132485">
        <w:rPr>
          <w:rFonts w:ascii="Calibri" w:eastAsia="Calibri" w:hAnsi="Calibri" w:cs="Calibri"/>
          <w:sz w:val="22"/>
          <w:szCs w:val="22"/>
          <w:lang w:val="es-MX" w:eastAsia="en-US"/>
        </w:rPr>
        <w:t>E</w:t>
      </w:r>
      <w:r w:rsidRPr="00132485">
        <w:rPr>
          <w:rFonts w:ascii="Calibri" w:eastAsia="Calibri" w:hAnsi="Calibri" w:cs="Calibri"/>
          <w:sz w:val="22"/>
          <w:szCs w:val="22"/>
          <w:lang w:val="es-UY" w:eastAsia="en-US"/>
        </w:rPr>
        <w:t xml:space="preserve">ducación y </w:t>
      </w:r>
      <w:r w:rsidRPr="00132485">
        <w:rPr>
          <w:rFonts w:ascii="Calibri" w:eastAsia="Calibri" w:hAnsi="Calibri" w:cs="Calibri"/>
          <w:sz w:val="22"/>
          <w:szCs w:val="22"/>
          <w:lang w:val="es-MX" w:eastAsia="en-US"/>
        </w:rPr>
        <w:t>C</w:t>
      </w:r>
      <w:r w:rsidRPr="00132485">
        <w:rPr>
          <w:rFonts w:ascii="Calibri" w:eastAsia="Calibri" w:hAnsi="Calibri" w:cs="Calibri"/>
          <w:sz w:val="22"/>
          <w:szCs w:val="22"/>
          <w:lang w:val="es-UY" w:eastAsia="en-US"/>
        </w:rPr>
        <w:t xml:space="preserve">ultura. Esta ausencia de participación impide el desarrollo pleno de los objetivos del Plan Nacional de Equidad Racial y Afrodescendencia, respecto a la brecha </w:t>
      </w:r>
      <w:r w:rsidRPr="00132485">
        <w:rPr>
          <w:rFonts w:ascii="Calibri" w:eastAsia="Calibri" w:hAnsi="Calibri" w:cs="Calibri"/>
          <w:sz w:val="22"/>
          <w:szCs w:val="22"/>
          <w:lang w:val="es-UY" w:eastAsia="en-US"/>
        </w:rPr>
        <w:lastRenderedPageBreak/>
        <w:t>educativa en clave étnico-racial y la desigualdad y afrodescendencia en el acceso a la salud como lo expresa el Plan.</w:t>
      </w:r>
      <w:r w:rsidRPr="00132485">
        <w:rPr>
          <w:rFonts w:ascii="Calibri" w:eastAsia="Calibri" w:hAnsi="Calibri" w:cs="Calibri"/>
          <w:sz w:val="22"/>
          <w:szCs w:val="22"/>
          <w:lang w:val="es-UY" w:eastAsia="en-US"/>
        </w:rPr>
        <w:tab/>
      </w:r>
    </w:p>
    <w:p w14:paraId="26696B91" w14:textId="77777777" w:rsidR="00132485" w:rsidRPr="00132485" w:rsidRDefault="00132485" w:rsidP="00132485">
      <w:pPr>
        <w:spacing w:after="12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33. La INDDHH se encuentra trabajando en todas las comisiones como lo refiere el decreto nro, 81/2019</w:t>
      </w:r>
      <w:r w:rsidRPr="00132485">
        <w:rPr>
          <w:rFonts w:ascii="Calibri" w:eastAsia="Calibri" w:hAnsi="Calibri" w:cs="Calibri"/>
          <w:sz w:val="22"/>
          <w:szCs w:val="22"/>
          <w:lang w:val="es-MX" w:eastAsia="en-US"/>
        </w:rPr>
        <w:t xml:space="preserve">. </w:t>
      </w:r>
      <w:r w:rsidRPr="00132485">
        <w:rPr>
          <w:rFonts w:ascii="Calibri" w:eastAsia="Calibri" w:hAnsi="Calibri" w:cs="Calibri"/>
          <w:sz w:val="22"/>
          <w:szCs w:val="22"/>
          <w:lang w:val="es-UY" w:eastAsia="en-US"/>
        </w:rPr>
        <w:t>Destacando las siguientes acciones: creación</w:t>
      </w:r>
      <w:r w:rsidRPr="00132485">
        <w:rPr>
          <w:rFonts w:ascii="Calibri" w:eastAsia="Calibri" w:hAnsi="Calibri" w:cs="Calibri"/>
          <w:sz w:val="22"/>
          <w:szCs w:val="22"/>
          <w:lang w:val="es-MX" w:eastAsia="en-US"/>
        </w:rPr>
        <w:t xml:space="preserve"> de</w:t>
      </w:r>
      <w:r w:rsidRPr="00132485">
        <w:rPr>
          <w:rFonts w:ascii="Calibri" w:eastAsia="Calibri" w:hAnsi="Calibri" w:cs="Calibri"/>
          <w:sz w:val="22"/>
          <w:szCs w:val="22"/>
          <w:lang w:val="es-UY" w:eastAsia="en-US"/>
        </w:rPr>
        <w:t xml:space="preserve"> material educativo lúdico-recreativo para adolescentes de educación, formal, informal y la sociedad civil, proyecto “Hoja de Ruta Procedimiento de Actuación en Instituciones Estatales ante situaciones de discriminación racial” y aportes étnico-raciales en campaña sobre el suicidio adolescente.</w:t>
      </w:r>
    </w:p>
    <w:p w14:paraId="35505A31" w14:textId="77777777" w:rsidR="00132485" w:rsidRPr="00132485" w:rsidRDefault="00132485" w:rsidP="00132485">
      <w:pPr>
        <w:keepNext/>
        <w:keepLines/>
        <w:spacing w:before="240" w:line="259" w:lineRule="auto"/>
        <w:outlineLvl w:val="0"/>
        <w:rPr>
          <w:rFonts w:ascii="Calibri Light" w:eastAsia="等线 Light" w:hAnsi="Calibri Light"/>
          <w:color w:val="2E74B5"/>
          <w:sz w:val="32"/>
          <w:szCs w:val="32"/>
          <w:lang w:val="es-UY" w:eastAsia="en-US"/>
        </w:rPr>
      </w:pPr>
      <w:bookmarkStart w:id="3" w:name="_Toc138930081"/>
      <w:r w:rsidRPr="00132485">
        <w:rPr>
          <w:rFonts w:ascii="Calibri Light" w:eastAsia="等线 Light" w:hAnsi="Calibri Light"/>
          <w:color w:val="2E74B5"/>
          <w:sz w:val="32"/>
          <w:szCs w:val="32"/>
          <w:lang w:val="es-UY" w:eastAsia="en-US"/>
        </w:rPr>
        <w:t>Situación de la población afrodescendiente (arts. 2 y 5)</w:t>
      </w:r>
      <w:bookmarkEnd w:id="3"/>
    </w:p>
    <w:p w14:paraId="66A0CC56" w14:textId="77777777" w:rsidR="00132485" w:rsidRPr="00132485" w:rsidRDefault="00132485" w:rsidP="00132485">
      <w:pPr>
        <w:spacing w:after="150" w:line="288" w:lineRule="auto"/>
        <w:jc w:val="both"/>
        <w:rPr>
          <w:rFonts w:ascii="Calibri" w:eastAsia="Calibri" w:hAnsi="Calibri" w:cs="Calibri"/>
          <w:sz w:val="22"/>
          <w:szCs w:val="22"/>
          <w:lang w:val="es-UY" w:eastAsia="en-US"/>
        </w:rPr>
      </w:pPr>
    </w:p>
    <w:p w14:paraId="41CBE478" w14:textId="77777777" w:rsidR="00132485" w:rsidRPr="00132485" w:rsidRDefault="00132485" w:rsidP="00132485">
      <w:pPr>
        <w:spacing w:after="150" w:line="288" w:lineRule="auto"/>
        <w:jc w:val="both"/>
        <w:rPr>
          <w:rFonts w:ascii="Calibri" w:eastAsia="Calibri" w:hAnsi="Calibri" w:cs="Calibri"/>
          <w:sz w:val="22"/>
          <w:szCs w:val="22"/>
          <w:lang w:val="es-MX" w:eastAsia="en-US"/>
        </w:rPr>
      </w:pPr>
      <w:r w:rsidRPr="00132485">
        <w:rPr>
          <w:rFonts w:ascii="Calibri" w:eastAsia="Calibri" w:hAnsi="Calibri" w:cs="Calibri"/>
          <w:sz w:val="22"/>
          <w:szCs w:val="22"/>
          <w:lang w:val="es-UY" w:eastAsia="en-US"/>
        </w:rPr>
        <w:t>34. La INDDHH ha insistido en que la inclusión de la dimensión étnico racial en la producción de información es un paso indispensable para el conocimiento de la situación de la población afrodescendiente. El Estado uruguayo a través del Instituto Nacional de Estadística (INE) ha incorporado el registro de esta dimensión tanto en las Encuestas de Hogares (ECH) como en los censos. Esta visibilidad estadística tan necesaria para la realización de derechos de la población afro y el diseño de políticas específicas se da en las ECH en forma sistemática desde 2006 (con un antecedente en 1996 y 1997) y en los censos desde 2011. Para la INDDHH es de vital importancia que este esfuerzo de producción de información se refleje en el diseño de instrumentos adecuados. Asimismo, la INDDHH ve con preocupación que a pesar de la existencia de información disponible esta no se refleja en los reportes que el Estado uruguayo realiza a este Comité. El instrumento Mirador DESCA que ofrece información procesada de las fuentes oficiales del Estado uruguayo es evidencia de la disponibilidad de información en el país.</w:t>
      </w:r>
    </w:p>
    <w:p w14:paraId="4608B8A5" w14:textId="77777777" w:rsidR="00132485" w:rsidRPr="00132485" w:rsidRDefault="00132485" w:rsidP="00132485">
      <w:pPr>
        <w:spacing w:after="15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35. En Uruguay, donde la población afrodescendiente representa más del 10% de la población general y más del 15% de la población joven, las consecuencias del COVID–19 han tenido un impacto particularmente negativo en las condiciones de vida de la población afrodescendiente</w:t>
      </w:r>
      <w:r w:rsidRPr="00132485">
        <w:rPr>
          <w:rFonts w:ascii="Calibri" w:eastAsia="Calibri" w:hAnsi="Calibri" w:cs="Calibri"/>
          <w:sz w:val="22"/>
          <w:szCs w:val="22"/>
          <w:vertAlign w:val="superscript"/>
          <w:lang w:val="fr-CH" w:eastAsia="en-US"/>
        </w:rPr>
        <w:footnoteReference w:id="5"/>
      </w:r>
      <w:r w:rsidRPr="00132485">
        <w:rPr>
          <w:rFonts w:ascii="Calibri" w:eastAsia="Calibri" w:hAnsi="Calibri" w:cs="Calibri"/>
          <w:sz w:val="22"/>
          <w:szCs w:val="22"/>
          <w:lang w:val="es-UY" w:eastAsia="en-US"/>
        </w:rPr>
        <w:t>. Esto se debe en parte a que ya se encontraba en una peor situación relativa y a que la naturaleza de la problemática que se generó y el efecto de las medidas, castigaron más a los sectores de actividad, los tipos de ocupación y los servicios básicos en los que la población afrodescendiente estaba sobre-representada. Adicionalmente, la respuesta del Estado no reconoció las asimetrías existentes y no protegió más a esta población.</w:t>
      </w:r>
    </w:p>
    <w:p w14:paraId="57A05EBE" w14:textId="77777777" w:rsidR="00132485" w:rsidRPr="00132485" w:rsidRDefault="00132485" w:rsidP="00132485">
      <w:pPr>
        <w:spacing w:after="15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36. Esto es así porque el Estado tomó importantes medidas que protegían a su población con empleos formales y la población afrodescendiente está sobre representada en los sectores informales, tal como puede apreciarse en la gráfica 1 que se presenta a continuación.</w:t>
      </w:r>
    </w:p>
    <w:p w14:paraId="16240B55" w14:textId="77777777" w:rsidR="00132485" w:rsidRDefault="00132485" w:rsidP="00132485">
      <w:pPr>
        <w:spacing w:after="150" w:line="288" w:lineRule="auto"/>
        <w:rPr>
          <w:rFonts w:ascii="Calibri" w:eastAsia="Calibri" w:hAnsi="Calibri" w:cs="Calibri"/>
          <w:b/>
          <w:sz w:val="22"/>
          <w:szCs w:val="22"/>
          <w:lang w:val="es-UY" w:eastAsia="en-US"/>
        </w:rPr>
      </w:pPr>
    </w:p>
    <w:p w14:paraId="3E5F7FD5" w14:textId="1DA9CCD7" w:rsidR="00132485" w:rsidRPr="00132485" w:rsidRDefault="00132485" w:rsidP="00132485">
      <w:pPr>
        <w:spacing w:after="150" w:line="288" w:lineRule="auto"/>
        <w:rPr>
          <w:rFonts w:ascii="Calibri" w:eastAsia="Calibri" w:hAnsi="Calibri" w:cs="Calibri"/>
          <w:b/>
          <w:sz w:val="22"/>
          <w:szCs w:val="22"/>
          <w:lang w:val="es-UY" w:eastAsia="en-US"/>
        </w:rPr>
      </w:pPr>
      <w:r w:rsidRPr="00132485">
        <w:rPr>
          <w:rFonts w:ascii="Calibri" w:eastAsia="Calibri" w:hAnsi="Calibri" w:cs="Calibri"/>
          <w:b/>
          <w:sz w:val="22"/>
          <w:szCs w:val="22"/>
          <w:lang w:val="es-UY" w:eastAsia="en-US"/>
        </w:rPr>
        <w:lastRenderedPageBreak/>
        <w:t>GRÁFICA 1</w:t>
      </w:r>
    </w:p>
    <w:p w14:paraId="70B7DBED" w14:textId="77777777" w:rsidR="00132485" w:rsidRPr="00132485" w:rsidRDefault="00132485" w:rsidP="00132485">
      <w:pPr>
        <w:spacing w:after="160" w:line="259" w:lineRule="auto"/>
        <w:rPr>
          <w:rFonts w:ascii="Calibri" w:eastAsia="Calibri" w:hAnsi="Calibri" w:cs="Calibri"/>
          <w:sz w:val="22"/>
          <w:szCs w:val="22"/>
          <w:lang w:eastAsia="en-US"/>
        </w:rPr>
      </w:pPr>
      <w:r w:rsidRPr="00132485">
        <w:rPr>
          <w:rFonts w:ascii="Calibri" w:eastAsia="Calibri" w:hAnsi="Calibri" w:cs="Calibri"/>
          <w:noProof/>
          <w:sz w:val="22"/>
          <w:szCs w:val="22"/>
          <w:lang w:val="es-UY" w:eastAsia="es-UY"/>
        </w:rPr>
        <w:drawing>
          <wp:inline distT="0" distB="0" distL="0" distR="0" wp14:anchorId="4D2DACB4" wp14:editId="6C476315">
            <wp:extent cx="5400040" cy="3375025"/>
            <wp:effectExtent l="0" t="0" r="0" b="0"/>
            <wp:docPr id="1" name="Imagen 1" descr="C:\Users\mgutierrez\Downloads\indicador pob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C:\Users\mgutierrez\Downloads\indicador pob (5).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400040" cy="3375025"/>
                    </a:xfrm>
                    <a:prstGeom prst="rect">
                      <a:avLst/>
                    </a:prstGeom>
                    <a:noFill/>
                    <a:ln>
                      <a:noFill/>
                    </a:ln>
                  </pic:spPr>
                </pic:pic>
              </a:graphicData>
            </a:graphic>
          </wp:inline>
        </w:drawing>
      </w:r>
    </w:p>
    <w:p w14:paraId="587D1339" w14:textId="77777777" w:rsidR="00132485" w:rsidRPr="00132485" w:rsidRDefault="00132485" w:rsidP="00132485">
      <w:pPr>
        <w:spacing w:after="16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 xml:space="preserve">37. La gráfica muestra cómo la brecha entre población afrodescendiente y no afrodescendiente en la realización del derecho a la seguridad social se mantiene con el paso de los años.  A pesar de que se aprecia una tendencia al descenso de la informalidad en toda la población y la brecha entre afro y no afro se cierra con el paso de los años, comenzando con 15 puntos porcentuales de diferencia en 2006 y ubicándose en 9 puntos porcentuales en 2021, la informalidad en la población afrodescendiente es mayor y ello implicó que las medidas tomadas para proteger al sector formal de la economía -como los seguros automáticos de desempleo- la beneficiaran menos. Ver cuadro en Anexo 1. </w:t>
      </w:r>
    </w:p>
    <w:p w14:paraId="515762EC" w14:textId="77777777" w:rsidR="00132485" w:rsidRPr="00132485" w:rsidRDefault="00132485" w:rsidP="00132485">
      <w:pPr>
        <w:spacing w:after="16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38. Por otra parte, además de los indicadores de empleo y seguridad social, también en la realización del derecho a la educación y a la vivienda se observan distancias entre la población afrodescendiente y no afrodescendiente. A continuación, se presenta la evolución del indicador de asistencia a centro educativo para personas entre 4 y 17 años en la gráfica 2. Este indicador refiere a la exclusión educativa extrema y muestra cómo la población afrodescendiente mantiene a lo largo del tiempo una situación de desventaja en la realización de su derecho a la educación</w:t>
      </w:r>
      <w:r w:rsidRPr="00132485">
        <w:rPr>
          <w:rFonts w:ascii="Calibri" w:eastAsia="Calibri" w:hAnsi="Calibri" w:cs="Calibri"/>
          <w:sz w:val="22"/>
          <w:szCs w:val="22"/>
          <w:vertAlign w:val="superscript"/>
          <w:lang w:val="fr-CH" w:eastAsia="en-US"/>
        </w:rPr>
        <w:footnoteReference w:id="6"/>
      </w:r>
      <w:r w:rsidRPr="00132485">
        <w:rPr>
          <w:rFonts w:ascii="Calibri" w:eastAsia="Calibri" w:hAnsi="Calibri" w:cs="Calibri"/>
          <w:sz w:val="22"/>
          <w:szCs w:val="22"/>
          <w:lang w:val="es-UY" w:eastAsia="en-US"/>
        </w:rPr>
        <w:t>.</w:t>
      </w:r>
    </w:p>
    <w:p w14:paraId="27503F28" w14:textId="77777777" w:rsidR="00132485" w:rsidRDefault="00132485" w:rsidP="00132485">
      <w:pPr>
        <w:spacing w:after="160" w:line="288" w:lineRule="auto"/>
        <w:rPr>
          <w:rFonts w:ascii="Calibri" w:eastAsia="Calibri" w:hAnsi="Calibri" w:cs="Calibri"/>
          <w:b/>
          <w:sz w:val="22"/>
          <w:szCs w:val="22"/>
          <w:lang w:eastAsia="en-US"/>
        </w:rPr>
      </w:pPr>
    </w:p>
    <w:p w14:paraId="0384DB1C" w14:textId="77777777" w:rsidR="00132485" w:rsidRDefault="00132485" w:rsidP="00132485">
      <w:pPr>
        <w:spacing w:after="160" w:line="288" w:lineRule="auto"/>
        <w:rPr>
          <w:rFonts w:ascii="Calibri" w:eastAsia="Calibri" w:hAnsi="Calibri" w:cs="Calibri"/>
          <w:b/>
          <w:sz w:val="22"/>
          <w:szCs w:val="22"/>
          <w:lang w:eastAsia="en-US"/>
        </w:rPr>
      </w:pPr>
    </w:p>
    <w:p w14:paraId="207AE32F" w14:textId="08C65DFB" w:rsidR="00132485" w:rsidRPr="00132485" w:rsidRDefault="00132485" w:rsidP="00132485">
      <w:pPr>
        <w:spacing w:after="160" w:line="288" w:lineRule="auto"/>
        <w:rPr>
          <w:rFonts w:ascii="Calibri" w:eastAsia="Calibri" w:hAnsi="Calibri" w:cs="Calibri"/>
          <w:b/>
          <w:sz w:val="22"/>
          <w:szCs w:val="22"/>
          <w:lang w:eastAsia="en-US"/>
        </w:rPr>
      </w:pPr>
      <w:r w:rsidRPr="00132485">
        <w:rPr>
          <w:rFonts w:ascii="Calibri" w:eastAsia="Calibri" w:hAnsi="Calibri" w:cs="Calibri"/>
          <w:b/>
          <w:sz w:val="22"/>
          <w:szCs w:val="22"/>
          <w:lang w:eastAsia="en-US"/>
        </w:rPr>
        <w:lastRenderedPageBreak/>
        <w:t>GRÁFICA 2</w:t>
      </w:r>
    </w:p>
    <w:p w14:paraId="256A47AF" w14:textId="77777777" w:rsidR="00132485" w:rsidRPr="00132485" w:rsidRDefault="00132485" w:rsidP="00132485">
      <w:pPr>
        <w:spacing w:after="160" w:line="259" w:lineRule="auto"/>
        <w:rPr>
          <w:rFonts w:ascii="Calibri" w:eastAsia="Calibri" w:hAnsi="Calibri" w:cs="Calibri"/>
          <w:sz w:val="22"/>
          <w:szCs w:val="22"/>
          <w:lang w:eastAsia="en-US"/>
        </w:rPr>
      </w:pPr>
      <w:r w:rsidRPr="00132485">
        <w:rPr>
          <w:rFonts w:ascii="Calibri" w:eastAsia="Calibri" w:hAnsi="Calibri" w:cs="Calibri"/>
          <w:noProof/>
          <w:sz w:val="22"/>
          <w:szCs w:val="22"/>
          <w:lang w:val="es-UY" w:eastAsia="es-UY"/>
        </w:rPr>
        <w:drawing>
          <wp:inline distT="0" distB="0" distL="0" distR="0" wp14:anchorId="09B119D6" wp14:editId="6A38EE4C">
            <wp:extent cx="6145530" cy="2729865"/>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195552" cy="2752500"/>
                    </a:xfrm>
                    <a:prstGeom prst="rect">
                      <a:avLst/>
                    </a:prstGeom>
                    <a:noFill/>
                  </pic:spPr>
                </pic:pic>
              </a:graphicData>
            </a:graphic>
          </wp:inline>
        </w:drawing>
      </w:r>
    </w:p>
    <w:p w14:paraId="794CD498" w14:textId="001162E5" w:rsidR="00132485" w:rsidRDefault="00132485" w:rsidP="00132485">
      <w:pPr>
        <w:spacing w:after="160" w:line="288" w:lineRule="auto"/>
        <w:jc w:val="both"/>
        <w:rPr>
          <w:rFonts w:ascii="Calibri" w:eastAsia="Calibri" w:hAnsi="Calibri" w:cs="Calibri"/>
          <w:sz w:val="22"/>
          <w:szCs w:val="22"/>
          <w:lang w:eastAsia="en-US"/>
        </w:rPr>
      </w:pPr>
      <w:r w:rsidRPr="00132485">
        <w:rPr>
          <w:rFonts w:ascii="Calibri" w:eastAsia="Calibri" w:hAnsi="Calibri" w:cs="Calibri"/>
          <w:sz w:val="22"/>
          <w:szCs w:val="22"/>
          <w:lang w:eastAsia="en-US"/>
        </w:rPr>
        <w:t>39. Por su parte, los datos sobre acceso a la vivienda revelan también una brecha importante para la población afrodescendiente</w:t>
      </w:r>
      <w:r w:rsidRPr="00132485">
        <w:rPr>
          <w:rFonts w:ascii="Calibri" w:eastAsia="Calibri" w:hAnsi="Calibri" w:cs="Calibri"/>
          <w:sz w:val="22"/>
          <w:szCs w:val="22"/>
          <w:vertAlign w:val="superscript"/>
          <w:lang w:val="fr-CH" w:eastAsia="en-US"/>
        </w:rPr>
        <w:footnoteReference w:id="7"/>
      </w:r>
      <w:r w:rsidRPr="00132485">
        <w:rPr>
          <w:rFonts w:ascii="Calibri" w:eastAsia="Calibri" w:hAnsi="Calibri" w:cs="Calibri"/>
          <w:sz w:val="22"/>
          <w:szCs w:val="22"/>
          <w:lang w:eastAsia="en-US"/>
        </w:rPr>
        <w:t>. En la gráfica 3 puede apreciarse la distancia entre la población afrodescendiente y no afrodescendiente que habita en asentamientos irregulares. Si bien la brecha se ha acortado en los últimos años, sigue siendo más del doble la población afrodescendiente que vive en situación irregular.</w:t>
      </w:r>
    </w:p>
    <w:p w14:paraId="1384CB20" w14:textId="72829E6C" w:rsidR="00132485" w:rsidRPr="00132485" w:rsidRDefault="00132485" w:rsidP="00132485">
      <w:pPr>
        <w:spacing w:after="160" w:line="259" w:lineRule="auto"/>
        <w:rPr>
          <w:rFonts w:ascii="Calibri" w:eastAsia="Calibri" w:hAnsi="Calibri" w:cs="Calibri"/>
          <w:b/>
          <w:sz w:val="22"/>
          <w:szCs w:val="22"/>
          <w:lang w:eastAsia="en-US"/>
        </w:rPr>
      </w:pPr>
      <w:r w:rsidRPr="00132485">
        <w:rPr>
          <w:rFonts w:ascii="Calibri" w:eastAsia="Calibri" w:hAnsi="Calibri" w:cs="Calibri"/>
          <w:b/>
          <w:sz w:val="22"/>
          <w:szCs w:val="22"/>
          <w:lang w:eastAsia="en-US"/>
        </w:rPr>
        <w:t>GRÁFICA 3</w:t>
      </w:r>
      <w:r w:rsidR="004254A7" w:rsidRPr="00132485">
        <w:rPr>
          <w:rFonts w:ascii="Calibri" w:eastAsia="Calibri" w:hAnsi="Calibri" w:cs="Calibri"/>
          <w:noProof/>
          <w:sz w:val="22"/>
          <w:szCs w:val="22"/>
          <w:lang w:val="es-UY" w:eastAsia="es-UY"/>
        </w:rPr>
        <w:drawing>
          <wp:inline distT="0" distB="0" distL="0" distR="0" wp14:anchorId="18048E3F" wp14:editId="623E7F4C">
            <wp:extent cx="4848225" cy="3030141"/>
            <wp:effectExtent l="0" t="0" r="0" b="0"/>
            <wp:docPr id="3" name="Imagen 3" descr="C:\Users\mgutierrez\Downloads\indicador pob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C:\Users\mgutierrez\Downloads\indicador pob (4).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872942" cy="3045589"/>
                    </a:xfrm>
                    <a:prstGeom prst="rect">
                      <a:avLst/>
                    </a:prstGeom>
                    <a:noFill/>
                    <a:ln>
                      <a:noFill/>
                    </a:ln>
                  </pic:spPr>
                </pic:pic>
              </a:graphicData>
            </a:graphic>
          </wp:inline>
        </w:drawing>
      </w:r>
    </w:p>
    <w:p w14:paraId="6871407F" w14:textId="5771AE8E" w:rsidR="00132485" w:rsidRPr="00132485" w:rsidRDefault="00132485" w:rsidP="00132485">
      <w:pPr>
        <w:spacing w:after="160" w:line="259" w:lineRule="auto"/>
        <w:rPr>
          <w:rFonts w:ascii="Calibri" w:eastAsia="Calibri" w:hAnsi="Calibri" w:cs="Calibri"/>
          <w:sz w:val="22"/>
          <w:szCs w:val="22"/>
          <w:lang w:eastAsia="en-US"/>
        </w:rPr>
      </w:pPr>
    </w:p>
    <w:p w14:paraId="5BC438FA" w14:textId="77777777" w:rsidR="00132485" w:rsidRPr="00132485" w:rsidRDefault="00132485" w:rsidP="00132485">
      <w:pPr>
        <w:spacing w:after="16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 xml:space="preserve">40. </w:t>
      </w:r>
      <w:r w:rsidRPr="00132485">
        <w:rPr>
          <w:rFonts w:ascii="Calibri" w:eastAsia="Calibri" w:hAnsi="Calibri" w:cs="Calibri"/>
          <w:sz w:val="22"/>
          <w:szCs w:val="22"/>
          <w:lang w:val="es-MX" w:eastAsia="en-US"/>
        </w:rPr>
        <w:t xml:space="preserve">Como la INDDHH ya ha señalado en su anterior informe al CERD considera que la </w:t>
      </w:r>
      <w:r w:rsidRPr="00132485">
        <w:rPr>
          <w:rFonts w:ascii="Calibri" w:eastAsia="SimSun" w:hAnsi="Calibri" w:cs="Calibri"/>
          <w:bCs/>
          <w:color w:val="000000"/>
          <w:sz w:val="22"/>
          <w:szCs w:val="22"/>
          <w:lang w:eastAsia="zh-CN" w:bidi="ar"/>
        </w:rPr>
        <w:t xml:space="preserve">Ley 19.122 sobre Afrodescendientes: </w:t>
      </w:r>
      <w:r w:rsidRPr="00132485">
        <w:rPr>
          <w:rFonts w:ascii="Calibri" w:eastAsia="SimSun" w:hAnsi="Calibri" w:cs="Calibri"/>
          <w:bCs/>
          <w:color w:val="000000"/>
          <w:sz w:val="22"/>
          <w:szCs w:val="22"/>
          <w:lang w:val="es-MX" w:eastAsia="zh-CN" w:bidi="ar"/>
        </w:rPr>
        <w:t>“</w:t>
      </w:r>
      <w:r w:rsidRPr="00132485">
        <w:rPr>
          <w:rFonts w:ascii="Calibri" w:eastAsia="SimSun" w:hAnsi="Calibri" w:cs="Calibri"/>
          <w:bCs/>
          <w:color w:val="000000"/>
          <w:sz w:val="22"/>
          <w:szCs w:val="22"/>
          <w:lang w:eastAsia="zh-CN" w:bidi="ar"/>
        </w:rPr>
        <w:t xml:space="preserve">normas para favorecer su </w:t>
      </w:r>
      <w:r w:rsidRPr="00132485">
        <w:rPr>
          <w:rFonts w:ascii="Calibri" w:eastAsia="SimSun" w:hAnsi="Calibri" w:cs="Calibri"/>
          <w:bCs/>
          <w:color w:val="000000"/>
          <w:sz w:val="22"/>
          <w:szCs w:val="22"/>
          <w:lang w:val="es-MX" w:eastAsia="zh-CN" w:bidi="ar"/>
        </w:rPr>
        <w:t>participación</w:t>
      </w:r>
      <w:r w:rsidRPr="00132485">
        <w:rPr>
          <w:rFonts w:ascii="Calibri" w:eastAsia="SimSun" w:hAnsi="Calibri" w:cs="Calibri"/>
          <w:bCs/>
          <w:color w:val="000000"/>
          <w:sz w:val="22"/>
          <w:szCs w:val="22"/>
          <w:lang w:eastAsia="zh-CN" w:bidi="ar"/>
        </w:rPr>
        <w:t xml:space="preserve"> en las áreas educativa y laboral</w:t>
      </w:r>
      <w:r w:rsidRPr="00132485">
        <w:rPr>
          <w:rFonts w:ascii="Calibri" w:eastAsia="SimSun" w:hAnsi="Calibri" w:cs="Calibri"/>
          <w:bCs/>
          <w:color w:val="000000"/>
          <w:sz w:val="22"/>
          <w:szCs w:val="22"/>
          <w:lang w:val="es-MX" w:eastAsia="zh-CN" w:bidi="ar"/>
        </w:rPr>
        <w:t>” ha representado</w:t>
      </w:r>
      <w:r w:rsidRPr="00132485">
        <w:rPr>
          <w:rFonts w:ascii="Calibri" w:eastAsia="SimSun" w:hAnsi="Calibri" w:cs="Calibri"/>
          <w:b/>
          <w:bCs/>
          <w:color w:val="000000"/>
          <w:sz w:val="22"/>
          <w:szCs w:val="22"/>
          <w:lang w:val="es-MX" w:eastAsia="zh-CN" w:bidi="ar"/>
        </w:rPr>
        <w:t xml:space="preserve"> </w:t>
      </w:r>
      <w:r w:rsidRPr="00132485">
        <w:rPr>
          <w:rFonts w:ascii="Calibri" w:eastAsia="SimSun" w:hAnsi="Calibri" w:cs="Calibri"/>
          <w:color w:val="000000"/>
          <w:sz w:val="22"/>
          <w:szCs w:val="22"/>
          <w:lang w:eastAsia="zh-CN" w:bidi="ar"/>
        </w:rPr>
        <w:t>un avance</w:t>
      </w:r>
      <w:r w:rsidRPr="00132485">
        <w:rPr>
          <w:rFonts w:ascii="Calibri" w:eastAsia="SimSun" w:hAnsi="Calibri" w:cs="Calibri"/>
          <w:color w:val="000000"/>
          <w:sz w:val="22"/>
          <w:szCs w:val="22"/>
          <w:lang w:val="es-MX" w:eastAsia="zh-CN" w:bidi="ar"/>
        </w:rPr>
        <w:t xml:space="preserve"> </w:t>
      </w:r>
      <w:r w:rsidRPr="00132485">
        <w:rPr>
          <w:rFonts w:ascii="Calibri" w:eastAsia="SimSun" w:hAnsi="Calibri" w:cs="Calibri"/>
          <w:color w:val="000000"/>
          <w:sz w:val="22"/>
          <w:szCs w:val="22"/>
          <w:lang w:eastAsia="zh-CN" w:bidi="ar"/>
        </w:rPr>
        <w:t xml:space="preserve"> en términos de construcción de equidad racial en Uruguay</w:t>
      </w:r>
      <w:r w:rsidRPr="00132485">
        <w:rPr>
          <w:rFonts w:ascii="Calibri" w:eastAsia="SimSun" w:hAnsi="Calibri" w:cs="Calibri"/>
          <w:color w:val="000000"/>
          <w:sz w:val="22"/>
          <w:szCs w:val="22"/>
          <w:lang w:val="es-MX" w:eastAsia="zh-CN" w:bidi="ar"/>
        </w:rPr>
        <w:t>.</w:t>
      </w:r>
    </w:p>
    <w:p w14:paraId="11CABDCB" w14:textId="77777777" w:rsidR="00132485" w:rsidRPr="00132485" w:rsidRDefault="00132485" w:rsidP="00132485">
      <w:pPr>
        <w:spacing w:after="160" w:line="259" w:lineRule="auto"/>
        <w:rPr>
          <w:rFonts w:ascii="Calibri" w:eastAsia="Calibri" w:hAnsi="Calibri" w:cs="Calibri"/>
          <w:b/>
          <w:sz w:val="22"/>
          <w:szCs w:val="22"/>
          <w:lang w:eastAsia="en-US"/>
        </w:rPr>
      </w:pPr>
      <w:r w:rsidRPr="00132485">
        <w:rPr>
          <w:rFonts w:ascii="Calibri" w:eastAsia="Calibri" w:hAnsi="Calibri" w:cs="Calibri"/>
          <w:b/>
          <w:color w:val="000000"/>
          <w:sz w:val="22"/>
          <w:szCs w:val="22"/>
          <w:shd w:val="clear" w:color="auto" w:fill="FFFFFF"/>
          <w:lang w:eastAsia="en-US"/>
        </w:rPr>
        <w:t>PORCENTAJE DE INGRESOS DE AFRODESCENDIENTES A CARGOS PÚBLICOS (LEY 19122). 2014-2021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7"/>
        <w:gridCol w:w="6480"/>
      </w:tblGrid>
      <w:tr w:rsidR="00132485" w:rsidRPr="00132485" w14:paraId="1441E816" w14:textId="77777777" w:rsidTr="00984A17">
        <w:trPr>
          <w:trHeight w:val="300"/>
        </w:trPr>
        <w:tc>
          <w:tcPr>
            <w:tcW w:w="0" w:type="auto"/>
            <w:shd w:val="clear" w:color="auto" w:fill="auto"/>
            <w:noWrap/>
            <w:vAlign w:val="bottom"/>
          </w:tcPr>
          <w:p w14:paraId="29DFC899" w14:textId="77777777" w:rsidR="00132485" w:rsidRPr="00132485" w:rsidRDefault="00132485" w:rsidP="00132485">
            <w:pPr>
              <w:rPr>
                <w:rFonts w:ascii="Calibri" w:hAnsi="Calibri" w:cs="Calibri"/>
                <w:color w:val="000000"/>
                <w:sz w:val="22"/>
                <w:szCs w:val="22"/>
              </w:rPr>
            </w:pPr>
            <w:r w:rsidRPr="00132485">
              <w:rPr>
                <w:rFonts w:ascii="Calibri" w:hAnsi="Calibri" w:cs="Calibri"/>
                <w:color w:val="000000"/>
                <w:sz w:val="22"/>
                <w:szCs w:val="22"/>
              </w:rPr>
              <w:t>AÑO</w:t>
            </w:r>
          </w:p>
        </w:tc>
        <w:tc>
          <w:tcPr>
            <w:tcW w:w="0" w:type="auto"/>
            <w:shd w:val="clear" w:color="auto" w:fill="auto"/>
            <w:noWrap/>
            <w:vAlign w:val="bottom"/>
          </w:tcPr>
          <w:p w14:paraId="091F63BC" w14:textId="77777777" w:rsidR="00132485" w:rsidRPr="00132485" w:rsidRDefault="00132485" w:rsidP="00132485">
            <w:pPr>
              <w:jc w:val="right"/>
              <w:rPr>
                <w:rFonts w:ascii="Calibri" w:hAnsi="Calibri" w:cs="Calibri"/>
                <w:color w:val="000000"/>
                <w:sz w:val="22"/>
                <w:szCs w:val="22"/>
              </w:rPr>
            </w:pPr>
            <w:r w:rsidRPr="00132485">
              <w:rPr>
                <w:rFonts w:ascii="Calibri" w:hAnsi="Calibri" w:cs="Calibri"/>
                <w:color w:val="000000"/>
                <w:sz w:val="22"/>
                <w:szCs w:val="22"/>
              </w:rPr>
              <w:t>INGRESO AFRODESCENDIENTES A CARGOS PÚBLICOS EN PORCENTAJES</w:t>
            </w:r>
          </w:p>
        </w:tc>
      </w:tr>
      <w:tr w:rsidR="00132485" w:rsidRPr="00132485" w14:paraId="724F7C4E" w14:textId="77777777" w:rsidTr="00984A17">
        <w:trPr>
          <w:trHeight w:val="300"/>
        </w:trPr>
        <w:tc>
          <w:tcPr>
            <w:tcW w:w="0" w:type="auto"/>
            <w:shd w:val="clear" w:color="auto" w:fill="auto"/>
            <w:noWrap/>
            <w:vAlign w:val="bottom"/>
          </w:tcPr>
          <w:p w14:paraId="3F713DBA" w14:textId="77777777" w:rsidR="00132485" w:rsidRPr="00132485" w:rsidRDefault="00132485" w:rsidP="00132485">
            <w:pPr>
              <w:rPr>
                <w:rFonts w:ascii="Calibri" w:hAnsi="Calibri" w:cs="Calibri"/>
                <w:color w:val="000000"/>
                <w:sz w:val="22"/>
                <w:szCs w:val="22"/>
              </w:rPr>
            </w:pPr>
            <w:r w:rsidRPr="00132485">
              <w:rPr>
                <w:rFonts w:ascii="Calibri" w:hAnsi="Calibri" w:cs="Calibri"/>
                <w:color w:val="000000"/>
                <w:sz w:val="22"/>
                <w:szCs w:val="22"/>
              </w:rPr>
              <w:t>2021</w:t>
            </w:r>
          </w:p>
        </w:tc>
        <w:tc>
          <w:tcPr>
            <w:tcW w:w="0" w:type="auto"/>
            <w:shd w:val="clear" w:color="auto" w:fill="auto"/>
            <w:noWrap/>
            <w:vAlign w:val="bottom"/>
          </w:tcPr>
          <w:p w14:paraId="7659E913" w14:textId="77777777" w:rsidR="00132485" w:rsidRPr="00132485" w:rsidRDefault="00132485" w:rsidP="00132485">
            <w:pPr>
              <w:jc w:val="right"/>
              <w:rPr>
                <w:rFonts w:ascii="Calibri" w:hAnsi="Calibri" w:cs="Calibri"/>
                <w:color w:val="000000"/>
                <w:sz w:val="22"/>
                <w:szCs w:val="22"/>
              </w:rPr>
            </w:pPr>
            <w:r w:rsidRPr="00132485">
              <w:rPr>
                <w:rFonts w:ascii="Calibri" w:hAnsi="Calibri" w:cs="Calibri"/>
                <w:color w:val="000000"/>
                <w:sz w:val="22"/>
                <w:szCs w:val="22"/>
              </w:rPr>
              <w:t>0,8</w:t>
            </w:r>
          </w:p>
        </w:tc>
      </w:tr>
      <w:tr w:rsidR="00132485" w:rsidRPr="00132485" w14:paraId="7FA28F18" w14:textId="77777777" w:rsidTr="00984A17">
        <w:trPr>
          <w:trHeight w:val="300"/>
        </w:trPr>
        <w:tc>
          <w:tcPr>
            <w:tcW w:w="0" w:type="auto"/>
            <w:shd w:val="clear" w:color="auto" w:fill="auto"/>
            <w:noWrap/>
            <w:vAlign w:val="bottom"/>
          </w:tcPr>
          <w:p w14:paraId="6E60A6A8" w14:textId="77777777" w:rsidR="00132485" w:rsidRPr="00132485" w:rsidRDefault="00132485" w:rsidP="00132485">
            <w:pPr>
              <w:rPr>
                <w:rFonts w:ascii="Calibri" w:hAnsi="Calibri" w:cs="Calibri"/>
                <w:color w:val="000000"/>
                <w:sz w:val="22"/>
                <w:szCs w:val="22"/>
              </w:rPr>
            </w:pPr>
            <w:r w:rsidRPr="00132485">
              <w:rPr>
                <w:rFonts w:ascii="Calibri" w:hAnsi="Calibri" w:cs="Calibri"/>
                <w:color w:val="000000"/>
                <w:sz w:val="22"/>
                <w:szCs w:val="22"/>
              </w:rPr>
              <w:t>2020</w:t>
            </w:r>
          </w:p>
        </w:tc>
        <w:tc>
          <w:tcPr>
            <w:tcW w:w="0" w:type="auto"/>
            <w:shd w:val="clear" w:color="auto" w:fill="auto"/>
            <w:noWrap/>
            <w:vAlign w:val="bottom"/>
          </w:tcPr>
          <w:p w14:paraId="0CE671A5" w14:textId="77777777" w:rsidR="00132485" w:rsidRPr="00132485" w:rsidRDefault="00132485" w:rsidP="00132485">
            <w:pPr>
              <w:jc w:val="right"/>
              <w:rPr>
                <w:rFonts w:ascii="Calibri" w:hAnsi="Calibri" w:cs="Calibri"/>
                <w:color w:val="000000"/>
                <w:sz w:val="22"/>
                <w:szCs w:val="22"/>
              </w:rPr>
            </w:pPr>
            <w:r w:rsidRPr="00132485">
              <w:rPr>
                <w:rFonts w:ascii="Calibri" w:hAnsi="Calibri" w:cs="Calibri"/>
                <w:color w:val="000000"/>
                <w:sz w:val="22"/>
                <w:szCs w:val="22"/>
              </w:rPr>
              <w:t>0,69</w:t>
            </w:r>
          </w:p>
        </w:tc>
      </w:tr>
      <w:tr w:rsidR="00132485" w:rsidRPr="00132485" w14:paraId="3C7A6F65" w14:textId="77777777" w:rsidTr="00984A17">
        <w:trPr>
          <w:trHeight w:val="300"/>
        </w:trPr>
        <w:tc>
          <w:tcPr>
            <w:tcW w:w="0" w:type="auto"/>
            <w:shd w:val="clear" w:color="auto" w:fill="auto"/>
            <w:noWrap/>
            <w:vAlign w:val="bottom"/>
          </w:tcPr>
          <w:p w14:paraId="1A5888DA" w14:textId="77777777" w:rsidR="00132485" w:rsidRPr="00132485" w:rsidRDefault="00132485" w:rsidP="00132485">
            <w:pPr>
              <w:rPr>
                <w:rFonts w:ascii="Calibri" w:hAnsi="Calibri" w:cs="Calibri"/>
                <w:color w:val="000000"/>
                <w:sz w:val="22"/>
                <w:szCs w:val="22"/>
              </w:rPr>
            </w:pPr>
            <w:r w:rsidRPr="00132485">
              <w:rPr>
                <w:rFonts w:ascii="Calibri" w:hAnsi="Calibri" w:cs="Calibri"/>
                <w:color w:val="000000"/>
                <w:sz w:val="22"/>
                <w:szCs w:val="22"/>
              </w:rPr>
              <w:t>2019</w:t>
            </w:r>
          </w:p>
        </w:tc>
        <w:tc>
          <w:tcPr>
            <w:tcW w:w="0" w:type="auto"/>
            <w:shd w:val="clear" w:color="auto" w:fill="auto"/>
            <w:noWrap/>
            <w:vAlign w:val="bottom"/>
          </w:tcPr>
          <w:p w14:paraId="5186D3DC" w14:textId="77777777" w:rsidR="00132485" w:rsidRPr="00132485" w:rsidRDefault="00132485" w:rsidP="00132485">
            <w:pPr>
              <w:jc w:val="right"/>
              <w:rPr>
                <w:rFonts w:ascii="Calibri" w:hAnsi="Calibri" w:cs="Calibri"/>
                <w:color w:val="000000"/>
                <w:sz w:val="22"/>
                <w:szCs w:val="22"/>
              </w:rPr>
            </w:pPr>
            <w:r w:rsidRPr="00132485">
              <w:rPr>
                <w:rFonts w:ascii="Calibri" w:hAnsi="Calibri" w:cs="Calibri"/>
                <w:color w:val="000000"/>
                <w:sz w:val="22"/>
                <w:szCs w:val="22"/>
              </w:rPr>
              <w:t>2,2</w:t>
            </w:r>
          </w:p>
        </w:tc>
      </w:tr>
      <w:tr w:rsidR="00132485" w:rsidRPr="00132485" w14:paraId="435FC610" w14:textId="77777777" w:rsidTr="00984A17">
        <w:trPr>
          <w:trHeight w:val="300"/>
        </w:trPr>
        <w:tc>
          <w:tcPr>
            <w:tcW w:w="0" w:type="auto"/>
            <w:shd w:val="clear" w:color="auto" w:fill="auto"/>
            <w:noWrap/>
            <w:vAlign w:val="bottom"/>
          </w:tcPr>
          <w:p w14:paraId="401052AE" w14:textId="77777777" w:rsidR="00132485" w:rsidRPr="00132485" w:rsidRDefault="00132485" w:rsidP="00132485">
            <w:pPr>
              <w:rPr>
                <w:rFonts w:ascii="Calibri" w:hAnsi="Calibri" w:cs="Calibri"/>
                <w:color w:val="000000"/>
                <w:sz w:val="22"/>
                <w:szCs w:val="22"/>
              </w:rPr>
            </w:pPr>
            <w:r w:rsidRPr="00132485">
              <w:rPr>
                <w:rFonts w:ascii="Calibri" w:hAnsi="Calibri" w:cs="Calibri"/>
                <w:color w:val="000000"/>
                <w:sz w:val="22"/>
                <w:szCs w:val="22"/>
              </w:rPr>
              <w:t>2018</w:t>
            </w:r>
          </w:p>
        </w:tc>
        <w:tc>
          <w:tcPr>
            <w:tcW w:w="0" w:type="auto"/>
            <w:shd w:val="clear" w:color="auto" w:fill="auto"/>
            <w:noWrap/>
            <w:vAlign w:val="bottom"/>
          </w:tcPr>
          <w:p w14:paraId="4D40A0A5" w14:textId="77777777" w:rsidR="00132485" w:rsidRPr="00132485" w:rsidRDefault="00132485" w:rsidP="00132485">
            <w:pPr>
              <w:jc w:val="right"/>
              <w:rPr>
                <w:rFonts w:ascii="Calibri" w:hAnsi="Calibri" w:cs="Calibri"/>
                <w:color w:val="000000"/>
                <w:sz w:val="22"/>
                <w:szCs w:val="22"/>
              </w:rPr>
            </w:pPr>
            <w:r w:rsidRPr="00132485">
              <w:rPr>
                <w:rFonts w:ascii="Calibri" w:hAnsi="Calibri" w:cs="Calibri"/>
                <w:color w:val="000000"/>
                <w:sz w:val="22"/>
                <w:szCs w:val="22"/>
              </w:rPr>
              <w:t>3,3</w:t>
            </w:r>
          </w:p>
        </w:tc>
      </w:tr>
      <w:tr w:rsidR="00132485" w:rsidRPr="00132485" w14:paraId="1E146FFC" w14:textId="77777777" w:rsidTr="00984A17">
        <w:trPr>
          <w:trHeight w:val="300"/>
        </w:trPr>
        <w:tc>
          <w:tcPr>
            <w:tcW w:w="0" w:type="auto"/>
            <w:shd w:val="clear" w:color="auto" w:fill="auto"/>
            <w:noWrap/>
            <w:vAlign w:val="bottom"/>
          </w:tcPr>
          <w:p w14:paraId="4C3E31C6" w14:textId="77777777" w:rsidR="00132485" w:rsidRPr="00132485" w:rsidRDefault="00132485" w:rsidP="00132485">
            <w:pPr>
              <w:rPr>
                <w:rFonts w:ascii="Calibri" w:hAnsi="Calibri" w:cs="Calibri"/>
                <w:color w:val="000000"/>
                <w:sz w:val="22"/>
                <w:szCs w:val="22"/>
              </w:rPr>
            </w:pPr>
            <w:r w:rsidRPr="00132485">
              <w:rPr>
                <w:rFonts w:ascii="Calibri" w:hAnsi="Calibri" w:cs="Calibri"/>
                <w:color w:val="000000"/>
                <w:sz w:val="22"/>
                <w:szCs w:val="22"/>
              </w:rPr>
              <w:t>2017</w:t>
            </w:r>
          </w:p>
        </w:tc>
        <w:tc>
          <w:tcPr>
            <w:tcW w:w="0" w:type="auto"/>
            <w:shd w:val="clear" w:color="auto" w:fill="auto"/>
            <w:noWrap/>
            <w:vAlign w:val="bottom"/>
          </w:tcPr>
          <w:p w14:paraId="09084A3B" w14:textId="77777777" w:rsidR="00132485" w:rsidRPr="00132485" w:rsidRDefault="00132485" w:rsidP="00132485">
            <w:pPr>
              <w:jc w:val="right"/>
              <w:rPr>
                <w:rFonts w:ascii="Calibri" w:hAnsi="Calibri" w:cs="Calibri"/>
                <w:color w:val="000000"/>
                <w:sz w:val="22"/>
                <w:szCs w:val="22"/>
              </w:rPr>
            </w:pPr>
            <w:r w:rsidRPr="00132485">
              <w:rPr>
                <w:rFonts w:ascii="Calibri" w:hAnsi="Calibri" w:cs="Calibri"/>
                <w:color w:val="000000"/>
                <w:sz w:val="22"/>
                <w:szCs w:val="22"/>
              </w:rPr>
              <w:t>2,1</w:t>
            </w:r>
          </w:p>
        </w:tc>
      </w:tr>
      <w:tr w:rsidR="00132485" w:rsidRPr="00132485" w14:paraId="18ED3C78" w14:textId="77777777" w:rsidTr="00984A17">
        <w:trPr>
          <w:trHeight w:val="300"/>
        </w:trPr>
        <w:tc>
          <w:tcPr>
            <w:tcW w:w="0" w:type="auto"/>
            <w:shd w:val="clear" w:color="auto" w:fill="auto"/>
            <w:noWrap/>
            <w:vAlign w:val="bottom"/>
          </w:tcPr>
          <w:p w14:paraId="1118D304" w14:textId="77777777" w:rsidR="00132485" w:rsidRPr="00132485" w:rsidRDefault="00132485" w:rsidP="00132485">
            <w:pPr>
              <w:rPr>
                <w:rFonts w:ascii="Calibri" w:hAnsi="Calibri" w:cs="Calibri"/>
                <w:color w:val="000000"/>
                <w:sz w:val="22"/>
                <w:szCs w:val="22"/>
              </w:rPr>
            </w:pPr>
            <w:r w:rsidRPr="00132485">
              <w:rPr>
                <w:rFonts w:ascii="Calibri" w:hAnsi="Calibri" w:cs="Calibri"/>
                <w:color w:val="000000"/>
                <w:sz w:val="22"/>
                <w:szCs w:val="22"/>
              </w:rPr>
              <w:t>2016</w:t>
            </w:r>
          </w:p>
        </w:tc>
        <w:tc>
          <w:tcPr>
            <w:tcW w:w="0" w:type="auto"/>
            <w:shd w:val="clear" w:color="auto" w:fill="auto"/>
            <w:noWrap/>
            <w:vAlign w:val="bottom"/>
          </w:tcPr>
          <w:p w14:paraId="00640A56" w14:textId="77777777" w:rsidR="00132485" w:rsidRPr="00132485" w:rsidRDefault="00132485" w:rsidP="00132485">
            <w:pPr>
              <w:jc w:val="right"/>
              <w:rPr>
                <w:rFonts w:ascii="Calibri" w:hAnsi="Calibri" w:cs="Calibri"/>
                <w:color w:val="000000"/>
                <w:sz w:val="22"/>
                <w:szCs w:val="22"/>
              </w:rPr>
            </w:pPr>
            <w:r w:rsidRPr="00132485">
              <w:rPr>
                <w:rFonts w:ascii="Calibri" w:hAnsi="Calibri" w:cs="Calibri"/>
                <w:color w:val="000000"/>
                <w:sz w:val="22"/>
                <w:szCs w:val="22"/>
              </w:rPr>
              <w:t>1,8</w:t>
            </w:r>
          </w:p>
        </w:tc>
      </w:tr>
      <w:tr w:rsidR="00132485" w:rsidRPr="00132485" w14:paraId="2DD5F08E" w14:textId="77777777" w:rsidTr="00984A17">
        <w:trPr>
          <w:trHeight w:val="300"/>
        </w:trPr>
        <w:tc>
          <w:tcPr>
            <w:tcW w:w="0" w:type="auto"/>
            <w:shd w:val="clear" w:color="auto" w:fill="auto"/>
            <w:noWrap/>
            <w:vAlign w:val="bottom"/>
          </w:tcPr>
          <w:p w14:paraId="6035760D" w14:textId="77777777" w:rsidR="00132485" w:rsidRPr="00132485" w:rsidRDefault="00132485" w:rsidP="00132485">
            <w:pPr>
              <w:rPr>
                <w:rFonts w:ascii="Calibri" w:hAnsi="Calibri" w:cs="Calibri"/>
                <w:color w:val="000000"/>
                <w:sz w:val="22"/>
                <w:szCs w:val="22"/>
              </w:rPr>
            </w:pPr>
            <w:r w:rsidRPr="00132485">
              <w:rPr>
                <w:rFonts w:ascii="Calibri" w:hAnsi="Calibri" w:cs="Calibri"/>
                <w:color w:val="000000"/>
                <w:sz w:val="22"/>
                <w:szCs w:val="22"/>
              </w:rPr>
              <w:t>2015</w:t>
            </w:r>
          </w:p>
        </w:tc>
        <w:tc>
          <w:tcPr>
            <w:tcW w:w="0" w:type="auto"/>
            <w:shd w:val="clear" w:color="auto" w:fill="auto"/>
            <w:noWrap/>
            <w:vAlign w:val="bottom"/>
          </w:tcPr>
          <w:p w14:paraId="7DFEAA3D" w14:textId="77777777" w:rsidR="00132485" w:rsidRPr="00132485" w:rsidRDefault="00132485" w:rsidP="00132485">
            <w:pPr>
              <w:jc w:val="right"/>
              <w:rPr>
                <w:rFonts w:ascii="Calibri" w:hAnsi="Calibri" w:cs="Calibri"/>
                <w:color w:val="000000"/>
                <w:sz w:val="22"/>
                <w:szCs w:val="22"/>
              </w:rPr>
            </w:pPr>
            <w:r w:rsidRPr="00132485">
              <w:rPr>
                <w:rFonts w:ascii="Calibri" w:hAnsi="Calibri" w:cs="Calibri"/>
                <w:color w:val="000000"/>
                <w:sz w:val="22"/>
                <w:szCs w:val="22"/>
              </w:rPr>
              <w:t>2,7</w:t>
            </w:r>
          </w:p>
        </w:tc>
      </w:tr>
      <w:tr w:rsidR="00132485" w:rsidRPr="00132485" w14:paraId="40CB68E2" w14:textId="77777777" w:rsidTr="00984A17">
        <w:trPr>
          <w:trHeight w:val="300"/>
        </w:trPr>
        <w:tc>
          <w:tcPr>
            <w:tcW w:w="0" w:type="auto"/>
            <w:shd w:val="clear" w:color="auto" w:fill="auto"/>
            <w:noWrap/>
            <w:vAlign w:val="bottom"/>
          </w:tcPr>
          <w:p w14:paraId="037A3DF3" w14:textId="77777777" w:rsidR="00132485" w:rsidRPr="00132485" w:rsidRDefault="00132485" w:rsidP="00132485">
            <w:pPr>
              <w:rPr>
                <w:rFonts w:ascii="Calibri" w:hAnsi="Calibri" w:cs="Calibri"/>
                <w:color w:val="000000"/>
                <w:sz w:val="22"/>
                <w:szCs w:val="22"/>
              </w:rPr>
            </w:pPr>
            <w:r w:rsidRPr="00132485">
              <w:rPr>
                <w:rFonts w:ascii="Calibri" w:hAnsi="Calibri" w:cs="Calibri"/>
                <w:color w:val="000000"/>
                <w:sz w:val="22"/>
                <w:szCs w:val="22"/>
              </w:rPr>
              <w:t>2014</w:t>
            </w:r>
          </w:p>
        </w:tc>
        <w:tc>
          <w:tcPr>
            <w:tcW w:w="0" w:type="auto"/>
            <w:shd w:val="clear" w:color="auto" w:fill="auto"/>
            <w:noWrap/>
            <w:vAlign w:val="bottom"/>
          </w:tcPr>
          <w:p w14:paraId="03A735E6" w14:textId="77777777" w:rsidR="00132485" w:rsidRPr="00132485" w:rsidRDefault="00132485" w:rsidP="00132485">
            <w:pPr>
              <w:jc w:val="right"/>
              <w:rPr>
                <w:rFonts w:ascii="Calibri" w:hAnsi="Calibri" w:cs="Calibri"/>
                <w:color w:val="000000"/>
                <w:sz w:val="22"/>
                <w:szCs w:val="22"/>
              </w:rPr>
            </w:pPr>
            <w:r w:rsidRPr="00132485">
              <w:rPr>
                <w:rFonts w:ascii="Calibri" w:hAnsi="Calibri" w:cs="Calibri"/>
                <w:color w:val="000000"/>
                <w:sz w:val="22"/>
                <w:szCs w:val="22"/>
              </w:rPr>
              <w:t>1,1</w:t>
            </w:r>
          </w:p>
        </w:tc>
      </w:tr>
    </w:tbl>
    <w:p w14:paraId="56838602" w14:textId="4DA04B0C" w:rsidR="00132485" w:rsidRDefault="00132485" w:rsidP="00132485">
      <w:pPr>
        <w:spacing w:after="160" w:line="259" w:lineRule="auto"/>
        <w:rPr>
          <w:rFonts w:ascii="Calibri" w:eastAsia="Calibri" w:hAnsi="Calibri" w:cs="Calibri"/>
          <w:sz w:val="22"/>
          <w:szCs w:val="22"/>
          <w:lang w:val="es-MX" w:eastAsia="en-US"/>
        </w:rPr>
      </w:pPr>
      <w:r w:rsidRPr="00132485">
        <w:rPr>
          <w:rFonts w:ascii="Calibri" w:eastAsia="Calibri" w:hAnsi="Calibri" w:cs="Calibri"/>
          <w:sz w:val="22"/>
          <w:szCs w:val="22"/>
          <w:lang w:eastAsia="en-US"/>
        </w:rPr>
        <w:t>FUENTE: PROYECTO SURGE</w:t>
      </w:r>
      <w:r w:rsidRPr="00132485">
        <w:rPr>
          <w:rFonts w:ascii="Calibri" w:eastAsia="Calibri" w:hAnsi="Calibri" w:cs="Calibri"/>
          <w:sz w:val="22"/>
          <w:szCs w:val="22"/>
          <w:lang w:val="es-MX" w:eastAsia="en-US"/>
        </w:rPr>
        <w:t xml:space="preserve">, </w:t>
      </w:r>
      <w:r w:rsidRPr="00132485">
        <w:rPr>
          <w:rFonts w:ascii="Calibri" w:eastAsia="Calibri" w:hAnsi="Calibri" w:cs="Calibri"/>
          <w:sz w:val="22"/>
          <w:szCs w:val="22"/>
          <w:lang w:eastAsia="en-US"/>
        </w:rPr>
        <w:t xml:space="preserve"> MIRADOR DESCA</w:t>
      </w:r>
      <w:r w:rsidRPr="00132485">
        <w:rPr>
          <w:rFonts w:ascii="Calibri" w:eastAsia="Calibri" w:hAnsi="Calibri" w:cs="Calibri"/>
          <w:sz w:val="22"/>
          <w:szCs w:val="22"/>
          <w:lang w:val="es-MX" w:eastAsia="en-US"/>
        </w:rPr>
        <w:t xml:space="preserve"> en base a Oficina Nacional de Servicio Civil (ONSC)</w:t>
      </w:r>
    </w:p>
    <w:p w14:paraId="196BDF22" w14:textId="77777777" w:rsidR="004254A7" w:rsidRPr="00132485" w:rsidRDefault="004254A7" w:rsidP="00132485">
      <w:pPr>
        <w:spacing w:after="160" w:line="259" w:lineRule="auto"/>
        <w:rPr>
          <w:rFonts w:ascii="Calibri" w:eastAsia="Calibri" w:hAnsi="Calibri" w:cs="Calibri"/>
          <w:sz w:val="22"/>
          <w:szCs w:val="22"/>
          <w:lang w:val="es-MX" w:eastAsia="en-US"/>
        </w:rPr>
      </w:pPr>
    </w:p>
    <w:p w14:paraId="0EB8E7C0" w14:textId="77777777" w:rsidR="00132485" w:rsidRPr="00132485" w:rsidRDefault="00132485" w:rsidP="00132485">
      <w:pPr>
        <w:numPr>
          <w:ilvl w:val="0"/>
          <w:numId w:val="6"/>
        </w:numPr>
        <w:spacing w:after="120" w:line="288" w:lineRule="auto"/>
        <w:jc w:val="both"/>
        <w:rPr>
          <w:rFonts w:ascii="Calibri" w:eastAsia="Calibri" w:hAnsi="Calibri" w:cs="Calibri"/>
          <w:sz w:val="22"/>
          <w:szCs w:val="22"/>
          <w:lang w:val="es-UY" w:eastAsia="en-US"/>
        </w:rPr>
      </w:pPr>
      <w:r w:rsidRPr="00132485">
        <w:rPr>
          <w:rFonts w:ascii="Calibri" w:eastAsia="SimSun" w:hAnsi="Calibri" w:cs="Calibri"/>
          <w:color w:val="000000"/>
          <w:sz w:val="22"/>
          <w:szCs w:val="22"/>
          <w:lang w:val="es-MX" w:eastAsia="zh-CN" w:bidi="ar"/>
        </w:rPr>
        <w:t>No obstante,</w:t>
      </w:r>
      <w:r w:rsidRPr="00132485">
        <w:rPr>
          <w:rFonts w:ascii="Calibri" w:eastAsia="SimSun" w:hAnsi="Calibri" w:cs="Calibri"/>
          <w:color w:val="000000"/>
          <w:sz w:val="22"/>
          <w:szCs w:val="22"/>
          <w:lang w:eastAsia="zh-CN" w:bidi="ar"/>
        </w:rPr>
        <w:t xml:space="preserve"> la Institución </w:t>
      </w:r>
      <w:r w:rsidRPr="00132485">
        <w:rPr>
          <w:rFonts w:ascii="Calibri" w:eastAsia="SimSun" w:hAnsi="Calibri" w:cs="Calibri"/>
          <w:color w:val="000000"/>
          <w:sz w:val="22"/>
          <w:szCs w:val="22"/>
          <w:lang w:val="es-MX" w:eastAsia="zh-CN" w:bidi="ar"/>
        </w:rPr>
        <w:t>en el seguimiento permanente que realiza sobre</w:t>
      </w:r>
      <w:r w:rsidRPr="00132485">
        <w:rPr>
          <w:rFonts w:ascii="Calibri" w:eastAsia="SimSun" w:hAnsi="Calibri" w:cs="Calibri"/>
          <w:color w:val="000000"/>
          <w:sz w:val="22"/>
          <w:szCs w:val="22"/>
          <w:lang w:eastAsia="zh-CN" w:bidi="ar"/>
        </w:rPr>
        <w:t xml:space="preserve"> la implementación de la ley,</w:t>
      </w:r>
      <w:r w:rsidRPr="00132485">
        <w:rPr>
          <w:rFonts w:ascii="Calibri" w:eastAsia="SimSun" w:hAnsi="Calibri" w:cs="Calibri"/>
          <w:color w:val="000000"/>
          <w:sz w:val="22"/>
          <w:szCs w:val="22"/>
          <w:lang w:val="es-MX" w:eastAsia="zh-CN" w:bidi="ar"/>
        </w:rPr>
        <w:t xml:space="preserve"> advierte con preocupación que se </w:t>
      </w:r>
      <w:r w:rsidRPr="00132485">
        <w:rPr>
          <w:rFonts w:ascii="Calibri" w:eastAsia="SimSun" w:hAnsi="Calibri" w:cs="Calibri"/>
          <w:color w:val="000000"/>
          <w:sz w:val="22"/>
          <w:szCs w:val="22"/>
          <w:lang w:eastAsia="zh-CN" w:bidi="ar"/>
        </w:rPr>
        <w:t>está cumpliendo</w:t>
      </w:r>
      <w:r w:rsidRPr="00132485">
        <w:rPr>
          <w:rFonts w:ascii="Calibri" w:eastAsia="SimSun" w:hAnsi="Calibri" w:cs="Calibri"/>
          <w:color w:val="000000"/>
          <w:sz w:val="22"/>
          <w:szCs w:val="22"/>
          <w:lang w:val="es-MX" w:eastAsia="zh-CN" w:bidi="ar"/>
        </w:rPr>
        <w:t xml:space="preserve"> muy lentamente</w:t>
      </w:r>
      <w:r w:rsidRPr="00132485">
        <w:rPr>
          <w:rFonts w:ascii="Calibri" w:eastAsia="SimSun" w:hAnsi="Calibri" w:cs="Calibri"/>
          <w:color w:val="000000"/>
          <w:sz w:val="22"/>
          <w:szCs w:val="22"/>
          <w:lang w:eastAsia="zh-CN" w:bidi="ar"/>
        </w:rPr>
        <w:t xml:space="preserve"> con los cupos que la Ley 19122 prevé.</w:t>
      </w:r>
      <w:r w:rsidRPr="00132485">
        <w:rPr>
          <w:rFonts w:ascii="Calibri" w:eastAsia="SimSun" w:hAnsi="Calibri" w:cs="Calibri"/>
          <w:color w:val="000000"/>
          <w:sz w:val="22"/>
          <w:szCs w:val="22"/>
          <w:lang w:val="es-MX" w:eastAsia="zh-CN" w:bidi="ar"/>
        </w:rPr>
        <w:t xml:space="preserve"> </w:t>
      </w:r>
      <w:r w:rsidRPr="00132485">
        <w:rPr>
          <w:rFonts w:ascii="Calibri" w:eastAsia="Calibri" w:hAnsi="Calibri" w:cs="Calibri"/>
          <w:sz w:val="22"/>
          <w:szCs w:val="22"/>
          <w:lang w:val="es-MX" w:eastAsia="en-US"/>
        </w:rPr>
        <w:t>En</w:t>
      </w:r>
      <w:r w:rsidRPr="00132485">
        <w:rPr>
          <w:rFonts w:ascii="Calibri" w:eastAsia="Calibri" w:hAnsi="Calibri" w:cs="Calibri"/>
          <w:sz w:val="22"/>
          <w:szCs w:val="22"/>
          <w:lang w:val="es-UY" w:eastAsia="en-US"/>
        </w:rPr>
        <w:t xml:space="preserve"> dos ocasiones, 2019 y 2021 ha realizado informes </w:t>
      </w:r>
      <w:r w:rsidRPr="00132485">
        <w:rPr>
          <w:rFonts w:ascii="Calibri" w:eastAsia="Calibri" w:hAnsi="Calibri" w:cs="Calibri"/>
          <w:sz w:val="22"/>
          <w:szCs w:val="22"/>
          <w:lang w:val="es-MX" w:eastAsia="en-US"/>
        </w:rPr>
        <w:t>de seguimiento de esta,</w:t>
      </w:r>
      <w:r w:rsidRPr="00132485">
        <w:rPr>
          <w:rFonts w:ascii="Calibri" w:eastAsia="Calibri" w:hAnsi="Calibri" w:cs="Calibri"/>
          <w:sz w:val="22"/>
          <w:szCs w:val="22"/>
          <w:lang w:val="es-UY" w:eastAsia="en-US"/>
        </w:rPr>
        <w:t xml:space="preserve"> recomend</w:t>
      </w:r>
      <w:r w:rsidRPr="00132485">
        <w:rPr>
          <w:rFonts w:ascii="Calibri" w:eastAsia="Calibri" w:hAnsi="Calibri" w:cs="Calibri"/>
          <w:sz w:val="22"/>
          <w:szCs w:val="22"/>
          <w:lang w:val="es-MX" w:eastAsia="en-US"/>
        </w:rPr>
        <w:t>ando al Estado una serie de acciones de promoción, sensibilización, capacitación, monitoreo, registro de información, análisis y evaluación  para lograr su total implementación</w:t>
      </w:r>
      <w:r w:rsidRPr="00132485">
        <w:rPr>
          <w:rFonts w:ascii="Calibri" w:eastAsia="Calibri" w:hAnsi="Calibri" w:cs="Calibri"/>
          <w:sz w:val="22"/>
          <w:szCs w:val="22"/>
          <w:vertAlign w:val="superscript"/>
          <w:lang w:val="fr-CH" w:eastAsia="en-US"/>
        </w:rPr>
        <w:footnoteReference w:id="8"/>
      </w:r>
      <w:r w:rsidRPr="00132485">
        <w:rPr>
          <w:rFonts w:ascii="Calibri" w:eastAsia="Calibri" w:hAnsi="Calibri" w:cs="Calibri"/>
          <w:sz w:val="22"/>
          <w:szCs w:val="22"/>
          <w:lang w:val="es-MX" w:eastAsia="en-US"/>
        </w:rPr>
        <w:t>.</w:t>
      </w:r>
      <w:r w:rsidRPr="00132485">
        <w:rPr>
          <w:rFonts w:ascii="Calibri" w:eastAsia="Calibri" w:hAnsi="Calibri" w:cs="Calibri"/>
          <w:sz w:val="22"/>
          <w:szCs w:val="22"/>
          <w:lang w:val="es-UY" w:eastAsia="en-US"/>
        </w:rPr>
        <w:t xml:space="preserve"> </w:t>
      </w:r>
    </w:p>
    <w:p w14:paraId="669F6F3D" w14:textId="77777777" w:rsidR="00132485" w:rsidRPr="00132485" w:rsidRDefault="00132485" w:rsidP="00132485">
      <w:pPr>
        <w:spacing w:after="120" w:line="288" w:lineRule="auto"/>
        <w:jc w:val="both"/>
        <w:rPr>
          <w:rFonts w:ascii="Calibri" w:eastAsia="SimSun" w:hAnsi="Calibri" w:cs="Calibri"/>
          <w:color w:val="000000"/>
          <w:sz w:val="22"/>
          <w:szCs w:val="22"/>
          <w:lang w:eastAsia="zh-CN" w:bidi="ar"/>
        </w:rPr>
      </w:pPr>
      <w:r w:rsidRPr="00132485">
        <w:rPr>
          <w:rFonts w:ascii="Calibri" w:eastAsia="SimSun" w:hAnsi="Calibri" w:cs="Calibri"/>
          <w:color w:val="000000"/>
          <w:sz w:val="22"/>
          <w:szCs w:val="22"/>
          <w:lang w:val="es-MX" w:eastAsia="zh-CN" w:bidi="ar"/>
        </w:rPr>
        <w:t xml:space="preserve">42. En especial, la </w:t>
      </w:r>
      <w:r w:rsidRPr="00132485">
        <w:rPr>
          <w:rFonts w:ascii="Calibri" w:eastAsia="SimSun" w:hAnsi="Calibri" w:cs="Calibri"/>
          <w:color w:val="000000"/>
          <w:sz w:val="22"/>
          <w:szCs w:val="22"/>
          <w:lang w:eastAsia="zh-CN" w:bidi="ar"/>
        </w:rPr>
        <w:t>INDDHH ha recomendado</w:t>
      </w:r>
      <w:r w:rsidRPr="00132485">
        <w:rPr>
          <w:rFonts w:ascii="Calibri" w:eastAsia="SimSun" w:hAnsi="Calibri" w:cs="Calibri"/>
          <w:color w:val="000000"/>
          <w:sz w:val="22"/>
          <w:szCs w:val="22"/>
          <w:lang w:val="es-MX" w:eastAsia="zh-CN" w:bidi="ar"/>
        </w:rPr>
        <w:t xml:space="preserve"> </w:t>
      </w:r>
      <w:r w:rsidRPr="00132485">
        <w:rPr>
          <w:rFonts w:ascii="Calibri" w:eastAsia="SimSun" w:hAnsi="Calibri" w:cs="Calibri"/>
          <w:color w:val="000000"/>
          <w:sz w:val="22"/>
          <w:szCs w:val="22"/>
          <w:lang w:eastAsia="zh-CN" w:bidi="ar"/>
        </w:rPr>
        <w:t xml:space="preserve">que se intensifiquen los esfuerzos y que se implementen medidas ya planteadas en la Ley, en el Decreto Reglamentario y en </w:t>
      </w:r>
      <w:r w:rsidRPr="00132485">
        <w:rPr>
          <w:rFonts w:ascii="Calibri" w:eastAsia="SimSun" w:hAnsi="Calibri" w:cs="Calibri"/>
          <w:color w:val="000000"/>
          <w:sz w:val="22"/>
          <w:szCs w:val="22"/>
          <w:lang w:val="es-MX" w:eastAsia="zh-CN" w:bidi="ar"/>
        </w:rPr>
        <w:t xml:space="preserve">los </w:t>
      </w:r>
      <w:r w:rsidRPr="00132485">
        <w:rPr>
          <w:rFonts w:ascii="Calibri" w:eastAsia="SimSun" w:hAnsi="Calibri" w:cs="Calibri"/>
          <w:color w:val="000000"/>
          <w:sz w:val="22"/>
          <w:szCs w:val="22"/>
          <w:lang w:eastAsia="zh-CN" w:bidi="ar"/>
        </w:rPr>
        <w:t>Plan</w:t>
      </w:r>
      <w:r w:rsidRPr="00132485">
        <w:rPr>
          <w:rFonts w:ascii="Calibri" w:eastAsia="SimSun" w:hAnsi="Calibri" w:cs="Calibri"/>
          <w:color w:val="000000"/>
          <w:sz w:val="22"/>
          <w:szCs w:val="22"/>
          <w:lang w:val="es-MX" w:eastAsia="zh-CN" w:bidi="ar"/>
        </w:rPr>
        <w:t>es</w:t>
      </w:r>
      <w:r w:rsidRPr="00132485">
        <w:rPr>
          <w:rFonts w:ascii="Calibri" w:eastAsia="SimSun" w:hAnsi="Calibri" w:cs="Calibri"/>
          <w:color w:val="000000"/>
          <w:sz w:val="22"/>
          <w:szCs w:val="22"/>
          <w:lang w:eastAsia="zh-CN" w:bidi="ar"/>
        </w:rPr>
        <w:t xml:space="preserve"> de Acción  liderado</w:t>
      </w:r>
      <w:r w:rsidRPr="00132485">
        <w:rPr>
          <w:rFonts w:ascii="Calibri" w:eastAsia="SimSun" w:hAnsi="Calibri" w:cs="Calibri"/>
          <w:color w:val="000000"/>
          <w:sz w:val="22"/>
          <w:szCs w:val="22"/>
          <w:lang w:val="es-MX" w:eastAsia="zh-CN" w:bidi="ar"/>
        </w:rPr>
        <w:t>s</w:t>
      </w:r>
      <w:r w:rsidRPr="00132485">
        <w:rPr>
          <w:rFonts w:ascii="Calibri" w:eastAsia="SimSun" w:hAnsi="Calibri" w:cs="Calibri"/>
          <w:color w:val="000000"/>
          <w:sz w:val="22"/>
          <w:szCs w:val="22"/>
          <w:lang w:eastAsia="zh-CN" w:bidi="ar"/>
        </w:rPr>
        <w:t xml:space="preserve"> por el MIDES  </w:t>
      </w:r>
      <w:r w:rsidRPr="00132485">
        <w:rPr>
          <w:rFonts w:ascii="Calibri" w:eastAsia="SimSun" w:hAnsi="Calibri" w:cs="Calibri"/>
          <w:color w:val="000000"/>
          <w:sz w:val="22"/>
          <w:szCs w:val="22"/>
          <w:lang w:val="es-MX" w:eastAsia="zh-CN" w:bidi="ar"/>
        </w:rPr>
        <w:t>para lo cual resultan necesarias mayores</w:t>
      </w:r>
      <w:r w:rsidRPr="00132485">
        <w:rPr>
          <w:rFonts w:ascii="Calibri" w:eastAsia="SimSun" w:hAnsi="Calibri" w:cs="Calibri"/>
          <w:color w:val="000000"/>
          <w:sz w:val="22"/>
          <w:szCs w:val="22"/>
          <w:lang w:eastAsia="zh-CN" w:bidi="ar"/>
        </w:rPr>
        <w:t xml:space="preserve">  campañas de </w:t>
      </w:r>
      <w:r w:rsidRPr="00132485">
        <w:rPr>
          <w:rFonts w:ascii="Calibri" w:eastAsia="SimSun" w:hAnsi="Calibri" w:cs="Calibri"/>
          <w:color w:val="000000"/>
          <w:sz w:val="22"/>
          <w:szCs w:val="22"/>
          <w:lang w:val="es-MX" w:eastAsia="zh-CN" w:bidi="ar"/>
        </w:rPr>
        <w:t xml:space="preserve"> </w:t>
      </w:r>
      <w:r w:rsidRPr="00132485">
        <w:rPr>
          <w:rFonts w:ascii="Calibri" w:eastAsia="SimSun" w:hAnsi="Calibri" w:cs="Calibri"/>
          <w:color w:val="000000"/>
          <w:sz w:val="22"/>
          <w:szCs w:val="22"/>
          <w:lang w:eastAsia="zh-CN" w:bidi="ar"/>
        </w:rPr>
        <w:t xml:space="preserve">sensibilización, actividades de formación con los funcionarios de Estado y </w:t>
      </w:r>
      <w:r w:rsidRPr="00132485">
        <w:rPr>
          <w:rFonts w:ascii="Calibri" w:eastAsia="SimSun" w:hAnsi="Calibri" w:cs="Calibri"/>
          <w:color w:val="000000"/>
          <w:sz w:val="22"/>
          <w:szCs w:val="22"/>
          <w:lang w:val="es-MX" w:eastAsia="zh-CN" w:bidi="ar"/>
        </w:rPr>
        <w:t xml:space="preserve"> </w:t>
      </w:r>
      <w:r w:rsidRPr="00132485">
        <w:rPr>
          <w:rFonts w:ascii="Calibri" w:eastAsia="SimSun" w:hAnsi="Calibri" w:cs="Calibri"/>
          <w:color w:val="000000"/>
          <w:sz w:val="22"/>
          <w:szCs w:val="22"/>
          <w:lang w:eastAsia="zh-CN" w:bidi="ar"/>
        </w:rPr>
        <w:t xml:space="preserve">trabajar especialmente en la promoción de becas en el sistema educativo que </w:t>
      </w:r>
      <w:r w:rsidRPr="00132485">
        <w:rPr>
          <w:rFonts w:ascii="Calibri" w:eastAsia="SimSun" w:hAnsi="Calibri" w:cs="Calibri"/>
          <w:color w:val="000000"/>
          <w:sz w:val="22"/>
          <w:szCs w:val="22"/>
          <w:lang w:val="es-MX" w:eastAsia="zh-CN" w:bidi="ar"/>
        </w:rPr>
        <w:t xml:space="preserve"> </w:t>
      </w:r>
      <w:r w:rsidRPr="00132485">
        <w:rPr>
          <w:rFonts w:ascii="Calibri" w:eastAsia="SimSun" w:hAnsi="Calibri" w:cs="Calibri"/>
          <w:color w:val="000000"/>
          <w:sz w:val="22"/>
          <w:szCs w:val="22"/>
          <w:lang w:eastAsia="zh-CN" w:bidi="ar"/>
        </w:rPr>
        <w:t>potenciarán la participación y pleno ejercicio de derechos de la población</w:t>
      </w:r>
      <w:r w:rsidRPr="00132485">
        <w:rPr>
          <w:rFonts w:ascii="Calibri" w:eastAsia="SimSun" w:hAnsi="Calibri" w:cs="Calibri"/>
          <w:color w:val="000000"/>
          <w:sz w:val="22"/>
          <w:szCs w:val="22"/>
          <w:lang w:val="es-MX" w:eastAsia="zh-CN" w:bidi="ar"/>
        </w:rPr>
        <w:t xml:space="preserve"> </w:t>
      </w:r>
      <w:r w:rsidRPr="00132485">
        <w:rPr>
          <w:rFonts w:ascii="Calibri" w:eastAsia="SimSun" w:hAnsi="Calibri" w:cs="Calibri"/>
          <w:color w:val="000000"/>
          <w:sz w:val="22"/>
          <w:szCs w:val="22"/>
          <w:lang w:eastAsia="zh-CN" w:bidi="ar"/>
        </w:rPr>
        <w:t>Afrodescendiente</w:t>
      </w:r>
      <w:r w:rsidRPr="00132485">
        <w:rPr>
          <w:rFonts w:ascii="Calibri" w:eastAsia="SimSun" w:hAnsi="Calibri" w:cs="Calibri"/>
          <w:color w:val="000000"/>
          <w:sz w:val="22"/>
          <w:szCs w:val="22"/>
          <w:lang w:val="es-MX" w:eastAsia="zh-CN" w:bidi="ar"/>
        </w:rPr>
        <w:t xml:space="preserve"> pues</w:t>
      </w:r>
      <w:r w:rsidRPr="00132485">
        <w:rPr>
          <w:rFonts w:ascii="Calibri" w:eastAsia="SimSun" w:hAnsi="Calibri" w:cs="Calibri"/>
          <w:color w:val="000000"/>
          <w:sz w:val="22"/>
          <w:szCs w:val="22"/>
          <w:lang w:eastAsia="zh-CN" w:bidi="ar"/>
        </w:rPr>
        <w:t xml:space="preserve"> </w:t>
      </w:r>
      <w:r w:rsidRPr="00132485">
        <w:rPr>
          <w:rFonts w:ascii="Calibri" w:eastAsia="SimSun" w:hAnsi="Calibri" w:cs="Calibri"/>
          <w:color w:val="000000"/>
          <w:sz w:val="22"/>
          <w:szCs w:val="22"/>
          <w:lang w:val="es-MX" w:eastAsia="zh-CN" w:bidi="ar"/>
        </w:rPr>
        <w:t>e</w:t>
      </w:r>
      <w:r w:rsidRPr="00132485">
        <w:rPr>
          <w:rFonts w:ascii="Calibri" w:eastAsia="SimSun" w:hAnsi="Calibri" w:cs="Calibri"/>
          <w:color w:val="000000"/>
          <w:sz w:val="22"/>
          <w:szCs w:val="22"/>
          <w:lang w:eastAsia="zh-CN" w:bidi="ar"/>
        </w:rPr>
        <w:t xml:space="preserve">s necesaria hoy una política pública que apunte a promover </w:t>
      </w:r>
      <w:r w:rsidRPr="00132485">
        <w:rPr>
          <w:rFonts w:ascii="Calibri" w:eastAsia="SimSun" w:hAnsi="Calibri" w:cs="Calibri"/>
          <w:color w:val="000000"/>
          <w:sz w:val="22"/>
          <w:szCs w:val="22"/>
          <w:lang w:val="es-MX" w:eastAsia="zh-CN" w:bidi="ar"/>
        </w:rPr>
        <w:t xml:space="preserve"> su</w:t>
      </w:r>
      <w:r w:rsidRPr="00132485">
        <w:rPr>
          <w:rFonts w:ascii="Calibri" w:eastAsia="SimSun" w:hAnsi="Calibri" w:cs="Calibri"/>
          <w:color w:val="000000"/>
          <w:sz w:val="22"/>
          <w:szCs w:val="22"/>
          <w:lang w:eastAsia="zh-CN" w:bidi="ar"/>
        </w:rPr>
        <w:t xml:space="preserve"> permanencia en el sistema educativo</w:t>
      </w:r>
      <w:r w:rsidRPr="00132485">
        <w:rPr>
          <w:rFonts w:ascii="Calibri" w:eastAsia="SimSun" w:hAnsi="Calibri" w:cs="Calibri"/>
          <w:color w:val="000000"/>
          <w:sz w:val="22"/>
          <w:szCs w:val="22"/>
          <w:lang w:val="es-MX" w:eastAsia="zh-CN" w:bidi="ar"/>
        </w:rPr>
        <w:t xml:space="preserve"> </w:t>
      </w:r>
      <w:r w:rsidRPr="00132485">
        <w:rPr>
          <w:rFonts w:ascii="Calibri" w:eastAsia="SimSun" w:hAnsi="Calibri" w:cs="Calibri"/>
          <w:color w:val="000000"/>
          <w:sz w:val="22"/>
          <w:szCs w:val="22"/>
          <w:lang w:eastAsia="zh-CN" w:bidi="ar"/>
        </w:rPr>
        <w:t xml:space="preserve">tanto en </w:t>
      </w:r>
      <w:r w:rsidRPr="00132485">
        <w:rPr>
          <w:rFonts w:ascii="Calibri" w:eastAsia="SimSun" w:hAnsi="Calibri" w:cs="Calibri"/>
          <w:color w:val="000000"/>
          <w:sz w:val="22"/>
          <w:szCs w:val="22"/>
          <w:lang w:val="es-MX" w:eastAsia="zh-CN" w:bidi="ar"/>
        </w:rPr>
        <w:t xml:space="preserve"> </w:t>
      </w:r>
      <w:r w:rsidRPr="00132485">
        <w:rPr>
          <w:rFonts w:ascii="Calibri" w:eastAsia="SimSun" w:hAnsi="Calibri" w:cs="Calibri"/>
          <w:color w:val="000000"/>
          <w:sz w:val="22"/>
          <w:szCs w:val="22"/>
          <w:lang w:eastAsia="zh-CN" w:bidi="ar"/>
        </w:rPr>
        <w:t xml:space="preserve">la educación media como en la educación terciaria. </w:t>
      </w:r>
    </w:p>
    <w:p w14:paraId="0D7B63BC" w14:textId="77777777" w:rsidR="00132485" w:rsidRPr="00132485" w:rsidRDefault="00132485" w:rsidP="00132485">
      <w:pPr>
        <w:spacing w:after="160" w:line="288" w:lineRule="auto"/>
        <w:jc w:val="both"/>
        <w:rPr>
          <w:rFonts w:ascii="Calibri" w:eastAsia="Calibri" w:hAnsi="Calibri" w:cs="Calibri"/>
          <w:b/>
          <w:color w:val="C00000"/>
          <w:sz w:val="22"/>
          <w:szCs w:val="22"/>
          <w:lang w:val="es-MX" w:eastAsia="en-US"/>
        </w:rPr>
      </w:pPr>
      <w:r w:rsidRPr="00132485">
        <w:rPr>
          <w:rFonts w:ascii="Calibri" w:eastAsia="SimSun" w:hAnsi="Calibri" w:cs="Calibri"/>
          <w:color w:val="000000"/>
          <w:sz w:val="22"/>
          <w:szCs w:val="22"/>
          <w:lang w:val="es-MX" w:eastAsia="zh-CN" w:bidi="ar"/>
        </w:rPr>
        <w:t>43. También</w:t>
      </w:r>
      <w:r w:rsidRPr="00132485">
        <w:rPr>
          <w:rFonts w:ascii="Calibri" w:eastAsia="SimSun" w:hAnsi="Calibri" w:cs="Calibri"/>
          <w:color w:val="000000"/>
          <w:sz w:val="22"/>
          <w:szCs w:val="22"/>
          <w:lang w:eastAsia="zh-CN" w:bidi="ar"/>
        </w:rPr>
        <w:t xml:space="preserve">, </w:t>
      </w:r>
      <w:r w:rsidRPr="00132485">
        <w:rPr>
          <w:rFonts w:ascii="Calibri" w:eastAsia="SimSun" w:hAnsi="Calibri" w:cs="Calibri"/>
          <w:color w:val="000000"/>
          <w:sz w:val="22"/>
          <w:szCs w:val="22"/>
          <w:lang w:val="es-MX" w:eastAsia="zh-CN" w:bidi="ar"/>
        </w:rPr>
        <w:t>la INDDHH en el Informe de Seguimiento del año 2021 en su punto 9</w:t>
      </w:r>
      <w:r w:rsidRPr="00132485">
        <w:rPr>
          <w:rFonts w:eastAsia="SimSun" w:cs="Calibri"/>
          <w:color w:val="000000"/>
          <w:sz w:val="18"/>
          <w:szCs w:val="22"/>
          <w:vertAlign w:val="superscript"/>
          <w:lang w:val="es-MX" w:eastAsia="zh-CN" w:bidi="ar"/>
        </w:rPr>
        <w:footnoteReference w:id="9"/>
      </w:r>
      <w:r w:rsidRPr="00132485">
        <w:rPr>
          <w:rFonts w:ascii="Calibri" w:eastAsia="SimSun" w:hAnsi="Calibri" w:cs="Calibri"/>
          <w:color w:val="000000"/>
          <w:sz w:val="22"/>
          <w:szCs w:val="22"/>
          <w:lang w:val="es-MX" w:eastAsia="zh-CN" w:bidi="ar"/>
        </w:rPr>
        <w:t xml:space="preserve">  ha recomendado </w:t>
      </w:r>
      <w:r w:rsidRPr="00132485">
        <w:rPr>
          <w:rFonts w:ascii="Calibri" w:eastAsia="SimSun" w:hAnsi="Calibri" w:cs="Calibri"/>
          <w:color w:val="000000"/>
          <w:sz w:val="22"/>
          <w:szCs w:val="22"/>
          <w:lang w:eastAsia="zh-CN" w:bidi="ar"/>
        </w:rPr>
        <w:t xml:space="preserve"> que se </w:t>
      </w:r>
      <w:r w:rsidRPr="00132485">
        <w:rPr>
          <w:rFonts w:ascii="Calibri" w:eastAsia="SimSun" w:hAnsi="Calibri" w:cs="Calibri"/>
          <w:color w:val="222222"/>
          <w:sz w:val="22"/>
          <w:szCs w:val="22"/>
          <w:lang w:eastAsia="zh-CN" w:bidi="ar"/>
        </w:rPr>
        <w:t xml:space="preserve">busquen mecanismos más pertinentes </w:t>
      </w:r>
      <w:r w:rsidRPr="00132485">
        <w:rPr>
          <w:rFonts w:ascii="Calibri" w:eastAsia="SimSun" w:hAnsi="Calibri" w:cs="Calibri"/>
          <w:color w:val="222222"/>
          <w:sz w:val="22"/>
          <w:szCs w:val="22"/>
          <w:lang w:val="es-MX" w:eastAsia="zh-CN" w:bidi="ar"/>
        </w:rPr>
        <w:t xml:space="preserve"> </w:t>
      </w:r>
      <w:r w:rsidRPr="00132485">
        <w:rPr>
          <w:rFonts w:ascii="Calibri" w:eastAsia="SimSun" w:hAnsi="Calibri" w:cs="Calibri"/>
          <w:color w:val="222222"/>
          <w:sz w:val="22"/>
          <w:szCs w:val="22"/>
          <w:lang w:eastAsia="zh-CN" w:bidi="ar"/>
        </w:rPr>
        <w:t xml:space="preserve">y efectivos que incentiven a las </w:t>
      </w:r>
      <w:r w:rsidRPr="00132485">
        <w:rPr>
          <w:rFonts w:ascii="Calibri" w:eastAsia="SimSun" w:hAnsi="Calibri" w:cs="Calibri"/>
          <w:color w:val="222222"/>
          <w:sz w:val="22"/>
          <w:szCs w:val="22"/>
          <w:lang w:eastAsia="zh-CN" w:bidi="ar"/>
        </w:rPr>
        <w:lastRenderedPageBreak/>
        <w:t>instituciones a cumplir con dicha Ley</w:t>
      </w:r>
      <w:r w:rsidRPr="00132485">
        <w:rPr>
          <w:rFonts w:ascii="Calibri" w:eastAsia="SimSun" w:hAnsi="Calibri" w:cs="Calibri"/>
          <w:color w:val="222222"/>
          <w:sz w:val="22"/>
          <w:szCs w:val="22"/>
          <w:lang w:val="es-MX" w:eastAsia="zh-CN" w:bidi="ar"/>
        </w:rPr>
        <w:t xml:space="preserve"> y en especial recomendó </w:t>
      </w:r>
      <w:r w:rsidRPr="00132485">
        <w:rPr>
          <w:rFonts w:ascii="Calibri" w:eastAsia="Calibri" w:hAnsi="Calibri" w:cs="Calibri"/>
          <w:sz w:val="22"/>
          <w:szCs w:val="22"/>
          <w:lang w:val="es-UY" w:eastAsia="en-US"/>
        </w:rPr>
        <w:t>la modificación de</w:t>
      </w:r>
      <w:r w:rsidRPr="00132485">
        <w:rPr>
          <w:rFonts w:ascii="Calibri" w:eastAsia="Calibri" w:hAnsi="Calibri" w:cs="Calibri"/>
          <w:sz w:val="22"/>
          <w:szCs w:val="22"/>
          <w:lang w:val="es-MX" w:eastAsia="en-US"/>
        </w:rPr>
        <w:t xml:space="preserve">l </w:t>
      </w:r>
      <w:r w:rsidRPr="00132485">
        <w:rPr>
          <w:rFonts w:ascii="Calibri" w:eastAsia="Calibri" w:hAnsi="Calibri" w:cs="Calibri"/>
          <w:sz w:val="22"/>
          <w:szCs w:val="22"/>
          <w:lang w:val="es-UY" w:eastAsia="en-US"/>
        </w:rPr>
        <w:t xml:space="preserve"> Art. 4 Ley 19122 el cual establece que: “Los Poderes del Estado, el Tribunal de Cuentas, la Corte Electoral, el Tribunal de lo Contencioso Administrativo, los Gobiernos Departamentales, los Entes Autónomos, los Servicios Descentralizados y las personas de derecho público no estatal, están obligados a destinar el 8% de los puestos de trabajo a ser llenados en el año (…)”.</w:t>
      </w:r>
      <w:r w:rsidRPr="00132485">
        <w:rPr>
          <w:rFonts w:ascii="Calibri" w:eastAsia="Calibri" w:hAnsi="Calibri" w:cs="Calibri"/>
          <w:sz w:val="22"/>
          <w:szCs w:val="22"/>
          <w:lang w:val="es-MX" w:eastAsia="en-US"/>
        </w:rPr>
        <w:t xml:space="preserve"> en tal sentido, la INDDHH entiende pertinente que </w:t>
      </w:r>
      <w:r w:rsidRPr="00132485">
        <w:rPr>
          <w:rFonts w:ascii="Calibri" w:eastAsia="Calibri" w:hAnsi="Calibri" w:cs="Calibri"/>
          <w:sz w:val="22"/>
          <w:szCs w:val="22"/>
          <w:lang w:val="es-UY" w:eastAsia="en-US"/>
        </w:rPr>
        <w:t xml:space="preserve">el porcentaje debería corresponder a la efectiva población afro residente en cada departamento de acuerdo a los datos recabados al último </w:t>
      </w:r>
      <w:r w:rsidRPr="00132485">
        <w:rPr>
          <w:rFonts w:ascii="Calibri" w:eastAsia="Calibri" w:hAnsi="Calibri" w:cs="Calibri"/>
          <w:sz w:val="22"/>
          <w:szCs w:val="22"/>
          <w:lang w:val="es-MX" w:eastAsia="en-US"/>
        </w:rPr>
        <w:t>C</w:t>
      </w:r>
      <w:r w:rsidRPr="00132485">
        <w:rPr>
          <w:rFonts w:ascii="Calibri" w:eastAsia="Calibri" w:hAnsi="Calibri" w:cs="Calibri"/>
          <w:sz w:val="22"/>
          <w:szCs w:val="22"/>
          <w:lang w:val="es-UY" w:eastAsia="en-US"/>
        </w:rPr>
        <w:t xml:space="preserve">enso </w:t>
      </w:r>
      <w:r w:rsidRPr="00132485">
        <w:rPr>
          <w:rFonts w:ascii="Calibri" w:eastAsia="Calibri" w:hAnsi="Calibri" w:cs="Calibri"/>
          <w:sz w:val="22"/>
          <w:szCs w:val="22"/>
          <w:lang w:val="es-MX" w:eastAsia="en-US"/>
        </w:rPr>
        <w:t>N</w:t>
      </w:r>
      <w:r w:rsidRPr="00132485">
        <w:rPr>
          <w:rFonts w:ascii="Calibri" w:eastAsia="Calibri" w:hAnsi="Calibri" w:cs="Calibri"/>
          <w:sz w:val="22"/>
          <w:szCs w:val="22"/>
          <w:lang w:val="es-UY" w:eastAsia="en-US"/>
        </w:rPr>
        <w:t xml:space="preserve">acional de </w:t>
      </w:r>
      <w:r w:rsidRPr="00132485">
        <w:rPr>
          <w:rFonts w:ascii="Calibri" w:eastAsia="Calibri" w:hAnsi="Calibri" w:cs="Calibri"/>
          <w:sz w:val="22"/>
          <w:szCs w:val="22"/>
          <w:lang w:val="es-MX" w:eastAsia="en-US"/>
        </w:rPr>
        <w:t>P</w:t>
      </w:r>
      <w:r w:rsidRPr="00132485">
        <w:rPr>
          <w:rFonts w:ascii="Calibri" w:eastAsia="Calibri" w:hAnsi="Calibri" w:cs="Calibri"/>
          <w:sz w:val="22"/>
          <w:szCs w:val="22"/>
          <w:lang w:val="es-UY" w:eastAsia="en-US"/>
        </w:rPr>
        <w:t>oblación (2011). Buscando el impacto equitativo de ley en aquellos departamentos que tiene mayor porcentaje de población afrouruguaya</w:t>
      </w:r>
      <w:r w:rsidRPr="00132485">
        <w:rPr>
          <w:rFonts w:ascii="Calibri" w:eastAsia="Calibri" w:hAnsi="Calibri" w:cs="Calibri"/>
          <w:sz w:val="22"/>
          <w:szCs w:val="22"/>
          <w:lang w:val="es-MX" w:eastAsia="en-US"/>
        </w:rPr>
        <w:t>.</w:t>
      </w:r>
    </w:p>
    <w:p w14:paraId="51ADDE57" w14:textId="77777777" w:rsidR="00132485" w:rsidRPr="00132485" w:rsidRDefault="00132485" w:rsidP="00132485">
      <w:pPr>
        <w:spacing w:after="160" w:line="288" w:lineRule="auto"/>
        <w:rPr>
          <w:rFonts w:ascii="Calibri" w:eastAsia="Calibri" w:hAnsi="Calibri" w:cs="Calibri"/>
          <w:b/>
          <w:sz w:val="22"/>
          <w:szCs w:val="22"/>
          <w:lang w:val="es-UY" w:eastAsia="en-US"/>
        </w:rPr>
      </w:pPr>
    </w:p>
    <w:p w14:paraId="16378E8B" w14:textId="77777777" w:rsidR="00132485" w:rsidRPr="00132485" w:rsidRDefault="00132485" w:rsidP="00132485">
      <w:pPr>
        <w:keepNext/>
        <w:keepLines/>
        <w:spacing w:before="240" w:line="259" w:lineRule="auto"/>
        <w:outlineLvl w:val="0"/>
        <w:rPr>
          <w:rFonts w:ascii="Calibri Light" w:eastAsia="等线 Light" w:hAnsi="Calibri Light"/>
          <w:color w:val="2E74B5"/>
          <w:sz w:val="32"/>
          <w:szCs w:val="32"/>
          <w:lang w:val="es-UY" w:eastAsia="en-US"/>
        </w:rPr>
      </w:pPr>
      <w:bookmarkStart w:id="4" w:name="_Toc138930082"/>
      <w:r w:rsidRPr="00132485">
        <w:rPr>
          <w:rFonts w:ascii="Calibri Light" w:eastAsia="等线 Light" w:hAnsi="Calibri Light"/>
          <w:color w:val="2E74B5"/>
          <w:sz w:val="32"/>
          <w:szCs w:val="32"/>
          <w:lang w:val="es-UY" w:eastAsia="en-US"/>
        </w:rPr>
        <w:t>Acceso a la justicia (arts. 5 y 6) (lista de temas 20 y 21)</w:t>
      </w:r>
      <w:bookmarkEnd w:id="4"/>
    </w:p>
    <w:p w14:paraId="6C64234A" w14:textId="77777777" w:rsidR="00132485" w:rsidRPr="00132485" w:rsidRDefault="00132485" w:rsidP="00132485">
      <w:pPr>
        <w:spacing w:after="160" w:line="288" w:lineRule="auto"/>
        <w:jc w:val="both"/>
        <w:rPr>
          <w:rFonts w:ascii="Calibri" w:eastAsia="Calibri" w:hAnsi="Calibri" w:cs="Calibri"/>
          <w:sz w:val="22"/>
          <w:szCs w:val="22"/>
          <w:lang w:val="es-UY" w:eastAsia="en-US"/>
        </w:rPr>
      </w:pPr>
    </w:p>
    <w:p w14:paraId="58AAC1F2" w14:textId="77777777" w:rsidR="00132485" w:rsidRPr="00132485" w:rsidRDefault="00132485" w:rsidP="00132485">
      <w:pPr>
        <w:spacing w:after="160" w:line="288" w:lineRule="auto"/>
        <w:jc w:val="both"/>
        <w:rPr>
          <w:rFonts w:ascii="Calibri" w:eastAsia="Calibri" w:hAnsi="Calibri" w:cs="Calibri"/>
          <w:b/>
          <w:sz w:val="22"/>
          <w:szCs w:val="22"/>
          <w:lang w:val="es-UY" w:eastAsia="en-US"/>
        </w:rPr>
      </w:pPr>
      <w:r w:rsidRPr="00132485">
        <w:rPr>
          <w:rFonts w:ascii="Calibri" w:eastAsia="Calibri" w:hAnsi="Calibri" w:cs="Calibri"/>
          <w:sz w:val="22"/>
          <w:szCs w:val="22"/>
          <w:lang w:val="es-UY" w:eastAsia="en-US"/>
        </w:rPr>
        <w:t>44. En cuanto a sistemas de registros y estadísticas sobre denuncias y casos de discriminación, la INDDHH se encuentra actualmente trabajando en el desarrollo de un registro estadístico unificado que permita conocer las distintas formas de discriminación (racial, género, discapacidad, orientación sexual, religiosa y otras) desglosada por sexo y departamento del país. Este registro incluirá las situaciones de discriminación denunciadas y/o detectadas por la INDDHH y la CHRXD siendo deseable que este registro pueda realizar cruzamiento de datos con las denuncias recibidas por otros organismos del Estado (Poder Judicial, Ministerio del Interior, Ministerio de Desarrollo Social y sus distintos institutos (Mujer, Personas</w:t>
      </w:r>
      <w:r w:rsidRPr="00132485">
        <w:rPr>
          <w:rFonts w:ascii="Calibri" w:eastAsia="Calibri" w:hAnsi="Calibri" w:cs="Calibri"/>
          <w:sz w:val="22"/>
          <w:szCs w:val="22"/>
          <w:lang w:val="es-MX" w:eastAsia="en-US"/>
        </w:rPr>
        <w:t xml:space="preserve"> con Discapacidad, Personas Mayores), Instituto del Niño y Adolescente del Uruguay, Gobiernos Departamentales, entre otros. Sin embargo, no existe hasta el presente un registro nacional de tales características y tampoco recursos económicos asignados para ello.</w:t>
      </w:r>
    </w:p>
    <w:p w14:paraId="29DF48B1" w14:textId="77777777" w:rsidR="00132485" w:rsidRPr="00132485" w:rsidRDefault="00132485" w:rsidP="00132485">
      <w:pPr>
        <w:spacing w:after="160" w:line="288" w:lineRule="auto"/>
        <w:jc w:val="both"/>
        <w:rPr>
          <w:rFonts w:ascii="Calibri" w:eastAsia="Calibri" w:hAnsi="Calibri" w:cs="Calibri"/>
          <w:color w:val="C00000"/>
          <w:sz w:val="22"/>
          <w:szCs w:val="22"/>
          <w:lang w:val="es-MX" w:eastAsia="en-US"/>
        </w:rPr>
      </w:pPr>
      <w:r w:rsidRPr="00132485">
        <w:rPr>
          <w:rFonts w:ascii="Calibri" w:eastAsia="Calibri" w:hAnsi="Calibri" w:cs="Calibri"/>
          <w:sz w:val="22"/>
          <w:szCs w:val="22"/>
          <w:lang w:val="es-UY" w:eastAsia="en-US"/>
        </w:rPr>
        <w:t xml:space="preserve">45. </w:t>
      </w:r>
      <w:r w:rsidRPr="00132485">
        <w:rPr>
          <w:rFonts w:ascii="Calibri" w:eastAsia="Calibri" w:hAnsi="Calibri" w:cs="Calibri"/>
          <w:sz w:val="22"/>
          <w:szCs w:val="22"/>
          <w:lang w:val="es-MX" w:eastAsia="en-US"/>
        </w:rPr>
        <w:t xml:space="preserve">Entre los años 2016 y 2022 la INDDHH emitió varias resoluciones como resultado de denuncias que involucraron casos de discriminación para personas de origen afrodescendiente, personas con discapacidad y personas migrantes.  Las resoluciones que involucraron casos de discriminación a personas de origen afrodescendiente fueron 11. Se emitieron 15 resoluciones sobre casos de discriminación a personas migrantes y solicitantes de refugio. </w:t>
      </w:r>
      <w:r w:rsidRPr="00132485">
        <w:rPr>
          <w:rFonts w:ascii="Calibri" w:eastAsia="Calibri" w:hAnsi="Calibri" w:cs="Calibri"/>
          <w:sz w:val="22"/>
          <w:szCs w:val="22"/>
          <w:lang w:val="es-UY" w:eastAsia="en-US"/>
        </w:rPr>
        <w:t>No se registran resoluciones que involucren personas de origen indígena. Si bien no todos estos casos culminaron en la constatación de vulneraciones y recomendaciones al Estado, dan cuenta del acceso a órganos administrativos por parte de estos grupos.</w:t>
      </w:r>
      <w:r w:rsidRPr="00132485">
        <w:rPr>
          <w:rFonts w:ascii="Calibri" w:eastAsia="Calibri" w:hAnsi="Calibri" w:cs="Calibri"/>
          <w:sz w:val="22"/>
          <w:szCs w:val="22"/>
          <w:lang w:val="es-MX" w:eastAsia="en-US"/>
        </w:rPr>
        <w:t xml:space="preserve"> </w:t>
      </w:r>
    </w:p>
    <w:p w14:paraId="75F477BA" w14:textId="77777777" w:rsidR="00132485" w:rsidRPr="00132485" w:rsidRDefault="00132485" w:rsidP="00132485">
      <w:pPr>
        <w:spacing w:after="16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46. En cuanto a las personas afrodescendientes, las intervenciones de la INDDHH producto de denuncias recibidas evidencian, en su mayoría, las dificultades para el cumplimiento de la ley 19122, y en un caso, se trató de una denuncia presentada por sociedad civil ante la ausencia temporal de la variable étnico racial de la Encuesta Continua de Hogares que realiza el Instituto Nacional de Estadística (Resolución 1052/2022). Ver Anexo 3.</w:t>
      </w:r>
    </w:p>
    <w:p w14:paraId="3EA21B13" w14:textId="77777777" w:rsidR="00132485" w:rsidRPr="00132485" w:rsidRDefault="00132485" w:rsidP="00132485">
      <w:pPr>
        <w:spacing w:after="16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lastRenderedPageBreak/>
        <w:t>47. Sobre las personas migrantes y solicitantes de refugio, la principal problemática constatada en las denuncias recibidas se relaciona con el derecho a una vivienda digna y el acceso a servicios básicos,</w:t>
      </w:r>
      <w:r w:rsidRPr="00132485">
        <w:rPr>
          <w:rFonts w:ascii="Calibri" w:hAnsi="Calibri" w:cs="Calibri"/>
          <w:sz w:val="22"/>
          <w:szCs w:val="22"/>
          <w:lang w:val="es-UY" w:eastAsia="en-US" w:bidi="es-ES"/>
        </w:rPr>
        <w:t xml:space="preserve"> en este grupo se destaca la vulnerabilidad extrema de mujeres, niños, niñas y adolescentes frente a los desalojos forzosos.</w:t>
      </w:r>
      <w:r w:rsidRPr="00132485">
        <w:rPr>
          <w:rFonts w:ascii="Calibri" w:eastAsia="Calibri" w:hAnsi="Calibri" w:cs="Calibri"/>
          <w:sz w:val="22"/>
          <w:szCs w:val="22"/>
          <w:vertAlign w:val="superscript"/>
          <w:lang w:val="fr-CH" w:eastAsia="en-US"/>
        </w:rPr>
        <w:footnoteReference w:id="10"/>
      </w:r>
    </w:p>
    <w:p w14:paraId="6BF56F28" w14:textId="77777777" w:rsidR="00132485" w:rsidRPr="00132485" w:rsidRDefault="00132485" w:rsidP="00132485">
      <w:pPr>
        <w:spacing w:after="16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 xml:space="preserve">48. En la mayoría de las ocasiones se le presentan a esta población migrante dificultades difícilmente superables como la obtención de una garantía para arrendar, lo que les hace usuarios casi obligados a recurrir a soluciones habitacionales precarias, quedando a merced de la voluntad del dueño o del “encargado” del inmueble que funciona irregularmente como una pensión. </w:t>
      </w:r>
    </w:p>
    <w:p w14:paraId="41B647C5" w14:textId="77777777" w:rsidR="00132485" w:rsidRPr="00132485" w:rsidRDefault="00132485" w:rsidP="00132485">
      <w:pPr>
        <w:spacing w:after="160" w:line="288" w:lineRule="auto"/>
        <w:jc w:val="both"/>
        <w:rPr>
          <w:rFonts w:ascii="Calibri" w:hAnsi="Calibri" w:cs="Calibri"/>
          <w:sz w:val="22"/>
          <w:szCs w:val="22"/>
          <w:lang w:val="es-UY" w:eastAsia="en-US" w:bidi="es-ES"/>
        </w:rPr>
      </w:pPr>
      <w:r w:rsidRPr="00132485">
        <w:rPr>
          <w:rFonts w:ascii="Calibri" w:hAnsi="Calibri" w:cs="Calibri"/>
          <w:sz w:val="22"/>
          <w:szCs w:val="22"/>
          <w:lang w:val="es-UY" w:eastAsia="en-US" w:bidi="es-ES"/>
        </w:rPr>
        <w:t xml:space="preserve">49. Sobre este aspecto, la INDDHH ha señalado que no puede quedar como única alternativa para las personas migrantes los refugios para personas en situación de calle del </w:t>
      </w:r>
      <w:r w:rsidRPr="00132485">
        <w:rPr>
          <w:rFonts w:ascii="Calibri" w:hAnsi="Calibri" w:cs="Calibri"/>
          <w:smallCaps/>
          <w:sz w:val="22"/>
          <w:szCs w:val="22"/>
          <w:lang w:val="es-UY" w:eastAsia="en-US"/>
        </w:rPr>
        <w:t>Mides</w:t>
      </w:r>
      <w:r w:rsidRPr="00132485">
        <w:rPr>
          <w:rFonts w:ascii="Calibri" w:hAnsi="Calibri" w:cs="Calibri"/>
          <w:sz w:val="22"/>
          <w:szCs w:val="22"/>
          <w:lang w:val="es-UY" w:eastAsia="en-US" w:bidi="es-ES"/>
        </w:rPr>
        <w:t>, destinados a atender otras vulnerabilidades. Sin embargo, por el momento esta es la única respuesta estatal posible a las urgentes necesidades.</w:t>
      </w:r>
    </w:p>
    <w:p w14:paraId="08EC1C53" w14:textId="77777777" w:rsidR="00132485" w:rsidRPr="00132485" w:rsidRDefault="00132485" w:rsidP="00132485">
      <w:pPr>
        <w:spacing w:after="16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 xml:space="preserve">50. La INDDHH ha recomendado al Estado la elaboración de un protocolo entre los organismos que disponga la coordinación interinstitucional con el fin de asegurar que no se agudice la vulneración de derechos de las personas en condiciones de mayor vulnerabilidad frente a los desalojos forzosos, estableciendo, entre otras medidas, un procedimiento alternativo con medidas de urgencia y provisorio, destinados a las familias, especialmente aquellas integradas por niñas, niños y adolescentes, adultos mayores y mujeres jefas de hogar. Adicionalmente, la INDDHH ha recomendado adoptar una normativa adecuada, eficiente y sometida a los debidos procedimientos de control para las pensiones regulares o irregulares donde reside mayoritariamente población migrante vulnerable. </w:t>
      </w:r>
    </w:p>
    <w:p w14:paraId="650741C4" w14:textId="77777777" w:rsidR="00132485" w:rsidRPr="00132485" w:rsidRDefault="00132485" w:rsidP="00132485">
      <w:pPr>
        <w:spacing w:after="160" w:line="288" w:lineRule="auto"/>
        <w:jc w:val="both"/>
        <w:rPr>
          <w:rFonts w:ascii="Calibri" w:hAnsi="Calibri" w:cs="Calibri"/>
          <w:sz w:val="22"/>
          <w:szCs w:val="22"/>
          <w:lang w:val="es-UY" w:eastAsia="en-US" w:bidi="es-ES"/>
        </w:rPr>
      </w:pPr>
      <w:r w:rsidRPr="00132485">
        <w:rPr>
          <w:rFonts w:ascii="Calibri" w:hAnsi="Calibri" w:cs="Calibri"/>
          <w:sz w:val="22"/>
          <w:szCs w:val="22"/>
          <w:lang w:val="es-UY" w:eastAsia="en-US" w:bidi="es-ES"/>
        </w:rPr>
        <w:t xml:space="preserve">51. En cuanto a las personas que solicitan refugio, la INDDHH le ha señalado a la Comisión de Refugiados (CORE) que debe diseñar y comenzar a aplicar de inmediato una política pública de atención humanitaria a las necesidades urgentes de estas personas, que contemplara la atención en salud, alimentación y vivienda al menos en los primeros días de su ingreso al país. La coordinación con las organizaciones de la sociedad civil es necesaria, pero, como ya se ha señalado por la </w:t>
      </w:r>
      <w:r w:rsidRPr="00132485">
        <w:rPr>
          <w:rFonts w:ascii="Calibri" w:eastAsia="Calibri" w:hAnsi="Calibri" w:cs="Calibri"/>
          <w:smallCaps/>
          <w:sz w:val="22"/>
          <w:szCs w:val="22"/>
          <w:lang w:val="es-UY" w:eastAsia="en-US" w:bidi="es-ES"/>
        </w:rPr>
        <w:t>INDDHH</w:t>
      </w:r>
      <w:r w:rsidRPr="00132485">
        <w:rPr>
          <w:rFonts w:ascii="Calibri" w:hAnsi="Calibri" w:cs="Calibri"/>
          <w:sz w:val="22"/>
          <w:szCs w:val="22"/>
          <w:lang w:val="es-UY" w:eastAsia="en-US" w:bidi="es-ES"/>
        </w:rPr>
        <w:t>, no puede cargarse sobre las mismas el apoyo humanitario a personas que solicitan refugio en Uruguay. Igualmente, debería destinarse presupuesto para apoyar a las personas una vez que son reconocidas como refugiadas en nuestro país.</w:t>
      </w:r>
    </w:p>
    <w:p w14:paraId="6272DD15" w14:textId="77777777" w:rsidR="00132485" w:rsidRPr="00132485" w:rsidRDefault="00132485" w:rsidP="00132485">
      <w:pPr>
        <w:spacing w:after="160" w:line="288" w:lineRule="auto"/>
        <w:jc w:val="both"/>
        <w:rPr>
          <w:rFonts w:ascii="Calibri" w:hAnsi="Calibri" w:cs="Calibri"/>
          <w:sz w:val="22"/>
          <w:szCs w:val="22"/>
          <w:lang w:val="es-UY" w:eastAsia="en-US" w:bidi="es-ES"/>
        </w:rPr>
      </w:pPr>
      <w:r w:rsidRPr="00132485">
        <w:rPr>
          <w:rFonts w:ascii="Calibri" w:hAnsi="Calibri" w:cs="Calibri"/>
          <w:sz w:val="22"/>
          <w:szCs w:val="22"/>
          <w:lang w:val="es-MX" w:eastAsia="en-US" w:bidi="es-ES"/>
        </w:rPr>
        <w:t xml:space="preserve">52. La INDDHH ha tomado conocimiento del lanzamiento en agosto de 2022  por parte de la Junta Nacional de Migración del Primer Plan de Integración de Personas Migrantes y Refugiadas que tiene como objetivo brindar garantías para que estas poblaciones  lleguen a Uruguay de </w:t>
      </w:r>
      <w:r w:rsidRPr="00132485">
        <w:rPr>
          <w:rFonts w:ascii="Calibri" w:hAnsi="Calibri" w:cs="Calibri"/>
          <w:sz w:val="22"/>
          <w:szCs w:val="22"/>
          <w:lang w:val="es-MX" w:eastAsia="en-US" w:bidi="es-ES"/>
        </w:rPr>
        <w:lastRenderedPageBreak/>
        <w:t>manera segura, ordenada, regular y responsable con el fin de que se integren y contribuyan al desarrollo nacional.</w:t>
      </w:r>
    </w:p>
    <w:p w14:paraId="6B986982" w14:textId="77777777" w:rsidR="00132485" w:rsidRPr="00132485" w:rsidRDefault="00132485" w:rsidP="00132485">
      <w:pPr>
        <w:spacing w:after="160" w:line="288" w:lineRule="auto"/>
        <w:jc w:val="both"/>
        <w:rPr>
          <w:rFonts w:ascii="Calibri" w:eastAsia="Calibri" w:hAnsi="Calibri" w:cs="Calibri"/>
          <w:b/>
          <w:sz w:val="22"/>
          <w:szCs w:val="22"/>
          <w:lang w:val="es-UY" w:eastAsia="en-US"/>
        </w:rPr>
      </w:pPr>
      <w:r w:rsidRPr="00132485">
        <w:rPr>
          <w:rFonts w:ascii="Calibri" w:eastAsia="Calibri" w:hAnsi="Calibri" w:cs="Calibri"/>
          <w:b/>
          <w:sz w:val="22"/>
          <w:szCs w:val="22"/>
          <w:lang w:val="es-UY" w:eastAsia="en-US"/>
        </w:rPr>
        <w:t xml:space="preserve">Formación, educación y otras medidas para combatir los prejuicios e intolerancia (arts. 2 y 5) </w:t>
      </w:r>
    </w:p>
    <w:p w14:paraId="51149C3B" w14:textId="77777777" w:rsidR="00132485" w:rsidRPr="00132485" w:rsidRDefault="00132485" w:rsidP="00132485">
      <w:pPr>
        <w:spacing w:after="160" w:line="288" w:lineRule="auto"/>
        <w:jc w:val="both"/>
        <w:rPr>
          <w:rFonts w:ascii="Calibri" w:eastAsia="Calibri" w:hAnsi="Calibri" w:cs="Calibri"/>
          <w:sz w:val="22"/>
          <w:szCs w:val="22"/>
          <w:lang w:val="es-MX" w:eastAsia="en-US"/>
        </w:rPr>
      </w:pPr>
      <w:r w:rsidRPr="00132485">
        <w:rPr>
          <w:rFonts w:ascii="Calibri" w:eastAsia="Calibri" w:hAnsi="Calibri" w:cs="Calibri"/>
          <w:sz w:val="22"/>
          <w:szCs w:val="22"/>
          <w:lang w:val="es-UY" w:eastAsia="en-US"/>
        </w:rPr>
        <w:t>5</w:t>
      </w:r>
      <w:r w:rsidRPr="00132485">
        <w:rPr>
          <w:rFonts w:ascii="Calibri" w:eastAsia="Calibri" w:hAnsi="Calibri" w:cs="Calibri"/>
          <w:sz w:val="22"/>
          <w:szCs w:val="22"/>
          <w:lang w:val="es-MX" w:eastAsia="en-US"/>
        </w:rPr>
        <w:t>3</w:t>
      </w:r>
      <w:r w:rsidRPr="00132485">
        <w:rPr>
          <w:rFonts w:ascii="Calibri" w:eastAsia="Calibri" w:hAnsi="Calibri" w:cs="Calibri"/>
          <w:sz w:val="22"/>
          <w:szCs w:val="22"/>
          <w:lang w:val="es-UY" w:eastAsia="en-US"/>
        </w:rPr>
        <w:t xml:space="preserve">. En el marco del seguimiento a la ley 19122 y de una denuncia recibida, la INDDHH analizó la </w:t>
      </w:r>
      <w:r w:rsidRPr="00132485">
        <w:rPr>
          <w:rFonts w:ascii="Calibri" w:eastAsia="Calibri" w:hAnsi="Calibri" w:cs="Calibri"/>
          <w:i/>
          <w:sz w:val="22"/>
          <w:szCs w:val="22"/>
          <w:lang w:val="es-UY" w:eastAsia="en-US"/>
        </w:rPr>
        <w:t>“Guía para la transversalización de la temática afrodescendiente de la cuota laboral en el Estado Ley 19122, Art 4”</w:t>
      </w:r>
      <w:r w:rsidRPr="00132485">
        <w:rPr>
          <w:rFonts w:ascii="Calibri" w:eastAsia="Calibri" w:hAnsi="Calibri" w:cs="Calibri"/>
          <w:sz w:val="22"/>
          <w:szCs w:val="22"/>
          <w:lang w:val="es-UY" w:eastAsia="en-US"/>
        </w:rPr>
        <w:t xml:space="preserve"> elaborado por la Oficina de Nacional de Servicio Civil </w:t>
      </w:r>
      <w:r w:rsidRPr="00132485">
        <w:rPr>
          <w:rFonts w:ascii="Calibri" w:eastAsia="Calibri" w:hAnsi="Calibri" w:cs="Calibri"/>
          <w:sz w:val="22"/>
          <w:szCs w:val="22"/>
          <w:lang w:val="es-MX" w:eastAsia="en-US"/>
        </w:rPr>
        <w:t>en noviembre de 2018</w:t>
      </w:r>
      <w:r w:rsidRPr="00132485">
        <w:rPr>
          <w:rFonts w:eastAsia="Calibri" w:cs="Calibri"/>
          <w:sz w:val="18"/>
          <w:szCs w:val="22"/>
          <w:vertAlign w:val="superscript"/>
          <w:lang w:val="es-MX" w:eastAsia="en-US"/>
        </w:rPr>
        <w:footnoteReference w:id="11"/>
      </w:r>
      <w:r w:rsidRPr="00132485">
        <w:rPr>
          <w:rFonts w:ascii="Calibri" w:eastAsia="Calibri" w:hAnsi="Calibri" w:cs="Calibri"/>
          <w:sz w:val="22"/>
          <w:szCs w:val="22"/>
          <w:lang w:val="es-MX" w:eastAsia="en-US"/>
        </w:rPr>
        <w:t xml:space="preserve"> </w:t>
      </w:r>
      <w:r w:rsidRPr="00132485">
        <w:rPr>
          <w:rFonts w:ascii="Calibri" w:eastAsia="Calibri" w:hAnsi="Calibri" w:cs="Calibri"/>
          <w:sz w:val="22"/>
          <w:szCs w:val="22"/>
          <w:lang w:val="es-UY" w:eastAsia="en-US"/>
        </w:rPr>
        <w:t xml:space="preserve">y con el asesoramiento del Ministerio de Desarrollo Social.  Esta guía expresa que: ´´Se sugiere priorizar para la aplicación de la cuota aquellos puestos cuyos perfiles resulten más accesibles y donde cabe esperar una gran afluencia de postulaciones´´. Esta orientación se sostiene en el concepto de “perfiles enmarcados en una posible división del trabajo que, de forma simbólica y fáctica, se basa en la raza”, concepción contraria al principio de igualdad y no discriminación. </w:t>
      </w:r>
    </w:p>
    <w:p w14:paraId="1EBA74F4" w14:textId="77777777" w:rsidR="00132485" w:rsidRPr="00132485" w:rsidRDefault="00132485" w:rsidP="00132485">
      <w:pPr>
        <w:spacing w:after="16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5</w:t>
      </w:r>
      <w:r w:rsidRPr="00132485">
        <w:rPr>
          <w:rFonts w:ascii="Calibri" w:eastAsia="Calibri" w:hAnsi="Calibri" w:cs="Calibri"/>
          <w:sz w:val="22"/>
          <w:szCs w:val="22"/>
          <w:lang w:val="es-MX" w:eastAsia="en-US"/>
        </w:rPr>
        <w:t>4</w:t>
      </w:r>
      <w:r w:rsidRPr="00132485">
        <w:rPr>
          <w:rFonts w:ascii="Calibri" w:eastAsia="Calibri" w:hAnsi="Calibri" w:cs="Calibri"/>
          <w:sz w:val="22"/>
          <w:szCs w:val="22"/>
          <w:lang w:val="es-UY" w:eastAsia="en-US"/>
        </w:rPr>
        <w:t>. La INDDHH ha considerado que el Estado Uruguayo debe abandonar el concepto (y su terminología correspondiente) de “perfil” en los casos que impliquen definiciones que apunten a definir un rol y un valor social predeterminado a cualquier grupo. Lo anterior exige, específicamente, una adecuación de la terminología de la Guía para evitar que se utilice para desfavorecer a quienes la ley ampara, o para para dificultar la total implementación de esta norma.</w:t>
      </w:r>
    </w:p>
    <w:p w14:paraId="72256F3B" w14:textId="77777777" w:rsidR="00132485" w:rsidRPr="00132485" w:rsidRDefault="00132485" w:rsidP="00132485">
      <w:pPr>
        <w:spacing w:after="16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5</w:t>
      </w:r>
      <w:r w:rsidRPr="00132485">
        <w:rPr>
          <w:rFonts w:ascii="Calibri" w:eastAsia="Calibri" w:hAnsi="Calibri" w:cs="Calibri"/>
          <w:sz w:val="22"/>
          <w:szCs w:val="22"/>
          <w:lang w:val="es-MX" w:eastAsia="en-US"/>
        </w:rPr>
        <w:t>5</w:t>
      </w:r>
      <w:r w:rsidRPr="00132485">
        <w:rPr>
          <w:rFonts w:ascii="Calibri" w:eastAsia="Calibri" w:hAnsi="Calibri" w:cs="Calibri"/>
          <w:sz w:val="22"/>
          <w:szCs w:val="22"/>
          <w:lang w:val="es-UY" w:eastAsia="en-US"/>
        </w:rPr>
        <w:t xml:space="preserve">. Acerca del progreso realizado para la adopción del Plan Nacional de Equidad Racial y Afrodescendencia 2019-2022, la INDDHH participa del Consejo Nacional de Equidad Racial creado por el Decreto 81/2019 y es de destacar que está en funcionamiento con una frecuencia de reuniones bimensuales. El Consejo se organiza en cuatro comisiones acordes a los objetivos del Plan: Racismo y discriminación, Trabajo, empleo y seguridad social, Salud y Educación. Estas comisiones han elaborado sus planes operativos anuales, ante lo que surge la preocupación por las posibilidades reales de cada organismo para implementar las acciones definidas debido a debilidades institucionales que se observan en los Mecanismos de Equidad Racial a la interna de cada organismo. </w:t>
      </w:r>
    </w:p>
    <w:p w14:paraId="21292C49" w14:textId="77777777" w:rsidR="00132485" w:rsidRPr="00132485" w:rsidRDefault="00132485" w:rsidP="00132485">
      <w:pPr>
        <w:spacing w:after="160" w:line="288" w:lineRule="auto"/>
        <w:jc w:val="both"/>
        <w:rPr>
          <w:rFonts w:ascii="Calibri" w:eastAsia="Calibri" w:hAnsi="Calibri" w:cs="Calibri"/>
          <w:sz w:val="22"/>
          <w:szCs w:val="22"/>
          <w:lang w:val="es-MX" w:eastAsia="en-US"/>
        </w:rPr>
      </w:pPr>
      <w:r w:rsidRPr="00132485">
        <w:rPr>
          <w:rFonts w:ascii="Calibri" w:eastAsia="Calibri" w:hAnsi="Calibri" w:cs="Calibri"/>
          <w:sz w:val="22"/>
          <w:szCs w:val="22"/>
          <w:lang w:val="es-UY" w:eastAsia="en-US"/>
        </w:rPr>
        <w:t>5</w:t>
      </w:r>
      <w:r w:rsidRPr="00132485">
        <w:rPr>
          <w:rFonts w:ascii="Calibri" w:eastAsia="Calibri" w:hAnsi="Calibri" w:cs="Calibri"/>
          <w:sz w:val="22"/>
          <w:szCs w:val="22"/>
          <w:lang w:val="es-MX" w:eastAsia="en-US"/>
        </w:rPr>
        <w:t>6</w:t>
      </w:r>
      <w:r w:rsidRPr="00132485">
        <w:rPr>
          <w:rFonts w:ascii="Calibri" w:eastAsia="Calibri" w:hAnsi="Calibri" w:cs="Calibri"/>
          <w:sz w:val="22"/>
          <w:szCs w:val="22"/>
          <w:lang w:val="es-UY" w:eastAsia="en-US"/>
        </w:rPr>
        <w:t xml:space="preserve">. Por otro lado, la Ley 19924 de Presupuesto Nacional 2020-2024, convirtió a la Dirección de Promoción Socio-cultural del Ministerio de Desarrollo Social (MIDES) –donde se alojaba el Departamento de Afrodescendencia dentro de la División de Derechos Humanos y también al Grupo de Trabajo sobre Políticas de Equidad Racial- en un área dentro de la nueva Dirección Nacional de Desarrollo Social creada por esta Ley. </w:t>
      </w:r>
      <w:r w:rsidRPr="00132485">
        <w:rPr>
          <w:rFonts w:ascii="Calibri" w:eastAsia="Calibri" w:hAnsi="Calibri" w:cs="Calibri"/>
          <w:sz w:val="22"/>
          <w:szCs w:val="22"/>
          <w:lang w:val="es-MX" w:eastAsia="en-US"/>
        </w:rPr>
        <w:t>La INDDHH en su Informe al Comité de Derechos Humanos  para su 135 Período de Sesiones (2022)</w:t>
      </w:r>
      <w:r w:rsidRPr="00132485">
        <w:rPr>
          <w:rFonts w:eastAsia="Calibri" w:cs="Calibri"/>
          <w:sz w:val="18"/>
          <w:szCs w:val="22"/>
          <w:vertAlign w:val="superscript"/>
          <w:lang w:val="es-MX" w:eastAsia="en-US"/>
        </w:rPr>
        <w:footnoteReference w:id="12"/>
      </w:r>
      <w:r w:rsidRPr="00132485">
        <w:rPr>
          <w:rFonts w:ascii="Calibri" w:eastAsia="Calibri" w:hAnsi="Calibri" w:cs="Calibri"/>
          <w:sz w:val="22"/>
          <w:szCs w:val="22"/>
          <w:lang w:val="es-MX" w:eastAsia="en-US"/>
        </w:rPr>
        <w:t xml:space="preserve">  manifestó ya su preocupación por </w:t>
      </w:r>
      <w:r w:rsidRPr="00132485">
        <w:rPr>
          <w:rFonts w:ascii="Calibri" w:eastAsia="Calibri" w:hAnsi="Calibri" w:cs="Calibri"/>
          <w:sz w:val="22"/>
          <w:szCs w:val="22"/>
          <w:lang w:val="es-MX" w:eastAsia="en-US"/>
        </w:rPr>
        <w:lastRenderedPageBreak/>
        <w:t xml:space="preserve">esta </w:t>
      </w:r>
      <w:r w:rsidRPr="00132485">
        <w:rPr>
          <w:rFonts w:ascii="Calibri" w:eastAsia="Calibri" w:hAnsi="Calibri" w:cs="Calibri"/>
          <w:sz w:val="22"/>
          <w:szCs w:val="22"/>
          <w:lang w:val="es-UY" w:eastAsia="en-US"/>
        </w:rPr>
        <w:t xml:space="preserve">rebaja en la jerarquía dentro del Ministerio </w:t>
      </w:r>
      <w:r w:rsidRPr="00132485">
        <w:rPr>
          <w:rFonts w:ascii="Calibri" w:eastAsia="Calibri" w:hAnsi="Calibri" w:cs="Calibri"/>
          <w:sz w:val="22"/>
          <w:szCs w:val="22"/>
          <w:lang w:val="es-MX" w:eastAsia="en-US"/>
        </w:rPr>
        <w:t xml:space="preserve">al pasar </w:t>
      </w:r>
      <w:r w:rsidRPr="00132485">
        <w:rPr>
          <w:rFonts w:ascii="Calibri" w:eastAsia="Calibri" w:hAnsi="Calibri" w:cs="Calibri"/>
          <w:sz w:val="22"/>
          <w:szCs w:val="22"/>
          <w:lang w:val="es-UY" w:eastAsia="en-US"/>
        </w:rPr>
        <w:t xml:space="preserve"> de ser un departamento dentro de una dirección, a ser un área. </w:t>
      </w:r>
      <w:r w:rsidRPr="00132485">
        <w:rPr>
          <w:rFonts w:ascii="Calibri" w:eastAsia="Calibri" w:hAnsi="Calibri" w:cs="Calibri"/>
          <w:sz w:val="22"/>
          <w:szCs w:val="22"/>
          <w:lang w:val="es-MX" w:eastAsia="en-US"/>
        </w:rPr>
        <w:t xml:space="preserve"> Esta inquietud es recogida de los planteos realizados por organizaciones de la </w:t>
      </w:r>
      <w:r w:rsidRPr="00132485">
        <w:rPr>
          <w:rFonts w:ascii="Calibri" w:eastAsia="Calibri" w:hAnsi="Calibri" w:cs="Calibri"/>
          <w:sz w:val="22"/>
          <w:szCs w:val="22"/>
          <w:lang w:val="es-UY" w:eastAsia="en-US"/>
        </w:rPr>
        <w:t>sociedad civil</w:t>
      </w:r>
      <w:r w:rsidRPr="00132485">
        <w:rPr>
          <w:rFonts w:ascii="Calibri" w:eastAsia="Calibri" w:hAnsi="Calibri" w:cs="Calibri"/>
          <w:sz w:val="22"/>
          <w:szCs w:val="22"/>
          <w:lang w:val="es-MX" w:eastAsia="en-US"/>
        </w:rPr>
        <w:t xml:space="preserve">, quienes han planteado también que donde </w:t>
      </w:r>
      <w:r w:rsidRPr="00132485">
        <w:rPr>
          <w:rFonts w:ascii="Calibri" w:eastAsia="Calibri" w:hAnsi="Calibri" w:cs="Calibri"/>
          <w:sz w:val="22"/>
          <w:szCs w:val="22"/>
          <w:lang w:val="es-UY" w:eastAsia="en-US"/>
        </w:rPr>
        <w:t>una de las consecuencias de estos cambios institucionales fue la eliminación del área de trabajo “Inmujeres- Afro”, que abordaba de forma específica la situación de las mujeres afrodescendientes.</w:t>
      </w:r>
      <w:r w:rsidRPr="00132485">
        <w:rPr>
          <w:rFonts w:ascii="Calibri" w:eastAsia="Calibri" w:hAnsi="Calibri" w:cs="Calibri"/>
          <w:sz w:val="22"/>
          <w:szCs w:val="22"/>
          <w:lang w:val="es-MX" w:eastAsia="en-US"/>
        </w:rPr>
        <w:t xml:space="preserve"> </w:t>
      </w:r>
    </w:p>
    <w:p w14:paraId="4394BE1E" w14:textId="77777777" w:rsidR="00132485" w:rsidRPr="00132485" w:rsidRDefault="00132485" w:rsidP="00132485">
      <w:pPr>
        <w:spacing w:after="160" w:line="288"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MX" w:eastAsia="en-US"/>
        </w:rPr>
        <w:t xml:space="preserve">57. </w:t>
      </w:r>
      <w:r w:rsidRPr="00132485">
        <w:rPr>
          <w:rFonts w:ascii="Calibri" w:eastAsia="Calibri" w:hAnsi="Calibri" w:cs="Calibri"/>
          <w:sz w:val="22"/>
          <w:szCs w:val="22"/>
          <w:lang w:val="es-UY" w:eastAsia="en-US"/>
        </w:rPr>
        <w:t>Adicionalmente debe tenerse en cuenta que el período previsto para este primer plan llegó a su fin, por lo que cabría esperar que el Estado uruguayo lidere la realización de una evaluación y comience el proceso de elaboración de un segundo plan. Sobre todo, teniendo en cuenta que se trata de procesos –tanto la evaluación como la planificación del segundo plan- que deben ser participativos y descentralizados, en los que deben estar dadas las garantías para que la sociedad civil afrodescendiente tenga posibilidad de incidir en todas las etapas del Plan.</w:t>
      </w:r>
    </w:p>
    <w:p w14:paraId="3C4E5752" w14:textId="77777777" w:rsidR="00132485" w:rsidRPr="00132485" w:rsidRDefault="00132485" w:rsidP="00132485">
      <w:pPr>
        <w:spacing w:after="160" w:line="288" w:lineRule="auto"/>
        <w:rPr>
          <w:rFonts w:ascii="Calibri" w:eastAsia="Calibri" w:hAnsi="Calibri" w:cs="Calibri"/>
          <w:sz w:val="22"/>
          <w:szCs w:val="22"/>
          <w:lang w:val="es-UY" w:eastAsia="en-US"/>
        </w:rPr>
      </w:pPr>
    </w:p>
    <w:p w14:paraId="2478B723" w14:textId="77777777" w:rsidR="00132485" w:rsidRPr="00132485" w:rsidRDefault="00132485" w:rsidP="00132485">
      <w:pPr>
        <w:spacing w:after="160" w:line="288" w:lineRule="auto"/>
        <w:rPr>
          <w:rFonts w:ascii="Calibri" w:eastAsia="Calibri" w:hAnsi="Calibri" w:cs="Calibri"/>
          <w:sz w:val="22"/>
          <w:szCs w:val="22"/>
          <w:lang w:val="es-UY" w:eastAsia="en-US"/>
        </w:rPr>
      </w:pPr>
    </w:p>
    <w:p w14:paraId="46168518" w14:textId="77777777" w:rsidR="00132485" w:rsidRPr="00132485" w:rsidRDefault="00132485" w:rsidP="00132485">
      <w:pPr>
        <w:spacing w:after="160" w:line="288" w:lineRule="auto"/>
        <w:rPr>
          <w:rFonts w:ascii="Calibri" w:eastAsia="Calibri" w:hAnsi="Calibri" w:cs="Calibri"/>
          <w:sz w:val="22"/>
          <w:szCs w:val="22"/>
          <w:lang w:val="es-UY" w:eastAsia="en-US"/>
        </w:rPr>
      </w:pPr>
    </w:p>
    <w:p w14:paraId="68FCB937" w14:textId="77777777" w:rsidR="00132485" w:rsidRPr="00132485" w:rsidRDefault="00132485" w:rsidP="00132485">
      <w:pPr>
        <w:spacing w:after="160" w:line="259" w:lineRule="auto"/>
        <w:rPr>
          <w:rFonts w:ascii="Calibri" w:eastAsia="Calibri" w:hAnsi="Calibri"/>
          <w:b/>
          <w:lang w:val="es-UY" w:eastAsia="en-US"/>
        </w:rPr>
      </w:pPr>
    </w:p>
    <w:p w14:paraId="425A6878" w14:textId="77777777" w:rsidR="00132485" w:rsidRPr="00132485" w:rsidRDefault="00132485" w:rsidP="00132485">
      <w:pPr>
        <w:spacing w:after="160" w:line="259" w:lineRule="auto"/>
        <w:rPr>
          <w:rFonts w:ascii="Calibri" w:eastAsia="Calibri" w:hAnsi="Calibri"/>
          <w:b/>
          <w:lang w:val="es-UY" w:eastAsia="en-US"/>
        </w:rPr>
      </w:pPr>
    </w:p>
    <w:p w14:paraId="2166963E" w14:textId="77777777" w:rsidR="00132485" w:rsidRPr="00132485" w:rsidRDefault="00132485" w:rsidP="00132485">
      <w:pPr>
        <w:spacing w:after="160" w:line="259" w:lineRule="auto"/>
        <w:rPr>
          <w:rFonts w:ascii="Calibri" w:eastAsia="Calibri" w:hAnsi="Calibri"/>
          <w:b/>
          <w:lang w:val="es-UY" w:eastAsia="en-US"/>
        </w:rPr>
      </w:pPr>
    </w:p>
    <w:p w14:paraId="779E8969" w14:textId="77777777" w:rsidR="00132485" w:rsidRPr="00132485" w:rsidRDefault="00132485" w:rsidP="00132485">
      <w:pPr>
        <w:spacing w:after="160" w:line="259" w:lineRule="auto"/>
        <w:rPr>
          <w:rFonts w:ascii="Calibri" w:eastAsia="Calibri" w:hAnsi="Calibri"/>
          <w:b/>
          <w:lang w:val="es-UY" w:eastAsia="en-US"/>
        </w:rPr>
      </w:pPr>
    </w:p>
    <w:p w14:paraId="180A6686" w14:textId="77777777" w:rsidR="00132485" w:rsidRPr="00132485" w:rsidRDefault="00132485" w:rsidP="00132485">
      <w:pPr>
        <w:spacing w:after="160" w:line="259" w:lineRule="auto"/>
        <w:rPr>
          <w:rFonts w:ascii="Calibri" w:eastAsia="Calibri" w:hAnsi="Calibri"/>
          <w:b/>
          <w:lang w:val="es-UY" w:eastAsia="en-US"/>
        </w:rPr>
      </w:pPr>
    </w:p>
    <w:p w14:paraId="620BF360" w14:textId="77777777" w:rsidR="00132485" w:rsidRPr="00132485" w:rsidRDefault="00132485" w:rsidP="00132485">
      <w:pPr>
        <w:spacing w:after="160" w:line="360" w:lineRule="auto"/>
        <w:rPr>
          <w:rFonts w:ascii="Calibri" w:eastAsia="Calibri" w:hAnsi="Calibri" w:cs="Calibri"/>
          <w:color w:val="4472C4"/>
          <w:sz w:val="22"/>
          <w:szCs w:val="22"/>
          <w:lang w:val="es-UY" w:eastAsia="en-US"/>
          <w14:textFill>
            <w14:solidFill>
              <w14:srgbClr w14:val="4472C4">
                <w14:lumMod w14:val="60000"/>
                <w14:lumOff w14:val="40000"/>
              </w14:srgbClr>
            </w14:solidFill>
          </w14:textFill>
        </w:rPr>
      </w:pPr>
    </w:p>
    <w:p w14:paraId="7F849BC3" w14:textId="77777777" w:rsidR="00132485" w:rsidRPr="00132485" w:rsidRDefault="00132485" w:rsidP="00132485">
      <w:pPr>
        <w:rPr>
          <w:rFonts w:ascii="Calibri" w:eastAsia="Calibri" w:hAnsi="Calibri" w:cs="Calibri"/>
          <w:color w:val="4472C4"/>
          <w:sz w:val="22"/>
          <w:szCs w:val="22"/>
          <w:lang w:val="es-UY" w:eastAsia="en-US"/>
          <w14:textFill>
            <w14:solidFill>
              <w14:srgbClr w14:val="4472C4">
                <w14:lumMod w14:val="60000"/>
                <w14:lumOff w14:val="40000"/>
              </w14:srgbClr>
            </w14:solidFill>
          </w14:textFill>
        </w:rPr>
      </w:pPr>
      <w:r w:rsidRPr="00132485">
        <w:rPr>
          <w:rFonts w:ascii="Calibri" w:eastAsia="Calibri" w:hAnsi="Calibri" w:cs="Calibri"/>
          <w:color w:val="4472C4"/>
          <w:sz w:val="22"/>
          <w:szCs w:val="22"/>
          <w:lang w:val="es-UY" w:eastAsia="en-US"/>
          <w14:textFill>
            <w14:solidFill>
              <w14:srgbClr w14:val="4472C4">
                <w14:lumMod w14:val="60000"/>
                <w14:lumOff w14:val="40000"/>
              </w14:srgbClr>
            </w14:solidFill>
          </w14:textFill>
        </w:rPr>
        <w:br w:type="page"/>
      </w:r>
    </w:p>
    <w:p w14:paraId="1D588BA4" w14:textId="77777777" w:rsidR="00132485" w:rsidRPr="00132485" w:rsidRDefault="00132485" w:rsidP="00132485">
      <w:pPr>
        <w:keepNext/>
        <w:keepLines/>
        <w:spacing w:before="240" w:line="259" w:lineRule="auto"/>
        <w:outlineLvl w:val="0"/>
        <w:rPr>
          <w:rFonts w:ascii="Calibri Light" w:eastAsia="等线 Light" w:hAnsi="Calibri Light"/>
          <w:color w:val="2E74B5"/>
          <w:sz w:val="32"/>
          <w:szCs w:val="32"/>
          <w:lang w:val="es-UY" w:eastAsia="en-US"/>
        </w:rPr>
      </w:pPr>
      <w:bookmarkStart w:id="5" w:name="_Toc138930083"/>
      <w:r w:rsidRPr="00132485">
        <w:rPr>
          <w:rFonts w:ascii="Calibri Light" w:eastAsia="等线 Light" w:hAnsi="Calibri Light"/>
          <w:color w:val="2E74B5"/>
          <w:sz w:val="32"/>
          <w:szCs w:val="32"/>
          <w:lang w:val="es-UY" w:eastAsia="en-US"/>
        </w:rPr>
        <w:lastRenderedPageBreak/>
        <w:t>ANEXO 1</w:t>
      </w:r>
      <w:bookmarkEnd w:id="5"/>
    </w:p>
    <w:p w14:paraId="68F1D988" w14:textId="77777777" w:rsidR="00132485" w:rsidRPr="00132485" w:rsidRDefault="00132485" w:rsidP="00132485">
      <w:pPr>
        <w:spacing w:after="160" w:line="360" w:lineRule="auto"/>
        <w:rPr>
          <w:rFonts w:ascii="Calibri" w:eastAsia="Calibri" w:hAnsi="Calibri" w:cs="Calibri"/>
          <w:b/>
          <w:sz w:val="22"/>
          <w:szCs w:val="22"/>
          <w:lang w:eastAsia="en-US"/>
        </w:rPr>
      </w:pPr>
      <w:r w:rsidRPr="00132485">
        <w:rPr>
          <w:rFonts w:ascii="Calibri" w:eastAsia="Calibri" w:hAnsi="Calibri" w:cs="Calibri"/>
          <w:b/>
          <w:sz w:val="22"/>
          <w:szCs w:val="22"/>
          <w:lang w:eastAsia="en-US"/>
        </w:rPr>
        <w:t>PORCENTAJE DE OCUPADOS QUE NO APORTA A LA SEGURIDAD SOCIAL. 2006 – 2021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7"/>
        <w:gridCol w:w="3108"/>
        <w:gridCol w:w="3446"/>
      </w:tblGrid>
      <w:tr w:rsidR="00132485" w:rsidRPr="00132485" w14:paraId="68815E10" w14:textId="77777777" w:rsidTr="00984A17">
        <w:trPr>
          <w:trHeight w:val="300"/>
        </w:trPr>
        <w:tc>
          <w:tcPr>
            <w:tcW w:w="0" w:type="auto"/>
            <w:shd w:val="clear" w:color="auto" w:fill="auto"/>
            <w:noWrap/>
            <w:vAlign w:val="bottom"/>
          </w:tcPr>
          <w:p w14:paraId="21333723"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AÑO</w:t>
            </w:r>
          </w:p>
        </w:tc>
        <w:tc>
          <w:tcPr>
            <w:tcW w:w="0" w:type="auto"/>
            <w:shd w:val="clear" w:color="auto" w:fill="auto"/>
            <w:noWrap/>
            <w:vAlign w:val="bottom"/>
          </w:tcPr>
          <w:p w14:paraId="44D6EF70"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POBLACIÓN AFRODESCENDIENTE</w:t>
            </w:r>
          </w:p>
        </w:tc>
        <w:tc>
          <w:tcPr>
            <w:tcW w:w="0" w:type="auto"/>
            <w:shd w:val="clear" w:color="auto" w:fill="auto"/>
            <w:noWrap/>
            <w:vAlign w:val="bottom"/>
          </w:tcPr>
          <w:p w14:paraId="04AC7E99"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POBLACIÓN NO AFRODESCENDIENTE</w:t>
            </w:r>
          </w:p>
        </w:tc>
      </w:tr>
      <w:tr w:rsidR="00132485" w:rsidRPr="00132485" w14:paraId="386B86AA" w14:textId="77777777" w:rsidTr="00984A17">
        <w:trPr>
          <w:trHeight w:val="300"/>
        </w:trPr>
        <w:tc>
          <w:tcPr>
            <w:tcW w:w="0" w:type="auto"/>
            <w:shd w:val="clear" w:color="auto" w:fill="auto"/>
            <w:noWrap/>
            <w:vAlign w:val="bottom"/>
          </w:tcPr>
          <w:p w14:paraId="46028BA4"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2021</w:t>
            </w:r>
          </w:p>
        </w:tc>
        <w:tc>
          <w:tcPr>
            <w:tcW w:w="0" w:type="auto"/>
            <w:shd w:val="clear" w:color="auto" w:fill="auto"/>
            <w:noWrap/>
            <w:vAlign w:val="bottom"/>
          </w:tcPr>
          <w:p w14:paraId="6AB3E7C5"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30,6</w:t>
            </w:r>
          </w:p>
        </w:tc>
        <w:tc>
          <w:tcPr>
            <w:tcW w:w="0" w:type="auto"/>
            <w:shd w:val="clear" w:color="auto" w:fill="auto"/>
            <w:noWrap/>
            <w:vAlign w:val="bottom"/>
          </w:tcPr>
          <w:p w14:paraId="12CF5E90"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21,5</w:t>
            </w:r>
          </w:p>
        </w:tc>
      </w:tr>
      <w:tr w:rsidR="00132485" w:rsidRPr="00132485" w14:paraId="100C851F" w14:textId="77777777" w:rsidTr="00984A17">
        <w:trPr>
          <w:trHeight w:val="300"/>
        </w:trPr>
        <w:tc>
          <w:tcPr>
            <w:tcW w:w="0" w:type="auto"/>
            <w:shd w:val="clear" w:color="auto" w:fill="auto"/>
            <w:noWrap/>
            <w:vAlign w:val="bottom"/>
          </w:tcPr>
          <w:p w14:paraId="101A051F"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2020</w:t>
            </w:r>
          </w:p>
        </w:tc>
        <w:tc>
          <w:tcPr>
            <w:tcW w:w="0" w:type="auto"/>
            <w:shd w:val="clear" w:color="auto" w:fill="auto"/>
            <w:noWrap/>
            <w:vAlign w:val="bottom"/>
          </w:tcPr>
          <w:p w14:paraId="5143362D"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30,1</w:t>
            </w:r>
          </w:p>
        </w:tc>
        <w:tc>
          <w:tcPr>
            <w:tcW w:w="0" w:type="auto"/>
            <w:shd w:val="clear" w:color="auto" w:fill="auto"/>
            <w:noWrap/>
            <w:vAlign w:val="bottom"/>
          </w:tcPr>
          <w:p w14:paraId="1A8233DE"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20,8</w:t>
            </w:r>
          </w:p>
        </w:tc>
      </w:tr>
      <w:tr w:rsidR="00132485" w:rsidRPr="00132485" w14:paraId="47F14558" w14:textId="77777777" w:rsidTr="00984A17">
        <w:trPr>
          <w:trHeight w:val="300"/>
        </w:trPr>
        <w:tc>
          <w:tcPr>
            <w:tcW w:w="0" w:type="auto"/>
            <w:shd w:val="clear" w:color="auto" w:fill="auto"/>
            <w:noWrap/>
            <w:vAlign w:val="bottom"/>
          </w:tcPr>
          <w:p w14:paraId="4B5BB5F3"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2019</w:t>
            </w:r>
          </w:p>
        </w:tc>
        <w:tc>
          <w:tcPr>
            <w:tcW w:w="0" w:type="auto"/>
            <w:shd w:val="clear" w:color="auto" w:fill="auto"/>
            <w:noWrap/>
            <w:vAlign w:val="bottom"/>
          </w:tcPr>
          <w:p w14:paraId="18601441"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34,5</w:t>
            </w:r>
          </w:p>
        </w:tc>
        <w:tc>
          <w:tcPr>
            <w:tcW w:w="0" w:type="auto"/>
            <w:shd w:val="clear" w:color="auto" w:fill="auto"/>
            <w:noWrap/>
            <w:vAlign w:val="bottom"/>
          </w:tcPr>
          <w:p w14:paraId="38F5C772"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23,3</w:t>
            </w:r>
          </w:p>
        </w:tc>
      </w:tr>
      <w:tr w:rsidR="00132485" w:rsidRPr="00132485" w14:paraId="40518760" w14:textId="77777777" w:rsidTr="00984A17">
        <w:trPr>
          <w:trHeight w:val="300"/>
        </w:trPr>
        <w:tc>
          <w:tcPr>
            <w:tcW w:w="0" w:type="auto"/>
            <w:shd w:val="clear" w:color="auto" w:fill="auto"/>
            <w:noWrap/>
            <w:vAlign w:val="bottom"/>
          </w:tcPr>
          <w:p w14:paraId="0DFE0E26"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2018</w:t>
            </w:r>
          </w:p>
        </w:tc>
        <w:tc>
          <w:tcPr>
            <w:tcW w:w="0" w:type="auto"/>
            <w:shd w:val="clear" w:color="auto" w:fill="auto"/>
            <w:noWrap/>
            <w:vAlign w:val="bottom"/>
          </w:tcPr>
          <w:p w14:paraId="66717EBA"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34,5</w:t>
            </w:r>
          </w:p>
        </w:tc>
        <w:tc>
          <w:tcPr>
            <w:tcW w:w="0" w:type="auto"/>
            <w:shd w:val="clear" w:color="auto" w:fill="auto"/>
            <w:noWrap/>
            <w:vAlign w:val="bottom"/>
          </w:tcPr>
          <w:p w14:paraId="2B1784E1"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23,2</w:t>
            </w:r>
          </w:p>
        </w:tc>
      </w:tr>
      <w:tr w:rsidR="00132485" w:rsidRPr="00132485" w14:paraId="6B351961" w14:textId="77777777" w:rsidTr="00984A17">
        <w:trPr>
          <w:trHeight w:val="300"/>
        </w:trPr>
        <w:tc>
          <w:tcPr>
            <w:tcW w:w="0" w:type="auto"/>
            <w:shd w:val="clear" w:color="auto" w:fill="auto"/>
            <w:noWrap/>
            <w:vAlign w:val="bottom"/>
          </w:tcPr>
          <w:p w14:paraId="12C34D56"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2017</w:t>
            </w:r>
          </w:p>
        </w:tc>
        <w:tc>
          <w:tcPr>
            <w:tcW w:w="0" w:type="auto"/>
            <w:shd w:val="clear" w:color="auto" w:fill="auto"/>
            <w:noWrap/>
            <w:vAlign w:val="bottom"/>
          </w:tcPr>
          <w:p w14:paraId="697A9F73"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34,3</w:t>
            </w:r>
          </w:p>
        </w:tc>
        <w:tc>
          <w:tcPr>
            <w:tcW w:w="0" w:type="auto"/>
            <w:shd w:val="clear" w:color="auto" w:fill="auto"/>
            <w:noWrap/>
            <w:vAlign w:val="bottom"/>
          </w:tcPr>
          <w:p w14:paraId="2043FC5C"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23,3</w:t>
            </w:r>
          </w:p>
        </w:tc>
      </w:tr>
      <w:tr w:rsidR="00132485" w:rsidRPr="00132485" w14:paraId="2BBDE54E" w14:textId="77777777" w:rsidTr="00984A17">
        <w:trPr>
          <w:trHeight w:val="300"/>
        </w:trPr>
        <w:tc>
          <w:tcPr>
            <w:tcW w:w="0" w:type="auto"/>
            <w:shd w:val="clear" w:color="auto" w:fill="auto"/>
            <w:noWrap/>
            <w:vAlign w:val="bottom"/>
          </w:tcPr>
          <w:p w14:paraId="6F1B94C6"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2016</w:t>
            </w:r>
          </w:p>
        </w:tc>
        <w:tc>
          <w:tcPr>
            <w:tcW w:w="0" w:type="auto"/>
            <w:shd w:val="clear" w:color="auto" w:fill="auto"/>
            <w:noWrap/>
            <w:vAlign w:val="bottom"/>
          </w:tcPr>
          <w:p w14:paraId="1027578F"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34,2</w:t>
            </w:r>
          </w:p>
        </w:tc>
        <w:tc>
          <w:tcPr>
            <w:tcW w:w="0" w:type="auto"/>
            <w:shd w:val="clear" w:color="auto" w:fill="auto"/>
            <w:noWrap/>
            <w:vAlign w:val="bottom"/>
          </w:tcPr>
          <w:p w14:paraId="5056C484"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23,9</w:t>
            </w:r>
          </w:p>
        </w:tc>
      </w:tr>
      <w:tr w:rsidR="00132485" w:rsidRPr="00132485" w14:paraId="3A42ABE3" w14:textId="77777777" w:rsidTr="00984A17">
        <w:trPr>
          <w:trHeight w:val="300"/>
        </w:trPr>
        <w:tc>
          <w:tcPr>
            <w:tcW w:w="0" w:type="auto"/>
            <w:shd w:val="clear" w:color="auto" w:fill="auto"/>
            <w:noWrap/>
            <w:vAlign w:val="bottom"/>
          </w:tcPr>
          <w:p w14:paraId="2F12A3A6"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2015</w:t>
            </w:r>
          </w:p>
        </w:tc>
        <w:tc>
          <w:tcPr>
            <w:tcW w:w="0" w:type="auto"/>
            <w:shd w:val="clear" w:color="auto" w:fill="auto"/>
            <w:noWrap/>
            <w:vAlign w:val="bottom"/>
          </w:tcPr>
          <w:p w14:paraId="791CE7A0"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34</w:t>
            </w:r>
          </w:p>
        </w:tc>
        <w:tc>
          <w:tcPr>
            <w:tcW w:w="0" w:type="auto"/>
            <w:shd w:val="clear" w:color="auto" w:fill="auto"/>
            <w:noWrap/>
            <w:vAlign w:val="bottom"/>
          </w:tcPr>
          <w:p w14:paraId="64EEDA89"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23,1</w:t>
            </w:r>
          </w:p>
        </w:tc>
      </w:tr>
      <w:tr w:rsidR="00132485" w:rsidRPr="00132485" w14:paraId="3F23289D" w14:textId="77777777" w:rsidTr="00984A17">
        <w:trPr>
          <w:trHeight w:val="300"/>
        </w:trPr>
        <w:tc>
          <w:tcPr>
            <w:tcW w:w="0" w:type="auto"/>
            <w:shd w:val="clear" w:color="auto" w:fill="auto"/>
            <w:noWrap/>
            <w:vAlign w:val="bottom"/>
          </w:tcPr>
          <w:p w14:paraId="2AC8EF72"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2014</w:t>
            </w:r>
          </w:p>
        </w:tc>
        <w:tc>
          <w:tcPr>
            <w:tcW w:w="0" w:type="auto"/>
            <w:shd w:val="clear" w:color="auto" w:fill="auto"/>
            <w:noWrap/>
            <w:vAlign w:val="bottom"/>
          </w:tcPr>
          <w:p w14:paraId="7996A2EE"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35,1</w:t>
            </w:r>
          </w:p>
        </w:tc>
        <w:tc>
          <w:tcPr>
            <w:tcW w:w="0" w:type="auto"/>
            <w:shd w:val="clear" w:color="auto" w:fill="auto"/>
            <w:noWrap/>
            <w:vAlign w:val="bottom"/>
          </w:tcPr>
          <w:p w14:paraId="22F57F58"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23,2</w:t>
            </w:r>
          </w:p>
        </w:tc>
      </w:tr>
      <w:tr w:rsidR="00132485" w:rsidRPr="00132485" w14:paraId="49441008" w14:textId="77777777" w:rsidTr="00984A17">
        <w:trPr>
          <w:trHeight w:val="300"/>
        </w:trPr>
        <w:tc>
          <w:tcPr>
            <w:tcW w:w="0" w:type="auto"/>
            <w:shd w:val="clear" w:color="auto" w:fill="auto"/>
            <w:noWrap/>
            <w:vAlign w:val="bottom"/>
          </w:tcPr>
          <w:p w14:paraId="42D9DA1D"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2013</w:t>
            </w:r>
          </w:p>
        </w:tc>
        <w:tc>
          <w:tcPr>
            <w:tcW w:w="0" w:type="auto"/>
            <w:shd w:val="clear" w:color="auto" w:fill="auto"/>
            <w:noWrap/>
            <w:vAlign w:val="bottom"/>
          </w:tcPr>
          <w:p w14:paraId="3A916486"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35,2</w:t>
            </w:r>
          </w:p>
        </w:tc>
        <w:tc>
          <w:tcPr>
            <w:tcW w:w="0" w:type="auto"/>
            <w:shd w:val="clear" w:color="auto" w:fill="auto"/>
            <w:noWrap/>
            <w:vAlign w:val="bottom"/>
          </w:tcPr>
          <w:p w14:paraId="76CA4849"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24</w:t>
            </w:r>
          </w:p>
        </w:tc>
      </w:tr>
      <w:tr w:rsidR="00132485" w:rsidRPr="00132485" w14:paraId="24E9A622" w14:textId="77777777" w:rsidTr="00984A17">
        <w:trPr>
          <w:trHeight w:val="300"/>
        </w:trPr>
        <w:tc>
          <w:tcPr>
            <w:tcW w:w="0" w:type="auto"/>
            <w:shd w:val="clear" w:color="auto" w:fill="auto"/>
            <w:noWrap/>
            <w:vAlign w:val="bottom"/>
          </w:tcPr>
          <w:p w14:paraId="5327D1F4"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2012</w:t>
            </w:r>
          </w:p>
        </w:tc>
        <w:tc>
          <w:tcPr>
            <w:tcW w:w="0" w:type="auto"/>
            <w:shd w:val="clear" w:color="auto" w:fill="auto"/>
            <w:noWrap/>
            <w:vAlign w:val="bottom"/>
          </w:tcPr>
          <w:p w14:paraId="39AE6FAF"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37,2</w:t>
            </w:r>
          </w:p>
        </w:tc>
        <w:tc>
          <w:tcPr>
            <w:tcW w:w="0" w:type="auto"/>
            <w:shd w:val="clear" w:color="auto" w:fill="auto"/>
            <w:noWrap/>
            <w:vAlign w:val="bottom"/>
          </w:tcPr>
          <w:p w14:paraId="73FF5195"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24,9</w:t>
            </w:r>
          </w:p>
        </w:tc>
      </w:tr>
      <w:tr w:rsidR="00132485" w:rsidRPr="00132485" w14:paraId="3702F539" w14:textId="77777777" w:rsidTr="00984A17">
        <w:trPr>
          <w:trHeight w:val="300"/>
        </w:trPr>
        <w:tc>
          <w:tcPr>
            <w:tcW w:w="0" w:type="auto"/>
            <w:shd w:val="clear" w:color="auto" w:fill="auto"/>
            <w:noWrap/>
            <w:vAlign w:val="bottom"/>
          </w:tcPr>
          <w:p w14:paraId="32973A7F"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2011</w:t>
            </w:r>
          </w:p>
        </w:tc>
        <w:tc>
          <w:tcPr>
            <w:tcW w:w="0" w:type="auto"/>
            <w:shd w:val="clear" w:color="auto" w:fill="auto"/>
            <w:noWrap/>
            <w:vAlign w:val="bottom"/>
          </w:tcPr>
          <w:p w14:paraId="6EABF34D"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38</w:t>
            </w:r>
          </w:p>
        </w:tc>
        <w:tc>
          <w:tcPr>
            <w:tcW w:w="0" w:type="auto"/>
            <w:shd w:val="clear" w:color="auto" w:fill="auto"/>
            <w:noWrap/>
            <w:vAlign w:val="bottom"/>
          </w:tcPr>
          <w:p w14:paraId="55A1B0A8"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26,7</w:t>
            </w:r>
          </w:p>
        </w:tc>
      </w:tr>
      <w:tr w:rsidR="00132485" w:rsidRPr="00132485" w14:paraId="5CA111A3" w14:textId="77777777" w:rsidTr="00984A17">
        <w:trPr>
          <w:trHeight w:val="300"/>
        </w:trPr>
        <w:tc>
          <w:tcPr>
            <w:tcW w:w="0" w:type="auto"/>
            <w:shd w:val="clear" w:color="auto" w:fill="auto"/>
            <w:noWrap/>
            <w:vAlign w:val="bottom"/>
          </w:tcPr>
          <w:p w14:paraId="07865D88"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2010</w:t>
            </w:r>
          </w:p>
        </w:tc>
        <w:tc>
          <w:tcPr>
            <w:tcW w:w="0" w:type="auto"/>
            <w:shd w:val="clear" w:color="auto" w:fill="auto"/>
            <w:noWrap/>
            <w:vAlign w:val="bottom"/>
          </w:tcPr>
          <w:p w14:paraId="48BEEB5E"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41,2</w:t>
            </w:r>
          </w:p>
        </w:tc>
        <w:tc>
          <w:tcPr>
            <w:tcW w:w="0" w:type="auto"/>
            <w:shd w:val="clear" w:color="auto" w:fill="auto"/>
            <w:noWrap/>
            <w:vAlign w:val="bottom"/>
          </w:tcPr>
          <w:p w14:paraId="5F58617E"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30,2</w:t>
            </w:r>
          </w:p>
        </w:tc>
      </w:tr>
      <w:tr w:rsidR="00132485" w:rsidRPr="00132485" w14:paraId="43BF6F1E" w14:textId="77777777" w:rsidTr="00984A17">
        <w:trPr>
          <w:trHeight w:val="300"/>
        </w:trPr>
        <w:tc>
          <w:tcPr>
            <w:tcW w:w="0" w:type="auto"/>
            <w:shd w:val="clear" w:color="auto" w:fill="auto"/>
            <w:noWrap/>
            <w:vAlign w:val="bottom"/>
          </w:tcPr>
          <w:p w14:paraId="2A2E8584"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2009</w:t>
            </w:r>
          </w:p>
        </w:tc>
        <w:tc>
          <w:tcPr>
            <w:tcW w:w="0" w:type="auto"/>
            <w:shd w:val="clear" w:color="auto" w:fill="auto"/>
            <w:noWrap/>
            <w:vAlign w:val="bottom"/>
          </w:tcPr>
          <w:p w14:paraId="55C4D0A0"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43,7</w:t>
            </w:r>
          </w:p>
        </w:tc>
        <w:tc>
          <w:tcPr>
            <w:tcW w:w="0" w:type="auto"/>
            <w:shd w:val="clear" w:color="auto" w:fill="auto"/>
            <w:noWrap/>
            <w:vAlign w:val="bottom"/>
          </w:tcPr>
          <w:p w14:paraId="7A846263"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30,6</w:t>
            </w:r>
          </w:p>
        </w:tc>
      </w:tr>
      <w:tr w:rsidR="00132485" w:rsidRPr="00132485" w14:paraId="3F20B7D7" w14:textId="77777777" w:rsidTr="00984A17">
        <w:trPr>
          <w:trHeight w:val="300"/>
        </w:trPr>
        <w:tc>
          <w:tcPr>
            <w:tcW w:w="0" w:type="auto"/>
            <w:shd w:val="clear" w:color="auto" w:fill="auto"/>
            <w:noWrap/>
            <w:vAlign w:val="bottom"/>
          </w:tcPr>
          <w:p w14:paraId="2216B52E"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2008</w:t>
            </w:r>
          </w:p>
        </w:tc>
        <w:tc>
          <w:tcPr>
            <w:tcW w:w="0" w:type="auto"/>
            <w:shd w:val="clear" w:color="auto" w:fill="auto"/>
            <w:noWrap/>
            <w:vAlign w:val="bottom"/>
          </w:tcPr>
          <w:p w14:paraId="5C317309"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44,1</w:t>
            </w:r>
          </w:p>
        </w:tc>
        <w:tc>
          <w:tcPr>
            <w:tcW w:w="0" w:type="auto"/>
            <w:shd w:val="clear" w:color="auto" w:fill="auto"/>
            <w:noWrap/>
            <w:vAlign w:val="bottom"/>
          </w:tcPr>
          <w:p w14:paraId="70170B7D"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31,7</w:t>
            </w:r>
          </w:p>
        </w:tc>
      </w:tr>
      <w:tr w:rsidR="00132485" w:rsidRPr="00132485" w14:paraId="409B53B4" w14:textId="77777777" w:rsidTr="00984A17">
        <w:trPr>
          <w:trHeight w:val="300"/>
        </w:trPr>
        <w:tc>
          <w:tcPr>
            <w:tcW w:w="0" w:type="auto"/>
            <w:shd w:val="clear" w:color="auto" w:fill="auto"/>
            <w:noWrap/>
            <w:vAlign w:val="bottom"/>
          </w:tcPr>
          <w:p w14:paraId="65398FA4"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2007</w:t>
            </w:r>
          </w:p>
        </w:tc>
        <w:tc>
          <w:tcPr>
            <w:tcW w:w="0" w:type="auto"/>
            <w:shd w:val="clear" w:color="auto" w:fill="auto"/>
            <w:noWrap/>
            <w:vAlign w:val="bottom"/>
          </w:tcPr>
          <w:p w14:paraId="6C486CEE"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47,1</w:t>
            </w:r>
          </w:p>
        </w:tc>
        <w:tc>
          <w:tcPr>
            <w:tcW w:w="0" w:type="auto"/>
            <w:shd w:val="clear" w:color="auto" w:fill="auto"/>
            <w:noWrap/>
            <w:vAlign w:val="bottom"/>
          </w:tcPr>
          <w:p w14:paraId="3187C4F2"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32,8</w:t>
            </w:r>
          </w:p>
        </w:tc>
      </w:tr>
      <w:tr w:rsidR="00132485" w:rsidRPr="00132485" w14:paraId="39FC93DC" w14:textId="77777777" w:rsidTr="00984A17">
        <w:trPr>
          <w:trHeight w:val="300"/>
        </w:trPr>
        <w:tc>
          <w:tcPr>
            <w:tcW w:w="0" w:type="auto"/>
            <w:shd w:val="clear" w:color="auto" w:fill="auto"/>
            <w:noWrap/>
            <w:vAlign w:val="bottom"/>
          </w:tcPr>
          <w:p w14:paraId="21E6E76D"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2006</w:t>
            </w:r>
          </w:p>
        </w:tc>
        <w:tc>
          <w:tcPr>
            <w:tcW w:w="0" w:type="auto"/>
            <w:shd w:val="clear" w:color="auto" w:fill="auto"/>
            <w:noWrap/>
            <w:vAlign w:val="bottom"/>
          </w:tcPr>
          <w:p w14:paraId="3248FB91"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48,1</w:t>
            </w:r>
          </w:p>
        </w:tc>
        <w:tc>
          <w:tcPr>
            <w:tcW w:w="0" w:type="auto"/>
            <w:shd w:val="clear" w:color="auto" w:fill="auto"/>
            <w:noWrap/>
            <w:vAlign w:val="bottom"/>
          </w:tcPr>
          <w:p w14:paraId="34E7C1A5"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33,3</w:t>
            </w:r>
          </w:p>
        </w:tc>
      </w:tr>
    </w:tbl>
    <w:p w14:paraId="29C12C40" w14:textId="77777777" w:rsidR="00132485" w:rsidRPr="00132485" w:rsidRDefault="00132485" w:rsidP="00132485">
      <w:pPr>
        <w:spacing w:after="160" w:line="360" w:lineRule="auto"/>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 xml:space="preserve"> FUENTE: MIRADOR DESCA. UMAD CON BASE A IECON – ECH COMPATIBILIZADA</w:t>
      </w:r>
    </w:p>
    <w:p w14:paraId="72CB581B" w14:textId="77777777" w:rsidR="00132485" w:rsidRPr="00132485" w:rsidRDefault="00132485" w:rsidP="00132485">
      <w:pPr>
        <w:spacing w:after="160" w:line="360" w:lineRule="auto"/>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 xml:space="preserve"> </w:t>
      </w:r>
    </w:p>
    <w:p w14:paraId="7E00013C" w14:textId="77777777" w:rsidR="00132485" w:rsidRPr="00132485" w:rsidRDefault="00132485" w:rsidP="00132485">
      <w:pPr>
        <w:spacing w:after="160"/>
        <w:rPr>
          <w:rFonts w:ascii="Calibri" w:eastAsia="Calibri" w:hAnsi="Calibri" w:cs="Calibri"/>
          <w:sz w:val="22"/>
          <w:szCs w:val="22"/>
          <w:lang w:val="es-UY" w:eastAsia="en-US"/>
        </w:rPr>
      </w:pPr>
      <w:r w:rsidRPr="00132485">
        <w:rPr>
          <w:rFonts w:ascii="Calibri" w:eastAsia="Calibri" w:hAnsi="Calibri" w:cs="Calibri"/>
          <w:b/>
          <w:sz w:val="22"/>
          <w:szCs w:val="22"/>
          <w:lang w:val="es-UY" w:eastAsia="en-US"/>
        </w:rPr>
        <w:t>PORCENTAJE DE PERSONAS DE 4 A 17 AÑOS QUE NO ASISTEN A CENTROS EDUCATIVOS SEGÚN ASCENDENCIA ÉTNICO RACIAL. 2006 - 2019</w:t>
      </w:r>
    </w:p>
    <w:tbl>
      <w:tblPr>
        <w:tblW w:w="3935" w:type="pct"/>
        <w:tblCellMar>
          <w:left w:w="70" w:type="dxa"/>
          <w:right w:w="70" w:type="dxa"/>
        </w:tblCellMar>
        <w:tblLook w:val="04A0" w:firstRow="1" w:lastRow="0" w:firstColumn="1" w:lastColumn="0" w:noHBand="0" w:noVBand="1"/>
      </w:tblPr>
      <w:tblGrid>
        <w:gridCol w:w="587"/>
        <w:gridCol w:w="3108"/>
        <w:gridCol w:w="3446"/>
      </w:tblGrid>
      <w:tr w:rsidR="00132485" w:rsidRPr="00132485" w14:paraId="4974B3CA" w14:textId="77777777" w:rsidTr="00984A17">
        <w:trPr>
          <w:trHeight w:val="302"/>
        </w:trPr>
        <w:tc>
          <w:tcPr>
            <w:tcW w:w="115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13C5DB2"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lastRenderedPageBreak/>
              <w:t>AÑO</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3E35C17"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POBLACIÓN AFRODESCENDIENTE</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450C3CF"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POBLACIÓN NO AFRODESCENDIENTE</w:t>
            </w:r>
          </w:p>
        </w:tc>
      </w:tr>
      <w:tr w:rsidR="00132485" w:rsidRPr="00132485" w14:paraId="7D41B5CA" w14:textId="77777777" w:rsidTr="00984A17">
        <w:trPr>
          <w:trHeight w:val="302"/>
        </w:trPr>
        <w:tc>
          <w:tcPr>
            <w:tcW w:w="115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D223330"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2019</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4127401"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5,6</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2F933B7"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3,5</w:t>
            </w:r>
          </w:p>
        </w:tc>
      </w:tr>
      <w:tr w:rsidR="00132485" w:rsidRPr="00132485" w14:paraId="3EA0C2C7" w14:textId="77777777" w:rsidTr="00984A17">
        <w:trPr>
          <w:trHeight w:val="302"/>
        </w:trPr>
        <w:tc>
          <w:tcPr>
            <w:tcW w:w="115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CE7FD11"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2018</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AE46A97"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6,1</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7D9EE89"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4,3</w:t>
            </w:r>
          </w:p>
        </w:tc>
      </w:tr>
      <w:tr w:rsidR="00132485" w:rsidRPr="00132485" w14:paraId="273A387A" w14:textId="77777777" w:rsidTr="00984A17">
        <w:trPr>
          <w:trHeight w:val="302"/>
        </w:trPr>
        <w:tc>
          <w:tcPr>
            <w:tcW w:w="115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85D314C"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2017</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A3904C0"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5,9</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8783948"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4,7</w:t>
            </w:r>
          </w:p>
        </w:tc>
      </w:tr>
      <w:tr w:rsidR="00132485" w:rsidRPr="00132485" w14:paraId="6B7B519B" w14:textId="77777777" w:rsidTr="00984A17">
        <w:trPr>
          <w:trHeight w:val="302"/>
        </w:trPr>
        <w:tc>
          <w:tcPr>
            <w:tcW w:w="115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F95786F"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2016</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43A2B8B"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7,4</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6A538A7"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5,2</w:t>
            </w:r>
          </w:p>
        </w:tc>
      </w:tr>
      <w:tr w:rsidR="00132485" w:rsidRPr="00132485" w14:paraId="0FACDD35" w14:textId="77777777" w:rsidTr="00984A17">
        <w:trPr>
          <w:trHeight w:val="302"/>
        </w:trPr>
        <w:tc>
          <w:tcPr>
            <w:tcW w:w="115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4F69992"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2015</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36E7664"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8,8</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FC0BA03"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5,6</w:t>
            </w:r>
          </w:p>
        </w:tc>
      </w:tr>
      <w:tr w:rsidR="00132485" w:rsidRPr="00132485" w14:paraId="067A7743" w14:textId="77777777" w:rsidTr="00984A17">
        <w:trPr>
          <w:trHeight w:val="302"/>
        </w:trPr>
        <w:tc>
          <w:tcPr>
            <w:tcW w:w="115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5AF051B"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2014</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663C841"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8,1</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D0651BC"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6,3</w:t>
            </w:r>
          </w:p>
        </w:tc>
      </w:tr>
      <w:tr w:rsidR="00132485" w:rsidRPr="00132485" w14:paraId="590DA891" w14:textId="77777777" w:rsidTr="00984A17">
        <w:trPr>
          <w:trHeight w:val="302"/>
        </w:trPr>
        <w:tc>
          <w:tcPr>
            <w:tcW w:w="115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33DF047"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2013</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A378A58"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9,1</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FC30E6F"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6,6</w:t>
            </w:r>
          </w:p>
        </w:tc>
      </w:tr>
      <w:tr w:rsidR="00132485" w:rsidRPr="00132485" w14:paraId="52531464" w14:textId="77777777" w:rsidTr="00984A17">
        <w:trPr>
          <w:trHeight w:val="302"/>
        </w:trPr>
        <w:tc>
          <w:tcPr>
            <w:tcW w:w="115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C08A042"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2012</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1F8FF28"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8,5</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861930B"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6,7</w:t>
            </w:r>
          </w:p>
        </w:tc>
      </w:tr>
      <w:tr w:rsidR="00132485" w:rsidRPr="00132485" w14:paraId="47EEAE09" w14:textId="77777777" w:rsidTr="00984A17">
        <w:trPr>
          <w:trHeight w:val="302"/>
        </w:trPr>
        <w:tc>
          <w:tcPr>
            <w:tcW w:w="115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84222DC"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2011</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C40264A"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10</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409D2F4"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7,9</w:t>
            </w:r>
          </w:p>
        </w:tc>
      </w:tr>
      <w:tr w:rsidR="00132485" w:rsidRPr="00132485" w14:paraId="7FAACA61" w14:textId="77777777" w:rsidTr="00984A17">
        <w:trPr>
          <w:trHeight w:val="302"/>
        </w:trPr>
        <w:tc>
          <w:tcPr>
            <w:tcW w:w="115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A976F7B"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2010</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E9C7DDB"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10,5</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494E891"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8</w:t>
            </w:r>
          </w:p>
        </w:tc>
      </w:tr>
      <w:tr w:rsidR="00132485" w:rsidRPr="00132485" w14:paraId="07FFDB2C" w14:textId="77777777" w:rsidTr="00984A17">
        <w:trPr>
          <w:trHeight w:val="302"/>
        </w:trPr>
        <w:tc>
          <w:tcPr>
            <w:tcW w:w="115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622E4EC"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2009</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3B50AFA"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9,4</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372D91C"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7,6</w:t>
            </w:r>
          </w:p>
        </w:tc>
      </w:tr>
      <w:tr w:rsidR="00132485" w:rsidRPr="00132485" w14:paraId="00A4783E" w14:textId="77777777" w:rsidTr="00984A17">
        <w:trPr>
          <w:trHeight w:val="302"/>
        </w:trPr>
        <w:tc>
          <w:tcPr>
            <w:tcW w:w="115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D87CBD8"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2008</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DA42BC2"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10,7</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E2F88EA"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8,4</w:t>
            </w:r>
          </w:p>
        </w:tc>
      </w:tr>
      <w:tr w:rsidR="00132485" w:rsidRPr="00132485" w14:paraId="57457A9B" w14:textId="77777777" w:rsidTr="00984A17">
        <w:trPr>
          <w:trHeight w:val="302"/>
        </w:trPr>
        <w:tc>
          <w:tcPr>
            <w:tcW w:w="115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0A5801F"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2007</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830F570"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11,6</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9449643"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8,1</w:t>
            </w:r>
          </w:p>
        </w:tc>
      </w:tr>
      <w:tr w:rsidR="00132485" w:rsidRPr="00132485" w14:paraId="6B588ABF" w14:textId="77777777" w:rsidTr="00984A17">
        <w:trPr>
          <w:trHeight w:val="302"/>
        </w:trPr>
        <w:tc>
          <w:tcPr>
            <w:tcW w:w="1154"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F7D664D"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2006</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8CA5138"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11,4</w:t>
            </w:r>
          </w:p>
        </w:tc>
        <w:tc>
          <w:tcPr>
            <w:tcW w:w="192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49AA27D"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8,2</w:t>
            </w:r>
          </w:p>
        </w:tc>
      </w:tr>
    </w:tbl>
    <w:p w14:paraId="3ECFAC9C" w14:textId="77777777" w:rsidR="00132485" w:rsidRPr="00132485" w:rsidRDefault="00132485" w:rsidP="00132485">
      <w:pPr>
        <w:spacing w:after="160" w:line="360" w:lineRule="auto"/>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FUENTE: MIRADOR DESCA. UMAD CON BASE A IECON – ECH COMPATIBILIZADA</w:t>
      </w:r>
    </w:p>
    <w:p w14:paraId="401DB3D0" w14:textId="77777777" w:rsidR="00132485" w:rsidRPr="00132485" w:rsidRDefault="00132485" w:rsidP="00132485">
      <w:pPr>
        <w:spacing w:after="160"/>
        <w:rPr>
          <w:rFonts w:ascii="Calibri" w:eastAsia="Calibri" w:hAnsi="Calibri" w:cs="Calibri"/>
          <w:b/>
          <w:sz w:val="22"/>
          <w:szCs w:val="22"/>
          <w:lang w:val="es-UY" w:eastAsia="en-US"/>
        </w:rPr>
      </w:pPr>
      <w:r w:rsidRPr="00132485">
        <w:rPr>
          <w:rFonts w:ascii="Calibri" w:eastAsia="Calibri" w:hAnsi="Calibri" w:cs="Calibri"/>
          <w:b/>
          <w:sz w:val="22"/>
          <w:szCs w:val="22"/>
          <w:lang w:val="es-UY" w:eastAsia="en-US"/>
        </w:rPr>
        <w:t>PORCENTAJE DE PERSONAS QUE VIVEN EN ASENTAMIENTOS SEGÚN ASCENDENCIA ÉTNICO RACIAL. 2006 - 2019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7"/>
        <w:gridCol w:w="3108"/>
        <w:gridCol w:w="3446"/>
      </w:tblGrid>
      <w:tr w:rsidR="00132485" w:rsidRPr="00132485" w14:paraId="5846BB5D" w14:textId="77777777" w:rsidTr="00984A17">
        <w:trPr>
          <w:trHeight w:val="300"/>
        </w:trPr>
        <w:tc>
          <w:tcPr>
            <w:tcW w:w="0" w:type="auto"/>
            <w:shd w:val="clear" w:color="auto" w:fill="auto"/>
            <w:noWrap/>
            <w:vAlign w:val="bottom"/>
          </w:tcPr>
          <w:p w14:paraId="4E8815EB"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AÑO</w:t>
            </w:r>
          </w:p>
        </w:tc>
        <w:tc>
          <w:tcPr>
            <w:tcW w:w="0" w:type="auto"/>
            <w:shd w:val="clear" w:color="auto" w:fill="auto"/>
            <w:noWrap/>
            <w:vAlign w:val="bottom"/>
          </w:tcPr>
          <w:p w14:paraId="55BDACAA"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POBLACIÓN AFRODESCENDIENTE</w:t>
            </w:r>
          </w:p>
        </w:tc>
        <w:tc>
          <w:tcPr>
            <w:tcW w:w="0" w:type="auto"/>
            <w:shd w:val="clear" w:color="auto" w:fill="auto"/>
            <w:noWrap/>
            <w:vAlign w:val="bottom"/>
          </w:tcPr>
          <w:p w14:paraId="6895DCDB"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POBLACIÓN NO AFRODESCENDIENTE</w:t>
            </w:r>
          </w:p>
        </w:tc>
      </w:tr>
      <w:tr w:rsidR="00132485" w:rsidRPr="00132485" w14:paraId="3633C417" w14:textId="77777777" w:rsidTr="00984A17">
        <w:trPr>
          <w:trHeight w:val="300"/>
        </w:trPr>
        <w:tc>
          <w:tcPr>
            <w:tcW w:w="0" w:type="auto"/>
            <w:shd w:val="clear" w:color="auto" w:fill="auto"/>
            <w:noWrap/>
            <w:vAlign w:val="bottom"/>
          </w:tcPr>
          <w:p w14:paraId="2C8EB7A7"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2019</w:t>
            </w:r>
          </w:p>
        </w:tc>
        <w:tc>
          <w:tcPr>
            <w:tcW w:w="0" w:type="auto"/>
            <w:shd w:val="clear" w:color="auto" w:fill="auto"/>
            <w:noWrap/>
            <w:vAlign w:val="bottom"/>
          </w:tcPr>
          <w:p w14:paraId="7A28457A"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7,1</w:t>
            </w:r>
          </w:p>
        </w:tc>
        <w:tc>
          <w:tcPr>
            <w:tcW w:w="0" w:type="auto"/>
            <w:shd w:val="clear" w:color="auto" w:fill="auto"/>
            <w:noWrap/>
            <w:vAlign w:val="bottom"/>
          </w:tcPr>
          <w:p w14:paraId="75FE41EB"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3,1</w:t>
            </w:r>
          </w:p>
        </w:tc>
      </w:tr>
      <w:tr w:rsidR="00132485" w:rsidRPr="00132485" w14:paraId="3024FA7A" w14:textId="77777777" w:rsidTr="00984A17">
        <w:trPr>
          <w:trHeight w:val="300"/>
        </w:trPr>
        <w:tc>
          <w:tcPr>
            <w:tcW w:w="0" w:type="auto"/>
            <w:shd w:val="clear" w:color="auto" w:fill="auto"/>
            <w:noWrap/>
            <w:vAlign w:val="bottom"/>
          </w:tcPr>
          <w:p w14:paraId="7AF67999"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2018</w:t>
            </w:r>
          </w:p>
        </w:tc>
        <w:tc>
          <w:tcPr>
            <w:tcW w:w="0" w:type="auto"/>
            <w:shd w:val="clear" w:color="auto" w:fill="auto"/>
            <w:noWrap/>
            <w:vAlign w:val="bottom"/>
          </w:tcPr>
          <w:p w14:paraId="5CA3DB37"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7,2</w:t>
            </w:r>
          </w:p>
        </w:tc>
        <w:tc>
          <w:tcPr>
            <w:tcW w:w="0" w:type="auto"/>
            <w:shd w:val="clear" w:color="auto" w:fill="auto"/>
            <w:noWrap/>
            <w:vAlign w:val="bottom"/>
          </w:tcPr>
          <w:p w14:paraId="151DB7E8"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3,3</w:t>
            </w:r>
          </w:p>
        </w:tc>
      </w:tr>
      <w:tr w:rsidR="00132485" w:rsidRPr="00132485" w14:paraId="60213416" w14:textId="77777777" w:rsidTr="00984A17">
        <w:trPr>
          <w:trHeight w:val="300"/>
        </w:trPr>
        <w:tc>
          <w:tcPr>
            <w:tcW w:w="0" w:type="auto"/>
            <w:shd w:val="clear" w:color="auto" w:fill="auto"/>
            <w:noWrap/>
            <w:vAlign w:val="bottom"/>
          </w:tcPr>
          <w:p w14:paraId="15A9E0D5"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2017</w:t>
            </w:r>
          </w:p>
        </w:tc>
        <w:tc>
          <w:tcPr>
            <w:tcW w:w="0" w:type="auto"/>
            <w:shd w:val="clear" w:color="auto" w:fill="auto"/>
            <w:noWrap/>
            <w:vAlign w:val="bottom"/>
          </w:tcPr>
          <w:p w14:paraId="3122FBEF"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8,8</w:t>
            </w:r>
          </w:p>
        </w:tc>
        <w:tc>
          <w:tcPr>
            <w:tcW w:w="0" w:type="auto"/>
            <w:shd w:val="clear" w:color="auto" w:fill="auto"/>
            <w:noWrap/>
            <w:vAlign w:val="bottom"/>
          </w:tcPr>
          <w:p w14:paraId="2627CE47"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3,6</w:t>
            </w:r>
          </w:p>
        </w:tc>
      </w:tr>
      <w:tr w:rsidR="00132485" w:rsidRPr="00132485" w14:paraId="12ED959D" w14:textId="77777777" w:rsidTr="00984A17">
        <w:trPr>
          <w:trHeight w:val="300"/>
        </w:trPr>
        <w:tc>
          <w:tcPr>
            <w:tcW w:w="0" w:type="auto"/>
            <w:shd w:val="clear" w:color="auto" w:fill="auto"/>
            <w:noWrap/>
            <w:vAlign w:val="bottom"/>
          </w:tcPr>
          <w:p w14:paraId="74D815F7"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2016</w:t>
            </w:r>
          </w:p>
        </w:tc>
        <w:tc>
          <w:tcPr>
            <w:tcW w:w="0" w:type="auto"/>
            <w:shd w:val="clear" w:color="auto" w:fill="auto"/>
            <w:noWrap/>
            <w:vAlign w:val="bottom"/>
          </w:tcPr>
          <w:p w14:paraId="20CFAD1A"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8,8</w:t>
            </w:r>
          </w:p>
        </w:tc>
        <w:tc>
          <w:tcPr>
            <w:tcW w:w="0" w:type="auto"/>
            <w:shd w:val="clear" w:color="auto" w:fill="auto"/>
            <w:noWrap/>
            <w:vAlign w:val="bottom"/>
          </w:tcPr>
          <w:p w14:paraId="5A308866"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4,2</w:t>
            </w:r>
          </w:p>
        </w:tc>
      </w:tr>
      <w:tr w:rsidR="00132485" w:rsidRPr="00132485" w14:paraId="221D246C" w14:textId="77777777" w:rsidTr="00984A17">
        <w:trPr>
          <w:trHeight w:val="300"/>
        </w:trPr>
        <w:tc>
          <w:tcPr>
            <w:tcW w:w="0" w:type="auto"/>
            <w:shd w:val="clear" w:color="auto" w:fill="auto"/>
            <w:noWrap/>
            <w:vAlign w:val="bottom"/>
          </w:tcPr>
          <w:p w14:paraId="3F91525F"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lastRenderedPageBreak/>
              <w:t>2015</w:t>
            </w:r>
          </w:p>
        </w:tc>
        <w:tc>
          <w:tcPr>
            <w:tcW w:w="0" w:type="auto"/>
            <w:shd w:val="clear" w:color="auto" w:fill="auto"/>
            <w:noWrap/>
            <w:vAlign w:val="bottom"/>
          </w:tcPr>
          <w:p w14:paraId="4511D20A"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11,7</w:t>
            </w:r>
          </w:p>
        </w:tc>
        <w:tc>
          <w:tcPr>
            <w:tcW w:w="0" w:type="auto"/>
            <w:shd w:val="clear" w:color="auto" w:fill="auto"/>
            <w:noWrap/>
            <w:vAlign w:val="bottom"/>
          </w:tcPr>
          <w:p w14:paraId="57B3A711"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4,1</w:t>
            </w:r>
          </w:p>
        </w:tc>
      </w:tr>
      <w:tr w:rsidR="00132485" w:rsidRPr="00132485" w14:paraId="6321B39B" w14:textId="77777777" w:rsidTr="00984A17">
        <w:trPr>
          <w:trHeight w:val="300"/>
        </w:trPr>
        <w:tc>
          <w:tcPr>
            <w:tcW w:w="0" w:type="auto"/>
            <w:shd w:val="clear" w:color="auto" w:fill="auto"/>
            <w:noWrap/>
            <w:vAlign w:val="bottom"/>
          </w:tcPr>
          <w:p w14:paraId="530B16A1"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2014</w:t>
            </w:r>
          </w:p>
        </w:tc>
        <w:tc>
          <w:tcPr>
            <w:tcW w:w="0" w:type="auto"/>
            <w:shd w:val="clear" w:color="auto" w:fill="auto"/>
            <w:noWrap/>
            <w:vAlign w:val="bottom"/>
          </w:tcPr>
          <w:p w14:paraId="6B6FFEB2"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11,9</w:t>
            </w:r>
          </w:p>
        </w:tc>
        <w:tc>
          <w:tcPr>
            <w:tcW w:w="0" w:type="auto"/>
            <w:shd w:val="clear" w:color="auto" w:fill="auto"/>
            <w:noWrap/>
            <w:vAlign w:val="bottom"/>
          </w:tcPr>
          <w:p w14:paraId="428AD532"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4,5</w:t>
            </w:r>
          </w:p>
        </w:tc>
      </w:tr>
      <w:tr w:rsidR="00132485" w:rsidRPr="00132485" w14:paraId="7BAF2CF1" w14:textId="77777777" w:rsidTr="00984A17">
        <w:trPr>
          <w:trHeight w:val="300"/>
        </w:trPr>
        <w:tc>
          <w:tcPr>
            <w:tcW w:w="0" w:type="auto"/>
            <w:shd w:val="clear" w:color="auto" w:fill="auto"/>
            <w:noWrap/>
            <w:vAlign w:val="bottom"/>
          </w:tcPr>
          <w:p w14:paraId="1EF43659"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2013</w:t>
            </w:r>
          </w:p>
        </w:tc>
        <w:tc>
          <w:tcPr>
            <w:tcW w:w="0" w:type="auto"/>
            <w:shd w:val="clear" w:color="auto" w:fill="auto"/>
            <w:noWrap/>
            <w:vAlign w:val="bottom"/>
          </w:tcPr>
          <w:p w14:paraId="19D5C389"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14,1</w:t>
            </w:r>
          </w:p>
        </w:tc>
        <w:tc>
          <w:tcPr>
            <w:tcW w:w="0" w:type="auto"/>
            <w:shd w:val="clear" w:color="auto" w:fill="auto"/>
            <w:noWrap/>
            <w:vAlign w:val="bottom"/>
          </w:tcPr>
          <w:p w14:paraId="38BB1205"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4,8</w:t>
            </w:r>
          </w:p>
        </w:tc>
      </w:tr>
      <w:tr w:rsidR="00132485" w:rsidRPr="00132485" w14:paraId="2D1E2864" w14:textId="77777777" w:rsidTr="00984A17">
        <w:trPr>
          <w:trHeight w:val="300"/>
        </w:trPr>
        <w:tc>
          <w:tcPr>
            <w:tcW w:w="0" w:type="auto"/>
            <w:shd w:val="clear" w:color="auto" w:fill="auto"/>
            <w:noWrap/>
            <w:vAlign w:val="bottom"/>
          </w:tcPr>
          <w:p w14:paraId="0A5C25AC"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2012</w:t>
            </w:r>
          </w:p>
        </w:tc>
        <w:tc>
          <w:tcPr>
            <w:tcW w:w="0" w:type="auto"/>
            <w:shd w:val="clear" w:color="auto" w:fill="auto"/>
            <w:noWrap/>
            <w:vAlign w:val="bottom"/>
          </w:tcPr>
          <w:p w14:paraId="0C1DDE60"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15,4</w:t>
            </w:r>
          </w:p>
        </w:tc>
        <w:tc>
          <w:tcPr>
            <w:tcW w:w="0" w:type="auto"/>
            <w:shd w:val="clear" w:color="auto" w:fill="auto"/>
            <w:noWrap/>
            <w:vAlign w:val="bottom"/>
          </w:tcPr>
          <w:p w14:paraId="70E8C6C3"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5,4</w:t>
            </w:r>
          </w:p>
        </w:tc>
      </w:tr>
      <w:tr w:rsidR="00132485" w:rsidRPr="00132485" w14:paraId="01231087" w14:textId="77777777" w:rsidTr="00984A17">
        <w:trPr>
          <w:trHeight w:val="300"/>
        </w:trPr>
        <w:tc>
          <w:tcPr>
            <w:tcW w:w="0" w:type="auto"/>
            <w:shd w:val="clear" w:color="auto" w:fill="auto"/>
            <w:noWrap/>
            <w:vAlign w:val="bottom"/>
          </w:tcPr>
          <w:p w14:paraId="79006069"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2011</w:t>
            </w:r>
          </w:p>
        </w:tc>
        <w:tc>
          <w:tcPr>
            <w:tcW w:w="0" w:type="auto"/>
            <w:shd w:val="clear" w:color="auto" w:fill="auto"/>
            <w:noWrap/>
            <w:vAlign w:val="bottom"/>
          </w:tcPr>
          <w:p w14:paraId="1E7FA56A"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15,6</w:t>
            </w:r>
          </w:p>
        </w:tc>
        <w:tc>
          <w:tcPr>
            <w:tcW w:w="0" w:type="auto"/>
            <w:shd w:val="clear" w:color="auto" w:fill="auto"/>
            <w:noWrap/>
            <w:vAlign w:val="bottom"/>
          </w:tcPr>
          <w:p w14:paraId="21F9A45C"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5,2</w:t>
            </w:r>
          </w:p>
        </w:tc>
      </w:tr>
      <w:tr w:rsidR="00132485" w:rsidRPr="00132485" w14:paraId="2A153BD7" w14:textId="77777777" w:rsidTr="00984A17">
        <w:trPr>
          <w:trHeight w:val="300"/>
        </w:trPr>
        <w:tc>
          <w:tcPr>
            <w:tcW w:w="0" w:type="auto"/>
            <w:shd w:val="clear" w:color="auto" w:fill="auto"/>
            <w:noWrap/>
            <w:vAlign w:val="bottom"/>
          </w:tcPr>
          <w:p w14:paraId="393DB9E0"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2010</w:t>
            </w:r>
          </w:p>
        </w:tc>
        <w:tc>
          <w:tcPr>
            <w:tcW w:w="0" w:type="auto"/>
            <w:shd w:val="clear" w:color="auto" w:fill="auto"/>
            <w:noWrap/>
            <w:vAlign w:val="bottom"/>
          </w:tcPr>
          <w:p w14:paraId="10108E03"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16,4</w:t>
            </w:r>
          </w:p>
        </w:tc>
        <w:tc>
          <w:tcPr>
            <w:tcW w:w="0" w:type="auto"/>
            <w:shd w:val="clear" w:color="auto" w:fill="auto"/>
            <w:noWrap/>
            <w:vAlign w:val="bottom"/>
          </w:tcPr>
          <w:p w14:paraId="6624BA8A"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6,2</w:t>
            </w:r>
          </w:p>
        </w:tc>
      </w:tr>
      <w:tr w:rsidR="00132485" w:rsidRPr="00132485" w14:paraId="409DF4C5" w14:textId="77777777" w:rsidTr="00984A17">
        <w:trPr>
          <w:trHeight w:val="300"/>
        </w:trPr>
        <w:tc>
          <w:tcPr>
            <w:tcW w:w="0" w:type="auto"/>
            <w:shd w:val="clear" w:color="auto" w:fill="auto"/>
            <w:noWrap/>
            <w:vAlign w:val="bottom"/>
          </w:tcPr>
          <w:p w14:paraId="0BA57CAD"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2009</w:t>
            </w:r>
          </w:p>
        </w:tc>
        <w:tc>
          <w:tcPr>
            <w:tcW w:w="0" w:type="auto"/>
            <w:shd w:val="clear" w:color="auto" w:fill="auto"/>
            <w:noWrap/>
            <w:vAlign w:val="bottom"/>
          </w:tcPr>
          <w:p w14:paraId="66ACBCF5"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15,2</w:t>
            </w:r>
          </w:p>
        </w:tc>
        <w:tc>
          <w:tcPr>
            <w:tcW w:w="0" w:type="auto"/>
            <w:shd w:val="clear" w:color="auto" w:fill="auto"/>
            <w:noWrap/>
            <w:vAlign w:val="bottom"/>
          </w:tcPr>
          <w:p w14:paraId="0BD9E11E"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6,4</w:t>
            </w:r>
          </w:p>
        </w:tc>
      </w:tr>
      <w:tr w:rsidR="00132485" w:rsidRPr="00132485" w14:paraId="65D0EEA3" w14:textId="77777777" w:rsidTr="00984A17">
        <w:trPr>
          <w:trHeight w:val="300"/>
        </w:trPr>
        <w:tc>
          <w:tcPr>
            <w:tcW w:w="0" w:type="auto"/>
            <w:shd w:val="clear" w:color="auto" w:fill="auto"/>
            <w:noWrap/>
            <w:vAlign w:val="bottom"/>
          </w:tcPr>
          <w:p w14:paraId="06C3FE3D"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2008</w:t>
            </w:r>
          </w:p>
        </w:tc>
        <w:tc>
          <w:tcPr>
            <w:tcW w:w="0" w:type="auto"/>
            <w:shd w:val="clear" w:color="auto" w:fill="auto"/>
            <w:noWrap/>
            <w:vAlign w:val="bottom"/>
          </w:tcPr>
          <w:p w14:paraId="27FD2761"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17,5</w:t>
            </w:r>
          </w:p>
        </w:tc>
        <w:tc>
          <w:tcPr>
            <w:tcW w:w="0" w:type="auto"/>
            <w:shd w:val="clear" w:color="auto" w:fill="auto"/>
            <w:noWrap/>
            <w:vAlign w:val="bottom"/>
          </w:tcPr>
          <w:p w14:paraId="35DC7713"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7</w:t>
            </w:r>
          </w:p>
        </w:tc>
      </w:tr>
      <w:tr w:rsidR="00132485" w:rsidRPr="00132485" w14:paraId="05D7F13F" w14:textId="77777777" w:rsidTr="00984A17">
        <w:trPr>
          <w:trHeight w:val="300"/>
        </w:trPr>
        <w:tc>
          <w:tcPr>
            <w:tcW w:w="0" w:type="auto"/>
            <w:shd w:val="clear" w:color="auto" w:fill="auto"/>
            <w:noWrap/>
            <w:vAlign w:val="bottom"/>
          </w:tcPr>
          <w:p w14:paraId="1B5FE225"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2007</w:t>
            </w:r>
          </w:p>
        </w:tc>
        <w:tc>
          <w:tcPr>
            <w:tcW w:w="0" w:type="auto"/>
            <w:shd w:val="clear" w:color="auto" w:fill="auto"/>
            <w:noWrap/>
            <w:vAlign w:val="bottom"/>
          </w:tcPr>
          <w:p w14:paraId="487373BE"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22,1</w:t>
            </w:r>
          </w:p>
        </w:tc>
        <w:tc>
          <w:tcPr>
            <w:tcW w:w="0" w:type="auto"/>
            <w:shd w:val="clear" w:color="auto" w:fill="auto"/>
            <w:noWrap/>
            <w:vAlign w:val="bottom"/>
          </w:tcPr>
          <w:p w14:paraId="102C12BF"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8,1</w:t>
            </w:r>
          </w:p>
        </w:tc>
      </w:tr>
      <w:tr w:rsidR="00132485" w:rsidRPr="00132485" w14:paraId="0C715E7E" w14:textId="77777777" w:rsidTr="00984A17">
        <w:trPr>
          <w:trHeight w:val="300"/>
        </w:trPr>
        <w:tc>
          <w:tcPr>
            <w:tcW w:w="0" w:type="auto"/>
            <w:shd w:val="clear" w:color="auto" w:fill="auto"/>
            <w:noWrap/>
            <w:vAlign w:val="bottom"/>
          </w:tcPr>
          <w:p w14:paraId="484EB8C8"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2006</w:t>
            </w:r>
          </w:p>
        </w:tc>
        <w:tc>
          <w:tcPr>
            <w:tcW w:w="0" w:type="auto"/>
            <w:shd w:val="clear" w:color="auto" w:fill="auto"/>
            <w:noWrap/>
            <w:vAlign w:val="bottom"/>
          </w:tcPr>
          <w:p w14:paraId="0F13A1A8"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22,7</w:t>
            </w:r>
          </w:p>
        </w:tc>
        <w:tc>
          <w:tcPr>
            <w:tcW w:w="0" w:type="auto"/>
            <w:shd w:val="clear" w:color="auto" w:fill="auto"/>
            <w:noWrap/>
            <w:vAlign w:val="bottom"/>
          </w:tcPr>
          <w:p w14:paraId="7F2D6B11" w14:textId="77777777" w:rsidR="00132485" w:rsidRPr="00132485" w:rsidRDefault="00132485" w:rsidP="00132485">
            <w:pPr>
              <w:spacing w:after="160" w:line="360" w:lineRule="auto"/>
              <w:rPr>
                <w:rFonts w:ascii="Calibri" w:eastAsia="Calibri" w:hAnsi="Calibri" w:cs="Calibri"/>
                <w:sz w:val="22"/>
                <w:szCs w:val="22"/>
                <w:lang w:eastAsia="en-US"/>
              </w:rPr>
            </w:pPr>
            <w:r w:rsidRPr="00132485">
              <w:rPr>
                <w:rFonts w:ascii="Calibri" w:eastAsia="Calibri" w:hAnsi="Calibri" w:cs="Calibri"/>
                <w:sz w:val="22"/>
                <w:szCs w:val="22"/>
                <w:lang w:eastAsia="en-US"/>
              </w:rPr>
              <w:t>8,8</w:t>
            </w:r>
          </w:p>
        </w:tc>
      </w:tr>
    </w:tbl>
    <w:p w14:paraId="7442D03A" w14:textId="77777777" w:rsidR="00132485" w:rsidRPr="00132485" w:rsidRDefault="00132485" w:rsidP="00132485">
      <w:pPr>
        <w:spacing w:after="160" w:line="360" w:lineRule="auto"/>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FUENTE: MIRADOR DESCA. UMAD CON BASE A IECON – ECH COMPATIBILIZADA</w:t>
      </w:r>
    </w:p>
    <w:p w14:paraId="423B33B6" w14:textId="77777777" w:rsidR="00132485" w:rsidRPr="00132485" w:rsidRDefault="00132485" w:rsidP="00132485">
      <w:pPr>
        <w:spacing w:after="160" w:line="360" w:lineRule="auto"/>
        <w:rPr>
          <w:rFonts w:ascii="Calibri" w:eastAsia="Calibri" w:hAnsi="Calibri" w:cs="Calibri"/>
          <w:sz w:val="22"/>
          <w:szCs w:val="22"/>
          <w:lang w:val="es-UY" w:eastAsia="en-US"/>
        </w:rPr>
      </w:pPr>
    </w:p>
    <w:p w14:paraId="743BA3A8" w14:textId="77777777" w:rsidR="00132485" w:rsidRPr="00132485" w:rsidRDefault="00132485" w:rsidP="00132485">
      <w:pPr>
        <w:spacing w:after="160" w:line="259" w:lineRule="auto"/>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br w:type="page"/>
      </w:r>
    </w:p>
    <w:p w14:paraId="2F025C5E" w14:textId="77777777" w:rsidR="00132485" w:rsidRPr="00132485" w:rsidRDefault="00132485" w:rsidP="00132485">
      <w:pPr>
        <w:keepNext/>
        <w:keepLines/>
        <w:spacing w:before="240" w:line="259" w:lineRule="auto"/>
        <w:outlineLvl w:val="0"/>
        <w:rPr>
          <w:rFonts w:ascii="Calibri Light" w:eastAsia="等线 Light" w:hAnsi="Calibri Light"/>
          <w:color w:val="2E74B5"/>
          <w:sz w:val="32"/>
          <w:szCs w:val="32"/>
          <w:lang w:val="es-UY" w:eastAsia="en-US"/>
        </w:rPr>
      </w:pPr>
      <w:bookmarkStart w:id="6" w:name="_Toc138930084"/>
      <w:r w:rsidRPr="00132485">
        <w:rPr>
          <w:rFonts w:ascii="Calibri Light" w:eastAsia="等线 Light" w:hAnsi="Calibri Light"/>
          <w:color w:val="2E74B5"/>
          <w:sz w:val="32"/>
          <w:szCs w:val="32"/>
          <w:lang w:val="es-UY" w:eastAsia="en-US"/>
        </w:rPr>
        <w:lastRenderedPageBreak/>
        <w:t>ANEXO 2</w:t>
      </w:r>
      <w:bookmarkEnd w:id="6"/>
      <w:r w:rsidRPr="00132485">
        <w:rPr>
          <w:rFonts w:ascii="Calibri Light" w:eastAsia="等线 Light" w:hAnsi="Calibri Light"/>
          <w:color w:val="2E74B5"/>
          <w:sz w:val="32"/>
          <w:szCs w:val="32"/>
          <w:lang w:val="es-UY" w:eastAsia="en-US"/>
        </w:rPr>
        <w:t xml:space="preserve"> </w:t>
      </w:r>
    </w:p>
    <w:p w14:paraId="089E5134" w14:textId="77777777" w:rsidR="00132485" w:rsidRPr="00132485" w:rsidRDefault="00132485" w:rsidP="00132485">
      <w:pPr>
        <w:spacing w:after="160" w:line="360" w:lineRule="auto"/>
        <w:jc w:val="both"/>
        <w:rPr>
          <w:rFonts w:ascii="Calibri" w:eastAsia="SimSun" w:hAnsi="Calibri" w:cs="Calibri"/>
          <w:b/>
          <w:bCs/>
          <w:sz w:val="22"/>
          <w:szCs w:val="22"/>
          <w:lang w:val="es-MX" w:eastAsia="zh-CN"/>
        </w:rPr>
      </w:pPr>
      <w:r w:rsidRPr="00132485">
        <w:rPr>
          <w:rFonts w:ascii="Calibri" w:eastAsia="SimSun" w:hAnsi="Calibri" w:cs="Calibri"/>
          <w:b/>
          <w:bCs/>
          <w:sz w:val="22"/>
          <w:szCs w:val="22"/>
          <w:lang w:val="es-MX" w:eastAsia="zh-CN"/>
        </w:rPr>
        <w:t xml:space="preserve">LEYES CONTRA LA DISCRIMINACIÓN APROBADAS POR EL ESTADO URUGUAYO: </w:t>
      </w:r>
    </w:p>
    <w:p w14:paraId="3C9DDD35" w14:textId="77777777" w:rsidR="00132485" w:rsidRPr="00132485" w:rsidRDefault="00132485" w:rsidP="00132485">
      <w:pPr>
        <w:autoSpaceDE w:val="0"/>
        <w:autoSpaceDN w:val="0"/>
        <w:adjustRightInd w:val="0"/>
        <w:spacing w:line="288" w:lineRule="auto"/>
        <w:jc w:val="both"/>
        <w:rPr>
          <w:rFonts w:ascii="Calibri" w:eastAsia="Calibri" w:hAnsi="Calibri" w:cs="Calibri"/>
          <w:sz w:val="22"/>
          <w:szCs w:val="22"/>
          <w:lang w:val="es-MX" w:eastAsia="en-US"/>
        </w:rPr>
      </w:pPr>
      <w:r w:rsidRPr="00132485">
        <w:rPr>
          <w:rFonts w:ascii="Calibri" w:eastAsia="Calibri" w:hAnsi="Calibri" w:cs="Calibri"/>
          <w:sz w:val="22"/>
          <w:szCs w:val="22"/>
          <w:lang w:val="es-MX" w:eastAsia="en-US"/>
        </w:rPr>
        <w:t>-</w:t>
      </w:r>
      <w:r w:rsidRPr="00132485">
        <w:rPr>
          <w:rFonts w:ascii="Calibri" w:eastAsia="Calibri" w:hAnsi="Calibri" w:cs="Calibri"/>
          <w:b/>
          <w:bCs/>
          <w:sz w:val="22"/>
          <w:szCs w:val="22"/>
          <w:lang w:val="es-MX" w:eastAsia="en-US"/>
        </w:rPr>
        <w:t xml:space="preserve"> </w:t>
      </w:r>
      <w:r w:rsidRPr="00132485">
        <w:rPr>
          <w:rFonts w:ascii="Calibri" w:eastAsia="Calibri" w:hAnsi="Calibri" w:cs="Calibri"/>
          <w:b/>
          <w:bCs/>
          <w:sz w:val="22"/>
          <w:szCs w:val="22"/>
          <w:lang w:eastAsia="en-US"/>
        </w:rPr>
        <w:t>Ley N° 16</w:t>
      </w:r>
      <w:r w:rsidRPr="00132485">
        <w:rPr>
          <w:rFonts w:ascii="Calibri" w:eastAsia="Calibri" w:hAnsi="Calibri" w:cs="Calibri"/>
          <w:b/>
          <w:bCs/>
          <w:sz w:val="22"/>
          <w:szCs w:val="22"/>
          <w:lang w:val="es-MX" w:eastAsia="en-US"/>
        </w:rPr>
        <w:t>.</w:t>
      </w:r>
      <w:r w:rsidRPr="00132485">
        <w:rPr>
          <w:rFonts w:ascii="Calibri" w:eastAsia="Calibri" w:hAnsi="Calibri" w:cs="Calibri"/>
          <w:b/>
          <w:bCs/>
          <w:sz w:val="22"/>
          <w:szCs w:val="22"/>
          <w:lang w:eastAsia="en-US"/>
        </w:rPr>
        <w:t xml:space="preserve">048 </w:t>
      </w:r>
      <w:r w:rsidRPr="00132485">
        <w:rPr>
          <w:rFonts w:ascii="Calibri" w:eastAsia="Calibri" w:hAnsi="Calibri" w:cs="Calibri"/>
          <w:b/>
          <w:bCs/>
          <w:sz w:val="22"/>
          <w:szCs w:val="22"/>
          <w:lang w:val="es-MX" w:eastAsia="en-US"/>
        </w:rPr>
        <w:t>(1989)</w:t>
      </w:r>
      <w:r w:rsidRPr="00132485">
        <w:rPr>
          <w:rFonts w:ascii="Calibri" w:eastAsia="Calibri" w:hAnsi="Calibri" w:cs="Calibri"/>
          <w:b/>
          <w:bCs/>
          <w:sz w:val="22"/>
          <w:szCs w:val="22"/>
          <w:vertAlign w:val="superscript"/>
          <w:lang w:val="fr-CH" w:eastAsia="en-US"/>
        </w:rPr>
        <w:footnoteReference w:id="13"/>
      </w:r>
      <w:r w:rsidRPr="00132485">
        <w:rPr>
          <w:rFonts w:ascii="Calibri" w:eastAsia="Calibri" w:hAnsi="Calibri" w:cs="Calibri"/>
          <w:sz w:val="22"/>
          <w:szCs w:val="22"/>
          <w:lang w:eastAsia="en-US"/>
        </w:rPr>
        <w:t>: Incorpora</w:t>
      </w:r>
      <w:r w:rsidRPr="00132485">
        <w:rPr>
          <w:rFonts w:ascii="Calibri" w:eastAsia="Calibri" w:hAnsi="Calibri" w:cs="Calibri"/>
          <w:sz w:val="22"/>
          <w:szCs w:val="22"/>
          <w:lang w:val="es-MX" w:eastAsia="en-US"/>
        </w:rPr>
        <w:t xml:space="preserve">ción </w:t>
      </w:r>
      <w:r w:rsidRPr="00132485">
        <w:rPr>
          <w:rFonts w:ascii="Calibri" w:eastAsia="Calibri" w:hAnsi="Calibri" w:cs="Calibri"/>
          <w:sz w:val="22"/>
          <w:szCs w:val="22"/>
          <w:lang w:eastAsia="en-US"/>
        </w:rPr>
        <w:t xml:space="preserve"> al Código Penal los delitos de Incitación al odio, desprecio o violencia hacia determinadas personas (Artículo 149 bis</w:t>
      </w:r>
      <w:r w:rsidRPr="00132485">
        <w:rPr>
          <w:rFonts w:ascii="Calibri" w:eastAsia="Calibri" w:hAnsi="Calibri" w:cs="Calibri"/>
          <w:sz w:val="22"/>
          <w:szCs w:val="22"/>
          <w:lang w:val="es-MX" w:eastAsia="en-US"/>
        </w:rPr>
        <w:t xml:space="preserve"> y ter)</w:t>
      </w:r>
    </w:p>
    <w:p w14:paraId="0F3BFF44" w14:textId="77777777" w:rsidR="00132485" w:rsidRPr="00132485" w:rsidRDefault="00132485" w:rsidP="00132485">
      <w:pPr>
        <w:autoSpaceDE w:val="0"/>
        <w:autoSpaceDN w:val="0"/>
        <w:adjustRightInd w:val="0"/>
        <w:spacing w:line="288" w:lineRule="auto"/>
        <w:jc w:val="both"/>
        <w:rPr>
          <w:rFonts w:ascii="Calibri" w:eastAsia="Calibri" w:hAnsi="Calibri" w:cs="Calibri"/>
          <w:sz w:val="22"/>
          <w:szCs w:val="22"/>
          <w:lang w:val="es-MX" w:eastAsia="en-US"/>
        </w:rPr>
      </w:pPr>
      <w:r w:rsidRPr="00132485">
        <w:rPr>
          <w:rFonts w:ascii="Calibri" w:eastAsia="Calibri" w:hAnsi="Calibri" w:cs="Calibri"/>
          <w:sz w:val="22"/>
          <w:szCs w:val="22"/>
          <w:lang w:val="es-MX" w:eastAsia="en-US"/>
        </w:rPr>
        <w:t xml:space="preserve"> - </w:t>
      </w:r>
      <w:r w:rsidRPr="00132485">
        <w:rPr>
          <w:rFonts w:ascii="Calibri" w:eastAsia="Calibri" w:hAnsi="Calibri" w:cs="Calibri"/>
          <w:b/>
          <w:bCs/>
          <w:sz w:val="22"/>
          <w:szCs w:val="22"/>
          <w:lang w:eastAsia="en-US"/>
        </w:rPr>
        <w:t>Ley N° 17.817</w:t>
      </w:r>
      <w:r w:rsidRPr="00132485">
        <w:rPr>
          <w:rFonts w:ascii="Calibri" w:eastAsia="Calibri" w:hAnsi="Calibri" w:cs="Calibri"/>
          <w:sz w:val="22"/>
          <w:szCs w:val="22"/>
          <w:lang w:eastAsia="en-US"/>
        </w:rPr>
        <w:t xml:space="preserve"> </w:t>
      </w:r>
      <w:r w:rsidRPr="00132485">
        <w:rPr>
          <w:rFonts w:ascii="Calibri" w:eastAsia="Calibri" w:hAnsi="Calibri" w:cs="Calibri"/>
          <w:sz w:val="22"/>
          <w:szCs w:val="22"/>
          <w:lang w:val="es-MX" w:eastAsia="en-US"/>
        </w:rPr>
        <w:t>(</w:t>
      </w:r>
      <w:r w:rsidRPr="00132485">
        <w:rPr>
          <w:rFonts w:ascii="Calibri" w:eastAsia="Calibri" w:hAnsi="Calibri" w:cs="Calibri"/>
          <w:b/>
          <w:bCs/>
          <w:sz w:val="22"/>
          <w:szCs w:val="22"/>
          <w:lang w:eastAsia="en-US"/>
        </w:rPr>
        <w:t>2004</w:t>
      </w:r>
      <w:r w:rsidRPr="00132485">
        <w:rPr>
          <w:rFonts w:ascii="Calibri" w:eastAsia="Calibri" w:hAnsi="Calibri" w:cs="Calibri"/>
          <w:b/>
          <w:bCs/>
          <w:sz w:val="22"/>
          <w:szCs w:val="22"/>
          <w:lang w:val="es-MX" w:eastAsia="en-US"/>
        </w:rPr>
        <w:t>)</w:t>
      </w:r>
      <w:r w:rsidRPr="00132485">
        <w:rPr>
          <w:rFonts w:ascii="Calibri" w:eastAsia="Calibri" w:hAnsi="Calibri" w:cs="Calibri"/>
          <w:b/>
          <w:bCs/>
          <w:sz w:val="22"/>
          <w:szCs w:val="22"/>
          <w:vertAlign w:val="superscript"/>
          <w:lang w:val="fr-CH" w:eastAsia="en-US"/>
        </w:rPr>
        <w:footnoteReference w:id="14"/>
      </w:r>
      <w:r w:rsidRPr="00132485">
        <w:rPr>
          <w:rFonts w:ascii="Calibri" w:eastAsia="Calibri" w:hAnsi="Calibri" w:cs="Calibri"/>
          <w:sz w:val="22"/>
          <w:szCs w:val="22"/>
          <w:lang w:eastAsia="en-US"/>
        </w:rPr>
        <w:t xml:space="preserve"> </w:t>
      </w:r>
      <w:r w:rsidRPr="00132485">
        <w:rPr>
          <w:rFonts w:ascii="Calibri" w:eastAsia="Calibri" w:hAnsi="Calibri" w:cs="Calibri"/>
          <w:sz w:val="22"/>
          <w:szCs w:val="22"/>
          <w:lang w:val="es-MX" w:eastAsia="en-US"/>
        </w:rPr>
        <w:t>“L</w:t>
      </w:r>
      <w:r w:rsidRPr="00132485">
        <w:rPr>
          <w:rFonts w:ascii="Calibri" w:eastAsia="Calibri" w:hAnsi="Calibri" w:cs="Calibri"/>
          <w:sz w:val="22"/>
          <w:szCs w:val="22"/>
          <w:lang w:eastAsia="en-US"/>
        </w:rPr>
        <w:t>ucha contra el racismo, la xenofobia y la discriminación</w:t>
      </w:r>
      <w:r w:rsidRPr="00132485">
        <w:rPr>
          <w:rFonts w:ascii="Calibri" w:eastAsia="Calibri" w:hAnsi="Calibri" w:cs="Calibri"/>
          <w:sz w:val="22"/>
          <w:szCs w:val="22"/>
          <w:lang w:val="es-MX" w:eastAsia="en-US"/>
        </w:rPr>
        <w:t xml:space="preserve">” que </w:t>
      </w:r>
      <w:r w:rsidRPr="00132485">
        <w:rPr>
          <w:rFonts w:ascii="Calibri" w:eastAsia="Calibri" w:hAnsi="Calibri" w:cs="Calibri"/>
          <w:sz w:val="22"/>
          <w:szCs w:val="22"/>
          <w:lang w:eastAsia="en-US"/>
        </w:rPr>
        <w:t>declara de interés nacional la lucha contra el racismo, la xenofobia y toda otra forma de discriminación</w:t>
      </w:r>
      <w:r w:rsidRPr="00132485">
        <w:rPr>
          <w:rFonts w:ascii="Calibri" w:eastAsia="Calibri" w:hAnsi="Calibri" w:cs="Calibri"/>
          <w:sz w:val="22"/>
          <w:szCs w:val="22"/>
          <w:lang w:val="es-MX" w:eastAsia="en-US"/>
        </w:rPr>
        <w:t xml:space="preserve">. </w:t>
      </w:r>
      <w:r w:rsidRPr="00132485">
        <w:rPr>
          <w:rFonts w:ascii="Calibri" w:eastAsia="Calibri" w:hAnsi="Calibri" w:cs="Calibri"/>
          <w:sz w:val="22"/>
          <w:szCs w:val="22"/>
          <w:lang w:eastAsia="en-US"/>
        </w:rPr>
        <w:t xml:space="preserve"> Define</w:t>
      </w:r>
      <w:r w:rsidRPr="00132485">
        <w:rPr>
          <w:rFonts w:ascii="Calibri" w:eastAsia="Calibri" w:hAnsi="Calibri" w:cs="Calibri"/>
          <w:sz w:val="22"/>
          <w:szCs w:val="22"/>
          <w:lang w:val="es-MX" w:eastAsia="en-US"/>
        </w:rPr>
        <w:t xml:space="preserve"> discriminación y </w:t>
      </w:r>
      <w:r w:rsidRPr="00132485">
        <w:rPr>
          <w:rFonts w:ascii="Calibri" w:eastAsia="Calibri" w:hAnsi="Calibri" w:cs="Calibri"/>
          <w:sz w:val="22"/>
          <w:szCs w:val="22"/>
          <w:lang w:eastAsia="en-US"/>
        </w:rPr>
        <w:t xml:space="preserve"> </w:t>
      </w:r>
      <w:r w:rsidRPr="00132485">
        <w:rPr>
          <w:rFonts w:ascii="Calibri" w:eastAsia="Calibri" w:hAnsi="Calibri" w:cs="Calibri"/>
          <w:sz w:val="22"/>
          <w:szCs w:val="22"/>
          <w:lang w:val="es-MX" w:eastAsia="en-US"/>
        </w:rPr>
        <w:t>c</w:t>
      </w:r>
      <w:r w:rsidRPr="00132485">
        <w:rPr>
          <w:rFonts w:ascii="Calibri" w:eastAsia="Calibri" w:hAnsi="Calibri" w:cs="Calibri"/>
          <w:sz w:val="22"/>
          <w:szCs w:val="22"/>
          <w:lang w:eastAsia="en-US"/>
        </w:rPr>
        <w:t>rea la Comisión Honoraria contra el Racismo; la Xenofobia y toda otra forma de Discriminación</w:t>
      </w:r>
      <w:r w:rsidRPr="00132485">
        <w:rPr>
          <w:rFonts w:ascii="Calibri" w:eastAsia="Calibri" w:hAnsi="Calibri" w:cs="Calibri"/>
          <w:sz w:val="22"/>
          <w:szCs w:val="22"/>
          <w:lang w:val="es-MX" w:eastAsia="en-US"/>
        </w:rPr>
        <w:t>.</w:t>
      </w:r>
    </w:p>
    <w:p w14:paraId="0BBC9259" w14:textId="77777777" w:rsidR="00132485" w:rsidRPr="00132485" w:rsidRDefault="00132485" w:rsidP="00132485">
      <w:pPr>
        <w:autoSpaceDE w:val="0"/>
        <w:autoSpaceDN w:val="0"/>
        <w:adjustRightInd w:val="0"/>
        <w:spacing w:line="288" w:lineRule="auto"/>
        <w:jc w:val="both"/>
        <w:rPr>
          <w:rFonts w:ascii="Calibri" w:eastAsia="Calibri" w:hAnsi="Calibri" w:cs="Calibri"/>
          <w:sz w:val="22"/>
          <w:szCs w:val="22"/>
          <w:lang w:eastAsia="en-US"/>
        </w:rPr>
      </w:pPr>
      <w:r w:rsidRPr="00132485">
        <w:rPr>
          <w:rFonts w:ascii="Calibri" w:eastAsia="Calibri" w:hAnsi="Calibri" w:cs="Calibri"/>
          <w:sz w:val="22"/>
          <w:szCs w:val="22"/>
          <w:lang w:val="es-MX" w:eastAsia="en-US"/>
        </w:rPr>
        <w:t xml:space="preserve">- </w:t>
      </w:r>
      <w:r w:rsidRPr="00132485">
        <w:rPr>
          <w:rFonts w:ascii="Calibri" w:eastAsia="Calibri" w:hAnsi="Calibri" w:cs="Calibri"/>
          <w:b/>
          <w:bCs/>
          <w:sz w:val="22"/>
          <w:szCs w:val="22"/>
          <w:lang w:eastAsia="en-US"/>
        </w:rPr>
        <w:t>Ley</w:t>
      </w:r>
      <w:r w:rsidRPr="00132485">
        <w:rPr>
          <w:rFonts w:ascii="Calibri" w:eastAsia="Calibri" w:hAnsi="Calibri" w:cs="Calibri"/>
          <w:b/>
          <w:bCs/>
          <w:sz w:val="22"/>
          <w:szCs w:val="22"/>
          <w:lang w:val="es-MX" w:eastAsia="en-US"/>
        </w:rPr>
        <w:t xml:space="preserve"> Nº</w:t>
      </w:r>
      <w:r w:rsidRPr="00132485">
        <w:rPr>
          <w:rFonts w:ascii="Calibri" w:eastAsia="Calibri" w:hAnsi="Calibri" w:cs="Calibri"/>
          <w:b/>
          <w:bCs/>
          <w:sz w:val="22"/>
          <w:szCs w:val="22"/>
          <w:lang w:eastAsia="en-US"/>
        </w:rPr>
        <w:t xml:space="preserve"> 18</w:t>
      </w:r>
      <w:r w:rsidRPr="00132485">
        <w:rPr>
          <w:rFonts w:ascii="Calibri" w:eastAsia="Calibri" w:hAnsi="Calibri" w:cs="Calibri"/>
          <w:b/>
          <w:bCs/>
          <w:sz w:val="22"/>
          <w:szCs w:val="22"/>
          <w:lang w:val="es-MX" w:eastAsia="en-US"/>
        </w:rPr>
        <w:t>.</w:t>
      </w:r>
      <w:r w:rsidRPr="00132485">
        <w:rPr>
          <w:rFonts w:ascii="Calibri" w:eastAsia="Calibri" w:hAnsi="Calibri" w:cs="Calibri"/>
          <w:b/>
          <w:bCs/>
          <w:sz w:val="22"/>
          <w:szCs w:val="22"/>
          <w:lang w:eastAsia="en-US"/>
        </w:rPr>
        <w:t>059</w:t>
      </w:r>
      <w:r w:rsidRPr="00132485">
        <w:rPr>
          <w:rFonts w:ascii="Calibri" w:eastAsia="Calibri" w:hAnsi="Calibri" w:cs="Calibri"/>
          <w:b/>
          <w:bCs/>
          <w:sz w:val="22"/>
          <w:szCs w:val="22"/>
          <w:lang w:val="es-MX" w:eastAsia="en-US"/>
        </w:rPr>
        <w:t xml:space="preserve"> (2006)</w:t>
      </w:r>
      <w:r w:rsidRPr="00132485">
        <w:rPr>
          <w:rFonts w:ascii="Calibri" w:eastAsia="Calibri" w:hAnsi="Calibri" w:cs="Calibri"/>
          <w:b/>
          <w:bCs/>
          <w:sz w:val="22"/>
          <w:szCs w:val="22"/>
          <w:vertAlign w:val="superscript"/>
          <w:lang w:val="fr-CH" w:eastAsia="en-US"/>
        </w:rPr>
        <w:footnoteReference w:id="15"/>
      </w:r>
      <w:r w:rsidRPr="00132485">
        <w:rPr>
          <w:rFonts w:ascii="Calibri" w:eastAsia="Calibri" w:hAnsi="Calibri" w:cs="Calibri"/>
          <w:sz w:val="22"/>
          <w:szCs w:val="22"/>
          <w:lang w:val="es-MX" w:eastAsia="en-US"/>
        </w:rPr>
        <w:t xml:space="preserve"> </w:t>
      </w:r>
      <w:r w:rsidRPr="00132485">
        <w:rPr>
          <w:rFonts w:ascii="Calibri" w:eastAsia="Calibri" w:hAnsi="Calibri" w:cs="Calibri"/>
          <w:sz w:val="22"/>
          <w:szCs w:val="22"/>
          <w:lang w:eastAsia="en-US"/>
        </w:rPr>
        <w:t>- Declaración Día Nacional del Candombe, la Cultura Afrouruguaya y</w:t>
      </w:r>
      <w:r w:rsidRPr="00132485">
        <w:rPr>
          <w:rFonts w:ascii="Calibri" w:eastAsia="Calibri" w:hAnsi="Calibri" w:cs="Calibri"/>
          <w:sz w:val="22"/>
          <w:szCs w:val="22"/>
          <w:lang w:val="es-MX" w:eastAsia="en-US"/>
        </w:rPr>
        <w:t xml:space="preserve"> </w:t>
      </w:r>
      <w:r w:rsidRPr="00132485">
        <w:rPr>
          <w:rFonts w:ascii="Calibri" w:eastAsia="Calibri" w:hAnsi="Calibri" w:cs="Calibri"/>
          <w:sz w:val="22"/>
          <w:szCs w:val="22"/>
          <w:lang w:eastAsia="en-US"/>
        </w:rPr>
        <w:t>la Equidad Racial. (2006)</w:t>
      </w:r>
    </w:p>
    <w:p w14:paraId="5C470E1D" w14:textId="77777777" w:rsidR="00132485" w:rsidRPr="00132485" w:rsidRDefault="00132485" w:rsidP="001324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both"/>
        <w:rPr>
          <w:rFonts w:ascii="Calibri" w:eastAsia="SimSun" w:hAnsi="Calibri" w:cs="Calibri"/>
          <w:color w:val="333333"/>
          <w:sz w:val="22"/>
          <w:szCs w:val="22"/>
          <w:shd w:val="clear" w:color="auto" w:fill="FFFFFF"/>
          <w:lang w:eastAsia="zh-CN"/>
        </w:rPr>
      </w:pPr>
      <w:r w:rsidRPr="00132485">
        <w:rPr>
          <w:rFonts w:ascii="Calibri" w:eastAsia="SimSun" w:hAnsi="Calibri" w:cs="Calibri"/>
          <w:sz w:val="22"/>
          <w:szCs w:val="22"/>
          <w:lang w:val="es-MX" w:eastAsia="zh-CN"/>
        </w:rPr>
        <w:t xml:space="preserve">- </w:t>
      </w:r>
      <w:r w:rsidRPr="00132485">
        <w:rPr>
          <w:rFonts w:ascii="Calibri" w:eastAsia="SimSun" w:hAnsi="Calibri" w:cs="Calibri"/>
          <w:b/>
          <w:bCs/>
          <w:sz w:val="22"/>
          <w:szCs w:val="22"/>
          <w:lang w:eastAsia="zh-CN"/>
        </w:rPr>
        <w:t>Ley No. 19.122</w:t>
      </w:r>
      <w:r w:rsidRPr="00132485">
        <w:rPr>
          <w:rFonts w:ascii="Calibri" w:eastAsia="SimSun" w:hAnsi="Calibri" w:cs="Calibri"/>
          <w:sz w:val="22"/>
          <w:szCs w:val="22"/>
          <w:lang w:eastAsia="zh-CN"/>
        </w:rPr>
        <w:t xml:space="preserve"> </w:t>
      </w:r>
      <w:r w:rsidRPr="00132485">
        <w:rPr>
          <w:rFonts w:ascii="Calibri" w:eastAsia="SimSun" w:hAnsi="Calibri" w:cs="Calibri"/>
          <w:b/>
          <w:bCs/>
          <w:sz w:val="22"/>
          <w:szCs w:val="22"/>
          <w:lang w:val="es-MX" w:eastAsia="zh-CN"/>
        </w:rPr>
        <w:t>(2013)</w:t>
      </w:r>
      <w:r w:rsidRPr="00132485">
        <w:rPr>
          <w:rFonts w:ascii="Calibri" w:eastAsia="SimSun" w:hAnsi="Calibri" w:cs="Calibri"/>
          <w:b/>
          <w:bCs/>
          <w:sz w:val="22"/>
          <w:szCs w:val="22"/>
          <w:vertAlign w:val="superscript"/>
          <w:lang w:val="fr-CH" w:eastAsia="zh-CN"/>
        </w:rPr>
        <w:footnoteReference w:id="16"/>
      </w:r>
      <w:r w:rsidRPr="00132485">
        <w:rPr>
          <w:rFonts w:ascii="Calibri" w:eastAsia="SimSun" w:hAnsi="Calibri" w:cs="Calibri"/>
          <w:sz w:val="22"/>
          <w:szCs w:val="22"/>
          <w:lang w:eastAsia="zh-CN"/>
        </w:rPr>
        <w:t>, “Afrodescendientes. Normas para favorecer su participación en las áreas educativa y laboral.</w:t>
      </w:r>
      <w:r w:rsidRPr="00132485">
        <w:rPr>
          <w:rFonts w:ascii="Calibri" w:eastAsia="SimSun" w:hAnsi="Calibri" w:cs="Calibri"/>
          <w:sz w:val="22"/>
          <w:szCs w:val="22"/>
          <w:lang w:val="es-MX" w:eastAsia="zh-CN"/>
        </w:rPr>
        <w:t xml:space="preserve"> Esta ley r</w:t>
      </w:r>
      <w:r w:rsidRPr="00132485">
        <w:rPr>
          <w:rFonts w:ascii="Calibri" w:eastAsia="SimSun" w:hAnsi="Calibri" w:cs="Calibri"/>
          <w:color w:val="333333"/>
          <w:sz w:val="22"/>
          <w:szCs w:val="22"/>
          <w:shd w:val="clear" w:color="auto" w:fill="FFFFFF"/>
          <w:lang w:eastAsia="zh-CN"/>
        </w:rPr>
        <w:t>reconoce que la población afrodescendiente que habita el territorio</w:t>
      </w:r>
      <w:r w:rsidRPr="00132485">
        <w:rPr>
          <w:rFonts w:ascii="Calibri" w:eastAsia="SimSun" w:hAnsi="Calibri" w:cs="Calibri"/>
          <w:color w:val="333333"/>
          <w:sz w:val="22"/>
          <w:szCs w:val="22"/>
          <w:shd w:val="clear" w:color="auto" w:fill="FFFFFF"/>
          <w:lang w:val="es-MX" w:eastAsia="zh-CN"/>
        </w:rPr>
        <w:t xml:space="preserve"> </w:t>
      </w:r>
      <w:r w:rsidRPr="00132485">
        <w:rPr>
          <w:rFonts w:ascii="Calibri" w:eastAsia="SimSun" w:hAnsi="Calibri" w:cs="Calibri"/>
          <w:color w:val="333333"/>
          <w:sz w:val="22"/>
          <w:szCs w:val="22"/>
          <w:shd w:val="clear" w:color="auto" w:fill="FFFFFF"/>
          <w:lang w:eastAsia="zh-CN"/>
        </w:rPr>
        <w:t>nacional ha sido históricamente víctima del racismo, de la discriminación</w:t>
      </w:r>
      <w:r w:rsidRPr="00132485">
        <w:rPr>
          <w:rFonts w:ascii="Calibri" w:eastAsia="SimSun" w:hAnsi="Calibri" w:cs="Calibri"/>
          <w:color w:val="333333"/>
          <w:sz w:val="22"/>
          <w:szCs w:val="22"/>
          <w:shd w:val="clear" w:color="auto" w:fill="FFFFFF"/>
          <w:lang w:val="es-MX" w:eastAsia="zh-CN"/>
        </w:rPr>
        <w:t xml:space="preserve"> </w:t>
      </w:r>
      <w:r w:rsidRPr="00132485">
        <w:rPr>
          <w:rFonts w:ascii="Calibri" w:eastAsia="SimSun" w:hAnsi="Calibri" w:cs="Calibri"/>
          <w:color w:val="333333"/>
          <w:sz w:val="22"/>
          <w:szCs w:val="22"/>
          <w:shd w:val="clear" w:color="auto" w:fill="FFFFFF"/>
          <w:lang w:eastAsia="zh-CN"/>
        </w:rPr>
        <w:t>y la estigmatización desde el tiempo de la trata y tráfico esclavista,</w:t>
      </w:r>
      <w:r w:rsidRPr="00132485">
        <w:rPr>
          <w:rFonts w:ascii="Calibri" w:eastAsia="SimSun" w:hAnsi="Calibri" w:cs="Calibri"/>
          <w:color w:val="333333"/>
          <w:sz w:val="22"/>
          <w:szCs w:val="22"/>
          <w:shd w:val="clear" w:color="auto" w:fill="FFFFFF"/>
          <w:lang w:val="es-MX" w:eastAsia="zh-CN"/>
        </w:rPr>
        <w:t xml:space="preserve"> </w:t>
      </w:r>
      <w:r w:rsidRPr="00132485">
        <w:rPr>
          <w:rFonts w:ascii="Calibri" w:eastAsia="SimSun" w:hAnsi="Calibri" w:cs="Calibri"/>
          <w:color w:val="333333"/>
          <w:sz w:val="22"/>
          <w:szCs w:val="22"/>
          <w:shd w:val="clear" w:color="auto" w:fill="FFFFFF"/>
          <w:lang w:eastAsia="zh-CN"/>
        </w:rPr>
        <w:t>acciones estas últimas que hoy son señaladas como crímenes contra la</w:t>
      </w:r>
      <w:r w:rsidRPr="00132485">
        <w:rPr>
          <w:rFonts w:ascii="Calibri" w:eastAsia="SimSun" w:hAnsi="Calibri" w:cs="Calibri"/>
          <w:color w:val="333333"/>
          <w:sz w:val="22"/>
          <w:szCs w:val="22"/>
          <w:shd w:val="clear" w:color="auto" w:fill="FFFFFF"/>
          <w:lang w:val="es-MX" w:eastAsia="zh-CN"/>
        </w:rPr>
        <w:t xml:space="preserve"> </w:t>
      </w:r>
      <w:r w:rsidRPr="00132485">
        <w:rPr>
          <w:rFonts w:ascii="Calibri" w:eastAsia="SimSun" w:hAnsi="Calibri" w:cs="Calibri"/>
          <w:color w:val="333333"/>
          <w:sz w:val="22"/>
          <w:szCs w:val="22"/>
          <w:shd w:val="clear" w:color="auto" w:fill="FFFFFF"/>
          <w:lang w:eastAsia="zh-CN"/>
        </w:rPr>
        <w:t>humanidad de acuerdo al Derecho Internacional</w:t>
      </w:r>
      <w:r w:rsidRPr="00132485">
        <w:rPr>
          <w:rFonts w:ascii="Calibri" w:eastAsia="SimSun" w:hAnsi="Calibri" w:cs="Calibri"/>
          <w:color w:val="333333"/>
          <w:sz w:val="22"/>
          <w:szCs w:val="22"/>
          <w:shd w:val="clear" w:color="auto" w:fill="FFFFFF"/>
          <w:lang w:val="es-MX" w:eastAsia="zh-CN"/>
        </w:rPr>
        <w:t xml:space="preserve"> y establece determinados instrumentos para contribuir</w:t>
      </w:r>
      <w:r w:rsidRPr="00132485">
        <w:rPr>
          <w:rFonts w:ascii="Calibri" w:eastAsia="SimSun" w:hAnsi="Calibri" w:cs="Calibri"/>
          <w:color w:val="333333"/>
          <w:sz w:val="22"/>
          <w:szCs w:val="22"/>
          <w:shd w:val="clear" w:color="auto" w:fill="FFFFFF"/>
          <w:lang w:eastAsia="zh-CN"/>
        </w:rPr>
        <w:t xml:space="preserve"> a reparar los efectos de </w:t>
      </w:r>
      <w:r w:rsidRPr="00132485">
        <w:rPr>
          <w:rFonts w:ascii="Calibri" w:eastAsia="SimSun" w:hAnsi="Calibri" w:cs="Calibri"/>
          <w:color w:val="333333"/>
          <w:sz w:val="22"/>
          <w:szCs w:val="22"/>
          <w:shd w:val="clear" w:color="auto" w:fill="FFFFFF"/>
          <w:lang w:val="es-MX" w:eastAsia="zh-CN"/>
        </w:rPr>
        <w:t>esta</w:t>
      </w:r>
      <w:r w:rsidRPr="00132485">
        <w:rPr>
          <w:rFonts w:ascii="Calibri" w:eastAsia="SimSun" w:hAnsi="Calibri" w:cs="Calibri"/>
          <w:color w:val="333333"/>
          <w:sz w:val="22"/>
          <w:szCs w:val="22"/>
          <w:shd w:val="clear" w:color="auto" w:fill="FFFFFF"/>
          <w:lang w:eastAsia="zh-CN"/>
        </w:rPr>
        <w:t xml:space="preserve"> discriminación</w:t>
      </w:r>
      <w:r w:rsidRPr="00132485">
        <w:rPr>
          <w:rFonts w:ascii="Calibri" w:eastAsia="SimSun" w:hAnsi="Calibri" w:cs="Calibri"/>
          <w:color w:val="333333"/>
          <w:sz w:val="22"/>
          <w:szCs w:val="22"/>
          <w:shd w:val="clear" w:color="auto" w:fill="FFFFFF"/>
          <w:lang w:val="es-MX" w:eastAsia="zh-CN"/>
        </w:rPr>
        <w:t xml:space="preserve"> </w:t>
      </w:r>
      <w:r w:rsidRPr="00132485">
        <w:rPr>
          <w:rFonts w:ascii="Calibri" w:eastAsia="SimSun" w:hAnsi="Calibri" w:cs="Calibri"/>
          <w:color w:val="333333"/>
          <w:sz w:val="22"/>
          <w:szCs w:val="22"/>
          <w:shd w:val="clear" w:color="auto" w:fill="FFFFFF"/>
          <w:lang w:eastAsia="zh-CN"/>
        </w:rPr>
        <w:t>histórica</w:t>
      </w:r>
      <w:r w:rsidRPr="00132485">
        <w:rPr>
          <w:rFonts w:ascii="Calibri" w:eastAsia="SimSun" w:hAnsi="Calibri" w:cs="Calibri"/>
          <w:color w:val="333333"/>
          <w:sz w:val="22"/>
          <w:szCs w:val="22"/>
          <w:shd w:val="clear" w:color="auto" w:fill="FFFFFF"/>
          <w:lang w:val="es-MX" w:eastAsia="zh-CN"/>
        </w:rPr>
        <w:t>, declarando</w:t>
      </w:r>
      <w:bookmarkStart w:id="7" w:name="2"/>
      <w:bookmarkEnd w:id="7"/>
      <w:r w:rsidRPr="00132485">
        <w:rPr>
          <w:rFonts w:ascii="Calibri" w:eastAsia="SimSun" w:hAnsi="Calibri" w:cs="Calibri"/>
          <w:color w:val="333333"/>
          <w:sz w:val="22"/>
          <w:szCs w:val="22"/>
          <w:shd w:val="clear" w:color="auto" w:fill="FFFFFF"/>
          <w:lang w:eastAsia="zh-CN"/>
        </w:rPr>
        <w:t xml:space="preserve"> de interés general el diseño, promoción e implementación de</w:t>
      </w:r>
      <w:r w:rsidRPr="00132485">
        <w:rPr>
          <w:rFonts w:ascii="Calibri" w:eastAsia="SimSun" w:hAnsi="Calibri" w:cs="Calibri"/>
          <w:color w:val="333333"/>
          <w:sz w:val="22"/>
          <w:szCs w:val="22"/>
          <w:shd w:val="clear" w:color="auto" w:fill="FFFFFF"/>
          <w:lang w:val="es-MX" w:eastAsia="zh-CN"/>
        </w:rPr>
        <w:t xml:space="preserve"> </w:t>
      </w:r>
      <w:r w:rsidRPr="00132485">
        <w:rPr>
          <w:rFonts w:ascii="Calibri" w:eastAsia="SimSun" w:hAnsi="Calibri" w:cs="Calibri"/>
          <w:color w:val="333333"/>
          <w:sz w:val="22"/>
          <w:szCs w:val="22"/>
          <w:shd w:val="clear" w:color="auto" w:fill="FFFFFF"/>
          <w:lang w:eastAsia="zh-CN"/>
        </w:rPr>
        <w:t>acciones afirmativas en los ámbitos público y privado, dirigidas a los</w:t>
      </w:r>
      <w:r w:rsidRPr="00132485">
        <w:rPr>
          <w:rFonts w:ascii="Calibri" w:eastAsia="SimSun" w:hAnsi="Calibri" w:cs="Calibri"/>
          <w:color w:val="333333"/>
          <w:sz w:val="22"/>
          <w:szCs w:val="22"/>
          <w:shd w:val="clear" w:color="auto" w:fill="FFFFFF"/>
          <w:lang w:val="es-MX" w:eastAsia="zh-CN"/>
        </w:rPr>
        <w:t xml:space="preserve"> </w:t>
      </w:r>
      <w:r w:rsidRPr="00132485">
        <w:rPr>
          <w:rFonts w:ascii="Calibri" w:eastAsia="SimSun" w:hAnsi="Calibri" w:cs="Calibri"/>
          <w:color w:val="333333"/>
          <w:sz w:val="22"/>
          <w:szCs w:val="22"/>
          <w:shd w:val="clear" w:color="auto" w:fill="FFFFFF"/>
          <w:lang w:eastAsia="zh-CN"/>
        </w:rPr>
        <w:t>integrantes de la población afrodescendiente.</w:t>
      </w:r>
    </w:p>
    <w:p w14:paraId="2CF547B4" w14:textId="77777777" w:rsidR="00132485" w:rsidRPr="00132485" w:rsidRDefault="00132485" w:rsidP="00132485">
      <w:pPr>
        <w:autoSpaceDE w:val="0"/>
        <w:autoSpaceDN w:val="0"/>
        <w:adjustRightInd w:val="0"/>
        <w:spacing w:line="288" w:lineRule="auto"/>
        <w:jc w:val="both"/>
        <w:rPr>
          <w:rFonts w:ascii="Calibri" w:eastAsia="Calibri" w:hAnsi="Calibri" w:cs="Calibri"/>
          <w:sz w:val="22"/>
          <w:szCs w:val="22"/>
          <w:lang w:val="es-MX" w:eastAsia="en-US"/>
        </w:rPr>
      </w:pPr>
      <w:r w:rsidRPr="00132485">
        <w:rPr>
          <w:rFonts w:ascii="Calibri" w:eastAsia="Calibri" w:hAnsi="Calibri" w:cs="Calibri"/>
          <w:sz w:val="22"/>
          <w:szCs w:val="22"/>
          <w:lang w:val="es-MX" w:eastAsia="en-US"/>
        </w:rPr>
        <w:t>A su vez, en los últimos años se han aprobado también leyes que si bien no son leyes específicas contra la discriminación racial   establecen o instrumentan acciones en este sentido:</w:t>
      </w:r>
    </w:p>
    <w:p w14:paraId="58CC7DB6" w14:textId="77777777" w:rsidR="00132485" w:rsidRPr="00132485" w:rsidRDefault="00132485" w:rsidP="00132485">
      <w:pPr>
        <w:spacing w:line="288" w:lineRule="auto"/>
        <w:contextualSpacing/>
        <w:jc w:val="both"/>
        <w:rPr>
          <w:rFonts w:ascii="Calibri" w:eastAsia="Calibri" w:hAnsi="Calibri" w:cs="Calibri"/>
          <w:i/>
          <w:sz w:val="22"/>
          <w:szCs w:val="22"/>
          <w:lang w:eastAsia="en-US"/>
        </w:rPr>
      </w:pPr>
      <w:r w:rsidRPr="00132485">
        <w:rPr>
          <w:rFonts w:ascii="Calibri" w:eastAsia="Calibri" w:hAnsi="Calibri" w:cs="Calibri"/>
          <w:sz w:val="22"/>
          <w:szCs w:val="22"/>
          <w:lang w:val="es-MX" w:eastAsia="en-US"/>
        </w:rPr>
        <w:t>-</w:t>
      </w:r>
      <w:r w:rsidRPr="00132485">
        <w:rPr>
          <w:rFonts w:ascii="Calibri" w:eastAsia="Calibri" w:hAnsi="Calibri" w:cs="Calibri"/>
          <w:b/>
          <w:bCs/>
          <w:sz w:val="22"/>
          <w:szCs w:val="22"/>
          <w:lang w:val="es-MX" w:eastAsia="en-US"/>
        </w:rPr>
        <w:t xml:space="preserve"> Ley 19.293</w:t>
      </w:r>
      <w:r w:rsidRPr="00132485">
        <w:rPr>
          <w:rFonts w:ascii="Calibri" w:eastAsia="Calibri" w:hAnsi="Calibri" w:cs="Calibri"/>
          <w:sz w:val="22"/>
          <w:szCs w:val="22"/>
          <w:lang w:val="es-MX" w:eastAsia="en-US"/>
        </w:rPr>
        <w:t xml:space="preserve"> </w:t>
      </w:r>
      <w:r w:rsidRPr="00132485">
        <w:rPr>
          <w:rFonts w:ascii="Calibri" w:eastAsia="Calibri" w:hAnsi="Calibri" w:cs="Calibri"/>
          <w:b/>
          <w:bCs/>
          <w:sz w:val="22"/>
          <w:szCs w:val="22"/>
          <w:lang w:val="es-MX" w:eastAsia="en-US"/>
        </w:rPr>
        <w:t>(2014)</w:t>
      </w:r>
      <w:r w:rsidRPr="00132485">
        <w:rPr>
          <w:rFonts w:ascii="Calibri" w:eastAsia="Calibri" w:hAnsi="Calibri" w:cs="Calibri"/>
          <w:b/>
          <w:bCs/>
          <w:sz w:val="22"/>
          <w:szCs w:val="22"/>
          <w:vertAlign w:val="superscript"/>
          <w:lang w:val="fr-CH" w:eastAsia="en-US"/>
        </w:rPr>
        <w:footnoteReference w:id="17"/>
      </w:r>
      <w:r w:rsidRPr="00132485">
        <w:rPr>
          <w:rFonts w:ascii="Calibri" w:eastAsia="Calibri" w:hAnsi="Calibri" w:cs="Calibri"/>
          <w:b/>
          <w:bCs/>
          <w:sz w:val="22"/>
          <w:szCs w:val="22"/>
          <w:lang w:val="es-MX" w:eastAsia="en-US"/>
        </w:rPr>
        <w:t xml:space="preserve"> </w:t>
      </w:r>
      <w:r w:rsidRPr="00132485">
        <w:rPr>
          <w:rFonts w:ascii="Calibri" w:eastAsia="Calibri" w:hAnsi="Calibri" w:cs="Calibri"/>
          <w:sz w:val="22"/>
          <w:szCs w:val="22"/>
          <w:lang w:eastAsia="en-US"/>
        </w:rPr>
        <w:t>Código del Proceso Penal que comenzó a regir en 2017</w:t>
      </w:r>
      <w:r w:rsidRPr="00132485">
        <w:rPr>
          <w:rFonts w:ascii="Calibri" w:eastAsia="Calibri" w:hAnsi="Calibri" w:cs="Calibri"/>
          <w:sz w:val="22"/>
          <w:szCs w:val="22"/>
          <w:lang w:val="es-MX" w:eastAsia="en-US"/>
        </w:rPr>
        <w:t xml:space="preserve"> </w:t>
      </w:r>
      <w:r w:rsidRPr="00132485">
        <w:rPr>
          <w:rFonts w:ascii="Calibri" w:eastAsia="Calibri" w:hAnsi="Calibri" w:cs="Calibri"/>
          <w:sz w:val="22"/>
          <w:szCs w:val="22"/>
          <w:lang w:eastAsia="en-US"/>
        </w:rPr>
        <w:t xml:space="preserve">en su artículo 331, literal e), establece los casos de improcedencia de la extradición, entre otros: cuando: </w:t>
      </w:r>
      <w:r w:rsidRPr="00132485">
        <w:rPr>
          <w:rFonts w:ascii="Calibri" w:eastAsia="Calibri" w:hAnsi="Calibri" w:cs="Calibri"/>
          <w:i/>
          <w:sz w:val="22"/>
          <w:szCs w:val="22"/>
          <w:lang w:eastAsia="en-US"/>
        </w:rPr>
        <w:t>"de las circunstancias del caso pueda inferirse que media propósito persecutorio por consideraciones discriminatorias de raza, religión, nacionalidad o que la situación de la persona pueda verse agravada por algún otro motivo análogo;"</w:t>
      </w:r>
    </w:p>
    <w:p w14:paraId="37FF873C" w14:textId="77777777" w:rsidR="00132485" w:rsidRPr="00132485" w:rsidRDefault="00132485" w:rsidP="00132485">
      <w:pPr>
        <w:spacing w:line="288" w:lineRule="auto"/>
        <w:contextualSpacing/>
        <w:jc w:val="both"/>
        <w:rPr>
          <w:rFonts w:ascii="Calibri" w:eastAsia="Calibri" w:hAnsi="Calibri" w:cs="Calibri"/>
          <w:sz w:val="22"/>
          <w:szCs w:val="22"/>
          <w:lang w:eastAsia="en-US"/>
        </w:rPr>
      </w:pPr>
      <w:r w:rsidRPr="00132485">
        <w:rPr>
          <w:rFonts w:ascii="Calibri" w:eastAsia="Calibri" w:hAnsi="Calibri" w:cs="Calibri"/>
          <w:sz w:val="22"/>
          <w:szCs w:val="22"/>
          <w:lang w:val="es-MX" w:eastAsia="en-US"/>
        </w:rPr>
        <w:t xml:space="preserve">- </w:t>
      </w:r>
      <w:r w:rsidRPr="00132485">
        <w:rPr>
          <w:rFonts w:ascii="Calibri" w:eastAsia="Calibri" w:hAnsi="Calibri" w:cs="Calibri"/>
          <w:b/>
          <w:bCs/>
          <w:sz w:val="22"/>
          <w:szCs w:val="22"/>
          <w:lang w:eastAsia="en-US"/>
        </w:rPr>
        <w:t>Ley 19.529</w:t>
      </w:r>
      <w:r w:rsidRPr="00132485">
        <w:rPr>
          <w:rFonts w:ascii="Calibri" w:eastAsia="Calibri" w:hAnsi="Calibri" w:cs="Calibri"/>
          <w:b/>
          <w:bCs/>
          <w:sz w:val="22"/>
          <w:szCs w:val="22"/>
          <w:lang w:val="es-MX" w:eastAsia="en-US"/>
        </w:rPr>
        <w:t xml:space="preserve"> (2017)</w:t>
      </w:r>
      <w:r w:rsidRPr="00132485">
        <w:rPr>
          <w:rFonts w:ascii="Calibri" w:eastAsia="Calibri" w:hAnsi="Calibri" w:cs="Calibri"/>
          <w:b/>
          <w:bCs/>
          <w:sz w:val="22"/>
          <w:szCs w:val="22"/>
          <w:vertAlign w:val="superscript"/>
          <w:lang w:val="fr-CH" w:eastAsia="en-US"/>
        </w:rPr>
        <w:footnoteReference w:id="18"/>
      </w:r>
      <w:r w:rsidRPr="00132485">
        <w:rPr>
          <w:rFonts w:ascii="Calibri" w:eastAsia="Calibri" w:hAnsi="Calibri" w:cs="Calibri"/>
          <w:sz w:val="22"/>
          <w:szCs w:val="22"/>
          <w:lang w:eastAsia="en-US"/>
        </w:rPr>
        <w:t xml:space="preserve">, de </w:t>
      </w:r>
      <w:r w:rsidRPr="00132485">
        <w:rPr>
          <w:rFonts w:ascii="Calibri" w:eastAsia="Calibri" w:hAnsi="Calibri" w:cs="Calibri"/>
          <w:sz w:val="22"/>
          <w:szCs w:val="22"/>
          <w:lang w:val="es-MX" w:eastAsia="en-US"/>
        </w:rPr>
        <w:t xml:space="preserve"> Ley de </w:t>
      </w:r>
      <w:r w:rsidRPr="00132485">
        <w:rPr>
          <w:rFonts w:ascii="Calibri" w:eastAsia="Calibri" w:hAnsi="Calibri" w:cs="Calibri"/>
          <w:sz w:val="22"/>
          <w:szCs w:val="22"/>
          <w:lang w:eastAsia="en-US"/>
        </w:rPr>
        <w:t xml:space="preserve">Salud </w:t>
      </w:r>
      <w:r w:rsidRPr="00132485">
        <w:rPr>
          <w:rFonts w:ascii="Calibri" w:eastAsia="Calibri" w:hAnsi="Calibri" w:cs="Calibri"/>
          <w:sz w:val="22"/>
          <w:szCs w:val="22"/>
          <w:lang w:val="es-MX" w:eastAsia="en-US"/>
        </w:rPr>
        <w:t>Mental</w:t>
      </w:r>
      <w:r w:rsidRPr="00132485">
        <w:rPr>
          <w:rFonts w:ascii="Calibri" w:eastAsia="Calibri" w:hAnsi="Calibri" w:cs="Calibri"/>
          <w:sz w:val="22"/>
          <w:szCs w:val="22"/>
          <w:lang w:eastAsia="en-US"/>
        </w:rPr>
        <w:t>, que establece al principio de no discriminación como uno de los principios rectores de la Ley.</w:t>
      </w:r>
    </w:p>
    <w:p w14:paraId="60F3D3A6" w14:textId="77777777" w:rsidR="00132485" w:rsidRPr="00132485" w:rsidRDefault="00132485" w:rsidP="00132485">
      <w:pPr>
        <w:spacing w:line="288" w:lineRule="auto"/>
        <w:contextualSpacing/>
        <w:jc w:val="both"/>
        <w:rPr>
          <w:rFonts w:ascii="Calibri" w:eastAsia="Calibri" w:hAnsi="Calibri" w:cs="Calibri"/>
          <w:sz w:val="22"/>
          <w:szCs w:val="22"/>
          <w:lang w:eastAsia="en-US"/>
        </w:rPr>
      </w:pPr>
      <w:r w:rsidRPr="00132485">
        <w:rPr>
          <w:rFonts w:ascii="Calibri" w:eastAsia="Calibri" w:hAnsi="Calibri" w:cs="Calibri"/>
          <w:sz w:val="22"/>
          <w:szCs w:val="22"/>
          <w:lang w:val="es-MX" w:eastAsia="en-US"/>
        </w:rPr>
        <w:t xml:space="preserve">- </w:t>
      </w:r>
      <w:r w:rsidRPr="00132485">
        <w:rPr>
          <w:rFonts w:ascii="Calibri" w:eastAsia="Calibri" w:hAnsi="Calibri" w:cs="Calibri"/>
          <w:b/>
          <w:bCs/>
          <w:sz w:val="22"/>
          <w:szCs w:val="22"/>
          <w:lang w:val="es-MX" w:eastAsia="en-US"/>
        </w:rPr>
        <w:t xml:space="preserve">Ley </w:t>
      </w:r>
      <w:r w:rsidRPr="00132485">
        <w:rPr>
          <w:rFonts w:ascii="Calibri" w:eastAsia="Calibri" w:hAnsi="Calibri" w:cs="Calibri"/>
          <w:b/>
          <w:bCs/>
          <w:sz w:val="22"/>
          <w:szCs w:val="22"/>
          <w:lang w:eastAsia="en-US"/>
        </w:rPr>
        <w:t>19.534</w:t>
      </w:r>
      <w:r w:rsidRPr="00132485">
        <w:rPr>
          <w:rFonts w:ascii="Calibri" w:eastAsia="Calibri" w:hAnsi="Calibri" w:cs="Calibri"/>
          <w:sz w:val="22"/>
          <w:szCs w:val="22"/>
          <w:lang w:val="es-MX" w:eastAsia="en-US"/>
        </w:rPr>
        <w:t xml:space="preserve"> </w:t>
      </w:r>
      <w:r w:rsidRPr="00132485">
        <w:rPr>
          <w:rFonts w:ascii="Calibri" w:eastAsia="Calibri" w:hAnsi="Calibri" w:cs="Calibri"/>
          <w:b/>
          <w:bCs/>
          <w:sz w:val="22"/>
          <w:szCs w:val="22"/>
          <w:lang w:val="es-MX" w:eastAsia="en-US"/>
        </w:rPr>
        <w:t>(</w:t>
      </w:r>
      <w:r w:rsidRPr="00132485">
        <w:rPr>
          <w:rFonts w:ascii="Calibri" w:eastAsia="Calibri" w:hAnsi="Calibri" w:cs="Calibri"/>
          <w:b/>
          <w:bCs/>
          <w:sz w:val="22"/>
          <w:szCs w:val="22"/>
          <w:lang w:eastAsia="en-US"/>
        </w:rPr>
        <w:t>2017</w:t>
      </w:r>
      <w:r w:rsidRPr="00132485">
        <w:rPr>
          <w:rFonts w:ascii="Calibri" w:eastAsia="Calibri" w:hAnsi="Calibri" w:cs="Calibri"/>
          <w:b/>
          <w:bCs/>
          <w:sz w:val="22"/>
          <w:szCs w:val="22"/>
          <w:lang w:val="es-MX" w:eastAsia="en-US"/>
        </w:rPr>
        <w:t>)</w:t>
      </w:r>
      <w:r w:rsidRPr="00132485">
        <w:rPr>
          <w:rFonts w:ascii="Calibri" w:eastAsia="Calibri" w:hAnsi="Calibri" w:cs="Calibri"/>
          <w:b/>
          <w:bCs/>
          <w:sz w:val="22"/>
          <w:szCs w:val="22"/>
          <w:vertAlign w:val="superscript"/>
          <w:lang w:val="fr-CH" w:eastAsia="en-US"/>
        </w:rPr>
        <w:footnoteReference w:id="19"/>
      </w:r>
      <w:r w:rsidRPr="00132485">
        <w:rPr>
          <w:rFonts w:ascii="Calibri" w:eastAsia="Calibri" w:hAnsi="Calibri" w:cs="Calibri"/>
          <w:sz w:val="22"/>
          <w:szCs w:val="22"/>
          <w:lang w:eastAsia="en-US"/>
        </w:rPr>
        <w:t>, que regula el derecho de admisión a espectáculos públicos establece que: “…en ningún caso se podrá ejercer este derecho para restringir el acceso de manera arbitraria o discriminatoria en los términos del art 2 de la Ley 17.817”</w:t>
      </w:r>
    </w:p>
    <w:p w14:paraId="050B72C1" w14:textId="77777777" w:rsidR="00132485" w:rsidRPr="00132485" w:rsidRDefault="00132485" w:rsidP="00132485">
      <w:pPr>
        <w:spacing w:line="288" w:lineRule="auto"/>
        <w:contextualSpacing/>
        <w:jc w:val="both"/>
        <w:rPr>
          <w:rFonts w:ascii="Calibri" w:eastAsia="Calibri" w:hAnsi="Calibri" w:cs="Calibri"/>
          <w:sz w:val="22"/>
          <w:szCs w:val="22"/>
          <w:lang w:eastAsia="en-US"/>
        </w:rPr>
      </w:pPr>
      <w:r w:rsidRPr="00132485">
        <w:rPr>
          <w:rFonts w:ascii="Calibri" w:eastAsia="Calibri" w:hAnsi="Calibri" w:cs="Calibri"/>
          <w:sz w:val="22"/>
          <w:szCs w:val="22"/>
          <w:lang w:val="es-MX" w:eastAsia="en-US"/>
        </w:rPr>
        <w:lastRenderedPageBreak/>
        <w:t>-</w:t>
      </w:r>
      <w:r w:rsidRPr="00132485">
        <w:rPr>
          <w:rFonts w:ascii="Calibri" w:eastAsia="Calibri" w:hAnsi="Calibri" w:cs="Calibri"/>
          <w:b/>
          <w:bCs/>
          <w:sz w:val="22"/>
          <w:szCs w:val="22"/>
          <w:lang w:val="es-MX" w:eastAsia="en-US"/>
        </w:rPr>
        <w:t xml:space="preserve"> </w:t>
      </w:r>
      <w:r w:rsidRPr="00132485">
        <w:rPr>
          <w:rFonts w:ascii="Calibri" w:eastAsia="Calibri" w:hAnsi="Calibri" w:cs="Calibri"/>
          <w:b/>
          <w:bCs/>
          <w:sz w:val="22"/>
          <w:szCs w:val="22"/>
          <w:lang w:eastAsia="en-US"/>
        </w:rPr>
        <w:t>Ley Nº. 19.580</w:t>
      </w:r>
      <w:r w:rsidRPr="00132485">
        <w:rPr>
          <w:rFonts w:ascii="Calibri" w:eastAsia="Calibri" w:hAnsi="Calibri" w:cs="Calibri"/>
          <w:sz w:val="22"/>
          <w:szCs w:val="22"/>
          <w:lang w:val="es-MX" w:eastAsia="en-US"/>
        </w:rPr>
        <w:t xml:space="preserve"> </w:t>
      </w:r>
      <w:r w:rsidRPr="00132485">
        <w:rPr>
          <w:rFonts w:ascii="Calibri" w:eastAsia="Calibri" w:hAnsi="Calibri" w:cs="Calibri"/>
          <w:b/>
          <w:bCs/>
          <w:sz w:val="22"/>
          <w:szCs w:val="22"/>
          <w:lang w:val="es-MX" w:eastAsia="en-US"/>
        </w:rPr>
        <w:t>(</w:t>
      </w:r>
      <w:r w:rsidRPr="00132485">
        <w:rPr>
          <w:rFonts w:ascii="Calibri" w:eastAsia="Calibri" w:hAnsi="Calibri" w:cs="Calibri"/>
          <w:b/>
          <w:bCs/>
          <w:sz w:val="22"/>
          <w:szCs w:val="22"/>
          <w:lang w:eastAsia="en-US"/>
        </w:rPr>
        <w:t>2018</w:t>
      </w:r>
      <w:r w:rsidRPr="00132485">
        <w:rPr>
          <w:rFonts w:ascii="Calibri" w:eastAsia="Calibri" w:hAnsi="Calibri" w:cs="Calibri"/>
          <w:sz w:val="22"/>
          <w:szCs w:val="22"/>
          <w:lang w:val="es-MX" w:eastAsia="en-US"/>
        </w:rPr>
        <w:t>)</w:t>
      </w:r>
      <w:r w:rsidRPr="00132485">
        <w:rPr>
          <w:rFonts w:ascii="Calibri" w:eastAsia="Calibri" w:hAnsi="Calibri" w:cs="Calibri"/>
          <w:sz w:val="22"/>
          <w:szCs w:val="22"/>
          <w:vertAlign w:val="superscript"/>
          <w:lang w:val="fr-CH" w:eastAsia="en-US"/>
        </w:rPr>
        <w:footnoteReference w:id="20"/>
      </w:r>
      <w:r w:rsidRPr="00132485">
        <w:rPr>
          <w:rFonts w:ascii="Calibri" w:eastAsia="Calibri" w:hAnsi="Calibri" w:cs="Calibri"/>
          <w:sz w:val="22"/>
          <w:szCs w:val="22"/>
          <w:lang w:eastAsia="en-US"/>
        </w:rPr>
        <w:t xml:space="preserve"> de Violencia hacia las Mujeres basada en Género, tiene como objeto garantizar el efectivo goce del derecho de las mujeres a una vida libre de violencia basada en género a las mujeres en toda su diversidad e incluye un artículo específico (art. 6 lit. r) que define la Violencia Étnica Racial como "toda agresión física, moral, verbal o psicológica, tratamiento humillante u ofensivo, ejercido contra una mujer en virtud de su pertenencia étnica o en alusión a la misma; provocando en la víctima sentimientos de intimidación, de vergüenza, menosprecio, de denigración. Sea que este tipo de violencia sea ejercida en público, en privado, o con independencia del ámbito en el que ocurra."</w:t>
      </w:r>
    </w:p>
    <w:p w14:paraId="233E1BB9" w14:textId="77777777" w:rsidR="00132485" w:rsidRPr="00132485" w:rsidRDefault="00132485" w:rsidP="00132485">
      <w:pPr>
        <w:spacing w:line="288" w:lineRule="auto"/>
        <w:contextualSpacing/>
        <w:jc w:val="both"/>
        <w:rPr>
          <w:rFonts w:ascii="Calibri" w:eastAsia="Calibri" w:hAnsi="Calibri" w:cs="Calibri"/>
          <w:i/>
          <w:sz w:val="22"/>
          <w:szCs w:val="22"/>
          <w:lang w:eastAsia="en-US"/>
        </w:rPr>
      </w:pPr>
      <w:r w:rsidRPr="00132485">
        <w:rPr>
          <w:rFonts w:ascii="Calibri" w:eastAsia="Calibri" w:hAnsi="Calibri" w:cs="Calibri"/>
          <w:sz w:val="22"/>
          <w:szCs w:val="22"/>
          <w:lang w:eastAsia="en-US"/>
        </w:rPr>
        <w:t xml:space="preserve">El artículo 11 inciso J de dicha Ley dispone </w:t>
      </w:r>
      <w:r w:rsidRPr="00132485">
        <w:rPr>
          <w:rFonts w:ascii="Calibri" w:eastAsia="Calibri" w:hAnsi="Calibri" w:cs="Calibri"/>
          <w:i/>
          <w:sz w:val="22"/>
          <w:szCs w:val="22"/>
          <w:lang w:eastAsia="en-US"/>
        </w:rPr>
        <w:t>“Generar registros de datos cuantitativos y cualitativos sobre violencia basada en género, que contemplen variables tales como edad, situación de discapacidad, origen étnico racial, religión, territorialidad, entre otras dimensiones de la discriminación. Deberán adaptarse medidas a fin de garantizar la reserva de los datos personales de forma que no sea identificable la persona a la que refieren (Ley N° 18.331, de 11 de agosto de 2008).”</w:t>
      </w:r>
    </w:p>
    <w:p w14:paraId="20BA583C" w14:textId="77777777" w:rsidR="00132485" w:rsidRPr="00132485" w:rsidRDefault="00132485" w:rsidP="00132485">
      <w:pPr>
        <w:spacing w:line="288" w:lineRule="auto"/>
        <w:contextualSpacing/>
        <w:jc w:val="both"/>
        <w:rPr>
          <w:rFonts w:ascii="Calibri" w:eastAsia="Calibri" w:hAnsi="Calibri" w:cs="Calibri"/>
          <w:i/>
          <w:sz w:val="22"/>
          <w:szCs w:val="22"/>
          <w:lang w:eastAsia="en-US"/>
        </w:rPr>
      </w:pPr>
      <w:r w:rsidRPr="00132485">
        <w:rPr>
          <w:rFonts w:ascii="Calibri" w:eastAsia="Calibri" w:hAnsi="Calibri" w:cs="Calibri"/>
          <w:sz w:val="22"/>
          <w:szCs w:val="22"/>
          <w:lang w:val="es-MX" w:eastAsia="en-US"/>
        </w:rPr>
        <w:t xml:space="preserve">- </w:t>
      </w:r>
      <w:r w:rsidRPr="00132485">
        <w:rPr>
          <w:rFonts w:ascii="Calibri" w:eastAsia="Calibri" w:hAnsi="Calibri" w:cs="Calibri"/>
          <w:b/>
          <w:bCs/>
          <w:sz w:val="22"/>
          <w:szCs w:val="22"/>
          <w:lang w:eastAsia="en-US"/>
        </w:rPr>
        <w:t xml:space="preserve">Ley Nº 19.643 </w:t>
      </w:r>
      <w:r w:rsidRPr="00132485">
        <w:rPr>
          <w:rFonts w:ascii="Calibri" w:eastAsia="Calibri" w:hAnsi="Calibri" w:cs="Calibri"/>
          <w:b/>
          <w:bCs/>
          <w:sz w:val="22"/>
          <w:szCs w:val="22"/>
          <w:lang w:val="es-MX" w:eastAsia="en-US"/>
        </w:rPr>
        <w:t>(</w:t>
      </w:r>
      <w:r w:rsidRPr="00132485">
        <w:rPr>
          <w:rFonts w:ascii="Calibri" w:eastAsia="Calibri" w:hAnsi="Calibri" w:cs="Calibri"/>
          <w:b/>
          <w:bCs/>
          <w:sz w:val="22"/>
          <w:szCs w:val="22"/>
          <w:lang w:eastAsia="en-US"/>
        </w:rPr>
        <w:t>2018</w:t>
      </w:r>
      <w:r w:rsidRPr="00132485">
        <w:rPr>
          <w:rFonts w:ascii="Calibri" w:eastAsia="Calibri" w:hAnsi="Calibri" w:cs="Calibri"/>
          <w:b/>
          <w:bCs/>
          <w:sz w:val="22"/>
          <w:szCs w:val="22"/>
          <w:lang w:val="es-MX" w:eastAsia="en-US"/>
        </w:rPr>
        <w:t>)</w:t>
      </w:r>
      <w:r w:rsidRPr="00132485">
        <w:rPr>
          <w:rFonts w:ascii="Calibri" w:eastAsia="Calibri" w:hAnsi="Calibri" w:cs="Calibri"/>
          <w:b/>
          <w:bCs/>
          <w:sz w:val="22"/>
          <w:szCs w:val="22"/>
          <w:vertAlign w:val="superscript"/>
          <w:lang w:val="fr-CH" w:eastAsia="en-US"/>
        </w:rPr>
        <w:footnoteReference w:id="21"/>
      </w:r>
      <w:r w:rsidRPr="00132485">
        <w:rPr>
          <w:rFonts w:ascii="Calibri" w:eastAsia="Calibri" w:hAnsi="Calibri" w:cs="Calibri"/>
          <w:sz w:val="22"/>
          <w:szCs w:val="22"/>
          <w:lang w:eastAsia="en-US"/>
        </w:rPr>
        <w:t xml:space="preserve"> que dispone normas para la prevención y el combate de la trata de personas. Esta norma se aprobó teniendo en cuenta todos los instrumentos internacionales de derechos humanos ratificados por Uruguay. Además de estar en línea con la Convención, consolida una política pública integral y garantista de los derechos humanos y en particular tiene presente las características de los colectivos más vulnerables, como es, entre otros, la población afro-descendiente, así como los estereotipos discriminatorios. De esta norma se destacan los siguientes artículos:</w:t>
      </w:r>
    </w:p>
    <w:p w14:paraId="27D7A8FA" w14:textId="77777777" w:rsidR="00132485" w:rsidRPr="00132485" w:rsidRDefault="00132485" w:rsidP="00132485">
      <w:pPr>
        <w:spacing w:line="288" w:lineRule="auto"/>
        <w:contextualSpacing/>
        <w:jc w:val="both"/>
        <w:rPr>
          <w:rFonts w:ascii="Calibri" w:eastAsia="Calibri" w:hAnsi="Calibri" w:cs="Calibri"/>
          <w:i/>
          <w:sz w:val="22"/>
          <w:szCs w:val="22"/>
          <w:lang w:val="es-MX" w:eastAsia="en-US"/>
        </w:rPr>
      </w:pPr>
      <w:r w:rsidRPr="00132485">
        <w:rPr>
          <w:rFonts w:ascii="Calibri" w:eastAsia="Calibri" w:hAnsi="Calibri" w:cs="Calibri"/>
          <w:sz w:val="22"/>
          <w:szCs w:val="22"/>
          <w:lang w:val="es-MX" w:eastAsia="en-US"/>
        </w:rPr>
        <w:t xml:space="preserve">1.- </w:t>
      </w:r>
      <w:r w:rsidRPr="00132485">
        <w:rPr>
          <w:rFonts w:ascii="Calibri" w:eastAsia="Calibri" w:hAnsi="Calibri" w:cs="Calibri"/>
          <w:sz w:val="22"/>
          <w:szCs w:val="22"/>
          <w:lang w:eastAsia="en-US"/>
        </w:rPr>
        <w:t>El art. 3 C) que establece como uno de sus principios rectores el de "</w:t>
      </w:r>
      <w:r w:rsidRPr="00132485">
        <w:rPr>
          <w:rFonts w:ascii="Calibri" w:eastAsia="Calibri" w:hAnsi="Calibri" w:cs="Calibri"/>
          <w:i/>
          <w:sz w:val="22"/>
          <w:szCs w:val="22"/>
          <w:lang w:eastAsia="en-US"/>
        </w:rPr>
        <w:t>Igualdad y No discriminación: En todas las actuaciones debe garantizarse el respeto de los derechos humanos de las víctimas, sin discriminación alguna por motivos étnico-raciales, situación de discapacidad, sexo, género, edad, idioma, religión, orientación sexual, identidad de género, opiniones políticas o de cualquier otra índole, origen, nacionalidad, apátrida, posición económica o cualquier otra condición social o migratoria"</w:t>
      </w:r>
      <w:r w:rsidRPr="00132485">
        <w:rPr>
          <w:rFonts w:ascii="Calibri" w:eastAsia="Calibri" w:hAnsi="Calibri" w:cs="Calibri"/>
          <w:i/>
          <w:sz w:val="22"/>
          <w:szCs w:val="22"/>
          <w:lang w:val="es-MX" w:eastAsia="en-US"/>
        </w:rPr>
        <w:t>;</w:t>
      </w:r>
    </w:p>
    <w:p w14:paraId="177A349F" w14:textId="77777777" w:rsidR="00132485" w:rsidRPr="00132485" w:rsidRDefault="00132485" w:rsidP="00132485">
      <w:pPr>
        <w:spacing w:line="288" w:lineRule="auto"/>
        <w:contextualSpacing/>
        <w:jc w:val="both"/>
        <w:rPr>
          <w:rFonts w:ascii="Calibri" w:eastAsia="Calibri" w:hAnsi="Calibri" w:cs="Calibri"/>
          <w:i/>
          <w:sz w:val="22"/>
          <w:szCs w:val="22"/>
          <w:lang w:val="es-MX" w:eastAsia="en-US"/>
        </w:rPr>
      </w:pPr>
      <w:r w:rsidRPr="00132485">
        <w:rPr>
          <w:rFonts w:ascii="Calibri" w:eastAsia="Calibri" w:hAnsi="Calibri" w:cs="Calibri"/>
          <w:i/>
          <w:sz w:val="22"/>
          <w:szCs w:val="22"/>
          <w:lang w:val="es-MX" w:eastAsia="en-US"/>
        </w:rPr>
        <w:t xml:space="preserve">2.- </w:t>
      </w:r>
      <w:r w:rsidRPr="00132485">
        <w:rPr>
          <w:rFonts w:ascii="Calibri" w:eastAsia="Calibri" w:hAnsi="Calibri" w:cs="Calibri"/>
          <w:sz w:val="22"/>
          <w:szCs w:val="22"/>
          <w:lang w:eastAsia="en-US"/>
        </w:rPr>
        <w:t>El art</w:t>
      </w:r>
      <w:r w:rsidRPr="00132485">
        <w:rPr>
          <w:rFonts w:ascii="Calibri" w:eastAsia="Calibri" w:hAnsi="Calibri" w:cs="Calibri"/>
          <w:sz w:val="22"/>
          <w:szCs w:val="22"/>
          <w:lang w:val="es-MX" w:eastAsia="en-US"/>
        </w:rPr>
        <w:t>.</w:t>
      </w:r>
      <w:r w:rsidRPr="00132485">
        <w:rPr>
          <w:rFonts w:ascii="Calibri" w:eastAsia="Calibri" w:hAnsi="Calibri" w:cs="Calibri"/>
          <w:sz w:val="22"/>
          <w:szCs w:val="22"/>
          <w:lang w:eastAsia="en-US"/>
        </w:rPr>
        <w:t xml:space="preserve"> 2 que dispone: </w:t>
      </w:r>
      <w:r w:rsidRPr="00132485">
        <w:rPr>
          <w:rFonts w:ascii="Calibri" w:eastAsia="Calibri" w:hAnsi="Calibri" w:cs="Calibri"/>
          <w:i/>
          <w:sz w:val="22"/>
          <w:szCs w:val="22"/>
          <w:lang w:eastAsia="en-US"/>
        </w:rPr>
        <w:t xml:space="preserve">"(Interpretación e integración).- </w:t>
      </w:r>
      <w:r w:rsidRPr="00132485">
        <w:rPr>
          <w:rFonts w:ascii="Calibri" w:eastAsia="Calibri" w:hAnsi="Calibri" w:cs="Calibri"/>
          <w:i/>
          <w:sz w:val="22"/>
          <w:szCs w:val="22"/>
          <w:lang w:val="es-UY" w:eastAsia="en-US"/>
        </w:rPr>
        <w:t xml:space="preserve">Para la interpretación e integración de esta Ley se tendrán especialmente en cuenta los principios y las disposiciones de la Constitución y de los instrumentos internacionales de DDHH ratificados por la República, en particular ... la "Convención sobre la Esclavitud de 1926, modificada en los términos del Protocolo de 1953" y la "Convención Suplementaria sobre la Abolición de la Esclavitud, ...(Ley 17.304). </w:t>
      </w:r>
      <w:r w:rsidRPr="00132485">
        <w:rPr>
          <w:rFonts w:ascii="Calibri" w:eastAsia="Calibri" w:hAnsi="Calibri" w:cs="Calibri"/>
          <w:i/>
          <w:sz w:val="22"/>
          <w:szCs w:val="22"/>
          <w:lang w:eastAsia="en-US"/>
        </w:rPr>
        <w:t>En caso de conflicto o duda sobre la aplicación de las disposiciones contenidas en la presente Ley, prevalecerá la interpretación más favorable a las víctimas de la trata y de la explotación de personas"</w:t>
      </w:r>
      <w:r w:rsidRPr="00132485">
        <w:rPr>
          <w:rFonts w:ascii="Calibri" w:eastAsia="Calibri" w:hAnsi="Calibri" w:cs="Calibri"/>
          <w:i/>
          <w:sz w:val="22"/>
          <w:szCs w:val="22"/>
          <w:lang w:val="es-MX" w:eastAsia="en-US"/>
        </w:rPr>
        <w:t xml:space="preserve">; </w:t>
      </w:r>
    </w:p>
    <w:p w14:paraId="46417B46" w14:textId="77777777" w:rsidR="00132485" w:rsidRPr="00132485" w:rsidRDefault="00132485" w:rsidP="00132485">
      <w:pPr>
        <w:spacing w:line="288" w:lineRule="auto"/>
        <w:contextualSpacing/>
        <w:jc w:val="both"/>
        <w:rPr>
          <w:rFonts w:ascii="Calibri" w:eastAsia="Calibri" w:hAnsi="Calibri" w:cs="Calibri"/>
          <w:i/>
          <w:sz w:val="22"/>
          <w:szCs w:val="22"/>
          <w:lang w:val="es-UY" w:eastAsia="en-US"/>
        </w:rPr>
      </w:pPr>
      <w:r w:rsidRPr="00132485">
        <w:rPr>
          <w:rFonts w:ascii="Calibri" w:eastAsia="Calibri" w:hAnsi="Calibri" w:cs="Calibri"/>
          <w:i/>
          <w:sz w:val="22"/>
          <w:szCs w:val="22"/>
          <w:lang w:val="es-MX" w:eastAsia="en-US"/>
        </w:rPr>
        <w:t>3.- E</w:t>
      </w:r>
      <w:r w:rsidRPr="00132485">
        <w:rPr>
          <w:rFonts w:ascii="Calibri" w:eastAsia="Calibri" w:hAnsi="Calibri" w:cs="Calibri"/>
          <w:sz w:val="22"/>
          <w:szCs w:val="22"/>
          <w:lang w:eastAsia="en-US"/>
        </w:rPr>
        <w:t>l artículo 5º, referido a “</w:t>
      </w:r>
      <w:r w:rsidRPr="00132485">
        <w:rPr>
          <w:rFonts w:ascii="Calibri" w:eastAsia="Calibri" w:hAnsi="Calibri" w:cs="Calibri"/>
          <w:i/>
          <w:sz w:val="22"/>
          <w:szCs w:val="22"/>
          <w:lang w:eastAsia="en-US"/>
        </w:rPr>
        <w:t xml:space="preserve">Derechos de las víctimas de trata y explotación de personas.- </w:t>
      </w:r>
      <w:r w:rsidRPr="00132485">
        <w:rPr>
          <w:rFonts w:ascii="Calibri" w:eastAsia="Calibri" w:hAnsi="Calibri" w:cs="Calibri"/>
          <w:i/>
          <w:sz w:val="22"/>
          <w:szCs w:val="22"/>
          <w:lang w:val="es-UY" w:eastAsia="en-US"/>
        </w:rPr>
        <w:t xml:space="preserve">Todas las personas víctimas de trata de personas, aun cuando no hayan realizado la denuncia judicial </w:t>
      </w:r>
      <w:r w:rsidRPr="00132485">
        <w:rPr>
          <w:rFonts w:ascii="Calibri" w:eastAsia="Calibri" w:hAnsi="Calibri" w:cs="Calibri"/>
          <w:i/>
          <w:sz w:val="22"/>
          <w:szCs w:val="22"/>
          <w:lang w:val="es-UY" w:eastAsia="en-US"/>
        </w:rPr>
        <w:lastRenderedPageBreak/>
        <w:t>o administrativa de los hechos, tienen los siguientes derechos, sin perjuicio de los reconocidos a todas las personas en los tratados y convenios internacionales ratificados por el país y en la Constitución y las Leyes nacionales: A) Al respeto de su dignidad, intimidad y autonomía y a no ser sometida a forma alguna de discriminación”.</w:t>
      </w:r>
    </w:p>
    <w:p w14:paraId="5922F928" w14:textId="77777777" w:rsidR="00132485" w:rsidRPr="00132485" w:rsidRDefault="00132485" w:rsidP="00132485">
      <w:pPr>
        <w:spacing w:line="288" w:lineRule="auto"/>
        <w:contextualSpacing/>
        <w:jc w:val="both"/>
        <w:rPr>
          <w:rFonts w:ascii="Calibri" w:eastAsia="Calibri" w:hAnsi="Calibri" w:cs="Calibri"/>
          <w:i/>
          <w:sz w:val="22"/>
          <w:szCs w:val="22"/>
          <w:lang w:eastAsia="en-US"/>
        </w:rPr>
      </w:pPr>
      <w:r w:rsidRPr="00132485">
        <w:rPr>
          <w:rFonts w:ascii="Calibri" w:eastAsia="Calibri" w:hAnsi="Calibri" w:cs="Calibri"/>
          <w:sz w:val="22"/>
          <w:szCs w:val="22"/>
          <w:lang w:val="es-MX" w:eastAsia="en-US"/>
        </w:rPr>
        <w:t xml:space="preserve">4.- </w:t>
      </w:r>
      <w:r w:rsidRPr="00132485">
        <w:rPr>
          <w:rFonts w:ascii="Calibri" w:eastAsia="Calibri" w:hAnsi="Calibri" w:cs="Calibri"/>
          <w:sz w:val="22"/>
          <w:szCs w:val="22"/>
          <w:lang w:eastAsia="en-US"/>
        </w:rPr>
        <w:t xml:space="preserve">El art. 8 que al determinar los cometidos del Consejo Nacional de Prevención y Combate a la Trata y la Explotación de Personas que la Ley crea como ente rector, se incluye, entre otros: </w:t>
      </w:r>
      <w:r w:rsidRPr="00132485">
        <w:rPr>
          <w:rFonts w:ascii="Calibri" w:eastAsia="Calibri" w:hAnsi="Calibri" w:cs="Calibri"/>
          <w:i/>
          <w:sz w:val="22"/>
          <w:szCs w:val="22"/>
          <w:lang w:eastAsia="en-US"/>
        </w:rPr>
        <w:t>"D) Proponer acciones de difusión y concientización de la población en general sobre la trata y explotación de personas, con enfoque de derechos humanos, género y especial consideración a la situación de las niñas, niños y adolescentes, la diversidad étnico-cultural y el idioma o lengua de las potenciales víctimas, dando cumplimiento a las normas de accesibilidad para personas en situación de discapacidad".</w:t>
      </w:r>
    </w:p>
    <w:p w14:paraId="2DBD4D5F" w14:textId="77777777" w:rsidR="00132485" w:rsidRPr="00132485" w:rsidRDefault="00132485" w:rsidP="00132485">
      <w:pPr>
        <w:spacing w:line="288" w:lineRule="auto"/>
        <w:contextualSpacing/>
        <w:jc w:val="both"/>
        <w:rPr>
          <w:rFonts w:ascii="Calibri" w:eastAsia="Calibri" w:hAnsi="Calibri" w:cs="Calibri"/>
          <w:i/>
          <w:sz w:val="22"/>
          <w:szCs w:val="22"/>
          <w:lang w:eastAsia="en-US"/>
        </w:rPr>
      </w:pPr>
      <w:r w:rsidRPr="00132485">
        <w:rPr>
          <w:rFonts w:ascii="Calibri" w:eastAsia="Calibri" w:hAnsi="Calibri" w:cs="Calibri"/>
          <w:sz w:val="22"/>
          <w:szCs w:val="22"/>
          <w:lang w:val="es-MX" w:eastAsia="en-US"/>
        </w:rPr>
        <w:t xml:space="preserve">5.- </w:t>
      </w:r>
      <w:r w:rsidRPr="00132485">
        <w:rPr>
          <w:rFonts w:ascii="Calibri" w:eastAsia="Calibri" w:hAnsi="Calibri" w:cs="Calibri"/>
          <w:sz w:val="22"/>
          <w:szCs w:val="22"/>
          <w:lang w:eastAsia="en-US"/>
        </w:rPr>
        <w:t>El</w:t>
      </w:r>
      <w:r w:rsidRPr="00132485">
        <w:rPr>
          <w:rFonts w:ascii="Calibri" w:eastAsia="Calibri" w:hAnsi="Calibri" w:cs="Calibri"/>
          <w:i/>
          <w:sz w:val="22"/>
          <w:szCs w:val="22"/>
          <w:lang w:eastAsia="en-US"/>
        </w:rPr>
        <w:t xml:space="preserve"> </w:t>
      </w:r>
      <w:r w:rsidRPr="00132485">
        <w:rPr>
          <w:rFonts w:ascii="Calibri" w:eastAsia="Calibri" w:hAnsi="Calibri" w:cs="Calibri"/>
          <w:sz w:val="22"/>
          <w:szCs w:val="22"/>
          <w:lang w:eastAsia="en-US"/>
        </w:rPr>
        <w:t>artículo 17, literal B) que establece que las medidas de prevención (información y concientización) deben tener en cuenta los factores de vulnerabilidad a la trata y explotación, tales como --entre otros-- "</w:t>
      </w:r>
      <w:r w:rsidRPr="00132485">
        <w:rPr>
          <w:rFonts w:ascii="Calibri" w:eastAsia="Calibri" w:hAnsi="Calibri" w:cs="Calibri"/>
          <w:i/>
          <w:sz w:val="22"/>
          <w:szCs w:val="22"/>
          <w:lang w:eastAsia="en-US"/>
        </w:rPr>
        <w:t>el origen étnico racial, teniendo especialmente en cuenta la discriminación histórica de las personas afrodescendientes"</w:t>
      </w:r>
      <w:r w:rsidRPr="00132485">
        <w:rPr>
          <w:rFonts w:ascii="Calibri" w:eastAsia="Calibri" w:hAnsi="Calibri" w:cs="Calibri"/>
          <w:i/>
          <w:sz w:val="22"/>
          <w:szCs w:val="22"/>
          <w:lang w:val="es-MX" w:eastAsia="en-US"/>
        </w:rPr>
        <w:t>.</w:t>
      </w:r>
      <w:r w:rsidRPr="00132485">
        <w:rPr>
          <w:rFonts w:ascii="Calibri" w:eastAsia="Calibri" w:hAnsi="Calibri" w:cs="Calibri"/>
          <w:sz w:val="22"/>
          <w:szCs w:val="22"/>
          <w:lang w:eastAsia="en-US"/>
        </w:rPr>
        <w:t xml:space="preserve"> </w:t>
      </w:r>
    </w:p>
    <w:p w14:paraId="524E072F" w14:textId="77777777" w:rsidR="00132485" w:rsidRPr="00132485" w:rsidRDefault="00132485" w:rsidP="00132485">
      <w:pPr>
        <w:spacing w:line="288" w:lineRule="auto"/>
        <w:contextualSpacing/>
        <w:jc w:val="both"/>
        <w:rPr>
          <w:rFonts w:ascii="Calibri" w:eastAsia="Calibri" w:hAnsi="Calibri" w:cs="Calibri"/>
          <w:sz w:val="22"/>
          <w:szCs w:val="22"/>
          <w:lang w:eastAsia="en-US"/>
        </w:rPr>
      </w:pPr>
      <w:r w:rsidRPr="00132485">
        <w:rPr>
          <w:rFonts w:ascii="Calibri" w:eastAsia="Calibri" w:hAnsi="Calibri" w:cs="Calibri"/>
          <w:sz w:val="22"/>
          <w:szCs w:val="22"/>
          <w:lang w:val="es-MX" w:eastAsia="en-US"/>
        </w:rPr>
        <w:t xml:space="preserve">6.- </w:t>
      </w:r>
      <w:r w:rsidRPr="00132485">
        <w:rPr>
          <w:rFonts w:ascii="Calibri" w:eastAsia="Calibri" w:hAnsi="Calibri" w:cs="Calibri"/>
          <w:sz w:val="22"/>
          <w:szCs w:val="22"/>
          <w:lang w:eastAsia="en-US"/>
        </w:rPr>
        <w:t xml:space="preserve">El artículo 32, literal H), al establecer los Derechos de las víctimas para el acceso a la justicia, dispone, entre otros, que </w:t>
      </w:r>
      <w:r w:rsidRPr="00132485">
        <w:rPr>
          <w:rFonts w:ascii="Calibri" w:eastAsia="Calibri" w:hAnsi="Calibri" w:cs="Calibri"/>
          <w:i/>
          <w:sz w:val="22"/>
          <w:szCs w:val="22"/>
          <w:lang w:eastAsia="en-US"/>
        </w:rPr>
        <w:t>"En los procesos administrativos y judiciales las víctimas de trata de personas y delitos conexos tienen derecho a: Que su testimonio no sea desvalorizado en base a discriminaciones tales como el origen étnico racial, estereotipos de género, identidad de género, creencias, identidad cultural, entre otros"</w:t>
      </w:r>
      <w:r w:rsidRPr="00132485">
        <w:rPr>
          <w:rFonts w:ascii="Calibri" w:eastAsia="Calibri" w:hAnsi="Calibri" w:cs="Calibri"/>
          <w:i/>
          <w:sz w:val="22"/>
          <w:szCs w:val="22"/>
          <w:lang w:val="es-MX" w:eastAsia="en-US"/>
        </w:rPr>
        <w:t>.</w:t>
      </w:r>
      <w:r w:rsidRPr="00132485">
        <w:rPr>
          <w:rFonts w:ascii="Calibri" w:eastAsia="Calibri" w:hAnsi="Calibri" w:cs="Calibri"/>
          <w:sz w:val="22"/>
          <w:szCs w:val="22"/>
          <w:lang w:eastAsia="en-US"/>
        </w:rPr>
        <w:t xml:space="preserve"> </w:t>
      </w:r>
    </w:p>
    <w:p w14:paraId="16766F77" w14:textId="77777777" w:rsidR="00132485" w:rsidRPr="00132485" w:rsidRDefault="00132485" w:rsidP="00132485">
      <w:pPr>
        <w:spacing w:line="288" w:lineRule="auto"/>
        <w:contextualSpacing/>
        <w:jc w:val="both"/>
        <w:rPr>
          <w:rFonts w:ascii="Calibri" w:eastAsia="Calibri" w:hAnsi="Calibri" w:cs="Calibri"/>
          <w:sz w:val="22"/>
          <w:szCs w:val="22"/>
          <w:lang w:eastAsia="en-US"/>
        </w:rPr>
      </w:pPr>
      <w:r w:rsidRPr="00132485">
        <w:rPr>
          <w:rFonts w:ascii="Calibri" w:eastAsia="Calibri" w:hAnsi="Calibri" w:cs="Calibri"/>
          <w:sz w:val="22"/>
          <w:szCs w:val="22"/>
          <w:lang w:val="es-MX" w:eastAsia="en-US"/>
        </w:rPr>
        <w:t xml:space="preserve">- </w:t>
      </w:r>
      <w:r w:rsidRPr="00132485">
        <w:rPr>
          <w:rFonts w:ascii="Calibri" w:eastAsia="Calibri" w:hAnsi="Calibri" w:cs="Calibri"/>
          <w:b/>
          <w:bCs/>
          <w:sz w:val="22"/>
          <w:szCs w:val="22"/>
          <w:lang w:val="es-MX" w:eastAsia="en-US"/>
        </w:rPr>
        <w:t xml:space="preserve"> </w:t>
      </w:r>
      <w:r w:rsidRPr="00132485">
        <w:rPr>
          <w:rFonts w:ascii="Calibri" w:eastAsia="Calibri" w:hAnsi="Calibri" w:cs="Calibri"/>
          <w:b/>
          <w:bCs/>
          <w:sz w:val="22"/>
          <w:szCs w:val="22"/>
          <w:lang w:eastAsia="en-US"/>
        </w:rPr>
        <w:t>Ley 19.670</w:t>
      </w:r>
      <w:r w:rsidRPr="00132485">
        <w:rPr>
          <w:rFonts w:ascii="Calibri" w:eastAsia="Calibri" w:hAnsi="Calibri" w:cs="Calibri"/>
          <w:b/>
          <w:bCs/>
          <w:sz w:val="22"/>
          <w:szCs w:val="22"/>
          <w:lang w:val="es-MX" w:eastAsia="en-US"/>
        </w:rPr>
        <w:t xml:space="preserve"> (2018)</w:t>
      </w:r>
      <w:r w:rsidRPr="00132485">
        <w:rPr>
          <w:rFonts w:ascii="Calibri" w:eastAsia="Calibri" w:hAnsi="Calibri" w:cs="Calibri"/>
          <w:b/>
          <w:bCs/>
          <w:sz w:val="22"/>
          <w:szCs w:val="22"/>
          <w:vertAlign w:val="superscript"/>
          <w:lang w:val="fr-CH" w:eastAsia="en-US"/>
        </w:rPr>
        <w:footnoteReference w:id="22"/>
      </w:r>
      <w:r w:rsidRPr="00132485">
        <w:rPr>
          <w:rFonts w:ascii="Calibri" w:eastAsia="Calibri" w:hAnsi="Calibri" w:cs="Calibri"/>
          <w:sz w:val="22"/>
          <w:szCs w:val="22"/>
          <w:lang w:val="es-MX" w:eastAsia="en-US"/>
        </w:rPr>
        <w:t xml:space="preserve"> “Rendición de Cuentas y Balance de Ejecución Presupuestal”</w:t>
      </w:r>
      <w:r w:rsidRPr="00132485">
        <w:rPr>
          <w:rFonts w:ascii="Calibri" w:eastAsia="Calibri" w:hAnsi="Calibri" w:cs="Calibri"/>
          <w:sz w:val="22"/>
          <w:szCs w:val="22"/>
          <w:lang w:eastAsia="en-US"/>
        </w:rPr>
        <w:t xml:space="preserve"> y su Decreto Reglamentario Nº 81/019 de marzo de 2019, el Poder Ejecutivo instaló un Consejo Nacional de Equidad Étnico Racial y Afrodescendencia. Sus cometidos, entre otros son: asesorar al Poder Ejecutivo en materia de su competencia; promover la transversalización de la perspectiva étnico racial y de afrodescendencia en las políticas públicas; y trabajar en el diseño y puesta en marcha de un Sistema Nacional de Equidad Racial y Afrodescendencia.</w:t>
      </w:r>
    </w:p>
    <w:p w14:paraId="589EF674" w14:textId="77777777" w:rsidR="00132485" w:rsidRPr="00132485" w:rsidRDefault="00132485" w:rsidP="00132485">
      <w:pPr>
        <w:spacing w:line="288" w:lineRule="auto"/>
        <w:contextualSpacing/>
        <w:jc w:val="both"/>
        <w:rPr>
          <w:rFonts w:ascii="Calibri" w:eastAsia="Calibri" w:hAnsi="Calibri" w:cs="Calibri"/>
          <w:sz w:val="22"/>
          <w:szCs w:val="22"/>
          <w:lang w:eastAsia="en-US"/>
        </w:rPr>
      </w:pPr>
      <w:r w:rsidRPr="00132485">
        <w:rPr>
          <w:rFonts w:ascii="Calibri" w:eastAsia="Calibri" w:hAnsi="Calibri" w:cs="Calibri"/>
          <w:sz w:val="22"/>
          <w:szCs w:val="22"/>
          <w:lang w:val="es-MX" w:eastAsia="en-US"/>
        </w:rPr>
        <w:t xml:space="preserve">El Art. </w:t>
      </w:r>
      <w:r w:rsidRPr="00132485">
        <w:rPr>
          <w:rFonts w:ascii="Calibri" w:eastAsia="Calibri" w:hAnsi="Calibri" w:cs="Calibri"/>
          <w:sz w:val="22"/>
          <w:szCs w:val="22"/>
          <w:lang w:eastAsia="en-US"/>
        </w:rPr>
        <w:t xml:space="preserve"> 228 </w:t>
      </w:r>
      <w:r w:rsidRPr="00132485">
        <w:rPr>
          <w:rFonts w:ascii="Calibri" w:eastAsia="Calibri" w:hAnsi="Calibri" w:cs="Calibri"/>
          <w:sz w:val="22"/>
          <w:szCs w:val="22"/>
          <w:lang w:val="es-MX" w:eastAsia="en-US"/>
        </w:rPr>
        <w:t>establece que</w:t>
      </w:r>
      <w:r w:rsidRPr="00132485">
        <w:rPr>
          <w:rFonts w:ascii="Calibri" w:eastAsia="Calibri" w:hAnsi="Calibri" w:cs="Calibri"/>
          <w:sz w:val="22"/>
          <w:szCs w:val="22"/>
          <w:lang w:eastAsia="en-US"/>
        </w:rPr>
        <w:t xml:space="preserve">:  Será competencia de la Dirección de Promoción  Sociocultural, en coordinación con otros organismos del Estado a nivel  central y departamental, la elaboración de planes que promuevan la  igualdad de oportunidades teniendo como finalidad la no discriminación y  la garantía sustantiva de los derechos humanos de las poblaciones étnico  racial, afrodescendencia y diversidad sexual. </w:t>
      </w:r>
      <w:r w:rsidRPr="00132485">
        <w:rPr>
          <w:rFonts w:ascii="Calibri" w:eastAsia="Calibri" w:hAnsi="Calibri" w:cs="Calibri"/>
          <w:sz w:val="22"/>
          <w:szCs w:val="22"/>
          <w:lang w:val="es-MX" w:eastAsia="en-US"/>
        </w:rPr>
        <w:t xml:space="preserve">A su vez, el </w:t>
      </w:r>
      <w:r w:rsidRPr="00132485">
        <w:rPr>
          <w:rFonts w:ascii="Calibri" w:eastAsia="Calibri" w:hAnsi="Calibri" w:cs="Calibri"/>
          <w:sz w:val="22"/>
          <w:szCs w:val="22"/>
          <w:lang w:eastAsia="en-US"/>
        </w:rPr>
        <w:t xml:space="preserve">Art 229 </w:t>
      </w:r>
      <w:r w:rsidRPr="00132485">
        <w:rPr>
          <w:rFonts w:ascii="Calibri" w:eastAsia="Calibri" w:hAnsi="Calibri" w:cs="Calibri"/>
          <w:sz w:val="22"/>
          <w:szCs w:val="22"/>
          <w:lang w:val="es-MX" w:eastAsia="en-US"/>
        </w:rPr>
        <w:t xml:space="preserve">dispone que </w:t>
      </w:r>
      <w:r w:rsidRPr="00132485">
        <w:rPr>
          <w:rFonts w:ascii="Calibri" w:eastAsia="Calibri" w:hAnsi="Calibri" w:cs="Calibri"/>
          <w:sz w:val="22"/>
          <w:szCs w:val="22"/>
          <w:lang w:eastAsia="en-US"/>
        </w:rPr>
        <w:t>:  </w:t>
      </w:r>
      <w:r w:rsidRPr="00132485">
        <w:rPr>
          <w:rFonts w:ascii="Calibri" w:eastAsia="Calibri" w:hAnsi="Calibri" w:cs="Calibri"/>
          <w:sz w:val="22"/>
          <w:szCs w:val="22"/>
          <w:lang w:val="es-MX" w:eastAsia="en-US"/>
        </w:rPr>
        <w:t>”...</w:t>
      </w:r>
      <w:r w:rsidRPr="00132485">
        <w:rPr>
          <w:rFonts w:ascii="Calibri" w:eastAsia="Calibri" w:hAnsi="Calibri" w:cs="Calibri"/>
          <w:sz w:val="22"/>
          <w:szCs w:val="22"/>
          <w:lang w:eastAsia="en-US"/>
        </w:rPr>
        <w:t xml:space="preserve"> se instalarán Consejos Consultivos integrados por los Organismos de la Administración Central, Gobiernos Departamentales, Administración Nacional de Educación Pública, </w:t>
      </w:r>
      <w:r w:rsidRPr="00132485">
        <w:rPr>
          <w:rFonts w:ascii="Calibri" w:eastAsia="Calibri" w:hAnsi="Calibri" w:cs="Calibri"/>
          <w:sz w:val="22"/>
          <w:szCs w:val="22"/>
          <w:lang w:val="es-MX" w:eastAsia="en-US"/>
        </w:rPr>
        <w:t xml:space="preserve"> </w:t>
      </w:r>
      <w:r w:rsidRPr="00132485">
        <w:rPr>
          <w:rFonts w:ascii="Calibri" w:eastAsia="Calibri" w:hAnsi="Calibri" w:cs="Calibri"/>
          <w:sz w:val="22"/>
          <w:szCs w:val="22"/>
          <w:lang w:eastAsia="en-US"/>
        </w:rPr>
        <w:t xml:space="preserve">Universidad de la República y sociedad civil, con el cometido de  asesorar y transversalizar la perspectiva de diversidad sexual, étnico  racial y afrodescendencia en las políticas públicas. </w:t>
      </w:r>
    </w:p>
    <w:p w14:paraId="6561B241" w14:textId="77777777" w:rsidR="00132485" w:rsidRPr="00132485" w:rsidRDefault="00132485" w:rsidP="00132485">
      <w:pPr>
        <w:spacing w:line="288" w:lineRule="auto"/>
        <w:ind w:left="110" w:hangingChars="50" w:hanging="110"/>
        <w:contextualSpacing/>
        <w:jc w:val="both"/>
        <w:rPr>
          <w:rFonts w:ascii="Calibri" w:eastAsia="Calibri" w:hAnsi="Calibri" w:cs="Calibri"/>
          <w:i/>
          <w:sz w:val="22"/>
          <w:szCs w:val="22"/>
          <w:lang w:eastAsia="en-US"/>
        </w:rPr>
      </w:pPr>
      <w:r w:rsidRPr="00132485">
        <w:rPr>
          <w:rFonts w:ascii="Calibri" w:eastAsia="Calibri" w:hAnsi="Calibri" w:cs="Calibri"/>
          <w:sz w:val="22"/>
          <w:szCs w:val="22"/>
          <w:lang w:val="es-MX" w:eastAsia="en-US"/>
        </w:rPr>
        <w:t xml:space="preserve">- </w:t>
      </w:r>
      <w:r w:rsidRPr="00132485">
        <w:rPr>
          <w:rFonts w:ascii="Calibri" w:eastAsia="Calibri" w:hAnsi="Calibri" w:cs="Calibri"/>
          <w:b/>
          <w:bCs/>
          <w:sz w:val="22"/>
          <w:szCs w:val="22"/>
          <w:lang w:val="es-MX" w:eastAsia="en-US"/>
        </w:rPr>
        <w:t xml:space="preserve"> </w:t>
      </w:r>
      <w:r w:rsidRPr="00132485">
        <w:rPr>
          <w:rFonts w:ascii="Calibri" w:eastAsia="Calibri" w:hAnsi="Calibri" w:cs="Calibri"/>
          <w:b/>
          <w:bCs/>
          <w:sz w:val="22"/>
          <w:szCs w:val="22"/>
          <w:lang w:eastAsia="en-US"/>
        </w:rPr>
        <w:t xml:space="preserve">Ley 19.747 </w:t>
      </w:r>
      <w:r w:rsidRPr="00132485">
        <w:rPr>
          <w:rFonts w:ascii="Calibri" w:eastAsia="Calibri" w:hAnsi="Calibri" w:cs="Calibri"/>
          <w:b/>
          <w:bCs/>
          <w:sz w:val="22"/>
          <w:szCs w:val="22"/>
          <w:lang w:val="es-MX" w:eastAsia="en-US"/>
        </w:rPr>
        <w:t>(</w:t>
      </w:r>
      <w:r w:rsidRPr="00132485">
        <w:rPr>
          <w:rFonts w:ascii="Calibri" w:eastAsia="Calibri" w:hAnsi="Calibri" w:cs="Calibri"/>
          <w:b/>
          <w:bCs/>
          <w:sz w:val="22"/>
          <w:szCs w:val="22"/>
          <w:lang w:eastAsia="en-US"/>
        </w:rPr>
        <w:t>2019</w:t>
      </w:r>
      <w:r w:rsidRPr="00132485">
        <w:rPr>
          <w:rFonts w:ascii="Calibri" w:eastAsia="Calibri" w:hAnsi="Calibri" w:cs="Calibri"/>
          <w:b/>
          <w:bCs/>
          <w:sz w:val="22"/>
          <w:szCs w:val="22"/>
          <w:lang w:val="es-MX" w:eastAsia="en-US"/>
        </w:rPr>
        <w:t>)</w:t>
      </w:r>
      <w:r w:rsidRPr="00132485">
        <w:rPr>
          <w:rFonts w:ascii="Calibri" w:eastAsia="Calibri" w:hAnsi="Calibri" w:cs="Calibri"/>
          <w:b/>
          <w:bCs/>
          <w:sz w:val="22"/>
          <w:szCs w:val="22"/>
          <w:vertAlign w:val="superscript"/>
          <w:lang w:val="fr-CH" w:eastAsia="en-US"/>
        </w:rPr>
        <w:footnoteReference w:id="23"/>
      </w:r>
      <w:r w:rsidRPr="00132485">
        <w:rPr>
          <w:rFonts w:ascii="Calibri" w:eastAsia="Calibri" w:hAnsi="Calibri" w:cs="Calibri"/>
          <w:sz w:val="22"/>
          <w:szCs w:val="22"/>
          <w:lang w:val="es-MX" w:eastAsia="en-US"/>
        </w:rPr>
        <w:t xml:space="preserve"> , que modifica el Código de la Niñez y Adolescencia introdujo dos disposiciones referidas a esta tema: 1- Establece como “Principio General” estableciendo que </w:t>
      </w:r>
      <w:r w:rsidRPr="00132485">
        <w:rPr>
          <w:rFonts w:ascii="Calibri" w:eastAsia="Calibri" w:hAnsi="Calibri" w:cs="Calibri"/>
          <w:i/>
          <w:sz w:val="22"/>
          <w:szCs w:val="22"/>
          <w:lang w:eastAsia="en-US"/>
        </w:rPr>
        <w:lastRenderedPageBreak/>
        <w:t>“Todas las medidas que se adopten deben dar estricto cumplimiento a los principios y disposiciones de la Convención sobre los Derechos del Niño, demás instrumentos de derechos humanos del ámbito internacional e interamericano y a los principios rectores de este Código. En especial deben: A) Asegurar la no discriminación en base al género, la edad, el origen étnico racial, la orientación sexual, la identidad de género y la condición socioeconómica.”</w:t>
      </w:r>
      <w:r w:rsidRPr="00132485">
        <w:rPr>
          <w:rFonts w:ascii="Calibri" w:eastAsia="Calibri" w:hAnsi="Calibri" w:cs="Calibri"/>
          <w:i/>
          <w:sz w:val="22"/>
          <w:szCs w:val="22"/>
          <w:lang w:val="es-MX" w:eastAsia="en-US"/>
        </w:rPr>
        <w:t xml:space="preserve">; </w:t>
      </w:r>
      <w:r w:rsidRPr="00132485">
        <w:rPr>
          <w:rFonts w:ascii="Calibri" w:eastAsia="Calibri" w:hAnsi="Calibri" w:cs="Calibri"/>
          <w:sz w:val="22"/>
          <w:szCs w:val="22"/>
          <w:lang w:val="es-MX" w:eastAsia="en-US"/>
        </w:rPr>
        <w:t>y 2- D</w:t>
      </w:r>
      <w:r w:rsidRPr="00132485">
        <w:rPr>
          <w:rFonts w:ascii="Calibri" w:eastAsia="Calibri" w:hAnsi="Calibri" w:cs="Calibri"/>
          <w:sz w:val="22"/>
          <w:szCs w:val="22"/>
          <w:lang w:eastAsia="en-US"/>
        </w:rPr>
        <w:t>entro de la "Protección de los derechos amenazados o vulnerados de las niñas, niños y adolescentes"</w:t>
      </w:r>
      <w:r w:rsidRPr="00132485">
        <w:rPr>
          <w:rFonts w:ascii="Calibri" w:eastAsia="Calibri" w:hAnsi="Calibri" w:cs="Calibri"/>
          <w:sz w:val="22"/>
          <w:szCs w:val="22"/>
          <w:lang w:val="es-MX" w:eastAsia="en-US"/>
        </w:rPr>
        <w:t xml:space="preserve"> se establece </w:t>
      </w:r>
      <w:r w:rsidRPr="00132485">
        <w:rPr>
          <w:rFonts w:ascii="Calibri" w:eastAsia="Calibri" w:hAnsi="Calibri" w:cs="Calibri"/>
          <w:sz w:val="22"/>
          <w:szCs w:val="22"/>
          <w:lang w:eastAsia="en-US"/>
        </w:rPr>
        <w:t xml:space="preserve">que: </w:t>
      </w:r>
      <w:r w:rsidRPr="00132485">
        <w:rPr>
          <w:rFonts w:ascii="Calibri" w:eastAsia="Calibri" w:hAnsi="Calibri" w:cs="Calibri"/>
          <w:i/>
          <w:sz w:val="22"/>
          <w:szCs w:val="22"/>
          <w:lang w:eastAsia="en-US"/>
        </w:rPr>
        <w:t>“en los procedimientos administrativos y judiciales de restitución de derechos vulnerados o amenazados, deberá velarse para que durante estos se garantice a toda niña, niño o adolescente el derecho: C) A no ser discriminado por su sexo, edad, origen étnico, racial, orientación sexual, identidad de género, condición económica, social, situación de discapacidad o lugar de origen o residencia".</w:t>
      </w:r>
    </w:p>
    <w:p w14:paraId="700059F4" w14:textId="77777777" w:rsidR="00132485" w:rsidRPr="00132485" w:rsidRDefault="00132485" w:rsidP="00132485">
      <w:pPr>
        <w:spacing w:line="288" w:lineRule="auto"/>
        <w:contextualSpacing/>
        <w:jc w:val="both"/>
        <w:rPr>
          <w:rFonts w:ascii="Calibri" w:eastAsia="Calibri" w:hAnsi="Calibri" w:cs="Calibri"/>
          <w:sz w:val="22"/>
          <w:szCs w:val="22"/>
          <w:lang w:eastAsia="en-US"/>
        </w:rPr>
      </w:pPr>
      <w:r w:rsidRPr="00132485">
        <w:rPr>
          <w:rFonts w:ascii="Calibri" w:eastAsia="Calibri" w:hAnsi="Calibri" w:cs="Calibri"/>
          <w:sz w:val="22"/>
          <w:szCs w:val="22"/>
          <w:lang w:val="es-MX" w:eastAsia="en-US"/>
        </w:rPr>
        <w:t xml:space="preserve">- </w:t>
      </w:r>
      <w:r w:rsidRPr="00132485">
        <w:rPr>
          <w:rFonts w:ascii="Calibri" w:eastAsia="Calibri" w:hAnsi="Calibri" w:cs="Calibri"/>
          <w:b/>
          <w:bCs/>
          <w:sz w:val="22"/>
          <w:szCs w:val="22"/>
          <w:lang w:val="es-MX" w:eastAsia="en-US"/>
        </w:rPr>
        <w:t xml:space="preserve"> </w:t>
      </w:r>
      <w:r w:rsidRPr="00132485">
        <w:rPr>
          <w:rFonts w:ascii="Calibri" w:eastAsia="Calibri" w:hAnsi="Calibri" w:cs="Calibri"/>
          <w:b/>
          <w:bCs/>
          <w:sz w:val="22"/>
          <w:szCs w:val="22"/>
          <w:lang w:eastAsia="en-US"/>
        </w:rPr>
        <w:t>Ley 19.775</w:t>
      </w:r>
      <w:r w:rsidRPr="00132485">
        <w:rPr>
          <w:rFonts w:ascii="Calibri" w:eastAsia="Calibri" w:hAnsi="Calibri" w:cs="Calibri"/>
          <w:b/>
          <w:bCs/>
          <w:sz w:val="22"/>
          <w:szCs w:val="22"/>
          <w:lang w:val="es-MX" w:eastAsia="en-US"/>
        </w:rPr>
        <w:t xml:space="preserve"> (2019)</w:t>
      </w:r>
      <w:r w:rsidRPr="00132485">
        <w:rPr>
          <w:rFonts w:ascii="Calibri" w:eastAsia="Calibri" w:hAnsi="Calibri" w:cs="Calibri"/>
          <w:sz w:val="22"/>
          <w:szCs w:val="22"/>
          <w:vertAlign w:val="superscript"/>
          <w:lang w:val="fr-CH" w:eastAsia="en-US"/>
        </w:rPr>
        <w:t xml:space="preserve"> </w:t>
      </w:r>
      <w:r w:rsidRPr="00132485">
        <w:rPr>
          <w:rFonts w:ascii="Calibri" w:eastAsia="Calibri" w:hAnsi="Calibri" w:cs="Calibri"/>
          <w:sz w:val="22"/>
          <w:szCs w:val="22"/>
          <w:vertAlign w:val="superscript"/>
          <w:lang w:val="fr-CH" w:eastAsia="en-US"/>
        </w:rPr>
        <w:footnoteReference w:id="24"/>
      </w:r>
      <w:r w:rsidRPr="00132485">
        <w:rPr>
          <w:rFonts w:ascii="Calibri" w:eastAsia="Calibri" w:hAnsi="Calibri" w:cs="Calibri"/>
          <w:sz w:val="22"/>
          <w:szCs w:val="22"/>
          <w:lang w:val="es-MX" w:eastAsia="en-US"/>
        </w:rPr>
        <w:t xml:space="preserve">  art. 28 inciso 1 </w:t>
      </w:r>
      <w:r w:rsidRPr="00132485">
        <w:rPr>
          <w:rFonts w:ascii="Calibri" w:eastAsia="Calibri" w:hAnsi="Calibri" w:cs="Calibri"/>
          <w:sz w:val="22"/>
          <w:szCs w:val="22"/>
          <w:lang w:eastAsia="en-US"/>
        </w:rPr>
        <w:t xml:space="preserve">, que modifica la Ley orgánica militar (Fuerzas Armadas) establece el Principio de no discriminación: </w:t>
      </w:r>
      <w:r w:rsidRPr="00132485">
        <w:rPr>
          <w:rFonts w:ascii="Calibri" w:eastAsia="Calibri" w:hAnsi="Calibri" w:cs="Calibri"/>
          <w:i/>
          <w:sz w:val="22"/>
          <w:szCs w:val="22"/>
          <w:lang w:eastAsia="en-US"/>
        </w:rPr>
        <w:t>"En las Fuerzas Armadas no habrá discriminación alguna por razón de nacimiento, origen racial o étnico, género, sexo, orientación sexual, religión o convicciones, opinión o cualquier otra condición o circunstancia personal o social".</w:t>
      </w:r>
      <w:r w:rsidRPr="00132485">
        <w:rPr>
          <w:rFonts w:ascii="Calibri" w:eastAsia="Calibri" w:hAnsi="Calibri" w:cs="Calibri"/>
          <w:sz w:val="22"/>
          <w:szCs w:val="22"/>
          <w:lang w:eastAsia="en-US"/>
        </w:rPr>
        <w:t xml:space="preserve"> El mismo artículo, in fine, establece que el Poder Ejecutivo promoverá las medidas necesarias para propender a la aplicación real y efectiva del principio citado. </w:t>
      </w:r>
    </w:p>
    <w:p w14:paraId="5887C686" w14:textId="77777777" w:rsidR="00132485" w:rsidRPr="00132485" w:rsidRDefault="00132485" w:rsidP="00132485">
      <w:pPr>
        <w:autoSpaceDE w:val="0"/>
        <w:autoSpaceDN w:val="0"/>
        <w:adjustRightInd w:val="0"/>
        <w:spacing w:line="288" w:lineRule="auto"/>
        <w:jc w:val="both"/>
        <w:rPr>
          <w:rFonts w:ascii="Calibri" w:eastAsia="Calibri" w:hAnsi="Calibri" w:cs="Calibri"/>
          <w:sz w:val="22"/>
          <w:szCs w:val="22"/>
          <w:lang w:val="es-MX" w:eastAsia="en-US"/>
        </w:rPr>
      </w:pPr>
      <w:r w:rsidRPr="00132485">
        <w:rPr>
          <w:rFonts w:ascii="Calibri" w:eastAsia="Calibri" w:hAnsi="Calibri" w:cs="Calibri"/>
          <w:sz w:val="22"/>
          <w:szCs w:val="22"/>
          <w:lang w:val="es-MX" w:eastAsia="en-US"/>
        </w:rPr>
        <w:t xml:space="preserve">- </w:t>
      </w:r>
      <w:r w:rsidRPr="00132485">
        <w:rPr>
          <w:rFonts w:ascii="Calibri" w:eastAsia="Calibri" w:hAnsi="Calibri" w:cs="Calibri"/>
          <w:b/>
          <w:bCs/>
          <w:sz w:val="22"/>
          <w:szCs w:val="22"/>
          <w:lang w:eastAsia="en-US"/>
        </w:rPr>
        <w:t>Ley N° 20.075</w:t>
      </w:r>
      <w:r w:rsidRPr="00132485">
        <w:rPr>
          <w:rFonts w:ascii="Calibri" w:eastAsia="Calibri" w:hAnsi="Calibri" w:cs="Calibri"/>
          <w:b/>
          <w:bCs/>
          <w:sz w:val="22"/>
          <w:szCs w:val="22"/>
          <w:lang w:val="es-MX" w:eastAsia="en-US"/>
        </w:rPr>
        <w:t xml:space="preserve"> (2019)</w:t>
      </w:r>
      <w:r w:rsidRPr="00132485">
        <w:rPr>
          <w:rFonts w:ascii="Calibri" w:eastAsia="Calibri" w:hAnsi="Calibri" w:cs="Calibri"/>
          <w:b/>
          <w:bCs/>
          <w:sz w:val="22"/>
          <w:szCs w:val="22"/>
          <w:vertAlign w:val="superscript"/>
          <w:lang w:val="fr-CH" w:eastAsia="en-US"/>
        </w:rPr>
        <w:footnoteReference w:id="25"/>
      </w:r>
      <w:r w:rsidRPr="00132485">
        <w:rPr>
          <w:rFonts w:ascii="Calibri" w:eastAsia="Calibri" w:hAnsi="Calibri" w:cs="Calibri"/>
          <w:sz w:val="22"/>
          <w:szCs w:val="22"/>
          <w:lang w:eastAsia="en-US"/>
        </w:rPr>
        <w:t xml:space="preserve"> Rendición de Cuentas y Balance de Ejecución Presupuestal </w:t>
      </w:r>
      <w:r w:rsidRPr="00132485">
        <w:rPr>
          <w:rFonts w:ascii="Calibri" w:eastAsia="Calibri" w:hAnsi="Calibri" w:cs="Calibri"/>
          <w:sz w:val="22"/>
          <w:szCs w:val="22"/>
          <w:lang w:val="es-MX" w:eastAsia="en-US"/>
        </w:rPr>
        <w:t>(</w:t>
      </w:r>
      <w:r w:rsidRPr="00132485">
        <w:rPr>
          <w:rFonts w:ascii="Calibri" w:eastAsia="Calibri" w:hAnsi="Calibri" w:cs="Calibri"/>
          <w:sz w:val="22"/>
          <w:szCs w:val="22"/>
          <w:lang w:eastAsia="en-US"/>
        </w:rPr>
        <w:t>202</w:t>
      </w:r>
      <w:r w:rsidRPr="00132485">
        <w:rPr>
          <w:rFonts w:ascii="Calibri" w:eastAsia="Calibri" w:hAnsi="Calibri" w:cs="Calibri"/>
          <w:sz w:val="22"/>
          <w:szCs w:val="22"/>
          <w:lang w:val="es-MX" w:eastAsia="en-US"/>
        </w:rPr>
        <w:t>2)</w:t>
      </w:r>
      <w:r w:rsidRPr="00132485">
        <w:rPr>
          <w:rFonts w:ascii="Calibri" w:eastAsia="Calibri" w:hAnsi="Calibri" w:cs="Calibri"/>
          <w:sz w:val="22"/>
          <w:szCs w:val="22"/>
          <w:lang w:eastAsia="en-US"/>
        </w:rPr>
        <w:t xml:space="preserve"> En su artículo 11 define como omisión del cumplimiento de la obligación dispuesta en la Ley 19122 una falta grave cuando las</w:t>
      </w:r>
      <w:r w:rsidRPr="00132485">
        <w:rPr>
          <w:rFonts w:ascii="Calibri" w:eastAsia="Calibri" w:hAnsi="Calibri" w:cs="Calibri"/>
          <w:sz w:val="22"/>
          <w:szCs w:val="22"/>
          <w:lang w:val="es-MX" w:eastAsia="en-US"/>
        </w:rPr>
        <w:t xml:space="preserve"> </w:t>
      </w:r>
      <w:r w:rsidRPr="00132485">
        <w:rPr>
          <w:rFonts w:ascii="Calibri" w:eastAsia="Calibri" w:hAnsi="Calibri" w:cs="Calibri"/>
          <w:sz w:val="22"/>
          <w:szCs w:val="22"/>
          <w:lang w:eastAsia="en-US"/>
        </w:rPr>
        <w:t>convocatorias o llamados que realicen los organismos estatales no lo incluyan</w:t>
      </w:r>
      <w:r w:rsidRPr="00132485">
        <w:rPr>
          <w:rFonts w:ascii="Calibri" w:eastAsia="Calibri" w:hAnsi="Calibri" w:cs="Calibri"/>
          <w:sz w:val="22"/>
          <w:szCs w:val="22"/>
          <w:lang w:val="es-MX" w:eastAsia="en-US"/>
        </w:rPr>
        <w:t>.</w:t>
      </w:r>
    </w:p>
    <w:p w14:paraId="6BD7D745" w14:textId="77777777" w:rsidR="00132485" w:rsidRPr="00132485" w:rsidRDefault="00132485" w:rsidP="00132485">
      <w:pPr>
        <w:spacing w:line="288" w:lineRule="auto"/>
        <w:rPr>
          <w:rFonts w:ascii="Calibri" w:eastAsia="Calibri" w:hAnsi="Calibri" w:cs="Calibri"/>
          <w:sz w:val="22"/>
          <w:szCs w:val="22"/>
          <w:lang w:val="es-MX" w:eastAsia="en-US"/>
        </w:rPr>
      </w:pPr>
      <w:r w:rsidRPr="00132485">
        <w:rPr>
          <w:rFonts w:ascii="Calibri" w:eastAsia="Calibri" w:hAnsi="Calibri" w:cs="Calibri"/>
          <w:sz w:val="22"/>
          <w:szCs w:val="22"/>
          <w:lang w:val="es-MX" w:eastAsia="en-US"/>
        </w:rPr>
        <w:br w:type="page"/>
      </w:r>
    </w:p>
    <w:p w14:paraId="526A750A" w14:textId="77777777" w:rsidR="00132485" w:rsidRPr="00132485" w:rsidRDefault="00132485" w:rsidP="00132485">
      <w:pPr>
        <w:keepNext/>
        <w:keepLines/>
        <w:spacing w:before="240" w:line="259" w:lineRule="auto"/>
        <w:outlineLvl w:val="0"/>
        <w:rPr>
          <w:rFonts w:ascii="Calibri Light" w:eastAsia="等线 Light" w:hAnsi="Calibri Light"/>
          <w:color w:val="2E74B5"/>
          <w:sz w:val="32"/>
          <w:szCs w:val="32"/>
          <w:lang w:val="es-MX" w:eastAsia="en-US"/>
        </w:rPr>
      </w:pPr>
      <w:bookmarkStart w:id="8" w:name="_Toc138930085"/>
      <w:r w:rsidRPr="00132485">
        <w:rPr>
          <w:rFonts w:ascii="Calibri Light" w:eastAsia="等线 Light" w:hAnsi="Calibri Light"/>
          <w:color w:val="2E74B5"/>
          <w:sz w:val="32"/>
          <w:szCs w:val="32"/>
          <w:lang w:val="es-UY" w:eastAsia="en-US"/>
        </w:rPr>
        <w:lastRenderedPageBreak/>
        <w:t>ANEXO 3</w:t>
      </w:r>
      <w:bookmarkEnd w:id="8"/>
      <w:r w:rsidRPr="00132485">
        <w:rPr>
          <w:rFonts w:ascii="Calibri Light" w:eastAsia="等线 Light" w:hAnsi="Calibri Light"/>
          <w:color w:val="2E74B5"/>
          <w:sz w:val="32"/>
          <w:szCs w:val="32"/>
          <w:lang w:val="es-UY" w:eastAsia="en-US"/>
        </w:rPr>
        <w:t xml:space="preserve"> </w:t>
      </w:r>
    </w:p>
    <w:p w14:paraId="5918EDF4" w14:textId="77777777" w:rsidR="00132485" w:rsidRPr="00132485" w:rsidRDefault="00132485" w:rsidP="00132485">
      <w:pPr>
        <w:spacing w:after="160" w:line="259" w:lineRule="auto"/>
        <w:jc w:val="both"/>
        <w:rPr>
          <w:rFonts w:ascii="Calibri" w:eastAsia="Calibri" w:hAnsi="Calibri" w:cs="Calibri"/>
          <w:iCs/>
          <w:sz w:val="22"/>
          <w:szCs w:val="22"/>
          <w:lang w:val="es-UY" w:eastAsia="en-US"/>
        </w:rPr>
      </w:pPr>
      <w:r w:rsidRPr="00132485">
        <w:rPr>
          <w:rFonts w:ascii="Calibri" w:eastAsia="Calibri" w:hAnsi="Calibri" w:cs="Calibri"/>
          <w:iCs/>
          <w:sz w:val="22"/>
          <w:szCs w:val="22"/>
          <w:lang w:val="es-UY" w:eastAsia="en-US"/>
        </w:rPr>
        <w:t>Resoluciones de la INDDHH sobre discriminación a Personas Afrodescendientes</w:t>
      </w:r>
    </w:p>
    <w:p w14:paraId="2C6D8401" w14:textId="77777777" w:rsidR="00132485" w:rsidRPr="00132485" w:rsidRDefault="00132485" w:rsidP="00132485">
      <w:pPr>
        <w:spacing w:after="160" w:line="259" w:lineRule="auto"/>
        <w:jc w:val="both"/>
        <w:rPr>
          <w:rFonts w:ascii="Calibri" w:eastAsia="Calibri" w:hAnsi="Calibri" w:cs="Calibri"/>
          <w:i/>
          <w:iCs/>
          <w:sz w:val="22"/>
          <w:szCs w:val="22"/>
          <w:lang w:val="es-UY" w:eastAsia="en-US"/>
        </w:rPr>
      </w:pPr>
      <w:r w:rsidRPr="00132485">
        <w:rPr>
          <w:rFonts w:ascii="Calibri" w:eastAsia="Calibri" w:hAnsi="Calibri" w:cs="Calibri"/>
          <w:i/>
          <w:iCs/>
          <w:sz w:val="22"/>
          <w:szCs w:val="22"/>
          <w:lang w:val="es-UY" w:eastAsia="en-US"/>
        </w:rPr>
        <w:t>Resolución n.</w:t>
      </w:r>
      <w:r w:rsidRPr="00132485">
        <w:rPr>
          <w:rFonts w:ascii="Calibri" w:eastAsia="Calibri" w:hAnsi="Calibri" w:cs="Calibri"/>
          <w:i/>
          <w:iCs/>
          <w:sz w:val="22"/>
          <w:szCs w:val="22"/>
          <w:vertAlign w:val="superscript"/>
          <w:lang w:val="es-UY" w:eastAsia="en-US"/>
        </w:rPr>
        <w:t>o</w:t>
      </w:r>
      <w:r w:rsidRPr="00132485">
        <w:rPr>
          <w:rFonts w:ascii="Calibri" w:eastAsia="Calibri" w:hAnsi="Calibri" w:cs="Calibri"/>
          <w:i/>
          <w:iCs/>
          <w:sz w:val="22"/>
          <w:szCs w:val="22"/>
          <w:lang w:val="es-UY" w:eastAsia="en-US"/>
        </w:rPr>
        <w:t> 418/16</w:t>
      </w:r>
    </w:p>
    <w:p w14:paraId="006DF674"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Una organización de la sociedad civil presentó una denuncia por la no</w:t>
      </w:r>
      <w:r w:rsidRPr="00132485">
        <w:rPr>
          <w:rFonts w:ascii="Calibri" w:eastAsia="Calibri" w:hAnsi="Calibri" w:cs="Calibri"/>
          <w:sz w:val="22"/>
          <w:szCs w:val="22"/>
          <w:lang w:val="es-UY" w:eastAsia="en-US" w:bidi="es-ES"/>
        </w:rPr>
        <w:t xml:space="preserve"> aplicación de la cuota del 8% en la totalidad de los llamados públicos para vacantes laborales tanto a nivel del funcionariado como a nivel docente que se encuentra realizando la Universidad de la República.</w:t>
      </w:r>
    </w:p>
    <w:p w14:paraId="15947CB0"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bidi="es-ES"/>
        </w:rPr>
        <w:t xml:space="preserve">La INDDHH constató que de acuerdo al informe 2015 de Ingreso de personas afrodescendientes en el Estado, elaborado por la Oficina Nacional de Servicio Civil, la </w:t>
      </w:r>
      <w:r w:rsidRPr="00132485">
        <w:rPr>
          <w:rFonts w:ascii="Calibri" w:eastAsia="Calibri" w:hAnsi="Calibri" w:cs="Calibri"/>
          <w:sz w:val="22"/>
          <w:szCs w:val="22"/>
          <w:lang w:val="es-UY" w:eastAsia="en-US"/>
        </w:rPr>
        <w:t>Udelar</w:t>
      </w:r>
      <w:r w:rsidRPr="00132485">
        <w:rPr>
          <w:rFonts w:ascii="Calibri" w:eastAsia="Calibri" w:hAnsi="Calibri" w:cs="Calibri"/>
          <w:sz w:val="22"/>
          <w:szCs w:val="22"/>
          <w:lang w:val="es-UY" w:eastAsia="en-US" w:bidi="es-ES"/>
        </w:rPr>
        <w:t xml:space="preserve"> se encuentra dentro de los organismos que no cumplieron la cuota del 8% de los ingresos exigido por el artículo 4 de la Ley 19122, únicamente alcanzando el 4,5%. </w:t>
      </w:r>
    </w:p>
    <w:p w14:paraId="7C80166B"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bidi="es-ES"/>
        </w:rPr>
        <w:t xml:space="preserve">En este caso, el Consejo Directivo de la </w:t>
      </w:r>
      <w:r w:rsidRPr="00132485">
        <w:rPr>
          <w:rFonts w:ascii="Calibri" w:eastAsia="Calibri" w:hAnsi="Calibri" w:cs="Calibri"/>
          <w:smallCaps/>
          <w:sz w:val="22"/>
          <w:szCs w:val="22"/>
          <w:lang w:val="es-UY" w:eastAsia="en-US" w:bidi="es-ES"/>
        </w:rPr>
        <w:t>INDDHH</w:t>
      </w:r>
      <w:r w:rsidRPr="00132485">
        <w:rPr>
          <w:rFonts w:ascii="Calibri" w:eastAsia="Calibri" w:hAnsi="Calibri" w:cs="Calibri"/>
          <w:sz w:val="22"/>
          <w:szCs w:val="22"/>
          <w:lang w:val="es-UY" w:eastAsia="en-US" w:bidi="es-ES"/>
        </w:rPr>
        <w:t xml:space="preserve"> resolvió el incumplimiento de la </w:t>
      </w:r>
      <w:r w:rsidRPr="00132485">
        <w:rPr>
          <w:rFonts w:ascii="Calibri" w:eastAsia="Calibri" w:hAnsi="Calibri" w:cs="Calibri"/>
          <w:sz w:val="22"/>
          <w:szCs w:val="22"/>
          <w:lang w:val="es-UY" w:eastAsia="en-US"/>
        </w:rPr>
        <w:t>Udelar</w:t>
      </w:r>
      <w:r w:rsidRPr="00132485">
        <w:rPr>
          <w:rFonts w:ascii="Calibri" w:eastAsia="Calibri" w:hAnsi="Calibri" w:cs="Calibri"/>
          <w:sz w:val="22"/>
          <w:szCs w:val="22"/>
          <w:lang w:val="es-UY" w:eastAsia="en-US" w:bidi="es-ES"/>
        </w:rPr>
        <w:t xml:space="preserve"> respecto de la obligación dispuesta por el artículo 4 de la Ley 19122. Recomendó a la Udelar la urgente revisión de sus procedimientos y prácticas institucionales que llevaron al referido incumplimiento. A la vez, que continúe promoviendo la implementación de medidas complementarias que refuercen las acciones afirmativas establecidas por la Ley 19122.</w:t>
      </w:r>
    </w:p>
    <w:p w14:paraId="58E91233" w14:textId="77777777" w:rsidR="00132485" w:rsidRPr="00132485" w:rsidRDefault="00132485" w:rsidP="00132485">
      <w:pPr>
        <w:spacing w:after="160" w:line="259" w:lineRule="auto"/>
        <w:jc w:val="both"/>
        <w:rPr>
          <w:rFonts w:ascii="Calibri" w:eastAsia="Calibri" w:hAnsi="Calibri" w:cs="Calibri"/>
          <w:i/>
          <w:iCs/>
          <w:sz w:val="22"/>
          <w:szCs w:val="22"/>
          <w:lang w:val="es-UY" w:eastAsia="en-US"/>
        </w:rPr>
      </w:pPr>
      <w:r w:rsidRPr="00132485">
        <w:rPr>
          <w:rFonts w:ascii="Calibri" w:eastAsia="Calibri" w:hAnsi="Calibri" w:cs="Calibri"/>
          <w:i/>
          <w:iCs/>
          <w:sz w:val="22"/>
          <w:szCs w:val="22"/>
          <w:lang w:val="es-UY" w:eastAsia="en-US"/>
        </w:rPr>
        <w:t>Resolución n.</w:t>
      </w:r>
      <w:r w:rsidRPr="00132485">
        <w:rPr>
          <w:rFonts w:ascii="Calibri" w:eastAsia="Calibri" w:hAnsi="Calibri" w:cs="Calibri"/>
          <w:i/>
          <w:iCs/>
          <w:sz w:val="22"/>
          <w:szCs w:val="22"/>
          <w:vertAlign w:val="superscript"/>
          <w:lang w:val="es-UY" w:eastAsia="en-US"/>
        </w:rPr>
        <w:t>o</w:t>
      </w:r>
      <w:r w:rsidRPr="00132485">
        <w:rPr>
          <w:rFonts w:ascii="Calibri" w:eastAsia="Calibri" w:hAnsi="Calibri" w:cs="Calibri"/>
          <w:i/>
          <w:iCs/>
          <w:sz w:val="22"/>
          <w:szCs w:val="22"/>
          <w:lang w:val="es-UY" w:eastAsia="en-US"/>
        </w:rPr>
        <w:t> 538/17</w:t>
      </w:r>
    </w:p>
    <w:p w14:paraId="006C1269"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La denuncia, que fue presentada por una organización de la sociedad civil, planteaba que en la prueba de conocimiento del concurso de Administrativos III del Banco de Seguros del Estado (BSE): “se ubicó a los aspirantes por la Ley 19122 en un grupo aparte, además de marcarlos con una señal roja en sus remeras, así como también fueron marcadas las hojas de sus pruebas. A consecuencia de esto, los aspirantes debieron soportar burlas por parte de los concursantes generales”.</w:t>
      </w:r>
    </w:p>
    <w:p w14:paraId="4D0AFE7D"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bidi="es-ES"/>
        </w:rPr>
        <w:t>En este caso, la INDDHH mantuvo una reunión con la ex Dirección de Derechos Humanos de Mides y con las personas denunciantes, en la que el Mides informó del trabajo realizado previamente con el BSE para la aplicación de la cuota. Informaron que en el 2016 se realizaron instancias de formación con personal de Capital Humano que fortalecieron el compromiso del BSE de cumplir con la Ley 19122. Por su parte, las personas denunciantes informaron que la Directora de Capital Humano las convocó a una reunión posterior, instancia en la que participó también la INDDHH. El espacio permitió atender lo planteado por las personas denunciantes. El BSE asumió el compromiso de no repetir estas prácticas en el futuro, así como de emitir un comunicado público sobre esta situación.</w:t>
      </w:r>
    </w:p>
    <w:p w14:paraId="39D1F207"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bidi="es-ES"/>
        </w:rPr>
        <w:t>El Consejo Directivo de la</w:t>
      </w:r>
      <w:r w:rsidRPr="00132485">
        <w:rPr>
          <w:rFonts w:ascii="Calibri" w:eastAsia="Calibri" w:hAnsi="Calibri" w:cs="Calibri"/>
          <w:sz w:val="22"/>
          <w:szCs w:val="22"/>
          <w:lang w:val="es-UY" w:eastAsia="en-US"/>
        </w:rPr>
        <w:t xml:space="preserve"> INDDHH consideró satisfactoria </w:t>
      </w:r>
      <w:r w:rsidRPr="00132485">
        <w:rPr>
          <w:rFonts w:ascii="Calibri" w:eastAsia="Calibri" w:hAnsi="Calibri" w:cs="Calibri"/>
          <w:sz w:val="22"/>
          <w:szCs w:val="22"/>
          <w:lang w:val="es-UY" w:eastAsia="en-US" w:bidi="es-ES"/>
        </w:rPr>
        <w:t>la respuesta brindada por el BSE en la medida que permite alcanzar una reparación integral que contribuya a la eliminación de toda forma de discriminación racial. Recomendó al BSE que implemente medidas de capacitación de su personal respecto al derecho a la no discriminación, en especial en cuanto a los conceptos de discriminación múltiple y racismo, en el marco del Bloque de Constitucionalidad vigente en nuestro país, en especial sobre las obligaciones asumidas por el Estado uruguayo en la Convención Interamericana contra el racismo, la discriminación racial y formas conexas de intolerancia de 2013 (ratificada por Uruguay por Ley 19517).</w:t>
      </w:r>
    </w:p>
    <w:p w14:paraId="463EDC12" w14:textId="77777777" w:rsidR="00132485" w:rsidRPr="00132485" w:rsidRDefault="00132485" w:rsidP="00132485">
      <w:pPr>
        <w:spacing w:after="160" w:line="259" w:lineRule="auto"/>
        <w:jc w:val="both"/>
        <w:rPr>
          <w:rFonts w:ascii="Calibri" w:eastAsia="Calibri" w:hAnsi="Calibri" w:cs="Calibri"/>
          <w:i/>
          <w:iCs/>
          <w:sz w:val="22"/>
          <w:szCs w:val="22"/>
          <w:lang w:val="es-UY" w:eastAsia="en-US"/>
        </w:rPr>
      </w:pPr>
      <w:r w:rsidRPr="00132485">
        <w:rPr>
          <w:rFonts w:ascii="Calibri" w:eastAsia="Calibri" w:hAnsi="Calibri" w:cs="Calibri"/>
          <w:i/>
          <w:iCs/>
          <w:sz w:val="22"/>
          <w:szCs w:val="22"/>
          <w:lang w:val="es-UY" w:eastAsia="en-US"/>
        </w:rPr>
        <w:lastRenderedPageBreak/>
        <w:t>Resolución n.</w:t>
      </w:r>
      <w:r w:rsidRPr="00132485">
        <w:rPr>
          <w:rFonts w:ascii="Calibri" w:eastAsia="Calibri" w:hAnsi="Calibri" w:cs="Calibri"/>
          <w:i/>
          <w:iCs/>
          <w:sz w:val="22"/>
          <w:szCs w:val="22"/>
          <w:vertAlign w:val="superscript"/>
          <w:lang w:val="es-UY" w:eastAsia="en-US"/>
        </w:rPr>
        <w:t>o</w:t>
      </w:r>
      <w:r w:rsidRPr="00132485">
        <w:rPr>
          <w:rFonts w:ascii="Calibri" w:eastAsia="Calibri" w:hAnsi="Calibri" w:cs="Calibri"/>
          <w:i/>
          <w:iCs/>
          <w:sz w:val="22"/>
          <w:szCs w:val="22"/>
          <w:lang w:val="es-UY" w:eastAsia="en-US"/>
        </w:rPr>
        <w:t> 544/17</w:t>
      </w:r>
    </w:p>
    <w:p w14:paraId="748D7D18"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 xml:space="preserve">La denunciante, que fue contratada por la Intendencia de Montevideo como coordinadora de la Unidad Temática por los Derechos de los Afrodescendientes, planteó que existe una diferencia salarial </w:t>
      </w:r>
      <w:r w:rsidRPr="00132485">
        <w:rPr>
          <w:rFonts w:ascii="Calibri" w:eastAsia="Calibri" w:hAnsi="Calibri" w:cs="Calibri"/>
          <w:sz w:val="22"/>
          <w:szCs w:val="22"/>
          <w:lang w:val="es-UY" w:eastAsia="en-US" w:bidi="es-ES"/>
        </w:rPr>
        <w:t>sustancial con respecto al cargo que ocupa (Coordinador Ejecutivo) siendo la única que no cobra como el resto de las Secretarias del Departamento de Desarrollo Social, desde el año 2010.</w:t>
      </w:r>
    </w:p>
    <w:p w14:paraId="73050AC3"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La denunciante y la Intendencia de Montevideo informaron que se arribó a un acuerdo, por lo cual el Consejo Directivo entendió que se alcanzó una solución satisfactoria. Sin perjuicio de ello, exhortó a la Intendencia a que mejore las prácticas administrativas y de gestión que garanticen la transparencia de las relaciones directas entre el nivel salarial y los cargos políticos-administrativos.</w:t>
      </w:r>
    </w:p>
    <w:p w14:paraId="237ABD39" w14:textId="77777777" w:rsidR="00132485" w:rsidRPr="00132485" w:rsidRDefault="00132485" w:rsidP="00132485">
      <w:pPr>
        <w:spacing w:after="160" w:line="259" w:lineRule="auto"/>
        <w:jc w:val="both"/>
        <w:rPr>
          <w:rFonts w:ascii="Calibri" w:eastAsia="Calibri" w:hAnsi="Calibri" w:cs="Calibri"/>
          <w:i/>
          <w:iCs/>
          <w:sz w:val="22"/>
          <w:szCs w:val="22"/>
          <w:lang w:val="es-UY" w:eastAsia="en-US"/>
        </w:rPr>
      </w:pPr>
      <w:r w:rsidRPr="00132485">
        <w:rPr>
          <w:rFonts w:ascii="Calibri" w:eastAsia="Calibri" w:hAnsi="Calibri" w:cs="Calibri"/>
          <w:i/>
          <w:iCs/>
          <w:sz w:val="22"/>
          <w:szCs w:val="22"/>
          <w:lang w:val="es-UY" w:eastAsia="en-US"/>
        </w:rPr>
        <w:t>Resolución n.</w:t>
      </w:r>
      <w:r w:rsidRPr="00132485">
        <w:rPr>
          <w:rFonts w:ascii="Calibri" w:eastAsia="Calibri" w:hAnsi="Calibri" w:cs="Calibri"/>
          <w:i/>
          <w:iCs/>
          <w:sz w:val="22"/>
          <w:szCs w:val="22"/>
          <w:vertAlign w:val="superscript"/>
          <w:lang w:val="es-UY" w:eastAsia="en-US"/>
        </w:rPr>
        <w:t>o</w:t>
      </w:r>
      <w:r w:rsidRPr="00132485">
        <w:rPr>
          <w:rFonts w:ascii="Calibri" w:eastAsia="Calibri" w:hAnsi="Calibri" w:cs="Calibri"/>
          <w:i/>
          <w:iCs/>
          <w:sz w:val="22"/>
          <w:szCs w:val="22"/>
          <w:lang w:val="es-UY" w:eastAsia="en-US"/>
        </w:rPr>
        <w:t> 581/18</w:t>
      </w:r>
    </w:p>
    <w:p w14:paraId="36B9FA37"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El colectivo Trabajo Afirmativo, servicio comunitario de difusión, orientación y consulta dependiente de la Coordinadora Nacional Afrodescendiente, enfocado en la implementación de acciones afirmativas hacia la población afrodescendiente según la Ley 19122, denunció ante la INDDHH el no cumplimiento por la Intendencia de Canelones del 8 % de cuota para personas afrodescendientes en los llamados públicos, según lo establecido por la Ley 19122, artículo 4.</w:t>
      </w:r>
    </w:p>
    <w:p w14:paraId="17C0E6E6"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 xml:space="preserve">De acuerdo al Informe 2016 de </w:t>
      </w:r>
      <w:r w:rsidRPr="00132485">
        <w:rPr>
          <w:rFonts w:ascii="Calibri" w:eastAsia="Calibri" w:hAnsi="Calibri" w:cs="Calibri"/>
          <w:i/>
          <w:iCs/>
          <w:sz w:val="22"/>
          <w:szCs w:val="22"/>
          <w:lang w:val="es-UY" w:eastAsia="en-US"/>
        </w:rPr>
        <w:t>Ingreso de personas afrodescendientes en el Estado</w:t>
      </w:r>
      <w:r w:rsidRPr="00132485">
        <w:rPr>
          <w:rFonts w:ascii="Calibri" w:eastAsia="Calibri" w:hAnsi="Calibri" w:cs="Calibri"/>
          <w:sz w:val="22"/>
          <w:szCs w:val="22"/>
          <w:lang w:val="es-UY" w:eastAsia="en-US"/>
        </w:rPr>
        <w:t>, elaborado por el Observatorio de la Gestión Humana del Estado de la Oficina Nacional del Servicio Civil, la Intendencia Departamental de Canelones no cumplió con la obligación establecida por el artículo 4 de la ley n.</w:t>
      </w:r>
      <w:r w:rsidRPr="00132485">
        <w:rPr>
          <w:rFonts w:ascii="Calibri" w:eastAsia="Calibri" w:hAnsi="Calibri" w:cs="Calibri"/>
          <w:sz w:val="22"/>
          <w:szCs w:val="22"/>
          <w:vertAlign w:val="superscript"/>
          <w:lang w:val="es-UY" w:eastAsia="en-US"/>
        </w:rPr>
        <w:t>o</w:t>
      </w:r>
      <w:r w:rsidRPr="00132485">
        <w:rPr>
          <w:rFonts w:ascii="Calibri" w:eastAsia="Calibri" w:hAnsi="Calibri" w:cs="Calibri"/>
          <w:sz w:val="22"/>
          <w:szCs w:val="22"/>
          <w:lang w:val="es-UY" w:eastAsia="en-US"/>
        </w:rPr>
        <w:t> 19.122. En el período comprendido entre el 1/1</w:t>
      </w:r>
      <w:r w:rsidRPr="00132485">
        <w:rPr>
          <w:rFonts w:ascii="Calibri" w:eastAsia="Calibri" w:hAnsi="Calibri" w:cs="Calibri"/>
          <w:sz w:val="22"/>
          <w:szCs w:val="22"/>
          <w:lang w:val="es-MX" w:eastAsia="en-US"/>
        </w:rPr>
        <w:t>/</w:t>
      </w:r>
      <w:r w:rsidRPr="00132485">
        <w:rPr>
          <w:rFonts w:ascii="Calibri" w:eastAsia="Calibri" w:hAnsi="Calibri" w:cs="Calibri"/>
          <w:sz w:val="22"/>
          <w:szCs w:val="22"/>
          <w:lang w:val="es-UY" w:eastAsia="en-US"/>
        </w:rPr>
        <w:t xml:space="preserve">2016 y el 31/12/2016, ingresaron un total de 219 personas, ninguna de ellas en cumplimiento de la cuota que el organismo debió reservar para afrodescendientes. </w:t>
      </w:r>
    </w:p>
    <w:p w14:paraId="5E66D401"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Por ello se recomendó a la Intendencia de Canelones a elaborar un plan de cumplimiento de esta obligación, así como medidas complementarias que refuercen las acciones afirmativas previstas en la referida ley. La Intendencia Departamental de Canelones no respondió. Ante su negativa de colaboración se dio publicidad al incumplimiento (artículo 23 de la Ley 18446).</w:t>
      </w:r>
    </w:p>
    <w:p w14:paraId="29E00B06" w14:textId="77777777" w:rsidR="00132485" w:rsidRPr="00132485" w:rsidRDefault="00132485" w:rsidP="00132485">
      <w:pPr>
        <w:spacing w:after="160" w:line="259" w:lineRule="auto"/>
        <w:jc w:val="both"/>
        <w:rPr>
          <w:rFonts w:ascii="Calibri" w:eastAsia="Calibri" w:hAnsi="Calibri" w:cs="Calibri"/>
          <w:i/>
          <w:iCs/>
          <w:sz w:val="22"/>
          <w:szCs w:val="22"/>
          <w:lang w:val="es-UY" w:eastAsia="en-US"/>
        </w:rPr>
      </w:pPr>
      <w:r w:rsidRPr="00132485">
        <w:rPr>
          <w:rFonts w:ascii="Calibri" w:eastAsia="Calibri" w:hAnsi="Calibri" w:cs="Calibri"/>
          <w:i/>
          <w:iCs/>
          <w:sz w:val="22"/>
          <w:szCs w:val="22"/>
          <w:lang w:val="es-UY" w:eastAsia="en-US"/>
        </w:rPr>
        <w:t>Resolución n.</w:t>
      </w:r>
      <w:r w:rsidRPr="00132485">
        <w:rPr>
          <w:rFonts w:ascii="Calibri" w:eastAsia="Calibri" w:hAnsi="Calibri" w:cs="Calibri"/>
          <w:i/>
          <w:iCs/>
          <w:sz w:val="22"/>
          <w:szCs w:val="22"/>
          <w:vertAlign w:val="superscript"/>
          <w:lang w:val="es-UY" w:eastAsia="en-US"/>
        </w:rPr>
        <w:t>o</w:t>
      </w:r>
      <w:r w:rsidRPr="00132485">
        <w:rPr>
          <w:rFonts w:ascii="Calibri" w:eastAsia="Calibri" w:hAnsi="Calibri" w:cs="Calibri"/>
          <w:i/>
          <w:iCs/>
          <w:sz w:val="22"/>
          <w:szCs w:val="22"/>
          <w:lang w:val="es-UY" w:eastAsia="en-US"/>
        </w:rPr>
        <w:t> 643/18</w:t>
      </w:r>
    </w:p>
    <w:p w14:paraId="1313A4CC"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Se trata de una denuncia presentada por una estudiante de la Facultad de Ciencias Jurídicas de la Universidad de la Empresa (UDE) debido a diversas situaciones de discriminación racial a las que fue sometida, en su calidad de estudiante por no poder modificarse la fecha de realización de un parcial –a diferencia de otros casos. Como consecuencia de ello, la denunciante no pudo exonerar la materia, situación que afectó su promedio de calificaciones universitario. A partir de esta circunstancia, comenzaron a producirse, por parte de algunas de sus compañeras de clase, comentarios con presunto contenido racista por la condición de afrouruguaya de la denunciante.</w:t>
      </w:r>
    </w:p>
    <w:p w14:paraId="73A5E1C0"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 xml:space="preserve">Luego </w:t>
      </w:r>
      <w:r w:rsidRPr="00132485">
        <w:rPr>
          <w:rFonts w:ascii="Calibri" w:eastAsia="Calibri" w:hAnsi="Calibri" w:cs="Calibri"/>
          <w:sz w:val="22"/>
          <w:szCs w:val="22"/>
          <w:lang w:val="es-MX" w:eastAsia="en-US"/>
        </w:rPr>
        <w:t xml:space="preserve">se mantuvieron </w:t>
      </w:r>
      <w:r w:rsidRPr="00132485">
        <w:rPr>
          <w:rFonts w:ascii="Calibri" w:eastAsia="Calibri" w:hAnsi="Calibri" w:cs="Calibri"/>
          <w:sz w:val="22"/>
          <w:szCs w:val="22"/>
          <w:lang w:val="es-UY" w:eastAsia="en-US"/>
        </w:rPr>
        <w:t xml:space="preserve">varias reuniones con la denunciante, con la Comisión Honoraria contra el Racismo, la Xenofobia y toda otra Forma de Discriminación (CHRXD) y </w:t>
      </w:r>
      <w:r w:rsidRPr="00132485">
        <w:rPr>
          <w:rFonts w:ascii="Calibri" w:eastAsia="Calibri" w:hAnsi="Calibri" w:cs="Calibri"/>
          <w:sz w:val="22"/>
          <w:szCs w:val="22"/>
          <w:lang w:val="es-MX" w:eastAsia="en-US"/>
        </w:rPr>
        <w:t>se</w:t>
      </w:r>
      <w:r w:rsidRPr="00132485">
        <w:rPr>
          <w:rFonts w:ascii="Calibri" w:eastAsia="Calibri" w:hAnsi="Calibri" w:cs="Calibri"/>
          <w:sz w:val="22"/>
          <w:szCs w:val="22"/>
          <w:lang w:val="es-UY" w:eastAsia="en-US"/>
        </w:rPr>
        <w:t xml:space="preserve"> realizar</w:t>
      </w:r>
      <w:r w:rsidRPr="00132485">
        <w:rPr>
          <w:rFonts w:ascii="Calibri" w:eastAsia="Calibri" w:hAnsi="Calibri" w:cs="Calibri"/>
          <w:sz w:val="22"/>
          <w:szCs w:val="22"/>
          <w:lang w:val="es-MX" w:eastAsia="en-US"/>
        </w:rPr>
        <w:t>on</w:t>
      </w:r>
      <w:r w:rsidRPr="00132485">
        <w:rPr>
          <w:rFonts w:ascii="Calibri" w:eastAsia="Calibri" w:hAnsi="Calibri" w:cs="Calibri"/>
          <w:sz w:val="22"/>
          <w:szCs w:val="22"/>
          <w:lang w:val="es-UY" w:eastAsia="en-US"/>
        </w:rPr>
        <w:t xml:space="preserve"> gestiones informales con la UDE para un mejor conocimiento de estos hechos. </w:t>
      </w:r>
    </w:p>
    <w:p w14:paraId="3DD27311" w14:textId="77777777" w:rsidR="00132485" w:rsidRPr="00132485" w:rsidRDefault="00132485" w:rsidP="00132485">
      <w:pPr>
        <w:spacing w:after="160" w:line="259" w:lineRule="auto"/>
        <w:jc w:val="both"/>
        <w:rPr>
          <w:rFonts w:ascii="Calibri" w:eastAsia="Calibri" w:hAnsi="Calibri" w:cs="Calibri"/>
          <w:sz w:val="22"/>
          <w:szCs w:val="22"/>
          <w:u w:val="single"/>
          <w:lang w:val="es-UY" w:eastAsia="en-US"/>
        </w:rPr>
      </w:pPr>
      <w:r w:rsidRPr="00132485">
        <w:rPr>
          <w:rFonts w:ascii="Calibri" w:eastAsia="Calibri" w:hAnsi="Calibri" w:cs="Calibri"/>
          <w:sz w:val="22"/>
          <w:szCs w:val="22"/>
          <w:lang w:val="es-UY" w:eastAsia="en-US"/>
        </w:rPr>
        <w:lastRenderedPageBreak/>
        <w:t xml:space="preserve">A partir de las respuestas brindadas, en aplicación del principio </w:t>
      </w:r>
      <w:r w:rsidRPr="00132485">
        <w:rPr>
          <w:rFonts w:ascii="Calibri" w:eastAsia="Calibri" w:hAnsi="Calibri" w:cs="Calibri"/>
          <w:i/>
          <w:sz w:val="22"/>
          <w:szCs w:val="22"/>
          <w:lang w:val="es-UY" w:eastAsia="en-US"/>
        </w:rPr>
        <w:t xml:space="preserve">pro persona, </w:t>
      </w:r>
      <w:r w:rsidRPr="00132485">
        <w:rPr>
          <w:rFonts w:ascii="Calibri" w:eastAsia="Calibri" w:hAnsi="Calibri" w:cs="Calibri"/>
          <w:sz w:val="22"/>
          <w:szCs w:val="22"/>
          <w:lang w:val="es-UY" w:eastAsia="en-US"/>
        </w:rPr>
        <w:t>la INDDHH entendió que, de las actuaciones cumplidas, surgieron elementos de convicción suficientes que efectivamente se estaba frente a un caso de vulneración del derecho a la igualdad y a la no discriminación de la denunciante. Que la UDE no desarrolló procedimientos institucionales suficientes para garantizar que la denunciante no fuera víctima de trato diferente sustentado exclusivamente en su origen étnico.</w:t>
      </w:r>
    </w:p>
    <w:p w14:paraId="4D9537CE"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En este sentido la INDDHH recomendó al Ministerio de Educación y Cultura la implementación de procedimientos de contralor y supervisión de la UDE por su responsabilidad en los hechos antes referidos, informando a la INDDHH.</w:t>
      </w:r>
    </w:p>
    <w:p w14:paraId="708AB180" w14:textId="77777777" w:rsidR="00132485" w:rsidRPr="00132485" w:rsidRDefault="00132485" w:rsidP="00132485">
      <w:pPr>
        <w:spacing w:after="160" w:line="259" w:lineRule="auto"/>
        <w:jc w:val="both"/>
        <w:rPr>
          <w:rFonts w:ascii="Calibri" w:eastAsia="Calibri" w:hAnsi="Calibri" w:cs="Calibri"/>
          <w:i/>
          <w:iCs/>
          <w:sz w:val="22"/>
          <w:szCs w:val="22"/>
          <w:lang w:val="es-UY" w:eastAsia="en-US"/>
        </w:rPr>
      </w:pPr>
      <w:r w:rsidRPr="00132485">
        <w:rPr>
          <w:rFonts w:ascii="Calibri" w:eastAsia="Calibri" w:hAnsi="Calibri" w:cs="Calibri"/>
          <w:i/>
          <w:iCs/>
          <w:sz w:val="22"/>
          <w:szCs w:val="22"/>
          <w:lang w:val="es-UY" w:eastAsia="en-US"/>
        </w:rPr>
        <w:t>Resolución n.</w:t>
      </w:r>
      <w:r w:rsidRPr="00132485">
        <w:rPr>
          <w:rFonts w:ascii="Calibri" w:eastAsia="Calibri" w:hAnsi="Calibri" w:cs="Calibri"/>
          <w:i/>
          <w:iCs/>
          <w:sz w:val="22"/>
          <w:szCs w:val="22"/>
          <w:vertAlign w:val="superscript"/>
          <w:lang w:val="es-UY" w:eastAsia="en-US"/>
        </w:rPr>
        <w:t>o</w:t>
      </w:r>
      <w:r w:rsidRPr="00132485">
        <w:rPr>
          <w:rFonts w:ascii="Calibri" w:eastAsia="Calibri" w:hAnsi="Calibri" w:cs="Calibri"/>
          <w:i/>
          <w:iCs/>
          <w:sz w:val="22"/>
          <w:szCs w:val="22"/>
          <w:lang w:val="es-UY" w:eastAsia="en-US"/>
        </w:rPr>
        <w:t> 669/18</w:t>
      </w:r>
    </w:p>
    <w:p w14:paraId="13C86946"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La INDDHH actuó de oficio a fin de monitorear el cumplimiento de las obligaciones establecidas por la Ley 19122. Al respecto, solicitó al Instituto Nacional de Empleo y Formación Profesional (INEFOP) información respecto al cumplimiento de la «Fijación de disposiciones con el fin de favorecer la participación en las áreas educativa y laboral de los afrodescendientes».</w:t>
      </w:r>
    </w:p>
    <w:p w14:paraId="0A7B59F5"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La INDDHH consideró satisfactoria la colaboración de INEFOP en estas actuaciones, teniendo en cuenta la información oportunamente proporcionada por ese organismo, tanto en respuesta al oficio enviado como en el contacto mantenido con sus autoridades. Sin perjuicio de ello, recomendó hacer los mayores esfuerzos a fin de promover y proteger los derechos de la población afrouruguaya y asegurar su pleno acceso al trabajo decente, y difundir información de sus capacitaciones, tanto presenciales como virtuales, con el fin el procurar la igualdad de oportunidades de empleo y erradicar la discriminación en el trabajo y en la remuneración, prestando especial atención a las necesidades de las personas afrouruguayas.</w:t>
      </w:r>
    </w:p>
    <w:p w14:paraId="3936AFF8"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También la INDDHH recomendó al organismo llevar a cabo acciones tendientes a promover que el sector privado realice contratación, remuneración y ascenso de personal, con miras a asegurar la presencia de la población afrouruguaya en todos los niveles; promover y apoyar la organización de empresas de propiedad de afrouruguayas, facilitándoles el acceso a créditos y programas de capacitación específicos; identificar los factores que impiden el acceso y la promoción de la población afrouruguaya en los ámbitos públicos y privados y tomar las medidas necesarias para eliminar las barreras identificadas.</w:t>
      </w:r>
    </w:p>
    <w:p w14:paraId="02099E21" w14:textId="77777777" w:rsidR="00132485" w:rsidRPr="00132485" w:rsidRDefault="00132485" w:rsidP="00132485">
      <w:pPr>
        <w:spacing w:after="160" w:line="259" w:lineRule="auto"/>
        <w:jc w:val="both"/>
        <w:rPr>
          <w:rFonts w:ascii="Calibri" w:eastAsia="Calibri" w:hAnsi="Calibri" w:cs="Calibri"/>
          <w:i/>
          <w:iCs/>
          <w:sz w:val="22"/>
          <w:szCs w:val="22"/>
          <w:lang w:val="es-UY" w:eastAsia="en-US"/>
        </w:rPr>
      </w:pPr>
      <w:r w:rsidRPr="00132485">
        <w:rPr>
          <w:rFonts w:ascii="Calibri" w:eastAsia="Calibri" w:hAnsi="Calibri" w:cs="Calibri"/>
          <w:i/>
          <w:iCs/>
          <w:sz w:val="22"/>
          <w:szCs w:val="22"/>
          <w:lang w:val="es-UY" w:eastAsia="en-US"/>
        </w:rPr>
        <w:t>Resolución n.</w:t>
      </w:r>
      <w:r w:rsidRPr="00132485">
        <w:rPr>
          <w:rFonts w:ascii="Calibri" w:eastAsia="Calibri" w:hAnsi="Calibri" w:cs="Calibri"/>
          <w:i/>
          <w:iCs/>
          <w:sz w:val="22"/>
          <w:szCs w:val="22"/>
          <w:vertAlign w:val="superscript"/>
          <w:lang w:val="es-UY" w:eastAsia="en-US"/>
        </w:rPr>
        <w:t>o</w:t>
      </w:r>
      <w:r w:rsidRPr="00132485">
        <w:rPr>
          <w:rFonts w:ascii="Calibri" w:eastAsia="Calibri" w:hAnsi="Calibri" w:cs="Calibri"/>
          <w:i/>
          <w:iCs/>
          <w:sz w:val="22"/>
          <w:szCs w:val="22"/>
          <w:lang w:val="es-UY" w:eastAsia="en-US"/>
        </w:rPr>
        <w:t> 676/18</w:t>
      </w:r>
    </w:p>
    <w:p w14:paraId="46041415"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La INDDHH recibió en setiembre de 2018 dos denuncias referidas a llamados a concurso realizados por el Estado en los que no se contempló la cuota correspondiente a la Ley 19122 respecto a personas afrodescendientes. Uno de ellos era un llamado a chofer, en diciembre de 2017, convocado por la Unidad Ejecutora 017–Centro Departamental de Cerro Largo, en el régimen de lo dispuesto por el artículo 256 de la ley 18.834, de 4 de noviembre de 2011. Señaló el denunciante que de la resolución se desprende, según su criterio, que no se tuvo en consideración lo dispuesto por la Ley 19122.</w:t>
      </w:r>
    </w:p>
    <w:p w14:paraId="25833709"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 xml:space="preserve">Por otra parte, una denunciante relató que en setiembre de 2017 se presentó a un llamado a psicólogos realizado por «U. E. Red de Atención Primaria del Área Metropolitana», con el </w:t>
      </w:r>
      <w:r w:rsidRPr="00132485">
        <w:rPr>
          <w:rFonts w:ascii="Calibri" w:eastAsia="Calibri" w:hAnsi="Calibri" w:cs="Calibri"/>
          <w:sz w:val="22"/>
          <w:szCs w:val="22"/>
          <w:lang w:val="es-UY" w:eastAsia="en-US"/>
        </w:rPr>
        <w:lastRenderedPageBreak/>
        <w:t xml:space="preserve">objetivo de elaborar una lista de prelación para cubrir las vacantes, y no se contempló la variable étnico-racial en los términos indicados por la mencionada ley. </w:t>
      </w:r>
    </w:p>
    <w:p w14:paraId="35E310BD"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 xml:space="preserve">La INDDHH solicitó a la Administración de los Servicios de Salud del Estado (ASSE) información sobre los hechos denunciados. Ante las respuestas recibidas se resolvió considerar satisfactoria la colaboración de ASSE en estas actuaciones, teniendo en cuenta la información oportunamente proporcionada por el organismo, tanto en respuesta al oficio enviado como en el contacto realizado con sus autoridades. </w:t>
      </w:r>
    </w:p>
    <w:p w14:paraId="6305EC8A"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Sin perjuicio de ello, consideró que ASSE no cumplió con la obligación dispuesta por el artículo 4 de la Ley 19122 y, consecuentemente, violó el derecho humano tutelado por esta. En esa dirección, le recomendó que realice los mayores esfuerzos en la promoción y protección de los derechos de la población afrouruguaya para así asegurar el cumplimiento del marco jurídico vigente. A esos efectos, le recomendó también que, en un plazo breve, implemente la revisión de los procedimientos y prácticas institucionales que llevaron al referido incumplimiento. Asimismo, recomendó a asse que analice las posibilidades de reparación de las personas que se presentaron a los llamados, ya que fueron vulnerados sus derechos en el amparo de la Ley 19122.</w:t>
      </w:r>
    </w:p>
    <w:p w14:paraId="755047B7" w14:textId="77777777" w:rsidR="00132485" w:rsidRPr="00132485" w:rsidRDefault="00132485" w:rsidP="00132485">
      <w:pPr>
        <w:spacing w:after="160" w:line="259" w:lineRule="auto"/>
        <w:jc w:val="both"/>
        <w:rPr>
          <w:rFonts w:ascii="Calibri" w:eastAsia="Calibri" w:hAnsi="Calibri" w:cs="Calibri"/>
          <w:i/>
          <w:iCs/>
          <w:sz w:val="22"/>
          <w:szCs w:val="22"/>
          <w:lang w:val="es-UY" w:eastAsia="en-US"/>
        </w:rPr>
      </w:pPr>
      <w:r w:rsidRPr="00132485">
        <w:rPr>
          <w:rFonts w:ascii="Calibri" w:eastAsia="Calibri" w:hAnsi="Calibri" w:cs="Calibri"/>
          <w:i/>
          <w:iCs/>
          <w:sz w:val="22"/>
          <w:szCs w:val="22"/>
          <w:lang w:val="es-UY" w:eastAsia="en-US"/>
        </w:rPr>
        <w:t>Resolución n.</w:t>
      </w:r>
      <w:r w:rsidRPr="00132485">
        <w:rPr>
          <w:rFonts w:ascii="Calibri" w:eastAsia="Calibri" w:hAnsi="Calibri" w:cs="Calibri"/>
          <w:i/>
          <w:iCs/>
          <w:sz w:val="22"/>
          <w:szCs w:val="22"/>
          <w:vertAlign w:val="superscript"/>
          <w:lang w:val="es-UY" w:eastAsia="en-US"/>
        </w:rPr>
        <w:t>o</w:t>
      </w:r>
      <w:r w:rsidRPr="00132485">
        <w:rPr>
          <w:rFonts w:ascii="Calibri" w:eastAsia="Calibri" w:hAnsi="Calibri" w:cs="Calibri"/>
          <w:i/>
          <w:iCs/>
          <w:sz w:val="22"/>
          <w:szCs w:val="22"/>
          <w:lang w:val="es-UY" w:eastAsia="en-US"/>
        </w:rPr>
        <w:t> 677/18</w:t>
      </w:r>
    </w:p>
    <w:p w14:paraId="23DC32AA"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Se trata de una denuncia por una persona migrante que se encontraba tramitando la residencia en Uruguay, y que se encontraba trabajando en una empresa privada, donde habría transitado por situaciones de acoso laboral y discriminación étnico-racial, que incluían exceso en el horario de trabajo contratado, así como ser presionado para firmar documentos que no podía comprender ya que no cuenta con un manejo fluido del idioma español. En otra oportunidad volvieron a solicitarle que firmara otro escrito sin comunicar su contenido, a lo que se habría negado el denunciante, temiendo por su situación laboral.</w:t>
      </w:r>
    </w:p>
    <w:p w14:paraId="51906EE9"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La INDDHH inició gestiones con el Ministerio de Trabajo y Seguridad Social para que informara sobre los hechos relacionados en la denuncia. La Dirección General del Trabajo se comunicó con la empresa y ésta plantea que el funcionario no realizó la denuncia en la propia empresa, que las personas denunciadas ya no son empleados de la misma y que el denunciante se encontraba trabajando a gusto, sin dificultades ni problemas con los demás compañeros.</w:t>
      </w:r>
    </w:p>
    <w:p w14:paraId="2CFBC19A"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La INDDHH resolvió comunicar esta situación a la Comisión Honoraria contra el Racismo y la Xenofobia y toda otra forma de Discriminación y solicitar al MTSS la profundización de la investigación, en relación a los posibles indicios de acoso laboral y de discriminación étnico-racial.</w:t>
      </w:r>
    </w:p>
    <w:p w14:paraId="513F0C6F" w14:textId="77777777" w:rsidR="00132485" w:rsidRPr="00132485" w:rsidRDefault="00132485" w:rsidP="00132485">
      <w:pPr>
        <w:spacing w:after="160" w:line="259" w:lineRule="auto"/>
        <w:jc w:val="both"/>
        <w:rPr>
          <w:rFonts w:ascii="Calibri" w:eastAsia="Calibri" w:hAnsi="Calibri" w:cs="Calibri"/>
          <w:i/>
          <w:iCs/>
          <w:sz w:val="22"/>
          <w:szCs w:val="22"/>
          <w:lang w:val="es-UY" w:eastAsia="en-US"/>
        </w:rPr>
      </w:pPr>
      <w:r w:rsidRPr="00132485">
        <w:rPr>
          <w:rFonts w:ascii="Calibri" w:eastAsia="Calibri" w:hAnsi="Calibri" w:cs="Calibri"/>
          <w:i/>
          <w:iCs/>
          <w:sz w:val="22"/>
          <w:szCs w:val="22"/>
          <w:lang w:val="es-UY" w:eastAsia="en-US"/>
        </w:rPr>
        <w:t>Resolución n.</w:t>
      </w:r>
      <w:r w:rsidRPr="00132485">
        <w:rPr>
          <w:rFonts w:ascii="Calibri" w:eastAsia="Calibri" w:hAnsi="Calibri" w:cs="Calibri"/>
          <w:i/>
          <w:iCs/>
          <w:sz w:val="22"/>
          <w:szCs w:val="22"/>
          <w:vertAlign w:val="superscript"/>
          <w:lang w:val="es-UY" w:eastAsia="en-US"/>
        </w:rPr>
        <w:t>o</w:t>
      </w:r>
      <w:r w:rsidRPr="00132485">
        <w:rPr>
          <w:rFonts w:ascii="Calibri" w:eastAsia="Calibri" w:hAnsi="Calibri" w:cs="Calibri"/>
          <w:i/>
          <w:iCs/>
          <w:sz w:val="22"/>
          <w:szCs w:val="22"/>
          <w:lang w:val="es-UY" w:eastAsia="en-US"/>
        </w:rPr>
        <w:t> 698/19</w:t>
      </w:r>
    </w:p>
    <w:p w14:paraId="7ACCCFD8" w14:textId="77777777" w:rsidR="00132485" w:rsidRPr="00132485" w:rsidRDefault="00132485" w:rsidP="00132485">
      <w:pPr>
        <w:spacing w:after="160" w:line="259" w:lineRule="auto"/>
        <w:jc w:val="both"/>
        <w:rPr>
          <w:rFonts w:ascii="Calibri" w:eastAsia="Calibri" w:hAnsi="Calibri" w:cs="Calibri"/>
          <w:sz w:val="22"/>
          <w:szCs w:val="22"/>
          <w:lang w:val="es-UY" w:eastAsia="en-US" w:bidi="es-ES"/>
        </w:rPr>
      </w:pPr>
      <w:r w:rsidRPr="00132485">
        <w:rPr>
          <w:rFonts w:ascii="Calibri" w:eastAsia="Calibri" w:hAnsi="Calibri" w:cs="Calibri"/>
          <w:sz w:val="22"/>
          <w:szCs w:val="22"/>
          <w:lang w:val="es-UY" w:eastAsia="en-US" w:bidi="es-ES"/>
        </w:rPr>
        <w:t xml:space="preserve">Se trata de actuaciones de oficio de la INDDHH a efectos de solicitar información respecto al cumplimiento de la Ley 19122. Se solicitó al Ministerio de Educación y Cultura que informara a la INDDHH sobre la cantidad de becas para la población afrodescendiente que se otorgaron desde la promulgación de la ley hasta esa fecha. El MEC proporcionó oportunamente la información solicitada. </w:t>
      </w:r>
    </w:p>
    <w:p w14:paraId="1E4E834A"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lastRenderedPageBreak/>
        <w:t>Sin perjuicio de ello, la INDDHH recomendó al MEC:  la continuidad de los esfuerzos para la promoción y protección de los derechos de la población afrouruguaya; que se retomen los espacios de diálogo político con la sociedad civil afrouruguaya, ya que desde las organizaciones de la sociedad civil se informó a la INDDHH sobre la culminación de las reuniones de la comisión de educación en forma unilateral. A la vez, recomendó que se analice en profundidad las causas del rezago y culminación de los ciclos educativos, así como las posibles estrategias para revertir dicha situación. Este punto es de suma importancia, ya que los datos cualitativos y cuantitativos respecto a la población afrouruguaya continúan marcando brechas sociales raciales incambiadas.</w:t>
      </w:r>
    </w:p>
    <w:p w14:paraId="450F5E10"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i/>
          <w:iCs/>
          <w:sz w:val="22"/>
          <w:szCs w:val="22"/>
          <w:lang w:val="es-UY" w:eastAsia="en-US"/>
        </w:rPr>
        <w:t>Resolución n.</w:t>
      </w:r>
      <w:r w:rsidRPr="00132485">
        <w:rPr>
          <w:rFonts w:ascii="Calibri" w:eastAsia="Calibri" w:hAnsi="Calibri" w:cs="Calibri"/>
          <w:i/>
          <w:iCs/>
          <w:sz w:val="22"/>
          <w:szCs w:val="22"/>
          <w:vertAlign w:val="superscript"/>
          <w:lang w:val="es-UY" w:eastAsia="en-US"/>
        </w:rPr>
        <w:t>o</w:t>
      </w:r>
      <w:r w:rsidRPr="00132485">
        <w:rPr>
          <w:rFonts w:ascii="Calibri" w:eastAsia="Calibri" w:hAnsi="Calibri" w:cs="Calibri"/>
          <w:i/>
          <w:iCs/>
          <w:sz w:val="22"/>
          <w:szCs w:val="22"/>
          <w:lang w:val="es-UY" w:eastAsia="en-US"/>
        </w:rPr>
        <w:t>  1052/2022</w:t>
      </w:r>
    </w:p>
    <w:p w14:paraId="79985DC8"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El día 27 de abril del 2021, la INDDHH recibió una denuncia presentada por una organización de la sociedad civil. Manifestó que el Instituto Nacional de Estadística (INE) vulneró los derechos de las personas afrodescendientes al excluir la variable étnico/racial en la última ficha técnica de la Encuesta Continua de Hogares; que dicha decisión implica invisibilizar el impacto diferencial en los derechos de la población afrodescendiente; que la información constituye no solo una herramienta técnica, sino también un recurso político en pro de la realización de sus derechos.</w:t>
      </w:r>
    </w:p>
    <w:p w14:paraId="6552B6EB"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La INDDHH tuvo conocimiento a través de los denunciantes de que la situación de excluir la variable étnico/racial sería abordada en una reunión del Consejo Nacional de Equidad Étnico Racial y Afrodescendencia (CNERA), que funciona en la órbita del mides. La reunión del Consejo fue postergada, lo cual llevó a la INDDHH a avanzar en el desarrollo de la investigación.</w:t>
      </w:r>
    </w:p>
    <w:p w14:paraId="3140398D"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La INDDHH solicitó a la Oficina de Planeamiento y Presupuesto (OPP) que informara si estaba en conocimiento de la situación y de los motivos que sustentaban la decisión del INE. El organismo informó que la decisión de suspender temporalmente la variable étnico/racial —entre otras— se motivó en razones propias de la disciplina estadística, ante la situación sanitaria que impedía realizar la etapa de relevamiento de la encuesta en condiciones normales, y que se volvería a incluir en cuanto fuera posible reiniciar el relevamiento presencial. Asimismo, el organismo enfatizó, que la no inclusión transitoria de la variable étnico/racial, en la última ficha técnica de la Encuesta Continua de Hogares, no constituye un acto de discriminación.</w:t>
      </w:r>
    </w:p>
    <w:p w14:paraId="07ECAA72"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Ante la respuesta brindada por el organismo, la INDDHH dio vista a la organización social y civil, quienes a su vez solicitaron a la INDDHH que el organismo accediera a una reunión con el MIDES y la OPP. La INDDHH informó de la solicitud al organismo, la cual fue reiterada al no obtener una respuesta. El 24 de setiembre de 2021, el mides respondió a la INDDHH que accedía al pedido de la reunión solicitado por la organización social y civil, pero no se obtuvo respuesta de la OPP.</w:t>
      </w:r>
    </w:p>
    <w:p w14:paraId="1D539130" w14:textId="77777777" w:rsidR="00132485" w:rsidRPr="00132485" w:rsidRDefault="00132485" w:rsidP="00132485">
      <w:pPr>
        <w:spacing w:after="160" w:line="259" w:lineRule="auto"/>
        <w:jc w:val="both"/>
        <w:rPr>
          <w:rFonts w:ascii="Calibri" w:eastAsia="Calibri" w:hAnsi="Calibri" w:cs="Calibri"/>
          <w:sz w:val="22"/>
          <w:szCs w:val="22"/>
          <w:lang w:val="es-UY" w:eastAsia="en-US"/>
        </w:rPr>
      </w:pPr>
      <w:r w:rsidRPr="00132485">
        <w:rPr>
          <w:rFonts w:ascii="Calibri" w:eastAsia="Calibri" w:hAnsi="Calibri" w:cs="Calibri"/>
          <w:sz w:val="22"/>
          <w:szCs w:val="22"/>
          <w:lang w:val="es-UY" w:eastAsia="en-US"/>
        </w:rPr>
        <w:t>La INDDHH analizó la situación y confirmó que la variable de ascendencia étnico/racial se retomó en el primer semestre del año 2021. El Consejo Directivo de la INDDHH resolvió que la manifestación de voluntad del organismo de volver a incluir la presencia de la variable étnico/racial implicó alcanzar una solución satisfactoria y tuitiva de los derechos humanos.</w:t>
      </w:r>
    </w:p>
    <w:p w14:paraId="29F593A3" w14:textId="77777777" w:rsidR="00132485" w:rsidRPr="00132485" w:rsidRDefault="00132485" w:rsidP="00132485">
      <w:pPr>
        <w:spacing w:after="160" w:line="259" w:lineRule="auto"/>
        <w:rPr>
          <w:rFonts w:ascii="Calibri" w:eastAsia="Calibri" w:hAnsi="Calibri" w:cs="Calibri"/>
          <w:sz w:val="22"/>
          <w:szCs w:val="22"/>
          <w:lang w:val="es-UY" w:eastAsia="en-US"/>
        </w:rPr>
      </w:pPr>
    </w:p>
    <w:p w14:paraId="3C4BB9FB" w14:textId="77777777" w:rsidR="00931371" w:rsidRPr="00132485" w:rsidRDefault="00931371" w:rsidP="0069133D">
      <w:pPr>
        <w:rPr>
          <w:lang w:val="es-UY"/>
        </w:rPr>
      </w:pPr>
    </w:p>
    <w:sectPr w:rsidR="00931371" w:rsidRPr="00132485" w:rsidSect="009B4B51">
      <w:headerReference w:type="default" r:id="rId10"/>
      <w:footerReference w:type="default" r:id="rId11"/>
      <w:pgSz w:w="11906" w:h="16838"/>
      <w:pgMar w:top="2390" w:right="1701" w:bottom="1417" w:left="1701"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0B09A9" w14:textId="77777777" w:rsidR="003A5391" w:rsidRDefault="003A5391" w:rsidP="002F225F">
      <w:r>
        <w:separator/>
      </w:r>
    </w:p>
  </w:endnote>
  <w:endnote w:type="continuationSeparator" w:id="0">
    <w:p w14:paraId="79304B43" w14:textId="77777777" w:rsidR="003A5391" w:rsidRDefault="003A5391" w:rsidP="002F2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等线 Light">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1169761"/>
      <w:docPartObj>
        <w:docPartGallery w:val="Page Numbers (Bottom of Page)"/>
        <w:docPartUnique/>
      </w:docPartObj>
    </w:sdtPr>
    <w:sdtEndPr>
      <w:rPr>
        <w:sz w:val="18"/>
        <w:szCs w:val="18"/>
      </w:rPr>
    </w:sdtEndPr>
    <w:sdtContent>
      <w:p w14:paraId="0DB42367" w14:textId="50A959A0" w:rsidR="00132485" w:rsidRPr="00132485" w:rsidRDefault="00132485">
        <w:pPr>
          <w:pStyle w:val="Piedepgina"/>
          <w:jc w:val="right"/>
          <w:rPr>
            <w:sz w:val="18"/>
            <w:szCs w:val="18"/>
          </w:rPr>
        </w:pPr>
        <w:r w:rsidRPr="00132485">
          <w:rPr>
            <w:sz w:val="18"/>
            <w:szCs w:val="18"/>
          </w:rPr>
          <w:fldChar w:fldCharType="begin"/>
        </w:r>
        <w:r w:rsidRPr="00132485">
          <w:rPr>
            <w:sz w:val="18"/>
            <w:szCs w:val="18"/>
          </w:rPr>
          <w:instrText>PAGE   \* MERGEFORMAT</w:instrText>
        </w:r>
        <w:r w:rsidRPr="00132485">
          <w:rPr>
            <w:sz w:val="18"/>
            <w:szCs w:val="18"/>
          </w:rPr>
          <w:fldChar w:fldCharType="separate"/>
        </w:r>
        <w:r w:rsidR="00B12CCE">
          <w:rPr>
            <w:noProof/>
            <w:sz w:val="18"/>
            <w:szCs w:val="18"/>
          </w:rPr>
          <w:t>1</w:t>
        </w:r>
        <w:r w:rsidRPr="00132485">
          <w:rPr>
            <w:sz w:val="18"/>
            <w:szCs w:val="18"/>
          </w:rPr>
          <w:fldChar w:fldCharType="end"/>
        </w:r>
      </w:p>
    </w:sdtContent>
  </w:sdt>
  <w:p w14:paraId="340CC839" w14:textId="7B15C85A" w:rsidR="002F225F" w:rsidRDefault="002F225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998A06" w14:textId="77777777" w:rsidR="003A5391" w:rsidRDefault="003A5391" w:rsidP="002F225F">
      <w:r>
        <w:separator/>
      </w:r>
    </w:p>
  </w:footnote>
  <w:footnote w:type="continuationSeparator" w:id="0">
    <w:p w14:paraId="61A543DB" w14:textId="77777777" w:rsidR="003A5391" w:rsidRDefault="003A5391" w:rsidP="002F225F">
      <w:r>
        <w:continuationSeparator/>
      </w:r>
    </w:p>
  </w:footnote>
  <w:footnote w:id="1">
    <w:p w14:paraId="43D13509" w14:textId="77777777" w:rsidR="00132485" w:rsidRDefault="00132485" w:rsidP="00132485">
      <w:pPr>
        <w:pStyle w:val="Textonotapie"/>
        <w:jc w:val="both"/>
      </w:pPr>
      <w:r>
        <w:rPr>
          <w:rStyle w:val="Refdenotaalpie"/>
        </w:rPr>
        <w:footnoteRef/>
      </w:r>
      <w:r>
        <w:t xml:space="preserve"> Se está preparando un informe sobre la situación de personas migrantes y solicitantes de refugio para ser considerado en la 37ª sesión del Comité de Trabajadores Migrantes (del 27 noviembre al 8 de diciembre 2023).</w:t>
      </w:r>
    </w:p>
  </w:footnote>
  <w:footnote w:id="2">
    <w:p w14:paraId="4BEC754F" w14:textId="77777777" w:rsidR="00132485" w:rsidRDefault="00132485" w:rsidP="00132485">
      <w:pPr>
        <w:pStyle w:val="Textonotapie"/>
        <w:jc w:val="both"/>
      </w:pPr>
      <w:r>
        <w:rPr>
          <w:rStyle w:val="Refdenotaalpie"/>
        </w:rPr>
        <w:footnoteRef/>
      </w:r>
      <w:r>
        <w:t xml:space="preserve"> Actividades realizadas por equipos de la INDDHH: Área de Estudios; Área de Igualdad y no Discriminación (integrada por las unidades especializadas en equidad étnico racial, género, derechos de las personas migrantes, derechos de las personas con discapacidad, derechos de las personas mayores); MNP; Defensoría del Pueblo. </w:t>
      </w:r>
    </w:p>
  </w:footnote>
  <w:footnote w:id="3">
    <w:p w14:paraId="495D25C6" w14:textId="77777777" w:rsidR="00132485" w:rsidRDefault="00132485" w:rsidP="00132485">
      <w:pPr>
        <w:pStyle w:val="Textonotapie"/>
        <w:snapToGrid w:val="0"/>
        <w:rPr>
          <w:lang w:val="es-MX"/>
        </w:rPr>
      </w:pPr>
      <w:r>
        <w:rPr>
          <w:rStyle w:val="Refdenotaalpie"/>
        </w:rPr>
        <w:footnoteRef/>
      </w:r>
      <w:r>
        <w:t xml:space="preserve"> Ver </w:t>
      </w:r>
      <w:r>
        <w:rPr>
          <w:lang w:val="es-MX"/>
        </w:rPr>
        <w:t>Anexo 2: Leyes contra la discriminación racial aprobadas por el Estado uruguayo</w:t>
      </w:r>
    </w:p>
  </w:footnote>
  <w:footnote w:id="4">
    <w:p w14:paraId="157F011D" w14:textId="77777777" w:rsidR="00132485" w:rsidRDefault="00132485" w:rsidP="00132485">
      <w:pPr>
        <w:pStyle w:val="Textonotapie"/>
        <w:snapToGrid w:val="0"/>
        <w:rPr>
          <w:lang w:val="es-MX"/>
        </w:rPr>
      </w:pPr>
      <w:r>
        <w:rPr>
          <w:rStyle w:val="Refdenotaalpie"/>
        </w:rPr>
        <w:footnoteRef/>
      </w:r>
      <w:r>
        <w:t xml:space="preserve"> </w:t>
      </w:r>
      <w:r>
        <w:rPr>
          <w:lang w:val="es-MX"/>
        </w:rPr>
        <w:t>https://www.gub.uy/institucion-nacional-derechos-humanos-uruguay/sites/institucion-nacional-derechos-humanos-uruguay/files/documentos/noticias/Informe%20entregado%20a%20Comisio%CC%81n%20de%20Industria_%20Camara%20de%20Diputados_Servicios%20de%20Difusion%20de%20Contenido%20Audiovisual_0.pdf</w:t>
      </w:r>
    </w:p>
  </w:footnote>
  <w:footnote w:id="5">
    <w:p w14:paraId="445A6364" w14:textId="77777777" w:rsidR="00132485" w:rsidRDefault="00132485" w:rsidP="00132485">
      <w:pPr>
        <w:pStyle w:val="Textonotapie"/>
        <w:rPr>
          <w:i/>
          <w:color w:val="C00000"/>
          <w:lang w:val="es-MX"/>
        </w:rPr>
      </w:pPr>
      <w:r>
        <w:rPr>
          <w:rStyle w:val="Refdenotaalpie"/>
        </w:rPr>
        <w:footnoteRef/>
      </w:r>
      <w:r>
        <w:t>UNFPA 2021</w:t>
      </w:r>
      <w:r>
        <w:rPr>
          <w:lang w:val="es-MX"/>
        </w:rPr>
        <w:t xml:space="preserve"> en base a ECH 2020. Ver Informe “</w:t>
      </w:r>
      <w:r>
        <w:t xml:space="preserve"> </w:t>
      </w:r>
      <w:r>
        <w:rPr>
          <w:i/>
        </w:rPr>
        <w:t>Esas vidas que importan: población, raza y los efectos diferenciales de la pandemia de COVID-19 sobre la población afrodescendiente en Uruguay</w:t>
      </w:r>
      <w:r>
        <w:rPr>
          <w:i/>
          <w:lang w:val="es-MX"/>
        </w:rPr>
        <w:t>”</w:t>
      </w:r>
      <w:r>
        <w:rPr>
          <w:i/>
          <w:color w:val="C00000"/>
          <w:lang w:val="es-MX"/>
        </w:rPr>
        <w:t xml:space="preserve"> </w:t>
      </w:r>
    </w:p>
  </w:footnote>
  <w:footnote w:id="6">
    <w:p w14:paraId="5AA3D376" w14:textId="77777777" w:rsidR="00132485" w:rsidRDefault="00132485" w:rsidP="00132485">
      <w:pPr>
        <w:pStyle w:val="Textonotapie"/>
      </w:pPr>
      <w:r>
        <w:rPr>
          <w:rStyle w:val="Refdenotaalpie"/>
        </w:rPr>
        <w:footnoteRef/>
      </w:r>
      <w:r>
        <w:t xml:space="preserve"> Ver Mirador DESCA por otros indicadores de educación para la población afrodescendiente. </w:t>
      </w:r>
    </w:p>
  </w:footnote>
  <w:footnote w:id="7">
    <w:p w14:paraId="59F4316E" w14:textId="77777777" w:rsidR="00132485" w:rsidRDefault="00132485" w:rsidP="00132485">
      <w:pPr>
        <w:pStyle w:val="Textonotapie"/>
        <w:rPr>
          <w:lang w:val="es-MX"/>
        </w:rPr>
      </w:pPr>
      <w:r>
        <w:rPr>
          <w:rStyle w:val="Refdenotaalpie"/>
        </w:rPr>
        <w:footnoteRef/>
      </w:r>
      <w:r>
        <w:t xml:space="preserve"> </w:t>
      </w:r>
      <w:r>
        <w:rPr>
          <w:lang w:val="es-MX"/>
        </w:rPr>
        <w:t xml:space="preserve">Sobre el derecho a la educación y el trabajo de las personas afrodescendientes, se sugiere consultar el Mirador DESCA, una herramienta desarrollada por la INDDHH en conjunto con la Universidad de la República: </w:t>
      </w:r>
      <w:hyperlink r:id="rId1" w:history="1">
        <w:r>
          <w:rPr>
            <w:rStyle w:val="Hipervnculo"/>
            <w:lang w:val="es-MX"/>
          </w:rPr>
          <w:t>http://miradordesca.uy/afrodescendientes/</w:t>
        </w:r>
      </w:hyperlink>
      <w:r>
        <w:rPr>
          <w:lang w:val="es-MX"/>
        </w:rPr>
        <w:t xml:space="preserve"> </w:t>
      </w:r>
    </w:p>
  </w:footnote>
  <w:footnote w:id="8">
    <w:p w14:paraId="08192174" w14:textId="77777777" w:rsidR="00132485" w:rsidRDefault="00132485" w:rsidP="00132485">
      <w:pPr>
        <w:pStyle w:val="Textonotapie"/>
        <w:snapToGrid w:val="0"/>
        <w:rPr>
          <w:lang w:val="es-MX"/>
        </w:rPr>
      </w:pPr>
      <w:r>
        <w:rPr>
          <w:rStyle w:val="Refdenotaalpie"/>
        </w:rPr>
        <w:footnoteRef/>
      </w:r>
      <w:r>
        <w:t xml:space="preserve"> </w:t>
      </w:r>
      <w:r>
        <w:rPr>
          <w:lang w:val="es-MX"/>
        </w:rPr>
        <w:t xml:space="preserve"> https://www.gub.uy/institucion-nacional-derechos-humanos-uruguay/sites/institucion-nacional-derechos-humanos-uruguay/files/documentos/noticias/Informe%20ley%2019122%20fecha%2024%20de%20noviembre.pdf</w:t>
      </w:r>
    </w:p>
  </w:footnote>
  <w:footnote w:id="9">
    <w:p w14:paraId="47252679" w14:textId="77777777" w:rsidR="00132485" w:rsidRDefault="00132485" w:rsidP="00132485">
      <w:pPr>
        <w:pStyle w:val="Textonotapie"/>
        <w:snapToGrid w:val="0"/>
        <w:rPr>
          <w:lang w:val="es-MX"/>
        </w:rPr>
      </w:pPr>
      <w:r>
        <w:rPr>
          <w:rStyle w:val="Refdenotaalpie"/>
        </w:rPr>
        <w:footnoteRef/>
      </w:r>
      <w:r>
        <w:t xml:space="preserve"> </w:t>
      </w:r>
      <w:r>
        <w:rPr>
          <w:lang w:val="es-MX"/>
        </w:rPr>
        <w:t>Ver cita anterior.</w:t>
      </w:r>
    </w:p>
  </w:footnote>
  <w:footnote w:id="10">
    <w:p w14:paraId="7741C6CC" w14:textId="77777777" w:rsidR="00132485" w:rsidRDefault="00132485" w:rsidP="00132485">
      <w:pPr>
        <w:pStyle w:val="Textonotapie"/>
        <w:rPr>
          <w:lang w:val="es-MX"/>
        </w:rPr>
      </w:pPr>
      <w:r>
        <w:rPr>
          <w:rStyle w:val="Refdenotaalpie"/>
        </w:rPr>
        <w:footnoteRef/>
      </w:r>
      <w:r>
        <w:t xml:space="preserve"> Al respecto véase </w:t>
      </w:r>
      <w:r>
        <w:rPr>
          <w:lang w:val="es-MX"/>
        </w:rPr>
        <w:t xml:space="preserve">resoluciones de la INDDHH: 599/2019 disponible en </w:t>
      </w:r>
      <w:hyperlink r:id="rId2" w:history="1">
        <w:r>
          <w:rPr>
            <w:rStyle w:val="Hipervnculo"/>
            <w:lang w:val="es-MX"/>
          </w:rPr>
          <w:t>https://www.gub.uy/institucion-nacional-derechos-humanos-uruguay/comunicacion/noticias/compendio-resoluciones-Inddhh-del-periodo-2012-2019</w:t>
        </w:r>
      </w:hyperlink>
      <w:r>
        <w:rPr>
          <w:lang w:val="es-MX"/>
        </w:rPr>
        <w:t xml:space="preserve">; 755/2019 disponible en </w:t>
      </w:r>
      <w:hyperlink r:id="rId3" w:history="1">
        <w:r>
          <w:rPr>
            <w:rStyle w:val="Hipervnculo"/>
            <w:lang w:val="es-MX"/>
          </w:rPr>
          <w:t>https://www.gub.uy/institucion-nacional-derechos-humanos-uruguay/institucional/informacion-gestion/resoluciones/resolucion-n-755019-recomendaciones-fiscal-corte</w:t>
        </w:r>
      </w:hyperlink>
      <w:r>
        <w:rPr>
          <w:lang w:val="es-MX"/>
        </w:rPr>
        <w:t>.</w:t>
      </w:r>
    </w:p>
  </w:footnote>
  <w:footnote w:id="11">
    <w:p w14:paraId="31746DF5" w14:textId="77777777" w:rsidR="00132485" w:rsidRDefault="00132485" w:rsidP="00132485">
      <w:pPr>
        <w:pStyle w:val="Textonotapie"/>
        <w:snapToGrid w:val="0"/>
      </w:pPr>
      <w:r>
        <w:rPr>
          <w:rStyle w:val="Refdenotaalpie"/>
        </w:rPr>
        <w:footnoteRef/>
      </w:r>
      <w:r>
        <w:t xml:space="preserve"> </w:t>
      </w:r>
      <w:hyperlink r:id="rId4" w:history="1">
        <w:r>
          <w:rPr>
            <w:rStyle w:val="Hipervnculo"/>
          </w:rPr>
          <w:t>https://www.gub.uy/ministerio-desarrollo-social/sites/ministerio-desarrollo-social/files/2019-05/Gu%C3%ADa%20para%20la%20transversalizaci%C3%B3n_04.04%20%282%29.pdf</w:t>
        </w:r>
      </w:hyperlink>
    </w:p>
    <w:p w14:paraId="5AAB0E91" w14:textId="77777777" w:rsidR="00132485" w:rsidRDefault="00132485" w:rsidP="00132485">
      <w:pPr>
        <w:pStyle w:val="Textonotapie"/>
        <w:snapToGrid w:val="0"/>
      </w:pPr>
    </w:p>
  </w:footnote>
  <w:footnote w:id="12">
    <w:p w14:paraId="6F5AC436" w14:textId="77777777" w:rsidR="00132485" w:rsidRDefault="00132485" w:rsidP="00132485">
      <w:pPr>
        <w:rPr>
          <w:bCs/>
          <w:sz w:val="20"/>
          <w:szCs w:val="20"/>
          <w:lang w:val="es-MX"/>
        </w:rPr>
      </w:pPr>
      <w:r>
        <w:rPr>
          <w:rStyle w:val="Refdenotaalpie"/>
        </w:rPr>
        <w:footnoteRef/>
      </w:r>
      <w:r>
        <w:t xml:space="preserve"> </w:t>
      </w:r>
      <w:r>
        <w:rPr>
          <w:bCs/>
        </w:rPr>
        <w:t>I</w:t>
      </w:r>
      <w:r>
        <w:rPr>
          <w:bCs/>
          <w:sz w:val="20"/>
          <w:szCs w:val="20"/>
        </w:rPr>
        <w:t>nforme de la Institución Nacional de Derechos Humanos y Defensoría del Pueblo de la República Oriental del Uruguay</w:t>
      </w:r>
      <w:r>
        <w:rPr>
          <w:bCs/>
          <w:sz w:val="20"/>
          <w:szCs w:val="20"/>
          <w:lang w:val="es-MX"/>
        </w:rPr>
        <w:t xml:space="preserve"> al Comité de Derechos Humanos. 135 Período de Sesiones. Punto 43. (2022)</w:t>
      </w:r>
    </w:p>
    <w:p w14:paraId="08264F45" w14:textId="77777777" w:rsidR="00132485" w:rsidRDefault="00132485" w:rsidP="00132485">
      <w:pPr>
        <w:pStyle w:val="Textonotapie"/>
        <w:snapToGrid w:val="0"/>
        <w:rPr>
          <w:lang w:val="es-MX"/>
        </w:rPr>
      </w:pPr>
    </w:p>
  </w:footnote>
  <w:footnote w:id="13">
    <w:p w14:paraId="40BBC316" w14:textId="77777777" w:rsidR="00132485" w:rsidRPr="00132485" w:rsidRDefault="00132485" w:rsidP="00132485">
      <w:pPr>
        <w:pStyle w:val="Textonotapie"/>
        <w:rPr>
          <w:rFonts w:cs="Calibri"/>
        </w:rPr>
      </w:pPr>
      <w:r w:rsidRPr="00132485">
        <w:rPr>
          <w:rStyle w:val="Refdenotaalpie"/>
          <w:rFonts w:ascii="Calibri" w:hAnsi="Calibri" w:cs="Calibri"/>
        </w:rPr>
        <w:footnoteRef/>
      </w:r>
      <w:r w:rsidRPr="00132485">
        <w:rPr>
          <w:rFonts w:cs="Calibri"/>
        </w:rPr>
        <w:t xml:space="preserve"> </w:t>
      </w:r>
      <w:r w:rsidRPr="00132485">
        <w:rPr>
          <w:rFonts w:cs="Calibri"/>
          <w:lang w:val="es-MX"/>
        </w:rPr>
        <w:t xml:space="preserve">Disponible en: </w:t>
      </w:r>
      <w:hyperlink r:id="rId5" w:history="1">
        <w:r w:rsidRPr="00132485">
          <w:rPr>
            <w:rStyle w:val="Hipervnculo"/>
            <w:rFonts w:cs="Calibri"/>
            <w:lang w:val="es-MX"/>
          </w:rPr>
          <w:t>https://www.impo.com.uy/bases/leyes-originales/16048-1989</w:t>
        </w:r>
      </w:hyperlink>
    </w:p>
  </w:footnote>
  <w:footnote w:id="14">
    <w:p w14:paraId="7E380598" w14:textId="77777777" w:rsidR="00132485" w:rsidRDefault="00132485" w:rsidP="00132485">
      <w:pPr>
        <w:autoSpaceDE w:val="0"/>
        <w:autoSpaceDN w:val="0"/>
        <w:adjustRightInd w:val="0"/>
        <w:jc w:val="both"/>
        <w:rPr>
          <w:lang w:val="es-MX"/>
        </w:rPr>
      </w:pPr>
      <w:r w:rsidRPr="00132485">
        <w:rPr>
          <w:rStyle w:val="Refdenotaalpie"/>
          <w:rFonts w:ascii="Calibri" w:hAnsi="Calibri" w:cs="Calibri"/>
          <w:sz w:val="20"/>
          <w:szCs w:val="20"/>
        </w:rPr>
        <w:footnoteRef/>
      </w:r>
      <w:r w:rsidRPr="00132485">
        <w:rPr>
          <w:rFonts w:cs="Calibri"/>
          <w:sz w:val="20"/>
          <w:szCs w:val="20"/>
        </w:rPr>
        <w:t xml:space="preserve"> Disponible en: </w:t>
      </w:r>
      <w:hyperlink r:id="rId6" w:history="1">
        <w:r w:rsidRPr="00132485">
          <w:rPr>
            <w:rStyle w:val="Hipervnculo"/>
            <w:rFonts w:cs="Calibri"/>
            <w:sz w:val="20"/>
            <w:szCs w:val="20"/>
            <w:lang w:val="es-MX"/>
          </w:rPr>
          <w:t>https://www.impo.com.uy/bases/leyes/17817-2004</w:t>
        </w:r>
      </w:hyperlink>
    </w:p>
  </w:footnote>
  <w:footnote w:id="15">
    <w:p w14:paraId="463B99EB" w14:textId="77777777" w:rsidR="00132485" w:rsidRPr="00132485" w:rsidRDefault="00132485" w:rsidP="00132485">
      <w:pPr>
        <w:autoSpaceDE w:val="0"/>
        <w:autoSpaceDN w:val="0"/>
        <w:adjustRightInd w:val="0"/>
        <w:jc w:val="both"/>
        <w:rPr>
          <w:rFonts w:cs="Calibri"/>
          <w:sz w:val="20"/>
          <w:szCs w:val="20"/>
        </w:rPr>
      </w:pPr>
      <w:r w:rsidRPr="00132485">
        <w:rPr>
          <w:rStyle w:val="Refdenotaalpie"/>
          <w:rFonts w:ascii="Calibri" w:hAnsi="Calibri" w:cs="Calibri"/>
          <w:sz w:val="20"/>
          <w:szCs w:val="20"/>
        </w:rPr>
        <w:footnoteRef/>
      </w:r>
      <w:r w:rsidRPr="00132485">
        <w:rPr>
          <w:rFonts w:cs="Calibri"/>
          <w:sz w:val="20"/>
          <w:szCs w:val="20"/>
        </w:rPr>
        <w:t xml:space="preserve"> Disponible en: https://www.impo.com.uy/bases/leyes/18059-2006</w:t>
      </w:r>
    </w:p>
  </w:footnote>
  <w:footnote w:id="16">
    <w:p w14:paraId="778CB664" w14:textId="77777777" w:rsidR="00132485" w:rsidRDefault="00132485" w:rsidP="00132485">
      <w:pPr>
        <w:pStyle w:val="HTMLconformatoprevio"/>
        <w:shd w:val="clear" w:color="auto" w:fill="FFFFFF"/>
        <w:jc w:val="both"/>
      </w:pPr>
      <w:r w:rsidRPr="00132485">
        <w:rPr>
          <w:rStyle w:val="Refdenotaalpie"/>
          <w:rFonts w:ascii="Calibri" w:hAnsi="Calibri" w:cs="Calibri"/>
        </w:rPr>
        <w:footnoteRef/>
      </w:r>
      <w:r w:rsidRPr="00132485">
        <w:rPr>
          <w:rFonts w:ascii="Calibri" w:hAnsi="Calibri" w:cs="Calibri"/>
        </w:rPr>
        <w:t xml:space="preserve"> Disponible en: </w:t>
      </w:r>
      <w:hyperlink r:id="rId7" w:history="1">
        <w:r w:rsidRPr="00132485">
          <w:rPr>
            <w:rStyle w:val="Hipervnculo"/>
            <w:rFonts w:ascii="Calibri" w:hAnsi="Calibri" w:cs="Calibri"/>
            <w:color w:val="333333"/>
            <w:shd w:val="clear" w:color="auto" w:fill="FFFFFF"/>
          </w:rPr>
          <w:t>https://www.impo.com.uy/bases/leyes/19122-2013</w:t>
        </w:r>
      </w:hyperlink>
      <w:r w:rsidRPr="00132485">
        <w:rPr>
          <w:rFonts w:ascii="Calibri" w:hAnsi="Calibri" w:cs="Calibri"/>
          <w:color w:val="333333"/>
          <w:shd w:val="clear" w:color="auto" w:fill="FFFFFF"/>
        </w:rPr>
        <w:t xml:space="preserve">  </w:t>
      </w:r>
    </w:p>
  </w:footnote>
  <w:footnote w:id="17">
    <w:p w14:paraId="6C3E1B5A" w14:textId="77777777" w:rsidR="00132485" w:rsidRDefault="00132485" w:rsidP="00132485">
      <w:pPr>
        <w:pStyle w:val="Prrafodelista"/>
        <w:ind w:left="0"/>
        <w:jc w:val="both"/>
      </w:pPr>
      <w:r>
        <w:rPr>
          <w:rStyle w:val="Refdenotaalpie"/>
        </w:rPr>
        <w:footnoteRef/>
      </w:r>
      <w:r>
        <w:t xml:space="preserve"> Disponible en: </w:t>
      </w:r>
      <w:hyperlink r:id="rId8" w:history="1">
        <w:r>
          <w:rPr>
            <w:rStyle w:val="Hipervnculo"/>
            <w:sz w:val="20"/>
            <w:szCs w:val="20"/>
          </w:rPr>
          <w:t>https://www.impo.com.uy/bases/leyes/19293-2014</w:t>
        </w:r>
      </w:hyperlink>
    </w:p>
  </w:footnote>
  <w:footnote w:id="18">
    <w:p w14:paraId="25AC43CF" w14:textId="77777777" w:rsidR="00132485" w:rsidRDefault="00132485" w:rsidP="00132485">
      <w:pPr>
        <w:pStyle w:val="Prrafodelista"/>
        <w:ind w:left="0"/>
        <w:jc w:val="both"/>
      </w:pPr>
      <w:r>
        <w:rPr>
          <w:rStyle w:val="Refdenotaalpie"/>
        </w:rPr>
        <w:footnoteRef/>
      </w:r>
      <w:r>
        <w:t xml:space="preserve"> Disponible en: </w:t>
      </w:r>
      <w:hyperlink r:id="rId9" w:history="1">
        <w:r>
          <w:rPr>
            <w:rStyle w:val="Hipervnculo"/>
            <w:sz w:val="20"/>
            <w:szCs w:val="20"/>
          </w:rPr>
          <w:t>https://www.impo.com.uy/bases/leyes/19529-2017</w:t>
        </w:r>
      </w:hyperlink>
    </w:p>
  </w:footnote>
  <w:footnote w:id="19">
    <w:p w14:paraId="5CB21644" w14:textId="77777777" w:rsidR="00132485" w:rsidRDefault="00132485" w:rsidP="00132485">
      <w:pPr>
        <w:pStyle w:val="Prrafodelista"/>
        <w:ind w:left="0"/>
        <w:jc w:val="both"/>
      </w:pPr>
      <w:r>
        <w:rPr>
          <w:rStyle w:val="Refdenotaalpie"/>
        </w:rPr>
        <w:footnoteRef/>
      </w:r>
      <w:r>
        <w:t xml:space="preserve"> Disponible en: </w:t>
      </w:r>
      <w:r>
        <w:rPr>
          <w:sz w:val="20"/>
          <w:szCs w:val="20"/>
        </w:rPr>
        <w:t>https://www.impo.com.uy/bases/leyes/19534-2017.</w:t>
      </w:r>
    </w:p>
  </w:footnote>
  <w:footnote w:id="20">
    <w:p w14:paraId="370D2624" w14:textId="77777777" w:rsidR="00132485" w:rsidRDefault="00132485" w:rsidP="00132485">
      <w:pPr>
        <w:pStyle w:val="Prrafodelista"/>
        <w:tabs>
          <w:tab w:val="left" w:pos="6144"/>
        </w:tabs>
        <w:ind w:left="0"/>
        <w:jc w:val="both"/>
      </w:pPr>
      <w:r>
        <w:rPr>
          <w:rStyle w:val="Refdenotaalpie"/>
        </w:rPr>
        <w:footnoteRef/>
      </w:r>
      <w:r>
        <w:t xml:space="preserve"> Disponible en </w:t>
      </w:r>
      <w:hyperlink r:id="rId10" w:history="1">
        <w:r>
          <w:rPr>
            <w:rStyle w:val="Hipervnculo"/>
            <w:sz w:val="20"/>
            <w:szCs w:val="20"/>
          </w:rPr>
          <w:t>https://www.impo.com.uy/bases/leyes/19580-2017</w:t>
        </w:r>
      </w:hyperlink>
    </w:p>
  </w:footnote>
  <w:footnote w:id="21">
    <w:p w14:paraId="0E7CFB16" w14:textId="77777777" w:rsidR="00132485" w:rsidRDefault="00132485" w:rsidP="00132485">
      <w:pPr>
        <w:pStyle w:val="Prrafodelista"/>
        <w:ind w:left="0"/>
        <w:jc w:val="both"/>
        <w:rPr>
          <w:sz w:val="20"/>
          <w:szCs w:val="20"/>
        </w:rPr>
      </w:pPr>
      <w:r>
        <w:rPr>
          <w:rStyle w:val="Refdenotaalpie"/>
        </w:rPr>
        <w:footnoteRef/>
      </w:r>
      <w:r>
        <w:t xml:space="preserve"> Disponible en: </w:t>
      </w:r>
      <w:hyperlink r:id="rId11" w:history="1">
        <w:r>
          <w:rPr>
            <w:rStyle w:val="Hipervnculo"/>
            <w:sz w:val="20"/>
            <w:szCs w:val="20"/>
          </w:rPr>
          <w:t>https://www.impo.com.uy/bases/leyes/19643-2018</w:t>
        </w:r>
      </w:hyperlink>
    </w:p>
    <w:p w14:paraId="6BB943D2" w14:textId="77777777" w:rsidR="00132485" w:rsidRDefault="00132485" w:rsidP="00132485">
      <w:pPr>
        <w:pStyle w:val="Textonotapie"/>
      </w:pPr>
    </w:p>
  </w:footnote>
  <w:footnote w:id="22">
    <w:p w14:paraId="3D6BBE69" w14:textId="77777777" w:rsidR="00132485" w:rsidRDefault="00132485" w:rsidP="00132485">
      <w:pPr>
        <w:autoSpaceDE w:val="0"/>
        <w:autoSpaceDN w:val="0"/>
        <w:adjustRightInd w:val="0"/>
        <w:jc w:val="both"/>
      </w:pPr>
      <w:r>
        <w:rPr>
          <w:rStyle w:val="Refdenotaalpie"/>
        </w:rPr>
        <w:footnoteRef/>
      </w:r>
      <w:r>
        <w:t xml:space="preserve"> Disponible en: </w:t>
      </w:r>
      <w:hyperlink r:id="rId12" w:history="1">
        <w:r>
          <w:rPr>
            <w:rStyle w:val="Hipervnculo"/>
            <w:sz w:val="20"/>
            <w:szCs w:val="20"/>
          </w:rPr>
          <w:t>https://www.impo.com.uy/bases/leyes/19670-2018</w:t>
        </w:r>
      </w:hyperlink>
    </w:p>
  </w:footnote>
  <w:footnote w:id="23">
    <w:p w14:paraId="69748401" w14:textId="77777777" w:rsidR="00132485" w:rsidRDefault="00132485" w:rsidP="00132485">
      <w:pPr>
        <w:pStyle w:val="Prrafodelista"/>
        <w:tabs>
          <w:tab w:val="left" w:pos="6300"/>
        </w:tabs>
        <w:ind w:left="0"/>
        <w:jc w:val="both"/>
      </w:pPr>
      <w:r>
        <w:rPr>
          <w:rStyle w:val="Refdenotaalpie"/>
        </w:rPr>
        <w:footnoteRef/>
      </w:r>
      <w:r>
        <w:t xml:space="preserve"> Disponible en: </w:t>
      </w:r>
      <w:hyperlink r:id="rId13" w:history="1">
        <w:r>
          <w:rPr>
            <w:rStyle w:val="Hipervnculo"/>
            <w:sz w:val="20"/>
            <w:szCs w:val="20"/>
          </w:rPr>
          <w:t>https://www.impo.com.uy/bases/leyes/19747-2019</w:t>
        </w:r>
      </w:hyperlink>
      <w:r>
        <w:rPr>
          <w:sz w:val="20"/>
          <w:szCs w:val="20"/>
        </w:rPr>
        <w:tab/>
      </w:r>
    </w:p>
  </w:footnote>
  <w:footnote w:id="24">
    <w:p w14:paraId="35F90D9B" w14:textId="77777777" w:rsidR="00132485" w:rsidRDefault="00132485" w:rsidP="00132485">
      <w:pPr>
        <w:pStyle w:val="Prrafodelista"/>
        <w:ind w:left="0"/>
        <w:jc w:val="both"/>
      </w:pPr>
      <w:r>
        <w:rPr>
          <w:rStyle w:val="Refdenotaalpie"/>
        </w:rPr>
        <w:footnoteRef/>
      </w:r>
      <w:r>
        <w:t xml:space="preserve"> Disponible en: </w:t>
      </w:r>
      <w:hyperlink r:id="rId14" w:history="1">
        <w:r>
          <w:rPr>
            <w:rStyle w:val="Hipervnculo"/>
            <w:sz w:val="20"/>
            <w:szCs w:val="20"/>
          </w:rPr>
          <w:t>https://www.impo.com.uy/bases/leyes/19775-2019</w:t>
        </w:r>
      </w:hyperlink>
    </w:p>
  </w:footnote>
  <w:footnote w:id="25">
    <w:p w14:paraId="2E8BB4B9" w14:textId="77777777" w:rsidR="00132485" w:rsidRDefault="00132485" w:rsidP="00132485">
      <w:pPr>
        <w:autoSpaceDE w:val="0"/>
        <w:autoSpaceDN w:val="0"/>
        <w:adjustRightInd w:val="0"/>
        <w:jc w:val="both"/>
        <w:rPr>
          <w:sz w:val="20"/>
          <w:szCs w:val="20"/>
          <w:lang w:val="es-MX"/>
        </w:rPr>
      </w:pPr>
      <w:r>
        <w:rPr>
          <w:rStyle w:val="Refdenotaalpie"/>
        </w:rPr>
        <w:footnoteRef/>
      </w:r>
      <w:r>
        <w:t xml:space="preserve"> Disponible en: </w:t>
      </w:r>
      <w:hyperlink r:id="rId15" w:history="1">
        <w:r>
          <w:rPr>
            <w:rStyle w:val="Hipervnculo"/>
            <w:sz w:val="20"/>
            <w:szCs w:val="20"/>
            <w:lang w:val="es-MX"/>
          </w:rPr>
          <w:t>https://www.impo.com.uy/bases/leyes/20075-2022</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34D5D2" w14:textId="77777777" w:rsidR="002F225F" w:rsidRDefault="002F225F">
    <w:pPr>
      <w:pStyle w:val="Encabezado"/>
    </w:pPr>
    <w:r>
      <w:rPr>
        <w:noProof/>
      </w:rPr>
      <w:t xml:space="preserve">                                                                       </w:t>
    </w:r>
  </w:p>
  <w:p w14:paraId="78FB7FCD" w14:textId="77777777" w:rsidR="002F225F" w:rsidRDefault="009B4B51">
    <w:pPr>
      <w:pStyle w:val="Encabezado"/>
    </w:pPr>
    <w:r>
      <w:rPr>
        <w:noProof/>
        <w:lang w:val="es-UY" w:eastAsia="es-UY"/>
      </w:rPr>
      <w:drawing>
        <wp:anchor distT="0" distB="0" distL="114300" distR="114300" simplePos="0" relativeHeight="251657216" behindDoc="1" locked="0" layoutInCell="1" allowOverlap="1" wp14:anchorId="0A32040A" wp14:editId="3BD19CB2">
          <wp:simplePos x="0" y="0"/>
          <wp:positionH relativeFrom="column">
            <wp:posOffset>-3810</wp:posOffset>
          </wp:positionH>
          <wp:positionV relativeFrom="paragraph">
            <wp:posOffset>256540</wp:posOffset>
          </wp:positionV>
          <wp:extent cx="2538750" cy="596900"/>
          <wp:effectExtent l="0" t="0" r="0" b="0"/>
          <wp:wrapNone/>
          <wp:docPr id="31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inddhh.emf"/>
                  <pic:cNvPicPr/>
                </pic:nvPicPr>
                <pic:blipFill>
                  <a:blip r:embed="rId1">
                    <a:extLst>
                      <a:ext uri="{28A0092B-C50C-407E-A947-70E740481C1C}">
                        <a14:useLocalDpi xmlns:a14="http://schemas.microsoft.com/office/drawing/2010/main" val="0"/>
                      </a:ext>
                    </a:extLst>
                  </a:blip>
                  <a:stretch>
                    <a:fillRect/>
                  </a:stretch>
                </pic:blipFill>
                <pic:spPr>
                  <a:xfrm>
                    <a:off x="0" y="0"/>
                    <a:ext cx="2538750" cy="596900"/>
                  </a:xfrm>
                  <a:prstGeom prst="rect">
                    <a:avLst/>
                  </a:prstGeom>
                </pic:spPr>
              </pic:pic>
            </a:graphicData>
          </a:graphic>
        </wp:anchor>
      </w:drawing>
    </w:r>
    <w:r>
      <w:rPr>
        <w:noProof/>
        <w:lang w:val="es-UY" w:eastAsia="es-UY"/>
      </w:rPr>
      <w:drawing>
        <wp:anchor distT="0" distB="0" distL="114300" distR="114300" simplePos="0" relativeHeight="251702272" behindDoc="1" locked="0" layoutInCell="1" allowOverlap="1" wp14:anchorId="737520D1" wp14:editId="6F78EF0E">
          <wp:simplePos x="0" y="0"/>
          <wp:positionH relativeFrom="column">
            <wp:posOffset>4777740</wp:posOffset>
          </wp:positionH>
          <wp:positionV relativeFrom="paragraph">
            <wp:posOffset>256540</wp:posOffset>
          </wp:positionV>
          <wp:extent cx="615315" cy="676275"/>
          <wp:effectExtent l="0" t="0" r="0" b="9525"/>
          <wp:wrapNone/>
          <wp:docPr id="32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 naciona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15315" cy="6762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13C1D"/>
    <w:multiLevelType w:val="hybridMultilevel"/>
    <w:tmpl w:val="B43CD66E"/>
    <w:lvl w:ilvl="0" w:tplc="54AA88E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9632B42"/>
    <w:multiLevelType w:val="multilevel"/>
    <w:tmpl w:val="9FAAC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2C54AA"/>
    <w:multiLevelType w:val="multilevel"/>
    <w:tmpl w:val="6CC658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EEBDFD8"/>
    <w:multiLevelType w:val="singleLevel"/>
    <w:tmpl w:val="2EEBDFD8"/>
    <w:lvl w:ilvl="0">
      <w:start w:val="41"/>
      <w:numFmt w:val="decimal"/>
      <w:suff w:val="space"/>
      <w:lvlText w:val="%1."/>
      <w:lvlJc w:val="left"/>
    </w:lvl>
  </w:abstractNum>
  <w:abstractNum w:abstractNumId="4" w15:restartNumberingAfterBreak="0">
    <w:nsid w:val="444C5963"/>
    <w:multiLevelType w:val="multilevel"/>
    <w:tmpl w:val="444C5963"/>
    <w:lvl w:ilvl="0">
      <w:start w:val="2"/>
      <w:numFmt w:val="bullet"/>
      <w:lvlText w:val="-"/>
      <w:lvlJc w:val="left"/>
      <w:pPr>
        <w:ind w:left="720" w:hanging="360"/>
      </w:pPr>
      <w:rPr>
        <w:rFonts w:ascii="Calibri" w:eastAsiaTheme="minorHAnsi" w:hAnsi="Calibri"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51A56102"/>
    <w:multiLevelType w:val="hybridMultilevel"/>
    <w:tmpl w:val="957E98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60D"/>
    <w:rsid w:val="00024745"/>
    <w:rsid w:val="00072D8E"/>
    <w:rsid w:val="00084C4D"/>
    <w:rsid w:val="00132485"/>
    <w:rsid w:val="001A6F38"/>
    <w:rsid w:val="001D27B4"/>
    <w:rsid w:val="002979DB"/>
    <w:rsid w:val="002E15FA"/>
    <w:rsid w:val="002F225F"/>
    <w:rsid w:val="003A5391"/>
    <w:rsid w:val="004254A7"/>
    <w:rsid w:val="0058589E"/>
    <w:rsid w:val="0069133D"/>
    <w:rsid w:val="00931371"/>
    <w:rsid w:val="009B4B51"/>
    <w:rsid w:val="009C19D9"/>
    <w:rsid w:val="009D7A42"/>
    <w:rsid w:val="00AB2249"/>
    <w:rsid w:val="00B12CCE"/>
    <w:rsid w:val="00CE760D"/>
    <w:rsid w:val="00DC6704"/>
    <w:rsid w:val="00E64181"/>
    <w:rsid w:val="00FB6C5A"/>
    <w:rsid w:val="00FE7EBE"/>
    <w:rsid w:val="00FF2E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39CECF"/>
  <w15:docId w15:val="{99B9A974-28D2-4473-A644-46B103A7D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589E"/>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225F"/>
    <w:pPr>
      <w:tabs>
        <w:tab w:val="center" w:pos="4252"/>
        <w:tab w:val="right" w:pos="8504"/>
      </w:tabs>
    </w:pPr>
  </w:style>
  <w:style w:type="character" w:customStyle="1" w:styleId="EncabezadoCar">
    <w:name w:val="Encabezado Car"/>
    <w:basedOn w:val="Fuentedeprrafopredeter"/>
    <w:link w:val="Encabezado"/>
    <w:uiPriority w:val="99"/>
    <w:rsid w:val="002F225F"/>
  </w:style>
  <w:style w:type="paragraph" w:styleId="Piedepgina">
    <w:name w:val="footer"/>
    <w:basedOn w:val="Normal"/>
    <w:link w:val="PiedepginaCar"/>
    <w:uiPriority w:val="99"/>
    <w:unhideWhenUsed/>
    <w:rsid w:val="002F225F"/>
    <w:pPr>
      <w:tabs>
        <w:tab w:val="center" w:pos="4252"/>
        <w:tab w:val="right" w:pos="8504"/>
      </w:tabs>
    </w:pPr>
  </w:style>
  <w:style w:type="character" w:customStyle="1" w:styleId="PiedepginaCar">
    <w:name w:val="Pie de página Car"/>
    <w:basedOn w:val="Fuentedeprrafopredeter"/>
    <w:link w:val="Piedepgina"/>
    <w:uiPriority w:val="99"/>
    <w:rsid w:val="002F225F"/>
  </w:style>
  <w:style w:type="paragraph" w:styleId="Textodeglobo">
    <w:name w:val="Balloon Text"/>
    <w:basedOn w:val="Normal"/>
    <w:link w:val="TextodegloboCar"/>
    <w:uiPriority w:val="99"/>
    <w:semiHidden/>
    <w:unhideWhenUsed/>
    <w:rsid w:val="002F225F"/>
    <w:rPr>
      <w:rFonts w:ascii="Tahoma" w:hAnsi="Tahoma" w:cs="Tahoma"/>
      <w:sz w:val="16"/>
      <w:szCs w:val="16"/>
    </w:rPr>
  </w:style>
  <w:style w:type="character" w:customStyle="1" w:styleId="TextodegloboCar">
    <w:name w:val="Texto de globo Car"/>
    <w:basedOn w:val="Fuentedeprrafopredeter"/>
    <w:link w:val="Textodeglobo"/>
    <w:uiPriority w:val="99"/>
    <w:semiHidden/>
    <w:rsid w:val="002F225F"/>
    <w:rPr>
      <w:rFonts w:ascii="Tahoma" w:hAnsi="Tahoma" w:cs="Tahoma"/>
      <w:sz w:val="16"/>
      <w:szCs w:val="16"/>
    </w:rPr>
  </w:style>
  <w:style w:type="paragraph" w:styleId="Prrafodelista">
    <w:name w:val="List Paragraph"/>
    <w:basedOn w:val="Normal"/>
    <w:uiPriority w:val="34"/>
    <w:qFormat/>
    <w:rsid w:val="00FF2ED5"/>
    <w:pPr>
      <w:ind w:left="720"/>
      <w:contextualSpacing/>
    </w:pPr>
  </w:style>
  <w:style w:type="character" w:styleId="Refdecomentario">
    <w:name w:val="annotation reference"/>
    <w:basedOn w:val="Fuentedeprrafopredeter"/>
    <w:uiPriority w:val="99"/>
    <w:semiHidden/>
    <w:unhideWhenUsed/>
    <w:rsid w:val="00FF2ED5"/>
    <w:rPr>
      <w:sz w:val="16"/>
      <w:szCs w:val="16"/>
    </w:rPr>
  </w:style>
  <w:style w:type="paragraph" w:styleId="Textocomentario">
    <w:name w:val="annotation text"/>
    <w:basedOn w:val="Normal"/>
    <w:link w:val="TextocomentarioCar"/>
    <w:uiPriority w:val="99"/>
    <w:semiHidden/>
    <w:unhideWhenUsed/>
    <w:rsid w:val="00FF2ED5"/>
    <w:rPr>
      <w:sz w:val="20"/>
      <w:szCs w:val="20"/>
    </w:rPr>
  </w:style>
  <w:style w:type="character" w:customStyle="1" w:styleId="TextocomentarioCar">
    <w:name w:val="Texto comentario Car"/>
    <w:basedOn w:val="Fuentedeprrafopredeter"/>
    <w:link w:val="Textocomentario"/>
    <w:uiPriority w:val="99"/>
    <w:semiHidden/>
    <w:rsid w:val="00FF2ED5"/>
    <w:rPr>
      <w:sz w:val="20"/>
      <w:szCs w:val="20"/>
    </w:rPr>
  </w:style>
  <w:style w:type="paragraph" w:styleId="Asuntodelcomentario">
    <w:name w:val="annotation subject"/>
    <w:basedOn w:val="Textocomentario"/>
    <w:next w:val="Textocomentario"/>
    <w:link w:val="AsuntodelcomentarioCar"/>
    <w:uiPriority w:val="99"/>
    <w:semiHidden/>
    <w:unhideWhenUsed/>
    <w:rsid w:val="00FF2ED5"/>
    <w:rPr>
      <w:b/>
      <w:bCs/>
    </w:rPr>
  </w:style>
  <w:style w:type="character" w:customStyle="1" w:styleId="AsuntodelcomentarioCar">
    <w:name w:val="Asunto del comentario Car"/>
    <w:basedOn w:val="TextocomentarioCar"/>
    <w:link w:val="Asuntodelcomentario"/>
    <w:uiPriority w:val="99"/>
    <w:semiHidden/>
    <w:rsid w:val="00FF2ED5"/>
    <w:rPr>
      <w:b/>
      <w:bCs/>
      <w:sz w:val="20"/>
      <w:szCs w:val="20"/>
    </w:rPr>
  </w:style>
  <w:style w:type="paragraph" w:customStyle="1" w:styleId="Normal1">
    <w:name w:val="Normal1"/>
    <w:rsid w:val="00FE7EBE"/>
    <w:pPr>
      <w:spacing w:after="0"/>
    </w:pPr>
    <w:rPr>
      <w:rFonts w:ascii="Arial" w:eastAsia="Arial" w:hAnsi="Arial" w:cs="Arial"/>
      <w:lang w:val="uz-Cyrl-UZ"/>
    </w:rPr>
  </w:style>
  <w:style w:type="paragraph" w:styleId="Textonotapie">
    <w:name w:val="footnote text"/>
    <w:basedOn w:val="Normal"/>
    <w:link w:val="TextonotapieCar"/>
    <w:uiPriority w:val="99"/>
    <w:semiHidden/>
    <w:unhideWhenUsed/>
    <w:rsid w:val="0058589E"/>
    <w:rPr>
      <w:sz w:val="20"/>
      <w:szCs w:val="20"/>
    </w:rPr>
  </w:style>
  <w:style w:type="character" w:customStyle="1" w:styleId="TextonotapieCar">
    <w:name w:val="Texto nota pie Car"/>
    <w:basedOn w:val="Fuentedeprrafopredeter"/>
    <w:link w:val="Textonotapie"/>
    <w:uiPriority w:val="99"/>
    <w:semiHidden/>
    <w:rsid w:val="0058589E"/>
    <w:rPr>
      <w:rFonts w:ascii="Times New Roman" w:eastAsia="Times New Roman" w:hAnsi="Times New Roman" w:cs="Times New Roman"/>
      <w:sz w:val="20"/>
      <w:szCs w:val="20"/>
      <w:lang w:eastAsia="es-ES"/>
    </w:rPr>
  </w:style>
  <w:style w:type="character" w:styleId="Refdenotaalpie">
    <w:name w:val="footnote reference"/>
    <w:uiPriority w:val="99"/>
    <w:semiHidden/>
    <w:unhideWhenUsed/>
    <w:rsid w:val="0058589E"/>
    <w:rPr>
      <w:vertAlign w:val="superscript"/>
    </w:rPr>
  </w:style>
  <w:style w:type="paragraph" w:styleId="HTMLconformatoprevio">
    <w:name w:val="HTML Preformatted"/>
    <w:basedOn w:val="Normal"/>
    <w:link w:val="HTMLconformatoprevioCar"/>
    <w:uiPriority w:val="99"/>
    <w:semiHidden/>
    <w:unhideWhenUsed/>
    <w:rsid w:val="00132485"/>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132485"/>
    <w:rPr>
      <w:rFonts w:ascii="Consolas" w:eastAsia="Times New Roman" w:hAnsi="Consolas" w:cs="Times New Roman"/>
      <w:sz w:val="20"/>
      <w:szCs w:val="20"/>
      <w:lang w:eastAsia="es-ES"/>
    </w:rPr>
  </w:style>
  <w:style w:type="character" w:styleId="Hipervnculo">
    <w:name w:val="Hyperlink"/>
    <w:basedOn w:val="Fuentedeprrafopredeter"/>
    <w:uiPriority w:val="99"/>
    <w:unhideWhenUsed/>
    <w:qFormat/>
    <w:rsid w:val="001324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impo.com.uy/bases/leyes/19293-2014" TargetMode="External"/><Relationship Id="rId13" Type="http://schemas.openxmlformats.org/officeDocument/2006/relationships/hyperlink" Target="https://www.impo.com.uy/bases/leyes/19747-2019" TargetMode="External"/><Relationship Id="rId3" Type="http://schemas.openxmlformats.org/officeDocument/2006/relationships/hyperlink" Target="https://www.gub.uy/institucion-nacional-derechos-humanos-uruguay/institucional/informacion-gestion/resoluciones/resolucion-n-755019-recomendaciones-fiscal-corte" TargetMode="External"/><Relationship Id="rId7" Type="http://schemas.openxmlformats.org/officeDocument/2006/relationships/hyperlink" Target="https://www.impo.com.uy/bases/leyes/19122-2013" TargetMode="External"/><Relationship Id="rId12" Type="http://schemas.openxmlformats.org/officeDocument/2006/relationships/hyperlink" Target="https://www.impo.com.uy/bases/leyes/19670-2018" TargetMode="External"/><Relationship Id="rId2" Type="http://schemas.openxmlformats.org/officeDocument/2006/relationships/hyperlink" Target="https://www.gub.uy/institucion-nacional-derechos-humanos-uruguay/comunicacion/noticias/compendio-resoluciones-inddhh-del-periodo-2012-2019" TargetMode="External"/><Relationship Id="rId1" Type="http://schemas.openxmlformats.org/officeDocument/2006/relationships/hyperlink" Target="http://miradordesca.uy/afrodescendientes/" TargetMode="External"/><Relationship Id="rId6" Type="http://schemas.openxmlformats.org/officeDocument/2006/relationships/hyperlink" Target="https://www.impo.com.uy/bases/leyes/17817-2004" TargetMode="External"/><Relationship Id="rId11" Type="http://schemas.openxmlformats.org/officeDocument/2006/relationships/hyperlink" Target="https://www.impo.com.uy/bases/leyes/19643-2018" TargetMode="External"/><Relationship Id="rId5" Type="http://schemas.openxmlformats.org/officeDocument/2006/relationships/hyperlink" Target="https://www.impo.com.uy/bases/leyes-originales/16048-1989" TargetMode="External"/><Relationship Id="rId15" Type="http://schemas.openxmlformats.org/officeDocument/2006/relationships/hyperlink" Target="https://www.impo.com.uy/bases/leyes/20075-2022" TargetMode="External"/><Relationship Id="rId10" Type="http://schemas.openxmlformats.org/officeDocument/2006/relationships/hyperlink" Target="https://www.impo.com.uy/bases/leyes/19580-2017" TargetMode="External"/><Relationship Id="rId4" Type="http://schemas.openxmlformats.org/officeDocument/2006/relationships/hyperlink" Target="https://www.gub.uy/ministerio-desarrollo-social/sites/ministerio-desarrollo-social/files/2019-05/Gu%C3%ADa%20para%20la%20transversalizaci%C3%B3n_04.04%20%282%29.pdf" TargetMode="External"/><Relationship Id="rId9" Type="http://schemas.openxmlformats.org/officeDocument/2006/relationships/hyperlink" Target="https://www.impo.com.uy/bases/leyes/19529-2017" TargetMode="External"/><Relationship Id="rId14" Type="http://schemas.openxmlformats.org/officeDocument/2006/relationships/hyperlink" Target="https://www.impo.com.uy/bases/leyes/19775-2019"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emf"/></Relationships>
</file>

<file path=word/_rels/settings.xml.rels><?xml version="1.0" encoding="UTF-8" standalone="yes"?>
<Relationships xmlns="http://schemas.openxmlformats.org/package/2006/relationships"><Relationship Id="rId1" Type="http://schemas.openxmlformats.org/officeDocument/2006/relationships/attachedTemplate" Target="file:///V:\Comun\Carpetas%20del%20&#192;rea%20de%20Comunicaci&#243;n\Papeleria\formularios%20digitales%20de%20oficina\plantilla%20word%20A4.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word A4</Template>
  <TotalTime>4</TotalTime>
  <Pages>27</Pages>
  <Words>9415</Words>
  <Characters>51787</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Loitey</dc:creator>
  <cp:lastModifiedBy>Ana Laura Fernandez</cp:lastModifiedBy>
  <cp:revision>5</cp:revision>
  <cp:lastPrinted>2023-07-12T20:54:00Z</cp:lastPrinted>
  <dcterms:created xsi:type="dcterms:W3CDTF">2023-07-12T20:50:00Z</dcterms:created>
  <dcterms:modified xsi:type="dcterms:W3CDTF">2023-07-12T20:56:00Z</dcterms:modified>
</cp:coreProperties>
</file>