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AECF9" w14:textId="77777777" w:rsidR="00B92901" w:rsidRDefault="00074907">
      <w:pPr>
        <w:spacing w:after="280"/>
        <w:jc w:val="center"/>
        <w:rPr>
          <w:rFonts w:ascii="Arial" w:eastAsia="Arial" w:hAnsi="Arial" w:cs="Arial"/>
          <w:b/>
          <w:sz w:val="36"/>
          <w:szCs w:val="36"/>
        </w:rPr>
      </w:pPr>
      <w:bookmarkStart w:id="0" w:name="_GoBack"/>
      <w:bookmarkEnd w:id="0"/>
      <w:r>
        <w:rPr>
          <w:rFonts w:ascii="Arial" w:eastAsia="Arial" w:hAnsi="Arial" w:cs="Arial"/>
          <w:noProof/>
          <w:color w:val="000000"/>
          <w:sz w:val="20"/>
          <w:szCs w:val="20"/>
          <w:lang w:val="en-GB" w:eastAsia="en-GB"/>
        </w:rPr>
        <w:drawing>
          <wp:inline distT="0" distB="0" distL="0" distR="0" wp14:anchorId="378F3EE4" wp14:editId="0D6C710C">
            <wp:extent cx="3658964" cy="1600945"/>
            <wp:effectExtent l="0" t="0" r="0" b="0"/>
            <wp:docPr id="2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3658964" cy="1600945"/>
                    </a:xfrm>
                    <a:prstGeom prst="rect">
                      <a:avLst/>
                    </a:prstGeom>
                    <a:ln/>
                  </pic:spPr>
                </pic:pic>
              </a:graphicData>
            </a:graphic>
          </wp:inline>
        </w:drawing>
      </w:r>
    </w:p>
    <w:p w14:paraId="5BC1D463" w14:textId="77777777" w:rsidR="00B92901" w:rsidRDefault="00074907">
      <w:pPr>
        <w:spacing w:before="280" w:after="280"/>
        <w:jc w:val="center"/>
        <w:rPr>
          <w:rFonts w:ascii="Trebuchet MS" w:eastAsia="Trebuchet MS" w:hAnsi="Trebuchet MS" w:cs="Trebuchet MS"/>
          <w:b/>
          <w:sz w:val="48"/>
          <w:szCs w:val="48"/>
        </w:rPr>
      </w:pPr>
      <w:r>
        <w:rPr>
          <w:rFonts w:ascii="Trebuchet MS" w:eastAsia="Trebuchet MS" w:hAnsi="Trebuchet MS" w:cs="Trebuchet MS"/>
          <w:b/>
          <w:sz w:val="32"/>
          <w:szCs w:val="32"/>
        </w:rPr>
        <w:t>THEMATIC REPORT ON ARTICLE 16, MUSLIM FAMILY LAW AND MUSLIM WOMEN’S RIGHTS IN</w:t>
      </w:r>
      <w:r>
        <w:rPr>
          <w:rFonts w:ascii="Trebuchet MS" w:eastAsia="Trebuchet MS" w:hAnsi="Trebuchet MS" w:cs="Trebuchet MS"/>
          <w:b/>
          <w:sz w:val="48"/>
          <w:szCs w:val="48"/>
        </w:rPr>
        <w:t xml:space="preserve"> </w:t>
      </w:r>
    </w:p>
    <w:p w14:paraId="35FDC231" w14:textId="77777777" w:rsidR="00B92901" w:rsidRDefault="00074907">
      <w:pPr>
        <w:spacing w:before="280" w:after="280"/>
        <w:jc w:val="center"/>
        <w:rPr>
          <w:rFonts w:ascii="Trebuchet MS" w:eastAsia="Trebuchet MS" w:hAnsi="Trebuchet MS" w:cs="Trebuchet MS"/>
          <w:b/>
          <w:sz w:val="36"/>
          <w:szCs w:val="36"/>
        </w:rPr>
      </w:pPr>
      <w:r>
        <w:rPr>
          <w:rFonts w:ascii="Trebuchet MS" w:eastAsia="Trebuchet MS" w:hAnsi="Trebuchet MS" w:cs="Trebuchet MS"/>
          <w:b/>
          <w:sz w:val="36"/>
          <w:szCs w:val="36"/>
        </w:rPr>
        <w:t>Afghanistan</w:t>
      </w:r>
    </w:p>
    <w:p w14:paraId="630F9EAD" w14:textId="77777777" w:rsidR="00B92901" w:rsidRDefault="00074907">
      <w:pPr>
        <w:tabs>
          <w:tab w:val="left" w:pos="5532"/>
        </w:tabs>
        <w:rPr>
          <w:rFonts w:ascii="Trebuchet MS" w:eastAsia="Trebuchet MS" w:hAnsi="Trebuchet MS" w:cs="Trebuchet MS"/>
          <w:b/>
          <w:sz w:val="28"/>
          <w:szCs w:val="28"/>
        </w:rPr>
      </w:pPr>
      <w:r>
        <w:rPr>
          <w:rFonts w:ascii="Trebuchet MS" w:eastAsia="Trebuchet MS" w:hAnsi="Trebuchet MS" w:cs="Trebuchet MS"/>
          <w:b/>
          <w:sz w:val="28"/>
          <w:szCs w:val="28"/>
        </w:rPr>
        <w:tab/>
      </w:r>
    </w:p>
    <w:p w14:paraId="69473A9F" w14:textId="77777777" w:rsidR="00B92901" w:rsidRDefault="00B92901">
      <w:pPr>
        <w:tabs>
          <w:tab w:val="left" w:pos="5532"/>
        </w:tabs>
        <w:rPr>
          <w:rFonts w:ascii="Trebuchet MS" w:eastAsia="Trebuchet MS" w:hAnsi="Trebuchet MS" w:cs="Trebuchet MS"/>
          <w:b/>
          <w:sz w:val="28"/>
          <w:szCs w:val="28"/>
        </w:rPr>
      </w:pPr>
    </w:p>
    <w:p w14:paraId="6CA0D58D" w14:textId="77777777" w:rsidR="00B92901" w:rsidRDefault="00B92901">
      <w:pPr>
        <w:tabs>
          <w:tab w:val="left" w:pos="5532"/>
        </w:tabs>
        <w:rPr>
          <w:rFonts w:ascii="Trebuchet MS" w:eastAsia="Trebuchet MS" w:hAnsi="Trebuchet MS" w:cs="Trebuchet MS"/>
          <w:b/>
          <w:sz w:val="28"/>
          <w:szCs w:val="28"/>
        </w:rPr>
      </w:pPr>
    </w:p>
    <w:p w14:paraId="712D82B9" w14:textId="77777777" w:rsidR="00B92901" w:rsidRDefault="00074907">
      <w:pPr>
        <w:jc w:val="center"/>
        <w:rPr>
          <w:rFonts w:ascii="Trebuchet MS" w:eastAsia="Trebuchet MS" w:hAnsi="Trebuchet MS" w:cs="Trebuchet MS"/>
          <w:b/>
          <w:sz w:val="28"/>
          <w:szCs w:val="28"/>
        </w:rPr>
      </w:pPr>
      <w:r>
        <w:rPr>
          <w:rFonts w:ascii="Trebuchet MS" w:eastAsia="Trebuchet MS" w:hAnsi="Trebuchet MS" w:cs="Trebuchet MS"/>
          <w:b/>
          <w:sz w:val="28"/>
          <w:szCs w:val="28"/>
        </w:rPr>
        <w:t>75th CEDAW Session</w:t>
      </w:r>
    </w:p>
    <w:p w14:paraId="79FCE0D3" w14:textId="77777777" w:rsidR="00B92901" w:rsidRDefault="00074907">
      <w:pPr>
        <w:jc w:val="center"/>
        <w:rPr>
          <w:rFonts w:ascii="Trebuchet MS" w:eastAsia="Trebuchet MS" w:hAnsi="Trebuchet MS" w:cs="Trebuchet MS"/>
          <w:b/>
          <w:sz w:val="28"/>
          <w:szCs w:val="28"/>
        </w:rPr>
      </w:pPr>
      <w:r>
        <w:rPr>
          <w:rFonts w:ascii="Trebuchet MS" w:eastAsia="Trebuchet MS" w:hAnsi="Trebuchet MS" w:cs="Trebuchet MS"/>
          <w:b/>
          <w:sz w:val="28"/>
          <w:szCs w:val="28"/>
        </w:rPr>
        <w:t>Geneva, Switzerland</w:t>
      </w:r>
    </w:p>
    <w:p w14:paraId="7549F4F6" w14:textId="77777777" w:rsidR="00B92901" w:rsidRDefault="00074907">
      <w:pPr>
        <w:jc w:val="center"/>
        <w:rPr>
          <w:rFonts w:ascii="Trebuchet MS" w:eastAsia="Trebuchet MS" w:hAnsi="Trebuchet MS" w:cs="Trebuchet MS"/>
          <w:b/>
          <w:sz w:val="28"/>
          <w:szCs w:val="28"/>
        </w:rPr>
      </w:pPr>
      <w:r>
        <w:rPr>
          <w:rFonts w:ascii="Trebuchet MS" w:eastAsia="Trebuchet MS" w:hAnsi="Trebuchet MS" w:cs="Trebuchet MS"/>
          <w:b/>
          <w:sz w:val="28"/>
          <w:szCs w:val="28"/>
        </w:rPr>
        <w:t>February 2020</w:t>
      </w:r>
    </w:p>
    <w:p w14:paraId="31477A61" w14:textId="77777777" w:rsidR="00B92901" w:rsidRDefault="00B92901">
      <w:pPr>
        <w:spacing w:before="280" w:after="280"/>
        <w:jc w:val="center"/>
        <w:rPr>
          <w:rFonts w:ascii="Arial" w:eastAsia="Arial" w:hAnsi="Arial" w:cs="Arial"/>
          <w:b/>
        </w:rPr>
      </w:pPr>
    </w:p>
    <w:p w14:paraId="1E2E9C34" w14:textId="77777777" w:rsidR="00B92901" w:rsidRDefault="00B92901">
      <w:pPr>
        <w:spacing w:before="280" w:after="280"/>
        <w:jc w:val="center"/>
        <w:rPr>
          <w:rFonts w:ascii="Arial" w:eastAsia="Arial" w:hAnsi="Arial" w:cs="Arial"/>
          <w:b/>
        </w:rPr>
      </w:pPr>
    </w:p>
    <w:p w14:paraId="7D2B3CDF" w14:textId="77777777" w:rsidR="00B92901" w:rsidRDefault="00074907">
      <w:pPr>
        <w:jc w:val="center"/>
        <w:rPr>
          <w:rFonts w:ascii="Trebuchet MS" w:eastAsia="Trebuchet MS" w:hAnsi="Trebuchet MS" w:cs="Trebuchet MS"/>
          <w:b/>
          <w:sz w:val="28"/>
          <w:szCs w:val="28"/>
        </w:rPr>
      </w:pPr>
      <w:r>
        <w:rPr>
          <w:rFonts w:ascii="Trebuchet MS" w:eastAsia="Trebuchet MS" w:hAnsi="Trebuchet MS" w:cs="Trebuchet MS"/>
          <w:b/>
          <w:sz w:val="28"/>
          <w:szCs w:val="28"/>
        </w:rPr>
        <w:t>Musawah</w:t>
      </w:r>
    </w:p>
    <w:p w14:paraId="7ECB29E0" w14:textId="77777777" w:rsidR="00B92901" w:rsidRDefault="00074907">
      <w:pPr>
        <w:jc w:val="center"/>
        <w:rPr>
          <w:rFonts w:ascii="Trebuchet MS" w:eastAsia="Trebuchet MS" w:hAnsi="Trebuchet MS" w:cs="Trebuchet MS"/>
        </w:rPr>
      </w:pPr>
      <w:r>
        <w:rPr>
          <w:rFonts w:ascii="Trebuchet MS" w:eastAsia="Trebuchet MS" w:hAnsi="Trebuchet MS" w:cs="Trebuchet MS"/>
        </w:rPr>
        <w:t>15 Jalan Limau Purut, 59000 Kuala Lumpur, Malaysia</w:t>
      </w:r>
      <w:r>
        <w:rPr>
          <w:rFonts w:ascii="Trebuchet MS" w:eastAsia="Trebuchet MS" w:hAnsi="Trebuchet MS" w:cs="Trebuchet MS"/>
        </w:rPr>
        <w:br/>
        <w:t>Tel: </w:t>
      </w:r>
      <w:hyperlink r:id="rId10">
        <w:r>
          <w:rPr>
            <w:rFonts w:ascii="Trebuchet MS" w:eastAsia="Trebuchet MS" w:hAnsi="Trebuchet MS" w:cs="Trebuchet MS"/>
          </w:rPr>
          <w:t>+603 2083 0202</w:t>
        </w:r>
      </w:hyperlink>
      <w:r>
        <w:rPr>
          <w:rFonts w:ascii="Trebuchet MS" w:eastAsia="Trebuchet MS" w:hAnsi="Trebuchet MS" w:cs="Trebuchet MS"/>
        </w:rPr>
        <w:t>Fax: </w:t>
      </w:r>
      <w:hyperlink r:id="rId11">
        <w:r>
          <w:rPr>
            <w:rFonts w:ascii="Trebuchet MS" w:eastAsia="Trebuchet MS" w:hAnsi="Trebuchet MS" w:cs="Trebuchet MS"/>
          </w:rPr>
          <w:t>+603 2202 0303</w:t>
        </w:r>
      </w:hyperlink>
      <w:r>
        <w:rPr>
          <w:rFonts w:ascii="Trebuchet MS" w:eastAsia="Trebuchet MS" w:hAnsi="Trebuchet MS" w:cs="Trebuchet MS"/>
        </w:rPr>
        <w:br/>
        <w:t xml:space="preserve">Email: </w:t>
      </w:r>
      <w:hyperlink r:id="rId12">
        <w:r>
          <w:rPr>
            <w:rFonts w:ascii="Trebuchet MS" w:eastAsia="Trebuchet MS" w:hAnsi="Trebuchet MS" w:cs="Trebuchet MS"/>
          </w:rPr>
          <w:t>musawah@musawah.org</w:t>
        </w:r>
      </w:hyperlink>
    </w:p>
    <w:p w14:paraId="531261BF" w14:textId="77777777" w:rsidR="00B92901" w:rsidRDefault="00074907">
      <w:pPr>
        <w:jc w:val="center"/>
        <w:rPr>
          <w:rFonts w:ascii="Trebuchet MS" w:eastAsia="Trebuchet MS" w:hAnsi="Trebuchet MS" w:cs="Trebuchet MS"/>
          <w:b/>
        </w:rPr>
      </w:pPr>
      <w:r>
        <w:rPr>
          <w:rFonts w:ascii="Trebuchet MS" w:eastAsia="Trebuchet MS" w:hAnsi="Trebuchet MS" w:cs="Trebuchet MS"/>
          <w:b/>
        </w:rPr>
        <w:t xml:space="preserve">Website: </w:t>
      </w:r>
      <w:hyperlink r:id="rId13">
        <w:r>
          <w:rPr>
            <w:rFonts w:ascii="Trebuchet MS" w:eastAsia="Trebuchet MS" w:hAnsi="Trebuchet MS" w:cs="Trebuchet MS"/>
            <w:b/>
          </w:rPr>
          <w:t>www.musawah.org</w:t>
        </w:r>
      </w:hyperlink>
    </w:p>
    <w:p w14:paraId="033CC178" w14:textId="77777777" w:rsidR="00B92901" w:rsidRDefault="00B92901">
      <w:pPr>
        <w:spacing w:before="280" w:after="280"/>
        <w:jc w:val="center"/>
        <w:rPr>
          <w:rFonts w:ascii="Arial" w:eastAsia="Arial" w:hAnsi="Arial" w:cs="Arial"/>
          <w:b/>
        </w:rPr>
      </w:pPr>
    </w:p>
    <w:p w14:paraId="4CD6CD58" w14:textId="77777777" w:rsidR="00B92901" w:rsidRDefault="00B92901">
      <w:pPr>
        <w:rPr>
          <w:rFonts w:ascii="Arial" w:eastAsia="Arial" w:hAnsi="Arial" w:cs="Arial"/>
          <w:b/>
        </w:rPr>
      </w:pPr>
    </w:p>
    <w:p w14:paraId="67907E03" w14:textId="77777777" w:rsidR="00B92901" w:rsidRDefault="00B92901">
      <w:pPr>
        <w:rPr>
          <w:rFonts w:ascii="Arial" w:eastAsia="Arial" w:hAnsi="Arial" w:cs="Arial"/>
          <w:b/>
        </w:rPr>
      </w:pPr>
    </w:p>
    <w:p w14:paraId="2D3F3027" w14:textId="77777777" w:rsidR="00B92901" w:rsidRDefault="00B92901">
      <w:pPr>
        <w:rPr>
          <w:rFonts w:ascii="Arial" w:eastAsia="Arial" w:hAnsi="Arial" w:cs="Arial"/>
          <w:b/>
        </w:rPr>
      </w:pPr>
    </w:p>
    <w:p w14:paraId="6C2713B1" w14:textId="77777777" w:rsidR="00B92901" w:rsidRDefault="00B92901">
      <w:pPr>
        <w:rPr>
          <w:rFonts w:ascii="Arial" w:eastAsia="Arial" w:hAnsi="Arial" w:cs="Arial"/>
          <w:b/>
        </w:rPr>
      </w:pPr>
    </w:p>
    <w:p w14:paraId="322B711A" w14:textId="77777777" w:rsidR="00B92901" w:rsidRDefault="00B92901">
      <w:pPr>
        <w:rPr>
          <w:rFonts w:ascii="Arial" w:eastAsia="Arial" w:hAnsi="Arial" w:cs="Arial"/>
          <w:b/>
        </w:rPr>
      </w:pPr>
    </w:p>
    <w:p w14:paraId="479EB967" w14:textId="77777777" w:rsidR="00B92901" w:rsidRDefault="00B92901">
      <w:pPr>
        <w:rPr>
          <w:rFonts w:ascii="Arial" w:eastAsia="Arial" w:hAnsi="Arial" w:cs="Arial"/>
          <w:b/>
        </w:rPr>
      </w:pPr>
    </w:p>
    <w:p w14:paraId="2F3B7EC8" w14:textId="77777777" w:rsidR="00B92901" w:rsidRDefault="00B92901">
      <w:pPr>
        <w:rPr>
          <w:rFonts w:ascii="Arial" w:eastAsia="Arial" w:hAnsi="Arial" w:cs="Arial"/>
          <w:b/>
        </w:rPr>
      </w:pPr>
    </w:p>
    <w:p w14:paraId="187B9ABF" w14:textId="77777777" w:rsidR="00B92901" w:rsidRDefault="00B92901">
      <w:pPr>
        <w:rPr>
          <w:rFonts w:ascii="Arial" w:eastAsia="Arial" w:hAnsi="Arial" w:cs="Arial"/>
          <w:b/>
        </w:rPr>
      </w:pPr>
    </w:p>
    <w:p w14:paraId="58EC4DED" w14:textId="77777777" w:rsidR="00B92901" w:rsidRDefault="00B92901">
      <w:pPr>
        <w:rPr>
          <w:rFonts w:ascii="Arial" w:eastAsia="Arial" w:hAnsi="Arial" w:cs="Arial"/>
          <w:b/>
        </w:rPr>
      </w:pPr>
    </w:p>
    <w:p w14:paraId="7C76744E" w14:textId="77777777" w:rsidR="00B92901" w:rsidRDefault="00B92901">
      <w:pPr>
        <w:rPr>
          <w:rFonts w:ascii="Arial" w:eastAsia="Arial" w:hAnsi="Arial" w:cs="Arial"/>
          <w:b/>
        </w:rPr>
      </w:pPr>
    </w:p>
    <w:p w14:paraId="6758D429" w14:textId="77777777" w:rsidR="00B92901" w:rsidRDefault="00B92901">
      <w:pPr>
        <w:rPr>
          <w:rFonts w:ascii="Arial" w:eastAsia="Arial" w:hAnsi="Arial" w:cs="Arial"/>
          <w:b/>
        </w:rPr>
      </w:pPr>
    </w:p>
    <w:p w14:paraId="55D0249A" w14:textId="77777777" w:rsidR="00B92901" w:rsidRDefault="00B92901">
      <w:pPr>
        <w:rPr>
          <w:rFonts w:ascii="Arial" w:eastAsia="Arial" w:hAnsi="Arial" w:cs="Arial"/>
          <w:b/>
        </w:rPr>
      </w:pPr>
    </w:p>
    <w:p w14:paraId="2D18FD84" w14:textId="77777777" w:rsidR="00B92901" w:rsidRDefault="00B92901">
      <w:pPr>
        <w:rPr>
          <w:rFonts w:ascii="Arial" w:eastAsia="Arial" w:hAnsi="Arial" w:cs="Arial"/>
          <w:b/>
        </w:rPr>
      </w:pPr>
    </w:p>
    <w:p w14:paraId="32C27510" w14:textId="77777777" w:rsidR="00B92901" w:rsidRDefault="00B92901">
      <w:pPr>
        <w:rPr>
          <w:rFonts w:ascii="Arial" w:eastAsia="Arial" w:hAnsi="Arial" w:cs="Arial"/>
        </w:rPr>
      </w:pPr>
    </w:p>
    <w:p w14:paraId="6911C4EC" w14:textId="77777777" w:rsidR="00B92901" w:rsidRDefault="00B92901">
      <w:pPr>
        <w:rPr>
          <w:rFonts w:ascii="Arial" w:eastAsia="Arial" w:hAnsi="Arial" w:cs="Arial"/>
        </w:rPr>
      </w:pPr>
    </w:p>
    <w:p w14:paraId="69BC70F7" w14:textId="77777777" w:rsidR="00B92901" w:rsidRDefault="00B92901">
      <w:pPr>
        <w:rPr>
          <w:rFonts w:ascii="Arial" w:eastAsia="Arial" w:hAnsi="Arial" w:cs="Arial"/>
        </w:rPr>
      </w:pPr>
    </w:p>
    <w:p w14:paraId="7D46AEC2" w14:textId="77777777" w:rsidR="00B92901" w:rsidRDefault="00074907">
      <w:pPr>
        <w:pStyle w:val="Heading1"/>
        <w:rPr>
          <w:color w:val="FFFFFF"/>
        </w:rPr>
      </w:pPr>
      <w:bookmarkStart w:id="1" w:name="_heading=h.gjdgxs" w:colFirst="0" w:colLast="0"/>
      <w:bookmarkEnd w:id="1"/>
      <w:r>
        <w:rPr>
          <w:color w:val="FFFFFF"/>
        </w:rPr>
        <w:lastRenderedPageBreak/>
        <w:t>A. INTRODUCTION</w:t>
      </w:r>
      <w:r>
        <w:rPr>
          <w:color w:val="FFFFFF"/>
        </w:rPr>
        <w:tab/>
      </w:r>
      <w:r>
        <w:rPr>
          <w:color w:val="FFFFFF"/>
        </w:rPr>
        <w:tab/>
      </w:r>
    </w:p>
    <w:p w14:paraId="1BAB526C" w14:textId="77777777" w:rsidR="00B92901" w:rsidRDefault="00B92901"/>
    <w:p w14:paraId="1685BC26" w14:textId="77777777" w:rsidR="00B92901" w:rsidRDefault="00074907">
      <w:pPr>
        <w:rPr>
          <w:rFonts w:ascii="Arial" w:eastAsia="Arial" w:hAnsi="Arial" w:cs="Arial"/>
          <w:sz w:val="20"/>
          <w:szCs w:val="20"/>
        </w:rPr>
      </w:pPr>
      <w:bookmarkStart w:id="2" w:name="_heading=h.30j0zll" w:colFirst="0" w:colLast="0"/>
      <w:bookmarkEnd w:id="2"/>
      <w:r>
        <w:rPr>
          <w:rFonts w:ascii="Arial" w:eastAsia="Arial" w:hAnsi="Arial" w:cs="Arial"/>
          <w:sz w:val="20"/>
          <w:szCs w:val="20"/>
        </w:rPr>
        <w:t>Musawah,</w:t>
      </w:r>
      <w:r>
        <w:rPr>
          <w:rFonts w:ascii="Arial" w:eastAsia="Arial" w:hAnsi="Arial" w:cs="Arial"/>
          <w:sz w:val="20"/>
          <w:szCs w:val="20"/>
          <w:vertAlign w:val="superscript"/>
        </w:rPr>
        <w:t xml:space="preserve"> </w:t>
      </w:r>
      <w:r>
        <w:rPr>
          <w:rFonts w:ascii="Arial" w:eastAsia="Arial" w:hAnsi="Arial" w:cs="Arial"/>
          <w:sz w:val="20"/>
          <w:szCs w:val="20"/>
        </w:rPr>
        <w:t>the global movement for equality and justice in the Muslim family, submits this</w:t>
      </w:r>
      <w:r>
        <w:rPr>
          <w:rFonts w:ascii="Arial" w:eastAsia="Arial" w:hAnsi="Arial" w:cs="Arial"/>
          <w:sz w:val="20"/>
          <w:szCs w:val="20"/>
          <w:vertAlign w:val="superscript"/>
        </w:rPr>
        <w:t xml:space="preserve"> </w:t>
      </w:r>
      <w:r>
        <w:rPr>
          <w:rFonts w:ascii="Arial" w:eastAsia="Arial" w:hAnsi="Arial" w:cs="Arial"/>
          <w:sz w:val="20"/>
          <w:szCs w:val="20"/>
        </w:rPr>
        <w:t>Thematic Report on Article 16</w:t>
      </w:r>
      <w:r>
        <w:rPr>
          <w:rFonts w:ascii="Arial" w:eastAsia="Arial" w:hAnsi="Arial" w:cs="Arial"/>
          <w:sz w:val="20"/>
          <w:szCs w:val="20"/>
          <w:vertAlign w:val="superscript"/>
        </w:rPr>
        <w:t xml:space="preserve"> </w:t>
      </w:r>
      <w:r>
        <w:rPr>
          <w:rFonts w:ascii="Arial" w:eastAsia="Arial" w:hAnsi="Arial" w:cs="Arial"/>
          <w:sz w:val="20"/>
          <w:szCs w:val="20"/>
        </w:rPr>
        <w:t>and related concerns for consideration by the CEDAW Committee in its review of the Government of Afghanistan, reporting before the 75</w:t>
      </w:r>
      <w:r>
        <w:rPr>
          <w:rFonts w:ascii="Arial" w:eastAsia="Arial" w:hAnsi="Arial" w:cs="Arial"/>
          <w:sz w:val="20"/>
          <w:szCs w:val="20"/>
          <w:vertAlign w:val="superscript"/>
        </w:rPr>
        <w:t>th</w:t>
      </w:r>
      <w:r>
        <w:rPr>
          <w:rFonts w:ascii="Arial" w:eastAsia="Arial" w:hAnsi="Arial" w:cs="Arial"/>
          <w:sz w:val="20"/>
          <w:szCs w:val="20"/>
        </w:rPr>
        <w:t xml:space="preserve"> CEDAW Session in February 2020. </w:t>
      </w:r>
    </w:p>
    <w:p w14:paraId="238FB926" w14:textId="3AE1C23A" w:rsidR="00B92901" w:rsidRDefault="00074907">
      <w:pPr>
        <w:rPr>
          <w:rFonts w:ascii="Arial" w:eastAsia="Arial" w:hAnsi="Arial" w:cs="Arial"/>
          <w:sz w:val="20"/>
          <w:szCs w:val="20"/>
        </w:rPr>
      </w:pPr>
      <w:r>
        <w:rPr>
          <w:rFonts w:ascii="Arial" w:eastAsia="Arial" w:hAnsi="Arial" w:cs="Arial"/>
          <w:sz w:val="20"/>
          <w:szCs w:val="20"/>
        </w:rPr>
        <w:t>In particular, this report examines Afghan laws and practices that enforce de jure and de facto discrimination against women in the following areas: discriminatory legal framework, child marriage, divorce rights, polygamy, inheritance and matrimonial assets</w:t>
      </w:r>
      <w:r w:rsidR="002B1571">
        <w:rPr>
          <w:rFonts w:ascii="Arial" w:eastAsia="Arial" w:hAnsi="Arial" w:cs="Arial"/>
          <w:sz w:val="20"/>
          <w:szCs w:val="20"/>
        </w:rPr>
        <w:t xml:space="preserve"> and guardianship of children</w:t>
      </w:r>
      <w:r>
        <w:rPr>
          <w:rFonts w:ascii="Arial" w:eastAsia="Arial" w:hAnsi="Arial" w:cs="Arial"/>
          <w:sz w:val="20"/>
          <w:szCs w:val="20"/>
        </w:rPr>
        <w:t xml:space="preserve">. </w:t>
      </w:r>
    </w:p>
    <w:p w14:paraId="5BBEBB3F" w14:textId="77777777" w:rsidR="00B92901" w:rsidRDefault="00B92901">
      <w:pPr>
        <w:rPr>
          <w:rFonts w:ascii="Arial" w:eastAsia="Arial" w:hAnsi="Arial" w:cs="Arial"/>
          <w:sz w:val="20"/>
          <w:szCs w:val="20"/>
        </w:rPr>
      </w:pPr>
    </w:p>
    <w:p w14:paraId="3F2254ED" w14:textId="4E5DD24B" w:rsidR="00B92901" w:rsidRDefault="00074907">
      <w:pPr>
        <w:rPr>
          <w:rFonts w:ascii="Arial" w:eastAsia="Arial" w:hAnsi="Arial" w:cs="Arial"/>
          <w:sz w:val="20"/>
          <w:szCs w:val="20"/>
        </w:rPr>
      </w:pPr>
      <w:r>
        <w:rPr>
          <w:rFonts w:ascii="Arial" w:eastAsia="Arial" w:hAnsi="Arial" w:cs="Arial"/>
          <w:sz w:val="20"/>
          <w:szCs w:val="20"/>
        </w:rPr>
        <w:t xml:space="preserve">We hope that the CEDAW Committee will utilize this report as a key resource during its Constructive engagement with the State party, and in follow-up activities on the Concluding Observations. Musawah would like to acknowledge the vital input and feedback from </w:t>
      </w:r>
      <w:r w:rsidR="0027662A">
        <w:rPr>
          <w:rFonts w:ascii="Arial" w:eastAsia="Arial" w:hAnsi="Arial" w:cs="Arial"/>
          <w:sz w:val="20"/>
          <w:szCs w:val="20"/>
        </w:rPr>
        <w:t>Afghan</w:t>
      </w:r>
      <w:r>
        <w:rPr>
          <w:rFonts w:ascii="Arial" w:eastAsia="Arial" w:hAnsi="Arial" w:cs="Arial"/>
          <w:sz w:val="20"/>
          <w:szCs w:val="20"/>
        </w:rPr>
        <w:t xml:space="preserve"> women’s rights a</w:t>
      </w:r>
      <w:r w:rsidR="0027662A">
        <w:rPr>
          <w:rFonts w:ascii="Arial" w:eastAsia="Arial" w:hAnsi="Arial" w:cs="Arial"/>
          <w:sz w:val="20"/>
          <w:szCs w:val="20"/>
        </w:rPr>
        <w:t>ctivists</w:t>
      </w:r>
      <w:r>
        <w:rPr>
          <w:rFonts w:ascii="Arial" w:eastAsia="Arial" w:hAnsi="Arial" w:cs="Arial"/>
          <w:sz w:val="20"/>
          <w:szCs w:val="20"/>
        </w:rPr>
        <w:t xml:space="preserve"> and </w:t>
      </w:r>
      <w:r w:rsidR="0027662A">
        <w:rPr>
          <w:rFonts w:ascii="Arial" w:eastAsia="Arial" w:hAnsi="Arial" w:cs="Arial"/>
          <w:sz w:val="20"/>
          <w:szCs w:val="20"/>
        </w:rPr>
        <w:t>issue experts</w:t>
      </w:r>
      <w:r>
        <w:rPr>
          <w:rFonts w:ascii="Arial" w:eastAsia="Arial" w:hAnsi="Arial" w:cs="Arial"/>
          <w:sz w:val="20"/>
          <w:szCs w:val="20"/>
        </w:rPr>
        <w:t xml:space="preserve"> into this report. </w:t>
      </w:r>
    </w:p>
    <w:p w14:paraId="2320D74D" w14:textId="77777777" w:rsidR="00B92901" w:rsidRDefault="00B92901">
      <w:pPr>
        <w:rPr>
          <w:rFonts w:ascii="Arial" w:eastAsia="Arial" w:hAnsi="Arial" w:cs="Arial"/>
        </w:rPr>
      </w:pPr>
    </w:p>
    <w:p w14:paraId="3DF05839" w14:textId="77777777" w:rsidR="00B92901" w:rsidRDefault="00B92901">
      <w:pPr>
        <w:rPr>
          <w:rFonts w:ascii="Arial" w:eastAsia="Arial" w:hAnsi="Arial" w:cs="Arial"/>
        </w:rPr>
      </w:pPr>
    </w:p>
    <w:p w14:paraId="487565D6" w14:textId="77777777" w:rsidR="00B92901" w:rsidRDefault="00074907">
      <w:pPr>
        <w:pStyle w:val="Heading1"/>
        <w:rPr>
          <w:color w:val="FFFFFF"/>
        </w:rPr>
      </w:pPr>
      <w:bookmarkStart w:id="3" w:name="_heading=h.1fob9te" w:colFirst="0" w:colLast="0"/>
      <w:bookmarkEnd w:id="3"/>
      <w:r>
        <w:rPr>
          <w:color w:val="FFFFFF"/>
        </w:rPr>
        <w:t>B. MUSLIM FAMILY LAWS IN AFGHANISTAN</w:t>
      </w:r>
    </w:p>
    <w:p w14:paraId="5AD0A87E" w14:textId="77777777" w:rsidR="00B92901" w:rsidRDefault="00B92901">
      <w:pPr>
        <w:rPr>
          <w:rFonts w:ascii="Arial" w:eastAsia="Arial" w:hAnsi="Arial" w:cs="Arial"/>
          <w:sz w:val="2"/>
          <w:szCs w:val="2"/>
        </w:rPr>
      </w:pPr>
    </w:p>
    <w:p w14:paraId="11DCDD3E" w14:textId="77777777" w:rsidR="00B92901" w:rsidRDefault="00B92901">
      <w:pPr>
        <w:widowControl w:val="0"/>
        <w:rPr>
          <w:rFonts w:ascii="Arial" w:eastAsia="Arial" w:hAnsi="Arial" w:cs="Arial"/>
          <w:sz w:val="20"/>
          <w:szCs w:val="20"/>
        </w:rPr>
      </w:pPr>
    </w:p>
    <w:p w14:paraId="6120437A" w14:textId="77777777" w:rsidR="00B92901" w:rsidRDefault="00074907">
      <w:pPr>
        <w:widowControl w:val="0"/>
        <w:rPr>
          <w:rFonts w:ascii="Arial" w:eastAsia="Arial" w:hAnsi="Arial" w:cs="Arial"/>
          <w:sz w:val="20"/>
          <w:szCs w:val="20"/>
        </w:rPr>
      </w:pPr>
      <w:r>
        <w:rPr>
          <w:rFonts w:ascii="Arial" w:eastAsia="Arial" w:hAnsi="Arial" w:cs="Arial"/>
          <w:sz w:val="20"/>
          <w:szCs w:val="20"/>
        </w:rPr>
        <w:t>Article 54 of the Constitution of Afghanistan states that the family is the fundamental pillar of the society, and shall be protected by the state. It commits the State to adopt necessary measures to attain the physical and spiritual health of the family, especially of the child and mother, upbringing of children, as well as the elimination of related traditions contrary to the principles of the sacred religion of Islam.</w:t>
      </w:r>
      <w:r>
        <w:rPr>
          <w:rFonts w:ascii="Arial" w:eastAsia="Arial" w:hAnsi="Arial" w:cs="Arial"/>
          <w:sz w:val="20"/>
          <w:szCs w:val="20"/>
          <w:vertAlign w:val="superscript"/>
        </w:rPr>
        <w:footnoteReference w:id="1"/>
      </w:r>
    </w:p>
    <w:p w14:paraId="2DC982C0" w14:textId="77777777" w:rsidR="00B92901" w:rsidRDefault="00B92901">
      <w:pPr>
        <w:widowControl w:val="0"/>
        <w:rPr>
          <w:rFonts w:ascii="Arial" w:eastAsia="Arial" w:hAnsi="Arial" w:cs="Arial"/>
          <w:sz w:val="20"/>
          <w:szCs w:val="20"/>
        </w:rPr>
      </w:pPr>
    </w:p>
    <w:p w14:paraId="26A9DB04" w14:textId="77777777" w:rsidR="00B92901" w:rsidRDefault="00074907">
      <w:pPr>
        <w:widowControl w:val="0"/>
        <w:rPr>
          <w:rFonts w:ascii="Arial" w:eastAsia="Arial" w:hAnsi="Arial" w:cs="Arial"/>
          <w:sz w:val="20"/>
          <w:szCs w:val="20"/>
        </w:rPr>
      </w:pPr>
      <w:r>
        <w:rPr>
          <w:rFonts w:ascii="Arial" w:eastAsia="Arial" w:hAnsi="Arial" w:cs="Arial"/>
          <w:sz w:val="20"/>
          <w:szCs w:val="20"/>
        </w:rPr>
        <w:t>Matters regarding marriage and family relations of the predominantly Muslim population in Afghanistan are mainly governed by the following codified laws:</w:t>
      </w:r>
    </w:p>
    <w:p w14:paraId="5D43E512" w14:textId="77777777" w:rsidR="00B92901" w:rsidRDefault="00B92901">
      <w:pPr>
        <w:widowControl w:val="0"/>
        <w:rPr>
          <w:rFonts w:ascii="Arial" w:eastAsia="Arial" w:hAnsi="Arial" w:cs="Arial"/>
          <w:sz w:val="20"/>
          <w:szCs w:val="20"/>
        </w:rPr>
      </w:pPr>
    </w:p>
    <w:p w14:paraId="10B7BB5C" w14:textId="77777777" w:rsidR="00B92901" w:rsidRDefault="00074907">
      <w:pPr>
        <w:widowControl w:val="0"/>
        <w:numPr>
          <w:ilvl w:val="0"/>
          <w:numId w:val="1"/>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b/>
          <w:color w:val="000000"/>
          <w:sz w:val="20"/>
          <w:szCs w:val="20"/>
        </w:rPr>
        <w:t>For the Sunni majority:</w:t>
      </w:r>
      <w:r>
        <w:rPr>
          <w:rFonts w:ascii="Arial" w:eastAsia="Arial" w:hAnsi="Arial" w:cs="Arial"/>
          <w:color w:val="000000"/>
          <w:sz w:val="20"/>
          <w:szCs w:val="20"/>
        </w:rPr>
        <w:t xml:space="preserve"> The Civil Code is the main codified law that governs matters relating to marriage and family relations.</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 xml:space="preserve"> Based on Article 1(2) of the Civil Code, in the absence of codified laws that sufficiently address a particular matter of personal status of Sunnis, generally, the rules of Hanafi jurisprudence (</w:t>
      </w:r>
      <w:r>
        <w:rPr>
          <w:rFonts w:ascii="Arial" w:eastAsia="Arial" w:hAnsi="Arial" w:cs="Arial"/>
          <w:i/>
          <w:color w:val="000000"/>
          <w:sz w:val="20"/>
          <w:szCs w:val="20"/>
        </w:rPr>
        <w:t>fiqh</w:t>
      </w:r>
      <w:r>
        <w:rPr>
          <w:rFonts w:ascii="Arial" w:eastAsia="Arial" w:hAnsi="Arial" w:cs="Arial"/>
          <w:color w:val="000000"/>
          <w:sz w:val="20"/>
          <w:szCs w:val="20"/>
        </w:rPr>
        <w:t>) apply;</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 xml:space="preserve"> and</w:t>
      </w:r>
    </w:p>
    <w:p w14:paraId="739B6766" w14:textId="77777777" w:rsidR="00B92901" w:rsidRDefault="00B92901">
      <w:pPr>
        <w:widowControl w:val="0"/>
        <w:pBdr>
          <w:top w:val="nil"/>
          <w:left w:val="nil"/>
          <w:bottom w:val="nil"/>
          <w:right w:val="nil"/>
          <w:between w:val="nil"/>
        </w:pBdr>
        <w:ind w:left="318" w:hanging="720"/>
        <w:rPr>
          <w:rFonts w:ascii="Arial" w:eastAsia="Arial" w:hAnsi="Arial" w:cs="Arial"/>
          <w:color w:val="000000"/>
          <w:sz w:val="20"/>
          <w:szCs w:val="20"/>
        </w:rPr>
      </w:pPr>
    </w:p>
    <w:p w14:paraId="2BDAAFFD" w14:textId="77777777" w:rsidR="00B92901" w:rsidRDefault="00074907">
      <w:pPr>
        <w:widowControl w:val="0"/>
        <w:numPr>
          <w:ilvl w:val="0"/>
          <w:numId w:val="1"/>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b/>
          <w:color w:val="000000"/>
          <w:sz w:val="20"/>
          <w:szCs w:val="20"/>
        </w:rPr>
        <w:t>For the Shia minority:</w:t>
      </w:r>
      <w:r>
        <w:rPr>
          <w:rFonts w:ascii="Arial" w:eastAsia="Arial" w:hAnsi="Arial" w:cs="Arial"/>
          <w:color w:val="000000"/>
          <w:sz w:val="20"/>
          <w:szCs w:val="20"/>
        </w:rPr>
        <w:t xml:space="preserve"> The Shiite Personal Status Law (SPSL) is the main codified law that governs matters relating to marriage and family relations.</w:t>
      </w:r>
      <w:r>
        <w:rPr>
          <w:rFonts w:ascii="Arial" w:eastAsia="Arial" w:hAnsi="Arial" w:cs="Arial"/>
          <w:color w:val="000000"/>
          <w:sz w:val="20"/>
          <w:szCs w:val="20"/>
          <w:vertAlign w:val="superscript"/>
        </w:rPr>
        <w:footnoteReference w:id="4"/>
      </w:r>
      <w:r>
        <w:rPr>
          <w:rFonts w:ascii="Arial" w:eastAsia="Arial" w:hAnsi="Arial" w:cs="Arial"/>
          <w:color w:val="000000"/>
          <w:sz w:val="20"/>
          <w:szCs w:val="20"/>
        </w:rPr>
        <w:t xml:space="preserve"> Based on Article 2(3) of the SPSL, in the absence of codified laws that sufficiently address a particular matter of personal status of Shias, generally, the rules of Jafari </w:t>
      </w:r>
      <w:r>
        <w:rPr>
          <w:rFonts w:ascii="Arial" w:eastAsia="Arial" w:hAnsi="Arial" w:cs="Arial"/>
          <w:i/>
          <w:color w:val="000000"/>
          <w:sz w:val="20"/>
          <w:szCs w:val="20"/>
        </w:rPr>
        <w:t xml:space="preserve">fiqh </w:t>
      </w:r>
      <w:r>
        <w:rPr>
          <w:rFonts w:ascii="Arial" w:eastAsia="Arial" w:hAnsi="Arial" w:cs="Arial"/>
          <w:color w:val="000000"/>
          <w:sz w:val="20"/>
          <w:szCs w:val="20"/>
        </w:rPr>
        <w:t>apply.</w:t>
      </w:r>
      <w:r>
        <w:rPr>
          <w:rFonts w:ascii="Arial" w:eastAsia="Arial" w:hAnsi="Arial" w:cs="Arial"/>
          <w:color w:val="000000"/>
          <w:sz w:val="20"/>
          <w:szCs w:val="20"/>
          <w:vertAlign w:val="superscript"/>
        </w:rPr>
        <w:footnoteReference w:id="5"/>
      </w:r>
    </w:p>
    <w:p w14:paraId="02FB0A00" w14:textId="77777777" w:rsidR="00B92901" w:rsidRDefault="00B92901">
      <w:pPr>
        <w:widowControl w:val="0"/>
        <w:rPr>
          <w:rFonts w:ascii="Arial" w:eastAsia="Arial" w:hAnsi="Arial" w:cs="Arial"/>
          <w:sz w:val="20"/>
          <w:szCs w:val="20"/>
        </w:rPr>
      </w:pPr>
    </w:p>
    <w:p w14:paraId="73BB5373" w14:textId="210F5B67" w:rsidR="00B92901" w:rsidRDefault="00B92901">
      <w:pPr>
        <w:widowControl w:val="0"/>
        <w:rPr>
          <w:rFonts w:ascii="Arial" w:eastAsia="Arial" w:hAnsi="Arial" w:cs="Arial"/>
          <w:sz w:val="20"/>
          <w:szCs w:val="20"/>
        </w:rPr>
      </w:pPr>
    </w:p>
    <w:p w14:paraId="65323351" w14:textId="51E78D68" w:rsidR="00E93600" w:rsidRDefault="00E93600">
      <w:pPr>
        <w:widowControl w:val="0"/>
        <w:rPr>
          <w:rFonts w:ascii="Arial" w:eastAsia="Arial" w:hAnsi="Arial" w:cs="Arial"/>
          <w:sz w:val="20"/>
          <w:szCs w:val="20"/>
        </w:rPr>
      </w:pPr>
    </w:p>
    <w:p w14:paraId="3B28A699" w14:textId="218C10ED" w:rsidR="00E93600" w:rsidRDefault="00E93600">
      <w:pPr>
        <w:widowControl w:val="0"/>
        <w:rPr>
          <w:rFonts w:ascii="Arial" w:eastAsia="Arial" w:hAnsi="Arial" w:cs="Arial"/>
          <w:sz w:val="20"/>
          <w:szCs w:val="20"/>
        </w:rPr>
      </w:pPr>
    </w:p>
    <w:p w14:paraId="157229AB" w14:textId="57B5493B" w:rsidR="00E93600" w:rsidRDefault="00E93600">
      <w:pPr>
        <w:widowControl w:val="0"/>
        <w:rPr>
          <w:rFonts w:ascii="Arial" w:eastAsia="Arial" w:hAnsi="Arial" w:cs="Arial"/>
          <w:sz w:val="20"/>
          <w:szCs w:val="20"/>
        </w:rPr>
      </w:pPr>
    </w:p>
    <w:p w14:paraId="60C73A8B" w14:textId="561DC5BB" w:rsidR="00E93600" w:rsidRDefault="00E93600">
      <w:pPr>
        <w:widowControl w:val="0"/>
        <w:rPr>
          <w:rFonts w:ascii="Arial" w:eastAsia="Arial" w:hAnsi="Arial" w:cs="Arial"/>
          <w:sz w:val="20"/>
          <w:szCs w:val="20"/>
        </w:rPr>
      </w:pPr>
    </w:p>
    <w:p w14:paraId="4F376B9A" w14:textId="1C27D687" w:rsidR="00E93600" w:rsidRDefault="00E93600">
      <w:pPr>
        <w:widowControl w:val="0"/>
        <w:rPr>
          <w:rFonts w:ascii="Arial" w:eastAsia="Arial" w:hAnsi="Arial" w:cs="Arial"/>
          <w:sz w:val="20"/>
          <w:szCs w:val="20"/>
        </w:rPr>
      </w:pPr>
    </w:p>
    <w:p w14:paraId="3F5DBBE1" w14:textId="09FD817B" w:rsidR="00E93600" w:rsidRDefault="00E93600">
      <w:pPr>
        <w:widowControl w:val="0"/>
        <w:rPr>
          <w:rFonts w:ascii="Arial" w:eastAsia="Arial" w:hAnsi="Arial" w:cs="Arial"/>
          <w:sz w:val="20"/>
          <w:szCs w:val="20"/>
        </w:rPr>
      </w:pPr>
    </w:p>
    <w:p w14:paraId="5D5CFDE2" w14:textId="5384BBC4" w:rsidR="00E93600" w:rsidRDefault="00E93600">
      <w:pPr>
        <w:widowControl w:val="0"/>
        <w:rPr>
          <w:rFonts w:ascii="Arial" w:eastAsia="Arial" w:hAnsi="Arial" w:cs="Arial"/>
          <w:sz w:val="20"/>
          <w:szCs w:val="20"/>
        </w:rPr>
      </w:pPr>
    </w:p>
    <w:p w14:paraId="262420ED" w14:textId="530FEBF4" w:rsidR="00E93600" w:rsidRDefault="00E93600">
      <w:pPr>
        <w:widowControl w:val="0"/>
        <w:rPr>
          <w:rFonts w:ascii="Arial" w:eastAsia="Arial" w:hAnsi="Arial" w:cs="Arial"/>
          <w:sz w:val="20"/>
          <w:szCs w:val="20"/>
        </w:rPr>
      </w:pPr>
    </w:p>
    <w:p w14:paraId="24DBD0E6" w14:textId="77777777" w:rsidR="00E93600" w:rsidRDefault="00E93600">
      <w:pPr>
        <w:widowControl w:val="0"/>
        <w:rPr>
          <w:rFonts w:ascii="Arial" w:eastAsia="Arial" w:hAnsi="Arial" w:cs="Arial"/>
          <w:sz w:val="20"/>
          <w:szCs w:val="20"/>
        </w:rPr>
      </w:pPr>
    </w:p>
    <w:p w14:paraId="747D5E7C" w14:textId="77777777" w:rsidR="00B92901" w:rsidRDefault="00074907">
      <w:pPr>
        <w:pStyle w:val="Heading1"/>
        <w:tabs>
          <w:tab w:val="left" w:pos="270"/>
          <w:tab w:val="left" w:pos="630"/>
        </w:tabs>
        <w:ind w:left="540" w:hanging="540"/>
        <w:rPr>
          <w:color w:val="FFFFFF"/>
        </w:rPr>
      </w:pPr>
      <w:bookmarkStart w:id="4" w:name="_heading=h.3znysh7" w:colFirst="0" w:colLast="0"/>
      <w:bookmarkEnd w:id="4"/>
      <w:r>
        <w:rPr>
          <w:color w:val="FFFFFF"/>
        </w:rPr>
        <w:t>C.</w:t>
      </w:r>
      <w:r>
        <w:t xml:space="preserve"> </w:t>
      </w:r>
      <w:r>
        <w:rPr>
          <w:color w:val="FFFFFF"/>
        </w:rPr>
        <w:t xml:space="preserve">KEY ISSUES AND LIVED REALITIES </w:t>
      </w:r>
    </w:p>
    <w:p w14:paraId="39DA7B46" w14:textId="77777777" w:rsidR="00E93600" w:rsidRDefault="00E93600" w:rsidP="00E93600">
      <w:pPr>
        <w:tabs>
          <w:tab w:val="left" w:pos="270"/>
          <w:tab w:val="left" w:pos="630"/>
        </w:tabs>
      </w:pPr>
    </w:p>
    <w:p w14:paraId="0DB80479" w14:textId="3AE5E858" w:rsidR="00E93600" w:rsidRDefault="00E93600" w:rsidP="00E93600">
      <w:pPr>
        <w:pStyle w:val="Heading2"/>
        <w:rPr>
          <w:rFonts w:ascii="Arial" w:eastAsia="Arial" w:hAnsi="Arial"/>
        </w:rPr>
      </w:pPr>
      <w:r>
        <w:t xml:space="preserve"> 1. </w:t>
      </w:r>
      <w:r>
        <w:rPr>
          <w:rFonts w:ascii="Arial" w:eastAsia="Arial" w:hAnsi="Arial"/>
        </w:rPr>
        <w:t xml:space="preserve">DISCRIMINATORY LEGAL FRAMEWORK   </w:t>
      </w:r>
    </w:p>
    <w:p w14:paraId="475B8EBE" w14:textId="1E7FDB01" w:rsidR="00E93600" w:rsidRDefault="00E93600">
      <w:pPr>
        <w:tabs>
          <w:tab w:val="left" w:pos="270"/>
          <w:tab w:val="left" w:pos="630"/>
        </w:tabs>
      </w:pPr>
    </w:p>
    <w:p w14:paraId="7556B2DB" w14:textId="59EEA6DA" w:rsidR="00E93600" w:rsidRDefault="00E93600" w:rsidP="00E93600">
      <w:pPr>
        <w:widowControl w:val="0"/>
        <w:rPr>
          <w:rFonts w:ascii="Arial" w:eastAsia="Arial" w:hAnsi="Arial" w:cs="Arial"/>
          <w:sz w:val="20"/>
          <w:szCs w:val="20"/>
        </w:rPr>
      </w:pPr>
      <w:r>
        <w:rPr>
          <w:rFonts w:ascii="Arial" w:eastAsia="Arial" w:hAnsi="Arial" w:cs="Arial"/>
          <w:sz w:val="20"/>
          <w:szCs w:val="20"/>
        </w:rPr>
        <w:t>Despite the equality guarantee under Article 22 of the Constitution, the Civil Code</w:t>
      </w:r>
      <w:r>
        <w:rPr>
          <w:rFonts w:ascii="Arial" w:eastAsia="Arial" w:hAnsi="Arial" w:cs="Arial"/>
          <w:sz w:val="20"/>
          <w:szCs w:val="20"/>
          <w:vertAlign w:val="superscript"/>
        </w:rPr>
        <w:footnoteReference w:id="6"/>
      </w:r>
      <w:r>
        <w:rPr>
          <w:rFonts w:ascii="Arial" w:eastAsia="Arial" w:hAnsi="Arial" w:cs="Arial"/>
          <w:sz w:val="20"/>
          <w:szCs w:val="20"/>
        </w:rPr>
        <w:t xml:space="preserve"> and the SPSL</w:t>
      </w:r>
      <w:r>
        <w:rPr>
          <w:rFonts w:ascii="Arial" w:eastAsia="Arial" w:hAnsi="Arial" w:cs="Arial"/>
          <w:sz w:val="20"/>
          <w:szCs w:val="20"/>
          <w:vertAlign w:val="superscript"/>
        </w:rPr>
        <w:footnoteReference w:id="7"/>
      </w:r>
      <w:r>
        <w:rPr>
          <w:rFonts w:ascii="Arial" w:eastAsia="Arial" w:hAnsi="Arial" w:cs="Arial"/>
          <w:sz w:val="20"/>
          <w:szCs w:val="20"/>
        </w:rPr>
        <w:t xml:space="preserve"> provide for a marital framework based on ‘reciprocal’ or ‘complementary’ rights (as opposed to ‘equal’ rights) between the two spouses, whereby in return for maintenance and protection from her husband, a wife is expected to obey him. Provisions in the family laws therefore discriminate against women as it is based on male authority and male guardianship. </w:t>
      </w:r>
    </w:p>
    <w:p w14:paraId="1A187BEA" w14:textId="77777777" w:rsidR="00E93600" w:rsidRDefault="00E93600" w:rsidP="00E93600">
      <w:pPr>
        <w:widowControl w:val="0"/>
        <w:rPr>
          <w:rFonts w:ascii="Arial" w:eastAsia="Arial" w:hAnsi="Arial" w:cs="Arial"/>
          <w:b/>
          <w:i/>
          <w:sz w:val="20"/>
          <w:szCs w:val="20"/>
        </w:rPr>
      </w:pPr>
    </w:p>
    <w:p w14:paraId="38567954" w14:textId="77777777" w:rsidR="00E93600" w:rsidRDefault="00E93600" w:rsidP="00E93600">
      <w:pPr>
        <w:widowControl w:val="0"/>
        <w:rPr>
          <w:rFonts w:ascii="Arial" w:eastAsia="Arial" w:hAnsi="Arial" w:cs="Arial"/>
          <w:b/>
          <w:i/>
          <w:sz w:val="20"/>
          <w:szCs w:val="20"/>
        </w:rPr>
      </w:pPr>
      <w:r>
        <w:rPr>
          <w:rFonts w:ascii="Arial" w:eastAsia="Arial" w:hAnsi="Arial" w:cs="Arial"/>
          <w:b/>
          <w:i/>
          <w:sz w:val="20"/>
          <w:szCs w:val="20"/>
        </w:rPr>
        <w:t xml:space="preserve">Delayed reform process: </w:t>
      </w:r>
    </w:p>
    <w:p w14:paraId="687963A1" w14:textId="77777777" w:rsidR="00E93600" w:rsidRDefault="00E93600" w:rsidP="00E93600">
      <w:pPr>
        <w:widowControl w:val="0"/>
        <w:rPr>
          <w:rFonts w:ascii="Arial" w:eastAsia="Arial" w:hAnsi="Arial" w:cs="Arial"/>
          <w:sz w:val="20"/>
          <w:szCs w:val="20"/>
        </w:rPr>
      </w:pPr>
      <w:r>
        <w:rPr>
          <w:rFonts w:ascii="Arial" w:eastAsia="Arial" w:hAnsi="Arial" w:cs="Arial"/>
          <w:sz w:val="20"/>
          <w:szCs w:val="20"/>
        </w:rPr>
        <w:t xml:space="preserve">According to the State Party report, in 2016 the Ministry of Women’s Affairs (MoWA) together with relevant ministries and organisations undertook efforts to review and draft a Family Law to replace the Civil Code. According to women’s rights groups who provided inputs into the draft, there is little information pertaining to the timeline and process of finalizing and enactment of the new/revised Family Law. The amendments and new provisions proposed have also been watered down and do not address all the most urgent areas of discrimination under the Muslim family laws in Afghanistan. The draft currently remains under review with the Ministry of Justice.  </w:t>
      </w:r>
    </w:p>
    <w:p w14:paraId="449A7A68" w14:textId="34E387FD" w:rsidR="00E93600" w:rsidRDefault="00E93600">
      <w:pPr>
        <w:tabs>
          <w:tab w:val="left" w:pos="270"/>
          <w:tab w:val="left" w:pos="630"/>
        </w:tabs>
      </w:pPr>
    </w:p>
    <w:p w14:paraId="17E4BE0B" w14:textId="36394278" w:rsidR="00E93600" w:rsidRDefault="00E93600">
      <w:pPr>
        <w:tabs>
          <w:tab w:val="left" w:pos="270"/>
          <w:tab w:val="left" w:pos="630"/>
        </w:tabs>
      </w:pPr>
      <w:r>
        <w:rPr>
          <w:noProof/>
          <w:lang w:val="en-GB" w:eastAsia="en-GB"/>
        </w:rPr>
        <mc:AlternateContent>
          <mc:Choice Requires="wps">
            <w:drawing>
              <wp:inline distT="0" distB="0" distL="0" distR="0" wp14:anchorId="4DB7CDEF" wp14:editId="05927E43">
                <wp:extent cx="5657850" cy="1406769"/>
                <wp:effectExtent l="0" t="0" r="6350" b="3175"/>
                <wp:docPr id="10" name="Rectangle 10"/>
                <wp:cNvGraphicFramePr/>
                <a:graphic xmlns:a="http://schemas.openxmlformats.org/drawingml/2006/main">
                  <a:graphicData uri="http://schemas.microsoft.com/office/word/2010/wordprocessingShape">
                    <wps:wsp>
                      <wps:cNvSpPr/>
                      <wps:spPr>
                        <a:xfrm>
                          <a:off x="0" y="0"/>
                          <a:ext cx="5657850" cy="1406769"/>
                        </a:xfrm>
                        <a:prstGeom prst="rect">
                          <a:avLst/>
                        </a:prstGeom>
                        <a:solidFill>
                          <a:srgbClr val="CACACA"/>
                        </a:solidFill>
                        <a:ln>
                          <a:noFill/>
                        </a:ln>
                      </wps:spPr>
                      <wps:txbx>
                        <w:txbxContent>
                          <w:p w14:paraId="3972F47D" w14:textId="77777777" w:rsidR="00E93600" w:rsidRDefault="00E93600" w:rsidP="00E93600">
                            <w:pPr>
                              <w:textDirection w:val="btLr"/>
                            </w:pPr>
                            <w:r>
                              <w:rPr>
                                <w:rFonts w:ascii="Arial" w:eastAsia="Arial" w:hAnsi="Arial" w:cs="Arial"/>
                                <w:b/>
                                <w:color w:val="000000"/>
                                <w:sz w:val="20"/>
                              </w:rPr>
                              <w:t xml:space="preserve">RECOMMENDATIONS </w:t>
                            </w:r>
                          </w:p>
                          <w:p w14:paraId="0A1A4072" w14:textId="77777777" w:rsidR="00E93600" w:rsidRDefault="00E93600" w:rsidP="00E93600">
                            <w:pPr>
                              <w:textDirection w:val="btLr"/>
                            </w:pPr>
                          </w:p>
                          <w:p w14:paraId="2C271182" w14:textId="77777777" w:rsidR="00E93600" w:rsidRDefault="00E93600" w:rsidP="00E93600">
                            <w:pPr>
                              <w:textDirection w:val="btLr"/>
                            </w:pPr>
                            <w:r>
                              <w:rPr>
                                <w:rFonts w:ascii="Arial" w:eastAsia="Arial" w:hAnsi="Arial" w:cs="Arial"/>
                                <w:b/>
                                <w:color w:val="000000"/>
                                <w:sz w:val="20"/>
                              </w:rPr>
                              <w:t xml:space="preserve">We recommend the CEDAW committee to urge the State party to: </w:t>
                            </w:r>
                          </w:p>
                          <w:p w14:paraId="49870C59" w14:textId="736DB89C" w:rsidR="00E93600" w:rsidRPr="00B2199A" w:rsidRDefault="00E93600" w:rsidP="00E93600">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Ensure that the draft Family Law is based on equality between spouses and the provisions within it addresses the areas of discrimination faced by women and girls. </w:t>
                            </w:r>
                          </w:p>
                          <w:p w14:paraId="53502910" w14:textId="59B7FB34" w:rsidR="00E93600" w:rsidRPr="00B2199A" w:rsidRDefault="00E93600" w:rsidP="00E93600">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Ensure timely enactment of the Family Law, following consultations with women’s rights groups to address any gaps in the current draft.  </w:t>
                            </w:r>
                          </w:p>
                          <w:p w14:paraId="5CF18E31" w14:textId="77777777" w:rsidR="00E93600" w:rsidRDefault="00E93600" w:rsidP="00E93600">
                            <w:pPr>
                              <w:spacing w:before="100" w:after="100"/>
                              <w:ind w:left="360" w:firstLine="360"/>
                              <w:textDirection w:val="btLr"/>
                            </w:pPr>
                          </w:p>
                        </w:txbxContent>
                      </wps:txbx>
                      <wps:bodyPr spcFirstLastPara="1" wrap="square" lIns="91425" tIns="45700" rIns="91425" bIns="45700" anchor="t" anchorCtr="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DB7CDEF" id="Rectangle 10" o:spid="_x0000_s1026" style="width:445.5pt;height:11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" fillcolor="#cacaca" stroked="f">
                <v:textbox inset="2.53958mm,1.2694mm,2.53958mm,1.2694mm">
                  <w:txbxContent>
                    <w:p w14:paraId="3972F47D" w14:textId="77777777" w:rsidR="00E93600" w:rsidRDefault="00E93600" w:rsidP="00E93600">
                      <w:pPr>
                        <w:textDirection w:val="btLr"/>
                      </w:pPr>
                      <w:r>
                        <w:rPr>
                          <w:rFonts w:ascii="Arial" w:eastAsia="Arial" w:hAnsi="Arial" w:cs="Arial"/>
                          <w:b/>
                          <w:color w:val="000000"/>
                          <w:sz w:val="20"/>
                        </w:rPr>
                        <w:t xml:space="preserve">RECOMMENDATIONS </w:t>
                      </w:r>
                    </w:p>
                    <w:p w14:paraId="0A1A4072" w14:textId="77777777" w:rsidR="00E93600" w:rsidRDefault="00E93600" w:rsidP="00E93600">
                      <w:pPr>
                        <w:textDirection w:val="btLr"/>
                      </w:pPr>
                    </w:p>
                    <w:p w14:paraId="2C271182" w14:textId="77777777" w:rsidR="00E93600" w:rsidRDefault="00E93600" w:rsidP="00E93600">
                      <w:pPr>
                        <w:textDirection w:val="btLr"/>
                      </w:pPr>
                      <w:r>
                        <w:rPr>
                          <w:rFonts w:ascii="Arial" w:eastAsia="Arial" w:hAnsi="Arial" w:cs="Arial"/>
                          <w:b/>
                          <w:color w:val="000000"/>
                          <w:sz w:val="20"/>
                        </w:rPr>
                        <w:t xml:space="preserve">We recommend the CEDAW committee to urge the State party to: </w:t>
                      </w:r>
                    </w:p>
                    <w:p w14:paraId="49870C59" w14:textId="736DB89C" w:rsidR="00E93600" w:rsidRPr="00B2199A" w:rsidRDefault="00E93600" w:rsidP="00E93600">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Ensure that the draft Family Law is based on equality between spouses and the provisions within it addresses the areas of discrimination faced by women and girls. </w:t>
                      </w:r>
                    </w:p>
                    <w:p w14:paraId="53502910" w14:textId="59B7FB34" w:rsidR="00E93600" w:rsidRPr="00B2199A" w:rsidRDefault="00E93600" w:rsidP="00E93600">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Ensure timely enactment of the Family Law, following consultations with women’s rights groups to address any gaps in the current draft.  </w:t>
                      </w:r>
                    </w:p>
                    <w:p w14:paraId="5CF18E31" w14:textId="77777777" w:rsidR="00E93600" w:rsidRDefault="00E93600" w:rsidP="00E93600">
                      <w:pPr>
                        <w:spacing w:before="100" w:after="100"/>
                        <w:ind w:left="360" w:firstLine="360"/>
                        <w:textDirection w:val="btLr"/>
                      </w:pPr>
                    </w:p>
                  </w:txbxContent>
                </v:textbox>
                <w10:anchorlock/>
              </v:rect>
            </w:pict>
          </mc:Fallback>
        </mc:AlternateContent>
      </w:r>
    </w:p>
    <w:p w14:paraId="77086401" w14:textId="17F16823" w:rsidR="00E93600" w:rsidRDefault="00E93600">
      <w:pPr>
        <w:tabs>
          <w:tab w:val="left" w:pos="270"/>
          <w:tab w:val="left" w:pos="630"/>
        </w:tabs>
      </w:pPr>
    </w:p>
    <w:p w14:paraId="2334BE3D" w14:textId="77777777" w:rsidR="00E93600" w:rsidRDefault="00E93600">
      <w:pPr>
        <w:tabs>
          <w:tab w:val="left" w:pos="270"/>
          <w:tab w:val="left" w:pos="630"/>
        </w:tabs>
      </w:pPr>
    </w:p>
    <w:p w14:paraId="499139E1" w14:textId="6925809F" w:rsidR="00B92901" w:rsidRDefault="00074907">
      <w:pPr>
        <w:pStyle w:val="Heading2"/>
        <w:rPr>
          <w:rFonts w:ascii="Arial" w:eastAsia="Arial" w:hAnsi="Arial"/>
        </w:rPr>
      </w:pPr>
      <w:bookmarkStart w:id="5" w:name="_heading=h.tyjcwt" w:colFirst="0" w:colLast="0"/>
      <w:bookmarkEnd w:id="5"/>
      <w:r>
        <w:t xml:space="preserve"> </w:t>
      </w:r>
      <w:r w:rsidR="00E93600">
        <w:t>2</w:t>
      </w:r>
      <w:r>
        <w:t xml:space="preserve">. </w:t>
      </w:r>
      <w:r>
        <w:rPr>
          <w:rFonts w:ascii="Arial" w:eastAsia="Arial" w:hAnsi="Arial"/>
        </w:rPr>
        <w:t xml:space="preserve">CHILD MARRIAGE   </w:t>
      </w:r>
    </w:p>
    <w:p w14:paraId="636652A4" w14:textId="77777777" w:rsidR="00B92901" w:rsidRDefault="00B92901">
      <w:pPr>
        <w:widowControl w:val="0"/>
        <w:pBdr>
          <w:top w:val="nil"/>
          <w:left w:val="nil"/>
          <w:bottom w:val="nil"/>
          <w:right w:val="nil"/>
          <w:between w:val="nil"/>
        </w:pBdr>
        <w:rPr>
          <w:rFonts w:ascii="Arial" w:eastAsia="Arial" w:hAnsi="Arial" w:cs="Arial"/>
          <w:color w:val="000000"/>
          <w:sz w:val="20"/>
          <w:szCs w:val="20"/>
        </w:rPr>
      </w:pPr>
    </w:p>
    <w:p w14:paraId="677D389D" w14:textId="77777777" w:rsidR="00B92901" w:rsidRDefault="00074907">
      <w:pPr>
        <w:widowControl w:val="0"/>
        <w:rPr>
          <w:rFonts w:ascii="Arial" w:eastAsia="Arial" w:hAnsi="Arial" w:cs="Arial"/>
          <w:sz w:val="20"/>
          <w:szCs w:val="20"/>
        </w:rPr>
      </w:pPr>
      <w:r>
        <w:rPr>
          <w:rFonts w:ascii="Arial" w:eastAsia="Arial" w:hAnsi="Arial" w:cs="Arial"/>
          <w:sz w:val="20"/>
          <w:szCs w:val="20"/>
        </w:rPr>
        <w:t>According to UNICEF’s State of the World’s Children 2016 report, 33% of women aged 20- 24 in Afghanistan were first married by 18 and according to the Afghan government, women who marry below 15</w:t>
      </w:r>
      <w:r>
        <w:rPr>
          <w:rFonts w:ascii="Arial" w:eastAsia="Arial" w:hAnsi="Arial" w:cs="Arial"/>
          <w:sz w:val="20"/>
          <w:szCs w:val="20"/>
          <w:vertAlign w:val="superscript"/>
        </w:rPr>
        <w:footnoteReference w:id="8"/>
      </w:r>
      <w:r>
        <w:rPr>
          <w:rFonts w:ascii="Arial" w:eastAsia="Arial" w:hAnsi="Arial" w:cs="Arial"/>
          <w:sz w:val="20"/>
          <w:szCs w:val="20"/>
        </w:rPr>
        <w:t xml:space="preserve"> make up 3% of married women.</w:t>
      </w:r>
      <w:r>
        <w:rPr>
          <w:rFonts w:ascii="Arial" w:eastAsia="Arial" w:hAnsi="Arial" w:cs="Arial"/>
          <w:sz w:val="20"/>
          <w:szCs w:val="20"/>
          <w:vertAlign w:val="superscript"/>
        </w:rPr>
        <w:footnoteReference w:id="9"/>
      </w:r>
      <w:r>
        <w:rPr>
          <w:rFonts w:ascii="Arial" w:eastAsia="Arial" w:hAnsi="Arial" w:cs="Arial"/>
          <w:sz w:val="20"/>
          <w:szCs w:val="20"/>
        </w:rPr>
        <w:t xml:space="preserve"> </w:t>
      </w:r>
    </w:p>
    <w:p w14:paraId="49F1D379" w14:textId="77777777" w:rsidR="00B92901" w:rsidRDefault="00B92901">
      <w:pPr>
        <w:widowControl w:val="0"/>
        <w:rPr>
          <w:rFonts w:ascii="Arial" w:eastAsia="Arial" w:hAnsi="Arial" w:cs="Arial"/>
          <w:sz w:val="20"/>
          <w:szCs w:val="20"/>
        </w:rPr>
      </w:pPr>
    </w:p>
    <w:p w14:paraId="5D4AAD22" w14:textId="77777777" w:rsidR="00B92901" w:rsidRDefault="00074907">
      <w:pPr>
        <w:widowControl w:val="0"/>
        <w:rPr>
          <w:rFonts w:ascii="Arial" w:eastAsia="Arial" w:hAnsi="Arial" w:cs="Arial"/>
          <w:sz w:val="20"/>
          <w:szCs w:val="20"/>
        </w:rPr>
      </w:pPr>
      <w:r>
        <w:rPr>
          <w:rFonts w:ascii="Arial" w:eastAsia="Arial" w:hAnsi="Arial" w:cs="Arial"/>
          <w:sz w:val="20"/>
          <w:szCs w:val="20"/>
        </w:rPr>
        <w:t>For both Sunnis and Shias, the minimum legal age for marriage is 16 for females and 18 for males as per Article 70 of the Civil Code and Article 99(1) of the SPSL, respectively.</w:t>
      </w:r>
      <w:r>
        <w:rPr>
          <w:rFonts w:ascii="Arial" w:eastAsia="Arial" w:hAnsi="Arial" w:cs="Arial"/>
          <w:sz w:val="20"/>
          <w:szCs w:val="20"/>
          <w:vertAlign w:val="superscript"/>
        </w:rPr>
        <w:footnoteReference w:id="10"/>
      </w:r>
      <w:r>
        <w:rPr>
          <w:rFonts w:ascii="Arial" w:eastAsia="Arial" w:hAnsi="Arial" w:cs="Arial"/>
          <w:sz w:val="20"/>
          <w:szCs w:val="20"/>
        </w:rPr>
        <w:t xml:space="preserve"> However, marriages below the minimum legal age for marriage are permissible for both sects: </w:t>
      </w:r>
    </w:p>
    <w:p w14:paraId="14E0EBF0" w14:textId="782C01C6" w:rsidR="00B92901" w:rsidRDefault="00B92901">
      <w:pPr>
        <w:widowControl w:val="0"/>
        <w:rPr>
          <w:rFonts w:ascii="Arial" w:eastAsia="Arial" w:hAnsi="Arial" w:cs="Arial"/>
          <w:sz w:val="20"/>
          <w:szCs w:val="20"/>
        </w:rPr>
      </w:pPr>
    </w:p>
    <w:p w14:paraId="4B4CF068" w14:textId="77777777" w:rsidR="00646C15" w:rsidRDefault="00646C15">
      <w:pPr>
        <w:widowControl w:val="0"/>
        <w:rPr>
          <w:rFonts w:ascii="Arial" w:eastAsia="Arial" w:hAnsi="Arial" w:cs="Arial"/>
          <w:sz w:val="20"/>
          <w:szCs w:val="20"/>
        </w:rPr>
      </w:pPr>
    </w:p>
    <w:p w14:paraId="13C80FF6" w14:textId="77777777" w:rsidR="00B92901" w:rsidRDefault="00074907">
      <w:pPr>
        <w:widowControl w:val="0"/>
        <w:numPr>
          <w:ilvl w:val="0"/>
          <w:numId w:val="4"/>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b/>
          <w:color w:val="000000"/>
          <w:sz w:val="20"/>
          <w:szCs w:val="20"/>
        </w:rPr>
        <w:t>For Sunnis:</w:t>
      </w:r>
      <w:r>
        <w:rPr>
          <w:rFonts w:ascii="Arial" w:eastAsia="Arial" w:hAnsi="Arial" w:cs="Arial"/>
          <w:color w:val="000000"/>
          <w:sz w:val="20"/>
          <w:szCs w:val="20"/>
        </w:rPr>
        <w:t xml:space="preserve"> Article 71(1) of the Civil Code provides that either a competent father or competent court may permit girls below 16 to marry.</w:t>
      </w:r>
      <w:r>
        <w:rPr>
          <w:rFonts w:ascii="Arial" w:eastAsia="Arial" w:hAnsi="Arial" w:cs="Arial"/>
          <w:color w:val="000000"/>
          <w:sz w:val="20"/>
          <w:szCs w:val="20"/>
          <w:vertAlign w:val="superscript"/>
        </w:rPr>
        <w:footnoteReference w:id="11"/>
      </w:r>
      <w:r>
        <w:rPr>
          <w:rFonts w:ascii="Arial" w:eastAsia="Arial" w:hAnsi="Arial" w:cs="Arial"/>
          <w:color w:val="000000"/>
          <w:sz w:val="20"/>
          <w:szCs w:val="20"/>
        </w:rPr>
        <w:t xml:space="preserve"> Article 71(2) of the Civil Code absolutely prohibits the marriage of girls below 15.</w:t>
      </w:r>
      <w:r>
        <w:rPr>
          <w:rFonts w:ascii="Arial" w:eastAsia="Arial" w:hAnsi="Arial" w:cs="Arial"/>
          <w:color w:val="000000"/>
          <w:sz w:val="20"/>
          <w:szCs w:val="20"/>
          <w:vertAlign w:val="superscript"/>
        </w:rPr>
        <w:footnoteReference w:id="12"/>
      </w:r>
    </w:p>
    <w:p w14:paraId="7D190590" w14:textId="77777777" w:rsidR="00B92901" w:rsidRDefault="00B92901">
      <w:pPr>
        <w:widowControl w:val="0"/>
        <w:pBdr>
          <w:top w:val="nil"/>
          <w:left w:val="nil"/>
          <w:bottom w:val="nil"/>
          <w:right w:val="nil"/>
          <w:between w:val="nil"/>
        </w:pBdr>
        <w:ind w:left="318" w:hanging="720"/>
        <w:rPr>
          <w:rFonts w:ascii="Arial" w:eastAsia="Arial" w:hAnsi="Arial" w:cs="Arial"/>
          <w:color w:val="000000"/>
          <w:sz w:val="20"/>
          <w:szCs w:val="20"/>
        </w:rPr>
      </w:pPr>
    </w:p>
    <w:p w14:paraId="43F7642B" w14:textId="77777777" w:rsidR="00B92901" w:rsidRDefault="00074907">
      <w:pPr>
        <w:widowControl w:val="0"/>
        <w:numPr>
          <w:ilvl w:val="0"/>
          <w:numId w:val="4"/>
        </w:numPr>
        <w:pBdr>
          <w:top w:val="nil"/>
          <w:left w:val="nil"/>
          <w:bottom w:val="nil"/>
          <w:right w:val="nil"/>
          <w:between w:val="nil"/>
        </w:pBdr>
        <w:ind w:left="318" w:hanging="284"/>
        <w:rPr>
          <w:rFonts w:ascii="Arial" w:eastAsia="Arial" w:hAnsi="Arial" w:cs="Arial"/>
          <w:color w:val="000000"/>
          <w:sz w:val="20"/>
          <w:szCs w:val="20"/>
        </w:rPr>
      </w:pPr>
      <w:r>
        <w:rPr>
          <w:rFonts w:ascii="Arial" w:eastAsia="Arial" w:hAnsi="Arial" w:cs="Arial"/>
          <w:b/>
          <w:color w:val="000000"/>
          <w:sz w:val="20"/>
          <w:szCs w:val="20"/>
        </w:rPr>
        <w:t xml:space="preserve">For Shias: </w:t>
      </w:r>
      <w:r>
        <w:rPr>
          <w:rFonts w:ascii="Arial" w:eastAsia="Arial" w:hAnsi="Arial" w:cs="Arial"/>
          <w:color w:val="000000"/>
          <w:sz w:val="20"/>
          <w:szCs w:val="20"/>
        </w:rPr>
        <w:t>Articles 99(2) and 99(3) of the SPSL provide that a guardian appearing before the court may permit girls and boys below 16 and 18, respectively, to marry if the marriage is considered necessary and in their best interest.</w:t>
      </w:r>
      <w:r>
        <w:rPr>
          <w:rFonts w:ascii="Arial" w:eastAsia="Arial" w:hAnsi="Arial" w:cs="Arial"/>
          <w:color w:val="000000"/>
          <w:sz w:val="20"/>
          <w:szCs w:val="20"/>
          <w:vertAlign w:val="superscript"/>
        </w:rPr>
        <w:footnoteReference w:id="13"/>
      </w:r>
      <w:r>
        <w:rPr>
          <w:rFonts w:ascii="Arial" w:eastAsia="Arial" w:hAnsi="Arial" w:cs="Arial"/>
          <w:color w:val="000000"/>
          <w:sz w:val="20"/>
          <w:szCs w:val="20"/>
        </w:rPr>
        <w:t xml:space="preserve"> The SPSL does not stipulate an absolute minimum age below which a marriage may not be authorised. </w:t>
      </w:r>
    </w:p>
    <w:p w14:paraId="04CA8D08" w14:textId="77777777" w:rsidR="00B92901" w:rsidRDefault="00B92901">
      <w:pPr>
        <w:pBdr>
          <w:top w:val="nil"/>
          <w:left w:val="nil"/>
          <w:bottom w:val="nil"/>
          <w:right w:val="nil"/>
          <w:between w:val="nil"/>
        </w:pBdr>
        <w:ind w:left="720" w:hanging="720"/>
        <w:rPr>
          <w:rFonts w:ascii="Arial" w:eastAsia="Arial" w:hAnsi="Arial" w:cs="Arial"/>
          <w:color w:val="000000"/>
          <w:sz w:val="20"/>
          <w:szCs w:val="20"/>
        </w:rPr>
      </w:pPr>
    </w:p>
    <w:p w14:paraId="648E6311" w14:textId="26F2A46A" w:rsidR="00E93600" w:rsidRPr="002B1571" w:rsidRDefault="00074907" w:rsidP="002B1571">
      <w:pPr>
        <w:widowControl w:val="0"/>
        <w:spacing w:after="160" w:line="259" w:lineRule="auto"/>
        <w:rPr>
          <w:rFonts w:ascii="Arial" w:hAnsi="Arial" w:cs="Arial"/>
          <w:sz w:val="20"/>
          <w:szCs w:val="20"/>
        </w:rPr>
      </w:pPr>
      <w:r w:rsidRPr="002B1571">
        <w:rPr>
          <w:rFonts w:ascii="Arial" w:eastAsia="Arial" w:hAnsi="Arial" w:cs="Arial"/>
          <w:sz w:val="20"/>
          <w:szCs w:val="20"/>
        </w:rPr>
        <w:t>According to women’s advocates, registration of marriages continues to be voluntary</w:t>
      </w:r>
      <w:r>
        <w:rPr>
          <w:rFonts w:eastAsia="Arial"/>
          <w:vertAlign w:val="superscript"/>
        </w:rPr>
        <w:footnoteReference w:id="14"/>
      </w:r>
      <w:r w:rsidRPr="002B1571">
        <w:rPr>
          <w:rFonts w:ascii="Arial" w:eastAsia="Arial" w:hAnsi="Arial" w:cs="Arial"/>
          <w:sz w:val="20"/>
          <w:szCs w:val="20"/>
        </w:rPr>
        <w:t xml:space="preserve"> and as a result child and forced marriages are more likely </w:t>
      </w:r>
      <w:r w:rsidR="00E93600" w:rsidRPr="002B1571">
        <w:rPr>
          <w:rFonts w:ascii="Arial" w:eastAsia="Arial" w:hAnsi="Arial" w:cs="Arial"/>
          <w:sz w:val="20"/>
          <w:szCs w:val="20"/>
        </w:rPr>
        <w:t>to be</w:t>
      </w:r>
      <w:r w:rsidRPr="002B1571">
        <w:rPr>
          <w:rFonts w:ascii="Arial" w:eastAsia="Arial" w:hAnsi="Arial" w:cs="Arial"/>
          <w:sz w:val="20"/>
          <w:szCs w:val="20"/>
        </w:rPr>
        <w:t xml:space="preserve"> unregistered.</w:t>
      </w:r>
      <w:r w:rsidR="002B1571" w:rsidRPr="002B1571">
        <w:rPr>
          <w:rFonts w:ascii="Arial" w:eastAsia="Arial" w:hAnsi="Arial" w:cs="Arial"/>
          <w:sz w:val="20"/>
          <w:szCs w:val="20"/>
        </w:rPr>
        <w:t xml:space="preserve"> </w:t>
      </w:r>
      <w:r w:rsidR="002B1571" w:rsidRPr="002B1571">
        <w:rPr>
          <w:rFonts w:ascii="Arial" w:hAnsi="Arial" w:cs="Arial"/>
          <w:sz w:val="20"/>
          <w:szCs w:val="20"/>
        </w:rPr>
        <w:t>The lack of registration of marriages imposes difficulties on women with regard to their right to seek divorce in addition to their right to a dower (</w:t>
      </w:r>
      <w:r w:rsidR="002B1571" w:rsidRPr="002B1571">
        <w:rPr>
          <w:rFonts w:ascii="Arial" w:hAnsi="Arial" w:cs="Arial"/>
          <w:i/>
          <w:iCs/>
          <w:sz w:val="20"/>
          <w:szCs w:val="20"/>
        </w:rPr>
        <w:t>mahr),</w:t>
      </w:r>
      <w:r w:rsidR="002B1571" w:rsidRPr="002B1571">
        <w:rPr>
          <w:rFonts w:ascii="Arial" w:hAnsi="Arial" w:cs="Arial"/>
          <w:sz w:val="20"/>
          <w:szCs w:val="20"/>
        </w:rPr>
        <w:t xml:space="preserve"> maintenance and child custody</w:t>
      </w:r>
      <w:r w:rsidR="002B1571">
        <w:rPr>
          <w:rFonts w:ascii="Arial" w:hAnsi="Arial" w:cs="Arial"/>
          <w:sz w:val="20"/>
          <w:szCs w:val="20"/>
        </w:rPr>
        <w:t xml:space="preserve">. </w:t>
      </w:r>
    </w:p>
    <w:p w14:paraId="2C526A18" w14:textId="77777777" w:rsidR="00E93600" w:rsidRDefault="00E93600" w:rsidP="0078156B">
      <w:pPr>
        <w:widowControl w:val="0"/>
        <w:rPr>
          <w:rFonts w:ascii="Arial" w:eastAsia="Arial" w:hAnsi="Arial" w:cs="Arial"/>
          <w:sz w:val="20"/>
          <w:szCs w:val="20"/>
        </w:rPr>
      </w:pPr>
    </w:p>
    <w:p w14:paraId="6991235A" w14:textId="457B755E" w:rsidR="00B92901" w:rsidRPr="0078156B" w:rsidRDefault="00074907" w:rsidP="0078156B">
      <w:pPr>
        <w:widowControl w:val="0"/>
        <w:rPr>
          <w:rFonts w:ascii="Arial" w:eastAsia="Arial" w:hAnsi="Arial" w:cs="Arial"/>
          <w:sz w:val="20"/>
          <w:szCs w:val="20"/>
        </w:rPr>
      </w:pPr>
      <w:r>
        <w:rPr>
          <w:noProof/>
          <w:lang w:val="en-GB" w:eastAsia="en-GB"/>
        </w:rPr>
        <mc:AlternateContent>
          <mc:Choice Requires="wps">
            <w:drawing>
              <wp:inline distT="0" distB="0" distL="0" distR="0" wp14:anchorId="14398006" wp14:editId="7CF13586">
                <wp:extent cx="5728996" cy="1735455"/>
                <wp:effectExtent l="0" t="0" r="0" b="4445"/>
                <wp:docPr id="21" name="Rectangle 21"/>
                <wp:cNvGraphicFramePr/>
                <a:graphic xmlns:a="http://schemas.openxmlformats.org/drawingml/2006/main">
                  <a:graphicData uri="http://schemas.microsoft.com/office/word/2010/wordprocessingShape">
                    <wps:wsp>
                      <wps:cNvSpPr/>
                      <wps:spPr>
                        <a:xfrm>
                          <a:off x="0" y="0"/>
                          <a:ext cx="5728996" cy="1735455"/>
                        </a:xfrm>
                        <a:prstGeom prst="rect">
                          <a:avLst/>
                        </a:prstGeom>
                        <a:solidFill>
                          <a:srgbClr val="CACACA"/>
                        </a:solidFill>
                        <a:ln>
                          <a:noFill/>
                        </a:ln>
                      </wps:spPr>
                      <wps:txbx>
                        <w:txbxContent>
                          <w:p w14:paraId="468E641E" w14:textId="77777777" w:rsidR="00B92901" w:rsidRDefault="00074907">
                            <w:pPr>
                              <w:textDirection w:val="btLr"/>
                            </w:pPr>
                            <w:r>
                              <w:rPr>
                                <w:rFonts w:ascii="Arial" w:eastAsia="Arial" w:hAnsi="Arial" w:cs="Arial"/>
                                <w:b/>
                                <w:color w:val="000000"/>
                                <w:sz w:val="20"/>
                              </w:rPr>
                              <w:t xml:space="preserve">RECOMMENDATIONS </w:t>
                            </w:r>
                          </w:p>
                          <w:p w14:paraId="5FA39D13" w14:textId="77777777" w:rsidR="00B92901" w:rsidRDefault="00B92901">
                            <w:pPr>
                              <w:textDirection w:val="btLr"/>
                            </w:pPr>
                          </w:p>
                          <w:p w14:paraId="22CDDB5D"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4E65431F" w14:textId="0426F4A4" w:rsidR="00B92901" w:rsidRPr="00B2199A" w:rsidRDefault="00074907" w:rsidP="0078156B">
                            <w:pPr>
                              <w:pStyle w:val="ListParagraph"/>
                              <w:numPr>
                                <w:ilvl w:val="0"/>
                                <w:numId w:val="10"/>
                              </w:numPr>
                              <w:ind w:left="426"/>
                              <w:textDirection w:val="btLr"/>
                              <w:rPr>
                                <w:bCs/>
                              </w:rPr>
                            </w:pPr>
                            <w:r w:rsidRPr="00B2199A">
                              <w:rPr>
                                <w:rFonts w:ascii="Arial" w:eastAsia="Arial" w:hAnsi="Arial" w:cs="Arial"/>
                                <w:bCs/>
                                <w:color w:val="000000"/>
                                <w:sz w:val="20"/>
                              </w:rPr>
                              <w:t xml:space="preserve">Establish a standard minimum age of 18 years for all citizens of Afghanistan regardless of sex, sect, religion, tribe, geographic region and remove all legal loopholes that allow for exceptions. </w:t>
                            </w:r>
                          </w:p>
                          <w:p w14:paraId="1DCCC8EA" w14:textId="6583DD1E" w:rsidR="00B92901" w:rsidRPr="00B2199A" w:rsidRDefault="00074907" w:rsidP="0078156B">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Ensure mandatory registration of all marriages and facilitate a standard process for registering of marriages. </w:t>
                            </w:r>
                          </w:p>
                          <w:p w14:paraId="54448BE1" w14:textId="77777777" w:rsidR="00B92901" w:rsidRPr="00B2199A" w:rsidRDefault="00074907" w:rsidP="0078156B">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Improve awareness raising campaigns among tribal and rural communities about forced marriages and related penalties. </w:t>
                            </w:r>
                          </w:p>
                          <w:p w14:paraId="64B70C87" w14:textId="77777777" w:rsidR="00B92901" w:rsidRDefault="00B92901">
                            <w:pPr>
                              <w:spacing w:before="100" w:after="100"/>
                              <w:textDirection w:val="btLr"/>
                            </w:pPr>
                          </w:p>
                          <w:p w14:paraId="5D68966B" w14:textId="77777777" w:rsidR="00B92901" w:rsidRDefault="00B92901">
                            <w:pPr>
                              <w:spacing w:before="100" w:after="100"/>
                              <w:ind w:left="360" w:firstLine="360"/>
                              <w:textDirection w:val="btLr"/>
                            </w:pPr>
                          </w:p>
                        </w:txbxContent>
                      </wps:txbx>
                      <wps:bodyPr spcFirstLastPara="1" wrap="square" lIns="91425" tIns="45700" rIns="91425" bIns="45700" anchor="t" anchorCtr="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398006" id="Rectangle 21" o:spid="_x0000_s1027" style="width:451.1pt;height:136.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" fillcolor="#cacaca" stroked="f">
                <v:textbox inset="2.53958mm,1.2694mm,2.53958mm,1.2694mm">
                  <w:txbxContent>
                    <w:p w14:paraId="468E641E" w14:textId="77777777" w:rsidR="00B92901" w:rsidRDefault="00074907">
                      <w:pPr>
                        <w:textDirection w:val="btLr"/>
                      </w:pPr>
                      <w:r>
                        <w:rPr>
                          <w:rFonts w:ascii="Arial" w:eastAsia="Arial" w:hAnsi="Arial" w:cs="Arial"/>
                          <w:b/>
                          <w:color w:val="000000"/>
                          <w:sz w:val="20"/>
                        </w:rPr>
                        <w:t xml:space="preserve">RECOMMENDATIONS </w:t>
                      </w:r>
                    </w:p>
                    <w:p w14:paraId="5FA39D13" w14:textId="77777777" w:rsidR="00B92901" w:rsidRDefault="00B92901">
                      <w:pPr>
                        <w:textDirection w:val="btLr"/>
                      </w:pPr>
                    </w:p>
                    <w:p w14:paraId="22CDDB5D"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4E65431F" w14:textId="0426F4A4" w:rsidR="00B92901" w:rsidRPr="00B2199A" w:rsidRDefault="00074907" w:rsidP="0078156B">
                      <w:pPr>
                        <w:pStyle w:val="ListParagraph"/>
                        <w:numPr>
                          <w:ilvl w:val="0"/>
                          <w:numId w:val="10"/>
                        </w:numPr>
                        <w:ind w:left="426"/>
                        <w:textDirection w:val="btLr"/>
                        <w:rPr>
                          <w:bCs/>
                        </w:rPr>
                      </w:pPr>
                      <w:r w:rsidRPr="00B2199A">
                        <w:rPr>
                          <w:rFonts w:ascii="Arial" w:eastAsia="Arial" w:hAnsi="Arial" w:cs="Arial"/>
                          <w:bCs/>
                          <w:color w:val="000000"/>
                          <w:sz w:val="20"/>
                        </w:rPr>
                        <w:t xml:space="preserve">Establish a standard minimum age of 18 years for all citizens of Afghanistan regardless of sex, sect, religion, tribe, geographic region and remove all legal loopholes that allow for exceptions. </w:t>
                      </w:r>
                    </w:p>
                    <w:p w14:paraId="1DCCC8EA" w14:textId="6583DD1E" w:rsidR="00B92901" w:rsidRPr="00B2199A" w:rsidRDefault="00074907" w:rsidP="0078156B">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Ensure mandatory registration of all marriages and facilitate a standard process for registering of marriages. </w:t>
                      </w:r>
                    </w:p>
                    <w:p w14:paraId="54448BE1" w14:textId="77777777" w:rsidR="00B92901" w:rsidRPr="00B2199A" w:rsidRDefault="00074907" w:rsidP="0078156B">
                      <w:pPr>
                        <w:pStyle w:val="ListParagraph"/>
                        <w:numPr>
                          <w:ilvl w:val="0"/>
                          <w:numId w:val="10"/>
                        </w:numPr>
                        <w:spacing w:before="100" w:after="100"/>
                        <w:ind w:left="426"/>
                        <w:textDirection w:val="btLr"/>
                        <w:rPr>
                          <w:bCs/>
                        </w:rPr>
                      </w:pPr>
                      <w:r w:rsidRPr="00B2199A">
                        <w:rPr>
                          <w:rFonts w:ascii="Arial" w:eastAsia="Arial" w:hAnsi="Arial" w:cs="Arial"/>
                          <w:bCs/>
                          <w:color w:val="000000"/>
                          <w:sz w:val="20"/>
                        </w:rPr>
                        <w:t xml:space="preserve">Improve awareness raising campaigns among tribal and rural communities about forced marriages and related penalties. </w:t>
                      </w:r>
                    </w:p>
                    <w:p w14:paraId="64B70C87" w14:textId="77777777" w:rsidR="00B92901" w:rsidRDefault="00B92901">
                      <w:pPr>
                        <w:spacing w:before="100" w:after="100"/>
                        <w:textDirection w:val="btLr"/>
                      </w:pPr>
                    </w:p>
                    <w:p w14:paraId="5D68966B" w14:textId="77777777" w:rsidR="00B92901" w:rsidRDefault="00B92901">
                      <w:pPr>
                        <w:spacing w:before="100" w:after="100"/>
                        <w:ind w:left="360" w:firstLine="360"/>
                        <w:textDirection w:val="btLr"/>
                      </w:pPr>
                    </w:p>
                  </w:txbxContent>
                </v:textbox>
                <w10:anchorlock/>
              </v:rect>
            </w:pict>
          </mc:Fallback>
        </mc:AlternateContent>
      </w:r>
    </w:p>
    <w:p w14:paraId="0C47622B" w14:textId="77777777" w:rsidR="00E93600" w:rsidRDefault="00E93600">
      <w:pPr>
        <w:pBdr>
          <w:top w:val="nil"/>
          <w:left w:val="nil"/>
          <w:bottom w:val="nil"/>
          <w:right w:val="nil"/>
          <w:between w:val="nil"/>
        </w:pBdr>
        <w:ind w:hanging="720"/>
        <w:rPr>
          <w:rFonts w:ascii="Arial" w:eastAsia="Arial" w:hAnsi="Arial" w:cs="Arial"/>
          <w:sz w:val="22"/>
          <w:szCs w:val="22"/>
        </w:rPr>
      </w:pPr>
    </w:p>
    <w:p w14:paraId="6B1A0343" w14:textId="77777777" w:rsidR="00B92901" w:rsidRDefault="00B92901">
      <w:pPr>
        <w:pBdr>
          <w:top w:val="nil"/>
          <w:left w:val="nil"/>
          <w:bottom w:val="nil"/>
          <w:right w:val="nil"/>
          <w:between w:val="nil"/>
        </w:pBdr>
        <w:ind w:hanging="720"/>
        <w:rPr>
          <w:rFonts w:ascii="Arial" w:eastAsia="Arial" w:hAnsi="Arial" w:cs="Arial"/>
          <w:color w:val="000000"/>
          <w:sz w:val="22"/>
          <w:szCs w:val="22"/>
        </w:rPr>
      </w:pPr>
    </w:p>
    <w:p w14:paraId="5FFBFFEB" w14:textId="77777777" w:rsidR="00B92901" w:rsidRDefault="00074907">
      <w:pPr>
        <w:pStyle w:val="Heading2"/>
      </w:pPr>
      <w:bookmarkStart w:id="6" w:name="_heading=h.3dy6vkm" w:colFirst="0" w:colLast="0"/>
      <w:bookmarkEnd w:id="6"/>
      <w:r>
        <w:t>2. POLYGAMY</w:t>
      </w:r>
      <w:r>
        <w:tab/>
      </w:r>
    </w:p>
    <w:p w14:paraId="6195B542" w14:textId="77777777" w:rsidR="00B92901" w:rsidRDefault="00B92901">
      <w:pPr>
        <w:widowControl w:val="0"/>
        <w:rPr>
          <w:rFonts w:ascii="Arial" w:eastAsia="Arial" w:hAnsi="Arial" w:cs="Arial"/>
          <w:color w:val="000000"/>
          <w:sz w:val="20"/>
          <w:szCs w:val="20"/>
        </w:rPr>
      </w:pPr>
    </w:p>
    <w:p w14:paraId="47578B7A" w14:textId="48261CB2" w:rsidR="00B92901" w:rsidRDefault="00074907">
      <w:pPr>
        <w:widowControl w:val="0"/>
        <w:rPr>
          <w:rFonts w:ascii="Arial" w:eastAsia="Arial" w:hAnsi="Arial" w:cs="Arial"/>
          <w:sz w:val="20"/>
          <w:szCs w:val="20"/>
        </w:rPr>
      </w:pPr>
      <w:r>
        <w:rPr>
          <w:rFonts w:ascii="Arial" w:eastAsia="Arial" w:hAnsi="Arial" w:cs="Arial"/>
          <w:sz w:val="20"/>
          <w:szCs w:val="20"/>
        </w:rPr>
        <w:t>According to Article 86 of the Civil Code</w:t>
      </w:r>
      <w:r>
        <w:rPr>
          <w:rFonts w:ascii="Arial" w:eastAsia="Arial" w:hAnsi="Arial" w:cs="Arial"/>
          <w:sz w:val="20"/>
          <w:szCs w:val="20"/>
          <w:vertAlign w:val="superscript"/>
        </w:rPr>
        <w:footnoteReference w:id="15"/>
      </w:r>
      <w:r>
        <w:rPr>
          <w:rFonts w:ascii="Arial" w:eastAsia="Arial" w:hAnsi="Arial" w:cs="Arial"/>
          <w:sz w:val="20"/>
          <w:szCs w:val="20"/>
        </w:rPr>
        <w:t xml:space="preserve"> and Article 91 of the SPSL</w:t>
      </w:r>
      <w:r>
        <w:rPr>
          <w:rFonts w:ascii="Arial" w:eastAsia="Arial" w:hAnsi="Arial" w:cs="Arial"/>
          <w:sz w:val="20"/>
          <w:szCs w:val="20"/>
          <w:vertAlign w:val="superscript"/>
        </w:rPr>
        <w:footnoteReference w:id="16"/>
      </w:r>
      <w:r>
        <w:rPr>
          <w:rFonts w:ascii="Arial" w:eastAsia="Arial" w:hAnsi="Arial" w:cs="Arial"/>
          <w:sz w:val="20"/>
          <w:szCs w:val="20"/>
        </w:rPr>
        <w:t xml:space="preserve">, both Sunni and Shia men may marry up to four wives at one time. </w:t>
      </w:r>
      <w:r>
        <w:rPr>
          <w:rFonts w:ascii="Arial" w:eastAsia="Arial" w:hAnsi="Arial" w:cs="Arial"/>
          <w:color w:val="000000"/>
          <w:sz w:val="20"/>
          <w:szCs w:val="20"/>
        </w:rPr>
        <w:t xml:space="preserve">According to Afghanistan’s 2015 Demographic and Health Survey, 6% </w:t>
      </w:r>
      <w:r>
        <w:rPr>
          <w:rFonts w:ascii="Arial" w:eastAsia="Arial" w:hAnsi="Arial" w:cs="Arial"/>
          <w:sz w:val="20"/>
          <w:szCs w:val="20"/>
        </w:rPr>
        <w:t>of marriages in Afghanistan are polygamous</w:t>
      </w:r>
      <w:r>
        <w:rPr>
          <w:rFonts w:ascii="Arial" w:eastAsia="Arial" w:hAnsi="Arial" w:cs="Arial"/>
          <w:sz w:val="20"/>
          <w:szCs w:val="20"/>
          <w:vertAlign w:val="superscript"/>
        </w:rPr>
        <w:footnoteReference w:id="17"/>
      </w:r>
      <w:r>
        <w:rPr>
          <w:rFonts w:ascii="Arial" w:eastAsia="Arial" w:hAnsi="Arial" w:cs="Arial"/>
          <w:sz w:val="20"/>
          <w:szCs w:val="20"/>
        </w:rPr>
        <w:t>. The survey also found that:</w:t>
      </w:r>
      <w:r>
        <w:rPr>
          <w:rFonts w:ascii="Arial" w:eastAsia="Arial" w:hAnsi="Arial" w:cs="Arial"/>
          <w:sz w:val="20"/>
          <w:szCs w:val="20"/>
          <w:vertAlign w:val="superscript"/>
        </w:rPr>
        <w:t xml:space="preserve"> </w:t>
      </w:r>
    </w:p>
    <w:p w14:paraId="048EB3BF" w14:textId="77777777" w:rsidR="00B92901" w:rsidRDefault="00B92901">
      <w:pPr>
        <w:widowControl w:val="0"/>
        <w:rPr>
          <w:rFonts w:ascii="Arial" w:eastAsia="Arial" w:hAnsi="Arial" w:cs="Arial"/>
          <w:sz w:val="20"/>
          <w:szCs w:val="20"/>
        </w:rPr>
      </w:pPr>
    </w:p>
    <w:p w14:paraId="7192537E" w14:textId="77777777" w:rsidR="00B92901" w:rsidRPr="0027662A" w:rsidRDefault="00074907" w:rsidP="0027662A">
      <w:pPr>
        <w:pStyle w:val="ListParagraph"/>
        <w:numPr>
          <w:ilvl w:val="0"/>
          <w:numId w:val="17"/>
        </w:numPr>
        <w:rPr>
          <w:rFonts w:ascii="Arial" w:eastAsia="Arial" w:hAnsi="Arial" w:cs="Arial"/>
          <w:sz w:val="20"/>
          <w:szCs w:val="20"/>
        </w:rPr>
      </w:pPr>
      <w:r w:rsidRPr="0027662A">
        <w:rPr>
          <w:rFonts w:ascii="Arial" w:eastAsia="Arial" w:hAnsi="Arial" w:cs="Arial"/>
          <w:sz w:val="20"/>
          <w:szCs w:val="20"/>
        </w:rPr>
        <w:t>Older women were more likely than younger women to have co-wives. For instance, 11% of married women aged 45-49 reported having co-wives, as compared with 3% of women aged 20-24;</w:t>
      </w:r>
    </w:p>
    <w:p w14:paraId="1599EFF4" w14:textId="77777777" w:rsidR="00B92901" w:rsidRPr="0027662A" w:rsidRDefault="00074907" w:rsidP="0027662A">
      <w:pPr>
        <w:pStyle w:val="ListParagraph"/>
        <w:numPr>
          <w:ilvl w:val="0"/>
          <w:numId w:val="17"/>
        </w:numPr>
        <w:rPr>
          <w:rFonts w:ascii="Arial" w:eastAsia="Arial" w:hAnsi="Arial" w:cs="Arial"/>
          <w:sz w:val="20"/>
          <w:szCs w:val="20"/>
        </w:rPr>
      </w:pPr>
      <w:r w:rsidRPr="0027662A">
        <w:rPr>
          <w:rFonts w:ascii="Arial" w:eastAsia="Arial" w:hAnsi="Arial" w:cs="Arial"/>
          <w:sz w:val="20"/>
          <w:szCs w:val="20"/>
        </w:rPr>
        <w:t>Rural women were more likely to report having co-wives than urban women (7% versus 5%);</w:t>
      </w:r>
    </w:p>
    <w:p w14:paraId="4D971BC3" w14:textId="02D22FFC" w:rsidR="00B92901" w:rsidRDefault="00074907" w:rsidP="0027662A">
      <w:pPr>
        <w:pStyle w:val="ListParagraph"/>
        <w:numPr>
          <w:ilvl w:val="0"/>
          <w:numId w:val="17"/>
        </w:numPr>
        <w:rPr>
          <w:rFonts w:ascii="Arial" w:eastAsia="Arial" w:hAnsi="Arial" w:cs="Arial"/>
          <w:sz w:val="20"/>
          <w:szCs w:val="20"/>
        </w:rPr>
      </w:pPr>
      <w:r w:rsidRPr="0027662A">
        <w:rPr>
          <w:rFonts w:ascii="Arial" w:eastAsia="Arial" w:hAnsi="Arial" w:cs="Arial"/>
          <w:sz w:val="20"/>
          <w:szCs w:val="20"/>
        </w:rPr>
        <w:t xml:space="preserve">Lower educated women were slightly more likely to report having co-wives than higher educated women. </w:t>
      </w:r>
    </w:p>
    <w:p w14:paraId="54879436" w14:textId="4E812802" w:rsidR="0027662A" w:rsidRDefault="0027662A" w:rsidP="0027662A">
      <w:pPr>
        <w:rPr>
          <w:rFonts w:ascii="Arial" w:eastAsia="Arial" w:hAnsi="Arial" w:cs="Arial"/>
          <w:sz w:val="20"/>
          <w:szCs w:val="20"/>
        </w:rPr>
      </w:pPr>
    </w:p>
    <w:p w14:paraId="4BE8C3EB" w14:textId="77777777" w:rsidR="0027662A" w:rsidRPr="0027662A" w:rsidRDefault="0027662A" w:rsidP="0027662A">
      <w:pPr>
        <w:rPr>
          <w:rFonts w:ascii="Arial" w:eastAsia="Arial" w:hAnsi="Arial" w:cs="Arial"/>
          <w:sz w:val="20"/>
          <w:szCs w:val="20"/>
        </w:rPr>
      </w:pPr>
    </w:p>
    <w:p w14:paraId="6866A768" w14:textId="6006D622" w:rsidR="00B2199A" w:rsidRPr="00B2199A" w:rsidRDefault="00B2199A" w:rsidP="00B2199A">
      <w:pPr>
        <w:widowControl w:val="0"/>
        <w:rPr>
          <w:rFonts w:ascii="Arial" w:eastAsia="Arial" w:hAnsi="Arial" w:cs="Arial"/>
          <w:iCs/>
          <w:sz w:val="20"/>
          <w:szCs w:val="20"/>
        </w:rPr>
      </w:pPr>
      <w:r w:rsidRPr="00B2199A">
        <w:rPr>
          <w:rFonts w:ascii="Arial" w:eastAsia="Arial" w:hAnsi="Arial" w:cs="Arial"/>
          <w:iCs/>
          <w:sz w:val="20"/>
          <w:szCs w:val="20"/>
        </w:rPr>
        <w:t>According to research compiled by the Ireland Refugee Documentation Centre</w:t>
      </w:r>
      <w:r>
        <w:rPr>
          <w:rFonts w:ascii="Arial" w:eastAsia="Arial" w:hAnsi="Arial" w:cs="Arial"/>
          <w:sz w:val="20"/>
          <w:szCs w:val="20"/>
          <w:vertAlign w:val="superscript"/>
        </w:rPr>
        <w:footnoteReference w:id="18"/>
      </w:r>
      <w:r w:rsidRPr="00B2199A">
        <w:rPr>
          <w:rFonts w:ascii="Arial" w:eastAsia="Arial" w:hAnsi="Arial" w:cs="Arial"/>
          <w:iCs/>
          <w:sz w:val="20"/>
          <w:szCs w:val="20"/>
        </w:rPr>
        <w:t xml:space="preserve"> reasons for polygamous marriages</w:t>
      </w:r>
      <w:r w:rsidR="00211D5F">
        <w:rPr>
          <w:rFonts w:ascii="Arial" w:eastAsia="Arial" w:hAnsi="Arial" w:cs="Arial"/>
          <w:iCs/>
          <w:sz w:val="20"/>
          <w:szCs w:val="20"/>
        </w:rPr>
        <w:t xml:space="preserve"> in Afghanistan</w:t>
      </w:r>
      <w:r w:rsidRPr="00B2199A">
        <w:rPr>
          <w:rFonts w:ascii="Arial" w:eastAsia="Arial" w:hAnsi="Arial" w:cs="Arial"/>
          <w:iCs/>
          <w:sz w:val="20"/>
          <w:szCs w:val="20"/>
        </w:rPr>
        <w:t xml:space="preserve"> include:</w:t>
      </w:r>
    </w:p>
    <w:p w14:paraId="45313E23" w14:textId="77777777" w:rsidR="00B2199A" w:rsidRPr="00B2199A" w:rsidRDefault="00B2199A" w:rsidP="00B2199A">
      <w:pPr>
        <w:widowControl w:val="0"/>
        <w:numPr>
          <w:ilvl w:val="0"/>
          <w:numId w:val="6"/>
        </w:numPr>
        <w:pBdr>
          <w:top w:val="nil"/>
          <w:left w:val="nil"/>
          <w:bottom w:val="nil"/>
          <w:right w:val="nil"/>
          <w:between w:val="nil"/>
        </w:pBdr>
        <w:spacing w:line="259" w:lineRule="auto"/>
        <w:ind w:left="567" w:hanging="283"/>
        <w:rPr>
          <w:rFonts w:ascii="Arial" w:eastAsia="Arial" w:hAnsi="Arial" w:cs="Arial"/>
          <w:iCs/>
          <w:color w:val="000000"/>
          <w:sz w:val="20"/>
          <w:szCs w:val="20"/>
        </w:rPr>
      </w:pPr>
      <w:r w:rsidRPr="00B2199A">
        <w:rPr>
          <w:rFonts w:ascii="Arial" w:eastAsia="Arial" w:hAnsi="Arial" w:cs="Arial"/>
          <w:iCs/>
          <w:color w:val="000000"/>
          <w:sz w:val="20"/>
          <w:szCs w:val="20"/>
        </w:rPr>
        <w:t xml:space="preserve">The very poor social status of divorcees which pressurises wives to agree to become a second or third wife to avoid being single; </w:t>
      </w:r>
    </w:p>
    <w:p w14:paraId="0D299A23" w14:textId="77777777" w:rsidR="00B2199A" w:rsidRPr="00B2199A" w:rsidRDefault="00B2199A" w:rsidP="00B2199A">
      <w:pPr>
        <w:widowControl w:val="0"/>
        <w:numPr>
          <w:ilvl w:val="0"/>
          <w:numId w:val="6"/>
        </w:numPr>
        <w:pBdr>
          <w:top w:val="nil"/>
          <w:left w:val="nil"/>
          <w:bottom w:val="nil"/>
          <w:right w:val="nil"/>
          <w:between w:val="nil"/>
        </w:pBdr>
        <w:spacing w:line="259" w:lineRule="auto"/>
        <w:ind w:left="567" w:hanging="283"/>
        <w:rPr>
          <w:rFonts w:ascii="Arial" w:eastAsia="Arial" w:hAnsi="Arial" w:cs="Arial"/>
          <w:iCs/>
          <w:color w:val="000000"/>
          <w:sz w:val="20"/>
          <w:szCs w:val="20"/>
        </w:rPr>
      </w:pPr>
      <w:r w:rsidRPr="00B2199A">
        <w:rPr>
          <w:rFonts w:ascii="Arial" w:eastAsia="Arial" w:hAnsi="Arial" w:cs="Arial"/>
          <w:iCs/>
          <w:color w:val="000000"/>
          <w:sz w:val="20"/>
          <w:szCs w:val="20"/>
        </w:rPr>
        <w:t xml:space="preserve">The view among men that the ability to enter into a polygamous marriage is an indication of material and social prestige; </w:t>
      </w:r>
    </w:p>
    <w:p w14:paraId="100AE6E4" w14:textId="77777777" w:rsidR="00B2199A" w:rsidRPr="00B2199A" w:rsidRDefault="00B2199A" w:rsidP="00B2199A">
      <w:pPr>
        <w:widowControl w:val="0"/>
        <w:numPr>
          <w:ilvl w:val="0"/>
          <w:numId w:val="6"/>
        </w:numPr>
        <w:pBdr>
          <w:top w:val="nil"/>
          <w:left w:val="nil"/>
          <w:bottom w:val="nil"/>
          <w:right w:val="nil"/>
          <w:between w:val="nil"/>
        </w:pBdr>
        <w:spacing w:line="259" w:lineRule="auto"/>
        <w:ind w:left="567" w:hanging="283"/>
        <w:rPr>
          <w:rFonts w:ascii="Arial" w:eastAsia="Arial" w:hAnsi="Arial" w:cs="Arial"/>
          <w:iCs/>
          <w:color w:val="000000"/>
          <w:sz w:val="20"/>
          <w:szCs w:val="20"/>
        </w:rPr>
      </w:pPr>
      <w:r w:rsidRPr="00B2199A">
        <w:rPr>
          <w:rFonts w:ascii="Arial" w:eastAsia="Arial" w:hAnsi="Arial" w:cs="Arial"/>
          <w:iCs/>
          <w:color w:val="000000"/>
          <w:sz w:val="20"/>
          <w:szCs w:val="20"/>
        </w:rPr>
        <w:t>The failure of the existing wife to produce a male child; and</w:t>
      </w:r>
    </w:p>
    <w:p w14:paraId="515C9901" w14:textId="753ABFB2" w:rsidR="00B2199A" w:rsidRPr="00B2199A" w:rsidRDefault="00B2199A" w:rsidP="00B2199A">
      <w:pPr>
        <w:widowControl w:val="0"/>
        <w:numPr>
          <w:ilvl w:val="0"/>
          <w:numId w:val="6"/>
        </w:numPr>
        <w:pBdr>
          <w:top w:val="nil"/>
          <w:left w:val="nil"/>
          <w:bottom w:val="nil"/>
          <w:right w:val="nil"/>
          <w:between w:val="nil"/>
        </w:pBdr>
        <w:spacing w:after="160" w:line="259" w:lineRule="auto"/>
        <w:ind w:left="567" w:hanging="283"/>
        <w:rPr>
          <w:rFonts w:ascii="Arial" w:eastAsia="Arial" w:hAnsi="Arial" w:cs="Arial"/>
          <w:iCs/>
          <w:color w:val="000000"/>
          <w:sz w:val="20"/>
          <w:szCs w:val="20"/>
        </w:rPr>
      </w:pPr>
      <w:r w:rsidRPr="00B2199A">
        <w:rPr>
          <w:rFonts w:ascii="Arial" w:eastAsia="Arial" w:hAnsi="Arial" w:cs="Arial"/>
          <w:iCs/>
          <w:color w:val="000000"/>
          <w:sz w:val="20"/>
          <w:szCs w:val="20"/>
        </w:rPr>
        <w:t>The wife as an incurable disease.</w:t>
      </w:r>
    </w:p>
    <w:p w14:paraId="57F67EA6" w14:textId="3517078F" w:rsidR="00B92901" w:rsidRPr="00667F16" w:rsidRDefault="00074907" w:rsidP="00667F16">
      <w:pPr>
        <w:widowControl w:val="0"/>
        <w:rPr>
          <w:rFonts w:ascii="Arial" w:eastAsia="Arial" w:hAnsi="Arial" w:cs="Arial"/>
          <w:sz w:val="20"/>
          <w:szCs w:val="20"/>
        </w:rPr>
      </w:pPr>
      <w:r>
        <w:rPr>
          <w:noProof/>
          <w:lang w:val="en-GB" w:eastAsia="en-GB"/>
        </w:rPr>
        <mc:AlternateContent>
          <mc:Choice Requires="wps">
            <w:drawing>
              <wp:inline distT="0" distB="0" distL="0" distR="0" wp14:anchorId="4C9F6398" wp14:editId="098F0756">
                <wp:extent cx="5433060" cy="1195754"/>
                <wp:effectExtent l="0" t="0" r="2540" b="0"/>
                <wp:docPr id="22" name="Rectangle 22"/>
                <wp:cNvGraphicFramePr/>
                <a:graphic xmlns:a="http://schemas.openxmlformats.org/drawingml/2006/main">
                  <a:graphicData uri="http://schemas.microsoft.com/office/word/2010/wordprocessingShape">
                    <wps:wsp>
                      <wps:cNvSpPr/>
                      <wps:spPr>
                        <a:xfrm>
                          <a:off x="0" y="0"/>
                          <a:ext cx="5433060" cy="1195754"/>
                        </a:xfrm>
                        <a:prstGeom prst="rect">
                          <a:avLst/>
                        </a:prstGeom>
                        <a:solidFill>
                          <a:srgbClr val="CACACA"/>
                        </a:solidFill>
                        <a:ln>
                          <a:noFill/>
                        </a:ln>
                      </wps:spPr>
                      <wps:txbx>
                        <w:txbxContent>
                          <w:p w14:paraId="3A97438B" w14:textId="77777777" w:rsidR="00B92901" w:rsidRDefault="00074907">
                            <w:pPr>
                              <w:textDirection w:val="btLr"/>
                            </w:pPr>
                            <w:r>
                              <w:rPr>
                                <w:rFonts w:ascii="Arial" w:eastAsia="Arial" w:hAnsi="Arial" w:cs="Arial"/>
                                <w:b/>
                                <w:color w:val="000000"/>
                                <w:sz w:val="20"/>
                              </w:rPr>
                              <w:t xml:space="preserve">RECOMMENDATIONS </w:t>
                            </w:r>
                          </w:p>
                          <w:p w14:paraId="5806F599" w14:textId="77777777" w:rsidR="00B92901" w:rsidRDefault="00B92901">
                            <w:pPr>
                              <w:textDirection w:val="btLr"/>
                            </w:pPr>
                          </w:p>
                          <w:p w14:paraId="1E08E113"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43C3BBB3" w14:textId="604DBA6E" w:rsidR="00B92901" w:rsidRPr="00B2199A" w:rsidRDefault="00074907" w:rsidP="00E93600">
                            <w:pPr>
                              <w:pStyle w:val="ListParagraph"/>
                              <w:numPr>
                                <w:ilvl w:val="0"/>
                                <w:numId w:val="11"/>
                              </w:numPr>
                              <w:ind w:left="426" w:hanging="284"/>
                              <w:textDirection w:val="btLr"/>
                              <w:rPr>
                                <w:bCs/>
                              </w:rPr>
                            </w:pPr>
                            <w:r w:rsidRPr="00B2199A">
                              <w:rPr>
                                <w:rFonts w:ascii="Arial" w:eastAsia="Arial" w:hAnsi="Arial" w:cs="Arial"/>
                                <w:bCs/>
                                <w:color w:val="000000"/>
                                <w:sz w:val="20"/>
                              </w:rPr>
                              <w:t xml:space="preserve">Ensure that the Family Law must contain provisions to prohibit polygamy by Afghan Muslim men, following examples of other Muslim countries which have abolished the practice in the best interest of family well-being. </w:t>
                            </w:r>
                          </w:p>
                        </w:txbxContent>
                      </wps:txbx>
                      <wps:bodyPr spcFirstLastPara="1" wrap="square" lIns="91425" tIns="45700" rIns="91425" bIns="45700" anchor="t" anchorCtr="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C9F6398" id="Rectangle 22" o:spid="_x0000_s1028" style="width:427.8pt;height:9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" fillcolor="#cacaca" stroked="f">
                <v:textbox inset="2.53958mm,1.2694mm,2.53958mm,1.2694mm">
                  <w:txbxContent>
                    <w:p w14:paraId="3A97438B" w14:textId="77777777" w:rsidR="00B92901" w:rsidRDefault="00074907">
                      <w:pPr>
                        <w:textDirection w:val="btLr"/>
                      </w:pPr>
                      <w:r>
                        <w:rPr>
                          <w:rFonts w:ascii="Arial" w:eastAsia="Arial" w:hAnsi="Arial" w:cs="Arial"/>
                          <w:b/>
                          <w:color w:val="000000"/>
                          <w:sz w:val="20"/>
                        </w:rPr>
                        <w:t xml:space="preserve">RECOMMENDATIONS </w:t>
                      </w:r>
                    </w:p>
                    <w:p w14:paraId="5806F599" w14:textId="77777777" w:rsidR="00B92901" w:rsidRDefault="00B92901">
                      <w:pPr>
                        <w:textDirection w:val="btLr"/>
                      </w:pPr>
                    </w:p>
                    <w:p w14:paraId="1E08E113"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43C3BBB3" w14:textId="604DBA6E" w:rsidR="00B92901" w:rsidRPr="00B2199A" w:rsidRDefault="00074907" w:rsidP="00E93600">
                      <w:pPr>
                        <w:pStyle w:val="ListParagraph"/>
                        <w:numPr>
                          <w:ilvl w:val="0"/>
                          <w:numId w:val="11"/>
                        </w:numPr>
                        <w:ind w:left="426" w:hanging="284"/>
                        <w:textDirection w:val="btLr"/>
                        <w:rPr>
                          <w:bCs/>
                        </w:rPr>
                      </w:pPr>
                      <w:r w:rsidRPr="00B2199A">
                        <w:rPr>
                          <w:rFonts w:ascii="Arial" w:eastAsia="Arial" w:hAnsi="Arial" w:cs="Arial"/>
                          <w:bCs/>
                          <w:color w:val="000000"/>
                          <w:sz w:val="20"/>
                        </w:rPr>
                        <w:t xml:space="preserve">Ensure that the Family Law must contain provisions to prohibit polygamy by Afghan Muslim men, following examples of other Muslim countries which have abolished the practice in the best interest of family well-being. </w:t>
                      </w:r>
                    </w:p>
                  </w:txbxContent>
                </v:textbox>
                <w10:anchorlock/>
              </v:rect>
            </w:pict>
          </mc:Fallback>
        </mc:AlternateContent>
      </w:r>
    </w:p>
    <w:p w14:paraId="26658BC2" w14:textId="77777777" w:rsidR="00B92901" w:rsidRDefault="00B92901">
      <w:pPr>
        <w:pBdr>
          <w:top w:val="nil"/>
          <w:left w:val="nil"/>
          <w:bottom w:val="nil"/>
          <w:right w:val="nil"/>
          <w:between w:val="nil"/>
        </w:pBdr>
        <w:ind w:hanging="720"/>
        <w:rPr>
          <w:rFonts w:ascii="Arial" w:eastAsia="Arial" w:hAnsi="Arial" w:cs="Arial"/>
          <w:color w:val="000000"/>
          <w:sz w:val="22"/>
          <w:szCs w:val="22"/>
        </w:rPr>
      </w:pPr>
    </w:p>
    <w:p w14:paraId="20AF6912" w14:textId="77777777" w:rsidR="00B92901" w:rsidRDefault="00074907">
      <w:pPr>
        <w:pStyle w:val="Heading2"/>
      </w:pPr>
      <w:bookmarkStart w:id="7" w:name="_heading=h.1t3h5sf" w:colFirst="0" w:colLast="0"/>
      <w:bookmarkEnd w:id="7"/>
      <w:r>
        <w:t>3. DIVORCE RIGHTS</w:t>
      </w:r>
      <w:r>
        <w:tab/>
      </w:r>
    </w:p>
    <w:p w14:paraId="045E97FB" w14:textId="77777777" w:rsidR="00B92901" w:rsidRDefault="00B92901">
      <w:pPr>
        <w:widowControl w:val="0"/>
        <w:rPr>
          <w:rFonts w:ascii="Arial" w:eastAsia="Arial" w:hAnsi="Arial" w:cs="Arial"/>
          <w:sz w:val="20"/>
          <w:szCs w:val="20"/>
        </w:rPr>
      </w:pPr>
    </w:p>
    <w:p w14:paraId="3BF933C1" w14:textId="77777777" w:rsidR="00B92901" w:rsidRDefault="00074907">
      <w:pPr>
        <w:widowControl w:val="0"/>
        <w:rPr>
          <w:rFonts w:ascii="Arial" w:eastAsia="Arial" w:hAnsi="Arial" w:cs="Arial"/>
          <w:sz w:val="20"/>
          <w:szCs w:val="20"/>
        </w:rPr>
      </w:pPr>
      <w:r>
        <w:rPr>
          <w:rFonts w:ascii="Arial" w:eastAsia="Arial" w:hAnsi="Arial" w:cs="Arial"/>
          <w:sz w:val="20"/>
          <w:szCs w:val="20"/>
        </w:rPr>
        <w:t>Divorce rights between Muslim men and women are not equal. Both the Civil Code and the SPSL provide for three different mechanisms for divorce: (i) unilateral repudiation (</w:t>
      </w:r>
      <w:r>
        <w:rPr>
          <w:rFonts w:ascii="Arial" w:eastAsia="Arial" w:hAnsi="Arial" w:cs="Arial"/>
          <w:i/>
          <w:sz w:val="20"/>
          <w:szCs w:val="20"/>
        </w:rPr>
        <w:t>talāq</w:t>
      </w:r>
      <w:r>
        <w:rPr>
          <w:rFonts w:ascii="Arial" w:eastAsia="Arial" w:hAnsi="Arial" w:cs="Arial"/>
          <w:sz w:val="20"/>
          <w:szCs w:val="20"/>
        </w:rPr>
        <w:t>) by husbands; (ii) judicial divorce (</w:t>
      </w:r>
      <w:r>
        <w:rPr>
          <w:rFonts w:ascii="Arial" w:eastAsia="Arial" w:hAnsi="Arial" w:cs="Arial"/>
          <w:i/>
          <w:sz w:val="20"/>
          <w:szCs w:val="20"/>
        </w:rPr>
        <w:t>fasakh</w:t>
      </w:r>
      <w:r>
        <w:rPr>
          <w:rFonts w:ascii="Arial" w:eastAsia="Arial" w:hAnsi="Arial" w:cs="Arial"/>
          <w:sz w:val="20"/>
          <w:szCs w:val="20"/>
        </w:rPr>
        <w:t>) by wife on fault grounds; and (iii) redemptive divorce (</w:t>
      </w:r>
      <w:r>
        <w:rPr>
          <w:rFonts w:ascii="Arial" w:eastAsia="Arial" w:hAnsi="Arial" w:cs="Arial"/>
          <w:i/>
          <w:sz w:val="20"/>
          <w:szCs w:val="20"/>
        </w:rPr>
        <w:t>khul’</w:t>
      </w:r>
      <w:r>
        <w:rPr>
          <w:rFonts w:ascii="Arial" w:eastAsia="Arial" w:hAnsi="Arial" w:cs="Arial"/>
          <w:sz w:val="20"/>
          <w:szCs w:val="20"/>
        </w:rPr>
        <w:t>) by wife with consent of husband. The marriage may also be annulled.</w:t>
      </w:r>
      <w:r>
        <w:rPr>
          <w:rFonts w:ascii="Arial" w:eastAsia="Arial" w:hAnsi="Arial" w:cs="Arial"/>
          <w:sz w:val="20"/>
          <w:szCs w:val="20"/>
          <w:vertAlign w:val="superscript"/>
        </w:rPr>
        <w:footnoteReference w:id="19"/>
      </w:r>
    </w:p>
    <w:p w14:paraId="62433619" w14:textId="77777777" w:rsidR="00B92901" w:rsidRDefault="00B92901">
      <w:pPr>
        <w:widowControl w:val="0"/>
        <w:rPr>
          <w:rFonts w:ascii="Arial" w:eastAsia="Arial" w:hAnsi="Arial" w:cs="Arial"/>
          <w:sz w:val="20"/>
          <w:szCs w:val="20"/>
        </w:rPr>
      </w:pPr>
    </w:p>
    <w:p w14:paraId="4D987EFC" w14:textId="77777777" w:rsidR="002B1571" w:rsidRPr="004105D6" w:rsidRDefault="00074907" w:rsidP="002B1571">
      <w:pPr>
        <w:widowControl w:val="0"/>
        <w:rPr>
          <w:rFonts w:ascii="Arial" w:hAnsi="Arial" w:cs="Arial"/>
          <w:sz w:val="20"/>
          <w:szCs w:val="20"/>
        </w:rPr>
      </w:pPr>
      <w:r>
        <w:rPr>
          <w:rFonts w:ascii="Arial" w:eastAsia="Arial" w:hAnsi="Arial" w:cs="Arial"/>
          <w:sz w:val="20"/>
          <w:szCs w:val="20"/>
        </w:rPr>
        <w:t>Under both the Civil Code and SPSL, the husband may unilaterally repudiate a marriage, which may be effectuated without much restrictions. While the Civil Code is silent on the requirement for witnesses to the repudiation, the SPSL specifically requires the presence of two male witnesses who must be Muslims.</w:t>
      </w:r>
      <w:r>
        <w:rPr>
          <w:rFonts w:ascii="Arial" w:eastAsia="Arial" w:hAnsi="Arial" w:cs="Arial"/>
          <w:sz w:val="20"/>
          <w:szCs w:val="20"/>
          <w:vertAlign w:val="superscript"/>
        </w:rPr>
        <w:footnoteReference w:id="20"/>
      </w:r>
      <w:r>
        <w:rPr>
          <w:rFonts w:ascii="Arial" w:eastAsia="Arial" w:hAnsi="Arial" w:cs="Arial"/>
          <w:sz w:val="20"/>
          <w:szCs w:val="20"/>
        </w:rPr>
        <w:t xml:space="preserve"> A woman can initiate a judicial divorce only on specific grounds and must follow a different procedure than for talaq. She also has the responsibility to bring the burden of proof. </w:t>
      </w:r>
      <w:r w:rsidR="002B1571" w:rsidRPr="004105D6">
        <w:rPr>
          <w:rFonts w:ascii="Arial" w:hAnsi="Arial" w:cs="Arial"/>
          <w:sz w:val="20"/>
          <w:szCs w:val="20"/>
        </w:rPr>
        <w:t>According to reports by the Afghan government as well as civil society, several factors restrict a wife’s right to divorce:</w:t>
      </w:r>
      <w:r w:rsidR="002B1571" w:rsidRPr="004105D6">
        <w:rPr>
          <w:rStyle w:val="FootnoteReference"/>
          <w:rFonts w:cs="Arial"/>
          <w:sz w:val="20"/>
          <w:szCs w:val="20"/>
        </w:rPr>
        <w:footnoteReference w:id="21"/>
      </w:r>
    </w:p>
    <w:p w14:paraId="6E4C6089" w14:textId="77777777" w:rsidR="002B1571" w:rsidRPr="004105D6" w:rsidRDefault="002B1571" w:rsidP="002B1571">
      <w:pPr>
        <w:pStyle w:val="ListParagraph"/>
        <w:widowControl w:val="0"/>
        <w:ind w:left="261"/>
        <w:contextualSpacing w:val="0"/>
        <w:rPr>
          <w:rFonts w:ascii="Arial" w:hAnsi="Arial" w:cs="Arial"/>
          <w:sz w:val="20"/>
          <w:szCs w:val="20"/>
        </w:rPr>
      </w:pPr>
    </w:p>
    <w:p w14:paraId="0CAEB5FD" w14:textId="77777777" w:rsidR="002B1571" w:rsidRPr="00211D5F" w:rsidRDefault="002B1571" w:rsidP="00211D5F">
      <w:pPr>
        <w:pStyle w:val="ListParagraph"/>
        <w:numPr>
          <w:ilvl w:val="0"/>
          <w:numId w:val="16"/>
        </w:numPr>
        <w:rPr>
          <w:rFonts w:ascii="Arial" w:hAnsi="Arial" w:cs="Arial"/>
          <w:sz w:val="20"/>
          <w:szCs w:val="20"/>
        </w:rPr>
      </w:pPr>
      <w:r w:rsidRPr="00211D5F">
        <w:rPr>
          <w:rFonts w:ascii="Arial" w:hAnsi="Arial" w:cs="Arial"/>
          <w:sz w:val="20"/>
          <w:szCs w:val="20"/>
        </w:rPr>
        <w:t>Many women are not aware of their right to seek judicial divorce. This is largely because divorce is culturally unfavourable;</w:t>
      </w:r>
    </w:p>
    <w:p w14:paraId="740AC249" w14:textId="1C589090" w:rsidR="002B1571" w:rsidRPr="00211D5F" w:rsidRDefault="002B1571" w:rsidP="00211D5F">
      <w:pPr>
        <w:pStyle w:val="ListParagraph"/>
        <w:numPr>
          <w:ilvl w:val="0"/>
          <w:numId w:val="16"/>
        </w:numPr>
        <w:rPr>
          <w:rFonts w:ascii="Arial" w:hAnsi="Arial" w:cs="Arial"/>
          <w:sz w:val="20"/>
          <w:szCs w:val="20"/>
        </w:rPr>
      </w:pPr>
      <w:r w:rsidRPr="00211D5F">
        <w:rPr>
          <w:rFonts w:ascii="Arial" w:hAnsi="Arial" w:cs="Arial"/>
          <w:sz w:val="20"/>
          <w:szCs w:val="20"/>
        </w:rPr>
        <w:t xml:space="preserve">The lack of access to legal representation for women in family matters; and </w:t>
      </w:r>
    </w:p>
    <w:p w14:paraId="13B573AA" w14:textId="4F717539" w:rsidR="00211D5F" w:rsidRPr="00FB6B19" w:rsidRDefault="002B1571" w:rsidP="00FB6B19">
      <w:pPr>
        <w:pStyle w:val="ListParagraph"/>
        <w:numPr>
          <w:ilvl w:val="0"/>
          <w:numId w:val="16"/>
        </w:numPr>
        <w:rPr>
          <w:rFonts w:ascii="Arial" w:hAnsi="Arial" w:cs="Arial"/>
          <w:sz w:val="20"/>
          <w:szCs w:val="20"/>
        </w:rPr>
      </w:pPr>
      <w:r w:rsidRPr="00211D5F">
        <w:rPr>
          <w:rFonts w:ascii="Arial" w:hAnsi="Arial" w:cs="Arial"/>
          <w:sz w:val="20"/>
          <w:szCs w:val="20"/>
        </w:rPr>
        <w:t>The fear of losing custody of her children.</w:t>
      </w:r>
    </w:p>
    <w:p w14:paraId="607062EA" w14:textId="77777777" w:rsidR="00211D5F" w:rsidRDefault="00211D5F">
      <w:pPr>
        <w:widowControl w:val="0"/>
        <w:rPr>
          <w:rFonts w:ascii="Arial" w:eastAsia="Arial" w:hAnsi="Arial" w:cs="Arial"/>
          <w:sz w:val="20"/>
          <w:szCs w:val="20"/>
        </w:rPr>
      </w:pPr>
    </w:p>
    <w:p w14:paraId="44CCCE86" w14:textId="77777777" w:rsidR="00B92901" w:rsidRDefault="00074907">
      <w:pPr>
        <w:widowControl w:val="0"/>
        <w:rPr>
          <w:rFonts w:ascii="Arial" w:eastAsia="Arial" w:hAnsi="Arial" w:cs="Arial"/>
          <w:sz w:val="20"/>
          <w:szCs w:val="20"/>
        </w:rPr>
      </w:pPr>
      <w:r>
        <w:rPr>
          <w:rFonts w:ascii="Arial" w:eastAsia="Arial" w:hAnsi="Arial" w:cs="Arial"/>
          <w:sz w:val="20"/>
          <w:szCs w:val="20"/>
        </w:rPr>
        <w:t>Both Sunni and Shia husbands may delegate their unilateral right to divorce to their wives (</w:t>
      </w:r>
      <w:r>
        <w:rPr>
          <w:rFonts w:ascii="Arial" w:eastAsia="Arial" w:hAnsi="Arial" w:cs="Arial"/>
          <w:i/>
          <w:sz w:val="20"/>
          <w:szCs w:val="20"/>
        </w:rPr>
        <w:t xml:space="preserve">isma) </w:t>
      </w:r>
      <w:r>
        <w:rPr>
          <w:rFonts w:ascii="Arial" w:eastAsia="Arial" w:hAnsi="Arial" w:cs="Arial"/>
          <w:sz w:val="20"/>
          <w:szCs w:val="20"/>
        </w:rPr>
        <w:t>through a stipulation in the marriage contract,</w:t>
      </w:r>
      <w:r>
        <w:rPr>
          <w:rFonts w:ascii="Arial" w:eastAsia="Arial" w:hAnsi="Arial" w:cs="Arial"/>
          <w:sz w:val="20"/>
          <w:szCs w:val="20"/>
          <w:vertAlign w:val="superscript"/>
        </w:rPr>
        <w:footnoteReference w:id="22"/>
      </w:r>
      <w:r>
        <w:rPr>
          <w:rFonts w:ascii="Arial" w:eastAsia="Arial" w:hAnsi="Arial" w:cs="Arial"/>
          <w:sz w:val="20"/>
          <w:szCs w:val="20"/>
        </w:rPr>
        <w:t xml:space="preserve"> thus permitting her to pronounce </w:t>
      </w:r>
      <w:r>
        <w:rPr>
          <w:rFonts w:ascii="Arial" w:eastAsia="Arial" w:hAnsi="Arial" w:cs="Arial"/>
          <w:i/>
          <w:sz w:val="20"/>
          <w:szCs w:val="20"/>
        </w:rPr>
        <w:t xml:space="preserve">talāq </w:t>
      </w:r>
      <w:r>
        <w:rPr>
          <w:rFonts w:ascii="Arial" w:eastAsia="Arial" w:hAnsi="Arial" w:cs="Arial"/>
          <w:sz w:val="20"/>
          <w:szCs w:val="20"/>
        </w:rPr>
        <w:t>upon herself (</w:t>
      </w:r>
      <w:r>
        <w:rPr>
          <w:rFonts w:ascii="Arial" w:eastAsia="Arial" w:hAnsi="Arial" w:cs="Arial"/>
          <w:i/>
          <w:sz w:val="20"/>
          <w:szCs w:val="20"/>
        </w:rPr>
        <w:t>talāq-i-tafwid</w:t>
      </w:r>
      <w:r>
        <w:rPr>
          <w:rFonts w:ascii="Arial" w:eastAsia="Arial" w:hAnsi="Arial" w:cs="Arial"/>
          <w:sz w:val="20"/>
          <w:szCs w:val="20"/>
        </w:rPr>
        <w:t>), however activists state that this practice is rare as most women have little opportunity to negotiate the contracts prior to marriage.</w:t>
      </w:r>
      <w:r>
        <w:rPr>
          <w:rFonts w:ascii="Arial" w:eastAsia="Arial" w:hAnsi="Arial" w:cs="Arial"/>
          <w:sz w:val="20"/>
          <w:szCs w:val="20"/>
          <w:vertAlign w:val="superscript"/>
        </w:rPr>
        <w:footnoteReference w:id="23"/>
      </w:r>
      <w:r>
        <w:rPr>
          <w:rFonts w:ascii="Arial" w:eastAsia="Arial" w:hAnsi="Arial" w:cs="Arial"/>
          <w:sz w:val="20"/>
          <w:szCs w:val="20"/>
        </w:rPr>
        <w:t xml:space="preserve">  </w:t>
      </w:r>
    </w:p>
    <w:p w14:paraId="001BB670" w14:textId="77777777" w:rsidR="00B92901" w:rsidRDefault="00B92901">
      <w:pPr>
        <w:widowControl w:val="0"/>
        <w:rPr>
          <w:rFonts w:ascii="Arial" w:eastAsia="Arial" w:hAnsi="Arial" w:cs="Arial"/>
          <w:sz w:val="20"/>
          <w:szCs w:val="20"/>
        </w:rPr>
      </w:pPr>
    </w:p>
    <w:p w14:paraId="42328C4D" w14:textId="77777777" w:rsidR="00B92901" w:rsidRDefault="00074907">
      <w:pPr>
        <w:widowControl w:val="0"/>
        <w:rPr>
          <w:rFonts w:ascii="Arial" w:eastAsia="Arial" w:hAnsi="Arial" w:cs="Arial"/>
          <w:color w:val="000000"/>
          <w:sz w:val="22"/>
          <w:szCs w:val="22"/>
        </w:rPr>
      </w:pPr>
      <w:r>
        <w:rPr>
          <w:noProof/>
          <w:lang w:val="en-GB" w:eastAsia="en-GB"/>
        </w:rPr>
        <mc:AlternateContent>
          <mc:Choice Requires="wps">
            <w:drawing>
              <wp:inline distT="0" distB="0" distL="0" distR="0" wp14:anchorId="7350470D" wp14:editId="69C2A1E6">
                <wp:extent cx="5579706" cy="1838130"/>
                <wp:effectExtent l="0" t="0" r="0" b="3810"/>
                <wp:docPr id="24" name="Rectangle 24"/>
                <wp:cNvGraphicFramePr/>
                <a:graphic xmlns:a="http://schemas.openxmlformats.org/drawingml/2006/main">
                  <a:graphicData uri="http://schemas.microsoft.com/office/word/2010/wordprocessingShape">
                    <wps:wsp>
                      <wps:cNvSpPr/>
                      <wps:spPr>
                        <a:xfrm>
                          <a:off x="0" y="0"/>
                          <a:ext cx="5579706" cy="1838130"/>
                        </a:xfrm>
                        <a:prstGeom prst="rect">
                          <a:avLst/>
                        </a:prstGeom>
                        <a:solidFill>
                          <a:srgbClr val="CACACA"/>
                        </a:solidFill>
                        <a:ln>
                          <a:noFill/>
                        </a:ln>
                      </wps:spPr>
                      <wps:txbx>
                        <w:txbxContent>
                          <w:p w14:paraId="16582B46" w14:textId="77777777" w:rsidR="00B92901" w:rsidRDefault="00074907">
                            <w:pPr>
                              <w:textDirection w:val="btLr"/>
                            </w:pPr>
                            <w:r>
                              <w:rPr>
                                <w:rFonts w:ascii="Arial" w:eastAsia="Arial" w:hAnsi="Arial" w:cs="Arial"/>
                                <w:b/>
                                <w:color w:val="000000"/>
                                <w:sz w:val="20"/>
                              </w:rPr>
                              <w:t xml:space="preserve">RECOMMENDATIONS </w:t>
                            </w:r>
                          </w:p>
                          <w:p w14:paraId="4F80CD35" w14:textId="77777777" w:rsidR="00B92901" w:rsidRDefault="00B92901">
                            <w:pPr>
                              <w:textDirection w:val="btLr"/>
                            </w:pPr>
                          </w:p>
                          <w:p w14:paraId="1B4D4D9D"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7FA72DF6" w14:textId="77777777" w:rsidR="00B92901" w:rsidRPr="002B1571" w:rsidRDefault="00074907" w:rsidP="0078156B">
                            <w:pPr>
                              <w:pStyle w:val="ListParagraph"/>
                              <w:numPr>
                                <w:ilvl w:val="0"/>
                                <w:numId w:val="12"/>
                              </w:numPr>
                              <w:ind w:left="426"/>
                              <w:textDirection w:val="btLr"/>
                              <w:rPr>
                                <w:bCs/>
                              </w:rPr>
                            </w:pPr>
                            <w:r w:rsidRPr="002B1571">
                              <w:rPr>
                                <w:rFonts w:ascii="Arial" w:eastAsia="Arial" w:hAnsi="Arial" w:cs="Arial"/>
                                <w:bCs/>
                                <w:color w:val="000000"/>
                                <w:sz w:val="20"/>
                              </w:rPr>
                              <w:t xml:space="preserve">Amend divorce provisions whereby Muslim men no longer have the right to unilaterally divorce their wives without reason or out of court. </w:t>
                            </w:r>
                          </w:p>
                          <w:p w14:paraId="55A3C16C" w14:textId="77777777" w:rsidR="00211D5F" w:rsidRPr="00211D5F" w:rsidRDefault="00074907" w:rsidP="00211D5F">
                            <w:pPr>
                              <w:pStyle w:val="ListParagraph"/>
                              <w:numPr>
                                <w:ilvl w:val="0"/>
                                <w:numId w:val="12"/>
                              </w:numPr>
                              <w:ind w:left="426"/>
                              <w:textDirection w:val="btLr"/>
                              <w:rPr>
                                <w:bCs/>
                              </w:rPr>
                            </w:pPr>
                            <w:r w:rsidRPr="002B1571">
                              <w:rPr>
                                <w:rFonts w:ascii="Arial" w:eastAsia="Arial" w:hAnsi="Arial" w:cs="Arial"/>
                                <w:bCs/>
                                <w:color w:val="000000"/>
                                <w:sz w:val="20"/>
                              </w:rPr>
                              <w:t xml:space="preserve">Ensure divorce procedures are just and fair for women, especially in instances of harm (eg. domestic violence). </w:t>
                            </w:r>
                          </w:p>
                          <w:p w14:paraId="1E8619D3" w14:textId="0705EEEF" w:rsidR="00B92901" w:rsidRPr="00211D5F" w:rsidRDefault="00211D5F" w:rsidP="00211D5F">
                            <w:pPr>
                              <w:pStyle w:val="ListParagraph"/>
                              <w:numPr>
                                <w:ilvl w:val="0"/>
                                <w:numId w:val="12"/>
                              </w:numPr>
                              <w:ind w:left="426"/>
                              <w:textDirection w:val="btLr"/>
                              <w:rPr>
                                <w:bCs/>
                              </w:rPr>
                            </w:pPr>
                            <w:r>
                              <w:rPr>
                                <w:rFonts w:ascii="Arial" w:eastAsia="Arial" w:hAnsi="Arial" w:cs="Arial"/>
                                <w:bCs/>
                                <w:color w:val="000000"/>
                                <w:sz w:val="20"/>
                              </w:rPr>
                              <w:t>Ensure that a</w:t>
                            </w:r>
                            <w:r w:rsidR="00074907" w:rsidRPr="00211D5F">
                              <w:rPr>
                                <w:rFonts w:ascii="Arial" w:eastAsia="Arial" w:hAnsi="Arial" w:cs="Arial"/>
                                <w:bCs/>
                                <w:color w:val="000000"/>
                                <w:sz w:val="20"/>
                              </w:rPr>
                              <w:t xml:space="preserve">ll divorces must be administered via in the court after assessing the best interest of the parties and child/ren involved. Divorces must be registered via an official body and a divorce certificate/document issued to both parties. </w:t>
                            </w:r>
                          </w:p>
                          <w:p w14:paraId="19996628" w14:textId="77777777" w:rsidR="00B92901" w:rsidRDefault="00B92901">
                            <w:pPr>
                              <w:textDirection w:val="btLr"/>
                            </w:pPr>
                          </w:p>
                          <w:p w14:paraId="2CF0D058" w14:textId="77777777" w:rsidR="00B92901" w:rsidRDefault="00B92901">
                            <w:pPr>
                              <w:ind w:left="360" w:firstLine="360"/>
                              <w:textDirection w:val="btLr"/>
                            </w:pPr>
                          </w:p>
                          <w:p w14:paraId="2D758235" w14:textId="77777777" w:rsidR="00B92901" w:rsidRDefault="00B92901">
                            <w:pPr>
                              <w:ind w:left="360" w:firstLine="360"/>
                              <w:textDirection w:val="btLr"/>
                            </w:pPr>
                          </w:p>
                        </w:txbxContent>
                      </wps:txbx>
                      <wps:bodyPr spcFirstLastPara="1" wrap="square" lIns="91425" tIns="45700" rIns="91425" bIns="45700" anchor="t" anchorCtr="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350470D" id="Rectangle 24" o:spid="_x0000_s1029" style="width:439.35pt;height:14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" fillcolor="#cacaca" stroked="f">
                <v:textbox inset="2.53958mm,1.2694mm,2.53958mm,1.2694mm">
                  <w:txbxContent>
                    <w:p w14:paraId="16582B46" w14:textId="77777777" w:rsidR="00B92901" w:rsidRDefault="00074907">
                      <w:pPr>
                        <w:textDirection w:val="btLr"/>
                      </w:pPr>
                      <w:r>
                        <w:rPr>
                          <w:rFonts w:ascii="Arial" w:eastAsia="Arial" w:hAnsi="Arial" w:cs="Arial"/>
                          <w:b/>
                          <w:color w:val="000000"/>
                          <w:sz w:val="20"/>
                        </w:rPr>
                        <w:t xml:space="preserve">RECOMMENDATIONS </w:t>
                      </w:r>
                    </w:p>
                    <w:p w14:paraId="4F80CD35" w14:textId="77777777" w:rsidR="00B92901" w:rsidRDefault="00B92901">
                      <w:pPr>
                        <w:textDirection w:val="btLr"/>
                      </w:pPr>
                    </w:p>
                    <w:p w14:paraId="1B4D4D9D"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7FA72DF6" w14:textId="77777777" w:rsidR="00B92901" w:rsidRPr="002B1571" w:rsidRDefault="00074907" w:rsidP="0078156B">
                      <w:pPr>
                        <w:pStyle w:val="ListParagraph"/>
                        <w:numPr>
                          <w:ilvl w:val="0"/>
                          <w:numId w:val="12"/>
                        </w:numPr>
                        <w:ind w:left="426"/>
                        <w:textDirection w:val="btLr"/>
                        <w:rPr>
                          <w:bCs/>
                        </w:rPr>
                      </w:pPr>
                      <w:r w:rsidRPr="002B1571">
                        <w:rPr>
                          <w:rFonts w:ascii="Arial" w:eastAsia="Arial" w:hAnsi="Arial" w:cs="Arial"/>
                          <w:bCs/>
                          <w:color w:val="000000"/>
                          <w:sz w:val="20"/>
                        </w:rPr>
                        <w:t xml:space="preserve">Amend divorce provisions whereby Muslim men no longer have the right to unilaterally divorce their wives without reason or out of court. </w:t>
                      </w:r>
                    </w:p>
                    <w:p w14:paraId="55A3C16C" w14:textId="77777777" w:rsidR="00211D5F" w:rsidRPr="00211D5F" w:rsidRDefault="00074907" w:rsidP="00211D5F">
                      <w:pPr>
                        <w:pStyle w:val="ListParagraph"/>
                        <w:numPr>
                          <w:ilvl w:val="0"/>
                          <w:numId w:val="12"/>
                        </w:numPr>
                        <w:ind w:left="426"/>
                        <w:textDirection w:val="btLr"/>
                        <w:rPr>
                          <w:bCs/>
                        </w:rPr>
                      </w:pPr>
                      <w:r w:rsidRPr="002B1571">
                        <w:rPr>
                          <w:rFonts w:ascii="Arial" w:eastAsia="Arial" w:hAnsi="Arial" w:cs="Arial"/>
                          <w:bCs/>
                          <w:color w:val="000000"/>
                          <w:sz w:val="20"/>
                        </w:rPr>
                        <w:t>Ensure divorce procedures are just and fair for women, especially in instances of harm (</w:t>
                      </w:r>
                      <w:proofErr w:type="spellStart"/>
                      <w:r w:rsidRPr="002B1571">
                        <w:rPr>
                          <w:rFonts w:ascii="Arial" w:eastAsia="Arial" w:hAnsi="Arial" w:cs="Arial"/>
                          <w:bCs/>
                          <w:color w:val="000000"/>
                          <w:sz w:val="20"/>
                        </w:rPr>
                        <w:t>eg.</w:t>
                      </w:r>
                      <w:proofErr w:type="spellEnd"/>
                      <w:r w:rsidRPr="002B1571">
                        <w:rPr>
                          <w:rFonts w:ascii="Arial" w:eastAsia="Arial" w:hAnsi="Arial" w:cs="Arial"/>
                          <w:bCs/>
                          <w:color w:val="000000"/>
                          <w:sz w:val="20"/>
                        </w:rPr>
                        <w:t xml:space="preserve"> domestic violence). </w:t>
                      </w:r>
                    </w:p>
                    <w:p w14:paraId="1E8619D3" w14:textId="0705EEEF" w:rsidR="00B92901" w:rsidRPr="00211D5F" w:rsidRDefault="00211D5F" w:rsidP="00211D5F">
                      <w:pPr>
                        <w:pStyle w:val="ListParagraph"/>
                        <w:numPr>
                          <w:ilvl w:val="0"/>
                          <w:numId w:val="12"/>
                        </w:numPr>
                        <w:ind w:left="426"/>
                        <w:textDirection w:val="btLr"/>
                        <w:rPr>
                          <w:bCs/>
                        </w:rPr>
                      </w:pPr>
                      <w:r>
                        <w:rPr>
                          <w:rFonts w:ascii="Arial" w:eastAsia="Arial" w:hAnsi="Arial" w:cs="Arial"/>
                          <w:bCs/>
                          <w:color w:val="000000"/>
                          <w:sz w:val="20"/>
                        </w:rPr>
                        <w:t>Ensure that a</w:t>
                      </w:r>
                      <w:r w:rsidR="00074907" w:rsidRPr="00211D5F">
                        <w:rPr>
                          <w:rFonts w:ascii="Arial" w:eastAsia="Arial" w:hAnsi="Arial" w:cs="Arial"/>
                          <w:bCs/>
                          <w:color w:val="000000"/>
                          <w:sz w:val="20"/>
                        </w:rPr>
                        <w:t xml:space="preserve">ll divorces must be administered via in the court after assessing the best interest of the parties and child/ren involved. Divorces must be registered via an official body and a divorce certificate/document issued to both parties. </w:t>
                      </w:r>
                    </w:p>
                    <w:p w14:paraId="19996628" w14:textId="77777777" w:rsidR="00B92901" w:rsidRDefault="00B92901">
                      <w:pPr>
                        <w:textDirection w:val="btLr"/>
                      </w:pPr>
                    </w:p>
                    <w:p w14:paraId="2CF0D058" w14:textId="77777777" w:rsidR="00B92901" w:rsidRDefault="00B92901">
                      <w:pPr>
                        <w:ind w:left="360" w:firstLine="360"/>
                        <w:textDirection w:val="btLr"/>
                      </w:pPr>
                    </w:p>
                    <w:p w14:paraId="2D758235" w14:textId="77777777" w:rsidR="00B92901" w:rsidRDefault="00B92901">
                      <w:pPr>
                        <w:ind w:left="360" w:firstLine="360"/>
                        <w:textDirection w:val="btLr"/>
                      </w:pPr>
                    </w:p>
                  </w:txbxContent>
                </v:textbox>
                <w10:anchorlock/>
              </v:rect>
            </w:pict>
          </mc:Fallback>
        </mc:AlternateContent>
      </w:r>
    </w:p>
    <w:p w14:paraId="523B0014" w14:textId="77777777" w:rsidR="00B92901" w:rsidRDefault="00B92901" w:rsidP="00667F16">
      <w:pPr>
        <w:pBdr>
          <w:top w:val="nil"/>
          <w:left w:val="nil"/>
          <w:bottom w:val="nil"/>
          <w:right w:val="nil"/>
          <w:between w:val="nil"/>
        </w:pBdr>
        <w:rPr>
          <w:rFonts w:ascii="Arial" w:eastAsia="Arial" w:hAnsi="Arial" w:cs="Arial"/>
          <w:color w:val="000000"/>
          <w:sz w:val="22"/>
          <w:szCs w:val="22"/>
        </w:rPr>
      </w:pPr>
    </w:p>
    <w:p w14:paraId="3C7ED8BB" w14:textId="77777777" w:rsidR="00B92901" w:rsidRDefault="00074907">
      <w:pPr>
        <w:pStyle w:val="Heading2"/>
      </w:pPr>
      <w:bookmarkStart w:id="8" w:name="_heading=h.2s8eyo1" w:colFirst="0" w:colLast="0"/>
      <w:bookmarkEnd w:id="8"/>
      <w:r>
        <w:t xml:space="preserve">4.  INHERITANCE &amp; MATRIMONIAL PROPERTY  </w:t>
      </w:r>
      <w:r>
        <w:tab/>
      </w:r>
    </w:p>
    <w:p w14:paraId="694D5320" w14:textId="77777777" w:rsidR="00B92901" w:rsidRDefault="00B92901">
      <w:pPr>
        <w:widowControl w:val="0"/>
        <w:rPr>
          <w:rFonts w:ascii="Arial" w:eastAsia="Arial" w:hAnsi="Arial" w:cs="Arial"/>
          <w:sz w:val="20"/>
          <w:szCs w:val="20"/>
        </w:rPr>
      </w:pPr>
    </w:p>
    <w:p w14:paraId="4308001D" w14:textId="24B13907" w:rsidR="00B92901" w:rsidRDefault="00074907" w:rsidP="00211D5F">
      <w:pPr>
        <w:widowControl w:val="0"/>
        <w:rPr>
          <w:rFonts w:ascii="Arial" w:eastAsia="Arial" w:hAnsi="Arial" w:cs="Arial"/>
          <w:sz w:val="20"/>
          <w:szCs w:val="20"/>
        </w:rPr>
      </w:pPr>
      <w:r>
        <w:rPr>
          <w:rFonts w:ascii="Arial" w:eastAsia="Arial" w:hAnsi="Arial" w:cs="Arial"/>
          <w:sz w:val="20"/>
          <w:szCs w:val="20"/>
        </w:rPr>
        <w:t>There is no legal concept of matrimonial assets for both Sunnis and Shias, and inheritance rights between women and men are unequal for both Sunnis and Shia, although there are exceptions to the general rule. The Civil Code and the SPSL details the inheritance shares of beneficiaries. In many instances, women are entitled to half the share of the estate as compared to man.</w:t>
      </w:r>
      <w:r>
        <w:rPr>
          <w:rFonts w:ascii="Arial" w:eastAsia="Arial" w:hAnsi="Arial" w:cs="Arial"/>
          <w:sz w:val="20"/>
          <w:szCs w:val="20"/>
          <w:vertAlign w:val="superscript"/>
        </w:rPr>
        <w:t xml:space="preserve"> </w:t>
      </w:r>
      <w:r>
        <w:rPr>
          <w:rFonts w:ascii="Arial" w:eastAsia="Arial" w:hAnsi="Arial" w:cs="Arial"/>
          <w:sz w:val="20"/>
          <w:szCs w:val="20"/>
          <w:vertAlign w:val="superscript"/>
        </w:rPr>
        <w:footnoteReference w:id="24"/>
      </w:r>
      <w:r>
        <w:rPr>
          <w:rFonts w:ascii="Arial" w:eastAsia="Arial" w:hAnsi="Arial" w:cs="Arial"/>
          <w:sz w:val="20"/>
          <w:szCs w:val="20"/>
        </w:rPr>
        <w:t xml:space="preserve">  </w:t>
      </w:r>
    </w:p>
    <w:p w14:paraId="3DE585F4" w14:textId="77777777" w:rsidR="00211D5F" w:rsidRPr="00211D5F" w:rsidRDefault="00211D5F" w:rsidP="00211D5F">
      <w:pPr>
        <w:widowControl w:val="0"/>
        <w:rPr>
          <w:rFonts w:ascii="Arial" w:eastAsia="Arial" w:hAnsi="Arial" w:cs="Arial"/>
          <w:sz w:val="20"/>
          <w:szCs w:val="20"/>
        </w:rPr>
      </w:pPr>
    </w:p>
    <w:p w14:paraId="24F935E6" w14:textId="77777777" w:rsidR="00B92901" w:rsidRDefault="00074907">
      <w:pPr>
        <w:widowControl w:val="0"/>
        <w:rPr>
          <w:rFonts w:ascii="Arial" w:eastAsia="Arial" w:hAnsi="Arial" w:cs="Arial"/>
          <w:sz w:val="20"/>
          <w:szCs w:val="20"/>
        </w:rPr>
      </w:pPr>
      <w:r>
        <w:rPr>
          <w:rFonts w:ascii="Arial" w:eastAsia="Arial" w:hAnsi="Arial" w:cs="Arial"/>
          <w:sz w:val="20"/>
          <w:szCs w:val="20"/>
        </w:rPr>
        <w:t>According to the Afghan government, it is relatively difficult for a woman to exercise her inheritance rights because:</w:t>
      </w:r>
      <w:r>
        <w:rPr>
          <w:rFonts w:ascii="Arial" w:eastAsia="Arial" w:hAnsi="Arial" w:cs="Arial"/>
          <w:sz w:val="20"/>
          <w:szCs w:val="20"/>
          <w:vertAlign w:val="superscript"/>
        </w:rPr>
        <w:footnoteReference w:id="25"/>
      </w:r>
    </w:p>
    <w:p w14:paraId="07957879" w14:textId="77777777" w:rsidR="00B92901" w:rsidRDefault="00B92901">
      <w:pPr>
        <w:widowControl w:val="0"/>
        <w:rPr>
          <w:rFonts w:ascii="Arial" w:eastAsia="Arial" w:hAnsi="Arial" w:cs="Arial"/>
          <w:sz w:val="20"/>
          <w:szCs w:val="20"/>
        </w:rPr>
      </w:pPr>
    </w:p>
    <w:p w14:paraId="0C3B6B1D" w14:textId="77777777" w:rsidR="00B92901" w:rsidRDefault="00074907">
      <w:pPr>
        <w:numPr>
          <w:ilvl w:val="0"/>
          <w:numId w:val="3"/>
        </w:numPr>
        <w:pBdr>
          <w:top w:val="nil"/>
          <w:left w:val="nil"/>
          <w:bottom w:val="nil"/>
          <w:right w:val="nil"/>
          <w:between w:val="nil"/>
        </w:pBdr>
        <w:ind w:left="282" w:hanging="284"/>
        <w:rPr>
          <w:rFonts w:ascii="Arial" w:eastAsia="Arial" w:hAnsi="Arial" w:cs="Arial"/>
          <w:color w:val="000000"/>
          <w:sz w:val="20"/>
          <w:szCs w:val="20"/>
        </w:rPr>
      </w:pPr>
      <w:r>
        <w:rPr>
          <w:rFonts w:ascii="Arial" w:eastAsia="Arial" w:hAnsi="Arial" w:cs="Arial"/>
          <w:color w:val="000000"/>
          <w:sz w:val="20"/>
          <w:szCs w:val="20"/>
        </w:rPr>
        <w:t>Men often deprive women of their inheritance rights;</w:t>
      </w:r>
    </w:p>
    <w:p w14:paraId="5E88F101" w14:textId="5C36FAC6" w:rsidR="00B92901" w:rsidRDefault="00074907">
      <w:pPr>
        <w:numPr>
          <w:ilvl w:val="0"/>
          <w:numId w:val="3"/>
        </w:numPr>
        <w:pBdr>
          <w:top w:val="nil"/>
          <w:left w:val="nil"/>
          <w:bottom w:val="nil"/>
          <w:right w:val="nil"/>
          <w:between w:val="nil"/>
        </w:pBdr>
        <w:ind w:left="282" w:hanging="284"/>
        <w:rPr>
          <w:rFonts w:ascii="Arial" w:eastAsia="Arial" w:hAnsi="Arial" w:cs="Arial"/>
          <w:color w:val="000000"/>
          <w:sz w:val="20"/>
          <w:szCs w:val="20"/>
        </w:rPr>
      </w:pPr>
      <w:r>
        <w:rPr>
          <w:rFonts w:ascii="Arial" w:eastAsia="Arial" w:hAnsi="Arial" w:cs="Arial"/>
          <w:color w:val="000000"/>
          <w:sz w:val="20"/>
          <w:szCs w:val="20"/>
        </w:rPr>
        <w:t xml:space="preserve">Women in turn do not ask for their inheritance because such requests are deemed </w:t>
      </w:r>
      <w:r w:rsidR="0002148B">
        <w:rPr>
          <w:rFonts w:ascii="Arial" w:eastAsia="Arial" w:hAnsi="Arial" w:cs="Arial"/>
          <w:color w:val="000000"/>
          <w:sz w:val="20"/>
          <w:szCs w:val="20"/>
        </w:rPr>
        <w:t>‘</w:t>
      </w:r>
      <w:r>
        <w:rPr>
          <w:rFonts w:ascii="Arial" w:eastAsia="Arial" w:hAnsi="Arial" w:cs="Arial"/>
          <w:color w:val="000000"/>
          <w:sz w:val="20"/>
          <w:szCs w:val="20"/>
        </w:rPr>
        <w:t>dishonourable</w:t>
      </w:r>
      <w:r w:rsidR="0002148B">
        <w:rPr>
          <w:rFonts w:ascii="Arial" w:eastAsia="Arial" w:hAnsi="Arial" w:cs="Arial"/>
          <w:color w:val="000000"/>
          <w:sz w:val="20"/>
          <w:szCs w:val="20"/>
        </w:rPr>
        <w:t>’</w:t>
      </w:r>
      <w:r>
        <w:rPr>
          <w:rFonts w:ascii="Arial" w:eastAsia="Arial" w:hAnsi="Arial" w:cs="Arial"/>
          <w:color w:val="000000"/>
          <w:sz w:val="20"/>
          <w:szCs w:val="20"/>
        </w:rPr>
        <w:t xml:space="preserve"> and not socially acceptable; and</w:t>
      </w:r>
    </w:p>
    <w:p w14:paraId="4692996A" w14:textId="77777777" w:rsidR="00B92901" w:rsidRDefault="00074907">
      <w:pPr>
        <w:numPr>
          <w:ilvl w:val="0"/>
          <w:numId w:val="3"/>
        </w:numPr>
        <w:pBdr>
          <w:top w:val="nil"/>
          <w:left w:val="nil"/>
          <w:bottom w:val="nil"/>
          <w:right w:val="nil"/>
          <w:between w:val="nil"/>
        </w:pBdr>
        <w:ind w:left="282" w:hanging="284"/>
        <w:rPr>
          <w:rFonts w:ascii="Arial" w:eastAsia="Arial" w:hAnsi="Arial" w:cs="Arial"/>
          <w:color w:val="000000"/>
          <w:sz w:val="20"/>
          <w:szCs w:val="20"/>
        </w:rPr>
      </w:pPr>
      <w:r>
        <w:rPr>
          <w:rFonts w:ascii="Arial" w:eastAsia="Arial" w:hAnsi="Arial" w:cs="Arial"/>
          <w:color w:val="000000"/>
          <w:sz w:val="20"/>
          <w:szCs w:val="20"/>
        </w:rPr>
        <w:t>In instances where women are courageous enough to ask for their inheritance, their access to justice is limited because women’s issues are not frequently considered by the competent authorities.</w:t>
      </w:r>
    </w:p>
    <w:p w14:paraId="0114607D" w14:textId="77777777" w:rsidR="00B92901" w:rsidRDefault="00B92901"/>
    <w:p w14:paraId="05C63AE2" w14:textId="77777777" w:rsidR="00B92901" w:rsidRDefault="00074907">
      <w:r>
        <w:rPr>
          <w:noProof/>
          <w:lang w:val="en-GB" w:eastAsia="en-GB"/>
        </w:rPr>
        <mc:AlternateContent>
          <mc:Choice Requires="wps">
            <w:drawing>
              <wp:inline distT="0" distB="0" distL="0" distR="0" wp14:anchorId="6AC9EF36" wp14:editId="60FF4375">
                <wp:extent cx="5433060" cy="1738365"/>
                <wp:effectExtent l="0" t="0" r="2540" b="1905"/>
                <wp:docPr id="23" name="Rectangle 23"/>
                <wp:cNvGraphicFramePr/>
                <a:graphic xmlns:a="http://schemas.openxmlformats.org/drawingml/2006/main">
                  <a:graphicData uri="http://schemas.microsoft.com/office/word/2010/wordprocessingShape">
                    <wps:wsp>
                      <wps:cNvSpPr/>
                      <wps:spPr>
                        <a:xfrm>
                          <a:off x="0" y="0"/>
                          <a:ext cx="5433060" cy="1738365"/>
                        </a:xfrm>
                        <a:prstGeom prst="rect">
                          <a:avLst/>
                        </a:prstGeom>
                        <a:solidFill>
                          <a:srgbClr val="CACACA"/>
                        </a:solidFill>
                        <a:ln>
                          <a:noFill/>
                        </a:ln>
                      </wps:spPr>
                      <wps:txbx>
                        <w:txbxContent>
                          <w:p w14:paraId="7584D7D7" w14:textId="77777777" w:rsidR="00B92901" w:rsidRDefault="00074907">
                            <w:pPr>
                              <w:textDirection w:val="btLr"/>
                            </w:pPr>
                            <w:r>
                              <w:rPr>
                                <w:rFonts w:ascii="Arial" w:eastAsia="Arial" w:hAnsi="Arial" w:cs="Arial"/>
                                <w:b/>
                                <w:color w:val="000000"/>
                                <w:sz w:val="20"/>
                              </w:rPr>
                              <w:t xml:space="preserve">RECOMMENDATIONS </w:t>
                            </w:r>
                          </w:p>
                          <w:p w14:paraId="045944C7" w14:textId="77777777" w:rsidR="00B92901" w:rsidRDefault="00B92901">
                            <w:pPr>
                              <w:textDirection w:val="btLr"/>
                            </w:pPr>
                          </w:p>
                          <w:p w14:paraId="6FB02888"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540FE9FB" w14:textId="0B85D0EF" w:rsidR="00B92901" w:rsidRPr="002B1571" w:rsidRDefault="00074907" w:rsidP="0078156B">
                            <w:pPr>
                              <w:pStyle w:val="ListParagraph"/>
                              <w:numPr>
                                <w:ilvl w:val="0"/>
                                <w:numId w:val="13"/>
                              </w:numPr>
                              <w:spacing w:before="100" w:after="100"/>
                              <w:ind w:left="426"/>
                              <w:textDirection w:val="btLr"/>
                              <w:rPr>
                                <w:bCs/>
                              </w:rPr>
                            </w:pPr>
                            <w:r w:rsidRPr="002B1571">
                              <w:rPr>
                                <w:rFonts w:ascii="Arial" w:eastAsia="Arial" w:hAnsi="Arial" w:cs="Arial"/>
                                <w:bCs/>
                                <w:color w:val="000000"/>
                                <w:sz w:val="20"/>
                              </w:rPr>
                              <w:t>Introduce a matrimonial property regime, drawing from progressive legislation in other Muslim contexts such as Malaysia</w:t>
                            </w:r>
                            <w:r w:rsidR="002B1571">
                              <w:rPr>
                                <w:rFonts w:ascii="Arial" w:eastAsia="Arial" w:hAnsi="Arial" w:cs="Arial"/>
                                <w:bCs/>
                                <w:color w:val="000000"/>
                                <w:sz w:val="20"/>
                              </w:rPr>
                              <w:t xml:space="preserve"> (see </w:t>
                            </w:r>
                            <w:r w:rsidR="00FB6B19">
                              <w:rPr>
                                <w:rFonts w:ascii="Arial" w:eastAsia="Arial" w:hAnsi="Arial" w:cs="Arial"/>
                                <w:bCs/>
                                <w:color w:val="000000"/>
                                <w:sz w:val="20"/>
                              </w:rPr>
                              <w:t>A</w:t>
                            </w:r>
                            <w:r w:rsidR="002B1571">
                              <w:rPr>
                                <w:rFonts w:ascii="Arial" w:eastAsia="Arial" w:hAnsi="Arial" w:cs="Arial"/>
                                <w:bCs/>
                                <w:color w:val="000000"/>
                                <w:sz w:val="20"/>
                              </w:rPr>
                              <w:t>nnexe 1)</w:t>
                            </w:r>
                            <w:r w:rsidRPr="002B1571">
                              <w:rPr>
                                <w:rFonts w:ascii="Arial" w:eastAsia="Arial" w:hAnsi="Arial" w:cs="Arial"/>
                                <w:bCs/>
                                <w:color w:val="000000"/>
                                <w:sz w:val="20"/>
                              </w:rPr>
                              <w:t xml:space="preserve">, Brunei and Singapore. Law on matrimonial property must consider the financial and non-financial contributions of women during marriage. </w:t>
                            </w:r>
                          </w:p>
                          <w:p w14:paraId="019036B4" w14:textId="77777777" w:rsidR="00B92901" w:rsidRPr="002B1571" w:rsidRDefault="00074907" w:rsidP="0078156B">
                            <w:pPr>
                              <w:pStyle w:val="ListParagraph"/>
                              <w:numPr>
                                <w:ilvl w:val="0"/>
                                <w:numId w:val="13"/>
                              </w:numPr>
                              <w:spacing w:before="100" w:after="100"/>
                              <w:ind w:left="426"/>
                              <w:textDirection w:val="btLr"/>
                              <w:rPr>
                                <w:bCs/>
                              </w:rPr>
                            </w:pPr>
                            <w:r w:rsidRPr="002B1571">
                              <w:rPr>
                                <w:rFonts w:ascii="Arial" w:eastAsia="Arial" w:hAnsi="Arial" w:cs="Arial"/>
                                <w:bCs/>
                                <w:color w:val="000000"/>
                                <w:sz w:val="20"/>
                              </w:rPr>
                              <w:t xml:space="preserve">Reform provisions on inheritance to grant inheritance on equal grounds for women and men. </w:t>
                            </w:r>
                          </w:p>
                          <w:p w14:paraId="148F35D1" w14:textId="77777777" w:rsidR="00B92901" w:rsidRDefault="00B92901">
                            <w:pPr>
                              <w:textDirection w:val="btLr"/>
                            </w:pPr>
                          </w:p>
                        </w:txbxContent>
                      </wps:txbx>
                      <wps:bodyPr spcFirstLastPara="1" wrap="square" lIns="91425" tIns="45700" rIns="91425" bIns="45700" anchor="t" anchorCtr="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C9EF36" id="Rectangle 23" o:spid="_x0000_s1030" style="width:427.8pt;height:13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" fillcolor="#cacaca" stroked="f">
                <v:textbox inset="2.53958mm,1.2694mm,2.53958mm,1.2694mm">
                  <w:txbxContent>
                    <w:p w14:paraId="7584D7D7" w14:textId="77777777" w:rsidR="00B92901" w:rsidRDefault="00074907">
                      <w:pPr>
                        <w:textDirection w:val="btLr"/>
                      </w:pPr>
                      <w:r>
                        <w:rPr>
                          <w:rFonts w:ascii="Arial" w:eastAsia="Arial" w:hAnsi="Arial" w:cs="Arial"/>
                          <w:b/>
                          <w:color w:val="000000"/>
                          <w:sz w:val="20"/>
                        </w:rPr>
                        <w:t xml:space="preserve">RECOMMENDATIONS </w:t>
                      </w:r>
                    </w:p>
                    <w:p w14:paraId="045944C7" w14:textId="77777777" w:rsidR="00B92901" w:rsidRDefault="00B92901">
                      <w:pPr>
                        <w:textDirection w:val="btLr"/>
                      </w:pPr>
                    </w:p>
                    <w:p w14:paraId="6FB02888" w14:textId="77777777" w:rsidR="00B92901" w:rsidRDefault="00074907">
                      <w:pPr>
                        <w:textDirection w:val="btLr"/>
                      </w:pPr>
                      <w:r>
                        <w:rPr>
                          <w:rFonts w:ascii="Arial" w:eastAsia="Arial" w:hAnsi="Arial" w:cs="Arial"/>
                          <w:b/>
                          <w:color w:val="000000"/>
                          <w:sz w:val="20"/>
                        </w:rPr>
                        <w:t xml:space="preserve">We recommend the CEDAW committee to urge the State party to: </w:t>
                      </w:r>
                    </w:p>
                    <w:p w14:paraId="540FE9FB" w14:textId="0B85D0EF" w:rsidR="00B92901" w:rsidRPr="002B1571" w:rsidRDefault="00074907" w:rsidP="0078156B">
                      <w:pPr>
                        <w:pStyle w:val="ListParagraph"/>
                        <w:numPr>
                          <w:ilvl w:val="0"/>
                          <w:numId w:val="13"/>
                        </w:numPr>
                        <w:spacing w:before="100" w:after="100"/>
                        <w:ind w:left="426"/>
                        <w:textDirection w:val="btLr"/>
                        <w:rPr>
                          <w:bCs/>
                        </w:rPr>
                      </w:pPr>
                      <w:r w:rsidRPr="002B1571">
                        <w:rPr>
                          <w:rFonts w:ascii="Arial" w:eastAsia="Arial" w:hAnsi="Arial" w:cs="Arial"/>
                          <w:bCs/>
                          <w:color w:val="000000"/>
                          <w:sz w:val="20"/>
                        </w:rPr>
                        <w:t>Introduce a matrimonial property regime, drawing from progressive legislation in other Muslim contexts such as Malaysia</w:t>
                      </w:r>
                      <w:r w:rsidR="002B1571">
                        <w:rPr>
                          <w:rFonts w:ascii="Arial" w:eastAsia="Arial" w:hAnsi="Arial" w:cs="Arial"/>
                          <w:bCs/>
                          <w:color w:val="000000"/>
                          <w:sz w:val="20"/>
                        </w:rPr>
                        <w:t xml:space="preserve"> (see </w:t>
                      </w:r>
                      <w:proofErr w:type="spellStart"/>
                      <w:r w:rsidR="00FB6B19">
                        <w:rPr>
                          <w:rFonts w:ascii="Arial" w:eastAsia="Arial" w:hAnsi="Arial" w:cs="Arial"/>
                          <w:bCs/>
                          <w:color w:val="000000"/>
                          <w:sz w:val="20"/>
                        </w:rPr>
                        <w:t>A</w:t>
                      </w:r>
                      <w:r w:rsidR="002B1571">
                        <w:rPr>
                          <w:rFonts w:ascii="Arial" w:eastAsia="Arial" w:hAnsi="Arial" w:cs="Arial"/>
                          <w:bCs/>
                          <w:color w:val="000000"/>
                          <w:sz w:val="20"/>
                        </w:rPr>
                        <w:t>nnexe</w:t>
                      </w:r>
                      <w:proofErr w:type="spellEnd"/>
                      <w:r w:rsidR="002B1571">
                        <w:rPr>
                          <w:rFonts w:ascii="Arial" w:eastAsia="Arial" w:hAnsi="Arial" w:cs="Arial"/>
                          <w:bCs/>
                          <w:color w:val="000000"/>
                          <w:sz w:val="20"/>
                        </w:rPr>
                        <w:t xml:space="preserve"> 1)</w:t>
                      </w:r>
                      <w:r w:rsidRPr="002B1571">
                        <w:rPr>
                          <w:rFonts w:ascii="Arial" w:eastAsia="Arial" w:hAnsi="Arial" w:cs="Arial"/>
                          <w:bCs/>
                          <w:color w:val="000000"/>
                          <w:sz w:val="20"/>
                        </w:rPr>
                        <w:t xml:space="preserve">, Brunei and Singapore. Law on matrimonial property must consider the financial and non-financial contributions of women during marriage. </w:t>
                      </w:r>
                    </w:p>
                    <w:p w14:paraId="019036B4" w14:textId="77777777" w:rsidR="00B92901" w:rsidRPr="002B1571" w:rsidRDefault="00074907" w:rsidP="0078156B">
                      <w:pPr>
                        <w:pStyle w:val="ListParagraph"/>
                        <w:numPr>
                          <w:ilvl w:val="0"/>
                          <w:numId w:val="13"/>
                        </w:numPr>
                        <w:spacing w:before="100" w:after="100"/>
                        <w:ind w:left="426"/>
                        <w:textDirection w:val="btLr"/>
                        <w:rPr>
                          <w:bCs/>
                        </w:rPr>
                      </w:pPr>
                      <w:r w:rsidRPr="002B1571">
                        <w:rPr>
                          <w:rFonts w:ascii="Arial" w:eastAsia="Arial" w:hAnsi="Arial" w:cs="Arial"/>
                          <w:bCs/>
                          <w:color w:val="000000"/>
                          <w:sz w:val="20"/>
                        </w:rPr>
                        <w:t xml:space="preserve">Reform provisions on inheritance to grant inheritance on equal grounds for women and men. </w:t>
                      </w:r>
                    </w:p>
                    <w:p w14:paraId="148F35D1" w14:textId="77777777" w:rsidR="00B92901" w:rsidRDefault="00B92901">
                      <w:pPr>
                        <w:textDirection w:val="btLr"/>
                      </w:pPr>
                    </w:p>
                  </w:txbxContent>
                </v:textbox>
                <w10:anchorlock/>
              </v:rect>
            </w:pict>
          </mc:Fallback>
        </mc:AlternateContent>
      </w:r>
    </w:p>
    <w:p w14:paraId="366AB1BE" w14:textId="3359FDA3" w:rsidR="00B92901" w:rsidRDefault="00B92901"/>
    <w:p w14:paraId="2E559E39" w14:textId="77777777" w:rsidR="002B1571" w:rsidRDefault="002B1571" w:rsidP="002B1571">
      <w:pPr>
        <w:pBdr>
          <w:top w:val="nil"/>
          <w:left w:val="nil"/>
          <w:bottom w:val="nil"/>
          <w:right w:val="nil"/>
          <w:between w:val="nil"/>
        </w:pBdr>
        <w:rPr>
          <w:rFonts w:ascii="Arial" w:eastAsia="Arial" w:hAnsi="Arial" w:cs="Arial"/>
          <w:color w:val="000000"/>
          <w:sz w:val="22"/>
          <w:szCs w:val="22"/>
        </w:rPr>
      </w:pPr>
    </w:p>
    <w:p w14:paraId="25A3CE72" w14:textId="7FB90628" w:rsidR="002B1571" w:rsidRDefault="002B1571" w:rsidP="002B1571">
      <w:pPr>
        <w:pStyle w:val="Heading2"/>
      </w:pPr>
      <w:r>
        <w:t xml:space="preserve">5.  GUARDIANSHIP OF CHILDREN  </w:t>
      </w:r>
      <w:r>
        <w:tab/>
      </w:r>
    </w:p>
    <w:p w14:paraId="1833A7CF" w14:textId="77777777" w:rsidR="002B1571" w:rsidRDefault="002B1571" w:rsidP="002B1571">
      <w:pPr>
        <w:widowControl w:val="0"/>
        <w:rPr>
          <w:rFonts w:ascii="Arial" w:eastAsia="Arial" w:hAnsi="Arial" w:cs="Arial"/>
          <w:sz w:val="20"/>
          <w:szCs w:val="20"/>
        </w:rPr>
      </w:pPr>
    </w:p>
    <w:p w14:paraId="26E1F083" w14:textId="6AB86139" w:rsidR="002B1571" w:rsidRPr="002B1571" w:rsidRDefault="002B1571" w:rsidP="002B1571">
      <w:pPr>
        <w:widowControl w:val="0"/>
        <w:autoSpaceDE w:val="0"/>
        <w:autoSpaceDN w:val="0"/>
        <w:adjustRightInd w:val="0"/>
        <w:rPr>
          <w:rFonts w:ascii="Arial" w:hAnsi="Arial" w:cs="Arial"/>
          <w:sz w:val="20"/>
          <w:szCs w:val="20"/>
        </w:rPr>
      </w:pPr>
      <w:r w:rsidRPr="002B1571">
        <w:rPr>
          <w:rFonts w:ascii="Arial" w:hAnsi="Arial" w:cs="Arial"/>
          <w:sz w:val="20"/>
          <w:szCs w:val="20"/>
        </w:rPr>
        <w:t>Both Sunni and Shia fathers have priority right over the guardianship of their children.</w:t>
      </w:r>
      <w:r>
        <w:rPr>
          <w:rFonts w:ascii="Arial" w:hAnsi="Arial" w:cs="Arial"/>
          <w:sz w:val="20"/>
          <w:szCs w:val="20"/>
        </w:rPr>
        <w:t xml:space="preserve"> </w:t>
      </w:r>
      <w:r w:rsidRPr="002B1571">
        <w:rPr>
          <w:rFonts w:ascii="Arial" w:hAnsi="Arial" w:cs="Arial"/>
          <w:bCs/>
          <w:sz w:val="20"/>
          <w:szCs w:val="20"/>
        </w:rPr>
        <w:t>For Sunnis,</w:t>
      </w:r>
      <w:r>
        <w:rPr>
          <w:rFonts w:ascii="Arial" w:hAnsi="Arial" w:cs="Arial"/>
          <w:b/>
          <w:sz w:val="20"/>
          <w:szCs w:val="20"/>
        </w:rPr>
        <w:t xml:space="preserve"> </w:t>
      </w:r>
      <w:r>
        <w:rPr>
          <w:rFonts w:ascii="Arial" w:hAnsi="Arial" w:cs="Arial"/>
          <w:sz w:val="20"/>
          <w:szCs w:val="20"/>
        </w:rPr>
        <w:t>t</w:t>
      </w:r>
      <w:r w:rsidRPr="002B1571">
        <w:rPr>
          <w:rFonts w:ascii="Arial" w:hAnsi="Arial" w:cs="Arial"/>
          <w:sz w:val="20"/>
          <w:szCs w:val="20"/>
        </w:rPr>
        <w:t xml:space="preserve">he Civil Code is silent on the person with the priority right over the guardianship of the children in a marriage. Nevertheless, it is implied in the Civil Code that the priority right over the guardianship of the children belongs to father through various provisions as follows: (i) Under Article 71(1) of the Civil Code, the father may conclude the marriage of girls between 15 and 16 years of age; (ii) Under Article 252, as long as the mother is married, she cannot take the child on a journey without the permission of the father; (iii) </w:t>
      </w:r>
    </w:p>
    <w:p w14:paraId="44D4A68F" w14:textId="77777777" w:rsidR="002B1571" w:rsidRPr="002B1571" w:rsidRDefault="002B1571" w:rsidP="002B1571">
      <w:pPr>
        <w:widowControl w:val="0"/>
        <w:autoSpaceDE w:val="0"/>
        <w:autoSpaceDN w:val="0"/>
        <w:adjustRightInd w:val="0"/>
        <w:rPr>
          <w:rFonts w:ascii="Arial" w:hAnsi="Arial" w:cs="Arial"/>
          <w:sz w:val="20"/>
          <w:szCs w:val="20"/>
        </w:rPr>
      </w:pPr>
    </w:p>
    <w:p w14:paraId="2D06950A" w14:textId="77777777" w:rsidR="002B1571" w:rsidRPr="002B1571" w:rsidRDefault="002B1571" w:rsidP="002B1571">
      <w:pPr>
        <w:widowControl w:val="0"/>
        <w:autoSpaceDE w:val="0"/>
        <w:autoSpaceDN w:val="0"/>
        <w:adjustRightInd w:val="0"/>
        <w:rPr>
          <w:rFonts w:ascii="Arial" w:hAnsi="Arial" w:cs="Arial"/>
          <w:b/>
          <w:sz w:val="20"/>
          <w:szCs w:val="20"/>
        </w:rPr>
      </w:pPr>
      <w:r w:rsidRPr="002B1571">
        <w:rPr>
          <w:rFonts w:ascii="Arial" w:hAnsi="Arial" w:cs="Arial"/>
          <w:sz w:val="20"/>
          <w:szCs w:val="20"/>
        </w:rPr>
        <w:t>Under Article 256, the father shall provide maintenance to his son until the son has the power to work and his daughter until she gets married; and (iv) Under Article 268, a father has priority guardianship over the property of his children.</w:t>
      </w:r>
      <w:r w:rsidRPr="002B1571">
        <w:rPr>
          <w:rStyle w:val="FootnoteReference"/>
          <w:rFonts w:ascii="Arial" w:hAnsi="Arial" w:cs="Arial"/>
          <w:sz w:val="20"/>
          <w:szCs w:val="20"/>
        </w:rPr>
        <w:footnoteReference w:id="26"/>
      </w:r>
      <w:r w:rsidRPr="002B1571">
        <w:rPr>
          <w:rFonts w:ascii="Arial" w:hAnsi="Arial" w:cs="Arial"/>
          <w:sz w:val="20"/>
          <w:szCs w:val="20"/>
        </w:rPr>
        <w:t xml:space="preserve"> In addition, according to all Sunni schools of law, the father is obliged to provide for education, upbringing, development, health and security of the minor child.</w:t>
      </w:r>
      <w:r w:rsidRPr="002B1571">
        <w:rPr>
          <w:rStyle w:val="FootnoteReference"/>
          <w:rFonts w:ascii="Arial" w:hAnsi="Arial" w:cs="Arial"/>
          <w:sz w:val="20"/>
          <w:szCs w:val="20"/>
        </w:rPr>
        <w:footnoteReference w:id="27"/>
      </w:r>
    </w:p>
    <w:p w14:paraId="718C2791" w14:textId="77777777" w:rsidR="002B1571" w:rsidRPr="002B1571" w:rsidRDefault="002B1571" w:rsidP="002B1571">
      <w:pPr>
        <w:widowControl w:val="0"/>
        <w:autoSpaceDE w:val="0"/>
        <w:autoSpaceDN w:val="0"/>
        <w:adjustRightInd w:val="0"/>
        <w:rPr>
          <w:rFonts w:ascii="Arial" w:hAnsi="Arial" w:cs="Arial"/>
          <w:b/>
          <w:sz w:val="20"/>
          <w:szCs w:val="20"/>
        </w:rPr>
      </w:pPr>
    </w:p>
    <w:p w14:paraId="160BA5B6" w14:textId="573698A9" w:rsidR="002B1571" w:rsidRPr="002B1571" w:rsidRDefault="002B1571" w:rsidP="002B1571">
      <w:pPr>
        <w:widowControl w:val="0"/>
        <w:autoSpaceDE w:val="0"/>
        <w:autoSpaceDN w:val="0"/>
        <w:adjustRightInd w:val="0"/>
        <w:rPr>
          <w:rFonts w:ascii="Arial" w:hAnsi="Arial" w:cs="Arial"/>
          <w:b/>
          <w:sz w:val="20"/>
          <w:szCs w:val="20"/>
        </w:rPr>
      </w:pPr>
      <w:r w:rsidRPr="002B1571">
        <w:rPr>
          <w:rFonts w:ascii="Arial" w:hAnsi="Arial" w:cs="Arial"/>
          <w:bCs/>
          <w:sz w:val="20"/>
          <w:szCs w:val="20"/>
        </w:rPr>
        <w:t>For Shias,</w:t>
      </w:r>
      <w:r>
        <w:rPr>
          <w:rFonts w:ascii="Arial" w:hAnsi="Arial" w:cs="Arial"/>
          <w:b/>
          <w:sz w:val="20"/>
          <w:szCs w:val="20"/>
        </w:rPr>
        <w:t xml:space="preserve"> </w:t>
      </w:r>
      <w:r w:rsidRPr="002B1571">
        <w:rPr>
          <w:rFonts w:ascii="Arial" w:hAnsi="Arial" w:cs="Arial"/>
          <w:sz w:val="20"/>
          <w:szCs w:val="20"/>
        </w:rPr>
        <w:t>Article 45 of the SPSL specifies that a father and paternal grandfathers have priority right over the guardianship of his children. The exercise of the guardianship rights of the father and grandfather does not require the authorisation of the court.</w:t>
      </w:r>
      <w:r w:rsidRPr="002B1571">
        <w:rPr>
          <w:rStyle w:val="FootnoteReference"/>
          <w:rFonts w:ascii="Arial" w:hAnsi="Arial" w:cs="Arial"/>
          <w:sz w:val="20"/>
          <w:szCs w:val="20"/>
        </w:rPr>
        <w:footnoteReference w:id="28"/>
      </w:r>
      <w:r w:rsidRPr="002B1571">
        <w:rPr>
          <w:rFonts w:ascii="Arial" w:hAnsi="Arial" w:cs="Arial"/>
          <w:sz w:val="20"/>
          <w:szCs w:val="20"/>
        </w:rPr>
        <w:t xml:space="preserve"> </w:t>
      </w:r>
    </w:p>
    <w:p w14:paraId="57E10185" w14:textId="77777777" w:rsidR="002B1571" w:rsidRPr="002B1571" w:rsidRDefault="002B1571" w:rsidP="002B1571">
      <w:pPr>
        <w:widowControl w:val="0"/>
        <w:autoSpaceDE w:val="0"/>
        <w:autoSpaceDN w:val="0"/>
        <w:adjustRightInd w:val="0"/>
        <w:rPr>
          <w:rFonts w:ascii="Arial" w:hAnsi="Arial" w:cs="Arial"/>
          <w:sz w:val="20"/>
          <w:szCs w:val="20"/>
        </w:rPr>
      </w:pPr>
    </w:p>
    <w:p w14:paraId="6E043350" w14:textId="77777777" w:rsidR="002B1571" w:rsidRPr="002B1571" w:rsidRDefault="002B1571" w:rsidP="002B1571">
      <w:pPr>
        <w:widowControl w:val="0"/>
        <w:rPr>
          <w:rFonts w:ascii="Arial" w:hAnsi="Arial" w:cs="Arial"/>
          <w:sz w:val="20"/>
          <w:szCs w:val="20"/>
        </w:rPr>
      </w:pPr>
      <w:r w:rsidRPr="002B1571">
        <w:rPr>
          <w:rFonts w:ascii="Arial" w:hAnsi="Arial" w:cs="Arial"/>
          <w:sz w:val="20"/>
          <w:szCs w:val="20"/>
        </w:rPr>
        <w:t>A minor’s father or paternal grandfather may appoint an alternative guardian to manage the affairs of minors.</w:t>
      </w:r>
      <w:r w:rsidRPr="002B1571">
        <w:rPr>
          <w:rStyle w:val="FootnoteReference"/>
          <w:rFonts w:ascii="Arial" w:hAnsi="Arial" w:cs="Arial"/>
          <w:sz w:val="20"/>
          <w:szCs w:val="20"/>
        </w:rPr>
        <w:footnoteReference w:id="29"/>
      </w:r>
      <w:r w:rsidRPr="002B1571">
        <w:rPr>
          <w:rFonts w:ascii="Arial" w:hAnsi="Arial" w:cs="Arial"/>
          <w:sz w:val="20"/>
          <w:szCs w:val="20"/>
        </w:rPr>
        <w:t xml:space="preserve">  </w:t>
      </w:r>
    </w:p>
    <w:p w14:paraId="1E641408" w14:textId="59991C6F" w:rsidR="002B1571" w:rsidRDefault="002B1571"/>
    <w:p w14:paraId="61E4C622" w14:textId="670CB99F" w:rsidR="002B1571" w:rsidRDefault="002B1571">
      <w:r>
        <w:rPr>
          <w:noProof/>
          <w:lang w:val="en-GB" w:eastAsia="en-GB"/>
        </w:rPr>
        <mc:AlternateContent>
          <mc:Choice Requires="wps">
            <w:drawing>
              <wp:inline distT="0" distB="0" distL="0" distR="0" wp14:anchorId="6E39E9A4" wp14:editId="3C4EEE43">
                <wp:extent cx="5576835" cy="1286189"/>
                <wp:effectExtent l="0" t="0" r="0" b="0"/>
                <wp:docPr id="3" name="Rectangle 3"/>
                <wp:cNvGraphicFramePr/>
                <a:graphic xmlns:a="http://schemas.openxmlformats.org/drawingml/2006/main">
                  <a:graphicData uri="http://schemas.microsoft.com/office/word/2010/wordprocessingShape">
                    <wps:wsp>
                      <wps:cNvSpPr/>
                      <wps:spPr>
                        <a:xfrm>
                          <a:off x="0" y="0"/>
                          <a:ext cx="5576835" cy="1286189"/>
                        </a:xfrm>
                        <a:prstGeom prst="rect">
                          <a:avLst/>
                        </a:prstGeom>
                        <a:solidFill>
                          <a:srgbClr val="CACACA"/>
                        </a:solidFill>
                        <a:ln>
                          <a:noFill/>
                        </a:ln>
                      </wps:spPr>
                      <wps:txbx>
                        <w:txbxContent>
                          <w:p w14:paraId="2091F134" w14:textId="77777777" w:rsidR="002B1571" w:rsidRDefault="002B1571" w:rsidP="002B1571">
                            <w:pPr>
                              <w:textDirection w:val="btLr"/>
                            </w:pPr>
                            <w:r>
                              <w:rPr>
                                <w:rFonts w:ascii="Arial" w:eastAsia="Arial" w:hAnsi="Arial" w:cs="Arial"/>
                                <w:b/>
                                <w:color w:val="000000"/>
                                <w:sz w:val="20"/>
                              </w:rPr>
                              <w:t xml:space="preserve">RECOMMENDATIONS </w:t>
                            </w:r>
                          </w:p>
                          <w:p w14:paraId="19DF0C1E" w14:textId="77777777" w:rsidR="002B1571" w:rsidRDefault="002B1571" w:rsidP="002B1571">
                            <w:pPr>
                              <w:textDirection w:val="btLr"/>
                            </w:pPr>
                          </w:p>
                          <w:p w14:paraId="1CE0A588" w14:textId="77777777" w:rsidR="002B1571" w:rsidRDefault="002B1571" w:rsidP="002B1571">
                            <w:pPr>
                              <w:textDirection w:val="btLr"/>
                            </w:pPr>
                            <w:r>
                              <w:rPr>
                                <w:rFonts w:ascii="Arial" w:eastAsia="Arial" w:hAnsi="Arial" w:cs="Arial"/>
                                <w:b/>
                                <w:color w:val="000000"/>
                                <w:sz w:val="20"/>
                              </w:rPr>
                              <w:t xml:space="preserve">We recommend the CEDAW committee to urge the State party to: </w:t>
                            </w:r>
                          </w:p>
                          <w:p w14:paraId="7FDF0676" w14:textId="06E7C4DD" w:rsidR="002B1571" w:rsidRPr="002B1571" w:rsidRDefault="002B1571" w:rsidP="002B1571">
                            <w:pPr>
                              <w:pStyle w:val="ListParagraph"/>
                              <w:numPr>
                                <w:ilvl w:val="0"/>
                                <w:numId w:val="13"/>
                              </w:numPr>
                              <w:spacing w:before="100" w:after="100"/>
                              <w:ind w:left="426"/>
                              <w:textDirection w:val="btLr"/>
                              <w:rPr>
                                <w:bCs/>
                              </w:rPr>
                            </w:pPr>
                            <w:r w:rsidRPr="002B1571">
                              <w:rPr>
                                <w:rFonts w:ascii="Arial" w:eastAsia="Arial" w:hAnsi="Arial" w:cs="Arial"/>
                                <w:bCs/>
                                <w:color w:val="000000"/>
                                <w:sz w:val="20"/>
                              </w:rPr>
                              <w:t xml:space="preserve">Amend </w:t>
                            </w:r>
                            <w:r>
                              <w:rPr>
                                <w:rFonts w:ascii="Arial" w:eastAsia="Arial" w:hAnsi="Arial" w:cs="Arial"/>
                                <w:bCs/>
                                <w:color w:val="000000"/>
                                <w:sz w:val="20"/>
                              </w:rPr>
                              <w:t xml:space="preserve">and/or enact </w:t>
                            </w:r>
                            <w:r w:rsidRPr="002B1571">
                              <w:rPr>
                                <w:rFonts w:ascii="Arial" w:eastAsia="Arial" w:hAnsi="Arial" w:cs="Arial"/>
                                <w:bCs/>
                                <w:color w:val="000000"/>
                                <w:sz w:val="20"/>
                              </w:rPr>
                              <w:t xml:space="preserve">family law provisions to ensure that </w:t>
                            </w:r>
                            <w:r>
                              <w:rPr>
                                <w:rFonts w:ascii="Arial" w:eastAsia="Arial" w:hAnsi="Arial" w:cs="Arial"/>
                                <w:bCs/>
                                <w:color w:val="000000"/>
                                <w:sz w:val="20"/>
                              </w:rPr>
                              <w:t>mothers and fathers</w:t>
                            </w:r>
                            <w:r w:rsidRPr="002B1571">
                              <w:rPr>
                                <w:rFonts w:ascii="Arial" w:eastAsia="Arial" w:hAnsi="Arial" w:cs="Arial"/>
                                <w:bCs/>
                                <w:color w:val="000000"/>
                                <w:sz w:val="20"/>
                              </w:rPr>
                              <w:t xml:space="preserve"> have equal right to guardianship over children and that courts determine guardianship based on the best interest of the child/children.   </w:t>
                            </w:r>
                          </w:p>
                          <w:p w14:paraId="2A07D248" w14:textId="77777777" w:rsidR="002B1571" w:rsidRDefault="002B1571" w:rsidP="002B1571">
                            <w:pPr>
                              <w:textDirection w:val="btLr"/>
                            </w:pPr>
                          </w:p>
                        </w:txbxContent>
                      </wps:txbx>
                      <wps:bodyPr spcFirstLastPara="1" wrap="square" lIns="91425" tIns="45700" rIns="91425" bIns="45700" anchor="t" anchorCtr="0">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39E9A4" id="Rectangle 3" o:spid="_x0000_s1031" style="width:439.1pt;height:10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" fillcolor="#cacaca" stroked="f">
                <v:textbox inset="2.53958mm,1.2694mm,2.53958mm,1.2694mm">
                  <w:txbxContent>
                    <w:p w14:paraId="2091F134" w14:textId="77777777" w:rsidR="002B1571" w:rsidRDefault="002B1571" w:rsidP="002B1571">
                      <w:pPr>
                        <w:textDirection w:val="btLr"/>
                      </w:pPr>
                      <w:r>
                        <w:rPr>
                          <w:rFonts w:ascii="Arial" w:eastAsia="Arial" w:hAnsi="Arial" w:cs="Arial"/>
                          <w:b/>
                          <w:color w:val="000000"/>
                          <w:sz w:val="20"/>
                        </w:rPr>
                        <w:t xml:space="preserve">RECOMMENDATIONS </w:t>
                      </w:r>
                    </w:p>
                    <w:p w14:paraId="19DF0C1E" w14:textId="77777777" w:rsidR="002B1571" w:rsidRDefault="002B1571" w:rsidP="002B1571">
                      <w:pPr>
                        <w:textDirection w:val="btLr"/>
                      </w:pPr>
                    </w:p>
                    <w:p w14:paraId="1CE0A588" w14:textId="77777777" w:rsidR="002B1571" w:rsidRDefault="002B1571" w:rsidP="002B1571">
                      <w:pPr>
                        <w:textDirection w:val="btLr"/>
                      </w:pPr>
                      <w:r>
                        <w:rPr>
                          <w:rFonts w:ascii="Arial" w:eastAsia="Arial" w:hAnsi="Arial" w:cs="Arial"/>
                          <w:b/>
                          <w:color w:val="000000"/>
                          <w:sz w:val="20"/>
                        </w:rPr>
                        <w:t xml:space="preserve">We recommend the CEDAW committee to urge the State party to: </w:t>
                      </w:r>
                    </w:p>
                    <w:p w14:paraId="7FDF0676" w14:textId="06E7C4DD" w:rsidR="002B1571" w:rsidRPr="002B1571" w:rsidRDefault="002B1571" w:rsidP="002B1571">
                      <w:pPr>
                        <w:pStyle w:val="ListParagraph"/>
                        <w:numPr>
                          <w:ilvl w:val="0"/>
                          <w:numId w:val="13"/>
                        </w:numPr>
                        <w:spacing w:before="100" w:after="100"/>
                        <w:ind w:left="426"/>
                        <w:textDirection w:val="btLr"/>
                        <w:rPr>
                          <w:bCs/>
                        </w:rPr>
                      </w:pPr>
                      <w:r w:rsidRPr="002B1571">
                        <w:rPr>
                          <w:rFonts w:ascii="Arial" w:eastAsia="Arial" w:hAnsi="Arial" w:cs="Arial"/>
                          <w:bCs/>
                          <w:color w:val="000000"/>
                          <w:sz w:val="20"/>
                        </w:rPr>
                        <w:t xml:space="preserve">Amend </w:t>
                      </w:r>
                      <w:r>
                        <w:rPr>
                          <w:rFonts w:ascii="Arial" w:eastAsia="Arial" w:hAnsi="Arial" w:cs="Arial"/>
                          <w:bCs/>
                          <w:color w:val="000000"/>
                          <w:sz w:val="20"/>
                        </w:rPr>
                        <w:t xml:space="preserve">and/or enact </w:t>
                      </w:r>
                      <w:r w:rsidRPr="002B1571">
                        <w:rPr>
                          <w:rFonts w:ascii="Arial" w:eastAsia="Arial" w:hAnsi="Arial" w:cs="Arial"/>
                          <w:bCs/>
                          <w:color w:val="000000"/>
                          <w:sz w:val="20"/>
                        </w:rPr>
                        <w:t xml:space="preserve">family law provisions to ensure that </w:t>
                      </w:r>
                      <w:r>
                        <w:rPr>
                          <w:rFonts w:ascii="Arial" w:eastAsia="Arial" w:hAnsi="Arial" w:cs="Arial"/>
                          <w:bCs/>
                          <w:color w:val="000000"/>
                          <w:sz w:val="20"/>
                        </w:rPr>
                        <w:t>mothers and fathers</w:t>
                      </w:r>
                      <w:r w:rsidRPr="002B1571">
                        <w:rPr>
                          <w:rFonts w:ascii="Arial" w:eastAsia="Arial" w:hAnsi="Arial" w:cs="Arial"/>
                          <w:bCs/>
                          <w:color w:val="000000"/>
                          <w:sz w:val="20"/>
                        </w:rPr>
                        <w:t xml:space="preserve"> have equal right to guardianship over children and that courts determine guardianship based on the best interest of the child/children.   </w:t>
                      </w:r>
                    </w:p>
                    <w:p w14:paraId="2A07D248" w14:textId="77777777" w:rsidR="002B1571" w:rsidRDefault="002B1571" w:rsidP="002B1571">
                      <w:pPr>
                        <w:textDirection w:val="btLr"/>
                      </w:pPr>
                    </w:p>
                  </w:txbxContent>
                </v:textbox>
                <w10:anchorlock/>
              </v:rect>
            </w:pict>
          </mc:Fallback>
        </mc:AlternateContent>
      </w:r>
    </w:p>
    <w:p w14:paraId="62AB60B6" w14:textId="556C515F" w:rsidR="002B1571" w:rsidRDefault="002B1571"/>
    <w:p w14:paraId="377A8AC5" w14:textId="732A86F3" w:rsidR="002B1571" w:rsidRDefault="002B1571"/>
    <w:p w14:paraId="4187FAE2" w14:textId="02E5E48E" w:rsidR="002B1571" w:rsidRDefault="002B1571"/>
    <w:p w14:paraId="487DC5D8" w14:textId="77777777" w:rsidR="000940A0" w:rsidRDefault="000940A0"/>
    <w:p w14:paraId="78E3DF52" w14:textId="58FB33BD" w:rsidR="002B1571" w:rsidRDefault="002B1571"/>
    <w:p w14:paraId="0D9BF6DC" w14:textId="77777777" w:rsidR="002B1571" w:rsidRDefault="002B1571"/>
    <w:p w14:paraId="3631A69B" w14:textId="77777777" w:rsidR="00B92901" w:rsidRDefault="00074907">
      <w:pPr>
        <w:pStyle w:val="Heading2"/>
        <w:jc w:val="center"/>
      </w:pPr>
      <w:bookmarkStart w:id="9" w:name="_heading=h.17dp8vu" w:colFirst="0" w:colLast="0"/>
      <w:bookmarkEnd w:id="9"/>
      <w:r>
        <w:rPr>
          <w:smallCaps/>
          <w:color w:val="000000"/>
          <w:sz w:val="24"/>
          <w:szCs w:val="24"/>
        </w:rPr>
        <w:t>A</w:t>
      </w:r>
      <w:r>
        <w:rPr>
          <w:sz w:val="24"/>
          <w:szCs w:val="24"/>
        </w:rPr>
        <w:t>NNEXE</w:t>
      </w:r>
      <w:r>
        <w:rPr>
          <w:smallCaps/>
          <w:color w:val="000000"/>
          <w:sz w:val="24"/>
          <w:szCs w:val="24"/>
        </w:rPr>
        <w:t xml:space="preserve"> 1: </w:t>
      </w:r>
      <w:r>
        <w:rPr>
          <w:sz w:val="24"/>
          <w:szCs w:val="24"/>
        </w:rPr>
        <w:t>JUSTIFICATION FOR REFORM</w:t>
      </w:r>
    </w:p>
    <w:p w14:paraId="29D16752" w14:textId="77777777" w:rsidR="00B92901" w:rsidRDefault="00B92901"/>
    <w:p w14:paraId="6175748D" w14:textId="77777777" w:rsidR="00B92901" w:rsidRDefault="00074907">
      <w:pPr>
        <w:pStyle w:val="Heading3"/>
        <w:numPr>
          <w:ilvl w:val="0"/>
          <w:numId w:val="7"/>
        </w:numPr>
        <w:rPr>
          <w:b/>
          <w:color w:val="000000"/>
        </w:rPr>
      </w:pPr>
      <w:bookmarkStart w:id="10" w:name="_heading=h.3rdcrjn" w:colFirst="0" w:colLast="0"/>
      <w:bookmarkEnd w:id="10"/>
      <w:r>
        <w:rPr>
          <w:b/>
          <w:color w:val="000000"/>
        </w:rPr>
        <w:t>Equality in marriage </w:t>
      </w:r>
    </w:p>
    <w:p w14:paraId="7205352A" w14:textId="77777777" w:rsidR="00B92901" w:rsidRDefault="00B92901"/>
    <w:p w14:paraId="4CD57455" w14:textId="77777777" w:rsidR="00B92901" w:rsidRDefault="00074907">
      <w:pPr>
        <w:pBdr>
          <w:top w:val="nil"/>
          <w:left w:val="nil"/>
          <w:bottom w:val="nil"/>
          <w:right w:val="nil"/>
          <w:between w:val="nil"/>
        </w:pBdr>
        <w:rPr>
          <w:rFonts w:ascii="Times" w:eastAsia="Times" w:hAnsi="Times" w:cs="Times"/>
          <w:color w:val="000000"/>
          <w:sz w:val="20"/>
          <w:szCs w:val="20"/>
        </w:rPr>
      </w:pPr>
      <w:r>
        <w:rPr>
          <w:rFonts w:ascii="Times" w:eastAsia="Times" w:hAnsi="Times" w:cs="Times"/>
          <w:noProof/>
          <w:color w:val="000000"/>
          <w:sz w:val="20"/>
          <w:szCs w:val="20"/>
          <w:lang w:val="en-GB" w:eastAsia="en-GB"/>
        </w:rPr>
        <w:drawing>
          <wp:inline distT="0" distB="0" distL="0" distR="0" wp14:anchorId="4E7C5749" wp14:editId="72BF6DE4">
            <wp:extent cx="5432425" cy="4579396"/>
            <wp:effectExtent l="12700" t="12700" r="15875" b="18415"/>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436019" cy="4582425"/>
                    </a:xfrm>
                    <a:prstGeom prst="rect">
                      <a:avLst/>
                    </a:prstGeom>
                    <a:ln>
                      <a:solidFill>
                        <a:schemeClr val="tx1"/>
                      </a:solidFill>
                    </a:ln>
                  </pic:spPr>
                </pic:pic>
              </a:graphicData>
            </a:graphic>
          </wp:inline>
        </w:drawing>
      </w:r>
    </w:p>
    <w:p w14:paraId="33DCC642" w14:textId="77777777" w:rsidR="00B92901" w:rsidRDefault="00B92901">
      <w:pPr>
        <w:pBdr>
          <w:top w:val="nil"/>
          <w:left w:val="nil"/>
          <w:bottom w:val="nil"/>
          <w:right w:val="nil"/>
          <w:between w:val="nil"/>
        </w:pBdr>
        <w:rPr>
          <w:rFonts w:ascii="Times" w:eastAsia="Times" w:hAnsi="Times" w:cs="Times"/>
          <w:color w:val="000000"/>
          <w:sz w:val="20"/>
          <w:szCs w:val="20"/>
        </w:rPr>
      </w:pPr>
    </w:p>
    <w:p w14:paraId="37AEA29A" w14:textId="77777777" w:rsidR="00B92901" w:rsidRDefault="00074907">
      <w:pPr>
        <w:pBdr>
          <w:top w:val="nil"/>
          <w:left w:val="nil"/>
          <w:bottom w:val="nil"/>
          <w:right w:val="nil"/>
          <w:between w:val="nil"/>
        </w:pBdr>
        <w:rPr>
          <w:rFonts w:ascii="Times" w:eastAsia="Times" w:hAnsi="Times" w:cs="Times"/>
          <w:color w:val="000000"/>
          <w:sz w:val="20"/>
          <w:szCs w:val="20"/>
        </w:rPr>
      </w:pPr>
      <w:r>
        <w:rPr>
          <w:rFonts w:ascii="Arial" w:eastAsia="Arial" w:hAnsi="Arial" w:cs="Arial"/>
          <w:noProof/>
          <w:color w:val="000000"/>
          <w:sz w:val="20"/>
          <w:szCs w:val="20"/>
          <w:lang w:val="en-GB" w:eastAsia="en-GB"/>
        </w:rPr>
        <w:drawing>
          <wp:inline distT="0" distB="0" distL="0" distR="0" wp14:anchorId="4F70EDC6" wp14:editId="45A153AE">
            <wp:extent cx="5432783" cy="2268233"/>
            <wp:effectExtent l="12700" t="12700" r="15875" b="17780"/>
            <wp:docPr id="27" name="image9.jpg" descr="Macintosh HD:Users:Hyshyama:Desktop:images for Thematic Reports:Equality in marriage.jpg"/>
            <wp:cNvGraphicFramePr/>
            <a:graphic xmlns:a="http://schemas.openxmlformats.org/drawingml/2006/main">
              <a:graphicData uri="http://schemas.openxmlformats.org/drawingml/2006/picture">
                <pic:pic xmlns:pic="http://schemas.openxmlformats.org/drawingml/2006/picture">
                  <pic:nvPicPr>
                    <pic:cNvPr id="0" name="image9.jpg" descr="Macintosh HD:Users:Hyshyama:Desktop:images for Thematic Reports:Equality in marriage.jpg"/>
                    <pic:cNvPicPr preferRelativeResize="0"/>
                  </pic:nvPicPr>
                  <pic:blipFill>
                    <a:blip r:embed="rId15"/>
                    <a:srcRect/>
                    <a:stretch>
                      <a:fillRect/>
                    </a:stretch>
                  </pic:blipFill>
                  <pic:spPr>
                    <a:xfrm>
                      <a:off x="0" y="0"/>
                      <a:ext cx="5432783" cy="2268233"/>
                    </a:xfrm>
                    <a:prstGeom prst="rect">
                      <a:avLst/>
                    </a:prstGeom>
                    <a:ln>
                      <a:solidFill>
                        <a:schemeClr val="tx1"/>
                      </a:solidFill>
                    </a:ln>
                  </pic:spPr>
                </pic:pic>
              </a:graphicData>
            </a:graphic>
          </wp:inline>
        </w:drawing>
      </w:r>
    </w:p>
    <w:p w14:paraId="41A0B281" w14:textId="77777777" w:rsidR="00B92901" w:rsidRDefault="00B92901">
      <w:pPr>
        <w:pBdr>
          <w:top w:val="nil"/>
          <w:left w:val="nil"/>
          <w:bottom w:val="nil"/>
          <w:right w:val="nil"/>
          <w:between w:val="nil"/>
        </w:pBdr>
        <w:rPr>
          <w:rFonts w:ascii="Times" w:eastAsia="Times" w:hAnsi="Times" w:cs="Times"/>
          <w:color w:val="000000"/>
          <w:sz w:val="20"/>
          <w:szCs w:val="20"/>
        </w:rPr>
      </w:pPr>
    </w:p>
    <w:p w14:paraId="4CECE06B" w14:textId="77777777" w:rsidR="00B92901" w:rsidRDefault="00B92901">
      <w:pPr>
        <w:pBdr>
          <w:top w:val="nil"/>
          <w:left w:val="nil"/>
          <w:bottom w:val="nil"/>
          <w:right w:val="nil"/>
          <w:between w:val="nil"/>
        </w:pBdr>
        <w:rPr>
          <w:rFonts w:ascii="Times" w:eastAsia="Times" w:hAnsi="Times" w:cs="Times"/>
          <w:color w:val="000000"/>
          <w:sz w:val="20"/>
          <w:szCs w:val="20"/>
        </w:rPr>
      </w:pPr>
    </w:p>
    <w:p w14:paraId="366A55BE" w14:textId="77777777" w:rsidR="00B92901" w:rsidRDefault="00B92901">
      <w:pPr>
        <w:pBdr>
          <w:top w:val="nil"/>
          <w:left w:val="nil"/>
          <w:bottom w:val="nil"/>
          <w:right w:val="nil"/>
          <w:between w:val="nil"/>
        </w:pBdr>
        <w:rPr>
          <w:rFonts w:ascii="Times" w:eastAsia="Times" w:hAnsi="Times" w:cs="Times"/>
          <w:color w:val="000000"/>
          <w:sz w:val="20"/>
          <w:szCs w:val="20"/>
        </w:rPr>
      </w:pPr>
    </w:p>
    <w:p w14:paraId="286830F1" w14:textId="77777777" w:rsidR="00B92901" w:rsidRDefault="00B92901">
      <w:pPr>
        <w:pBdr>
          <w:top w:val="nil"/>
          <w:left w:val="nil"/>
          <w:bottom w:val="nil"/>
          <w:right w:val="nil"/>
          <w:between w:val="nil"/>
        </w:pBdr>
        <w:rPr>
          <w:rFonts w:ascii="Times" w:eastAsia="Times" w:hAnsi="Times" w:cs="Times"/>
          <w:color w:val="000000"/>
          <w:sz w:val="20"/>
          <w:szCs w:val="20"/>
        </w:rPr>
      </w:pPr>
    </w:p>
    <w:p w14:paraId="402A5C00" w14:textId="77777777" w:rsidR="00B92901" w:rsidRDefault="00B92901">
      <w:pPr>
        <w:pBdr>
          <w:top w:val="nil"/>
          <w:left w:val="nil"/>
          <w:bottom w:val="nil"/>
          <w:right w:val="nil"/>
          <w:between w:val="nil"/>
        </w:pBdr>
        <w:rPr>
          <w:rFonts w:ascii="Times" w:eastAsia="Times" w:hAnsi="Times" w:cs="Times"/>
          <w:color w:val="000000"/>
          <w:sz w:val="20"/>
          <w:szCs w:val="20"/>
        </w:rPr>
      </w:pPr>
    </w:p>
    <w:p w14:paraId="34184CA9" w14:textId="77777777" w:rsidR="00B92901" w:rsidRDefault="00B92901">
      <w:pPr>
        <w:pBdr>
          <w:top w:val="nil"/>
          <w:left w:val="nil"/>
          <w:bottom w:val="nil"/>
          <w:right w:val="nil"/>
          <w:between w:val="nil"/>
        </w:pBdr>
        <w:rPr>
          <w:rFonts w:ascii="Times" w:eastAsia="Times" w:hAnsi="Times" w:cs="Times"/>
          <w:color w:val="000000"/>
          <w:sz w:val="20"/>
          <w:szCs w:val="20"/>
        </w:rPr>
      </w:pPr>
    </w:p>
    <w:p w14:paraId="2341AF03" w14:textId="77777777" w:rsidR="00B92901" w:rsidRDefault="00B92901"/>
    <w:p w14:paraId="29E3C1BC" w14:textId="77777777" w:rsidR="0078156B" w:rsidRDefault="0078156B"/>
    <w:p w14:paraId="218C1341" w14:textId="77777777" w:rsidR="00B92901" w:rsidRDefault="00074907" w:rsidP="0078156B">
      <w:pPr>
        <w:pStyle w:val="Heading3"/>
        <w:numPr>
          <w:ilvl w:val="0"/>
          <w:numId w:val="7"/>
        </w:numPr>
        <w:rPr>
          <w:b/>
          <w:color w:val="000000"/>
        </w:rPr>
      </w:pPr>
      <w:bookmarkStart w:id="11" w:name="_heading=h.26in1rg" w:colFirst="0" w:colLast="0"/>
      <w:bookmarkEnd w:id="11"/>
      <w:r>
        <w:rPr>
          <w:b/>
          <w:color w:val="000000"/>
        </w:rPr>
        <w:t>Minimum age of marriage as 18 years</w:t>
      </w:r>
    </w:p>
    <w:p w14:paraId="15CB62CF" w14:textId="77777777" w:rsidR="00B92901" w:rsidRDefault="00B92901"/>
    <w:p w14:paraId="369A4989" w14:textId="77777777" w:rsidR="00B92901" w:rsidRDefault="00074907">
      <w:pPr>
        <w:pBdr>
          <w:top w:val="nil"/>
          <w:left w:val="nil"/>
          <w:bottom w:val="nil"/>
          <w:right w:val="nil"/>
          <w:between w:val="nil"/>
        </w:pBdr>
        <w:rPr>
          <w:rFonts w:ascii="Arial" w:eastAsia="Arial" w:hAnsi="Arial" w:cs="Arial"/>
          <w:color w:val="000000"/>
          <w:sz w:val="20"/>
          <w:szCs w:val="20"/>
        </w:rPr>
      </w:pPr>
      <w:r>
        <w:rPr>
          <w:rFonts w:ascii="Arial" w:eastAsia="Arial" w:hAnsi="Arial" w:cs="Arial"/>
          <w:noProof/>
          <w:color w:val="000000"/>
          <w:sz w:val="20"/>
          <w:szCs w:val="20"/>
          <w:lang w:val="en-GB" w:eastAsia="en-GB"/>
        </w:rPr>
        <w:drawing>
          <wp:inline distT="0" distB="0" distL="0" distR="0" wp14:anchorId="5D3403C2" wp14:editId="08469B81">
            <wp:extent cx="5322975" cy="3182676"/>
            <wp:effectExtent l="12700" t="12700" r="11430" b="17780"/>
            <wp:docPr id="3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6"/>
                    <a:srcRect/>
                    <a:stretch>
                      <a:fillRect/>
                    </a:stretch>
                  </pic:blipFill>
                  <pic:spPr>
                    <a:xfrm>
                      <a:off x="0" y="0"/>
                      <a:ext cx="5336015" cy="3190473"/>
                    </a:xfrm>
                    <a:prstGeom prst="rect">
                      <a:avLst/>
                    </a:prstGeom>
                    <a:ln>
                      <a:solidFill>
                        <a:schemeClr val="tx1"/>
                      </a:solidFill>
                    </a:ln>
                  </pic:spPr>
                </pic:pic>
              </a:graphicData>
            </a:graphic>
          </wp:inline>
        </w:drawing>
      </w:r>
    </w:p>
    <w:p w14:paraId="5803D84C" w14:textId="77777777" w:rsidR="00B92901" w:rsidRDefault="00B92901">
      <w:pPr>
        <w:pBdr>
          <w:top w:val="nil"/>
          <w:left w:val="nil"/>
          <w:bottom w:val="nil"/>
          <w:right w:val="nil"/>
          <w:between w:val="nil"/>
        </w:pBdr>
        <w:rPr>
          <w:rFonts w:ascii="Arial" w:eastAsia="Arial" w:hAnsi="Arial" w:cs="Arial"/>
          <w:color w:val="000000"/>
          <w:sz w:val="20"/>
          <w:szCs w:val="20"/>
        </w:rPr>
      </w:pPr>
    </w:p>
    <w:p w14:paraId="2505BA1B" w14:textId="34E7AB3B" w:rsidR="00B92901" w:rsidRDefault="0002148B">
      <w:pPr>
        <w:pBdr>
          <w:top w:val="nil"/>
          <w:left w:val="nil"/>
          <w:bottom w:val="nil"/>
          <w:right w:val="nil"/>
          <w:between w:val="nil"/>
        </w:pBdr>
        <w:rPr>
          <w:rFonts w:ascii="Arial" w:eastAsia="Arial" w:hAnsi="Arial" w:cs="Arial"/>
          <w:color w:val="000000"/>
          <w:sz w:val="20"/>
          <w:szCs w:val="20"/>
        </w:rPr>
      </w:pPr>
      <w:r>
        <w:rPr>
          <w:rFonts w:ascii="Arial" w:eastAsia="Arial" w:hAnsi="Arial" w:cs="Arial"/>
          <w:noProof/>
          <w:color w:val="000000"/>
          <w:sz w:val="20"/>
          <w:szCs w:val="20"/>
          <w:lang w:val="en-GB" w:eastAsia="en-GB"/>
        </w:rPr>
        <w:drawing>
          <wp:inline distT="0" distB="0" distL="0" distR="0" wp14:anchorId="5C9BEF6B" wp14:editId="0796EEB9">
            <wp:extent cx="5265336" cy="4909585"/>
            <wp:effectExtent l="12700" t="12700" r="18415" b="184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1-13 at 9.52.44 PM.png"/>
                    <pic:cNvPicPr/>
                  </pic:nvPicPr>
                  <pic:blipFill>
                    <a:blip r:embed="rId17">
                      <a:extLst>
                        <a:ext uri="{28A0092B-C50C-407E-A947-70E740481C1C}">
                          <a14:useLocalDpi xmlns:a14="http://schemas.microsoft.com/office/drawing/2010/main" val="0"/>
                        </a:ext>
                      </a:extLst>
                    </a:blip>
                    <a:stretch>
                      <a:fillRect/>
                    </a:stretch>
                  </pic:blipFill>
                  <pic:spPr>
                    <a:xfrm>
                      <a:off x="0" y="0"/>
                      <a:ext cx="5289112" cy="4931755"/>
                    </a:xfrm>
                    <a:prstGeom prst="rect">
                      <a:avLst/>
                    </a:prstGeom>
                    <a:ln>
                      <a:solidFill>
                        <a:schemeClr val="tx1"/>
                      </a:solidFill>
                    </a:ln>
                  </pic:spPr>
                </pic:pic>
              </a:graphicData>
            </a:graphic>
          </wp:inline>
        </w:drawing>
      </w:r>
    </w:p>
    <w:p w14:paraId="36A0C363" w14:textId="50747558" w:rsidR="002B1571" w:rsidRDefault="002B1571">
      <w:pPr>
        <w:pBdr>
          <w:top w:val="nil"/>
          <w:left w:val="nil"/>
          <w:bottom w:val="nil"/>
          <w:right w:val="nil"/>
          <w:between w:val="nil"/>
        </w:pBdr>
        <w:rPr>
          <w:rFonts w:ascii="Arial" w:eastAsia="Arial" w:hAnsi="Arial" w:cs="Arial"/>
          <w:color w:val="000000"/>
          <w:sz w:val="20"/>
          <w:szCs w:val="20"/>
        </w:rPr>
      </w:pPr>
    </w:p>
    <w:p w14:paraId="1EC69CA5" w14:textId="77777777" w:rsidR="002B1571" w:rsidRDefault="002B1571">
      <w:pPr>
        <w:pBdr>
          <w:top w:val="nil"/>
          <w:left w:val="nil"/>
          <w:bottom w:val="nil"/>
          <w:right w:val="nil"/>
          <w:between w:val="nil"/>
        </w:pBdr>
        <w:rPr>
          <w:rFonts w:ascii="Arial" w:eastAsia="Arial" w:hAnsi="Arial" w:cs="Arial"/>
          <w:color w:val="000000"/>
          <w:sz w:val="20"/>
          <w:szCs w:val="20"/>
        </w:rPr>
      </w:pPr>
    </w:p>
    <w:p w14:paraId="67C16224" w14:textId="77777777" w:rsidR="00B92901" w:rsidRDefault="00074907">
      <w:pPr>
        <w:pStyle w:val="Heading3"/>
        <w:ind w:left="426"/>
        <w:rPr>
          <w:b/>
          <w:color w:val="000000"/>
        </w:rPr>
      </w:pPr>
      <w:bookmarkStart w:id="12" w:name="_heading=h.lnxbz9" w:colFirst="0" w:colLast="0"/>
      <w:bookmarkEnd w:id="12"/>
      <w:r>
        <w:rPr>
          <w:b/>
          <w:color w:val="000000"/>
        </w:rPr>
        <w:t>3.Abolishment of polygamy  </w:t>
      </w:r>
    </w:p>
    <w:p w14:paraId="00DEF219" w14:textId="77777777" w:rsidR="00B92901" w:rsidRDefault="00B92901"/>
    <w:p w14:paraId="03FA5598" w14:textId="77777777" w:rsidR="00B92901" w:rsidRDefault="00074907">
      <w:pPr>
        <w:pBdr>
          <w:top w:val="nil"/>
          <w:left w:val="nil"/>
          <w:bottom w:val="nil"/>
          <w:right w:val="nil"/>
          <w:between w:val="nil"/>
        </w:pBdr>
        <w:rPr>
          <w:color w:val="000000"/>
          <w:sz w:val="20"/>
          <w:szCs w:val="20"/>
        </w:rPr>
      </w:pPr>
      <w:r>
        <w:rPr>
          <w:rFonts w:ascii="Arial" w:eastAsia="Arial" w:hAnsi="Arial" w:cs="Arial"/>
          <w:b/>
          <w:noProof/>
          <w:color w:val="000000"/>
          <w:sz w:val="20"/>
          <w:szCs w:val="20"/>
          <w:lang w:val="en-GB" w:eastAsia="en-GB"/>
        </w:rPr>
        <w:drawing>
          <wp:inline distT="0" distB="0" distL="0" distR="0" wp14:anchorId="092519F5" wp14:editId="126DA568">
            <wp:extent cx="5443220" cy="3474078"/>
            <wp:effectExtent l="12700" t="12700" r="17780" b="19050"/>
            <wp:docPr id="32"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8"/>
                    <a:srcRect/>
                    <a:stretch>
                      <a:fillRect/>
                    </a:stretch>
                  </pic:blipFill>
                  <pic:spPr>
                    <a:xfrm>
                      <a:off x="0" y="0"/>
                      <a:ext cx="5454480" cy="3481264"/>
                    </a:xfrm>
                    <a:prstGeom prst="rect">
                      <a:avLst/>
                    </a:prstGeom>
                    <a:ln>
                      <a:solidFill>
                        <a:schemeClr val="tx1"/>
                      </a:solidFill>
                    </a:ln>
                  </pic:spPr>
                </pic:pic>
              </a:graphicData>
            </a:graphic>
          </wp:inline>
        </w:drawing>
      </w:r>
    </w:p>
    <w:p w14:paraId="15D95FD2" w14:textId="77777777" w:rsidR="00B92901" w:rsidRDefault="00B92901">
      <w:pPr>
        <w:pBdr>
          <w:top w:val="nil"/>
          <w:left w:val="nil"/>
          <w:bottom w:val="nil"/>
          <w:right w:val="nil"/>
          <w:between w:val="nil"/>
        </w:pBdr>
        <w:rPr>
          <w:color w:val="000000"/>
          <w:sz w:val="20"/>
          <w:szCs w:val="20"/>
        </w:rPr>
      </w:pPr>
    </w:p>
    <w:p w14:paraId="4F3DADB7" w14:textId="0DAC7C29" w:rsidR="00B92901" w:rsidRDefault="0002148B">
      <w:r>
        <w:rPr>
          <w:noProof/>
          <w:lang w:val="en-GB" w:eastAsia="en-GB"/>
        </w:rPr>
        <w:drawing>
          <wp:inline distT="0" distB="0" distL="0" distR="0" wp14:anchorId="2D23D66F" wp14:editId="15514228">
            <wp:extent cx="5443555" cy="4941966"/>
            <wp:effectExtent l="12700" t="12700" r="17780"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1-13 at 9.50.46 PM.png"/>
                    <pic:cNvPicPr/>
                  </pic:nvPicPr>
                  <pic:blipFill>
                    <a:blip r:embed="rId19">
                      <a:extLst>
                        <a:ext uri="{28A0092B-C50C-407E-A947-70E740481C1C}">
                          <a14:useLocalDpi xmlns:a14="http://schemas.microsoft.com/office/drawing/2010/main" val="0"/>
                        </a:ext>
                      </a:extLst>
                    </a:blip>
                    <a:stretch>
                      <a:fillRect/>
                    </a:stretch>
                  </pic:blipFill>
                  <pic:spPr>
                    <a:xfrm>
                      <a:off x="0" y="0"/>
                      <a:ext cx="5464060" cy="4960581"/>
                    </a:xfrm>
                    <a:prstGeom prst="rect">
                      <a:avLst/>
                    </a:prstGeom>
                    <a:ln>
                      <a:solidFill>
                        <a:schemeClr val="tx1"/>
                      </a:solidFill>
                    </a:ln>
                  </pic:spPr>
                </pic:pic>
              </a:graphicData>
            </a:graphic>
          </wp:inline>
        </w:drawing>
      </w:r>
    </w:p>
    <w:p w14:paraId="0A4862D8" w14:textId="77777777" w:rsidR="0002148B" w:rsidRDefault="0002148B"/>
    <w:p w14:paraId="204A6297" w14:textId="780F0A62" w:rsidR="00B92901" w:rsidRPr="0078156B" w:rsidRDefault="0078156B" w:rsidP="0078156B">
      <w:pPr>
        <w:pStyle w:val="ListParagraph"/>
        <w:numPr>
          <w:ilvl w:val="0"/>
          <w:numId w:val="7"/>
        </w:numPr>
        <w:rPr>
          <w:b/>
          <w:bCs/>
        </w:rPr>
      </w:pPr>
      <w:r w:rsidRPr="0078156B">
        <w:rPr>
          <w:b/>
          <w:bCs/>
        </w:rPr>
        <w:t xml:space="preserve">Equal rights to divorce </w:t>
      </w:r>
    </w:p>
    <w:p w14:paraId="60B5118C" w14:textId="77777777" w:rsidR="00B92901" w:rsidRDefault="00B92901"/>
    <w:p w14:paraId="1D6F07C5" w14:textId="6A982B7C" w:rsidR="00B92901" w:rsidRDefault="0078156B">
      <w:r>
        <w:rPr>
          <w:rFonts w:ascii="Arial" w:eastAsia="Arial" w:hAnsi="Arial" w:cs="Arial"/>
          <w:noProof/>
          <w:sz w:val="20"/>
          <w:szCs w:val="20"/>
          <w:lang w:val="en-GB" w:eastAsia="en-GB"/>
        </w:rPr>
        <w:drawing>
          <wp:inline distT="114300" distB="114300" distL="114300" distR="114300" wp14:anchorId="24589218" wp14:editId="5E190B58">
            <wp:extent cx="5499100" cy="2130250"/>
            <wp:effectExtent l="0" t="0" r="0" b="3810"/>
            <wp:docPr id="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5508163" cy="2133761"/>
                    </a:xfrm>
                    <a:prstGeom prst="rect">
                      <a:avLst/>
                    </a:prstGeom>
                    <a:ln/>
                  </pic:spPr>
                </pic:pic>
              </a:graphicData>
            </a:graphic>
          </wp:inline>
        </w:drawing>
      </w:r>
    </w:p>
    <w:p w14:paraId="6AC914C7" w14:textId="7FD5BA91" w:rsidR="0002148B" w:rsidRDefault="0002148B"/>
    <w:p w14:paraId="34CEB395" w14:textId="4F89D808" w:rsidR="0002148B" w:rsidRDefault="0002148B">
      <w:r>
        <w:rPr>
          <w:noProof/>
          <w:lang w:val="en-GB" w:eastAsia="en-GB"/>
        </w:rPr>
        <w:drawing>
          <wp:inline distT="0" distB="0" distL="0" distR="0" wp14:anchorId="7832B16F" wp14:editId="552C7E9A">
            <wp:extent cx="5486400" cy="5187142"/>
            <wp:effectExtent l="12700" t="12700" r="1270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1-13 at 9.51.42 PM.png"/>
                    <pic:cNvPicPr/>
                  </pic:nvPicPr>
                  <pic:blipFill>
                    <a:blip r:embed="rId21">
                      <a:extLst>
                        <a:ext uri="{28A0092B-C50C-407E-A947-70E740481C1C}">
                          <a14:useLocalDpi xmlns:a14="http://schemas.microsoft.com/office/drawing/2010/main" val="0"/>
                        </a:ext>
                      </a:extLst>
                    </a:blip>
                    <a:stretch>
                      <a:fillRect/>
                    </a:stretch>
                  </pic:blipFill>
                  <pic:spPr>
                    <a:xfrm>
                      <a:off x="0" y="0"/>
                      <a:ext cx="5489311" cy="5189894"/>
                    </a:xfrm>
                    <a:prstGeom prst="rect">
                      <a:avLst/>
                    </a:prstGeom>
                    <a:ln>
                      <a:solidFill>
                        <a:schemeClr val="tx1"/>
                      </a:solidFill>
                    </a:ln>
                  </pic:spPr>
                </pic:pic>
              </a:graphicData>
            </a:graphic>
          </wp:inline>
        </w:drawing>
      </w:r>
    </w:p>
    <w:p w14:paraId="4789D739" w14:textId="01D50FB5" w:rsidR="00B92901" w:rsidRDefault="00B92901"/>
    <w:p w14:paraId="65C832F9" w14:textId="4C585858" w:rsidR="002B1571" w:rsidRDefault="002B1571"/>
    <w:p w14:paraId="7442094C" w14:textId="246BA6F1" w:rsidR="002B1571" w:rsidRDefault="002B1571"/>
    <w:p w14:paraId="50F0289E" w14:textId="285310AA" w:rsidR="002B1571" w:rsidRDefault="002B1571"/>
    <w:p w14:paraId="15B30661" w14:textId="100868B2" w:rsidR="002B1571" w:rsidRDefault="002B1571"/>
    <w:p w14:paraId="2DA523A5" w14:textId="77777777" w:rsidR="002B1571" w:rsidRDefault="002B1571"/>
    <w:p w14:paraId="3811D0D6" w14:textId="04B30E7D" w:rsidR="002B1571" w:rsidRPr="002B1571" w:rsidRDefault="0002148B" w:rsidP="002B1571">
      <w:pPr>
        <w:pStyle w:val="ListParagraph"/>
        <w:numPr>
          <w:ilvl w:val="0"/>
          <w:numId w:val="7"/>
        </w:numPr>
        <w:ind w:left="426"/>
        <w:rPr>
          <w:b/>
          <w:bCs/>
        </w:rPr>
      </w:pPr>
      <w:r>
        <w:rPr>
          <w:b/>
          <w:bCs/>
        </w:rPr>
        <w:t xml:space="preserve">Financial rights after divorce </w:t>
      </w:r>
    </w:p>
    <w:p w14:paraId="0E128A90" w14:textId="0C6BE32D" w:rsidR="00B92901" w:rsidRDefault="0002148B" w:rsidP="002B1571">
      <w:pPr>
        <w:pStyle w:val="ListParagraph"/>
        <w:ind w:left="0"/>
        <w:rPr>
          <w:b/>
          <w:bCs/>
        </w:rPr>
      </w:pPr>
      <w:r>
        <w:rPr>
          <w:b/>
          <w:bCs/>
          <w:noProof/>
          <w:lang w:val="en-GB" w:eastAsia="en-GB"/>
        </w:rPr>
        <w:drawing>
          <wp:inline distT="0" distB="0" distL="0" distR="0" wp14:anchorId="7C5DF2FB" wp14:editId="2098296F">
            <wp:extent cx="5222240" cy="3294524"/>
            <wp:effectExtent l="12700" t="12700" r="1016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1-13 at 9.51.28 PM.png"/>
                    <pic:cNvPicPr/>
                  </pic:nvPicPr>
                  <pic:blipFill>
                    <a:blip r:embed="rId22">
                      <a:extLst>
                        <a:ext uri="{28A0092B-C50C-407E-A947-70E740481C1C}">
                          <a14:useLocalDpi xmlns:a14="http://schemas.microsoft.com/office/drawing/2010/main" val="0"/>
                        </a:ext>
                      </a:extLst>
                    </a:blip>
                    <a:stretch>
                      <a:fillRect/>
                    </a:stretch>
                  </pic:blipFill>
                  <pic:spPr>
                    <a:xfrm>
                      <a:off x="0" y="0"/>
                      <a:ext cx="5234066" cy="3301984"/>
                    </a:xfrm>
                    <a:prstGeom prst="rect">
                      <a:avLst/>
                    </a:prstGeom>
                    <a:ln>
                      <a:solidFill>
                        <a:schemeClr val="tx1"/>
                      </a:solidFill>
                    </a:ln>
                  </pic:spPr>
                </pic:pic>
              </a:graphicData>
            </a:graphic>
          </wp:inline>
        </w:drawing>
      </w:r>
    </w:p>
    <w:p w14:paraId="21F6EBD3" w14:textId="77777777" w:rsidR="0002148B" w:rsidRPr="0002148B" w:rsidRDefault="0002148B" w:rsidP="0002148B">
      <w:pPr>
        <w:pStyle w:val="ListParagraph"/>
        <w:ind w:left="426"/>
        <w:rPr>
          <w:b/>
          <w:bCs/>
        </w:rPr>
      </w:pPr>
    </w:p>
    <w:p w14:paraId="1B407566" w14:textId="3E571223" w:rsidR="0078156B" w:rsidRDefault="0002148B" w:rsidP="002B1571">
      <w:r>
        <w:rPr>
          <w:noProof/>
          <w:lang w:val="en-GB" w:eastAsia="en-GB"/>
        </w:rPr>
        <w:drawing>
          <wp:inline distT="0" distB="0" distL="0" distR="0" wp14:anchorId="2D5F9F7C" wp14:editId="5085B395">
            <wp:extent cx="5222491" cy="3631126"/>
            <wp:effectExtent l="12700" t="12700" r="10160" b="139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1-13 at 9.50.57 PM.png"/>
                    <pic:cNvPicPr/>
                  </pic:nvPicPr>
                  <pic:blipFill>
                    <a:blip r:embed="rId23">
                      <a:extLst>
                        <a:ext uri="{28A0092B-C50C-407E-A947-70E740481C1C}">
                          <a14:useLocalDpi xmlns:a14="http://schemas.microsoft.com/office/drawing/2010/main" val="0"/>
                        </a:ext>
                      </a:extLst>
                    </a:blip>
                    <a:stretch>
                      <a:fillRect/>
                    </a:stretch>
                  </pic:blipFill>
                  <pic:spPr>
                    <a:xfrm>
                      <a:off x="0" y="0"/>
                      <a:ext cx="5228136" cy="3635051"/>
                    </a:xfrm>
                    <a:prstGeom prst="rect">
                      <a:avLst/>
                    </a:prstGeom>
                    <a:ln>
                      <a:solidFill>
                        <a:schemeClr val="tx1"/>
                      </a:solidFill>
                    </a:ln>
                  </pic:spPr>
                </pic:pic>
              </a:graphicData>
            </a:graphic>
          </wp:inline>
        </w:drawing>
      </w:r>
    </w:p>
    <w:p w14:paraId="67E7660D" w14:textId="6B76E3CA" w:rsidR="0002148B" w:rsidRDefault="0002148B" w:rsidP="0002148B"/>
    <w:p w14:paraId="65DA7FF8" w14:textId="496FD92F" w:rsidR="00667F16" w:rsidRDefault="00667F16">
      <w:pPr>
        <w:rPr>
          <w:b/>
          <w:bCs/>
        </w:rPr>
      </w:pPr>
    </w:p>
    <w:p w14:paraId="62EBAE26" w14:textId="0684CBFD" w:rsidR="002B1571" w:rsidRDefault="002B1571">
      <w:pPr>
        <w:rPr>
          <w:b/>
          <w:bCs/>
        </w:rPr>
      </w:pPr>
    </w:p>
    <w:p w14:paraId="2F9256C5" w14:textId="1C177D57" w:rsidR="002B1571" w:rsidRDefault="002B1571">
      <w:pPr>
        <w:rPr>
          <w:b/>
          <w:bCs/>
        </w:rPr>
      </w:pPr>
    </w:p>
    <w:p w14:paraId="4C3027CE" w14:textId="6E73E253" w:rsidR="002B1571" w:rsidRDefault="002B1571">
      <w:pPr>
        <w:rPr>
          <w:b/>
          <w:bCs/>
        </w:rPr>
      </w:pPr>
    </w:p>
    <w:p w14:paraId="6EBE77D8" w14:textId="1C0896AD" w:rsidR="002B1571" w:rsidRDefault="002B1571">
      <w:pPr>
        <w:rPr>
          <w:b/>
          <w:bCs/>
        </w:rPr>
      </w:pPr>
    </w:p>
    <w:p w14:paraId="10893268" w14:textId="7A5F8529" w:rsidR="002B1571" w:rsidRDefault="002B1571">
      <w:pPr>
        <w:rPr>
          <w:b/>
          <w:bCs/>
        </w:rPr>
      </w:pPr>
    </w:p>
    <w:p w14:paraId="3D847DBD" w14:textId="1ED8A1A4" w:rsidR="002B1571" w:rsidRDefault="002B1571">
      <w:pPr>
        <w:rPr>
          <w:b/>
          <w:bCs/>
        </w:rPr>
      </w:pPr>
    </w:p>
    <w:p w14:paraId="77BDCC38" w14:textId="475070A9" w:rsidR="002B1571" w:rsidRDefault="002B1571">
      <w:pPr>
        <w:rPr>
          <w:b/>
          <w:bCs/>
        </w:rPr>
      </w:pPr>
    </w:p>
    <w:p w14:paraId="73FEE805" w14:textId="77777777" w:rsidR="002B1571" w:rsidRPr="002B1571" w:rsidRDefault="002B1571">
      <w:pPr>
        <w:rPr>
          <w:b/>
          <w:bCs/>
        </w:rPr>
      </w:pPr>
    </w:p>
    <w:p w14:paraId="4D3DA6AD" w14:textId="2943482D" w:rsidR="00667F16" w:rsidRPr="00211D5F" w:rsidRDefault="002B1571" w:rsidP="00211D5F">
      <w:pPr>
        <w:pStyle w:val="ListParagraph"/>
        <w:numPr>
          <w:ilvl w:val="0"/>
          <w:numId w:val="7"/>
        </w:numPr>
        <w:rPr>
          <w:b/>
          <w:bCs/>
        </w:rPr>
      </w:pPr>
      <w:r w:rsidRPr="002B1571">
        <w:rPr>
          <w:b/>
          <w:bCs/>
        </w:rPr>
        <w:t xml:space="preserve">Guardianship of children </w:t>
      </w:r>
    </w:p>
    <w:p w14:paraId="0040C8C5" w14:textId="5062D534" w:rsidR="002B1571" w:rsidRDefault="002B1571"/>
    <w:p w14:paraId="7A9A091A" w14:textId="112B4B62" w:rsidR="002B1571" w:rsidRDefault="002B1571">
      <w:r>
        <w:rPr>
          <w:noProof/>
          <w:lang w:val="en-GB" w:eastAsia="en-GB"/>
        </w:rPr>
        <w:drawing>
          <wp:inline distT="0" distB="0" distL="0" distR="0" wp14:anchorId="5AA2AE61" wp14:editId="45EC3147">
            <wp:extent cx="5657850" cy="3498850"/>
            <wp:effectExtent l="12700" t="1270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57850" cy="3498850"/>
                    </a:xfrm>
                    <a:prstGeom prst="rect">
                      <a:avLst/>
                    </a:prstGeom>
                    <a:ln>
                      <a:solidFill>
                        <a:schemeClr val="tx1"/>
                      </a:solidFill>
                    </a:ln>
                  </pic:spPr>
                </pic:pic>
              </a:graphicData>
            </a:graphic>
          </wp:inline>
        </w:drawing>
      </w:r>
    </w:p>
    <w:p w14:paraId="44F7B93B" w14:textId="3D5F61CA" w:rsidR="002B1571" w:rsidRDefault="002B1571"/>
    <w:p w14:paraId="0F374765" w14:textId="1C8E062A" w:rsidR="002B1571" w:rsidRDefault="002B1571">
      <w:r>
        <w:rPr>
          <w:noProof/>
          <w:lang w:val="en-GB" w:eastAsia="en-GB"/>
        </w:rPr>
        <w:drawing>
          <wp:inline distT="0" distB="0" distL="0" distR="0" wp14:anchorId="0F8F2997" wp14:editId="37A82A69">
            <wp:extent cx="5657850" cy="3201035"/>
            <wp:effectExtent l="12700" t="12700" r="1905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57850" cy="3201035"/>
                    </a:xfrm>
                    <a:prstGeom prst="rect">
                      <a:avLst/>
                    </a:prstGeom>
                    <a:ln>
                      <a:solidFill>
                        <a:schemeClr val="tx1"/>
                      </a:solidFill>
                    </a:ln>
                  </pic:spPr>
                </pic:pic>
              </a:graphicData>
            </a:graphic>
          </wp:inline>
        </w:drawing>
      </w:r>
    </w:p>
    <w:p w14:paraId="52720D06" w14:textId="77777777" w:rsidR="002B1571" w:rsidRDefault="002B1571"/>
    <w:p w14:paraId="4E8A3C28" w14:textId="6D718C2D" w:rsidR="00667F16" w:rsidRDefault="00667F16"/>
    <w:p w14:paraId="381B8353" w14:textId="1289CD10" w:rsidR="002B1571" w:rsidRDefault="002B1571"/>
    <w:p w14:paraId="4B8CA458" w14:textId="6D89B362" w:rsidR="002B1571" w:rsidRDefault="002B1571"/>
    <w:p w14:paraId="56B3BAA0" w14:textId="480B6810" w:rsidR="002B1571" w:rsidRDefault="002B1571"/>
    <w:p w14:paraId="78A402C7" w14:textId="470B8BBF" w:rsidR="002B1571" w:rsidRDefault="002B1571"/>
    <w:p w14:paraId="20FCF72E" w14:textId="23A35C8E" w:rsidR="002B1571" w:rsidRDefault="002B1571"/>
    <w:p w14:paraId="4D2279F1" w14:textId="3EAD01E5" w:rsidR="002B1571" w:rsidRDefault="002B1571"/>
    <w:p w14:paraId="1BA93FBC" w14:textId="77777777" w:rsidR="002B1571" w:rsidRDefault="002B1571"/>
    <w:p w14:paraId="38829193" w14:textId="77777777" w:rsidR="00667F16" w:rsidRDefault="00667F16"/>
    <w:p w14:paraId="25652725" w14:textId="59141074" w:rsidR="00B92901" w:rsidRDefault="00074907">
      <w:pPr>
        <w:rPr>
          <w:rFonts w:ascii="Arial" w:eastAsia="Arial" w:hAnsi="Arial" w:cs="Arial"/>
          <w:b/>
        </w:rPr>
      </w:pPr>
      <w:r>
        <w:rPr>
          <w:rFonts w:ascii="Arial" w:eastAsia="Arial" w:hAnsi="Arial" w:cs="Arial"/>
          <w:b/>
        </w:rPr>
        <w:t>ANNEXE 2:</w:t>
      </w:r>
    </w:p>
    <w:p w14:paraId="349B6F3D" w14:textId="77777777" w:rsidR="00B92901" w:rsidRDefault="00074907">
      <w:pPr>
        <w:pStyle w:val="Heading2"/>
        <w:jc w:val="center"/>
      </w:pPr>
      <w:bookmarkStart w:id="13" w:name="_heading=h.35nkun2" w:colFirst="0" w:colLast="0"/>
      <w:bookmarkEnd w:id="13"/>
      <w:r>
        <w:t>MUSAWAH VISION for the family</w:t>
      </w:r>
    </w:p>
    <w:p w14:paraId="09F50B04" w14:textId="77777777" w:rsidR="002B1571" w:rsidRPr="002B1571" w:rsidRDefault="002B1571" w:rsidP="002B1571">
      <w:pPr>
        <w:spacing w:before="280" w:after="280"/>
      </w:pPr>
      <w:r w:rsidRPr="002B1571">
        <w:rPr>
          <w:rFonts w:ascii="Arial" w:hAnsi="Arial" w:cs="Arial"/>
          <w:color w:val="000000"/>
          <w:sz w:val="20"/>
          <w:szCs w:val="20"/>
        </w:rPr>
        <w:t xml:space="preserve">Musawah asserts that in the twenty-first century, there cannot be justice without equality. Many provisions in Muslim family laws, as defined by classical jurists and as reproduced in modern legal codes, are neither tenable in contemporary circumstances nor defensible on Islamic grounds. Not only do these family laws fail to fulfill the </w:t>
      </w:r>
      <w:r w:rsidRPr="002B1571">
        <w:rPr>
          <w:rFonts w:ascii="Arial" w:hAnsi="Arial" w:cs="Arial"/>
          <w:i/>
          <w:iCs/>
          <w:color w:val="000000"/>
          <w:sz w:val="20"/>
          <w:szCs w:val="20"/>
        </w:rPr>
        <w:t xml:space="preserve">Shari’ah </w:t>
      </w:r>
      <w:r w:rsidRPr="002B1571">
        <w:rPr>
          <w:rFonts w:ascii="Arial" w:hAnsi="Arial" w:cs="Arial"/>
          <w:color w:val="000000"/>
          <w:sz w:val="20"/>
          <w:szCs w:val="20"/>
        </w:rPr>
        <w:t>requirements of justice, but they are being used to deny women rights and dignified choices in life. These elements lie at the root of marital disharmony and the breakdown of the family.</w:t>
      </w:r>
    </w:p>
    <w:p w14:paraId="18B46136" w14:textId="77777777" w:rsidR="002B1571" w:rsidRPr="002B1571" w:rsidRDefault="002B1571" w:rsidP="002B1571">
      <w:pPr>
        <w:spacing w:before="280" w:after="280"/>
      </w:pPr>
      <w:r w:rsidRPr="002B1571">
        <w:rPr>
          <w:rFonts w:ascii="Arial" w:hAnsi="Arial" w:cs="Arial"/>
          <w:color w:val="000000"/>
          <w:sz w:val="20"/>
          <w:szCs w:val="20"/>
        </w:rPr>
        <w:t>Musawah believes that Qur’anic principles and the richness of the Islamic juristic tradition enable us to formulate Muslim family laws today that are egalitarian and reflect the needs of contemporary societies. Islamic teachings and universal human rights standards, including the CEDAW Convention, are fully compatible and are dynamic and constantly evolving, based on changing times and circumstances. Inspired by the Qur’anic vision of justice and gender relations, Musawah contends that gender equality and non-discrimination can only be achieved with laws that transform power relations in the family and in society in the direction of just outcomes. </w:t>
      </w:r>
    </w:p>
    <w:p w14:paraId="5B021667" w14:textId="77777777" w:rsidR="002B1571" w:rsidRPr="002B1571" w:rsidRDefault="002B1571" w:rsidP="002B1571">
      <w:pPr>
        <w:spacing w:before="280" w:after="280"/>
      </w:pPr>
      <w:r w:rsidRPr="002B1571">
        <w:rPr>
          <w:rFonts w:ascii="Arial" w:hAnsi="Arial" w:cs="Arial"/>
          <w:color w:val="000000"/>
          <w:sz w:val="20"/>
          <w:szCs w:val="20"/>
        </w:rPr>
        <w:t>It is our hope that the CEDAW Committee will encourage Governments everywhere, and particularly those purporting to speak for and in the name of Islam and Muslim communities, to: </w:t>
      </w:r>
    </w:p>
    <w:p w14:paraId="7A2259B0" w14:textId="77777777" w:rsidR="002B1571" w:rsidRPr="002B1571" w:rsidRDefault="002B1571" w:rsidP="002B1571">
      <w:pPr>
        <w:numPr>
          <w:ilvl w:val="0"/>
          <w:numId w:val="14"/>
        </w:numPr>
        <w:spacing w:before="280"/>
        <w:textAlignment w:val="baseline"/>
        <w:rPr>
          <w:rFonts w:ascii="Arial" w:hAnsi="Arial" w:cs="Arial"/>
          <w:color w:val="000000"/>
          <w:sz w:val="20"/>
          <w:szCs w:val="20"/>
        </w:rPr>
      </w:pPr>
      <w:r w:rsidRPr="002B1571">
        <w:rPr>
          <w:rFonts w:ascii="Arial" w:hAnsi="Arial" w:cs="Arial"/>
          <w:color w:val="000000"/>
          <w:sz w:val="20"/>
          <w:szCs w:val="20"/>
        </w:rPr>
        <w:t>Recognize the diversity of opinions, laws and practices in the Muslim world and the growing scholarship in Islam that recognizes equality and justice and the possibility and necessity for reform of Muslim family laws today. </w:t>
      </w:r>
    </w:p>
    <w:p w14:paraId="12D7A0D6" w14:textId="77777777" w:rsidR="002B1571" w:rsidRPr="002B1571" w:rsidRDefault="002B1571" w:rsidP="002B1571">
      <w:pPr>
        <w:numPr>
          <w:ilvl w:val="0"/>
          <w:numId w:val="14"/>
        </w:numPr>
        <w:textAlignment w:val="baseline"/>
        <w:rPr>
          <w:rFonts w:ascii="Arial" w:hAnsi="Arial" w:cs="Arial"/>
          <w:color w:val="000000"/>
          <w:sz w:val="20"/>
          <w:szCs w:val="20"/>
        </w:rPr>
      </w:pPr>
      <w:r w:rsidRPr="002B1571">
        <w:rPr>
          <w:rFonts w:ascii="Arial" w:hAnsi="Arial" w:cs="Arial"/>
          <w:color w:val="000000"/>
          <w:sz w:val="20"/>
          <w:szCs w:val="20"/>
        </w:rPr>
        <w:t>Promote human rights standards as intrinsic to the teachings of Islam, national guarantees of equality and non-discrimination, and the lived realities of men and women today. </w:t>
      </w:r>
    </w:p>
    <w:p w14:paraId="248C91B8" w14:textId="656D75A2" w:rsidR="0078156B" w:rsidRPr="002B1571" w:rsidRDefault="002B1571" w:rsidP="002B1571">
      <w:pPr>
        <w:numPr>
          <w:ilvl w:val="0"/>
          <w:numId w:val="14"/>
        </w:numPr>
        <w:spacing w:after="280"/>
        <w:textAlignment w:val="baseline"/>
        <w:rPr>
          <w:rFonts w:ascii="Arial" w:hAnsi="Arial" w:cs="Arial"/>
          <w:color w:val="000000"/>
          <w:sz w:val="20"/>
          <w:szCs w:val="20"/>
        </w:rPr>
      </w:pPr>
      <w:r w:rsidRPr="002B1571">
        <w:rPr>
          <w:rFonts w:ascii="Arial" w:hAnsi="Arial" w:cs="Arial"/>
          <w:color w:val="000000"/>
          <w:sz w:val="20"/>
          <w:szCs w:val="20"/>
        </w:rPr>
        <w:t>Encourage open and inclusive public debate regarding diversity of opinion and interpretations in Muslim laws and principles relating to family laws and practices.</w:t>
      </w:r>
    </w:p>
    <w:p w14:paraId="4A0744DC" w14:textId="47305729" w:rsidR="00B92901" w:rsidRDefault="00074907">
      <w:pPr>
        <w:spacing w:before="280" w:after="280"/>
        <w:rPr>
          <w:rFonts w:ascii="Arial" w:eastAsia="Arial" w:hAnsi="Arial" w:cs="Arial"/>
        </w:rPr>
      </w:pPr>
      <w:r>
        <w:rPr>
          <w:noProof/>
          <w:lang w:val="en-GB" w:eastAsia="en-GB"/>
        </w:rPr>
        <w:drawing>
          <wp:anchor distT="0" distB="0" distL="114300" distR="114300" simplePos="0" relativeHeight="251659264" behindDoc="0" locked="0" layoutInCell="1" hidden="0" allowOverlap="1" wp14:anchorId="37F50C65" wp14:editId="4EE950BD">
            <wp:simplePos x="0" y="0"/>
            <wp:positionH relativeFrom="column">
              <wp:posOffset>623569</wp:posOffset>
            </wp:positionH>
            <wp:positionV relativeFrom="paragraph">
              <wp:posOffset>347345</wp:posOffset>
            </wp:positionV>
            <wp:extent cx="4580255" cy="3423920"/>
            <wp:effectExtent l="0" t="0" r="0" b="0"/>
            <wp:wrapSquare wrapText="bothSides" distT="0" distB="0" distL="114300" distR="114300"/>
            <wp:docPr id="25" name="image4.jpg" descr="Macintosh HD:Users:Hyshyama:Downloads:Musawah - Reforms 4 pillars.jpg"/>
            <wp:cNvGraphicFramePr/>
            <a:graphic xmlns:a="http://schemas.openxmlformats.org/drawingml/2006/main">
              <a:graphicData uri="http://schemas.openxmlformats.org/drawingml/2006/picture">
                <pic:pic xmlns:pic="http://schemas.openxmlformats.org/drawingml/2006/picture">
                  <pic:nvPicPr>
                    <pic:cNvPr id="0" name="image4.jpg" descr="Macintosh HD:Users:Hyshyama:Downloads:Musawah - Reforms 4 pillars.jpg"/>
                    <pic:cNvPicPr preferRelativeResize="0"/>
                  </pic:nvPicPr>
                  <pic:blipFill>
                    <a:blip r:embed="rId26"/>
                    <a:srcRect/>
                    <a:stretch>
                      <a:fillRect/>
                    </a:stretch>
                  </pic:blipFill>
                  <pic:spPr>
                    <a:xfrm>
                      <a:off x="0" y="0"/>
                      <a:ext cx="4580255" cy="3423920"/>
                    </a:xfrm>
                    <a:prstGeom prst="rect">
                      <a:avLst/>
                    </a:prstGeom>
                    <a:ln/>
                  </pic:spPr>
                </pic:pic>
              </a:graphicData>
            </a:graphic>
          </wp:anchor>
        </w:drawing>
      </w:r>
    </w:p>
    <w:p w14:paraId="13E993A0" w14:textId="77777777" w:rsidR="00B92901" w:rsidRDefault="00B92901"/>
    <w:p w14:paraId="02D12397" w14:textId="77777777" w:rsidR="00B92901" w:rsidRDefault="00B92901"/>
    <w:p w14:paraId="2C4F0FC1" w14:textId="77777777" w:rsidR="00B92901" w:rsidRDefault="00B92901"/>
    <w:p w14:paraId="701C25EC" w14:textId="77777777" w:rsidR="00B92901" w:rsidRDefault="00B92901"/>
    <w:p w14:paraId="02E7B22B" w14:textId="77777777" w:rsidR="00B92901" w:rsidRDefault="00B92901"/>
    <w:p w14:paraId="0DAAD099" w14:textId="77777777" w:rsidR="00B92901" w:rsidRDefault="00B92901"/>
    <w:p w14:paraId="6D11412B" w14:textId="77777777" w:rsidR="00B92901" w:rsidRDefault="00B92901"/>
    <w:p w14:paraId="49FDF952" w14:textId="77777777" w:rsidR="00B92901" w:rsidRDefault="00B92901"/>
    <w:p w14:paraId="2F528B71" w14:textId="77777777" w:rsidR="00B92901" w:rsidRDefault="00B92901"/>
    <w:p w14:paraId="0CBC40ED" w14:textId="77777777" w:rsidR="00B92901" w:rsidRDefault="00B92901"/>
    <w:p w14:paraId="2D137387" w14:textId="77777777" w:rsidR="00B92901" w:rsidRDefault="00B92901"/>
    <w:p w14:paraId="5E43DB0E" w14:textId="77777777" w:rsidR="00B92901" w:rsidRDefault="00B92901"/>
    <w:p w14:paraId="6C37A032" w14:textId="77777777" w:rsidR="00B92901" w:rsidRDefault="00B92901"/>
    <w:p w14:paraId="2D097E86" w14:textId="77777777" w:rsidR="00B92901" w:rsidRDefault="00B92901"/>
    <w:p w14:paraId="6047A4EF" w14:textId="77777777" w:rsidR="00B92901" w:rsidRDefault="00B92901"/>
    <w:sectPr w:rsidR="00B92901">
      <w:footerReference w:type="even" r:id="rId27"/>
      <w:footerReference w:type="default" r:id="rId28"/>
      <w:pgSz w:w="11900" w:h="16820"/>
      <w:pgMar w:top="1260" w:right="1460" w:bottom="983" w:left="153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BC9BC" w14:textId="77777777" w:rsidR="0097419B" w:rsidRDefault="0097419B">
      <w:r>
        <w:separator/>
      </w:r>
    </w:p>
  </w:endnote>
  <w:endnote w:type="continuationSeparator" w:id="0">
    <w:p w14:paraId="24BBB341" w14:textId="77777777" w:rsidR="0097419B" w:rsidRDefault="00974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Fedra Sans Std Norm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C85DC" w14:textId="77777777" w:rsidR="00B92901" w:rsidRDefault="00074907">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3BF814E6" w14:textId="77777777" w:rsidR="00B92901" w:rsidRDefault="00B92901">
    <w:pPr>
      <w:pBdr>
        <w:top w:val="nil"/>
        <w:left w:val="nil"/>
        <w:bottom w:val="nil"/>
        <w:right w:val="nil"/>
        <w:between w:val="nil"/>
      </w:pBdr>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C4935" w14:textId="79AA0A2D" w:rsidR="00B92901" w:rsidRDefault="00074907">
    <w:pPr>
      <w:pBdr>
        <w:top w:val="nil"/>
        <w:left w:val="nil"/>
        <w:bottom w:val="nil"/>
        <w:right w:val="nil"/>
        <w:between w:val="nil"/>
      </w:pBdr>
      <w:jc w:val="right"/>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separate"/>
    </w:r>
    <w:r w:rsidR="00DE4B80">
      <w:rPr>
        <w:noProof/>
        <w:color w:val="000000"/>
        <w:sz w:val="18"/>
        <w:szCs w:val="18"/>
      </w:rPr>
      <w:t>14</w:t>
    </w:r>
    <w:r>
      <w:rPr>
        <w:color w:val="000000"/>
        <w:sz w:val="18"/>
        <w:szCs w:val="18"/>
      </w:rPr>
      <w:fldChar w:fldCharType="end"/>
    </w:r>
  </w:p>
  <w:p w14:paraId="45C14BE6" w14:textId="77777777" w:rsidR="00B92901" w:rsidRDefault="00B92901">
    <w:pPr>
      <w:pBdr>
        <w:top w:val="nil"/>
        <w:left w:val="nil"/>
        <w:bottom w:val="nil"/>
        <w:right w:val="nil"/>
        <w:between w:val="nil"/>
      </w:pBdr>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709BCD" w14:textId="77777777" w:rsidR="0097419B" w:rsidRDefault="0097419B">
      <w:r>
        <w:separator/>
      </w:r>
    </w:p>
  </w:footnote>
  <w:footnote w:type="continuationSeparator" w:id="0">
    <w:p w14:paraId="3FA92E56" w14:textId="77777777" w:rsidR="0097419B" w:rsidRDefault="0097419B">
      <w:r>
        <w:continuationSeparator/>
      </w:r>
    </w:p>
  </w:footnote>
  <w:footnote w:id="1">
    <w:p w14:paraId="249D00B7" w14:textId="77777777" w:rsidR="00B92901" w:rsidRDefault="00074907">
      <w:pPr>
        <w:pBdr>
          <w:top w:val="nil"/>
          <w:left w:val="nil"/>
          <w:bottom w:val="nil"/>
          <w:right w:val="nil"/>
          <w:between w:val="nil"/>
        </w:pBdr>
        <w:ind w:left="567" w:hanging="567"/>
        <w:rPr>
          <w:rFonts w:ascii="Arial" w:eastAsia="Arial" w:hAnsi="Arial" w:cs="Arial"/>
          <w:color w:val="000000"/>
          <w:sz w:val="18"/>
          <w:szCs w:val="18"/>
        </w:rPr>
      </w:pPr>
      <w:r>
        <w:rPr>
          <w:rStyle w:val="FootnoteReference"/>
        </w:rPr>
        <w:footnoteRef/>
      </w:r>
      <w:r>
        <w:rPr>
          <w:rFonts w:ascii="Arial" w:eastAsia="Arial" w:hAnsi="Arial" w:cs="Arial"/>
          <w:color w:val="000000"/>
          <w:sz w:val="18"/>
          <w:szCs w:val="18"/>
        </w:rPr>
        <w:t xml:space="preserve"> </w:t>
      </w:r>
      <w:r>
        <w:rPr>
          <w:rFonts w:ascii="Arial" w:eastAsia="Arial" w:hAnsi="Arial" w:cs="Arial"/>
          <w:color w:val="000000"/>
          <w:sz w:val="18"/>
          <w:szCs w:val="18"/>
        </w:rPr>
        <w:tab/>
        <w:t xml:space="preserve">Article 54 of Afghanistan’s Constitution (2004), </w:t>
      </w:r>
      <w:hyperlink r:id="rId1">
        <w:r>
          <w:rPr>
            <w:rFonts w:ascii="Arial" w:eastAsia="Arial" w:hAnsi="Arial" w:cs="Arial"/>
            <w:color w:val="0563C1"/>
            <w:sz w:val="18"/>
            <w:szCs w:val="18"/>
            <w:u w:val="single"/>
          </w:rPr>
          <w:t>https://www.constituteproject.org/constitution/Afghanistan_2004.pdf?lang=en</w:t>
        </w:r>
      </w:hyperlink>
    </w:p>
  </w:footnote>
  <w:footnote w:id="2">
    <w:p w14:paraId="36313DA1" w14:textId="77777777" w:rsidR="00B92901" w:rsidRDefault="00074907">
      <w:pPr>
        <w:pBdr>
          <w:top w:val="nil"/>
          <w:left w:val="nil"/>
          <w:bottom w:val="nil"/>
          <w:right w:val="nil"/>
          <w:between w:val="nil"/>
        </w:pBdr>
        <w:ind w:left="567" w:hanging="567"/>
        <w:rPr>
          <w:rFonts w:ascii="Arial" w:eastAsia="Arial" w:hAnsi="Arial" w:cs="Arial"/>
          <w:color w:val="000000"/>
          <w:sz w:val="18"/>
          <w:szCs w:val="18"/>
        </w:rPr>
      </w:pPr>
      <w:r>
        <w:rPr>
          <w:rStyle w:val="FootnoteReference"/>
        </w:rPr>
        <w:footnoteRef/>
      </w:r>
      <w:r>
        <w:rPr>
          <w:rFonts w:ascii="Arial" w:eastAsia="Arial" w:hAnsi="Arial" w:cs="Arial"/>
          <w:color w:val="000000"/>
          <w:sz w:val="18"/>
          <w:szCs w:val="18"/>
        </w:rPr>
        <w:t xml:space="preserve"> </w:t>
      </w:r>
      <w:r>
        <w:rPr>
          <w:rFonts w:ascii="Arial" w:eastAsia="Arial" w:hAnsi="Arial" w:cs="Arial"/>
          <w:color w:val="000000"/>
          <w:sz w:val="18"/>
          <w:szCs w:val="18"/>
        </w:rPr>
        <w:tab/>
        <w:t xml:space="preserve">Civil Code (1977), </w:t>
      </w:r>
      <w:hyperlink r:id="rId2">
        <w:r>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p>
  </w:footnote>
  <w:footnote w:id="3">
    <w:p w14:paraId="1A161877" w14:textId="77777777" w:rsidR="00B92901" w:rsidRDefault="00074907">
      <w:pPr>
        <w:ind w:left="567" w:hanging="567"/>
        <w:rPr>
          <w:rFonts w:ascii="Arial" w:eastAsia="Arial" w:hAnsi="Arial" w:cs="Arial"/>
          <w:sz w:val="18"/>
          <w:szCs w:val="18"/>
        </w:rPr>
      </w:pPr>
      <w:r>
        <w:rPr>
          <w:rStyle w:val="FootnoteReference"/>
        </w:rPr>
        <w:footnoteRef/>
      </w:r>
      <w:r>
        <w:rPr>
          <w:rFonts w:ascii="Arial" w:eastAsia="Arial" w:hAnsi="Arial" w:cs="Arial"/>
          <w:sz w:val="18"/>
          <w:szCs w:val="18"/>
        </w:rPr>
        <w:t xml:space="preserve"> </w:t>
      </w:r>
      <w:r>
        <w:rPr>
          <w:rFonts w:ascii="Arial" w:eastAsia="Arial" w:hAnsi="Arial" w:cs="Arial"/>
          <w:sz w:val="18"/>
          <w:szCs w:val="18"/>
        </w:rPr>
        <w:tab/>
        <w:t xml:space="preserve">Article 1(2)  of the Civil Code (1977), </w:t>
      </w:r>
      <w:hyperlink r:id="rId3">
        <w:r>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Pr>
          <w:rFonts w:ascii="Arial" w:eastAsia="Arial" w:hAnsi="Arial" w:cs="Arial"/>
          <w:sz w:val="18"/>
          <w:szCs w:val="18"/>
        </w:rPr>
        <w:t xml:space="preserve">; Article 130 of Afghanistan’s Constitution (2004), </w:t>
      </w:r>
      <w:hyperlink r:id="rId4">
        <w:r>
          <w:rPr>
            <w:rFonts w:ascii="Arial" w:eastAsia="Arial" w:hAnsi="Arial" w:cs="Arial"/>
            <w:color w:val="0563C1"/>
            <w:sz w:val="18"/>
            <w:szCs w:val="18"/>
            <w:u w:val="single"/>
          </w:rPr>
          <w:t>https://www.constituteproject.org/constitution/Afghanistan_2004.pdf?lang=en</w:t>
        </w:r>
      </w:hyperlink>
    </w:p>
  </w:footnote>
  <w:footnote w:id="4">
    <w:p w14:paraId="5CB551F0" w14:textId="77777777" w:rsidR="00B92901" w:rsidRDefault="00074907">
      <w:pPr>
        <w:ind w:left="567" w:hanging="567"/>
        <w:rPr>
          <w:rFonts w:ascii="Arial" w:eastAsia="Arial" w:hAnsi="Arial" w:cs="Arial"/>
          <w:sz w:val="18"/>
          <w:szCs w:val="18"/>
        </w:rPr>
      </w:pPr>
      <w:r>
        <w:rPr>
          <w:rStyle w:val="FootnoteReference"/>
        </w:rPr>
        <w:footnoteRef/>
      </w:r>
      <w:r>
        <w:rPr>
          <w:rFonts w:ascii="Arial" w:eastAsia="Arial" w:hAnsi="Arial" w:cs="Arial"/>
          <w:sz w:val="18"/>
          <w:szCs w:val="18"/>
        </w:rPr>
        <w:t xml:space="preserve"> </w:t>
      </w:r>
      <w:r>
        <w:rPr>
          <w:rFonts w:ascii="Arial" w:eastAsia="Arial" w:hAnsi="Arial" w:cs="Arial"/>
          <w:sz w:val="18"/>
          <w:szCs w:val="18"/>
        </w:rPr>
        <w:tab/>
        <w:t xml:space="preserve">Shiite Personal Status Law (2009), </w:t>
      </w:r>
      <w:hyperlink r:id="rId5">
        <w:r>
          <w:rPr>
            <w:rFonts w:ascii="Arial" w:eastAsia="Arial" w:hAnsi="Arial" w:cs="Arial"/>
            <w:color w:val="0563C1"/>
            <w:sz w:val="18"/>
            <w:szCs w:val="18"/>
            <w:u w:val="single"/>
          </w:rPr>
          <w:t>http://www.refworld.org/pdfid/4a24ed5b2.pdf</w:t>
        </w:r>
      </w:hyperlink>
      <w:r>
        <w:rPr>
          <w:rFonts w:ascii="Arial" w:eastAsia="Arial" w:hAnsi="Arial" w:cs="Arial"/>
          <w:sz w:val="18"/>
          <w:szCs w:val="18"/>
        </w:rPr>
        <w:t xml:space="preserve">; Article 131 of Afghanistan’s Constitution (2004), </w:t>
      </w:r>
      <w:hyperlink r:id="rId6">
        <w:r>
          <w:rPr>
            <w:rFonts w:ascii="Arial" w:eastAsia="Arial" w:hAnsi="Arial" w:cs="Arial"/>
            <w:color w:val="0563C1"/>
            <w:sz w:val="18"/>
            <w:szCs w:val="18"/>
            <w:u w:val="single"/>
          </w:rPr>
          <w:t>https://www.constituteproject.org/constitution/Afghanistan_2004.pdf?lang=en</w:t>
        </w:r>
      </w:hyperlink>
      <w:r>
        <w:rPr>
          <w:rFonts w:ascii="Arial" w:eastAsia="Arial" w:hAnsi="Arial" w:cs="Arial"/>
          <w:sz w:val="18"/>
          <w:szCs w:val="18"/>
        </w:rPr>
        <w:t xml:space="preserve"> </w:t>
      </w:r>
    </w:p>
  </w:footnote>
  <w:footnote w:id="5">
    <w:p w14:paraId="331553AF" w14:textId="77777777" w:rsidR="00B92901" w:rsidRDefault="00074907">
      <w:pPr>
        <w:ind w:left="567" w:hanging="567"/>
        <w:rPr>
          <w:rFonts w:ascii="Arial" w:eastAsia="Arial" w:hAnsi="Arial" w:cs="Arial"/>
          <w:sz w:val="18"/>
          <w:szCs w:val="18"/>
        </w:rPr>
      </w:pPr>
      <w:r>
        <w:rPr>
          <w:rStyle w:val="FootnoteReference"/>
        </w:rPr>
        <w:footnoteRef/>
      </w:r>
      <w:r>
        <w:rPr>
          <w:rFonts w:ascii="Arial" w:eastAsia="Arial" w:hAnsi="Arial" w:cs="Arial"/>
          <w:sz w:val="18"/>
          <w:szCs w:val="18"/>
        </w:rPr>
        <w:t xml:space="preserve"> </w:t>
      </w:r>
      <w:r>
        <w:rPr>
          <w:rFonts w:ascii="Arial" w:eastAsia="Arial" w:hAnsi="Arial" w:cs="Arial"/>
          <w:sz w:val="18"/>
          <w:szCs w:val="18"/>
        </w:rPr>
        <w:tab/>
        <w:t xml:space="preserve">Article 2(3) of the Shiite Personal Status Law (2009), </w:t>
      </w:r>
      <w:hyperlink r:id="rId7">
        <w:r>
          <w:rPr>
            <w:rFonts w:ascii="Arial" w:eastAsia="Arial" w:hAnsi="Arial" w:cs="Arial"/>
            <w:color w:val="0563C1"/>
            <w:sz w:val="18"/>
            <w:szCs w:val="18"/>
            <w:u w:val="single"/>
          </w:rPr>
          <w:t>http://www.refworld.org/pdfid/4a24ed5b2.pdf</w:t>
        </w:r>
      </w:hyperlink>
    </w:p>
  </w:footnote>
  <w:footnote w:id="6">
    <w:p w14:paraId="13F008B5" w14:textId="77777777" w:rsidR="00E93600" w:rsidRPr="00646C15" w:rsidRDefault="00E93600" w:rsidP="00E93600">
      <w:pPr>
        <w:pBdr>
          <w:top w:val="nil"/>
          <w:left w:val="nil"/>
          <w:bottom w:val="nil"/>
          <w:right w:val="nil"/>
          <w:between w:val="nil"/>
        </w:pBdr>
        <w:ind w:left="567" w:hanging="567"/>
        <w:rPr>
          <w:rFonts w:ascii="Arial" w:eastAsia="Arial" w:hAnsi="Arial" w:cs="Arial"/>
          <w:color w:val="000000"/>
          <w:sz w:val="18"/>
          <w:szCs w:val="18"/>
        </w:rPr>
      </w:pPr>
      <w:r w:rsidRPr="00646C15">
        <w:rPr>
          <w:rStyle w:val="FootnoteReference"/>
          <w:rFonts w:ascii="Arial" w:hAnsi="Arial" w:cs="Arial"/>
          <w:sz w:val="18"/>
          <w:szCs w:val="18"/>
        </w:rPr>
        <w:footnoteRef/>
      </w:r>
      <w:r w:rsidRPr="00646C15">
        <w:rPr>
          <w:rFonts w:ascii="Arial" w:eastAsia="Arial" w:hAnsi="Arial" w:cs="Arial"/>
          <w:color w:val="000000"/>
          <w:sz w:val="18"/>
          <w:szCs w:val="18"/>
        </w:rPr>
        <w:t xml:space="preserve"> </w:t>
      </w:r>
      <w:r w:rsidRPr="00646C15">
        <w:rPr>
          <w:rFonts w:ascii="Arial" w:eastAsia="Arial" w:hAnsi="Arial" w:cs="Arial"/>
          <w:color w:val="000000"/>
          <w:sz w:val="18"/>
          <w:szCs w:val="18"/>
        </w:rPr>
        <w:tab/>
        <w:t xml:space="preserve">Articles 60, 99, 115, 117, 155 of the Civil Code (1977), </w:t>
      </w:r>
      <w:hyperlink r:id="rId8">
        <w:r w:rsidRPr="00646C15">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p>
  </w:footnote>
  <w:footnote w:id="7">
    <w:p w14:paraId="7A8ACCD6" w14:textId="77777777" w:rsidR="00E93600" w:rsidRPr="00646C15" w:rsidRDefault="00E93600" w:rsidP="00E93600">
      <w:pPr>
        <w:pBdr>
          <w:top w:val="nil"/>
          <w:left w:val="nil"/>
          <w:bottom w:val="nil"/>
          <w:right w:val="nil"/>
          <w:between w:val="nil"/>
        </w:pBdr>
        <w:ind w:left="567" w:hanging="567"/>
        <w:rPr>
          <w:rFonts w:ascii="Arial" w:eastAsia="Arial" w:hAnsi="Arial" w:cs="Arial"/>
          <w:color w:val="000000"/>
          <w:sz w:val="18"/>
          <w:szCs w:val="18"/>
        </w:rPr>
      </w:pPr>
      <w:r w:rsidRPr="00646C15">
        <w:rPr>
          <w:rStyle w:val="FootnoteReference"/>
          <w:rFonts w:ascii="Arial" w:hAnsi="Arial" w:cs="Arial"/>
          <w:sz w:val="18"/>
          <w:szCs w:val="18"/>
        </w:rPr>
        <w:footnoteRef/>
      </w:r>
      <w:r w:rsidRPr="00646C15">
        <w:rPr>
          <w:rFonts w:ascii="Arial" w:eastAsia="Arial" w:hAnsi="Arial" w:cs="Arial"/>
          <w:color w:val="000000"/>
          <w:sz w:val="18"/>
          <w:szCs w:val="18"/>
        </w:rPr>
        <w:t xml:space="preserve"> </w:t>
      </w:r>
      <w:r w:rsidRPr="00646C15">
        <w:rPr>
          <w:rFonts w:ascii="Arial" w:eastAsia="Arial" w:hAnsi="Arial" w:cs="Arial"/>
          <w:color w:val="000000"/>
          <w:sz w:val="18"/>
          <w:szCs w:val="18"/>
        </w:rPr>
        <w:tab/>
        <w:t xml:space="preserve">Articles 74, 132, 133, 155 of the Shiite Personal Status Law (2009), </w:t>
      </w:r>
      <w:hyperlink r:id="rId9">
        <w:r w:rsidRPr="00646C15">
          <w:rPr>
            <w:rFonts w:ascii="Arial" w:eastAsia="Arial" w:hAnsi="Arial" w:cs="Arial"/>
            <w:color w:val="0563C1"/>
            <w:sz w:val="18"/>
            <w:szCs w:val="18"/>
            <w:u w:val="single"/>
          </w:rPr>
          <w:t>http://www.refworld.org/pdfid/4a24ed5b2.pdf</w:t>
        </w:r>
      </w:hyperlink>
    </w:p>
  </w:footnote>
  <w:footnote w:id="8">
    <w:p w14:paraId="1AF87457" w14:textId="77777777" w:rsidR="00B92901" w:rsidRPr="00646C15" w:rsidRDefault="00074907">
      <w:pPr>
        <w:pBdr>
          <w:top w:val="nil"/>
          <w:left w:val="nil"/>
          <w:bottom w:val="nil"/>
          <w:right w:val="nil"/>
          <w:between w:val="nil"/>
        </w:pBdr>
        <w:ind w:left="567" w:hanging="567"/>
        <w:rPr>
          <w:rFonts w:ascii="Arial" w:eastAsia="Arial" w:hAnsi="Arial" w:cs="Arial"/>
          <w:color w:val="000000"/>
          <w:sz w:val="18"/>
          <w:szCs w:val="18"/>
        </w:rPr>
      </w:pPr>
      <w:r w:rsidRPr="00646C15">
        <w:rPr>
          <w:rStyle w:val="FootnoteReference"/>
          <w:rFonts w:ascii="Arial" w:hAnsi="Arial" w:cs="Arial"/>
          <w:sz w:val="18"/>
          <w:szCs w:val="18"/>
        </w:rPr>
        <w:footnoteRef/>
      </w:r>
      <w:r w:rsidRPr="00646C15">
        <w:rPr>
          <w:rFonts w:ascii="Arial" w:eastAsia="Arial" w:hAnsi="Arial" w:cs="Arial"/>
          <w:color w:val="000000"/>
          <w:sz w:val="18"/>
          <w:szCs w:val="18"/>
        </w:rPr>
        <w:t xml:space="preserve"> </w:t>
      </w:r>
      <w:r w:rsidRPr="00646C15">
        <w:rPr>
          <w:rFonts w:ascii="Arial" w:eastAsia="Arial" w:hAnsi="Arial" w:cs="Arial"/>
          <w:color w:val="000000"/>
          <w:sz w:val="18"/>
          <w:szCs w:val="18"/>
        </w:rPr>
        <w:tab/>
        <w:t xml:space="preserve">According to Girls Not Bride, factors that contribute to the high prevalence of child marriage in Afghanistan include poverty, poor access to education and strong patriarchal values that have given rise to cultural practices that assign a low value to girls “such as bride price, child engagement (where children are engaged before birth), exchange marriages (between girls from two separate families) and giving girls in </w:t>
      </w:r>
      <w:r w:rsidRPr="00646C15">
        <w:rPr>
          <w:rFonts w:ascii="Arial" w:eastAsia="Arial" w:hAnsi="Arial" w:cs="Arial"/>
          <w:i/>
          <w:color w:val="000000"/>
          <w:sz w:val="18"/>
          <w:szCs w:val="18"/>
        </w:rPr>
        <w:t xml:space="preserve">baad </w:t>
      </w:r>
      <w:r w:rsidRPr="00646C15">
        <w:rPr>
          <w:rFonts w:ascii="Arial" w:eastAsia="Arial" w:hAnsi="Arial" w:cs="Arial"/>
          <w:color w:val="000000"/>
          <w:sz w:val="18"/>
          <w:szCs w:val="18"/>
        </w:rPr>
        <w:t xml:space="preserve">(to solve a community dispute) - Girls Not Brides, “Afghanistan”, </w:t>
      </w:r>
      <w:r w:rsidRPr="00646C15">
        <w:rPr>
          <w:rFonts w:ascii="Arial" w:eastAsia="Arial" w:hAnsi="Arial" w:cs="Arial"/>
          <w:i/>
          <w:color w:val="000000"/>
          <w:sz w:val="18"/>
          <w:szCs w:val="18"/>
        </w:rPr>
        <w:t>Child marriages around the world</w:t>
      </w:r>
      <w:r w:rsidRPr="00646C15">
        <w:rPr>
          <w:rFonts w:ascii="Arial" w:eastAsia="Arial" w:hAnsi="Arial" w:cs="Arial"/>
          <w:color w:val="000000"/>
          <w:sz w:val="18"/>
          <w:szCs w:val="18"/>
        </w:rPr>
        <w:t xml:space="preserve">, </w:t>
      </w:r>
      <w:hyperlink r:id="rId10">
        <w:r w:rsidRPr="00646C15">
          <w:rPr>
            <w:rFonts w:ascii="Arial" w:eastAsia="Arial" w:hAnsi="Arial" w:cs="Arial"/>
            <w:color w:val="0563C1"/>
            <w:sz w:val="18"/>
            <w:szCs w:val="18"/>
            <w:u w:val="single"/>
          </w:rPr>
          <w:t>http://www.girlsnotbrides.org/child-marriage/afghanistan/</w:t>
        </w:r>
      </w:hyperlink>
    </w:p>
  </w:footnote>
  <w:footnote w:id="9">
    <w:p w14:paraId="4893E50D" w14:textId="77777777" w:rsidR="00B92901" w:rsidRPr="00646C15" w:rsidRDefault="00074907">
      <w:pPr>
        <w:widowControl w:val="0"/>
        <w:pBdr>
          <w:top w:val="nil"/>
          <w:left w:val="nil"/>
          <w:bottom w:val="nil"/>
          <w:right w:val="nil"/>
          <w:between w:val="nil"/>
        </w:pBdr>
        <w:ind w:left="567" w:hanging="567"/>
        <w:rPr>
          <w:rFonts w:ascii="Arial" w:eastAsia="Arial" w:hAnsi="Arial" w:cs="Arial"/>
          <w:color w:val="000000"/>
          <w:sz w:val="18"/>
          <w:szCs w:val="18"/>
        </w:rPr>
      </w:pPr>
      <w:r w:rsidRPr="00646C15">
        <w:rPr>
          <w:rStyle w:val="FootnoteReference"/>
          <w:rFonts w:ascii="Arial" w:hAnsi="Arial" w:cs="Arial"/>
          <w:sz w:val="18"/>
          <w:szCs w:val="18"/>
        </w:rPr>
        <w:footnoteRef/>
      </w:r>
      <w:r w:rsidRPr="00646C15">
        <w:rPr>
          <w:rFonts w:ascii="Arial" w:eastAsia="Arial" w:hAnsi="Arial" w:cs="Arial"/>
          <w:color w:val="000000"/>
          <w:sz w:val="18"/>
          <w:szCs w:val="18"/>
        </w:rPr>
        <w:t xml:space="preserve"> </w:t>
      </w:r>
      <w:r w:rsidRPr="00646C15">
        <w:rPr>
          <w:rFonts w:ascii="Arial" w:eastAsia="Arial" w:hAnsi="Arial" w:cs="Arial"/>
          <w:color w:val="000000"/>
          <w:sz w:val="18"/>
          <w:szCs w:val="18"/>
        </w:rPr>
        <w:tab/>
        <w:t xml:space="preserve">UNICEF, “The State of the World’s Children 2016”, Table 9, pp. 150-153, </w:t>
      </w:r>
      <w:hyperlink r:id="rId11">
        <w:r w:rsidRPr="00646C15">
          <w:rPr>
            <w:rFonts w:ascii="Arial" w:eastAsia="Arial" w:hAnsi="Arial" w:cs="Arial"/>
            <w:color w:val="0563C1"/>
            <w:sz w:val="18"/>
            <w:szCs w:val="18"/>
            <w:u w:val="single"/>
          </w:rPr>
          <w:t>https://www.unicef.org/publications/files/UNICEF_SOWC_2016.pdf</w:t>
        </w:r>
      </w:hyperlink>
      <w:r w:rsidRPr="00646C15">
        <w:rPr>
          <w:rFonts w:ascii="Arial" w:eastAsia="Arial" w:hAnsi="Arial" w:cs="Arial"/>
          <w:color w:val="000000"/>
          <w:sz w:val="18"/>
          <w:szCs w:val="18"/>
        </w:rPr>
        <w:t xml:space="preserve">; Afghanistan State party report, U.N. Doc. CEDAW/C/AFG/1-2 (2011), para. 359, </w:t>
      </w:r>
      <w:hyperlink r:id="rId12">
        <w:r w:rsidRPr="00646C15">
          <w:rPr>
            <w:rFonts w:ascii="Arial" w:eastAsia="Arial" w:hAnsi="Arial" w:cs="Arial"/>
            <w:color w:val="0563C1"/>
            <w:sz w:val="18"/>
            <w:szCs w:val="18"/>
            <w:u w:val="single"/>
          </w:rPr>
          <w:t>http://www.ohchr.org/en/hrbodies/cedaw/pages/cedawindex.aspx</w:t>
        </w:r>
      </w:hyperlink>
    </w:p>
  </w:footnote>
  <w:footnote w:id="10">
    <w:p w14:paraId="6CC70D72" w14:textId="77777777" w:rsidR="00B92901" w:rsidRDefault="00074907">
      <w:pPr>
        <w:pBdr>
          <w:top w:val="nil"/>
          <w:left w:val="nil"/>
          <w:bottom w:val="nil"/>
          <w:right w:val="nil"/>
          <w:between w:val="nil"/>
        </w:pBdr>
        <w:ind w:left="567" w:hanging="567"/>
        <w:rPr>
          <w:rFonts w:ascii="Arial" w:eastAsia="Arial" w:hAnsi="Arial" w:cs="Arial"/>
          <w:color w:val="000000"/>
          <w:sz w:val="18"/>
          <w:szCs w:val="18"/>
        </w:rPr>
      </w:pPr>
      <w:r w:rsidRPr="00646C15">
        <w:rPr>
          <w:rStyle w:val="FootnoteReference"/>
          <w:rFonts w:ascii="Arial" w:hAnsi="Arial" w:cs="Arial"/>
          <w:sz w:val="18"/>
          <w:szCs w:val="18"/>
        </w:rPr>
        <w:footnoteRef/>
      </w:r>
      <w:r w:rsidRPr="00646C15">
        <w:rPr>
          <w:rFonts w:ascii="Arial" w:eastAsia="Arial" w:hAnsi="Arial" w:cs="Arial"/>
          <w:color w:val="000000"/>
          <w:sz w:val="18"/>
          <w:szCs w:val="18"/>
        </w:rPr>
        <w:t xml:space="preserve"> </w:t>
      </w:r>
      <w:r w:rsidRPr="00646C15">
        <w:rPr>
          <w:rFonts w:ascii="Arial" w:eastAsia="Arial" w:hAnsi="Arial" w:cs="Arial"/>
          <w:color w:val="000000"/>
          <w:sz w:val="18"/>
          <w:szCs w:val="18"/>
        </w:rPr>
        <w:tab/>
        <w:t xml:space="preserve">Article 70 of the Civil Code (1977), </w:t>
      </w:r>
      <w:hyperlink r:id="rId13">
        <w:r w:rsidRPr="00646C15">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646C15">
        <w:rPr>
          <w:rFonts w:ascii="Arial" w:eastAsia="Arial" w:hAnsi="Arial" w:cs="Arial"/>
          <w:color w:val="000000"/>
          <w:sz w:val="18"/>
          <w:szCs w:val="18"/>
        </w:rPr>
        <w:t xml:space="preserve">; Article 91(1) of the Shiite Personal Status Law (2009), </w:t>
      </w:r>
      <w:hyperlink r:id="rId14">
        <w:r w:rsidRPr="00646C15">
          <w:rPr>
            <w:rFonts w:ascii="Arial" w:eastAsia="Arial" w:hAnsi="Arial" w:cs="Arial"/>
            <w:color w:val="0563C1"/>
            <w:sz w:val="18"/>
            <w:szCs w:val="18"/>
            <w:u w:val="single"/>
          </w:rPr>
          <w:t>http://www.refworld.org/pdfid/4a24ed5b2.pdf</w:t>
        </w:r>
      </w:hyperlink>
    </w:p>
  </w:footnote>
  <w:footnote w:id="11">
    <w:p w14:paraId="2B5BB392"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 71(1) of the Civil Code (1977), </w:t>
      </w:r>
      <w:hyperlink r:id="rId15">
        <w:r w:rsidRPr="00B2199A">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p>
  </w:footnote>
  <w:footnote w:id="12">
    <w:p w14:paraId="7804A3E7"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 71(2) of the Civil Code (1977), </w:t>
      </w:r>
      <w:hyperlink r:id="rId16">
        <w:r w:rsidRPr="00B2199A">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p>
  </w:footnote>
  <w:footnote w:id="13">
    <w:p w14:paraId="6510DA23"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Articles 99(1)-99(3) of the Shiite Personal Status Law (2009), </w:t>
      </w:r>
      <w:hyperlink r:id="rId17">
        <w:r w:rsidRPr="00B2199A">
          <w:rPr>
            <w:rFonts w:ascii="Arial" w:eastAsia="Arial" w:hAnsi="Arial" w:cs="Arial"/>
            <w:color w:val="0563C1"/>
            <w:sz w:val="18"/>
            <w:szCs w:val="18"/>
            <w:u w:val="single"/>
          </w:rPr>
          <w:t>http://www.refworld.org/pdfid/4a24ed5b2.pdf</w:t>
        </w:r>
      </w:hyperlink>
    </w:p>
  </w:footnote>
  <w:footnote w:id="14">
    <w:p w14:paraId="528D6F6B"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Afghanistan State party report, U.N. Doc. CEDAW/C/AFG/1-2 (2011), para. 355, </w:t>
      </w:r>
      <w:hyperlink r:id="rId18">
        <w:r w:rsidRPr="00B2199A">
          <w:rPr>
            <w:rFonts w:ascii="Arial" w:eastAsia="Arial" w:hAnsi="Arial" w:cs="Arial"/>
            <w:color w:val="0563C1"/>
            <w:sz w:val="18"/>
            <w:szCs w:val="18"/>
            <w:u w:val="single"/>
          </w:rPr>
          <w:t>http://www.ohchr.org/en/hrbodies/cedaw/pages/cedawindex.aspx</w:t>
        </w:r>
      </w:hyperlink>
    </w:p>
  </w:footnote>
  <w:footnote w:id="15">
    <w:p w14:paraId="16F83BA2"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 86 of the Civil Code (1977), </w:t>
      </w:r>
      <w:hyperlink r:id="rId19">
        <w:r w:rsidRPr="00B2199A">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B2199A">
        <w:rPr>
          <w:rFonts w:ascii="Arial" w:eastAsia="Arial" w:hAnsi="Arial" w:cs="Arial"/>
          <w:color w:val="000000"/>
          <w:sz w:val="18"/>
          <w:szCs w:val="18"/>
        </w:rPr>
        <w:t xml:space="preserve"> </w:t>
      </w:r>
    </w:p>
  </w:footnote>
  <w:footnote w:id="16">
    <w:p w14:paraId="4C146E92"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Articles 130, 132 of the Shiite Personal Status Law (2009), </w:t>
      </w:r>
      <w:hyperlink r:id="rId20">
        <w:r w:rsidRPr="00B2199A">
          <w:rPr>
            <w:rFonts w:ascii="Arial" w:eastAsia="Arial" w:hAnsi="Arial" w:cs="Arial"/>
            <w:color w:val="0563C1"/>
            <w:sz w:val="18"/>
            <w:szCs w:val="18"/>
            <w:u w:val="single"/>
          </w:rPr>
          <w:t>http://www.refworld.org/pdfid/4a24ed5b2.pdf</w:t>
        </w:r>
      </w:hyperlink>
    </w:p>
  </w:footnote>
  <w:footnote w:id="17">
    <w:p w14:paraId="46E2C422"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Refugee Documentation Centre (Ireland), “Information on Polygamous Marriages in Afghanistan”, 2011, </w:t>
      </w:r>
      <w:hyperlink r:id="rId21">
        <w:r w:rsidRPr="00B2199A">
          <w:rPr>
            <w:rFonts w:ascii="Arial" w:eastAsia="Arial" w:hAnsi="Arial" w:cs="Arial"/>
            <w:color w:val="0563C1"/>
            <w:sz w:val="18"/>
            <w:szCs w:val="18"/>
            <w:u w:val="single"/>
          </w:rPr>
          <w:t>https://www.justice.gov/sites/default/files/eoir/legacy/2013/06/11/polygamous_marriages.pdf</w:t>
        </w:r>
      </w:hyperlink>
    </w:p>
  </w:footnote>
  <w:footnote w:id="18">
    <w:p w14:paraId="05A6D1A1" w14:textId="77777777" w:rsidR="00B2199A" w:rsidRPr="00B2199A" w:rsidRDefault="00B2199A" w:rsidP="00B2199A">
      <w:pPr>
        <w:widowControl w:val="0"/>
        <w:ind w:left="567" w:hanging="567"/>
        <w:rPr>
          <w:rFonts w:ascii="Arial" w:eastAsia="Arial" w:hAnsi="Arial" w:cs="Arial"/>
          <w:i/>
          <w:color w:val="000000"/>
          <w:sz w:val="18"/>
          <w:szCs w:val="18"/>
        </w:rPr>
      </w:pPr>
      <w:r w:rsidRPr="00B2199A">
        <w:rPr>
          <w:rStyle w:val="FootnoteReference"/>
          <w:rFonts w:ascii="Arial" w:hAnsi="Arial" w:cs="Arial"/>
          <w:sz w:val="18"/>
          <w:szCs w:val="18"/>
        </w:rPr>
        <w:footnoteRef/>
      </w:r>
      <w:r w:rsidRPr="00B2199A">
        <w:rPr>
          <w:rFonts w:ascii="Arial" w:eastAsia="Arial" w:hAnsi="Arial" w:cs="Arial"/>
          <w:sz w:val="18"/>
          <w:szCs w:val="18"/>
        </w:rPr>
        <w:t xml:space="preserve"> </w:t>
      </w:r>
      <w:r w:rsidRPr="00B2199A">
        <w:rPr>
          <w:rFonts w:ascii="Arial" w:eastAsia="Arial" w:hAnsi="Arial" w:cs="Arial"/>
          <w:sz w:val="18"/>
          <w:szCs w:val="18"/>
        </w:rPr>
        <w:tab/>
        <w:t>Central Statistics Organisation, Afghan Ministry of Public Health and the DHS Program, “Afghanistan</w:t>
      </w:r>
      <w:r w:rsidRPr="0078156B">
        <w:rPr>
          <w:rFonts w:ascii="Arial" w:eastAsia="Arial" w:hAnsi="Arial" w:cs="Arial"/>
          <w:sz w:val="18"/>
          <w:szCs w:val="18"/>
        </w:rPr>
        <w:t xml:space="preserve"> </w:t>
      </w:r>
      <w:r w:rsidRPr="00B2199A">
        <w:rPr>
          <w:rFonts w:ascii="Arial" w:eastAsia="Arial" w:hAnsi="Arial" w:cs="Arial"/>
          <w:sz w:val="18"/>
          <w:szCs w:val="18"/>
        </w:rPr>
        <w:t xml:space="preserve">Demographic and Health Survey 2015”, Table 4.2.1, p. 67, </w:t>
      </w:r>
      <w:hyperlink r:id="rId22">
        <w:r w:rsidRPr="00B2199A">
          <w:rPr>
            <w:rFonts w:ascii="Arial" w:eastAsia="Arial" w:hAnsi="Arial" w:cs="Arial"/>
            <w:color w:val="0563C1"/>
            <w:sz w:val="18"/>
            <w:szCs w:val="18"/>
            <w:u w:val="single"/>
          </w:rPr>
          <w:t>https://dhsprogram.com/pubs/pdf/FR323/FR323.pdf</w:t>
        </w:r>
      </w:hyperlink>
    </w:p>
  </w:footnote>
  <w:footnote w:id="19">
    <w:p w14:paraId="64ED7DBB"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 131 of the Civil Code (1977), </w:t>
      </w:r>
      <w:hyperlink r:id="rId23">
        <w:r w:rsidRPr="00B2199A">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B2199A">
        <w:rPr>
          <w:rFonts w:ascii="Arial" w:eastAsia="Arial" w:hAnsi="Arial" w:cs="Arial"/>
          <w:color w:val="000000"/>
          <w:sz w:val="18"/>
          <w:szCs w:val="18"/>
        </w:rPr>
        <w:t xml:space="preserve">; Article 140 of the Shiite Personal Status Law (2009), </w:t>
      </w:r>
      <w:hyperlink r:id="rId24">
        <w:r w:rsidRPr="00B2199A">
          <w:rPr>
            <w:rFonts w:ascii="Arial" w:eastAsia="Arial" w:hAnsi="Arial" w:cs="Arial"/>
            <w:color w:val="0563C1"/>
            <w:sz w:val="18"/>
            <w:szCs w:val="18"/>
            <w:u w:val="single"/>
          </w:rPr>
          <w:t>http://www.refworld.org/pdfid/4a24ed5b2.pdf</w:t>
        </w:r>
      </w:hyperlink>
      <w:r w:rsidRPr="00B2199A">
        <w:rPr>
          <w:rFonts w:ascii="Arial" w:eastAsia="Arial" w:hAnsi="Arial" w:cs="Arial"/>
          <w:color w:val="000000"/>
          <w:sz w:val="18"/>
          <w:szCs w:val="18"/>
        </w:rPr>
        <w:t xml:space="preserve">; Kabeh Rastin-Tehrani and Nadjma Yassari, “Max Planck Manual on Family Law in Afghanistan”, (Hamburg, Germany: Max Planck Institute, Amended Second Edition, 2012), p. 71, </w:t>
      </w:r>
      <w:hyperlink r:id="rId25">
        <w:r w:rsidRPr="00B2199A">
          <w:rPr>
            <w:rFonts w:ascii="Arial" w:eastAsia="Arial" w:hAnsi="Arial" w:cs="Arial"/>
            <w:color w:val="0563C1"/>
            <w:sz w:val="18"/>
            <w:szCs w:val="18"/>
            <w:u w:val="single"/>
          </w:rPr>
          <w:t>http://www.mpipriv.de/files/pdf3/max_planck_manual_on_afghan_family_law_english.pdf</w:t>
        </w:r>
      </w:hyperlink>
    </w:p>
  </w:footnote>
  <w:footnote w:id="20">
    <w:p w14:paraId="05FD5FB4" w14:textId="77777777" w:rsidR="00B92901" w:rsidRPr="00B2199A" w:rsidRDefault="00074907">
      <w:pPr>
        <w:pBdr>
          <w:top w:val="nil"/>
          <w:left w:val="nil"/>
          <w:bottom w:val="nil"/>
          <w:right w:val="nil"/>
          <w:between w:val="nil"/>
        </w:pBdr>
        <w:ind w:left="567" w:hanging="567"/>
        <w:rPr>
          <w:rFonts w:ascii="Arial" w:eastAsia="Arial" w:hAnsi="Arial" w:cs="Arial"/>
          <w:color w:val="000000"/>
          <w:sz w:val="18"/>
          <w:szCs w:val="18"/>
        </w:rPr>
      </w:pPr>
      <w:r w:rsidRPr="00B2199A">
        <w:rPr>
          <w:rStyle w:val="FootnoteReference"/>
          <w:rFonts w:ascii="Arial" w:hAnsi="Arial" w:cs="Arial"/>
          <w:sz w:val="18"/>
          <w:szCs w:val="18"/>
        </w:rPr>
        <w:footnoteRef/>
      </w:r>
      <w:r w:rsidRPr="00B2199A">
        <w:rPr>
          <w:rFonts w:ascii="Arial" w:eastAsia="Arial" w:hAnsi="Arial" w:cs="Arial"/>
          <w:color w:val="000000"/>
          <w:sz w:val="18"/>
          <w:szCs w:val="18"/>
        </w:rPr>
        <w:t xml:space="preserve"> </w:t>
      </w:r>
      <w:r w:rsidRPr="00B2199A">
        <w:rPr>
          <w:rFonts w:ascii="Arial" w:eastAsia="Arial" w:hAnsi="Arial" w:cs="Arial"/>
          <w:color w:val="000000"/>
          <w:sz w:val="18"/>
          <w:szCs w:val="18"/>
        </w:rPr>
        <w:tab/>
        <w:t xml:space="preserve">Articles 135-145 of the Civil Code (1977), </w:t>
      </w:r>
      <w:hyperlink r:id="rId26">
        <w:r w:rsidRPr="00B2199A">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B2199A">
        <w:rPr>
          <w:rFonts w:ascii="Arial" w:eastAsia="Arial" w:hAnsi="Arial" w:cs="Arial"/>
          <w:color w:val="000000"/>
          <w:sz w:val="18"/>
          <w:szCs w:val="18"/>
        </w:rPr>
        <w:t xml:space="preserve">; Articles 158-161 of the Shiite Personal Status Law (2009), </w:t>
      </w:r>
      <w:hyperlink r:id="rId27">
        <w:r w:rsidRPr="00B2199A">
          <w:rPr>
            <w:rFonts w:ascii="Arial" w:eastAsia="Arial" w:hAnsi="Arial" w:cs="Arial"/>
            <w:color w:val="0563C1"/>
            <w:sz w:val="18"/>
            <w:szCs w:val="18"/>
            <w:u w:val="single"/>
          </w:rPr>
          <w:t>http://www.refworld.org/pdfid/4a24ed5b2.pdf</w:t>
        </w:r>
      </w:hyperlink>
      <w:r w:rsidRPr="00B2199A">
        <w:rPr>
          <w:rFonts w:ascii="Arial" w:eastAsia="Arial" w:hAnsi="Arial" w:cs="Arial"/>
          <w:color w:val="000000"/>
          <w:sz w:val="18"/>
          <w:szCs w:val="18"/>
        </w:rPr>
        <w:t xml:space="preserve">; Kabeh Rastin-Tehrani and Nadjma Yassari, “Max Planck Manual on Family Law in Afghanistan”, (Hamburg, Germany: Max Planck Institute, Amended Second Edition, 2012), pp. 73, 77, </w:t>
      </w:r>
      <w:hyperlink r:id="rId28">
        <w:r w:rsidRPr="00B2199A">
          <w:rPr>
            <w:rFonts w:ascii="Arial" w:eastAsia="Arial" w:hAnsi="Arial" w:cs="Arial"/>
            <w:color w:val="0563C1"/>
            <w:sz w:val="18"/>
            <w:szCs w:val="18"/>
            <w:u w:val="single"/>
          </w:rPr>
          <w:t>http://www.mpipriv.de/files/pdf3/max_planck_manual_on_afghan_family_law_english.pdf</w:t>
        </w:r>
      </w:hyperlink>
    </w:p>
  </w:footnote>
  <w:footnote w:id="21">
    <w:p w14:paraId="736A4CF8" w14:textId="77777777" w:rsidR="002B1571" w:rsidRPr="00390C3C" w:rsidRDefault="002B1571" w:rsidP="002B1571">
      <w:pPr>
        <w:pStyle w:val="FootnoteText"/>
        <w:ind w:left="567" w:hanging="567"/>
        <w:rPr>
          <w:rFonts w:ascii="Arial" w:hAnsi="Arial" w:cs="Arial"/>
          <w:sz w:val="18"/>
          <w:szCs w:val="18"/>
        </w:rPr>
      </w:pPr>
      <w:r w:rsidRPr="00390C3C">
        <w:rPr>
          <w:rStyle w:val="FootnoteReference"/>
          <w:rFonts w:cs="Arial"/>
          <w:sz w:val="18"/>
          <w:szCs w:val="18"/>
        </w:rPr>
        <w:footnoteRef/>
      </w:r>
      <w:r w:rsidRPr="00390C3C">
        <w:rPr>
          <w:rFonts w:ascii="Arial" w:hAnsi="Arial" w:cs="Arial"/>
          <w:sz w:val="18"/>
          <w:szCs w:val="18"/>
        </w:rPr>
        <w:t xml:space="preserve"> </w:t>
      </w:r>
      <w:r w:rsidRPr="00390C3C">
        <w:rPr>
          <w:rFonts w:ascii="Arial" w:hAnsi="Arial" w:cs="Arial"/>
          <w:sz w:val="18"/>
          <w:szCs w:val="18"/>
        </w:rPr>
        <w:tab/>
        <w:t xml:space="preserve">Afghanistan State party report, U.N. Doc. CEDAW/C/AFG/1-2 (2011), paras. 356, 372, </w:t>
      </w:r>
      <w:hyperlink r:id="rId29" w:history="1">
        <w:r w:rsidRPr="00390C3C">
          <w:rPr>
            <w:rStyle w:val="Hyperlink"/>
            <w:rFonts w:ascii="Arial" w:hAnsi="Arial" w:cs="Arial"/>
            <w:sz w:val="18"/>
            <w:szCs w:val="18"/>
          </w:rPr>
          <w:t>http://www.ohchr.org/en/hrbodies/cedaw/pages/cedawindex.aspx</w:t>
        </w:r>
      </w:hyperlink>
      <w:r w:rsidRPr="00390C3C">
        <w:rPr>
          <w:rFonts w:ascii="Arial" w:hAnsi="Arial" w:cs="Arial"/>
          <w:bCs/>
          <w:sz w:val="18"/>
          <w:szCs w:val="18"/>
        </w:rPr>
        <w:t xml:space="preserve">; </w:t>
      </w:r>
      <w:r w:rsidRPr="00390C3C">
        <w:rPr>
          <w:rFonts w:ascii="Arial" w:hAnsi="Arial" w:cs="Arial"/>
          <w:sz w:val="18"/>
          <w:szCs w:val="18"/>
        </w:rPr>
        <w:t>Human Rights Watch, “</w:t>
      </w:r>
      <w:r w:rsidRPr="00390C3C">
        <w:rPr>
          <w:rFonts w:ascii="Arial" w:hAnsi="Arial" w:cs="Arial"/>
          <w:bCs/>
          <w:sz w:val="18"/>
          <w:szCs w:val="18"/>
        </w:rPr>
        <w:t xml:space="preserve">Afghanistan” </w:t>
      </w:r>
      <w:r w:rsidRPr="00390C3C">
        <w:rPr>
          <w:rFonts w:ascii="Arial" w:hAnsi="Arial" w:cs="Arial"/>
          <w:bCs/>
          <w:i/>
          <w:sz w:val="18"/>
          <w:szCs w:val="18"/>
        </w:rPr>
        <w:t>Submission to the CEDAW Committee for the 55</w:t>
      </w:r>
      <w:r w:rsidRPr="00390C3C">
        <w:rPr>
          <w:rFonts w:ascii="Arial" w:hAnsi="Arial" w:cs="Arial"/>
          <w:bCs/>
          <w:i/>
          <w:sz w:val="18"/>
          <w:szCs w:val="18"/>
          <w:vertAlign w:val="superscript"/>
        </w:rPr>
        <w:t>th</w:t>
      </w:r>
      <w:r w:rsidRPr="00390C3C">
        <w:rPr>
          <w:rFonts w:ascii="Arial" w:hAnsi="Arial" w:cs="Arial"/>
          <w:bCs/>
          <w:i/>
          <w:sz w:val="18"/>
          <w:szCs w:val="18"/>
        </w:rPr>
        <w:t xml:space="preserve"> Session</w:t>
      </w:r>
      <w:r w:rsidRPr="00390C3C">
        <w:rPr>
          <w:rFonts w:ascii="Arial" w:hAnsi="Arial" w:cs="Arial"/>
          <w:bCs/>
          <w:sz w:val="18"/>
          <w:szCs w:val="18"/>
        </w:rPr>
        <w:t xml:space="preserve">, 2013, </w:t>
      </w:r>
      <w:hyperlink r:id="rId30" w:history="1">
        <w:r w:rsidRPr="00390C3C">
          <w:rPr>
            <w:rStyle w:val="Hyperlink"/>
            <w:rFonts w:ascii="Arial" w:hAnsi="Arial" w:cs="Arial"/>
            <w:sz w:val="18"/>
            <w:szCs w:val="18"/>
          </w:rPr>
          <w:t>https://www.hrw.org/news/2013/07/04/submission-combined-initial-and-second-periodic-report-afghanistan-united-nations</w:t>
        </w:r>
      </w:hyperlink>
    </w:p>
  </w:footnote>
  <w:footnote w:id="22">
    <w:p w14:paraId="644D3E07" w14:textId="77777777" w:rsidR="00B92901" w:rsidRPr="00FB6B19" w:rsidRDefault="00074907">
      <w:pPr>
        <w:pBdr>
          <w:top w:val="nil"/>
          <w:left w:val="nil"/>
          <w:bottom w:val="nil"/>
          <w:right w:val="nil"/>
          <w:between w:val="nil"/>
        </w:pBdr>
        <w:ind w:left="567" w:hanging="567"/>
        <w:rPr>
          <w:rFonts w:ascii="Arial" w:eastAsia="Arial" w:hAnsi="Arial" w:cs="Arial"/>
          <w:color w:val="000000"/>
          <w:sz w:val="18"/>
          <w:szCs w:val="18"/>
        </w:rPr>
      </w:pPr>
      <w:r w:rsidRPr="00211D5F">
        <w:rPr>
          <w:rStyle w:val="FootnoteReference"/>
          <w:rFonts w:ascii="Arial" w:hAnsi="Arial" w:cs="Arial"/>
          <w:sz w:val="18"/>
          <w:szCs w:val="18"/>
        </w:rPr>
        <w:footnoteRef/>
      </w:r>
      <w:r w:rsidRPr="00211D5F">
        <w:rPr>
          <w:rFonts w:ascii="Arial" w:eastAsia="Arial" w:hAnsi="Arial" w:cs="Arial"/>
          <w:color w:val="000000"/>
          <w:sz w:val="18"/>
          <w:szCs w:val="18"/>
        </w:rPr>
        <w:t xml:space="preserve"> </w:t>
      </w:r>
      <w:r w:rsidRPr="00211D5F">
        <w:rPr>
          <w:rFonts w:ascii="Arial" w:eastAsia="Arial" w:hAnsi="Arial" w:cs="Arial"/>
          <w:color w:val="000000"/>
          <w:sz w:val="18"/>
          <w:szCs w:val="18"/>
        </w:rPr>
        <w:tab/>
        <w:t xml:space="preserve">Article 142 of the Civil Code (1977), </w:t>
      </w:r>
      <w:hyperlink r:id="rId31">
        <w:r w:rsidRPr="00FB6B19">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FB6B19">
        <w:rPr>
          <w:rFonts w:ascii="Arial" w:eastAsia="Arial" w:hAnsi="Arial" w:cs="Arial"/>
          <w:color w:val="000000"/>
          <w:sz w:val="18"/>
          <w:szCs w:val="18"/>
        </w:rPr>
        <w:t xml:space="preserve">; Article 155(3) of the Shiite Personal Status Law (2009), </w:t>
      </w:r>
      <w:hyperlink r:id="rId32">
        <w:r w:rsidRPr="00FB6B19">
          <w:rPr>
            <w:rFonts w:ascii="Arial" w:eastAsia="Arial" w:hAnsi="Arial" w:cs="Arial"/>
            <w:color w:val="0563C1"/>
            <w:sz w:val="18"/>
            <w:szCs w:val="18"/>
            <w:u w:val="single"/>
          </w:rPr>
          <w:t>http://www.refworld.org/pdfid/4a24ed5b2.pdf</w:t>
        </w:r>
      </w:hyperlink>
      <w:r w:rsidRPr="00FB6B19">
        <w:rPr>
          <w:rFonts w:ascii="Arial" w:eastAsia="Arial" w:hAnsi="Arial" w:cs="Arial"/>
          <w:color w:val="000000"/>
          <w:sz w:val="18"/>
          <w:szCs w:val="18"/>
        </w:rPr>
        <w:t xml:space="preserve">;  Kabeh Rastin-Tehrani and Nadjma Yassari, “Max Planck Manual on Family Law in Afghanistan”, (Hamburg, Germany: Max Planck Institute, Amended Second Edition, 2012), p. 73, </w:t>
      </w:r>
      <w:hyperlink r:id="rId33">
        <w:r w:rsidRPr="00FB6B19">
          <w:rPr>
            <w:rFonts w:ascii="Arial" w:eastAsia="Arial" w:hAnsi="Arial" w:cs="Arial"/>
            <w:color w:val="0563C1"/>
            <w:sz w:val="18"/>
            <w:szCs w:val="18"/>
            <w:u w:val="single"/>
          </w:rPr>
          <w:t>http://www.mpipriv.de/files/pdf3/max_planck_manual_on_afghan_family_law_english.pdf</w:t>
        </w:r>
      </w:hyperlink>
    </w:p>
  </w:footnote>
  <w:footnote w:id="23">
    <w:p w14:paraId="025170E2" w14:textId="77777777" w:rsidR="00B92901" w:rsidRPr="00FB6B19" w:rsidRDefault="00074907">
      <w:pPr>
        <w:pBdr>
          <w:top w:val="nil"/>
          <w:left w:val="nil"/>
          <w:bottom w:val="nil"/>
          <w:right w:val="nil"/>
          <w:between w:val="nil"/>
        </w:pBdr>
        <w:ind w:left="567" w:hanging="567"/>
        <w:rPr>
          <w:rFonts w:ascii="Arial" w:eastAsia="Arial" w:hAnsi="Arial" w:cs="Arial"/>
          <w:color w:val="000000"/>
          <w:sz w:val="18"/>
          <w:szCs w:val="18"/>
        </w:rPr>
      </w:pPr>
      <w:r w:rsidRPr="00FB6B19">
        <w:rPr>
          <w:rStyle w:val="FootnoteReference"/>
          <w:rFonts w:ascii="Arial" w:hAnsi="Arial" w:cs="Arial"/>
          <w:sz w:val="18"/>
          <w:szCs w:val="18"/>
        </w:rPr>
        <w:footnoteRef/>
      </w:r>
      <w:r w:rsidRPr="00FB6B19">
        <w:rPr>
          <w:rFonts w:ascii="Arial" w:eastAsia="Arial" w:hAnsi="Arial" w:cs="Arial"/>
          <w:color w:val="000000"/>
          <w:sz w:val="18"/>
          <w:szCs w:val="18"/>
        </w:rPr>
        <w:t xml:space="preserve"> </w:t>
      </w:r>
      <w:r w:rsidRPr="00FB6B19">
        <w:rPr>
          <w:rFonts w:ascii="Arial" w:eastAsia="Arial" w:hAnsi="Arial" w:cs="Arial"/>
          <w:color w:val="000000"/>
          <w:sz w:val="18"/>
          <w:szCs w:val="18"/>
        </w:rPr>
        <w:tab/>
        <w:t xml:space="preserve">Article 135(2) of the Civil Code (1977), </w:t>
      </w:r>
      <w:hyperlink r:id="rId34">
        <w:r w:rsidRPr="00FB6B19">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FB6B19">
        <w:rPr>
          <w:rFonts w:ascii="Arial" w:eastAsia="Arial" w:hAnsi="Arial" w:cs="Arial"/>
          <w:color w:val="000000"/>
          <w:sz w:val="18"/>
          <w:szCs w:val="18"/>
        </w:rPr>
        <w:t xml:space="preserve">; Article 155(1) of the Shiite Personal Status Law (2009), </w:t>
      </w:r>
      <w:hyperlink r:id="rId35">
        <w:r w:rsidRPr="00FB6B19">
          <w:rPr>
            <w:rFonts w:ascii="Arial" w:eastAsia="Arial" w:hAnsi="Arial" w:cs="Arial"/>
            <w:color w:val="0563C1"/>
            <w:sz w:val="18"/>
            <w:szCs w:val="18"/>
            <w:u w:val="single"/>
          </w:rPr>
          <w:t>http://www.refworld.org/pdfid/4a24ed5b2.pdf</w:t>
        </w:r>
      </w:hyperlink>
      <w:r w:rsidRPr="00FB6B19">
        <w:rPr>
          <w:rFonts w:ascii="Arial" w:eastAsia="Arial" w:hAnsi="Arial" w:cs="Arial"/>
          <w:color w:val="000000"/>
          <w:sz w:val="18"/>
          <w:szCs w:val="18"/>
        </w:rPr>
        <w:t xml:space="preserve">;  Kabeh Rastin-Tehrani and Nadjma Yassari, “Max Planck Manual on Family Law in Afghanistan”, (Hamburg, Germany: Max Planck Institute, Amended Second Edition, 2012), p. 73, </w:t>
      </w:r>
      <w:hyperlink r:id="rId36">
        <w:r w:rsidRPr="00FB6B19">
          <w:rPr>
            <w:rFonts w:ascii="Arial" w:eastAsia="Arial" w:hAnsi="Arial" w:cs="Arial"/>
            <w:color w:val="0563C1"/>
            <w:sz w:val="18"/>
            <w:szCs w:val="18"/>
            <w:u w:val="single"/>
          </w:rPr>
          <w:t>http://www.mpipriv.de/files/pdf3/max_planck_manual_on_afghan_family_law_english.pdf</w:t>
        </w:r>
      </w:hyperlink>
    </w:p>
  </w:footnote>
  <w:footnote w:id="24">
    <w:p w14:paraId="09643584" w14:textId="77777777" w:rsidR="00B92901" w:rsidRPr="00FB6B19" w:rsidRDefault="00074907">
      <w:pPr>
        <w:widowControl w:val="0"/>
        <w:ind w:left="567" w:hanging="567"/>
        <w:rPr>
          <w:rFonts w:ascii="Arial" w:eastAsia="Arial" w:hAnsi="Arial" w:cs="Arial"/>
          <w:i/>
          <w:sz w:val="18"/>
          <w:szCs w:val="18"/>
        </w:rPr>
      </w:pPr>
      <w:r w:rsidRPr="00FB6B19">
        <w:rPr>
          <w:rStyle w:val="FootnoteReference"/>
          <w:rFonts w:ascii="Arial" w:hAnsi="Arial" w:cs="Arial"/>
          <w:sz w:val="18"/>
          <w:szCs w:val="18"/>
        </w:rPr>
        <w:footnoteRef/>
      </w:r>
      <w:r w:rsidRPr="00FB6B19">
        <w:rPr>
          <w:rFonts w:ascii="Arial" w:eastAsia="Arial" w:hAnsi="Arial" w:cs="Arial"/>
          <w:sz w:val="18"/>
          <w:szCs w:val="18"/>
        </w:rPr>
        <w:t xml:space="preserve"> </w:t>
      </w:r>
      <w:r w:rsidRPr="00FB6B19">
        <w:rPr>
          <w:rFonts w:ascii="Arial" w:eastAsia="Arial" w:hAnsi="Arial" w:cs="Arial"/>
          <w:sz w:val="18"/>
          <w:szCs w:val="18"/>
        </w:rPr>
        <w:tab/>
      </w:r>
      <w:r w:rsidRPr="00FB6B19">
        <w:rPr>
          <w:rFonts w:ascii="Arial" w:eastAsia="Arial" w:hAnsi="Arial" w:cs="Arial"/>
          <w:i/>
          <w:sz w:val="18"/>
          <w:szCs w:val="18"/>
        </w:rPr>
        <w:t xml:space="preserve">For instance: </w:t>
      </w:r>
    </w:p>
    <w:p w14:paraId="6465D142" w14:textId="77777777" w:rsidR="00B92901" w:rsidRPr="00FB6B19" w:rsidRDefault="00074907">
      <w:pPr>
        <w:widowControl w:val="0"/>
        <w:numPr>
          <w:ilvl w:val="0"/>
          <w:numId w:val="2"/>
        </w:numPr>
        <w:pBdr>
          <w:top w:val="nil"/>
          <w:left w:val="nil"/>
          <w:bottom w:val="nil"/>
          <w:right w:val="nil"/>
          <w:between w:val="nil"/>
        </w:pBdr>
        <w:ind w:left="567" w:firstLine="0"/>
        <w:rPr>
          <w:rFonts w:ascii="Arial" w:eastAsia="Arial" w:hAnsi="Arial" w:cs="Arial"/>
          <w:i/>
          <w:color w:val="000000"/>
          <w:sz w:val="18"/>
          <w:szCs w:val="18"/>
        </w:rPr>
      </w:pPr>
      <w:r w:rsidRPr="00FB6B19">
        <w:rPr>
          <w:rFonts w:ascii="Arial" w:eastAsia="Arial" w:hAnsi="Arial" w:cs="Arial"/>
          <w:i/>
          <w:color w:val="000000"/>
          <w:sz w:val="18"/>
          <w:szCs w:val="18"/>
        </w:rPr>
        <w:t>Under Article 2007 of the Civil Code as well as Article 219 of the SPSL, upon the death of his wife, a husband shall inherit 1/2 of her estate unless there are children, in which case he will receive 1/4. A wife, on the other hand, is entitled to 1/4 of his estate upon the death of her husband if there are no children and 1/8 if there are children;</w:t>
      </w:r>
    </w:p>
    <w:p w14:paraId="3119CCAD" w14:textId="77777777" w:rsidR="00B92901" w:rsidRPr="00FB6B19" w:rsidRDefault="00074907">
      <w:pPr>
        <w:widowControl w:val="0"/>
        <w:numPr>
          <w:ilvl w:val="0"/>
          <w:numId w:val="2"/>
        </w:numPr>
        <w:pBdr>
          <w:top w:val="nil"/>
          <w:left w:val="nil"/>
          <w:bottom w:val="nil"/>
          <w:right w:val="nil"/>
          <w:between w:val="nil"/>
        </w:pBdr>
        <w:ind w:left="567" w:firstLine="0"/>
        <w:rPr>
          <w:rFonts w:ascii="Arial" w:eastAsia="Arial" w:hAnsi="Arial" w:cs="Arial"/>
          <w:i/>
          <w:color w:val="000000"/>
          <w:sz w:val="18"/>
          <w:szCs w:val="18"/>
        </w:rPr>
      </w:pPr>
      <w:r w:rsidRPr="00FB6B19">
        <w:rPr>
          <w:rFonts w:ascii="Arial" w:eastAsia="Arial" w:hAnsi="Arial" w:cs="Arial"/>
          <w:i/>
          <w:color w:val="000000"/>
          <w:sz w:val="18"/>
          <w:szCs w:val="18"/>
        </w:rPr>
        <w:t>Where a parent leaves behind both sons and daughters, Article 2019 of the Civil Code and Article 222 of the SPSL, provides for the sons to inherit twice as much as the daughters.</w:t>
      </w:r>
    </w:p>
    <w:p w14:paraId="45CDCF21" w14:textId="77777777" w:rsidR="00B92901" w:rsidRPr="00FB6B19" w:rsidRDefault="00074907">
      <w:pPr>
        <w:pBdr>
          <w:top w:val="nil"/>
          <w:left w:val="nil"/>
          <w:bottom w:val="nil"/>
          <w:right w:val="nil"/>
          <w:between w:val="nil"/>
        </w:pBdr>
        <w:ind w:left="567"/>
        <w:rPr>
          <w:rFonts w:ascii="Arial" w:eastAsia="Arial" w:hAnsi="Arial" w:cs="Arial"/>
          <w:color w:val="000000"/>
          <w:sz w:val="18"/>
          <w:szCs w:val="18"/>
        </w:rPr>
      </w:pPr>
      <w:r w:rsidRPr="00FB6B19">
        <w:rPr>
          <w:rFonts w:ascii="Arial" w:eastAsia="Arial" w:hAnsi="Arial" w:cs="Arial"/>
          <w:color w:val="000000"/>
          <w:sz w:val="18"/>
          <w:szCs w:val="18"/>
        </w:rPr>
        <w:t xml:space="preserve">Source: Articles 2007, 2019 of the Civil Code (1977), </w:t>
      </w:r>
      <w:hyperlink r:id="rId37">
        <w:r w:rsidRPr="00FB6B19">
          <w:rPr>
            <w:rFonts w:ascii="Arial" w:eastAsia="Arial" w:hAnsi="Arial" w:cs="Arial"/>
            <w:color w:val="0563C1"/>
            <w:sz w:val="18"/>
            <w:szCs w:val="18"/>
            <w:u w:val="single"/>
          </w:rPr>
          <w:t>http://law.stanford.edu/wp-content/uploads/sites/default/files/publication/737834/doc/slspublic/Afghan%20Civil%20Code%20%20English%20translation%20ALEP%20Sept%202014.pdf</w:t>
        </w:r>
      </w:hyperlink>
      <w:r w:rsidRPr="00FB6B19">
        <w:rPr>
          <w:rFonts w:ascii="Arial" w:eastAsia="Arial" w:hAnsi="Arial" w:cs="Arial"/>
          <w:color w:val="000000"/>
          <w:sz w:val="18"/>
          <w:szCs w:val="18"/>
        </w:rPr>
        <w:t xml:space="preserve">; Articles 219, 222 of the Shiite Personal Status Law (2009), </w:t>
      </w:r>
      <w:hyperlink r:id="rId38">
        <w:r w:rsidRPr="00FB6B19">
          <w:rPr>
            <w:rFonts w:ascii="Arial" w:eastAsia="Arial" w:hAnsi="Arial" w:cs="Arial"/>
            <w:color w:val="0563C1"/>
            <w:sz w:val="18"/>
            <w:szCs w:val="18"/>
            <w:u w:val="single"/>
          </w:rPr>
          <w:t>http://www.refworld.org/pdfid/4a24ed5b2.pdf</w:t>
        </w:r>
      </w:hyperlink>
    </w:p>
  </w:footnote>
  <w:footnote w:id="25">
    <w:p w14:paraId="03900D5E" w14:textId="77777777" w:rsidR="00B92901" w:rsidRDefault="00074907">
      <w:pPr>
        <w:pBdr>
          <w:top w:val="nil"/>
          <w:left w:val="nil"/>
          <w:bottom w:val="nil"/>
          <w:right w:val="nil"/>
          <w:between w:val="nil"/>
        </w:pBdr>
        <w:ind w:left="567" w:hanging="567"/>
        <w:rPr>
          <w:rFonts w:ascii="Arial" w:eastAsia="Arial" w:hAnsi="Arial" w:cs="Arial"/>
          <w:color w:val="000000"/>
          <w:sz w:val="18"/>
          <w:szCs w:val="18"/>
        </w:rPr>
      </w:pPr>
      <w:r w:rsidRPr="00FB6B19">
        <w:rPr>
          <w:rStyle w:val="FootnoteReference"/>
          <w:rFonts w:ascii="Arial" w:hAnsi="Arial" w:cs="Arial"/>
          <w:sz w:val="18"/>
          <w:szCs w:val="18"/>
        </w:rPr>
        <w:footnoteRef/>
      </w:r>
      <w:r w:rsidRPr="00FB6B19">
        <w:rPr>
          <w:rFonts w:ascii="Arial" w:eastAsia="Arial" w:hAnsi="Arial" w:cs="Arial"/>
          <w:color w:val="000000"/>
          <w:sz w:val="18"/>
          <w:szCs w:val="18"/>
        </w:rPr>
        <w:t xml:space="preserve"> </w:t>
      </w:r>
      <w:r w:rsidRPr="00FB6B19">
        <w:rPr>
          <w:rFonts w:ascii="Arial" w:eastAsia="Arial" w:hAnsi="Arial" w:cs="Arial"/>
          <w:color w:val="000000"/>
          <w:sz w:val="18"/>
          <w:szCs w:val="18"/>
        </w:rPr>
        <w:tab/>
        <w:t xml:space="preserve">Afghanistan State party report, U.N. Doc. CEDAW/C/AFG/1-2 (2011), para. 299, </w:t>
      </w:r>
      <w:hyperlink r:id="rId39">
        <w:r w:rsidRPr="00FB6B19">
          <w:rPr>
            <w:rFonts w:ascii="Arial" w:eastAsia="Arial" w:hAnsi="Arial" w:cs="Arial"/>
            <w:color w:val="0563C1"/>
            <w:sz w:val="18"/>
            <w:szCs w:val="18"/>
            <w:u w:val="single"/>
          </w:rPr>
          <w:t>http://www.ohchr.org/en/hrbodies/cedaw/pages/cedawindex.aspx</w:t>
        </w:r>
      </w:hyperlink>
    </w:p>
  </w:footnote>
  <w:footnote w:id="26">
    <w:p w14:paraId="31586EB1" w14:textId="77777777" w:rsidR="002B1571" w:rsidRPr="00211D5F" w:rsidRDefault="002B1571" w:rsidP="002B1571">
      <w:pPr>
        <w:pStyle w:val="FootnoteText"/>
        <w:ind w:left="567" w:hanging="567"/>
        <w:rPr>
          <w:rFonts w:ascii="Arial" w:hAnsi="Arial" w:cs="Arial"/>
          <w:sz w:val="18"/>
          <w:szCs w:val="18"/>
        </w:rPr>
      </w:pPr>
      <w:r w:rsidRPr="00211D5F">
        <w:rPr>
          <w:rStyle w:val="FootnoteReference"/>
          <w:rFonts w:ascii="Arial" w:hAnsi="Arial" w:cs="Arial"/>
          <w:sz w:val="18"/>
          <w:szCs w:val="18"/>
        </w:rPr>
        <w:footnoteRef/>
      </w:r>
      <w:r w:rsidRPr="00211D5F">
        <w:rPr>
          <w:rFonts w:ascii="Arial" w:hAnsi="Arial" w:cs="Arial"/>
          <w:sz w:val="18"/>
          <w:szCs w:val="18"/>
        </w:rPr>
        <w:t xml:space="preserve"> </w:t>
      </w:r>
      <w:r w:rsidRPr="00211D5F">
        <w:rPr>
          <w:rFonts w:ascii="Arial" w:hAnsi="Arial" w:cs="Arial"/>
          <w:sz w:val="18"/>
          <w:szCs w:val="18"/>
        </w:rPr>
        <w:tab/>
        <w:t xml:space="preserve">Articles 71(1), 252, 256, 268 of the Civil Code (1977), </w:t>
      </w:r>
      <w:hyperlink r:id="rId40" w:history="1">
        <w:r w:rsidRPr="00211D5F">
          <w:rPr>
            <w:rStyle w:val="Hyperlink"/>
            <w:rFonts w:ascii="Arial" w:hAnsi="Arial" w:cs="Arial"/>
            <w:sz w:val="18"/>
            <w:szCs w:val="18"/>
          </w:rPr>
          <w:t>http://law.stanford.edu/wp-content/uploads/sites/default/files/publication/737834/doc/slspublic/Afghan%20Civil%20Code%20%20English%20translation%20ALEP%20Sept%202014.pdf</w:t>
        </w:r>
      </w:hyperlink>
    </w:p>
  </w:footnote>
  <w:footnote w:id="27">
    <w:p w14:paraId="289B4B94" w14:textId="77777777" w:rsidR="002B1571" w:rsidRPr="00211D5F" w:rsidRDefault="002B1571" w:rsidP="002B1571">
      <w:pPr>
        <w:pStyle w:val="FootnoteText"/>
        <w:ind w:left="567" w:hanging="567"/>
        <w:rPr>
          <w:rFonts w:ascii="Arial" w:hAnsi="Arial" w:cs="Arial"/>
          <w:sz w:val="18"/>
          <w:szCs w:val="18"/>
        </w:rPr>
      </w:pPr>
      <w:r w:rsidRPr="00211D5F">
        <w:rPr>
          <w:rStyle w:val="FootnoteReference"/>
          <w:rFonts w:ascii="Arial" w:hAnsi="Arial" w:cs="Arial"/>
          <w:sz w:val="18"/>
          <w:szCs w:val="18"/>
        </w:rPr>
        <w:footnoteRef/>
      </w:r>
      <w:r w:rsidRPr="00211D5F">
        <w:rPr>
          <w:rFonts w:ascii="Arial" w:hAnsi="Arial" w:cs="Arial"/>
          <w:sz w:val="18"/>
          <w:szCs w:val="18"/>
        </w:rPr>
        <w:t xml:space="preserve"> </w:t>
      </w:r>
      <w:r w:rsidRPr="00211D5F">
        <w:rPr>
          <w:rFonts w:ascii="Arial" w:hAnsi="Arial" w:cs="Arial"/>
          <w:sz w:val="18"/>
          <w:szCs w:val="18"/>
        </w:rPr>
        <w:tab/>
        <w:t>Kabeh Rastin-Tehrani and Nadjma Yassari, “</w:t>
      </w:r>
      <w:r w:rsidRPr="00211D5F">
        <w:rPr>
          <w:rFonts w:ascii="Arial" w:hAnsi="Arial" w:cs="Arial"/>
          <w:bCs/>
          <w:sz w:val="18"/>
          <w:szCs w:val="18"/>
        </w:rPr>
        <w:t>Max Planck Manual on Family Law in Afghanistan”, (Hamburg, Germany: Max Planck Institute, Amended Second Edition, 2012)</w:t>
      </w:r>
      <w:r w:rsidRPr="00211D5F">
        <w:rPr>
          <w:rFonts w:ascii="Arial" w:hAnsi="Arial" w:cs="Arial"/>
          <w:sz w:val="18"/>
          <w:szCs w:val="18"/>
        </w:rPr>
        <w:t xml:space="preserve">, pp. 106-107, </w:t>
      </w:r>
      <w:hyperlink r:id="rId41" w:history="1">
        <w:r w:rsidRPr="00211D5F">
          <w:rPr>
            <w:rStyle w:val="Hyperlink"/>
            <w:rFonts w:ascii="Arial" w:hAnsi="Arial" w:cs="Arial"/>
            <w:sz w:val="18"/>
            <w:szCs w:val="18"/>
          </w:rPr>
          <w:t>http://www.mpipriv.de/files/pdf3/max_planck_manual_on_afghan_family_law_english.pdf</w:t>
        </w:r>
      </w:hyperlink>
    </w:p>
  </w:footnote>
  <w:footnote w:id="28">
    <w:p w14:paraId="68AF26FC" w14:textId="77777777" w:rsidR="002B1571" w:rsidRPr="00211D5F" w:rsidRDefault="002B1571" w:rsidP="002B1571">
      <w:pPr>
        <w:pStyle w:val="FootnoteText"/>
        <w:ind w:left="567" w:hanging="567"/>
        <w:rPr>
          <w:rFonts w:ascii="Arial" w:hAnsi="Arial" w:cs="Arial"/>
          <w:sz w:val="18"/>
          <w:szCs w:val="18"/>
        </w:rPr>
      </w:pPr>
      <w:r w:rsidRPr="00211D5F">
        <w:rPr>
          <w:rStyle w:val="FootnoteReference"/>
          <w:rFonts w:ascii="Arial" w:hAnsi="Arial" w:cs="Arial"/>
          <w:sz w:val="18"/>
          <w:szCs w:val="18"/>
        </w:rPr>
        <w:footnoteRef/>
      </w:r>
      <w:r w:rsidRPr="00211D5F">
        <w:rPr>
          <w:rFonts w:ascii="Arial" w:hAnsi="Arial" w:cs="Arial"/>
          <w:sz w:val="18"/>
          <w:szCs w:val="18"/>
        </w:rPr>
        <w:t xml:space="preserve"> </w:t>
      </w:r>
      <w:r w:rsidRPr="00211D5F">
        <w:rPr>
          <w:rFonts w:ascii="Arial" w:hAnsi="Arial" w:cs="Arial"/>
          <w:sz w:val="18"/>
          <w:szCs w:val="18"/>
        </w:rPr>
        <w:tab/>
        <w:t xml:space="preserve">Article 45 of the Shiite Personal Status Law (2009), </w:t>
      </w:r>
      <w:hyperlink r:id="rId42" w:history="1">
        <w:r w:rsidRPr="00211D5F">
          <w:rPr>
            <w:rStyle w:val="Hyperlink"/>
            <w:rFonts w:ascii="Arial" w:hAnsi="Arial" w:cs="Arial"/>
            <w:sz w:val="18"/>
            <w:szCs w:val="18"/>
          </w:rPr>
          <w:t>http://www.refworld.org/pdfid/4a24ed5b2.pdf</w:t>
        </w:r>
      </w:hyperlink>
      <w:r w:rsidRPr="00211D5F">
        <w:rPr>
          <w:rFonts w:ascii="Arial" w:hAnsi="Arial" w:cs="Arial"/>
          <w:sz w:val="18"/>
          <w:szCs w:val="18"/>
        </w:rPr>
        <w:t xml:space="preserve"> </w:t>
      </w:r>
    </w:p>
  </w:footnote>
  <w:footnote w:id="29">
    <w:p w14:paraId="2277708F" w14:textId="77777777" w:rsidR="002B1571" w:rsidRPr="00390C3C" w:rsidRDefault="002B1571" w:rsidP="002B1571">
      <w:pPr>
        <w:pStyle w:val="FootnoteText"/>
        <w:ind w:left="567" w:hanging="567"/>
        <w:rPr>
          <w:rFonts w:ascii="Arial" w:hAnsi="Arial" w:cs="Arial"/>
          <w:sz w:val="18"/>
          <w:szCs w:val="18"/>
        </w:rPr>
      </w:pPr>
      <w:r w:rsidRPr="00211D5F">
        <w:rPr>
          <w:rStyle w:val="FootnoteReference"/>
          <w:rFonts w:ascii="Arial" w:hAnsi="Arial" w:cs="Arial"/>
          <w:sz w:val="18"/>
          <w:szCs w:val="18"/>
        </w:rPr>
        <w:footnoteRef/>
      </w:r>
      <w:r w:rsidRPr="00211D5F">
        <w:rPr>
          <w:rFonts w:ascii="Arial" w:hAnsi="Arial" w:cs="Arial"/>
          <w:sz w:val="18"/>
          <w:szCs w:val="18"/>
        </w:rPr>
        <w:t xml:space="preserve"> </w:t>
      </w:r>
      <w:r w:rsidRPr="00211D5F">
        <w:rPr>
          <w:rFonts w:ascii="Arial" w:hAnsi="Arial" w:cs="Arial"/>
          <w:sz w:val="18"/>
          <w:szCs w:val="18"/>
        </w:rPr>
        <w:tab/>
        <w:t xml:space="preserve">Article 47(2) of the Shiite Personal Status Law (2009), </w:t>
      </w:r>
      <w:hyperlink r:id="rId43" w:history="1">
        <w:r w:rsidRPr="00211D5F">
          <w:rPr>
            <w:rStyle w:val="Hyperlink"/>
            <w:rFonts w:ascii="Arial" w:hAnsi="Arial" w:cs="Arial"/>
            <w:sz w:val="18"/>
            <w:szCs w:val="18"/>
          </w:rPr>
          <w:t>http://www.refworld.org/pdfid/4a24ed5b2.pdf</w:t>
        </w:r>
      </w:hyperlink>
      <w:r w:rsidRPr="00390C3C">
        <w:rPr>
          <w:rFonts w:ascii="Arial" w:hAnsi="Arial" w:cs="Arial"/>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00BD"/>
    <w:multiLevelType w:val="hybridMultilevel"/>
    <w:tmpl w:val="F3CA4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13A8F"/>
    <w:multiLevelType w:val="hybridMultilevel"/>
    <w:tmpl w:val="709A2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94893"/>
    <w:multiLevelType w:val="multilevel"/>
    <w:tmpl w:val="08ECA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490B33"/>
    <w:multiLevelType w:val="multilevel"/>
    <w:tmpl w:val="B86238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D6806AE"/>
    <w:multiLevelType w:val="multilevel"/>
    <w:tmpl w:val="EDE60E84"/>
    <w:lvl w:ilvl="0">
      <w:start w:val="1"/>
      <w:numFmt w:val="decimal"/>
      <w:lvlText w:val="%1."/>
      <w:lvlJc w:val="left"/>
      <w:pPr>
        <w:ind w:left="786"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1593B73"/>
    <w:multiLevelType w:val="multilevel"/>
    <w:tmpl w:val="D7440A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F13446F"/>
    <w:multiLevelType w:val="hybridMultilevel"/>
    <w:tmpl w:val="3D843D0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1DC2673"/>
    <w:multiLevelType w:val="multilevel"/>
    <w:tmpl w:val="742AFDE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A4E2D8E"/>
    <w:multiLevelType w:val="multilevel"/>
    <w:tmpl w:val="B5EA68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E56186E"/>
    <w:multiLevelType w:val="hybridMultilevel"/>
    <w:tmpl w:val="F03A6E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F717949"/>
    <w:multiLevelType w:val="multilevel"/>
    <w:tmpl w:val="84D20B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BBE628D"/>
    <w:multiLevelType w:val="hybridMultilevel"/>
    <w:tmpl w:val="F19EBDF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60FA2DDD"/>
    <w:multiLevelType w:val="multilevel"/>
    <w:tmpl w:val="6480F9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6BC03C5"/>
    <w:multiLevelType w:val="hybridMultilevel"/>
    <w:tmpl w:val="76760D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93907AC"/>
    <w:multiLevelType w:val="multilevel"/>
    <w:tmpl w:val="1CD6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AF383C"/>
    <w:multiLevelType w:val="hybridMultilevel"/>
    <w:tmpl w:val="0F36D30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6" w15:restartNumberingAfterBreak="0">
    <w:nsid w:val="772F2634"/>
    <w:multiLevelType w:val="multilevel"/>
    <w:tmpl w:val="BB985D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8"/>
  </w:num>
  <w:num w:numId="3">
    <w:abstractNumId w:val="10"/>
  </w:num>
  <w:num w:numId="4">
    <w:abstractNumId w:val="12"/>
  </w:num>
  <w:num w:numId="5">
    <w:abstractNumId w:val="5"/>
  </w:num>
  <w:num w:numId="6">
    <w:abstractNumId w:val="2"/>
  </w:num>
  <w:num w:numId="7">
    <w:abstractNumId w:val="4"/>
  </w:num>
  <w:num w:numId="8">
    <w:abstractNumId w:val="7"/>
  </w:num>
  <w:num w:numId="9">
    <w:abstractNumId w:val="16"/>
  </w:num>
  <w:num w:numId="10">
    <w:abstractNumId w:val="11"/>
  </w:num>
  <w:num w:numId="11">
    <w:abstractNumId w:val="6"/>
  </w:num>
  <w:num w:numId="12">
    <w:abstractNumId w:val="13"/>
  </w:num>
  <w:num w:numId="13">
    <w:abstractNumId w:val="9"/>
  </w:num>
  <w:num w:numId="14">
    <w:abstractNumId w:val="14"/>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901"/>
    <w:rsid w:val="0002148B"/>
    <w:rsid w:val="00074907"/>
    <w:rsid w:val="000940A0"/>
    <w:rsid w:val="00211D5F"/>
    <w:rsid w:val="0027662A"/>
    <w:rsid w:val="002B1571"/>
    <w:rsid w:val="005E66D0"/>
    <w:rsid w:val="00646C15"/>
    <w:rsid w:val="00667F16"/>
    <w:rsid w:val="0078156B"/>
    <w:rsid w:val="0097419B"/>
    <w:rsid w:val="00B2199A"/>
    <w:rsid w:val="00B92901"/>
    <w:rsid w:val="00DE4B80"/>
    <w:rsid w:val="00E93600"/>
    <w:rsid w:val="00FB6B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A67B0"/>
  <w15:docId w15:val="{DFA5CCE7-E9DF-5848-B949-D64FD6029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1F6A"/>
  </w:style>
  <w:style w:type="paragraph" w:styleId="Heading1">
    <w:name w:val="heading 1"/>
    <w:basedOn w:val="Normal"/>
    <w:next w:val="Normal"/>
    <w:link w:val="Heading1Char"/>
    <w:uiPriority w:val="9"/>
    <w:qFormat/>
    <w:rsid w:val="001E60E6"/>
    <w:pPr>
      <w:shd w:val="clear" w:color="auto" w:fill="BD0014"/>
      <w:outlineLvl w:val="0"/>
    </w:pPr>
    <w:rPr>
      <w:rFonts w:ascii="Trebuchet MS" w:eastAsiaTheme="majorEastAsia" w:hAnsi="Trebuchet MS" w:cs="Arial"/>
      <w:b/>
      <w:caps/>
      <w:spacing w:val="15"/>
      <w:sz w:val="28"/>
      <w:szCs w:val="28"/>
    </w:rPr>
  </w:style>
  <w:style w:type="paragraph" w:styleId="Heading2">
    <w:name w:val="heading 2"/>
    <w:basedOn w:val="Normal"/>
    <w:next w:val="Normal"/>
    <w:link w:val="Heading2Char"/>
    <w:uiPriority w:val="9"/>
    <w:unhideWhenUsed/>
    <w:qFormat/>
    <w:rsid w:val="00996425"/>
    <w:pPr>
      <w:shd w:val="clear" w:color="auto" w:fill="FCB040"/>
      <w:outlineLvl w:val="1"/>
    </w:pPr>
    <w:rPr>
      <w:rFonts w:ascii="Trebuchet MS" w:eastAsiaTheme="majorEastAsia" w:hAnsi="Trebuchet MS" w:cs="Arial"/>
      <w:b/>
      <w:caps/>
      <w:spacing w:val="15"/>
      <w:sz w:val="26"/>
      <w:szCs w:val="26"/>
    </w:rPr>
  </w:style>
  <w:style w:type="paragraph" w:styleId="Heading3">
    <w:name w:val="heading 3"/>
    <w:basedOn w:val="Normal"/>
    <w:next w:val="Normal"/>
    <w:link w:val="Heading3Char"/>
    <w:uiPriority w:val="9"/>
    <w:unhideWhenUsed/>
    <w:qFormat/>
    <w:rsid w:val="003E45B7"/>
    <w:pPr>
      <w:outlineLvl w:val="2"/>
    </w:pPr>
    <w:rPr>
      <w:rFonts w:ascii="Arial" w:hAnsi="Arial"/>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A1310C"/>
    <w:rPr>
      <w:rFonts w:asciiTheme="majorHAnsi" w:eastAsiaTheme="majorEastAsia" w:hAnsiTheme="majorHAnsi" w:cstheme="majorBidi"/>
      <w:caps/>
      <w:color w:val="0673A5" w:themeColor="text2" w:themeShade="BF"/>
      <w:spacing w:val="10"/>
      <w:sz w:val="52"/>
      <w:szCs w:val="52"/>
    </w:rPr>
  </w:style>
  <w:style w:type="character" w:customStyle="1" w:styleId="Heading1Char">
    <w:name w:val="Heading 1 Char"/>
    <w:basedOn w:val="DefaultParagraphFont"/>
    <w:link w:val="Heading1"/>
    <w:uiPriority w:val="9"/>
    <w:rsid w:val="001E60E6"/>
    <w:rPr>
      <w:rFonts w:ascii="Trebuchet MS" w:eastAsiaTheme="majorEastAsia" w:hAnsi="Trebuchet MS" w:cs="Arial"/>
      <w:b/>
      <w:caps/>
      <w:spacing w:val="15"/>
      <w:sz w:val="28"/>
      <w:szCs w:val="28"/>
      <w:shd w:val="clear" w:color="auto" w:fill="BD0014"/>
    </w:rPr>
  </w:style>
  <w:style w:type="character" w:customStyle="1" w:styleId="Heading2Char">
    <w:name w:val="Heading 2 Char"/>
    <w:basedOn w:val="DefaultParagraphFont"/>
    <w:link w:val="Heading2"/>
    <w:uiPriority w:val="9"/>
    <w:rsid w:val="00996425"/>
    <w:rPr>
      <w:rFonts w:ascii="Trebuchet MS" w:eastAsiaTheme="majorEastAsia" w:hAnsi="Trebuchet MS" w:cs="Arial"/>
      <w:b/>
      <w:caps/>
      <w:spacing w:val="15"/>
      <w:sz w:val="26"/>
      <w:szCs w:val="26"/>
      <w:shd w:val="clear" w:color="auto" w:fill="FCB040"/>
    </w:rPr>
  </w:style>
  <w:style w:type="character" w:customStyle="1" w:styleId="Heading3Char">
    <w:name w:val="Heading 3 Char"/>
    <w:basedOn w:val="DefaultParagraphFont"/>
    <w:link w:val="Heading3"/>
    <w:uiPriority w:val="9"/>
    <w:rsid w:val="003E45B7"/>
    <w:rPr>
      <w:rFonts w:ascii="Arial" w:hAnsi="Arial"/>
      <w:sz w:val="24"/>
      <w:szCs w:val="24"/>
    </w:rPr>
  </w:style>
  <w:style w:type="table" w:styleId="TableGrid">
    <w:name w:val="Table Grid"/>
    <w:basedOn w:val="TableNormal"/>
    <w:uiPriority w:val="39"/>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qFormat/>
    <w:pPr>
      <w:spacing w:after="160"/>
    </w:pPr>
    <w:rPr>
      <w:color w:val="404040"/>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unhideWhenUsed/>
    <w:rsid w:val="00D47A97"/>
    <w:rPr>
      <w:szCs w:val="20"/>
    </w:rPr>
  </w:style>
  <w:style w:type="character" w:customStyle="1" w:styleId="CommentTextChar">
    <w:name w:val="Comment Text Char"/>
    <w:basedOn w:val="DefaultParagraphFont"/>
    <w:link w:val="CommentText"/>
    <w:uiPriority w:val="99"/>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unhideWhenUsed/>
    <w:rsid w:val="00D47A97"/>
    <w:rPr>
      <w:szCs w:val="20"/>
    </w:rPr>
  </w:style>
  <w:style w:type="character" w:customStyle="1" w:styleId="EndnoteTextChar">
    <w:name w:val="Endnote Text Char"/>
    <w:basedOn w:val="DefaultParagraphFont"/>
    <w:link w:val="EndnoteText"/>
    <w:uiPriority w:val="99"/>
    <w:rsid w:val="00D47A97"/>
    <w:rPr>
      <w:szCs w:val="20"/>
    </w:rPr>
  </w:style>
  <w:style w:type="paragraph" w:styleId="EnvelopeReturn">
    <w:name w:val="envelope return"/>
    <w:basedOn w:val="Normal"/>
    <w:uiPriority w:val="99"/>
    <w:semiHidden/>
    <w:unhideWhenUsed/>
    <w:rsid w:val="00D47A97"/>
    <w:rPr>
      <w:rFonts w:asciiTheme="majorHAnsi" w:eastAsiaTheme="majorEastAsia" w:hAnsiTheme="majorHAnsi" w:cstheme="majorBidi"/>
      <w:szCs w:val="20"/>
    </w:rPr>
  </w:style>
  <w:style w:type="paragraph" w:styleId="FootnoteText">
    <w:name w:val="footnote text"/>
    <w:aliases w:val="5_G,Char, Char"/>
    <w:basedOn w:val="Normal"/>
    <w:link w:val="FootnoteTextChar"/>
    <w:uiPriority w:val="99"/>
    <w:unhideWhenUsed/>
    <w:qFormat/>
    <w:rsid w:val="00D47A97"/>
    <w:rPr>
      <w:szCs w:val="20"/>
    </w:rPr>
  </w:style>
  <w:style w:type="character" w:customStyle="1" w:styleId="FootnoteTextChar">
    <w:name w:val="Footnote Text Char"/>
    <w:aliases w:val="5_G Char,Char Char, Char Char"/>
    <w:basedOn w:val="DefaultParagraphFont"/>
    <w:link w:val="FootnoteText"/>
    <w:uiPriority w:val="99"/>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nhideWhenUsed/>
    <w:rsid w:val="004E1AED"/>
  </w:style>
  <w:style w:type="character" w:customStyle="1" w:styleId="HeaderChar">
    <w:name w:val="Header Char"/>
    <w:basedOn w:val="DefaultParagraphFont"/>
    <w:link w:val="Header"/>
    <w:rsid w:val="004E1AED"/>
  </w:style>
  <w:style w:type="paragraph" w:styleId="Footer">
    <w:name w:val="footer"/>
    <w:basedOn w:val="Normal"/>
    <w:link w:val="FooterChar"/>
    <w:uiPriority w:val="99"/>
    <w:unhideWhenUsed/>
    <w:rsid w:val="004E1AED"/>
  </w:style>
  <w:style w:type="character" w:customStyle="1" w:styleId="FooterChar">
    <w:name w:val="Footer Char"/>
    <w:basedOn w:val="DefaultParagraphFont"/>
    <w:link w:val="Footer"/>
    <w:uiPriority w:val="99"/>
    <w:rsid w:val="004E1AED"/>
  </w:style>
  <w:style w:type="character" w:styleId="Hyperlink">
    <w:name w:val="Hyperlink"/>
    <w:uiPriority w:val="99"/>
    <w:unhideWhenUsed/>
    <w:rsid w:val="00A03711"/>
    <w:rPr>
      <w:color w:val="0563C1"/>
      <w:u w:val="single"/>
    </w:rPr>
  </w:style>
  <w:style w:type="character" w:customStyle="1" w:styleId="apple-converted-space">
    <w:name w:val="apple-converted-space"/>
    <w:basedOn w:val="DefaultParagraphFont"/>
    <w:rsid w:val="00A03711"/>
  </w:style>
  <w:style w:type="paragraph" w:styleId="ListParagraph">
    <w:name w:val="List Paragraph"/>
    <w:basedOn w:val="Normal"/>
    <w:link w:val="ListParagraphChar"/>
    <w:uiPriority w:val="34"/>
    <w:qFormat/>
    <w:rsid w:val="00A03711"/>
    <w:pPr>
      <w:ind w:left="720"/>
      <w:contextualSpacing/>
    </w:pPr>
    <w:rPr>
      <w:rFonts w:ascii="Calibri" w:eastAsia="Calibri" w:hAnsi="Calibri"/>
    </w:rPr>
  </w:style>
  <w:style w:type="character" w:styleId="FootnoteReference">
    <w:name w:val="footnote reference"/>
    <w:aliases w:val="4_G"/>
    <w:uiPriority w:val="99"/>
    <w:unhideWhenUsed/>
    <w:qFormat/>
    <w:rsid w:val="00A03711"/>
    <w:rPr>
      <w:vertAlign w:val="superscript"/>
    </w:rPr>
  </w:style>
  <w:style w:type="character" w:styleId="PageNumber">
    <w:name w:val="page number"/>
    <w:basedOn w:val="DefaultParagraphFont"/>
    <w:uiPriority w:val="99"/>
    <w:semiHidden/>
    <w:unhideWhenUsed/>
    <w:rsid w:val="00F65380"/>
  </w:style>
  <w:style w:type="paragraph" w:customStyle="1" w:styleId="header2">
    <w:name w:val="header2"/>
    <w:basedOn w:val="Normal"/>
    <w:uiPriority w:val="99"/>
    <w:rsid w:val="00CA2ADB"/>
    <w:pPr>
      <w:shd w:val="clear" w:color="auto" w:fill="D6E3BC"/>
      <w:ind w:left="284" w:hanging="425"/>
    </w:pPr>
    <w:rPr>
      <w:rFonts w:ascii="Arial" w:hAnsi="Arial"/>
      <w:b/>
      <w:i/>
      <w:szCs w:val="32"/>
    </w:rPr>
  </w:style>
  <w:style w:type="character" w:styleId="Strong">
    <w:name w:val="Strong"/>
    <w:basedOn w:val="DefaultParagraphFont"/>
    <w:uiPriority w:val="22"/>
    <w:qFormat/>
    <w:rsid w:val="00442D1D"/>
    <w:rPr>
      <w:b/>
      <w:bCs/>
    </w:rPr>
  </w:style>
  <w:style w:type="paragraph" w:customStyle="1" w:styleId="Default">
    <w:name w:val="Default"/>
    <w:rsid w:val="00442D1D"/>
    <w:pPr>
      <w:autoSpaceDE w:val="0"/>
      <w:autoSpaceDN w:val="0"/>
      <w:adjustRightInd w:val="0"/>
    </w:pPr>
    <w:rPr>
      <w:rFonts w:eastAsiaTheme="minorHAnsi"/>
      <w:color w:val="000000"/>
      <w:lang w:val="en-MY"/>
    </w:rPr>
  </w:style>
  <w:style w:type="paragraph" w:customStyle="1" w:styleId="Pa6">
    <w:name w:val="Pa6"/>
    <w:basedOn w:val="Default"/>
    <w:next w:val="Default"/>
    <w:uiPriority w:val="99"/>
    <w:rsid w:val="00442D1D"/>
    <w:pPr>
      <w:spacing w:line="201" w:lineRule="atLeast"/>
    </w:pPr>
    <w:rPr>
      <w:rFonts w:ascii="Times" w:hAnsi="Times" w:cs="Times"/>
      <w:color w:val="auto"/>
    </w:rPr>
  </w:style>
  <w:style w:type="paragraph" w:customStyle="1" w:styleId="Pa17">
    <w:name w:val="Pa17"/>
    <w:basedOn w:val="Default"/>
    <w:next w:val="Default"/>
    <w:uiPriority w:val="99"/>
    <w:rsid w:val="00442D1D"/>
    <w:pPr>
      <w:spacing w:line="201" w:lineRule="atLeast"/>
    </w:pPr>
    <w:rPr>
      <w:rFonts w:ascii="Times" w:hAnsi="Times" w:cs="Times"/>
      <w:color w:val="auto"/>
    </w:rPr>
  </w:style>
  <w:style w:type="paragraph" w:styleId="NormalWeb">
    <w:name w:val="Normal (Web)"/>
    <w:basedOn w:val="Normal"/>
    <w:uiPriority w:val="99"/>
    <w:unhideWhenUsed/>
    <w:rsid w:val="000C7BB7"/>
    <w:pPr>
      <w:spacing w:before="100" w:beforeAutospacing="1" w:after="100" w:afterAutospacing="1"/>
    </w:pPr>
    <w:rPr>
      <w:rFonts w:ascii="Times" w:hAnsi="Times"/>
      <w:sz w:val="20"/>
      <w:szCs w:val="20"/>
    </w:rPr>
  </w:style>
  <w:style w:type="paragraph" w:customStyle="1" w:styleId="Pa3">
    <w:name w:val="Pa3"/>
    <w:basedOn w:val="Default"/>
    <w:next w:val="Default"/>
    <w:uiPriority w:val="99"/>
    <w:rsid w:val="000C7BB7"/>
    <w:pPr>
      <w:widowControl w:val="0"/>
      <w:spacing w:line="161" w:lineRule="atLeast"/>
    </w:pPr>
    <w:rPr>
      <w:rFonts w:ascii="Fedra Sans Std Normal" w:eastAsiaTheme="minorEastAsia" w:hAnsi="Fedra Sans Std Normal"/>
      <w:color w:val="auto"/>
      <w:lang w:val="en-US" w:eastAsia="ja-JP"/>
    </w:rPr>
  </w:style>
  <w:style w:type="character" w:customStyle="1" w:styleId="A3">
    <w:name w:val="A3"/>
    <w:uiPriority w:val="99"/>
    <w:rsid w:val="000C7BB7"/>
    <w:rPr>
      <w:rFonts w:cs="Fedra Sans Std Normal"/>
      <w:color w:val="000000"/>
      <w:sz w:val="22"/>
      <w:szCs w:val="22"/>
    </w:rPr>
  </w:style>
  <w:style w:type="paragraph" w:customStyle="1" w:styleId="SingleTxt">
    <w:name w:val="__Single Txt"/>
    <w:basedOn w:val="Normal"/>
    <w:rsid w:val="00465DA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 w:val="20"/>
      <w:szCs w:val="20"/>
      <w:lang w:val="en-GB"/>
    </w:rPr>
  </w:style>
  <w:style w:type="character" w:styleId="FollowedHyperlink">
    <w:name w:val="FollowedHyperlink"/>
    <w:basedOn w:val="DefaultParagraphFont"/>
    <w:uiPriority w:val="99"/>
    <w:semiHidden/>
    <w:unhideWhenUsed/>
    <w:rsid w:val="00134B15"/>
    <w:rPr>
      <w:color w:val="6C606A" w:themeColor="followedHyperlink"/>
      <w:u w:val="single"/>
    </w:rPr>
  </w:style>
  <w:style w:type="paragraph" w:styleId="NoSpacing">
    <w:name w:val="No Spacing"/>
    <w:uiPriority w:val="1"/>
    <w:qFormat/>
    <w:rsid w:val="00A801B1"/>
    <w:rPr>
      <w:rFonts w:eastAsia="Calibri"/>
      <w:lang w:val="en-GB" w:eastAsia="en-GB"/>
    </w:rPr>
  </w:style>
  <w:style w:type="paragraph" w:styleId="TOC1">
    <w:name w:val="toc 1"/>
    <w:basedOn w:val="Normal"/>
    <w:next w:val="Normal"/>
    <w:autoRedefine/>
    <w:uiPriority w:val="39"/>
    <w:unhideWhenUsed/>
    <w:rsid w:val="001C012E"/>
    <w:pPr>
      <w:spacing w:before="120"/>
    </w:pPr>
    <w:rPr>
      <w:rFonts w:asciiTheme="minorHAnsi" w:hAnsiTheme="minorHAnsi"/>
      <w:b/>
      <w:bCs/>
      <w:i/>
      <w:iCs/>
    </w:rPr>
  </w:style>
  <w:style w:type="paragraph" w:styleId="TOC3">
    <w:name w:val="toc 3"/>
    <w:basedOn w:val="Normal"/>
    <w:next w:val="Normal"/>
    <w:autoRedefine/>
    <w:uiPriority w:val="39"/>
    <w:unhideWhenUsed/>
    <w:rsid w:val="001C012E"/>
    <w:pPr>
      <w:ind w:left="480"/>
    </w:pPr>
    <w:rPr>
      <w:rFonts w:asciiTheme="minorHAnsi" w:hAnsiTheme="minorHAnsi"/>
      <w:sz w:val="20"/>
      <w:szCs w:val="20"/>
    </w:rPr>
  </w:style>
  <w:style w:type="paragraph" w:styleId="TOC2">
    <w:name w:val="toc 2"/>
    <w:basedOn w:val="Normal"/>
    <w:next w:val="Normal"/>
    <w:autoRedefine/>
    <w:uiPriority w:val="39"/>
    <w:unhideWhenUsed/>
    <w:rsid w:val="001C012E"/>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1C012E"/>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C012E"/>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C012E"/>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C012E"/>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C012E"/>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C012E"/>
    <w:pPr>
      <w:ind w:left="1920"/>
    </w:pPr>
    <w:rPr>
      <w:rFonts w:asciiTheme="minorHAnsi" w:hAnsiTheme="minorHAnsi"/>
      <w:sz w:val="20"/>
      <w:szCs w:val="20"/>
    </w:rPr>
  </w:style>
  <w:style w:type="character" w:customStyle="1" w:styleId="ListParagraphChar">
    <w:name w:val="List Paragraph Char"/>
    <w:basedOn w:val="DefaultParagraphFont"/>
    <w:link w:val="ListParagraph"/>
    <w:uiPriority w:val="34"/>
    <w:locked/>
    <w:rsid w:val="002860A4"/>
    <w:rPr>
      <w:rFonts w:ascii="Calibri" w:eastAsia="Calibri" w:hAnsi="Calibri" w:cs="Times New Roman"/>
      <w:sz w:val="24"/>
      <w:szCs w:val="24"/>
      <w:lang w:eastAsia="en-US"/>
    </w:rPr>
  </w:style>
  <w:style w:type="paragraph" w:customStyle="1" w:styleId="m13417535960107859gmail-msonormal">
    <w:name w:val="m_13417535960107859gmail-msonormal"/>
    <w:basedOn w:val="Normal"/>
    <w:rsid w:val="005A662D"/>
    <w:pPr>
      <w:spacing w:before="100" w:beforeAutospacing="1" w:after="100" w:afterAutospacing="1"/>
    </w:pPr>
    <w:rPr>
      <w:rFonts w:ascii="Times" w:hAnsi="Times"/>
      <w:sz w:val="20"/>
      <w:szCs w:val="20"/>
    </w:rPr>
  </w:style>
  <w:style w:type="character" w:customStyle="1" w:styleId="m13417535960107859gmail-msofootnotereference">
    <w:name w:val="m_13417535960107859gmail-msofootnotereference"/>
    <w:basedOn w:val="DefaultParagraphFont"/>
    <w:rsid w:val="005A662D"/>
  </w:style>
  <w:style w:type="character" w:customStyle="1" w:styleId="UnresolvedMention1">
    <w:name w:val="Unresolved Mention1"/>
    <w:basedOn w:val="DefaultParagraphFont"/>
    <w:uiPriority w:val="99"/>
    <w:semiHidden/>
    <w:unhideWhenUsed/>
    <w:rsid w:val="00A23ACD"/>
    <w:rPr>
      <w:color w:val="605E5C"/>
      <w:shd w:val="clear" w:color="auto" w:fill="E1DFDD"/>
    </w:rPr>
  </w:style>
  <w:style w:type="paragraph" w:customStyle="1" w:styleId="Normal1">
    <w:name w:val="Normal1"/>
    <w:rsid w:val="00502C8E"/>
    <w:pPr>
      <w:pBdr>
        <w:top w:val="nil"/>
        <w:left w:val="nil"/>
        <w:bottom w:val="nil"/>
        <w:right w:val="nil"/>
        <w:between w:val="nil"/>
      </w:pBdr>
    </w:pPr>
    <w:rPr>
      <w:rFonts w:ascii="Corbel" w:eastAsia="Corbel" w:hAnsi="Corbel" w:cs="Corbel"/>
      <w:color w:val="000000"/>
    </w:rPr>
  </w:style>
  <w:style w:type="character" w:customStyle="1" w:styleId="apple-tab-span">
    <w:name w:val="apple-tab-span"/>
    <w:basedOn w:val="DefaultParagraphFont"/>
    <w:rsid w:val="005D1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961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usawah.org" TargetMode="External"/><Relationship Id="rId18" Type="http://schemas.openxmlformats.org/officeDocument/2006/relationships/image" Target="media/image6.jpg"/><Relationship Id="rId26" Type="http://schemas.openxmlformats.org/officeDocument/2006/relationships/image" Target="media/image14.jp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hyperlink" Target="mailto:musawah@musawah.org"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image" Target="media/image12.png"/><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hyperlink" Target="about:blank" TargetMode="External"/><Relationship Id="rId19" Type="http://schemas.openxmlformats.org/officeDocument/2006/relationships/image" Target="media/image7.png"/><Relationship Id="rId31"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theme" Target="theme/theme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law.stanford.edu/wp-content/uploads/sites/default/files/publication/737834/doc/slspublic/Afghan%20Civil%20Code%20%20English%20translation%20ALEP%20Sept%202014.pdf" TargetMode="External"/><Relationship Id="rId13" Type="http://schemas.openxmlformats.org/officeDocument/2006/relationships/hyperlink" Target="http://law.stanford.edu/wp-content/uploads/sites/default/files/publication/737834/doc/slspublic/Afghan%20Civil%20Code%20%20English%20translation%20ALEP%20Sept%202014.pdf" TargetMode="External"/><Relationship Id="rId18" Type="http://schemas.openxmlformats.org/officeDocument/2006/relationships/hyperlink" Target="http://www.ohchr.org/en/hrbodies/cedaw/pages/cedawindex.aspx" TargetMode="External"/><Relationship Id="rId26" Type="http://schemas.openxmlformats.org/officeDocument/2006/relationships/hyperlink" Target="http://law.stanford.edu/wp-content/uploads/sites/default/files/publication/737834/doc/slspublic/Afghan%20Civil%20Code%20%20English%20translation%20ALEP%20Sept%202014.pdf" TargetMode="External"/><Relationship Id="rId39" Type="http://schemas.openxmlformats.org/officeDocument/2006/relationships/hyperlink" Target="http://www.ohchr.org/en/hrbodies/cedaw/pages/cedawindex.aspx" TargetMode="External"/><Relationship Id="rId3" Type="http://schemas.openxmlformats.org/officeDocument/2006/relationships/hyperlink" Target="http://law.stanford.edu/wp-content/uploads/sites/default/files/publication/737834/doc/slspublic/Afghan%20Civil%20Code%20%20English%20translation%20ALEP%20Sept%202014.pdf" TargetMode="External"/><Relationship Id="rId21" Type="http://schemas.openxmlformats.org/officeDocument/2006/relationships/hyperlink" Target="https://www.justice.gov/sites/default/files/eoir/legacy/2013/06/11/polygamous_marriages.pdf" TargetMode="External"/><Relationship Id="rId34" Type="http://schemas.openxmlformats.org/officeDocument/2006/relationships/hyperlink" Target="http://law.stanford.edu/wp-content/uploads/sites/default/files/publication/737834/doc/slspublic/Afghan%20Civil%20Code%20%20English%20translation%20ALEP%20Sept%202014.pdf" TargetMode="External"/><Relationship Id="rId42" Type="http://schemas.openxmlformats.org/officeDocument/2006/relationships/hyperlink" Target="http://www.refworld.org/pdfid/4a24ed5b2.pdf" TargetMode="External"/><Relationship Id="rId7" Type="http://schemas.openxmlformats.org/officeDocument/2006/relationships/hyperlink" Target="http://www.refworld.org/pdfid/4a24ed5b2.pdf" TargetMode="External"/><Relationship Id="rId12" Type="http://schemas.openxmlformats.org/officeDocument/2006/relationships/hyperlink" Target="http://www.ohchr.org/en/hrbodies/cedaw/pages/cedawindex.aspx" TargetMode="External"/><Relationship Id="rId17" Type="http://schemas.openxmlformats.org/officeDocument/2006/relationships/hyperlink" Target="http://www.refworld.org/pdfid/4a24ed5b2.pdfA" TargetMode="External"/><Relationship Id="rId25" Type="http://schemas.openxmlformats.org/officeDocument/2006/relationships/hyperlink" Target="http://www.mpipriv.de/files/pdf3/max_planck_manual_on_afghan_family_law_english.pdf" TargetMode="External"/><Relationship Id="rId33" Type="http://schemas.openxmlformats.org/officeDocument/2006/relationships/hyperlink" Target="http://www.mpipriv.de/files/pdf3/max_planck_manual_on_afghan_family_law_english.pdf" TargetMode="External"/><Relationship Id="rId38" Type="http://schemas.openxmlformats.org/officeDocument/2006/relationships/hyperlink" Target="http://www.refworld.org/pdfid/4a24ed5b2.pdf" TargetMode="External"/><Relationship Id="rId2" Type="http://schemas.openxmlformats.org/officeDocument/2006/relationships/hyperlink" Target="http://law.stanford.edu/wp-content/uploads/sites/default/files/publication/737834/doc/slspublic/Afghan%20Civil%20Code%20%20English%20translation%20ALEP%20Sept%202014.pdf" TargetMode="External"/><Relationship Id="rId16" Type="http://schemas.openxmlformats.org/officeDocument/2006/relationships/hyperlink" Target="http://law.stanford.edu/wp-content/uploads/sites/default/files/publication/737834/doc/slspublic/Afghan%20Civil%20Code%20%20English%20translation%20ALEP%20Sept%202014.pdf" TargetMode="External"/><Relationship Id="rId20" Type="http://schemas.openxmlformats.org/officeDocument/2006/relationships/hyperlink" Target="http://www.refworld.org/pdfid/4a24ed5b2.pdfA" TargetMode="External"/><Relationship Id="rId29" Type="http://schemas.openxmlformats.org/officeDocument/2006/relationships/hyperlink" Target="http://www.ohchr.org/en/hrbodies/cedaw/pages/cedawindex.aspx" TargetMode="External"/><Relationship Id="rId41" Type="http://schemas.openxmlformats.org/officeDocument/2006/relationships/hyperlink" Target="http://www.mpipriv.de/files/pdf3/max_planck_manual_on_afghan_family_law_english.pdf" TargetMode="External"/><Relationship Id="rId1" Type="http://schemas.openxmlformats.org/officeDocument/2006/relationships/hyperlink" Target="https://www.constituteproject.org/constitution/Afghanistan_2004.pdf?lang=en" TargetMode="External"/><Relationship Id="rId6" Type="http://schemas.openxmlformats.org/officeDocument/2006/relationships/hyperlink" Target="https://www.constituteproject.org/constitution/Afghanistan_2004.pdf?lang=en" TargetMode="External"/><Relationship Id="rId11" Type="http://schemas.openxmlformats.org/officeDocument/2006/relationships/hyperlink" Target="https://www.unicef.org/publications/files/UNICEF_SOWC_2016.pdf" TargetMode="External"/><Relationship Id="rId24" Type="http://schemas.openxmlformats.org/officeDocument/2006/relationships/hyperlink" Target="http://www.refworld.org/pdfid/4a24ed5b2.pdf" TargetMode="External"/><Relationship Id="rId32" Type="http://schemas.openxmlformats.org/officeDocument/2006/relationships/hyperlink" Target="http://www.refworld.org/pdfid/4a24ed5b2.pdf" TargetMode="External"/><Relationship Id="rId37" Type="http://schemas.openxmlformats.org/officeDocument/2006/relationships/hyperlink" Target="http://law.stanford.edu/wp-content/uploads/sites/default/files/publication/737834/doc/slspublic/Afghan%20Civil%20Code%20%20English%20translation%20ALEP%20Sept%202014.pdf" TargetMode="External"/><Relationship Id="rId40" Type="http://schemas.openxmlformats.org/officeDocument/2006/relationships/hyperlink" Target="http://law.stanford.edu/wp-content/uploads/sites/default/files/publication/737834/doc/slspublic/Afghan%20Civil%20Code%20%20English%20translation%20ALEP%20Sept%202014.pdf" TargetMode="External"/><Relationship Id="rId5" Type="http://schemas.openxmlformats.org/officeDocument/2006/relationships/hyperlink" Target="http://www.refworld.org/pdfid/4a24ed5b2.pdf" TargetMode="External"/><Relationship Id="rId15" Type="http://schemas.openxmlformats.org/officeDocument/2006/relationships/hyperlink" Target="http://law.stanford.edu/wp-content/uploads/sites/default/files/publication/737834/doc/slspublic/Afghan%20Civil%20Code%20%20English%20translation%20ALEP%20Sept%202014.pdf" TargetMode="External"/><Relationship Id="rId23" Type="http://schemas.openxmlformats.org/officeDocument/2006/relationships/hyperlink" Target="http://law.stanford.edu/wp-content/uploads/sites/default/files/publication/737834/doc/slspublic/Afghan%20Civil%20Code%20%20English%20translation%20ALEP%20Sept%202014.pdf" TargetMode="External"/><Relationship Id="rId28" Type="http://schemas.openxmlformats.org/officeDocument/2006/relationships/hyperlink" Target="http://www.mpipriv.de/files/pdf3/max_planck_manual_on_afghan_family_law_english.pdf" TargetMode="External"/><Relationship Id="rId36" Type="http://schemas.openxmlformats.org/officeDocument/2006/relationships/hyperlink" Target="http://www.mpipriv.de/files/pdf3/max_planck_manual_on_afghan_family_law_english.pdf" TargetMode="External"/><Relationship Id="rId10" Type="http://schemas.openxmlformats.org/officeDocument/2006/relationships/hyperlink" Target="http://www.girlsnotbrides.org/child-marriage/afghanistan/" TargetMode="External"/><Relationship Id="rId19" Type="http://schemas.openxmlformats.org/officeDocument/2006/relationships/hyperlink" Target="http://law.stanford.edu/wp-content/uploads/sites/default/files/publication/737834/doc/slspublic/Afghan%20Civil%20Code%20%20English%20translation%20ALEP%20Sept%202014.pdf" TargetMode="External"/><Relationship Id="rId31" Type="http://schemas.openxmlformats.org/officeDocument/2006/relationships/hyperlink" Target="http://law.stanford.edu/wp-content/uploads/sites/default/files/publication/737834/doc/slspublic/Afghan%20Civil%20Code%20%20English%20translation%20ALEP%20Sept%202014.pdf" TargetMode="External"/><Relationship Id="rId4" Type="http://schemas.openxmlformats.org/officeDocument/2006/relationships/hyperlink" Target="https://www.constituteproject.org/constitution/Afghanistan_2004.pdf?lang=en" TargetMode="External"/><Relationship Id="rId9" Type="http://schemas.openxmlformats.org/officeDocument/2006/relationships/hyperlink" Target="http://www.refworld.org/pdfid/4a24ed5b2.pdf" TargetMode="External"/><Relationship Id="rId14" Type="http://schemas.openxmlformats.org/officeDocument/2006/relationships/hyperlink" Target="http://www.refworld.org/pdfid/4a24ed5b2.pdf" TargetMode="External"/><Relationship Id="rId22" Type="http://schemas.openxmlformats.org/officeDocument/2006/relationships/hyperlink" Target="https://dhsprogram.com/pubs/pdf/FR323/FR323.pdf" TargetMode="External"/><Relationship Id="rId27" Type="http://schemas.openxmlformats.org/officeDocument/2006/relationships/hyperlink" Target="http://www.refworld.org/pdfid/4a24ed5b2.pdf" TargetMode="External"/><Relationship Id="rId30" Type="http://schemas.openxmlformats.org/officeDocument/2006/relationships/hyperlink" Target="https://www.hrw.org/news/2013/07/04/submission-combined-initial-and-second-periodic-report-afghanistan-united-nations" TargetMode="External"/><Relationship Id="rId35" Type="http://schemas.openxmlformats.org/officeDocument/2006/relationships/hyperlink" Target="http://www.refworld.org/pdfid/4a24ed5b2.pdf" TargetMode="External"/><Relationship Id="rId43" Type="http://schemas.openxmlformats.org/officeDocument/2006/relationships/hyperlink" Target="http://www.refworld.org/pdfid/4a24ed5b2.pdf"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5.jp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PatofvLAzXk+s7qmI+BwFLCbFg==">AMUW2mXNOxoMbKcBuyVcyjWl5NI72o0Al2zuymkONxroKKCOhCyZ8ui1hWjXcxJHV5niEzFrlp3mOrpwJZ92IkI8PMXQJazdExDI1hOBfJmh4Z+ngpvKrre6/w3E+NNlmKBzu47IdauU6VIrowL42QPHvJB1vF1FCM5z5qE78b9Jkrtld1OiQzz/oiqA3GG2ggD8FUAcyDi/0zD+evhnB+6YoqE+RRTQ0U3D2ujSadaxy+UPzh4s0PP/ZGLJ5xp0rUTbn1aVr2kKk9uhcIzMhI+7DcHbF4bVdCBh2CCmuJdekmXnhA+HvN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CED453-684A-4C4D-9A3E-CC874EEA411B}">
  <ds:schemaRefs>
    <ds:schemaRef ds:uri="http://schemas.openxmlformats.org/officeDocument/2006/bibliography"/>
  </ds:schemaRefs>
</ds:datastoreItem>
</file>

<file path=customXml/itemProps3.xml><?xml version="1.0" encoding="utf-8"?>
<ds:datastoreItem xmlns:ds="http://schemas.openxmlformats.org/officeDocument/2006/customXml" ds:itemID="{96675793-6AF0-4E49-B439-0F1530038BE3}"/>
</file>

<file path=customXml/itemProps4.xml><?xml version="1.0" encoding="utf-8"?>
<ds:datastoreItem xmlns:ds="http://schemas.openxmlformats.org/officeDocument/2006/customXml" ds:itemID="{E9B0119D-F8F7-459F-8E77-70D21175D34F}"/>
</file>

<file path=customXml/itemProps5.xml><?xml version="1.0" encoding="utf-8"?>
<ds:datastoreItem xmlns:ds="http://schemas.openxmlformats.org/officeDocument/2006/customXml" ds:itemID="{78FA466C-5747-4AB1-BAA9-4536012365E1}"/>
</file>

<file path=docProps/app.xml><?xml version="1.0" encoding="utf-8"?>
<Properties xmlns="http://schemas.openxmlformats.org/officeDocument/2006/extended-properties" xmlns:vt="http://schemas.openxmlformats.org/officeDocument/2006/docPropsVTypes">
  <Template>Normal.dotm</Template>
  <TotalTime>1</TotalTime>
  <Pages>14</Pages>
  <Words>1910</Words>
  <Characters>10893</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R</dc:creator>
  <cp:lastModifiedBy>Fleche Isabelle</cp:lastModifiedBy>
  <cp:revision>2</cp:revision>
  <dcterms:created xsi:type="dcterms:W3CDTF">2020-01-17T10:39:00Z</dcterms:created>
  <dcterms:modified xsi:type="dcterms:W3CDTF">2020-01-17T10:39:00Z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