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327FA2" w14:textId="03851E37" w:rsidR="0020527D" w:rsidRPr="00075E00" w:rsidRDefault="00FB03EE" w:rsidP="002841B7">
      <w:pPr>
        <w:spacing w:after="0" w:line="240" w:lineRule="auto"/>
        <w:jc w:val="center"/>
        <w:rPr>
          <w:rFonts w:ascii="Calibri" w:hAnsi="Calibri" w:cs="Times New Roman"/>
          <w:b/>
          <w:noProof/>
          <w:color w:val="000000" w:themeColor="text1"/>
          <w:sz w:val="24"/>
          <w:lang w:val="es-ES"/>
        </w:rPr>
      </w:pPr>
      <w:r w:rsidRPr="00075E00">
        <w:rPr>
          <w:rFonts w:ascii="Calibri" w:hAnsi="Calibri" w:cs="Times New Roman"/>
          <w:b/>
          <w:noProof/>
          <w:color w:val="000000" w:themeColor="text1"/>
          <w:sz w:val="24"/>
          <w:lang w:val="es-ES"/>
        </w:rPr>
        <w:t xml:space="preserve">Información </w:t>
      </w:r>
      <w:r w:rsidR="00B305EC">
        <w:rPr>
          <w:rFonts w:ascii="Calibri" w:hAnsi="Calibri" w:cs="Times New Roman"/>
          <w:b/>
          <w:noProof/>
          <w:color w:val="000000" w:themeColor="text1"/>
          <w:sz w:val="24"/>
          <w:lang w:val="es-ES"/>
        </w:rPr>
        <w:t>adicional</w:t>
      </w:r>
      <w:bookmarkStart w:id="0" w:name="_GoBack"/>
      <w:bookmarkEnd w:id="0"/>
      <w:r w:rsidRPr="00075E00">
        <w:rPr>
          <w:rFonts w:ascii="Calibri" w:hAnsi="Calibri" w:cs="Times New Roman"/>
          <w:b/>
          <w:noProof/>
          <w:color w:val="000000" w:themeColor="text1"/>
          <w:sz w:val="24"/>
          <w:lang w:val="es-ES"/>
        </w:rPr>
        <w:t xml:space="preserve"> el marco del </w:t>
      </w:r>
      <w:r w:rsidR="009E417B" w:rsidRPr="00075E00">
        <w:rPr>
          <w:rFonts w:ascii="Calibri" w:hAnsi="Calibri" w:cs="Times New Roman"/>
          <w:b/>
          <w:noProof/>
          <w:color w:val="000000" w:themeColor="text1"/>
          <w:sz w:val="24"/>
          <w:lang w:val="es-ES"/>
        </w:rPr>
        <w:t xml:space="preserve">diálogo constructivo mantenido entre la </w:t>
      </w:r>
      <w:r w:rsidR="00CE72CC" w:rsidRPr="00075E00">
        <w:rPr>
          <w:rFonts w:ascii="Calibri" w:hAnsi="Calibri" w:cs="Times New Roman"/>
          <w:b/>
          <w:noProof/>
          <w:color w:val="000000" w:themeColor="text1"/>
          <w:sz w:val="24"/>
          <w:lang w:val="es-ES"/>
        </w:rPr>
        <w:t>D</w:t>
      </w:r>
      <w:r w:rsidR="009E417B" w:rsidRPr="00075E00">
        <w:rPr>
          <w:rFonts w:ascii="Calibri" w:hAnsi="Calibri" w:cs="Times New Roman"/>
          <w:b/>
          <w:noProof/>
          <w:color w:val="000000" w:themeColor="text1"/>
          <w:sz w:val="24"/>
          <w:lang w:val="es-ES"/>
        </w:rPr>
        <w:t xml:space="preserve">elegación del </w:t>
      </w:r>
      <w:r w:rsidR="00847621" w:rsidRPr="00075E00">
        <w:rPr>
          <w:rFonts w:ascii="Calibri" w:hAnsi="Calibri" w:cs="Times New Roman"/>
          <w:b/>
          <w:noProof/>
          <w:color w:val="000000" w:themeColor="text1"/>
          <w:sz w:val="24"/>
          <w:lang w:val="es-ES"/>
        </w:rPr>
        <w:t>Ecuador</w:t>
      </w:r>
      <w:r w:rsidR="009E417B" w:rsidRPr="00075E00">
        <w:rPr>
          <w:rFonts w:ascii="Calibri" w:hAnsi="Calibri" w:cs="Times New Roman"/>
          <w:b/>
          <w:noProof/>
          <w:color w:val="000000" w:themeColor="text1"/>
          <w:sz w:val="24"/>
          <w:lang w:val="es-ES"/>
        </w:rPr>
        <w:t xml:space="preserve"> y los miembros del</w:t>
      </w:r>
      <w:r w:rsidR="00D14935" w:rsidRPr="00075E00">
        <w:rPr>
          <w:rFonts w:ascii="Calibri" w:hAnsi="Calibri" w:cs="Times New Roman"/>
          <w:b/>
          <w:noProof/>
          <w:color w:val="000000" w:themeColor="text1"/>
          <w:sz w:val="24"/>
          <w:lang w:val="es-ES"/>
        </w:rPr>
        <w:t xml:space="preserve"> </w:t>
      </w:r>
      <w:r w:rsidR="001166A0" w:rsidRPr="00075E00">
        <w:rPr>
          <w:rFonts w:ascii="Calibri" w:hAnsi="Calibri" w:cs="Times New Roman"/>
          <w:b/>
          <w:noProof/>
          <w:color w:val="000000" w:themeColor="text1"/>
          <w:sz w:val="24"/>
          <w:lang w:val="es-ES"/>
        </w:rPr>
        <w:t xml:space="preserve">Comité de </w:t>
      </w:r>
      <w:r w:rsidR="00B94108" w:rsidRPr="00075E00">
        <w:rPr>
          <w:rFonts w:ascii="Calibri" w:hAnsi="Calibri" w:cs="Times New Roman"/>
          <w:b/>
          <w:noProof/>
          <w:color w:val="000000" w:themeColor="text1"/>
          <w:sz w:val="24"/>
          <w:lang w:val="es-ES"/>
        </w:rPr>
        <w:t>los Derechos del Niño</w:t>
      </w:r>
    </w:p>
    <w:p w14:paraId="1E8484E1" w14:textId="5AD0A453" w:rsidR="000C06F1" w:rsidRPr="00075E00" w:rsidRDefault="00CE72CC" w:rsidP="00CE72CC">
      <w:pPr>
        <w:spacing w:after="0" w:line="240" w:lineRule="auto"/>
        <w:jc w:val="center"/>
        <w:rPr>
          <w:rFonts w:ascii="Calibri" w:hAnsi="Calibri" w:cs="Times New Roman"/>
          <w:b/>
          <w:noProof/>
          <w:color w:val="000000" w:themeColor="text1"/>
          <w:sz w:val="24"/>
          <w:lang w:val="es-ES"/>
        </w:rPr>
      </w:pPr>
      <w:r w:rsidRPr="00075E00">
        <w:rPr>
          <w:rFonts w:ascii="Calibri" w:hAnsi="Calibri" w:cs="Times New Roman"/>
          <w:b/>
          <w:noProof/>
          <w:color w:val="000000" w:themeColor="text1"/>
          <w:sz w:val="24"/>
          <w:lang w:val="es-ES"/>
        </w:rPr>
        <w:t xml:space="preserve">- </w:t>
      </w:r>
      <w:r w:rsidR="00FB241B" w:rsidRPr="00075E00">
        <w:rPr>
          <w:rFonts w:ascii="Calibri" w:hAnsi="Calibri" w:cs="Times New Roman"/>
          <w:b/>
          <w:noProof/>
          <w:color w:val="000000" w:themeColor="text1"/>
          <w:sz w:val="24"/>
          <w:lang w:val="es-ES"/>
        </w:rPr>
        <w:t xml:space="preserve">76 </w:t>
      </w:r>
      <w:r w:rsidRPr="00075E00">
        <w:rPr>
          <w:rFonts w:ascii="Calibri" w:hAnsi="Calibri" w:cs="Times New Roman"/>
          <w:b/>
          <w:noProof/>
          <w:color w:val="000000" w:themeColor="text1"/>
          <w:sz w:val="24"/>
          <w:lang w:val="es-ES"/>
        </w:rPr>
        <w:t>P</w:t>
      </w:r>
      <w:r w:rsidR="00FB241B" w:rsidRPr="00075E00">
        <w:rPr>
          <w:rFonts w:ascii="Calibri" w:hAnsi="Calibri" w:cs="Times New Roman"/>
          <w:b/>
          <w:noProof/>
          <w:color w:val="000000" w:themeColor="text1"/>
          <w:sz w:val="24"/>
          <w:lang w:val="es-ES"/>
        </w:rPr>
        <w:t xml:space="preserve">eríodo de </w:t>
      </w:r>
      <w:r w:rsidRPr="00075E00">
        <w:rPr>
          <w:rFonts w:ascii="Calibri" w:hAnsi="Calibri" w:cs="Times New Roman"/>
          <w:b/>
          <w:noProof/>
          <w:color w:val="000000" w:themeColor="text1"/>
          <w:sz w:val="24"/>
          <w:lang w:val="es-ES"/>
        </w:rPr>
        <w:t>S</w:t>
      </w:r>
      <w:r w:rsidR="00FB241B" w:rsidRPr="00075E00">
        <w:rPr>
          <w:rFonts w:ascii="Calibri" w:hAnsi="Calibri" w:cs="Times New Roman"/>
          <w:b/>
          <w:noProof/>
          <w:color w:val="000000" w:themeColor="text1"/>
          <w:sz w:val="24"/>
          <w:lang w:val="es-ES"/>
        </w:rPr>
        <w:t>esiones</w:t>
      </w:r>
      <w:r w:rsidRPr="00075E00">
        <w:rPr>
          <w:rFonts w:ascii="Calibri" w:hAnsi="Calibri" w:cs="Times New Roman"/>
          <w:b/>
          <w:noProof/>
          <w:color w:val="000000" w:themeColor="text1"/>
          <w:sz w:val="24"/>
          <w:lang w:val="es-ES"/>
        </w:rPr>
        <w:t xml:space="preserve"> - </w:t>
      </w:r>
    </w:p>
    <w:p w14:paraId="5FF28A3E" w14:textId="77777777" w:rsidR="007D4187" w:rsidRPr="00075E00" w:rsidRDefault="007D4187" w:rsidP="00CE72CC">
      <w:pPr>
        <w:spacing w:after="0" w:line="240" w:lineRule="auto"/>
        <w:jc w:val="both"/>
        <w:rPr>
          <w:rFonts w:ascii="Calibri" w:hAnsi="Calibri" w:cs="Times New Roman"/>
          <w:b/>
          <w:noProof/>
          <w:color w:val="000000" w:themeColor="text1"/>
          <w:lang w:val="es-ES"/>
        </w:rPr>
      </w:pPr>
    </w:p>
    <w:p w14:paraId="564752B9" w14:textId="77777777" w:rsidR="00847621" w:rsidRPr="00075E00" w:rsidRDefault="00847621" w:rsidP="00CE72CC">
      <w:pPr>
        <w:spacing w:after="0" w:line="240" w:lineRule="auto"/>
        <w:jc w:val="both"/>
        <w:rPr>
          <w:rFonts w:ascii="Calibri" w:hAnsi="Calibri" w:cs="Times New Roman"/>
          <w:b/>
          <w:noProof/>
          <w:color w:val="000000" w:themeColor="text1"/>
          <w:lang w:val="es-ES"/>
        </w:rPr>
      </w:pPr>
    </w:p>
    <w:p w14:paraId="29AC9936" w14:textId="288D5F1E" w:rsidR="00847621" w:rsidRPr="00075E00" w:rsidRDefault="004F10B6" w:rsidP="00EB59EC">
      <w:pPr>
        <w:pBdr>
          <w:top w:val="single" w:sz="4" w:space="1" w:color="auto"/>
          <w:left w:val="single" w:sz="4" w:space="4" w:color="auto"/>
        </w:pBdr>
        <w:shd w:val="clear" w:color="auto" w:fill="FFFFFF"/>
        <w:spacing w:after="0" w:line="240" w:lineRule="auto"/>
        <w:rPr>
          <w:rFonts w:ascii="Calibri" w:eastAsia="Times New Roman" w:hAnsi="Calibri" w:cs="Times New Roman"/>
          <w:i/>
          <w:noProof/>
          <w:color w:val="000000" w:themeColor="text1"/>
          <w:lang w:val="es-ES" w:eastAsia="es-EC"/>
        </w:rPr>
      </w:pPr>
      <w:r w:rsidRPr="00075E00">
        <w:rPr>
          <w:rFonts w:ascii="Calibri" w:eastAsia="Times New Roman" w:hAnsi="Calibri" w:cs="Times New Roman"/>
          <w:i/>
          <w:noProof/>
          <w:color w:val="000000" w:themeColor="text1"/>
          <w:lang w:val="es-ES" w:eastAsia="es-EC"/>
        </w:rPr>
        <w:t>Índice. -</w:t>
      </w:r>
    </w:p>
    <w:p w14:paraId="2BD7573E" w14:textId="77777777" w:rsidR="00BE1D08" w:rsidRPr="00075E00" w:rsidRDefault="00BE1D08" w:rsidP="00BE1D08">
      <w:pPr>
        <w:spacing w:after="0" w:line="240" w:lineRule="auto"/>
        <w:jc w:val="both"/>
        <w:rPr>
          <w:rFonts w:ascii="Calibri" w:hAnsi="Calibri" w:cs="Times New Roman"/>
          <w:b/>
          <w:noProof/>
          <w:color w:val="000000" w:themeColor="text1"/>
          <w:lang w:val="es-ES"/>
        </w:rPr>
      </w:pPr>
    </w:p>
    <w:p w14:paraId="2B976D97" w14:textId="7E5088F1" w:rsidR="00BE1D08" w:rsidRPr="00075E00" w:rsidRDefault="00AE7FDD" w:rsidP="00C41F4F">
      <w:pPr>
        <w:spacing w:after="0" w:line="240" w:lineRule="auto"/>
        <w:jc w:val="both"/>
        <w:outlineLvl w:val="0"/>
        <w:rPr>
          <w:rFonts w:ascii="Calibri" w:hAnsi="Calibri" w:cs="Times New Roman"/>
          <w:b/>
          <w:noProof/>
          <w:color w:val="000000" w:themeColor="text1"/>
          <w:lang w:val="es-ES"/>
        </w:rPr>
      </w:pPr>
      <w:r w:rsidRPr="00075E00">
        <w:rPr>
          <w:rFonts w:ascii="Calibri" w:hAnsi="Calibri" w:cs="Times New Roman"/>
          <w:b/>
          <w:noProof/>
          <w:color w:val="000000" w:themeColor="text1"/>
          <w:lang w:val="es-ES"/>
        </w:rPr>
        <w:t xml:space="preserve">Planificación y </w:t>
      </w:r>
      <w:r w:rsidR="00941B78" w:rsidRPr="00075E00">
        <w:rPr>
          <w:rFonts w:ascii="Calibri" w:hAnsi="Calibri" w:cs="Times New Roman"/>
          <w:b/>
          <w:noProof/>
          <w:color w:val="000000" w:themeColor="text1"/>
          <w:lang w:val="es-ES"/>
        </w:rPr>
        <w:t>fortalecimiento institucional</w:t>
      </w:r>
    </w:p>
    <w:p w14:paraId="3154365D" w14:textId="18FFA0BE" w:rsidR="00941B78" w:rsidRPr="00075E00" w:rsidRDefault="00941B78" w:rsidP="00941B78">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Orientación de presupuestos hacia protección de</w:t>
      </w:r>
      <w:r w:rsidR="00075E00" w:rsidRPr="00075E00">
        <w:rPr>
          <w:rFonts w:ascii="Calibri" w:eastAsia="Times New Roman" w:hAnsi="Calibri" w:cs="Times New Roman"/>
          <w:noProof/>
          <w:color w:val="000000" w:themeColor="text1"/>
          <w:lang w:val="es-ES" w:eastAsia="es-EC"/>
        </w:rPr>
        <w:t xml:space="preserve"> los derechos de</w:t>
      </w:r>
      <w:r w:rsidRPr="00075E00">
        <w:rPr>
          <w:rFonts w:ascii="Calibri" w:eastAsia="Times New Roman" w:hAnsi="Calibri" w:cs="Times New Roman"/>
          <w:noProof/>
          <w:color w:val="000000" w:themeColor="text1"/>
          <w:lang w:val="es-ES" w:eastAsia="es-EC"/>
        </w:rPr>
        <w:t xml:space="preserve"> NNA</w:t>
      </w:r>
    </w:p>
    <w:p w14:paraId="7B3292D7" w14:textId="77777777" w:rsidR="00BE1D08" w:rsidRPr="00075E00" w:rsidRDefault="00BE1D08"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 xml:space="preserve">Capacidades y recursos del Consejo Nacional para la Igualdad Intergeneracional (CNII) </w:t>
      </w:r>
    </w:p>
    <w:p w14:paraId="518FEAB6" w14:textId="77777777" w:rsidR="00AE7FDD" w:rsidRPr="00075E00" w:rsidRDefault="00AE7FDD" w:rsidP="00AE7FDD">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192C19B7" w14:textId="77777777" w:rsidR="00AE7FDD" w:rsidRPr="00075E00" w:rsidRDefault="00AE7FDD" w:rsidP="00C41F4F">
      <w:pPr>
        <w:spacing w:after="0" w:line="240" w:lineRule="auto"/>
        <w:jc w:val="both"/>
        <w:outlineLvl w:val="0"/>
        <w:rPr>
          <w:rFonts w:ascii="Calibri" w:hAnsi="Calibri" w:cs="Times New Roman"/>
          <w:b/>
          <w:noProof/>
          <w:color w:val="000000" w:themeColor="text1"/>
          <w:lang w:val="es-ES"/>
        </w:rPr>
      </w:pPr>
      <w:r w:rsidRPr="00075E00">
        <w:rPr>
          <w:rFonts w:ascii="Calibri" w:hAnsi="Calibri" w:cs="Times New Roman"/>
          <w:b/>
          <w:noProof/>
          <w:color w:val="000000" w:themeColor="text1"/>
          <w:lang w:val="es-ES"/>
        </w:rPr>
        <w:t>Educación</w:t>
      </w:r>
    </w:p>
    <w:p w14:paraId="4BE353E7" w14:textId="77777777" w:rsidR="00AE7FDD" w:rsidRPr="00075E00" w:rsidRDefault="00AE7FDD"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Protocolos de actuación frente a situaciones de violencia detectados o cometidos en establecimientos del sistema educativo nacional</w:t>
      </w:r>
    </w:p>
    <w:p w14:paraId="6B169743" w14:textId="77777777" w:rsidR="00AE7FDD" w:rsidRPr="00075E00" w:rsidRDefault="00AE7FDD"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Reordenamiento de la oferta educativa</w:t>
      </w:r>
    </w:p>
    <w:p w14:paraId="79E9AE5B" w14:textId="77777777" w:rsidR="00E97112" w:rsidRPr="00075E00" w:rsidRDefault="00E97112" w:rsidP="0029759B">
      <w:pPr>
        <w:pStyle w:val="Prrafodelista"/>
        <w:shd w:val="clear" w:color="auto" w:fill="FFFFFF"/>
        <w:spacing w:after="0" w:line="240" w:lineRule="auto"/>
        <w:jc w:val="both"/>
        <w:rPr>
          <w:rFonts w:ascii="Calibri" w:eastAsia="Times New Roman" w:hAnsi="Calibri" w:cs="Times New Roman"/>
          <w:noProof/>
          <w:color w:val="000000" w:themeColor="text1"/>
          <w:lang w:val="es-ES" w:eastAsia="es-EC"/>
        </w:rPr>
      </w:pPr>
    </w:p>
    <w:p w14:paraId="2986509C" w14:textId="77777777" w:rsidR="00E97112" w:rsidRPr="00075E00" w:rsidRDefault="00E97112" w:rsidP="00C41F4F">
      <w:pPr>
        <w:spacing w:after="0" w:line="240" w:lineRule="auto"/>
        <w:jc w:val="both"/>
        <w:outlineLvl w:val="0"/>
        <w:rPr>
          <w:rFonts w:ascii="Calibri" w:hAnsi="Calibri" w:cs="Times New Roman"/>
          <w:b/>
          <w:noProof/>
          <w:color w:val="000000" w:themeColor="text1"/>
          <w:lang w:val="es-ES"/>
        </w:rPr>
      </w:pPr>
      <w:r w:rsidRPr="00075E00">
        <w:rPr>
          <w:rFonts w:ascii="Calibri" w:hAnsi="Calibri" w:cs="Times New Roman"/>
          <w:b/>
          <w:noProof/>
          <w:color w:val="000000" w:themeColor="text1"/>
          <w:lang w:val="es-ES"/>
        </w:rPr>
        <w:t>Salud</w:t>
      </w:r>
    </w:p>
    <w:p w14:paraId="20CF426C" w14:textId="77777777" w:rsidR="00E97112" w:rsidRPr="00075E00" w:rsidRDefault="00E97112"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Políticas públicas contra la desnutrición infantil</w:t>
      </w:r>
    </w:p>
    <w:p w14:paraId="4A33E33B" w14:textId="77777777" w:rsidR="00E97112" w:rsidRPr="00075E00" w:rsidRDefault="00E97112"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Estrategias para fomentar la lactancia materna</w:t>
      </w:r>
    </w:p>
    <w:p w14:paraId="6D2046B7" w14:textId="16F5044D" w:rsidR="004D75D9" w:rsidRPr="00075E00" w:rsidRDefault="004D75D9"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Prevención de embarazo en adolescentes</w:t>
      </w:r>
    </w:p>
    <w:p w14:paraId="34476C99" w14:textId="000BAD4B" w:rsidR="007E6191" w:rsidRPr="00075E00" w:rsidRDefault="007E6191"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Políticas públicas sobre salud mental</w:t>
      </w:r>
    </w:p>
    <w:p w14:paraId="02C1DEF5" w14:textId="77777777" w:rsidR="00BE1D08" w:rsidRPr="00075E00" w:rsidRDefault="00BE1D08" w:rsidP="0029759B">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793AA256" w14:textId="348098EC" w:rsidR="00BE1D08" w:rsidRPr="00075E00" w:rsidRDefault="00AE7FDD" w:rsidP="00C41F4F">
      <w:pPr>
        <w:spacing w:after="0" w:line="240" w:lineRule="auto"/>
        <w:jc w:val="both"/>
        <w:outlineLvl w:val="0"/>
        <w:rPr>
          <w:rFonts w:ascii="Calibri" w:hAnsi="Calibri" w:cs="Times New Roman"/>
          <w:b/>
          <w:noProof/>
          <w:color w:val="000000" w:themeColor="text1"/>
          <w:lang w:val="es-ES"/>
        </w:rPr>
      </w:pPr>
      <w:r w:rsidRPr="00075E00">
        <w:rPr>
          <w:rFonts w:ascii="Calibri" w:hAnsi="Calibri" w:cs="Times New Roman"/>
          <w:b/>
          <w:noProof/>
          <w:color w:val="000000" w:themeColor="text1"/>
          <w:lang w:val="es-ES"/>
        </w:rPr>
        <w:t>Justicia e Inclusión</w:t>
      </w:r>
      <w:r w:rsidR="00941B78" w:rsidRPr="00075E00">
        <w:rPr>
          <w:rFonts w:ascii="Calibri" w:hAnsi="Calibri" w:cs="Times New Roman"/>
          <w:b/>
          <w:noProof/>
          <w:color w:val="000000" w:themeColor="text1"/>
          <w:lang w:val="es-ES"/>
        </w:rPr>
        <w:t xml:space="preserve"> de NNA</w:t>
      </w:r>
    </w:p>
    <w:p w14:paraId="6817665F" w14:textId="6E2B8A71" w:rsidR="00AE7FDD" w:rsidRPr="00075E00" w:rsidRDefault="00941B78"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Información sobre</w:t>
      </w:r>
      <w:r w:rsidR="00AE7FDD" w:rsidRPr="00075E00">
        <w:rPr>
          <w:rFonts w:ascii="Calibri" w:eastAsia="Times New Roman" w:hAnsi="Calibri" w:cs="Times New Roman"/>
          <w:noProof/>
          <w:color w:val="000000" w:themeColor="text1"/>
          <w:lang w:val="es-ES" w:eastAsia="es-EC"/>
        </w:rPr>
        <w:t xml:space="preserve"> el bono “Joaquín Gallegos Lara”</w:t>
      </w:r>
    </w:p>
    <w:p w14:paraId="67C27814" w14:textId="4F7C87DA" w:rsidR="00BE1D08" w:rsidRPr="00075E00" w:rsidRDefault="00BE1D08"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 xml:space="preserve">Políticas públicas sobre </w:t>
      </w:r>
      <w:r w:rsidR="00075E00" w:rsidRPr="00075E00">
        <w:rPr>
          <w:rFonts w:ascii="Calibri" w:eastAsia="Times New Roman" w:hAnsi="Calibri" w:cs="Times New Roman"/>
          <w:noProof/>
          <w:color w:val="000000" w:themeColor="text1"/>
          <w:lang w:val="es-ES" w:eastAsia="es-EC"/>
        </w:rPr>
        <w:t>reinserción</w:t>
      </w:r>
      <w:r w:rsidRPr="00075E00">
        <w:rPr>
          <w:rFonts w:ascii="Calibri" w:eastAsia="Times New Roman" w:hAnsi="Calibri" w:cs="Times New Roman"/>
          <w:noProof/>
          <w:color w:val="000000" w:themeColor="text1"/>
          <w:lang w:val="es-ES" w:eastAsia="es-EC"/>
        </w:rPr>
        <w:t xml:space="preserve"> familiar</w:t>
      </w:r>
    </w:p>
    <w:p w14:paraId="3D642AF6" w14:textId="77748BFC" w:rsidR="00AE7FDD" w:rsidRPr="00075E00" w:rsidRDefault="00AE7FDD"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 xml:space="preserve">Atención a NNA </w:t>
      </w:r>
      <w:r w:rsidR="006C1F7A" w:rsidRPr="00075E00">
        <w:rPr>
          <w:rFonts w:ascii="Calibri" w:eastAsia="Times New Roman" w:hAnsi="Calibri" w:cs="Times New Roman"/>
          <w:noProof/>
          <w:color w:val="000000" w:themeColor="text1"/>
          <w:lang w:val="es-ES" w:eastAsia="es-EC"/>
        </w:rPr>
        <w:t>hijos</w:t>
      </w:r>
      <w:r w:rsidR="00075E00" w:rsidRPr="00075E00">
        <w:rPr>
          <w:rFonts w:ascii="Calibri" w:eastAsia="Times New Roman" w:hAnsi="Calibri" w:cs="Times New Roman"/>
          <w:noProof/>
          <w:color w:val="000000" w:themeColor="text1"/>
          <w:lang w:val="es-ES" w:eastAsia="es-EC"/>
        </w:rPr>
        <w:t>/as</w:t>
      </w:r>
      <w:r w:rsidR="006C1F7A" w:rsidRPr="00075E00">
        <w:rPr>
          <w:rFonts w:ascii="Calibri" w:eastAsia="Times New Roman" w:hAnsi="Calibri" w:cs="Times New Roman"/>
          <w:noProof/>
          <w:color w:val="000000" w:themeColor="text1"/>
          <w:lang w:val="es-ES" w:eastAsia="es-EC"/>
        </w:rPr>
        <w:t xml:space="preserve"> de</w:t>
      </w:r>
      <w:r w:rsidRPr="00075E00">
        <w:rPr>
          <w:rFonts w:ascii="Calibri" w:eastAsia="Times New Roman" w:hAnsi="Calibri" w:cs="Times New Roman"/>
          <w:noProof/>
          <w:color w:val="000000" w:themeColor="text1"/>
          <w:lang w:val="es-ES" w:eastAsia="es-EC"/>
        </w:rPr>
        <w:t xml:space="preserve"> </w:t>
      </w:r>
      <w:r w:rsidR="006C1F7A" w:rsidRPr="00075E00">
        <w:rPr>
          <w:rFonts w:ascii="Calibri" w:eastAsia="Times New Roman" w:hAnsi="Calibri" w:cs="Times New Roman"/>
          <w:noProof/>
          <w:color w:val="000000" w:themeColor="text1"/>
          <w:lang w:val="es-ES" w:eastAsia="es-EC"/>
        </w:rPr>
        <w:t>mujeres</w:t>
      </w:r>
      <w:r w:rsidRPr="00075E00">
        <w:rPr>
          <w:rFonts w:ascii="Calibri" w:eastAsia="Times New Roman" w:hAnsi="Calibri" w:cs="Times New Roman"/>
          <w:noProof/>
          <w:color w:val="000000" w:themeColor="text1"/>
          <w:lang w:val="es-ES" w:eastAsia="es-EC"/>
        </w:rPr>
        <w:t xml:space="preserve"> privadas de la libertad</w:t>
      </w:r>
    </w:p>
    <w:p w14:paraId="55ECD9CF" w14:textId="77777777" w:rsidR="00BE1D08" w:rsidRPr="00075E00" w:rsidRDefault="00BE1D08" w:rsidP="0029759B">
      <w:pPr>
        <w:pStyle w:val="Prrafodelista"/>
        <w:shd w:val="clear" w:color="auto" w:fill="FFFFFF"/>
        <w:spacing w:after="0" w:line="240" w:lineRule="auto"/>
        <w:ind w:left="709"/>
        <w:jc w:val="both"/>
        <w:rPr>
          <w:rFonts w:ascii="Calibri" w:eastAsia="Times New Roman" w:hAnsi="Calibri" w:cs="Times New Roman"/>
          <w:noProof/>
          <w:color w:val="000000" w:themeColor="text1"/>
          <w:lang w:val="es-ES" w:eastAsia="es-EC"/>
        </w:rPr>
      </w:pPr>
    </w:p>
    <w:p w14:paraId="1A8E9921" w14:textId="1678D498" w:rsidR="00AE7FDD" w:rsidRPr="00075E00" w:rsidRDefault="00AE7FDD" w:rsidP="00C41F4F">
      <w:pPr>
        <w:spacing w:after="0" w:line="240" w:lineRule="auto"/>
        <w:jc w:val="both"/>
        <w:outlineLvl w:val="0"/>
        <w:rPr>
          <w:rFonts w:ascii="Calibri" w:hAnsi="Calibri" w:cs="Times New Roman"/>
          <w:b/>
          <w:noProof/>
          <w:color w:val="000000" w:themeColor="text1"/>
          <w:lang w:val="es-ES"/>
        </w:rPr>
      </w:pPr>
      <w:r w:rsidRPr="00075E00">
        <w:rPr>
          <w:rFonts w:ascii="Calibri" w:hAnsi="Calibri" w:cs="Times New Roman"/>
          <w:b/>
          <w:noProof/>
          <w:color w:val="000000" w:themeColor="text1"/>
          <w:lang w:val="es-ES"/>
        </w:rPr>
        <w:t>Movilidad humana</w:t>
      </w:r>
      <w:r w:rsidR="00941B78" w:rsidRPr="00075E00">
        <w:rPr>
          <w:rFonts w:ascii="Calibri" w:hAnsi="Calibri" w:cs="Times New Roman"/>
          <w:b/>
          <w:noProof/>
          <w:color w:val="000000" w:themeColor="text1"/>
          <w:lang w:val="es-ES"/>
        </w:rPr>
        <w:t xml:space="preserve"> y atención a NNA</w:t>
      </w:r>
    </w:p>
    <w:p w14:paraId="11FDF000" w14:textId="7E03C481" w:rsidR="00BE1D08" w:rsidRPr="00075E00" w:rsidRDefault="00BE1D08"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Protección de derecho</w:t>
      </w:r>
      <w:r w:rsidR="00941B78" w:rsidRPr="00075E00">
        <w:rPr>
          <w:rFonts w:ascii="Calibri" w:eastAsia="Times New Roman" w:hAnsi="Calibri" w:cs="Times New Roman"/>
          <w:noProof/>
          <w:color w:val="000000" w:themeColor="text1"/>
          <w:lang w:val="es-ES" w:eastAsia="es-EC"/>
        </w:rPr>
        <w:t>s e inclusión de NNA refugiados o solicitantes,</w:t>
      </w:r>
      <w:r w:rsidRPr="00075E00">
        <w:rPr>
          <w:rFonts w:ascii="Calibri" w:eastAsia="Times New Roman" w:hAnsi="Calibri" w:cs="Times New Roman"/>
          <w:noProof/>
          <w:color w:val="000000" w:themeColor="text1"/>
          <w:lang w:val="es-ES" w:eastAsia="es-EC"/>
        </w:rPr>
        <w:t xml:space="preserve"> especialmente solos o no acompañados</w:t>
      </w:r>
    </w:p>
    <w:p w14:paraId="39645855" w14:textId="77777777" w:rsidR="00BE1D08" w:rsidRPr="00075E00" w:rsidRDefault="00BE1D08"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Lucha contra la trata de NNA y atención integral a víctimas</w:t>
      </w:r>
    </w:p>
    <w:p w14:paraId="4C153289" w14:textId="77777777" w:rsidR="00BE1D08" w:rsidRPr="00075E00" w:rsidRDefault="00BE1D08" w:rsidP="006317B2">
      <w:pPr>
        <w:pStyle w:val="Prrafodelista"/>
        <w:numPr>
          <w:ilvl w:val="0"/>
          <w:numId w:val="3"/>
        </w:num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Medidas para proteger a NNA de explotación sexual en el sector turístico</w:t>
      </w:r>
    </w:p>
    <w:p w14:paraId="5DA506A8" w14:textId="77777777" w:rsidR="00BE1D08" w:rsidRPr="00075E00" w:rsidRDefault="00BE1D08" w:rsidP="0029759B">
      <w:pPr>
        <w:shd w:val="clear" w:color="auto" w:fill="FFFFFF"/>
        <w:spacing w:after="0" w:line="240" w:lineRule="auto"/>
        <w:ind w:left="360"/>
        <w:jc w:val="both"/>
        <w:rPr>
          <w:rFonts w:ascii="Calibri" w:eastAsia="Times New Roman" w:hAnsi="Calibri" w:cs="Times New Roman"/>
          <w:noProof/>
          <w:color w:val="000000" w:themeColor="text1"/>
          <w:lang w:val="es-ES" w:eastAsia="es-EC"/>
        </w:rPr>
      </w:pPr>
    </w:p>
    <w:p w14:paraId="3374950C" w14:textId="77777777" w:rsidR="00864669" w:rsidRPr="00075E00" w:rsidRDefault="00864669" w:rsidP="0029759B">
      <w:pPr>
        <w:shd w:val="clear" w:color="auto" w:fill="FFFFFF"/>
        <w:spacing w:after="0" w:line="240" w:lineRule="auto"/>
        <w:ind w:left="360"/>
        <w:jc w:val="both"/>
        <w:rPr>
          <w:rFonts w:ascii="Calibri" w:eastAsia="Times New Roman" w:hAnsi="Calibri" w:cs="Times New Roman"/>
          <w:noProof/>
          <w:color w:val="000000" w:themeColor="text1"/>
          <w:lang w:val="es-ES" w:eastAsia="es-EC"/>
        </w:rPr>
      </w:pPr>
    </w:p>
    <w:p w14:paraId="2E613523" w14:textId="77777777" w:rsidR="00864669" w:rsidRPr="00075E00" w:rsidRDefault="00864669" w:rsidP="0029759B">
      <w:pPr>
        <w:shd w:val="clear" w:color="auto" w:fill="FFFFFF"/>
        <w:spacing w:after="0" w:line="240" w:lineRule="auto"/>
        <w:ind w:left="360"/>
        <w:jc w:val="both"/>
        <w:rPr>
          <w:rFonts w:ascii="Calibri" w:eastAsia="Times New Roman" w:hAnsi="Calibri" w:cs="Times New Roman"/>
          <w:noProof/>
          <w:color w:val="000000" w:themeColor="text1"/>
          <w:lang w:val="es-ES" w:eastAsia="es-EC"/>
        </w:rPr>
      </w:pPr>
    </w:p>
    <w:p w14:paraId="72801ECB" w14:textId="21FE286A" w:rsidR="00864669" w:rsidRPr="00075E00" w:rsidRDefault="00864669" w:rsidP="00C41F4F">
      <w:pPr>
        <w:pBdr>
          <w:top w:val="single" w:sz="4" w:space="1" w:color="auto"/>
          <w:left w:val="single" w:sz="4" w:space="4" w:color="auto"/>
        </w:pBdr>
        <w:shd w:val="clear" w:color="auto" w:fill="FFFFFF"/>
        <w:spacing w:after="0" w:line="240" w:lineRule="auto"/>
        <w:outlineLvl w:val="0"/>
        <w:rPr>
          <w:rFonts w:ascii="Calibri" w:eastAsia="Times New Roman" w:hAnsi="Calibri" w:cs="Times New Roman"/>
          <w:i/>
          <w:noProof/>
          <w:color w:val="000000" w:themeColor="text1"/>
          <w:lang w:val="es-ES" w:eastAsia="es-EC"/>
        </w:rPr>
      </w:pPr>
      <w:r w:rsidRPr="00075E00">
        <w:rPr>
          <w:rFonts w:ascii="Calibri" w:eastAsia="Times New Roman" w:hAnsi="Calibri" w:cs="Times New Roman"/>
          <w:i/>
          <w:noProof/>
          <w:color w:val="000000" w:themeColor="text1"/>
          <w:lang w:val="es-ES" w:eastAsia="es-EC"/>
        </w:rPr>
        <w:t>Planificación y Desarrollo</w:t>
      </w:r>
    </w:p>
    <w:p w14:paraId="6460A0F4" w14:textId="77777777" w:rsidR="00E97112" w:rsidRPr="00075E00" w:rsidRDefault="00E97112" w:rsidP="002841B7">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3E4086DB" w14:textId="14A793F7" w:rsidR="00864669" w:rsidRPr="00075E00" w:rsidRDefault="00864669" w:rsidP="006317B2">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 xml:space="preserve">Orientación de presupuestos hacia protección de </w:t>
      </w:r>
      <w:r w:rsidR="003E7590" w:rsidRPr="00075E00">
        <w:rPr>
          <w:rFonts w:ascii="Calibri" w:eastAsia="Times New Roman" w:hAnsi="Calibri" w:cs="Times New Roman"/>
          <w:b/>
          <w:noProof/>
          <w:color w:val="000000" w:themeColor="text1"/>
          <w:lang w:val="es-ES" w:eastAsia="es-EC"/>
        </w:rPr>
        <w:t xml:space="preserve">los derechos de </w:t>
      </w:r>
      <w:r w:rsidRPr="00075E00">
        <w:rPr>
          <w:rFonts w:ascii="Calibri" w:eastAsia="Times New Roman" w:hAnsi="Calibri" w:cs="Times New Roman"/>
          <w:b/>
          <w:noProof/>
          <w:color w:val="000000" w:themeColor="text1"/>
          <w:lang w:val="es-ES" w:eastAsia="es-EC"/>
        </w:rPr>
        <w:t>NNA</w:t>
      </w:r>
    </w:p>
    <w:p w14:paraId="4C8265FC" w14:textId="77777777" w:rsidR="00864669" w:rsidRPr="00075E00" w:rsidRDefault="00864669" w:rsidP="00864669">
      <w:pPr>
        <w:pStyle w:val="Prrafodelista"/>
        <w:shd w:val="clear" w:color="auto" w:fill="FFFFFF"/>
        <w:spacing w:after="0" w:line="240" w:lineRule="auto"/>
        <w:jc w:val="both"/>
        <w:rPr>
          <w:rFonts w:ascii="Calibri" w:eastAsia="Times New Roman" w:hAnsi="Calibri" w:cs="Times New Roman"/>
          <w:b/>
          <w:noProof/>
          <w:color w:val="000000" w:themeColor="text1"/>
          <w:lang w:val="es-ES" w:eastAsia="es-EC"/>
        </w:rPr>
      </w:pPr>
    </w:p>
    <w:p w14:paraId="418F5A00" w14:textId="77777777" w:rsidR="00864669" w:rsidRPr="00075E00" w:rsidRDefault="00864669" w:rsidP="00864669">
      <w:p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En el ámbito presupuestario, el cual se ajusta a las normativas vigentes, se garantiza el cumplimiento de derechos de todos los ecuatorianos y ecuatorianas, con especial atención a los grupos de interés prioritario dentro de los cuales se encuentran los NNA.</w:t>
      </w:r>
    </w:p>
    <w:p w14:paraId="337C8998" w14:textId="77777777" w:rsidR="00864669" w:rsidRPr="00075E00" w:rsidRDefault="00864669" w:rsidP="00864669">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4BB74CA8" w14:textId="0637A740" w:rsidR="00864669" w:rsidRPr="00075E00" w:rsidRDefault="00864669" w:rsidP="00864669">
      <w:p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 xml:space="preserve">El Ministerio de Economía y Finanzas diseña, autoriza y publica periódicamente el Catálogo Orientador de Gasto, </w:t>
      </w:r>
      <w:r w:rsidR="00B23C4A" w:rsidRPr="00075E00">
        <w:rPr>
          <w:rFonts w:ascii="Calibri" w:eastAsia="Times New Roman" w:hAnsi="Calibri" w:cs="Times New Roman"/>
          <w:noProof/>
          <w:color w:val="000000" w:themeColor="text1"/>
          <w:lang w:val="es-ES" w:eastAsia="es-EC"/>
        </w:rPr>
        <w:t>que debe ser cumplido por</w:t>
      </w:r>
      <w:r w:rsidRPr="00075E00">
        <w:rPr>
          <w:rFonts w:ascii="Calibri" w:eastAsia="Times New Roman" w:hAnsi="Calibri" w:cs="Times New Roman"/>
          <w:noProof/>
          <w:color w:val="000000" w:themeColor="text1"/>
          <w:lang w:val="es-ES" w:eastAsia="es-EC"/>
        </w:rPr>
        <w:t xml:space="preserve"> las entidades públicas y que permite determinar </w:t>
      </w:r>
      <w:r w:rsidRPr="00075E00">
        <w:rPr>
          <w:rFonts w:ascii="Calibri" w:eastAsia="Times New Roman" w:hAnsi="Calibri" w:cs="Times New Roman"/>
          <w:noProof/>
          <w:color w:val="000000" w:themeColor="text1"/>
          <w:lang w:val="es-ES" w:eastAsia="es-EC"/>
        </w:rPr>
        <w:lastRenderedPageBreak/>
        <w:t>claramente todo el presupuesto designado por las diversas entidades públicas para realizar actividades específicas de apoyo a los grupos de interés prioritario que se han identificado en el país, entre los cuales se encuentran los NNA.</w:t>
      </w:r>
    </w:p>
    <w:p w14:paraId="5204AAF6" w14:textId="77777777" w:rsidR="00864669" w:rsidRPr="00075E00" w:rsidRDefault="00864669" w:rsidP="00864669">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181F88B8" w14:textId="2017EB2A" w:rsidR="00864669" w:rsidRPr="00075E00" w:rsidRDefault="00864669" w:rsidP="00864669">
      <w:p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De forma paralela, es importante considerar las disposiciones transitorias 18 y 22 de la Constitución, donde se menciona la obligatoriedad estatal para destinar un porcentaje específico para la educación inicial básica, el bachillerato y el Sistema Nacional de Salud. En función a dichas obligaciones legales, el Presupuesto General del Estado considera ampliamente el direccionamiento de recursos para garantizar los derechos de NNA.</w:t>
      </w:r>
    </w:p>
    <w:p w14:paraId="0CCCBD29" w14:textId="77777777" w:rsidR="00864669" w:rsidRPr="00075E00" w:rsidRDefault="00864669" w:rsidP="00864669">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630EF32E" w14:textId="77777777" w:rsidR="00941B78" w:rsidRPr="00075E00" w:rsidRDefault="00941B78" w:rsidP="00941B78">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 xml:space="preserve">Capacidades y recursos del Consejo Nacional para la Igualdad Intergeneracional (CNII) </w:t>
      </w:r>
    </w:p>
    <w:p w14:paraId="4F942398" w14:textId="77777777" w:rsidR="00941B78" w:rsidRPr="00075E00" w:rsidRDefault="00941B78" w:rsidP="00941B78">
      <w:pPr>
        <w:pStyle w:val="Prrafodelista"/>
        <w:shd w:val="clear" w:color="auto" w:fill="FFFFFF"/>
        <w:spacing w:after="0" w:line="240" w:lineRule="auto"/>
        <w:jc w:val="both"/>
        <w:rPr>
          <w:rFonts w:ascii="Calibri" w:eastAsia="Times New Roman" w:hAnsi="Calibri" w:cs="Times New Roman"/>
          <w:b/>
          <w:noProof/>
          <w:color w:val="000000" w:themeColor="text1"/>
          <w:lang w:val="es-ES" w:eastAsia="es-EC"/>
        </w:rPr>
      </w:pPr>
    </w:p>
    <w:p w14:paraId="0126700A" w14:textId="573CC6F3" w:rsidR="00941B78" w:rsidRPr="00075E00" w:rsidRDefault="00941B78" w:rsidP="00941B78">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El CNII cuenta con un total de 83 funcionarios</w:t>
      </w:r>
      <w:r w:rsidR="003E7590" w:rsidRPr="00075E00">
        <w:rPr>
          <w:rFonts w:ascii="Calibri" w:hAnsi="Calibri"/>
          <w:noProof/>
          <w:color w:val="000000" w:themeColor="text1"/>
          <w:lang w:val="es-ES"/>
        </w:rPr>
        <w:t>/as</w:t>
      </w:r>
      <w:r w:rsidRPr="00075E00">
        <w:rPr>
          <w:rFonts w:ascii="Calibri" w:hAnsi="Calibri"/>
          <w:noProof/>
          <w:color w:val="000000" w:themeColor="text1"/>
          <w:lang w:val="es-ES"/>
        </w:rPr>
        <w:t>, con una cobertura en 22 provincias del país. La gestión de los equipos técnicos en territorio consiste principalmente en sensibilizar, capacitar y asesorar a las instancias políticas y técnicas de los Gobiernos</w:t>
      </w:r>
      <w:r w:rsidR="003E7590" w:rsidRPr="00075E00">
        <w:rPr>
          <w:rFonts w:ascii="Calibri" w:hAnsi="Calibri"/>
          <w:noProof/>
          <w:color w:val="000000" w:themeColor="text1"/>
          <w:lang w:val="es-ES"/>
        </w:rPr>
        <w:t xml:space="preserve"> Autónomos Descentralizados</w:t>
      </w:r>
      <w:r w:rsidRPr="00075E00">
        <w:rPr>
          <w:rFonts w:ascii="Calibri" w:hAnsi="Calibri"/>
          <w:noProof/>
          <w:color w:val="000000" w:themeColor="text1"/>
          <w:lang w:val="es-ES"/>
        </w:rPr>
        <w:t xml:space="preserve">. El presupuesto devengado por el CNII </w:t>
      </w:r>
      <w:r w:rsidR="00DF4C53" w:rsidRPr="00075E00">
        <w:rPr>
          <w:rFonts w:ascii="Calibri" w:hAnsi="Calibri"/>
          <w:noProof/>
          <w:color w:val="000000" w:themeColor="text1"/>
          <w:lang w:val="es-ES"/>
        </w:rPr>
        <w:t>en 2016 correspondió a USD 2.033.106,47.</w:t>
      </w:r>
    </w:p>
    <w:p w14:paraId="30A6209E" w14:textId="77777777" w:rsidR="00864669" w:rsidRPr="00075E00" w:rsidRDefault="00864669" w:rsidP="00864669">
      <w:pPr>
        <w:shd w:val="clear" w:color="auto" w:fill="FFFFFF"/>
        <w:spacing w:after="0" w:line="240" w:lineRule="auto"/>
        <w:rPr>
          <w:rFonts w:ascii="Calibri" w:eastAsia="Times New Roman" w:hAnsi="Calibri" w:cs="Times New Roman"/>
          <w:i/>
          <w:noProof/>
          <w:color w:val="000000" w:themeColor="text1"/>
          <w:lang w:val="es-ES" w:eastAsia="es-EC"/>
        </w:rPr>
      </w:pPr>
    </w:p>
    <w:p w14:paraId="313830DB" w14:textId="341B283E" w:rsidR="00864669" w:rsidRPr="00075E00" w:rsidRDefault="00864669" w:rsidP="00C41F4F">
      <w:pPr>
        <w:pBdr>
          <w:top w:val="single" w:sz="4" w:space="1" w:color="auto"/>
          <w:left w:val="single" w:sz="4" w:space="4" w:color="auto"/>
        </w:pBdr>
        <w:shd w:val="clear" w:color="auto" w:fill="FFFFFF"/>
        <w:spacing w:after="0" w:line="240" w:lineRule="auto"/>
        <w:outlineLvl w:val="0"/>
        <w:rPr>
          <w:rFonts w:ascii="Calibri" w:eastAsia="Times New Roman" w:hAnsi="Calibri" w:cs="Times New Roman"/>
          <w:i/>
          <w:noProof/>
          <w:color w:val="000000" w:themeColor="text1"/>
          <w:lang w:val="es-ES" w:eastAsia="es-EC"/>
        </w:rPr>
      </w:pPr>
      <w:r w:rsidRPr="00075E00">
        <w:rPr>
          <w:rFonts w:ascii="Calibri" w:eastAsia="Times New Roman" w:hAnsi="Calibri" w:cs="Times New Roman"/>
          <w:i/>
          <w:noProof/>
          <w:color w:val="000000" w:themeColor="text1"/>
          <w:lang w:val="es-ES" w:eastAsia="es-EC"/>
        </w:rPr>
        <w:t>Educación</w:t>
      </w:r>
    </w:p>
    <w:p w14:paraId="7A056546" w14:textId="77777777" w:rsidR="002E474F" w:rsidRPr="00075E00" w:rsidRDefault="002E474F" w:rsidP="002E474F">
      <w:pPr>
        <w:spacing w:after="0" w:line="240" w:lineRule="auto"/>
        <w:jc w:val="both"/>
        <w:rPr>
          <w:rFonts w:ascii="Calibri" w:eastAsia="Times New Roman" w:hAnsi="Calibri" w:cs="Times New Roman"/>
          <w:noProof/>
          <w:color w:val="000000" w:themeColor="text1"/>
          <w:lang w:val="es-ES" w:eastAsia="es-EC"/>
        </w:rPr>
      </w:pPr>
    </w:p>
    <w:p w14:paraId="3C0B2A10" w14:textId="77777777" w:rsidR="002E474F" w:rsidRPr="00075E00" w:rsidRDefault="002E474F" w:rsidP="006317B2">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Protocolos de actuación frente a situaciones de violencia detectados o cometidos en establecimientos del sistema educativo nacional</w:t>
      </w:r>
    </w:p>
    <w:p w14:paraId="13597691" w14:textId="77777777" w:rsidR="002E474F" w:rsidRPr="00075E00" w:rsidRDefault="002E474F" w:rsidP="002E474F">
      <w:pPr>
        <w:pStyle w:val="Prrafodelista"/>
        <w:spacing w:after="0" w:line="240" w:lineRule="auto"/>
        <w:jc w:val="both"/>
        <w:rPr>
          <w:rFonts w:ascii="Calibri" w:hAnsi="Calibri"/>
          <w:b/>
          <w:noProof/>
          <w:color w:val="000000" w:themeColor="text1"/>
          <w:lang w:val="es-ES"/>
        </w:rPr>
      </w:pPr>
    </w:p>
    <w:p w14:paraId="422CC648" w14:textId="77777777" w:rsidR="00C939A3" w:rsidRPr="00075E00" w:rsidRDefault="00C939A3" w:rsidP="00C939A3">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En el 2017, el Ministerio de Educación (MinEduc) actualizó y emitió una publicación (Enlace digital: http://bit.ly/2xxp8Ye) con los protocolos de actuación ante situaciones de violencia, detectada con cometida en el sistema educativo nacional, documento que posee lineamientos y directrices de intervención, con el fin de garantizar la prevención, atención oportuna, protección, investigación y restitución inmediata de los derechos vulnerados, evitando de esta forma la revictimización de NNA y la aplicación del respectivo proceso de sanción a las presuntas personas agresoras.</w:t>
      </w:r>
    </w:p>
    <w:p w14:paraId="4ABF8BED" w14:textId="77777777" w:rsidR="00C939A3" w:rsidRPr="00075E00" w:rsidRDefault="00C939A3" w:rsidP="00C939A3">
      <w:pPr>
        <w:spacing w:after="0" w:line="240" w:lineRule="auto"/>
        <w:jc w:val="both"/>
        <w:rPr>
          <w:rFonts w:ascii="Calibri" w:hAnsi="Calibri"/>
          <w:noProof/>
          <w:color w:val="000000" w:themeColor="text1"/>
          <w:lang w:val="es-ES"/>
        </w:rPr>
      </w:pPr>
    </w:p>
    <w:p w14:paraId="3167DFC9" w14:textId="77777777" w:rsidR="00C939A3" w:rsidRPr="00075E00" w:rsidRDefault="00C939A3" w:rsidP="00C939A3">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Dicho protocolo fue socializado a escala nacional con el objeto de sensibilizar a las autoridades educativas, profesionales que conforman los Departamento de Consejería Estudiantil, madres, padres de familia y/o representantes legales, sobre cómo actuar ante estas situaciones que afectan el desarrollo de niños, niñas y adolescentes. En este sentido, se busca fortalecer procesos efectivos de coordinación interinstitucional, que faciliten la investigación y sanción de delitos vinculados a violencia en contra de NNA. Además, se procura proporcionar herramientas de resolución de conflictos que permitan prevenir, detectar y resolver situaciones de violencia entre pares (acoso escolar), con el fin de mejorar la convivencia escolar.</w:t>
      </w:r>
    </w:p>
    <w:p w14:paraId="7900EFF1" w14:textId="77777777" w:rsidR="00C939A3" w:rsidRPr="00075E00" w:rsidRDefault="00C939A3" w:rsidP="00C939A3">
      <w:pPr>
        <w:spacing w:after="0" w:line="240" w:lineRule="auto"/>
        <w:jc w:val="both"/>
        <w:rPr>
          <w:rFonts w:ascii="Calibri" w:hAnsi="Calibri"/>
          <w:noProof/>
          <w:color w:val="000000" w:themeColor="text1"/>
          <w:lang w:val="es-ES"/>
        </w:rPr>
      </w:pPr>
    </w:p>
    <w:p w14:paraId="3401ED28" w14:textId="77777777" w:rsidR="00C939A3" w:rsidRPr="00075E00" w:rsidRDefault="00C939A3" w:rsidP="00C939A3">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El protocolo citado brinda a la comunidad educativa una herramienta teórico-técnica que permita una atención adecuada e inmediata de forma articulada, protocolos que sustentan su abordaje en los enfoques de derechos, género, bienestar, intercultural, intergeneracional, inclusivo, pedagógico y restaurativo.</w:t>
      </w:r>
    </w:p>
    <w:p w14:paraId="48F3F411" w14:textId="77777777" w:rsidR="00C939A3" w:rsidRPr="00075E00" w:rsidRDefault="00C939A3" w:rsidP="00C939A3">
      <w:pPr>
        <w:spacing w:after="0" w:line="240" w:lineRule="auto"/>
        <w:jc w:val="both"/>
        <w:rPr>
          <w:rFonts w:ascii="Calibri" w:hAnsi="Calibri"/>
          <w:noProof/>
          <w:color w:val="000000" w:themeColor="text1"/>
          <w:lang w:val="es-ES"/>
        </w:rPr>
      </w:pPr>
    </w:p>
    <w:p w14:paraId="51E71687" w14:textId="77777777" w:rsidR="00C939A3" w:rsidRPr="00075E00" w:rsidRDefault="00C939A3" w:rsidP="00C939A3">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Además, se enfatiza la importancia de la prevención integral de la violencia y promoción de una cultura de paz en el ámbito educativo. Los protocolos diseñados son: </w:t>
      </w:r>
    </w:p>
    <w:p w14:paraId="29581787" w14:textId="77777777" w:rsidR="00C939A3" w:rsidRPr="00075E00" w:rsidRDefault="00C939A3" w:rsidP="00C939A3">
      <w:pPr>
        <w:spacing w:after="0" w:line="240" w:lineRule="auto"/>
        <w:jc w:val="both"/>
        <w:rPr>
          <w:rFonts w:ascii="Calibri" w:hAnsi="Calibri"/>
          <w:noProof/>
          <w:color w:val="000000" w:themeColor="text1"/>
          <w:lang w:val="es-ES"/>
        </w:rPr>
      </w:pPr>
    </w:p>
    <w:p w14:paraId="338B71C2" w14:textId="77777777" w:rsidR="00C939A3" w:rsidRPr="00075E00" w:rsidRDefault="00C939A3" w:rsidP="00C939A3">
      <w:pPr>
        <w:numPr>
          <w:ilvl w:val="0"/>
          <w:numId w:val="2"/>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Protocolo de actuación ante casos de violencia sexual detectada o cometida en el ámbito educativo.</w:t>
      </w:r>
    </w:p>
    <w:p w14:paraId="0797DF8B" w14:textId="77777777" w:rsidR="00C939A3" w:rsidRPr="00075E00" w:rsidRDefault="00C939A3" w:rsidP="00C939A3">
      <w:pPr>
        <w:numPr>
          <w:ilvl w:val="0"/>
          <w:numId w:val="2"/>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Protocolo de actuación ante casos de violencia intrafamiliar o maltrato institucional detectada o cometida en el ámbito educativo.</w:t>
      </w:r>
    </w:p>
    <w:p w14:paraId="68679695" w14:textId="77777777" w:rsidR="00C939A3" w:rsidRPr="00075E00" w:rsidRDefault="00C939A3" w:rsidP="00C939A3">
      <w:pPr>
        <w:numPr>
          <w:ilvl w:val="0"/>
          <w:numId w:val="2"/>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Protocolo de actuación ante acoso escolar y/o violencia entre pares detectada o cometida en el ámbito educativo.</w:t>
      </w:r>
    </w:p>
    <w:p w14:paraId="6908D015" w14:textId="77777777" w:rsidR="00C939A3" w:rsidRPr="00075E00" w:rsidRDefault="00C939A3" w:rsidP="00C939A3">
      <w:pPr>
        <w:numPr>
          <w:ilvl w:val="0"/>
          <w:numId w:val="2"/>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Protocolo de actuación ante casos de violencia de estudiantes o madres, padres de familia y/o representantes legales detectada o cometida hacia personal de la institución educativa. </w:t>
      </w:r>
    </w:p>
    <w:p w14:paraId="53ABA231" w14:textId="77777777" w:rsidR="002E474F" w:rsidRPr="00075E00" w:rsidRDefault="002E474F" w:rsidP="002E474F">
      <w:pPr>
        <w:spacing w:after="0" w:line="240" w:lineRule="auto"/>
        <w:jc w:val="both"/>
        <w:rPr>
          <w:rFonts w:ascii="Calibri" w:hAnsi="Calibri"/>
          <w:noProof/>
          <w:color w:val="000000" w:themeColor="text1"/>
          <w:lang w:val="es-ES"/>
        </w:rPr>
      </w:pPr>
    </w:p>
    <w:p w14:paraId="7A7A0E1C" w14:textId="77777777" w:rsidR="002E474F" w:rsidRPr="00075E00" w:rsidRDefault="002E474F" w:rsidP="006317B2">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Reordenamiento de la oferta educativa</w:t>
      </w:r>
    </w:p>
    <w:p w14:paraId="377C3FFC" w14:textId="77777777" w:rsidR="002E474F" w:rsidRPr="00075E00" w:rsidRDefault="002E474F" w:rsidP="002E474F">
      <w:pPr>
        <w:pStyle w:val="Prrafodelista"/>
        <w:shd w:val="clear" w:color="auto" w:fill="FFFFFF"/>
        <w:spacing w:after="0" w:line="240" w:lineRule="auto"/>
        <w:jc w:val="both"/>
        <w:rPr>
          <w:rFonts w:ascii="Calibri" w:eastAsia="Times New Roman" w:hAnsi="Calibri" w:cs="Times New Roman"/>
          <w:b/>
          <w:noProof/>
          <w:color w:val="000000" w:themeColor="text1"/>
          <w:highlight w:val="yellow"/>
          <w:lang w:val="es-ES" w:eastAsia="es-EC"/>
        </w:rPr>
      </w:pPr>
    </w:p>
    <w:p w14:paraId="34AF6B1B" w14:textId="0D1D7CB8" w:rsidR="002E474F" w:rsidRPr="00075E00" w:rsidRDefault="002E474F" w:rsidP="002E474F">
      <w:pPr>
        <w:spacing w:after="0" w:line="240" w:lineRule="auto"/>
        <w:jc w:val="both"/>
        <w:rPr>
          <w:rFonts w:ascii="Calibri" w:eastAsia="Times New Roman" w:hAnsi="Calibri" w:cstheme="minorHAnsi"/>
          <w:noProof/>
          <w:color w:val="000000" w:themeColor="text1"/>
          <w:shd w:val="clear" w:color="auto" w:fill="FFFFFF"/>
          <w:lang w:val="es-ES" w:eastAsia="es-EC"/>
        </w:rPr>
      </w:pPr>
      <w:r w:rsidRPr="00075E00">
        <w:rPr>
          <w:rFonts w:ascii="Calibri" w:eastAsia="Times New Roman" w:hAnsi="Calibri" w:cs="Times New Roman"/>
          <w:noProof/>
          <w:color w:val="000000" w:themeColor="text1"/>
          <w:lang w:val="es-ES" w:eastAsia="es-EC"/>
        </w:rPr>
        <w:t xml:space="preserve">En función de un procedimiento ordenado y planificado de reordenamiento de </w:t>
      </w:r>
      <w:r w:rsidR="00DF2479" w:rsidRPr="00075E00">
        <w:rPr>
          <w:rFonts w:ascii="Calibri" w:eastAsia="Times New Roman" w:hAnsi="Calibri" w:cs="Times New Roman"/>
          <w:noProof/>
          <w:color w:val="000000" w:themeColor="text1"/>
          <w:lang w:val="es-ES" w:eastAsia="es-EC"/>
        </w:rPr>
        <w:t xml:space="preserve">la oferta educativa </w:t>
      </w:r>
      <w:r w:rsidR="00C41F4F" w:rsidRPr="00075E00">
        <w:rPr>
          <w:rFonts w:ascii="Calibri" w:eastAsia="Times New Roman" w:hAnsi="Calibri" w:cs="Times New Roman"/>
          <w:noProof/>
          <w:color w:val="000000" w:themeColor="text1"/>
          <w:lang w:val="es-ES" w:eastAsia="es-EC"/>
        </w:rPr>
        <w:t>que responde a</w:t>
      </w:r>
      <w:r w:rsidRPr="00075E00">
        <w:rPr>
          <w:rFonts w:ascii="Calibri" w:eastAsia="Times New Roman" w:hAnsi="Calibri" w:cs="Times New Roman"/>
          <w:noProof/>
          <w:color w:val="000000" w:themeColor="text1"/>
          <w:lang w:val="es-ES" w:eastAsia="es-EC"/>
        </w:rPr>
        <w:t xml:space="preserve"> las necesidades identificadas en el país, en e</w:t>
      </w:r>
      <w:r w:rsidRPr="00075E00">
        <w:rPr>
          <w:rFonts w:ascii="Calibri" w:eastAsia="Times New Roman" w:hAnsi="Calibri" w:cstheme="minorHAnsi"/>
          <w:noProof/>
          <w:color w:val="000000" w:themeColor="text1"/>
          <w:shd w:val="clear" w:color="auto" w:fill="FFFFFF"/>
          <w:lang w:val="es-ES" w:eastAsia="es-EC"/>
        </w:rPr>
        <w:t>l 2011 existían 18.556 instituciones educativas</w:t>
      </w:r>
      <w:r w:rsidR="00DF2479" w:rsidRPr="00075E00">
        <w:rPr>
          <w:rFonts w:ascii="Calibri" w:eastAsia="Times New Roman" w:hAnsi="Calibri" w:cstheme="minorHAnsi"/>
          <w:noProof/>
          <w:color w:val="000000" w:themeColor="text1"/>
          <w:shd w:val="clear" w:color="auto" w:fill="FFFFFF"/>
          <w:lang w:val="es-ES" w:eastAsia="es-EC"/>
        </w:rPr>
        <w:t xml:space="preserve"> (IE)</w:t>
      </w:r>
      <w:r w:rsidRPr="00075E00">
        <w:rPr>
          <w:rFonts w:ascii="Calibri" w:eastAsia="Times New Roman" w:hAnsi="Calibri" w:cstheme="minorHAnsi"/>
          <w:noProof/>
          <w:color w:val="000000" w:themeColor="text1"/>
          <w:shd w:val="clear" w:color="auto" w:fill="FFFFFF"/>
          <w:lang w:val="es-ES" w:eastAsia="es-EC"/>
        </w:rPr>
        <w:t xml:space="preserve"> y en base a un estudio pormenorizado se optimizó este número para llegar a 12.629 IE. Sin embargo, esta reducción del número no impl</w:t>
      </w:r>
      <w:r w:rsidR="00C41F4F" w:rsidRPr="00075E00">
        <w:rPr>
          <w:rFonts w:ascii="Calibri" w:eastAsia="Times New Roman" w:hAnsi="Calibri" w:cstheme="minorHAnsi"/>
          <w:noProof/>
          <w:color w:val="000000" w:themeColor="text1"/>
          <w:shd w:val="clear" w:color="auto" w:fill="FFFFFF"/>
          <w:lang w:val="es-ES" w:eastAsia="es-EC"/>
        </w:rPr>
        <w:t>icó una disminución del acceso al sistema educativo</w:t>
      </w:r>
      <w:r w:rsidRPr="00075E00">
        <w:rPr>
          <w:rFonts w:ascii="Calibri" w:eastAsia="Times New Roman" w:hAnsi="Calibri" w:cstheme="minorHAnsi"/>
          <w:noProof/>
          <w:color w:val="000000" w:themeColor="text1"/>
          <w:shd w:val="clear" w:color="auto" w:fill="FFFFFF"/>
          <w:lang w:val="es-ES" w:eastAsia="es-EC"/>
        </w:rPr>
        <w:t xml:space="preserve">. </w:t>
      </w:r>
    </w:p>
    <w:p w14:paraId="48ACCC5D" w14:textId="77777777" w:rsidR="002E474F" w:rsidRPr="00075E00" w:rsidRDefault="002E474F" w:rsidP="002E474F">
      <w:pPr>
        <w:spacing w:after="0" w:line="240" w:lineRule="auto"/>
        <w:jc w:val="both"/>
        <w:rPr>
          <w:rFonts w:ascii="Calibri" w:eastAsia="Times New Roman" w:hAnsi="Calibri" w:cstheme="minorHAnsi"/>
          <w:noProof/>
          <w:color w:val="000000" w:themeColor="text1"/>
          <w:shd w:val="clear" w:color="auto" w:fill="FFFFFF"/>
          <w:lang w:val="es-ES" w:eastAsia="es-EC"/>
        </w:rPr>
      </w:pPr>
    </w:p>
    <w:p w14:paraId="495106BF" w14:textId="44931C1A" w:rsidR="00F028E0" w:rsidRPr="00075E00" w:rsidRDefault="002E474F" w:rsidP="002E474F">
      <w:pPr>
        <w:spacing w:after="0" w:line="240" w:lineRule="auto"/>
        <w:jc w:val="both"/>
        <w:rPr>
          <w:rFonts w:ascii="Calibri" w:eastAsia="Times New Roman" w:hAnsi="Calibri" w:cstheme="minorHAnsi"/>
          <w:noProof/>
          <w:color w:val="000000" w:themeColor="text1"/>
          <w:shd w:val="clear" w:color="auto" w:fill="FFFFFF"/>
          <w:lang w:val="es-ES" w:eastAsia="es-EC"/>
        </w:rPr>
      </w:pPr>
      <w:r w:rsidRPr="00075E00">
        <w:rPr>
          <w:rFonts w:ascii="Calibri" w:eastAsia="Times New Roman" w:hAnsi="Calibri" w:cstheme="minorHAnsi"/>
          <w:noProof/>
          <w:color w:val="000000" w:themeColor="text1"/>
          <w:shd w:val="clear" w:color="auto" w:fill="FFFFFF"/>
          <w:lang w:val="es-ES" w:eastAsia="es-EC"/>
        </w:rPr>
        <w:t>Al contrario, este proceso permitió que 1022 IE realicen fusiones administrativas, 1750 IE se cambiaron a otras instituciones con mejor infraestructura respetando el contexto</w:t>
      </w:r>
      <w:r w:rsidR="00C41F4F" w:rsidRPr="00075E00">
        <w:rPr>
          <w:rFonts w:ascii="Calibri" w:eastAsia="Times New Roman" w:hAnsi="Calibri" w:cstheme="minorHAnsi"/>
          <w:noProof/>
          <w:color w:val="000000" w:themeColor="text1"/>
          <w:shd w:val="clear" w:color="auto" w:fill="FFFFFF"/>
          <w:lang w:val="es-ES" w:eastAsia="es-EC"/>
        </w:rPr>
        <w:t xml:space="preserve"> </w:t>
      </w:r>
      <w:r w:rsidRPr="00075E00">
        <w:rPr>
          <w:rFonts w:ascii="Calibri" w:eastAsia="Times New Roman" w:hAnsi="Calibri" w:cstheme="minorHAnsi"/>
          <w:noProof/>
          <w:color w:val="000000" w:themeColor="text1"/>
          <w:shd w:val="clear" w:color="auto" w:fill="FFFFFF"/>
          <w:lang w:val="es-ES" w:eastAsia="es-EC"/>
        </w:rPr>
        <w:t>de ubicación geográfica y 3155 IE</w:t>
      </w:r>
      <w:r w:rsidR="00C41F4F" w:rsidRPr="00075E00">
        <w:rPr>
          <w:rFonts w:ascii="Calibri" w:eastAsia="Times New Roman" w:hAnsi="Calibri" w:cstheme="minorHAnsi"/>
          <w:noProof/>
          <w:color w:val="000000" w:themeColor="text1"/>
          <w:shd w:val="clear" w:color="auto" w:fill="FFFFFF"/>
          <w:lang w:val="es-ES" w:eastAsia="es-EC"/>
        </w:rPr>
        <w:t xml:space="preserve"> fueron cerradas por no poseer</w:t>
      </w:r>
      <w:r w:rsidRPr="00075E00">
        <w:rPr>
          <w:rFonts w:ascii="Calibri" w:eastAsia="Times New Roman" w:hAnsi="Calibri" w:cstheme="minorHAnsi"/>
          <w:noProof/>
          <w:color w:val="000000" w:themeColor="text1"/>
          <w:shd w:val="clear" w:color="auto" w:fill="FFFFFF"/>
          <w:lang w:val="es-ES" w:eastAsia="es-EC"/>
        </w:rPr>
        <w:t xml:space="preserve"> la infraestructura,</w:t>
      </w:r>
      <w:r w:rsidR="00C41F4F" w:rsidRPr="00075E00">
        <w:rPr>
          <w:rFonts w:ascii="Calibri" w:eastAsia="Times New Roman" w:hAnsi="Calibri" w:cstheme="minorHAnsi"/>
          <w:noProof/>
          <w:color w:val="000000" w:themeColor="text1"/>
          <w:shd w:val="clear" w:color="auto" w:fill="FFFFFF"/>
          <w:lang w:val="es-ES" w:eastAsia="es-EC"/>
        </w:rPr>
        <w:t xml:space="preserve"> el número apropiado de docentes</w:t>
      </w:r>
      <w:r w:rsidRPr="00075E00">
        <w:rPr>
          <w:rFonts w:ascii="Calibri" w:eastAsia="Times New Roman" w:hAnsi="Calibri" w:cstheme="minorHAnsi"/>
          <w:noProof/>
          <w:color w:val="000000" w:themeColor="text1"/>
          <w:shd w:val="clear" w:color="auto" w:fill="FFFFFF"/>
          <w:lang w:val="es-ES" w:eastAsia="es-EC"/>
        </w:rPr>
        <w:t xml:space="preserve"> y condiciones para la enseñanza o encontrarse en zona de riesgo, para lo cual se realizó un proceso coordinado de organización de los estudiantes que acuden a estas instalaciones.</w:t>
      </w:r>
    </w:p>
    <w:p w14:paraId="4C3D89D2" w14:textId="77777777" w:rsidR="00F028E0" w:rsidRPr="00075E00" w:rsidRDefault="00F028E0" w:rsidP="002E474F">
      <w:pPr>
        <w:spacing w:after="0" w:line="240" w:lineRule="auto"/>
        <w:jc w:val="both"/>
        <w:rPr>
          <w:rFonts w:ascii="Calibri" w:eastAsia="Times New Roman" w:hAnsi="Calibri" w:cstheme="minorHAnsi"/>
          <w:noProof/>
          <w:color w:val="000000" w:themeColor="text1"/>
          <w:shd w:val="clear" w:color="auto" w:fill="FFFFFF"/>
          <w:lang w:val="es-ES" w:eastAsia="es-EC"/>
        </w:rPr>
      </w:pPr>
    </w:p>
    <w:p w14:paraId="6D17FC78" w14:textId="5948575A" w:rsidR="00F028E0" w:rsidRPr="00075E00" w:rsidRDefault="00F028E0" w:rsidP="00C41F4F">
      <w:pPr>
        <w:pBdr>
          <w:top w:val="single" w:sz="4" w:space="1" w:color="auto"/>
          <w:left w:val="single" w:sz="4" w:space="4" w:color="auto"/>
        </w:pBdr>
        <w:shd w:val="clear" w:color="auto" w:fill="FFFFFF"/>
        <w:spacing w:after="0" w:line="240" w:lineRule="auto"/>
        <w:outlineLvl w:val="0"/>
        <w:rPr>
          <w:rFonts w:ascii="Calibri" w:eastAsia="Times New Roman" w:hAnsi="Calibri" w:cs="Times New Roman"/>
          <w:i/>
          <w:noProof/>
          <w:color w:val="000000" w:themeColor="text1"/>
          <w:lang w:val="es-ES" w:eastAsia="es-EC"/>
        </w:rPr>
      </w:pPr>
      <w:r w:rsidRPr="00075E00">
        <w:rPr>
          <w:rFonts w:ascii="Calibri" w:eastAsia="Times New Roman" w:hAnsi="Calibri" w:cs="Times New Roman"/>
          <w:i/>
          <w:noProof/>
          <w:color w:val="000000" w:themeColor="text1"/>
          <w:lang w:val="es-ES" w:eastAsia="es-EC"/>
        </w:rPr>
        <w:t>Salud</w:t>
      </w:r>
    </w:p>
    <w:p w14:paraId="7EBD7B81" w14:textId="77777777" w:rsidR="00F028E0" w:rsidRPr="00075E00" w:rsidRDefault="00F028E0" w:rsidP="002E474F">
      <w:pPr>
        <w:spacing w:after="0" w:line="240" w:lineRule="auto"/>
        <w:jc w:val="both"/>
        <w:rPr>
          <w:rFonts w:ascii="Calibri" w:eastAsia="Times New Roman" w:hAnsi="Calibri" w:cstheme="minorHAnsi"/>
          <w:noProof/>
          <w:color w:val="000000" w:themeColor="text1"/>
          <w:shd w:val="clear" w:color="auto" w:fill="FFFFFF"/>
          <w:lang w:val="es-ES" w:eastAsia="es-EC"/>
        </w:rPr>
      </w:pPr>
    </w:p>
    <w:p w14:paraId="6D94CCC0" w14:textId="77777777" w:rsidR="00F028E0" w:rsidRPr="00075E00" w:rsidRDefault="00F028E0" w:rsidP="006317B2">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Políticas públicas contra la desnutrición infantil</w:t>
      </w:r>
    </w:p>
    <w:p w14:paraId="007FDAD7" w14:textId="77777777" w:rsidR="00F028E0" w:rsidRPr="00075E00" w:rsidRDefault="00F028E0" w:rsidP="00F028E0">
      <w:pPr>
        <w:pStyle w:val="Prrafodelista"/>
        <w:shd w:val="clear" w:color="auto" w:fill="FFFFFF"/>
        <w:spacing w:after="0" w:line="240" w:lineRule="auto"/>
        <w:jc w:val="both"/>
        <w:rPr>
          <w:rFonts w:ascii="Calibri" w:eastAsia="Times New Roman" w:hAnsi="Calibri" w:cs="Times New Roman"/>
          <w:b/>
          <w:noProof/>
          <w:color w:val="000000" w:themeColor="text1"/>
          <w:lang w:val="es-ES" w:eastAsia="es-EC"/>
        </w:rPr>
      </w:pPr>
    </w:p>
    <w:p w14:paraId="2B832BF1" w14:textId="4AE732BF" w:rsidR="004605FB" w:rsidRPr="00075E00" w:rsidRDefault="004605FB" w:rsidP="004605FB">
      <w:p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El Ministerio de Salud Pública, en cumplimiento de lo establecido en la Constitución del 2008 y el Plan Nacional para el Buen Vivir 2013 - 2017, debe garantizar el derecho a la salud de toda la población bajo los enfoques de género, interculturalidad y generacional. En ese contexto, se creó el Modelo de Atención Integral de Salud Familiar, Comunitaria e Intercultural (MAIS), el cual organiza el Sistema Nacional de Salud para responder a las necesidades de salud de las personas, las familias y la comunidad, permitiendo la integralidad en la red de salud. La atención en salud se entrega considerando las especificidades y necesidades de cada grupo etario y con enfoque de género garantizando una atención integral durante todo el ciclo de vida.</w:t>
      </w:r>
    </w:p>
    <w:p w14:paraId="3382E087" w14:textId="77777777" w:rsidR="004605FB" w:rsidRPr="00075E00" w:rsidRDefault="004605FB" w:rsidP="00402B6E">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41D6049C" w14:textId="04241720" w:rsidR="00402B6E" w:rsidRPr="00075E00" w:rsidRDefault="00402B6E" w:rsidP="00402B6E">
      <w:p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 xml:space="preserve">El </w:t>
      </w:r>
      <w:r w:rsidR="00075E00" w:rsidRPr="00075E00">
        <w:rPr>
          <w:rFonts w:ascii="Calibri" w:eastAsia="Times New Roman" w:hAnsi="Calibri" w:cs="Times New Roman"/>
          <w:noProof/>
          <w:color w:val="000000" w:themeColor="text1"/>
          <w:lang w:val="es-ES" w:eastAsia="es-EC"/>
        </w:rPr>
        <w:t>MSP</w:t>
      </w:r>
      <w:r w:rsidRPr="00075E00">
        <w:rPr>
          <w:rFonts w:ascii="Calibri" w:eastAsia="Times New Roman" w:hAnsi="Calibri" w:cs="Times New Roman"/>
          <w:noProof/>
          <w:color w:val="000000" w:themeColor="text1"/>
          <w:lang w:val="es-ES" w:eastAsia="es-EC"/>
        </w:rPr>
        <w:t xml:space="preserve"> aplica estrategias, normas y protocolos para la atención materna infantil, s</w:t>
      </w:r>
      <w:r w:rsidR="00075E00" w:rsidRPr="00075E00">
        <w:rPr>
          <w:rFonts w:ascii="Calibri" w:eastAsia="Times New Roman" w:hAnsi="Calibri" w:cs="Times New Roman"/>
          <w:noProof/>
          <w:color w:val="000000" w:themeColor="text1"/>
          <w:lang w:val="es-ES" w:eastAsia="es-EC"/>
        </w:rPr>
        <w:t>iendo de particular importancia</w:t>
      </w:r>
      <w:r w:rsidRPr="00075E00">
        <w:rPr>
          <w:rFonts w:ascii="Calibri" w:eastAsia="Times New Roman" w:hAnsi="Calibri" w:cs="Times New Roman"/>
          <w:noProof/>
          <w:color w:val="000000" w:themeColor="text1"/>
          <w:lang w:val="es-ES" w:eastAsia="es-EC"/>
        </w:rPr>
        <w:t xml:space="preserve"> luego del terremoto de 2016 en Ecuador, el desarrollo de un protocolo de emergencia para el manejo de la desnutrición aguda, así como la actualización de las normas de atención a niños/as de 0 a 9 años. Una de las estrategias es el Plan de Reducción Acelerada de la Desnutrición Crónica con énfasis en "los 1000 primeros días", mediante los cuales se garantiza la captación temprana de las mujeres embarazadas, al menos 5 controles pre natales, control de desarrollo del niño, inmunizaciones, la entrega de micronutrientes tanto a mujeres embarazadas como a los niños menores de 5 años, así como la educación en salud que abarca temas de educación prenatal, </w:t>
      </w:r>
      <w:r w:rsidRPr="00075E00">
        <w:rPr>
          <w:rFonts w:ascii="Calibri" w:eastAsia="Times New Roman" w:hAnsi="Calibri" w:cs="Times New Roman"/>
          <w:noProof/>
          <w:color w:val="000000" w:themeColor="text1"/>
          <w:lang w:val="es-ES" w:eastAsia="es-EC"/>
        </w:rPr>
        <w:lastRenderedPageBreak/>
        <w:t>alimentación durante el embarazo, lactancia materna, alimentación complementaria, promoción del consumo de un huevo diario para prevenir la desnutrición a partir de los 7 meses, higiene, lavado de manos y desarrollo del niño/a hasta los 5 años.</w:t>
      </w:r>
    </w:p>
    <w:p w14:paraId="5B47CEAE" w14:textId="77777777" w:rsidR="00402B6E" w:rsidRPr="00075E00" w:rsidRDefault="00402B6E" w:rsidP="00F028E0">
      <w:pPr>
        <w:spacing w:after="0" w:line="240" w:lineRule="auto"/>
        <w:jc w:val="both"/>
        <w:rPr>
          <w:rFonts w:ascii="Calibri" w:eastAsia="Times New Roman" w:hAnsi="Calibri" w:cs="Times New Roman"/>
          <w:noProof/>
          <w:color w:val="000000" w:themeColor="text1"/>
          <w:lang w:val="es-ES" w:eastAsia="es-EC"/>
        </w:rPr>
      </w:pPr>
    </w:p>
    <w:p w14:paraId="56A41519" w14:textId="3AF4D1BA" w:rsidR="00402B6E" w:rsidRPr="00075E00" w:rsidRDefault="00402B6E" w:rsidP="00402B6E">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En esta estrategia es importante señalar el rol de los Técnicos de Atención Primaria en Salud (TAPS) quienes están encargados de hacer un seguimiento nominal a embarazadas y niños en riesgo de mortalidad y desnutrición, respectivamente. A nivel nacional, el Ministerio de Salud Pública, en convenio con Institutos Técnicos del Estado, ha formado y contratado a 1500 TAPS, de los cuales el 50% pertenecen a pueblos y nacionalidades con la finalidad de facilitar la atención con enfoque intercultural.</w:t>
      </w:r>
    </w:p>
    <w:p w14:paraId="10F8CDD8" w14:textId="77777777" w:rsidR="00F028E0" w:rsidRPr="00075E00" w:rsidRDefault="00F028E0" w:rsidP="00F028E0">
      <w:pPr>
        <w:spacing w:after="0" w:line="240" w:lineRule="auto"/>
        <w:jc w:val="both"/>
        <w:rPr>
          <w:rFonts w:ascii="Calibri" w:hAnsi="Calibri"/>
          <w:noProof/>
          <w:color w:val="000000" w:themeColor="text1"/>
          <w:lang w:val="es-ES"/>
        </w:rPr>
      </w:pPr>
    </w:p>
    <w:p w14:paraId="33FD8D91" w14:textId="7797CC63" w:rsidR="00F028E0" w:rsidRPr="00075E00" w:rsidRDefault="00F028E0" w:rsidP="00F028E0">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De manera complementaria, </w:t>
      </w:r>
      <w:r w:rsidR="00402B6E" w:rsidRPr="00075E00">
        <w:rPr>
          <w:rFonts w:ascii="Calibri" w:hAnsi="Calibri"/>
          <w:noProof/>
          <w:color w:val="000000" w:themeColor="text1"/>
          <w:lang w:val="es-ES"/>
        </w:rPr>
        <w:t>la estrategia “Guardianes por la vida” tiene como objetivo promover procesos ciudadanos con los Comités Ciudadanos Locales de Salud que inciden en la erradicación de la desnutrición infantil en sus territorios, efectuando vigilancia comunitaria y acompañamiento de madres embarazadas en riesgo, recién nacidos y niñas/ niños con desnutrición de su comunidad. Los guardianes para la vida coordinan acciones con los Equipos de Atención Integral (EAIS), para el seguimiento nominal a través de visitas domiciliarias a madres embarazadas en riesgo, recién nacidos y niñas/ niños con desnutrición de su comunidad, que no han asistido a los controles médicos. A la fecha</w:t>
      </w:r>
      <w:r w:rsidR="00075E00" w:rsidRPr="00075E00">
        <w:rPr>
          <w:rFonts w:ascii="Calibri" w:hAnsi="Calibri"/>
          <w:noProof/>
          <w:color w:val="000000" w:themeColor="text1"/>
          <w:lang w:val="es-ES"/>
        </w:rPr>
        <w:t>,</w:t>
      </w:r>
      <w:r w:rsidR="00402B6E" w:rsidRPr="00075E00">
        <w:rPr>
          <w:rFonts w:ascii="Calibri" w:hAnsi="Calibri"/>
          <w:noProof/>
          <w:color w:val="000000" w:themeColor="text1"/>
          <w:lang w:val="es-ES"/>
        </w:rPr>
        <w:t xml:space="preserve"> los guardianes de la vida han visitado a un total de 14937 niños/as menores de 2 años.</w:t>
      </w:r>
    </w:p>
    <w:p w14:paraId="212CD310" w14:textId="77777777" w:rsidR="00F028E0" w:rsidRPr="00075E00" w:rsidRDefault="00F028E0" w:rsidP="00F028E0">
      <w:pPr>
        <w:spacing w:after="0" w:line="240" w:lineRule="auto"/>
        <w:jc w:val="both"/>
        <w:rPr>
          <w:rFonts w:ascii="Calibri" w:hAnsi="Calibri"/>
          <w:noProof/>
          <w:color w:val="000000" w:themeColor="text1"/>
          <w:lang w:val="es-ES"/>
        </w:rPr>
      </w:pPr>
    </w:p>
    <w:p w14:paraId="04778E30" w14:textId="3F244B5F" w:rsidR="00F028E0" w:rsidRPr="00075E00" w:rsidRDefault="00F028E0" w:rsidP="00F028E0">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Los guardianes </w:t>
      </w:r>
      <w:r w:rsidR="00075E00" w:rsidRPr="00075E00">
        <w:rPr>
          <w:rFonts w:ascii="Calibri" w:hAnsi="Calibri"/>
          <w:noProof/>
          <w:color w:val="000000" w:themeColor="text1"/>
          <w:lang w:val="es-ES"/>
        </w:rPr>
        <w:t>por</w:t>
      </w:r>
      <w:r w:rsidRPr="00075E00">
        <w:rPr>
          <w:rFonts w:ascii="Calibri" w:hAnsi="Calibri"/>
          <w:noProof/>
          <w:color w:val="000000" w:themeColor="text1"/>
          <w:lang w:val="es-ES"/>
        </w:rPr>
        <w:t xml:space="preserve"> la vida coordinan acciones con los Equipos de Atención Integral (EAIS), para el seguimiento nominal a través de visitas domiciliarias a madres embarazadas en riesgo, recién nacidos y niñas/niños con desnutrición de su comunidad, que no han asistido a los controles médicos.</w:t>
      </w:r>
      <w:r w:rsidR="00C41F4F" w:rsidRPr="00075E00">
        <w:rPr>
          <w:rFonts w:ascii="Calibri" w:hAnsi="Calibri"/>
          <w:noProof/>
          <w:color w:val="000000" w:themeColor="text1"/>
          <w:lang w:val="es-ES"/>
        </w:rPr>
        <w:t xml:space="preserve"> </w:t>
      </w:r>
      <w:r w:rsidRPr="00075E00">
        <w:rPr>
          <w:rFonts w:ascii="Calibri" w:hAnsi="Calibri"/>
          <w:noProof/>
          <w:color w:val="000000" w:themeColor="text1"/>
          <w:lang w:val="es-ES"/>
        </w:rPr>
        <w:t>De manera coordinada, el MIES</w:t>
      </w:r>
      <w:r w:rsidR="00C41F4F" w:rsidRPr="00075E00">
        <w:rPr>
          <w:rFonts w:ascii="Calibri" w:hAnsi="Calibri"/>
          <w:noProof/>
          <w:color w:val="000000" w:themeColor="text1"/>
          <w:lang w:val="es-ES"/>
        </w:rPr>
        <w:t xml:space="preserve"> </w:t>
      </w:r>
      <w:r w:rsidRPr="00075E00">
        <w:rPr>
          <w:rFonts w:ascii="Calibri" w:hAnsi="Calibri"/>
          <w:noProof/>
          <w:color w:val="000000" w:themeColor="text1"/>
          <w:lang w:val="es-ES"/>
        </w:rPr>
        <w:t>es el ejecutor de los servicios de desarrollo infantil integral</w:t>
      </w:r>
      <w:r w:rsidR="00C41F4F" w:rsidRPr="00075E00">
        <w:rPr>
          <w:rFonts w:ascii="Calibri" w:hAnsi="Calibri"/>
          <w:noProof/>
          <w:color w:val="000000" w:themeColor="text1"/>
          <w:lang w:val="es-ES"/>
        </w:rPr>
        <w:t xml:space="preserve"> </w:t>
      </w:r>
      <w:r w:rsidRPr="00075E00">
        <w:rPr>
          <w:rFonts w:ascii="Calibri" w:hAnsi="Calibri"/>
          <w:noProof/>
          <w:color w:val="000000" w:themeColor="text1"/>
          <w:lang w:val="es-ES"/>
        </w:rPr>
        <w:t>que atiende</w:t>
      </w:r>
      <w:r w:rsidR="00C41F4F" w:rsidRPr="00075E00">
        <w:rPr>
          <w:rFonts w:ascii="Calibri" w:hAnsi="Calibri"/>
          <w:noProof/>
          <w:color w:val="000000" w:themeColor="text1"/>
          <w:lang w:val="es-ES"/>
        </w:rPr>
        <w:t xml:space="preserve"> </w:t>
      </w:r>
      <w:r w:rsidRPr="00075E00">
        <w:rPr>
          <w:rFonts w:ascii="Calibri" w:hAnsi="Calibri"/>
          <w:noProof/>
          <w:color w:val="000000" w:themeColor="text1"/>
          <w:lang w:val="es-ES"/>
        </w:rPr>
        <w:t>a niñas y niños de 0 a 3 años de edad y emprende acciones de salud y nutrición en base a las políticas del MSP.</w:t>
      </w:r>
    </w:p>
    <w:p w14:paraId="799674C4" w14:textId="77777777" w:rsidR="00F028E0" w:rsidRPr="00075E00" w:rsidRDefault="00F028E0" w:rsidP="00F028E0">
      <w:pPr>
        <w:spacing w:after="0" w:line="240" w:lineRule="auto"/>
        <w:jc w:val="both"/>
        <w:rPr>
          <w:rFonts w:ascii="Calibri" w:hAnsi="Calibri"/>
          <w:noProof/>
          <w:color w:val="000000" w:themeColor="text1"/>
          <w:lang w:val="es-ES"/>
        </w:rPr>
      </w:pPr>
    </w:p>
    <w:p w14:paraId="1C0A7F49" w14:textId="78A04C4E" w:rsidR="00F028E0" w:rsidRPr="00075E00" w:rsidRDefault="00402B6E" w:rsidP="00F028E0">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Además, cabe enfatizar que e</w:t>
      </w:r>
      <w:r w:rsidR="00F028E0" w:rsidRPr="00075E00">
        <w:rPr>
          <w:rFonts w:ascii="Calibri" w:hAnsi="Calibri"/>
          <w:noProof/>
          <w:color w:val="000000" w:themeColor="text1"/>
          <w:lang w:val="es-ES"/>
        </w:rPr>
        <w:t>n los Centros Infantiles del Buen Vivir (CIBV) se cubre el 75% de las recomendaciones nutricionales diarias de las niñas y niños a través de 4 tiempos de comida (desayuno, refrigerio de la mañana, almuerzo y refrigerio de la tarde)</w:t>
      </w:r>
      <w:r w:rsidR="00C41F4F" w:rsidRPr="00075E00">
        <w:rPr>
          <w:rFonts w:ascii="Calibri" w:hAnsi="Calibri"/>
          <w:noProof/>
          <w:color w:val="000000" w:themeColor="text1"/>
          <w:lang w:val="es-ES"/>
        </w:rPr>
        <w:t xml:space="preserve"> </w:t>
      </w:r>
      <w:r w:rsidR="00F028E0" w:rsidRPr="00075E00">
        <w:rPr>
          <w:rFonts w:ascii="Calibri" w:hAnsi="Calibri"/>
          <w:noProof/>
          <w:color w:val="000000" w:themeColor="text1"/>
          <w:lang w:val="es-ES"/>
        </w:rPr>
        <w:t>y con derivación en casos especiales según el estado nutricional (desnutrición)</w:t>
      </w:r>
      <w:r w:rsidR="00C41F4F" w:rsidRPr="00075E00">
        <w:rPr>
          <w:rFonts w:ascii="Calibri" w:hAnsi="Calibri"/>
          <w:noProof/>
          <w:color w:val="000000" w:themeColor="text1"/>
          <w:lang w:val="es-ES"/>
        </w:rPr>
        <w:t xml:space="preserve"> </w:t>
      </w:r>
      <w:r w:rsidR="00F028E0" w:rsidRPr="00075E00">
        <w:rPr>
          <w:rFonts w:ascii="Calibri" w:hAnsi="Calibri"/>
          <w:noProof/>
          <w:color w:val="000000" w:themeColor="text1"/>
          <w:lang w:val="es-ES"/>
        </w:rPr>
        <w:t>y estado fisiológico</w:t>
      </w:r>
      <w:r w:rsidR="00C41F4F" w:rsidRPr="00075E00">
        <w:rPr>
          <w:rFonts w:ascii="Calibri" w:hAnsi="Calibri"/>
          <w:noProof/>
          <w:color w:val="000000" w:themeColor="text1"/>
          <w:lang w:val="es-ES"/>
        </w:rPr>
        <w:t xml:space="preserve"> </w:t>
      </w:r>
      <w:r w:rsidR="00F028E0" w:rsidRPr="00075E00">
        <w:rPr>
          <w:rFonts w:ascii="Calibri" w:hAnsi="Calibri"/>
          <w:noProof/>
          <w:color w:val="000000" w:themeColor="text1"/>
          <w:lang w:val="es-ES"/>
        </w:rPr>
        <w:t xml:space="preserve">(enfermedades diarreicas o infecciones respiratorias). Estas </w:t>
      </w:r>
      <w:r w:rsidR="00C41F4F" w:rsidRPr="00075E00">
        <w:rPr>
          <w:rFonts w:ascii="Calibri" w:hAnsi="Calibri"/>
          <w:noProof/>
          <w:color w:val="000000" w:themeColor="text1"/>
          <w:lang w:val="es-ES"/>
        </w:rPr>
        <w:t>estrategias</w:t>
      </w:r>
      <w:r w:rsidR="00F028E0" w:rsidRPr="00075E00">
        <w:rPr>
          <w:rFonts w:ascii="Calibri" w:hAnsi="Calibri"/>
          <w:noProof/>
          <w:color w:val="000000" w:themeColor="text1"/>
          <w:lang w:val="es-ES"/>
        </w:rPr>
        <w:t xml:space="preserve"> se coordinan con el MSP para que se cumplan con las acciones de atención primaria de salud (control del niño sano) según la edad de la niña y niño, y de acuerdo el estado nutricional y estado de salud para el monitoreo del crecimiento.</w:t>
      </w:r>
    </w:p>
    <w:p w14:paraId="59C1E591" w14:textId="77777777" w:rsidR="00F028E0" w:rsidRPr="00075E00" w:rsidRDefault="00F028E0" w:rsidP="00F028E0">
      <w:pPr>
        <w:spacing w:after="0" w:line="240" w:lineRule="auto"/>
        <w:jc w:val="both"/>
        <w:rPr>
          <w:rFonts w:ascii="Calibri" w:hAnsi="Calibri"/>
          <w:noProof/>
          <w:color w:val="000000" w:themeColor="text1"/>
          <w:lang w:val="es-ES"/>
        </w:rPr>
      </w:pPr>
    </w:p>
    <w:p w14:paraId="125DD17B" w14:textId="5AA9F579" w:rsidR="00F028E0" w:rsidRPr="00075E00" w:rsidRDefault="00F028E0" w:rsidP="00F028E0">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Estas actividades se acompañan </w:t>
      </w:r>
      <w:r w:rsidR="00075E00" w:rsidRPr="00075E00">
        <w:rPr>
          <w:rFonts w:ascii="Calibri" w:hAnsi="Calibri"/>
          <w:noProof/>
          <w:color w:val="000000" w:themeColor="text1"/>
          <w:lang w:val="es-ES"/>
        </w:rPr>
        <w:t>de</w:t>
      </w:r>
      <w:r w:rsidRPr="00075E00">
        <w:rPr>
          <w:rFonts w:ascii="Calibri" w:hAnsi="Calibri"/>
          <w:noProof/>
          <w:color w:val="000000" w:themeColor="text1"/>
          <w:lang w:val="es-ES"/>
        </w:rPr>
        <w:t xml:space="preserve"> procesos de sensibilización y consejería alimentario nutricional</w:t>
      </w:r>
      <w:r w:rsidR="00C41F4F" w:rsidRPr="00075E00">
        <w:rPr>
          <w:rFonts w:ascii="Calibri" w:hAnsi="Calibri"/>
          <w:noProof/>
          <w:color w:val="000000" w:themeColor="text1"/>
          <w:lang w:val="es-ES"/>
        </w:rPr>
        <w:t xml:space="preserve"> </w:t>
      </w:r>
      <w:r w:rsidRPr="00075E00">
        <w:rPr>
          <w:rFonts w:ascii="Calibri" w:hAnsi="Calibri"/>
          <w:noProof/>
          <w:color w:val="000000" w:themeColor="text1"/>
          <w:lang w:val="es-ES"/>
        </w:rPr>
        <w:t>y de salud a las madres, padres y adultos responsables</w:t>
      </w:r>
      <w:r w:rsidR="00C41F4F" w:rsidRPr="00075E00">
        <w:rPr>
          <w:rFonts w:ascii="Calibri" w:hAnsi="Calibri"/>
          <w:noProof/>
          <w:color w:val="000000" w:themeColor="text1"/>
          <w:lang w:val="es-ES"/>
        </w:rPr>
        <w:t xml:space="preserve"> del cuidado de las niñas y niño</w:t>
      </w:r>
      <w:r w:rsidRPr="00075E00">
        <w:rPr>
          <w:rFonts w:ascii="Calibri" w:hAnsi="Calibri"/>
          <w:noProof/>
          <w:color w:val="000000" w:themeColor="text1"/>
          <w:lang w:val="es-ES"/>
        </w:rPr>
        <w:t>s</w:t>
      </w:r>
      <w:r w:rsidR="00C41F4F" w:rsidRPr="00075E00">
        <w:rPr>
          <w:rFonts w:ascii="Calibri" w:hAnsi="Calibri"/>
          <w:noProof/>
          <w:color w:val="000000" w:themeColor="text1"/>
          <w:lang w:val="es-ES"/>
        </w:rPr>
        <w:t xml:space="preserve"> </w:t>
      </w:r>
      <w:r w:rsidRPr="00075E00">
        <w:rPr>
          <w:rFonts w:ascii="Calibri" w:hAnsi="Calibri"/>
          <w:noProof/>
          <w:color w:val="000000" w:themeColor="text1"/>
          <w:lang w:val="es-ES"/>
        </w:rPr>
        <w:t>en temas</w:t>
      </w:r>
      <w:r w:rsidR="00C41F4F" w:rsidRPr="00075E00">
        <w:rPr>
          <w:rFonts w:ascii="Calibri" w:hAnsi="Calibri"/>
          <w:noProof/>
          <w:color w:val="000000" w:themeColor="text1"/>
          <w:lang w:val="es-ES"/>
        </w:rPr>
        <w:t xml:space="preserve"> de</w:t>
      </w:r>
      <w:r w:rsidRPr="00075E00">
        <w:rPr>
          <w:rFonts w:ascii="Calibri" w:hAnsi="Calibri"/>
          <w:noProof/>
          <w:color w:val="000000" w:themeColor="text1"/>
          <w:lang w:val="es-ES"/>
        </w:rPr>
        <w:t xml:space="preserve">: lactancia materna, alimentación complementaria, suplementación de micronutrientes, lavado de manos </w:t>
      </w:r>
      <w:r w:rsidR="00C41F4F" w:rsidRPr="00075E00">
        <w:rPr>
          <w:rFonts w:ascii="Calibri" w:hAnsi="Calibri"/>
          <w:noProof/>
          <w:color w:val="000000" w:themeColor="text1"/>
          <w:lang w:val="es-ES"/>
        </w:rPr>
        <w:t>e higiene de los alimentos. Se r</w:t>
      </w:r>
      <w:r w:rsidRPr="00075E00">
        <w:rPr>
          <w:rFonts w:ascii="Calibri" w:hAnsi="Calibri"/>
          <w:noProof/>
          <w:color w:val="000000" w:themeColor="text1"/>
          <w:lang w:val="es-ES"/>
        </w:rPr>
        <w:t xml:space="preserve">ealiza </w:t>
      </w:r>
      <w:r w:rsidR="00C41F4F" w:rsidRPr="00075E00">
        <w:rPr>
          <w:rFonts w:ascii="Calibri" w:hAnsi="Calibri"/>
          <w:noProof/>
          <w:color w:val="000000" w:themeColor="text1"/>
          <w:lang w:val="es-ES"/>
        </w:rPr>
        <w:t xml:space="preserve">un </w:t>
      </w:r>
      <w:r w:rsidRPr="00075E00">
        <w:rPr>
          <w:rFonts w:ascii="Calibri" w:hAnsi="Calibri"/>
          <w:noProof/>
          <w:color w:val="000000" w:themeColor="text1"/>
          <w:lang w:val="es-ES"/>
        </w:rPr>
        <w:t>monitoreo del crecimiento a las niñas y niños de los servicios</w:t>
      </w:r>
      <w:r w:rsidR="00C41F4F" w:rsidRPr="00075E00">
        <w:rPr>
          <w:rFonts w:ascii="Calibri" w:hAnsi="Calibri"/>
          <w:noProof/>
          <w:color w:val="000000" w:themeColor="text1"/>
          <w:lang w:val="es-ES"/>
        </w:rPr>
        <w:t xml:space="preserve"> </w:t>
      </w:r>
      <w:r w:rsidRPr="00075E00">
        <w:rPr>
          <w:rFonts w:ascii="Calibri" w:hAnsi="Calibri"/>
          <w:noProof/>
          <w:color w:val="000000" w:themeColor="text1"/>
          <w:lang w:val="es-ES"/>
        </w:rPr>
        <w:t>con la graficación de la curva de crecimiento y la semaforización de la tendencia del crecimiento para sensibilizar a las familias con el objetivo de tomar acciones de intervención conjuntamente con el MSP y la familia para mejorar el estado nutricional de las niñas y niños. Asimismo, se coordina con cooperantes nacionales e internacionales para ejecutar acciones de capacitación y otros que permitan mejorar las capacidades del personal técnico de los servicios.</w:t>
      </w:r>
    </w:p>
    <w:p w14:paraId="343A2963" w14:textId="5193AA21" w:rsidR="00F028E0" w:rsidRPr="00075E00" w:rsidRDefault="00F028E0" w:rsidP="00F028E0">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lastRenderedPageBreak/>
        <w:t xml:space="preserve">Finalmente, a </w:t>
      </w:r>
      <w:r w:rsidR="00402B6E" w:rsidRPr="00075E00">
        <w:rPr>
          <w:rFonts w:ascii="Calibri" w:hAnsi="Calibri"/>
          <w:noProof/>
          <w:color w:val="000000" w:themeColor="text1"/>
          <w:lang w:val="es-ES"/>
        </w:rPr>
        <w:t>través</w:t>
      </w:r>
      <w:r w:rsidRPr="00075E00">
        <w:rPr>
          <w:rFonts w:ascii="Calibri" w:hAnsi="Calibri"/>
          <w:noProof/>
          <w:color w:val="000000" w:themeColor="text1"/>
          <w:lang w:val="es-ES"/>
        </w:rPr>
        <w:t xml:space="preserve"> del Decreto Ejecutivo No. 11 de 25 de mayo de 2017 se</w:t>
      </w:r>
      <w:r w:rsidR="00C41F4F" w:rsidRPr="00075E00">
        <w:rPr>
          <w:rFonts w:ascii="Calibri" w:hAnsi="Calibri"/>
          <w:noProof/>
          <w:color w:val="000000" w:themeColor="text1"/>
          <w:lang w:val="es-ES"/>
        </w:rPr>
        <w:t xml:space="preserve"> </w:t>
      </w:r>
      <w:r w:rsidR="00402B6E" w:rsidRPr="00075E00">
        <w:rPr>
          <w:rFonts w:ascii="Calibri" w:hAnsi="Calibri"/>
          <w:noProof/>
          <w:color w:val="000000" w:themeColor="text1"/>
          <w:lang w:val="es-ES"/>
        </w:rPr>
        <w:t>aprobó</w:t>
      </w:r>
      <w:r w:rsidR="00C41F4F" w:rsidRPr="00075E00">
        <w:rPr>
          <w:rFonts w:ascii="Calibri" w:hAnsi="Calibri"/>
          <w:noProof/>
          <w:color w:val="000000" w:themeColor="text1"/>
          <w:lang w:val="es-ES"/>
        </w:rPr>
        <w:t xml:space="preserve"> el Plan Toda Una Vida. Con relación a</w:t>
      </w:r>
      <w:r w:rsidRPr="00075E00">
        <w:rPr>
          <w:rFonts w:ascii="Calibri" w:hAnsi="Calibri"/>
          <w:noProof/>
          <w:color w:val="000000" w:themeColor="text1"/>
          <w:lang w:val="es-ES"/>
        </w:rPr>
        <w:t xml:space="preserve"> </w:t>
      </w:r>
      <w:r w:rsidR="00075E00" w:rsidRPr="00075E00">
        <w:rPr>
          <w:rFonts w:ascii="Calibri" w:hAnsi="Calibri"/>
          <w:noProof/>
          <w:color w:val="000000" w:themeColor="text1"/>
          <w:lang w:val="es-ES"/>
        </w:rPr>
        <w:t>NNA</w:t>
      </w:r>
      <w:r w:rsidR="00C41F4F" w:rsidRPr="00075E00">
        <w:rPr>
          <w:rFonts w:ascii="Calibri" w:hAnsi="Calibri"/>
          <w:noProof/>
          <w:color w:val="000000" w:themeColor="text1"/>
          <w:lang w:val="es-ES"/>
        </w:rPr>
        <w:t>,</w:t>
      </w:r>
      <w:r w:rsidRPr="00075E00">
        <w:rPr>
          <w:rFonts w:ascii="Calibri" w:hAnsi="Calibri"/>
          <w:noProof/>
          <w:color w:val="000000" w:themeColor="text1"/>
          <w:lang w:val="es-ES"/>
        </w:rPr>
        <w:t xml:space="preserve"> </w:t>
      </w:r>
      <w:r w:rsidR="00C41F4F" w:rsidRPr="00075E00">
        <w:rPr>
          <w:rFonts w:ascii="Calibri" w:hAnsi="Calibri"/>
          <w:noProof/>
          <w:color w:val="000000" w:themeColor="text1"/>
          <w:lang w:val="es-ES"/>
        </w:rPr>
        <w:t>se establece el siguiente eje: l</w:t>
      </w:r>
      <w:r w:rsidRPr="00075E00">
        <w:rPr>
          <w:rFonts w:ascii="Calibri" w:hAnsi="Calibri"/>
          <w:noProof/>
          <w:color w:val="000000" w:themeColor="text1"/>
          <w:lang w:val="es-ES"/>
        </w:rPr>
        <w:t xml:space="preserve">a </w:t>
      </w:r>
      <w:r w:rsidR="00402B6E" w:rsidRPr="00075E00">
        <w:rPr>
          <w:rFonts w:ascii="Calibri" w:hAnsi="Calibri"/>
          <w:noProof/>
          <w:color w:val="000000" w:themeColor="text1"/>
          <w:lang w:val="es-ES"/>
        </w:rPr>
        <w:t>Misión</w:t>
      </w:r>
      <w:r w:rsidRPr="00075E00">
        <w:rPr>
          <w:rFonts w:ascii="Calibri" w:hAnsi="Calibri"/>
          <w:noProof/>
          <w:color w:val="000000" w:themeColor="text1"/>
          <w:lang w:val="es-ES"/>
        </w:rPr>
        <w:t xml:space="preserve"> Ternura</w:t>
      </w:r>
      <w:r w:rsidR="00C41F4F" w:rsidRPr="00075E00">
        <w:rPr>
          <w:rFonts w:ascii="Calibri" w:hAnsi="Calibri"/>
          <w:noProof/>
          <w:color w:val="000000" w:themeColor="text1"/>
          <w:lang w:val="es-ES"/>
        </w:rPr>
        <w:t>,</w:t>
      </w:r>
      <w:r w:rsidRPr="00075E00">
        <w:rPr>
          <w:rFonts w:ascii="Calibri" w:hAnsi="Calibri"/>
          <w:noProof/>
          <w:color w:val="000000" w:themeColor="text1"/>
          <w:lang w:val="es-ES"/>
        </w:rPr>
        <w:t xml:space="preserve"> cuyo objetivo es la </w:t>
      </w:r>
      <w:r w:rsidR="00402B6E" w:rsidRPr="00075E00">
        <w:rPr>
          <w:rFonts w:ascii="Calibri" w:hAnsi="Calibri"/>
          <w:noProof/>
          <w:color w:val="000000" w:themeColor="text1"/>
          <w:lang w:val="es-ES"/>
        </w:rPr>
        <w:t>atención</w:t>
      </w:r>
      <w:r w:rsidRPr="00075E00">
        <w:rPr>
          <w:rFonts w:ascii="Calibri" w:hAnsi="Calibri"/>
          <w:noProof/>
          <w:color w:val="000000" w:themeColor="text1"/>
          <w:lang w:val="es-ES"/>
        </w:rPr>
        <w:t xml:space="preserve"> integral en salud, </w:t>
      </w:r>
      <w:r w:rsidR="00402B6E" w:rsidRPr="00075E00">
        <w:rPr>
          <w:rFonts w:ascii="Calibri" w:hAnsi="Calibri"/>
          <w:noProof/>
          <w:color w:val="000000" w:themeColor="text1"/>
          <w:lang w:val="es-ES"/>
        </w:rPr>
        <w:t>nutrición</w:t>
      </w:r>
      <w:r w:rsidRPr="00075E00">
        <w:rPr>
          <w:rFonts w:ascii="Calibri" w:hAnsi="Calibri"/>
          <w:noProof/>
          <w:color w:val="000000" w:themeColor="text1"/>
          <w:lang w:val="es-ES"/>
        </w:rPr>
        <w:t xml:space="preserve"> y </w:t>
      </w:r>
      <w:r w:rsidR="00402B6E" w:rsidRPr="00075E00">
        <w:rPr>
          <w:rFonts w:ascii="Calibri" w:hAnsi="Calibri"/>
          <w:noProof/>
          <w:color w:val="000000" w:themeColor="text1"/>
          <w:lang w:val="es-ES"/>
        </w:rPr>
        <w:t>estimulación</w:t>
      </w:r>
      <w:r w:rsidRPr="00075E00">
        <w:rPr>
          <w:rFonts w:ascii="Calibri" w:hAnsi="Calibri"/>
          <w:noProof/>
          <w:color w:val="000000" w:themeColor="text1"/>
          <w:lang w:val="es-ES"/>
        </w:rPr>
        <w:t xml:space="preserve"> en los 1.000 primeros </w:t>
      </w:r>
      <w:r w:rsidR="00402B6E" w:rsidRPr="00075E00">
        <w:rPr>
          <w:rFonts w:ascii="Calibri" w:hAnsi="Calibri"/>
          <w:noProof/>
          <w:color w:val="000000" w:themeColor="text1"/>
          <w:lang w:val="es-ES"/>
        </w:rPr>
        <w:t>días</w:t>
      </w:r>
      <w:r w:rsidRPr="00075E00">
        <w:rPr>
          <w:rFonts w:ascii="Calibri" w:hAnsi="Calibri"/>
          <w:noProof/>
          <w:color w:val="000000" w:themeColor="text1"/>
          <w:lang w:val="es-ES"/>
        </w:rPr>
        <w:t xml:space="preserve"> de vida, controles mes a mes durante el embarazo, tamizaje neonatal y cuidado en centros infantiles, con miras a erradicar la desnutrición infan</w:t>
      </w:r>
      <w:r w:rsidR="00C41F4F" w:rsidRPr="00075E00">
        <w:rPr>
          <w:rFonts w:ascii="Calibri" w:hAnsi="Calibri"/>
          <w:noProof/>
          <w:color w:val="000000" w:themeColor="text1"/>
          <w:lang w:val="es-ES"/>
        </w:rPr>
        <w:t xml:space="preserve">til, de conformidad con los ODS, </w:t>
      </w:r>
      <w:r w:rsidRPr="00075E00">
        <w:rPr>
          <w:rFonts w:ascii="Calibri" w:hAnsi="Calibri"/>
          <w:noProof/>
          <w:color w:val="000000" w:themeColor="text1"/>
          <w:lang w:val="es-ES"/>
        </w:rPr>
        <w:t xml:space="preserve">en el marco de la agenda 2030. </w:t>
      </w:r>
    </w:p>
    <w:p w14:paraId="36527C4E" w14:textId="77777777" w:rsidR="00F028E0" w:rsidRPr="00075E00" w:rsidRDefault="00F028E0" w:rsidP="00F028E0">
      <w:pPr>
        <w:spacing w:after="0" w:line="240" w:lineRule="auto"/>
        <w:jc w:val="both"/>
        <w:rPr>
          <w:rFonts w:ascii="Calibri" w:hAnsi="Calibri"/>
          <w:noProof/>
          <w:color w:val="000000" w:themeColor="text1"/>
          <w:lang w:val="es-ES"/>
        </w:rPr>
      </w:pPr>
    </w:p>
    <w:p w14:paraId="15777ECD" w14:textId="254B75C9" w:rsidR="00F028E0" w:rsidRPr="00075E00" w:rsidRDefault="00F028E0" w:rsidP="00F028E0">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A través </w:t>
      </w:r>
      <w:r w:rsidR="00A46F63" w:rsidRPr="00075E00">
        <w:rPr>
          <w:rFonts w:ascii="Calibri" w:hAnsi="Calibri"/>
          <w:noProof/>
          <w:color w:val="000000" w:themeColor="text1"/>
          <w:lang w:val="es-ES"/>
        </w:rPr>
        <w:t>de la Misión Ternura, se busca i</w:t>
      </w:r>
      <w:r w:rsidRPr="00075E00">
        <w:rPr>
          <w:rFonts w:ascii="Calibri" w:hAnsi="Calibri"/>
          <w:noProof/>
          <w:color w:val="000000" w:themeColor="text1"/>
          <w:lang w:val="es-ES"/>
        </w:rPr>
        <w:t xml:space="preserve">mpulsar el desarrollo infantil integral de niñas y niños menores de 5 años, a través del diseño e implementación de mecanismos de política pública y coordinación interinstitucional, nacional y local y para el efecto se creó la Secretaría Técnica del Plan Toda una Vida que </w:t>
      </w:r>
      <w:r w:rsidR="00CD76AC" w:rsidRPr="00075E00">
        <w:rPr>
          <w:rFonts w:ascii="Calibri" w:hAnsi="Calibri"/>
          <w:noProof/>
          <w:color w:val="000000" w:themeColor="text1"/>
          <w:lang w:val="es-ES"/>
        </w:rPr>
        <w:t>está</w:t>
      </w:r>
      <w:r w:rsidRPr="00075E00">
        <w:rPr>
          <w:rFonts w:ascii="Calibri" w:hAnsi="Calibri"/>
          <w:noProof/>
          <w:color w:val="000000" w:themeColor="text1"/>
          <w:lang w:val="es-ES"/>
        </w:rPr>
        <w:t xml:space="preserve"> a cargo de la coordinación de esta planificación con los ministerios competentes. </w:t>
      </w:r>
    </w:p>
    <w:p w14:paraId="015AA153" w14:textId="77777777" w:rsidR="00F028E0" w:rsidRPr="00075E00" w:rsidRDefault="00F028E0" w:rsidP="00F028E0">
      <w:pPr>
        <w:spacing w:after="0" w:line="240" w:lineRule="auto"/>
        <w:jc w:val="both"/>
        <w:rPr>
          <w:rFonts w:ascii="Calibri" w:hAnsi="Calibri"/>
          <w:noProof/>
          <w:color w:val="000000" w:themeColor="text1"/>
          <w:lang w:val="es-ES"/>
        </w:rPr>
      </w:pPr>
    </w:p>
    <w:p w14:paraId="0CEB9338" w14:textId="77777777" w:rsidR="00F028E0" w:rsidRPr="00075E00" w:rsidRDefault="00F028E0" w:rsidP="006317B2">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Estrategias para fomentar la lactancia materna</w:t>
      </w:r>
    </w:p>
    <w:p w14:paraId="3163EC10" w14:textId="77777777" w:rsidR="00CD7F16" w:rsidRPr="00075E00" w:rsidRDefault="00CD7F16" w:rsidP="00CD7F16">
      <w:pPr>
        <w:shd w:val="clear" w:color="auto" w:fill="FFFFFF"/>
        <w:spacing w:after="0" w:line="240" w:lineRule="auto"/>
        <w:jc w:val="both"/>
        <w:rPr>
          <w:rFonts w:ascii="Calibri" w:eastAsia="Times New Roman" w:hAnsi="Calibri" w:cs="Times New Roman"/>
          <w:b/>
          <w:noProof/>
          <w:color w:val="000000" w:themeColor="text1"/>
          <w:lang w:val="es-ES" w:eastAsia="es-EC"/>
        </w:rPr>
      </w:pPr>
    </w:p>
    <w:p w14:paraId="1D8E98D9" w14:textId="1814FB52" w:rsidR="00CD7F16" w:rsidRPr="00075E00" w:rsidRDefault="00CD7F16" w:rsidP="00CD7F16">
      <w:pPr>
        <w:shd w:val="clear" w:color="auto" w:fill="FFFFFF"/>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En Ecuador, los es</w:t>
      </w:r>
      <w:r w:rsidR="00075E00">
        <w:rPr>
          <w:rFonts w:ascii="Calibri" w:eastAsia="Times New Roman" w:hAnsi="Calibri" w:cs="Times New Roman"/>
          <w:noProof/>
          <w:color w:val="000000" w:themeColor="text1"/>
          <w:lang w:val="es-ES" w:eastAsia="es-EC"/>
        </w:rPr>
        <w:t>tablecimientos de salud pública</w:t>
      </w:r>
      <w:r w:rsidRPr="00075E00">
        <w:rPr>
          <w:rFonts w:ascii="Calibri" w:eastAsia="Times New Roman" w:hAnsi="Calibri" w:cs="Times New Roman"/>
          <w:noProof/>
          <w:color w:val="000000" w:themeColor="text1"/>
          <w:lang w:val="es-ES" w:eastAsia="es-EC"/>
        </w:rPr>
        <w:t xml:space="preserve"> </w:t>
      </w:r>
      <w:r w:rsidR="00075E00">
        <w:rPr>
          <w:rFonts w:ascii="Calibri" w:eastAsia="Times New Roman" w:hAnsi="Calibri" w:cs="Times New Roman"/>
          <w:noProof/>
          <w:color w:val="000000" w:themeColor="text1"/>
          <w:lang w:val="es-ES" w:eastAsia="es-EC"/>
        </w:rPr>
        <w:t>promocionan y aplican</w:t>
      </w:r>
      <w:r w:rsidRPr="00075E00">
        <w:rPr>
          <w:rFonts w:ascii="Calibri" w:eastAsia="Times New Roman" w:hAnsi="Calibri" w:cs="Times New Roman"/>
          <w:noProof/>
          <w:color w:val="000000" w:themeColor="text1"/>
          <w:lang w:val="es-ES" w:eastAsia="es-EC"/>
        </w:rPr>
        <w:t xml:space="preserve"> una política de lactancia exclusiva hasta los seis meses de edad y complementaria con otra alimentación hasta los dos años.</w:t>
      </w:r>
    </w:p>
    <w:p w14:paraId="028A757B" w14:textId="77777777" w:rsidR="00CD7F16" w:rsidRPr="00075E00" w:rsidRDefault="00CD7F16" w:rsidP="00CD7F16">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524F895B" w14:textId="06B9B31E" w:rsidR="00F028E0" w:rsidRPr="00075E00" w:rsidRDefault="00F028E0" w:rsidP="00F028E0">
      <w:p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Desde hace a</w:t>
      </w:r>
      <w:r w:rsidR="00C41F4F" w:rsidRPr="00075E00">
        <w:rPr>
          <w:rFonts w:ascii="Calibri" w:hAnsi="Calibri" w:cs="Arial"/>
          <w:noProof/>
          <w:color w:val="000000" w:themeColor="text1"/>
          <w:lang w:val="es-ES" w:eastAsia="es-ES_tradnl"/>
        </w:rPr>
        <w:t xml:space="preserve">lgunos años, </w:t>
      </w:r>
      <w:r w:rsidRPr="00075E00">
        <w:rPr>
          <w:rFonts w:ascii="Calibri" w:hAnsi="Calibri" w:cs="Arial"/>
          <w:noProof/>
          <w:color w:val="000000" w:themeColor="text1"/>
          <w:lang w:val="es-ES" w:eastAsia="es-ES_tradnl"/>
        </w:rPr>
        <w:t xml:space="preserve">el Ministerio de Salud Pública (MSP) trabaja en varias estrategias para fomentar prácticas </w:t>
      </w:r>
      <w:r w:rsidR="00C41F4F" w:rsidRPr="00075E00">
        <w:rPr>
          <w:rFonts w:ascii="Calibri" w:hAnsi="Calibri" w:cs="Arial"/>
          <w:noProof/>
          <w:color w:val="000000" w:themeColor="text1"/>
          <w:lang w:val="es-ES" w:eastAsia="es-ES_tradnl"/>
        </w:rPr>
        <w:t xml:space="preserve">adecuadas </w:t>
      </w:r>
      <w:r w:rsidRPr="00075E00">
        <w:rPr>
          <w:rFonts w:ascii="Calibri" w:hAnsi="Calibri" w:cs="Arial"/>
          <w:noProof/>
          <w:color w:val="000000" w:themeColor="text1"/>
          <w:lang w:val="es-ES" w:eastAsia="es-ES_tradnl"/>
        </w:rPr>
        <w:t>de lactancia materna.</w:t>
      </w:r>
      <w:r w:rsidRPr="00075E00">
        <w:rPr>
          <w:rFonts w:ascii="Calibri" w:hAnsi="Calibri" w:cs="Times New Roman"/>
          <w:noProof/>
          <w:color w:val="000000" w:themeColor="text1"/>
          <w:lang w:val="es-ES" w:eastAsia="es-ES_tradnl"/>
        </w:rPr>
        <w:t xml:space="preserve"> E</w:t>
      </w:r>
      <w:r w:rsidRPr="00075E00">
        <w:rPr>
          <w:rFonts w:ascii="Calibri" w:hAnsi="Calibri" w:cs="Arial"/>
          <w:noProof/>
          <w:color w:val="000000" w:themeColor="text1"/>
          <w:lang w:val="es-ES" w:eastAsia="es-ES_tradnl"/>
        </w:rPr>
        <w:t>ntre esas estrategias</w:t>
      </w:r>
      <w:r w:rsidR="00075E00">
        <w:rPr>
          <w:rFonts w:ascii="Calibri" w:hAnsi="Calibri" w:cs="Arial"/>
          <w:noProof/>
          <w:color w:val="000000" w:themeColor="text1"/>
          <w:lang w:val="es-ES" w:eastAsia="es-ES_tradnl"/>
        </w:rPr>
        <w:t>,</w:t>
      </w:r>
      <w:r w:rsidRPr="00075E00">
        <w:rPr>
          <w:rFonts w:ascii="Calibri" w:hAnsi="Calibri" w:cs="Arial"/>
          <w:noProof/>
          <w:color w:val="000000" w:themeColor="text1"/>
          <w:lang w:val="es-ES" w:eastAsia="es-ES_tradnl"/>
        </w:rPr>
        <w:t xml:space="preserve"> se destaca la implementación de la Norma para Establecimientos de Salud Amigos de la Madre y del Niño, que procura un buen inicio a la vida mediante prácticas de parto humanizado y de inicio a la lactancia apropiado.</w:t>
      </w:r>
      <w:r w:rsidRPr="00075E00">
        <w:rPr>
          <w:rFonts w:ascii="Calibri" w:hAnsi="Calibri" w:cs="Times New Roman"/>
          <w:noProof/>
          <w:color w:val="000000" w:themeColor="text1"/>
          <w:lang w:val="es-ES" w:eastAsia="es-ES_tradnl"/>
        </w:rPr>
        <w:t xml:space="preserve"> </w:t>
      </w:r>
      <w:r w:rsidRPr="00075E00">
        <w:rPr>
          <w:rFonts w:ascii="Calibri" w:hAnsi="Calibri" w:cs="Arial"/>
          <w:noProof/>
          <w:color w:val="000000" w:themeColor="text1"/>
          <w:lang w:val="es-ES" w:eastAsia="es-ES_tradnl"/>
        </w:rPr>
        <w:t>Se implementaron nueve bancos de leche humana a escala nacional, en las principales maternidades y hospitales de las ciudades de Quito, Guayaquil, Ambato, Riobamba, Babahoyo, Portoviejo y Cuenca.</w:t>
      </w:r>
    </w:p>
    <w:p w14:paraId="50554E8F" w14:textId="77777777" w:rsidR="00F028E0" w:rsidRPr="00075E00" w:rsidRDefault="00F028E0" w:rsidP="00F028E0">
      <w:pPr>
        <w:shd w:val="clear" w:color="auto" w:fill="FFFFFF"/>
        <w:spacing w:after="0" w:line="240" w:lineRule="auto"/>
        <w:jc w:val="both"/>
        <w:rPr>
          <w:rFonts w:ascii="Calibri" w:hAnsi="Calibri" w:cs="Times New Roman"/>
          <w:noProof/>
          <w:color w:val="000000" w:themeColor="text1"/>
          <w:lang w:val="es-ES" w:eastAsia="es-ES_tradnl"/>
        </w:rPr>
      </w:pPr>
    </w:p>
    <w:p w14:paraId="49462782" w14:textId="54A6312F" w:rsidR="00F028E0" w:rsidRPr="00075E00" w:rsidRDefault="00F028E0" w:rsidP="00F028E0">
      <w:p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Los es</w:t>
      </w:r>
      <w:r w:rsidR="003E7590" w:rsidRPr="00075E00">
        <w:rPr>
          <w:rFonts w:ascii="Calibri" w:hAnsi="Calibri" w:cs="Arial"/>
          <w:noProof/>
          <w:color w:val="000000" w:themeColor="text1"/>
          <w:lang w:val="es-ES" w:eastAsia="es-ES_tradnl"/>
        </w:rPr>
        <w:t>tablecimientos de salud pública</w:t>
      </w:r>
      <w:r w:rsidRPr="00075E00">
        <w:rPr>
          <w:rFonts w:ascii="Calibri" w:hAnsi="Calibri" w:cs="Arial"/>
          <w:noProof/>
          <w:color w:val="000000" w:themeColor="text1"/>
          <w:lang w:val="es-ES" w:eastAsia="es-ES_tradnl"/>
        </w:rPr>
        <w:t xml:space="preserve"> tienen la obligación de proporcionar</w:t>
      </w:r>
      <w:r w:rsidR="00075E00">
        <w:rPr>
          <w:rFonts w:ascii="Calibri" w:hAnsi="Calibri" w:cs="Arial"/>
          <w:noProof/>
          <w:color w:val="000000" w:themeColor="text1"/>
          <w:lang w:val="es-ES" w:eastAsia="es-ES_tradnl"/>
        </w:rPr>
        <w:t xml:space="preserve"> la </w:t>
      </w:r>
      <w:r w:rsidRPr="00075E00">
        <w:rPr>
          <w:rFonts w:ascii="Calibri" w:hAnsi="Calibri" w:cs="Arial"/>
          <w:noProof/>
          <w:color w:val="000000" w:themeColor="text1"/>
          <w:lang w:val="es-ES" w:eastAsia="es-ES_tradnl"/>
        </w:rPr>
        <w:t>consejería nutricional en temas relacionados con la lactancia materna, así como la inclusión de un artículo en la Regulación de Salud Ocupacional que insta a la implementación de Salas de Apoyo a la Lactancia Materna a en instituciones públicas y privadas.</w:t>
      </w:r>
      <w:r w:rsidR="0029759B" w:rsidRPr="00075E00">
        <w:rPr>
          <w:rFonts w:ascii="Calibri" w:hAnsi="Calibri" w:cs="Arial"/>
          <w:noProof/>
          <w:color w:val="000000" w:themeColor="text1"/>
          <w:lang w:val="es-ES" w:eastAsia="es-ES_tradnl"/>
        </w:rPr>
        <w:t xml:space="preserve"> </w:t>
      </w:r>
      <w:r w:rsidRPr="00075E00">
        <w:rPr>
          <w:rFonts w:ascii="Calibri" w:hAnsi="Calibri" w:cs="Arial"/>
          <w:noProof/>
          <w:color w:val="000000" w:themeColor="text1"/>
          <w:lang w:val="es-ES" w:eastAsia="es-ES_tradnl"/>
        </w:rPr>
        <w:t>Para garantizar este derecho a las madres, el Ecuador implementó una licencia voluntaria sin sueldo, por nueve meses, para madres y padres por maternidad, adicional a los tres meses de licencia por lactancia que ya existían en la Ley.</w:t>
      </w:r>
    </w:p>
    <w:p w14:paraId="23669293" w14:textId="77777777" w:rsidR="00F028E0" w:rsidRPr="00075E00" w:rsidRDefault="00F028E0" w:rsidP="00F028E0">
      <w:pPr>
        <w:shd w:val="clear" w:color="auto" w:fill="FFFFFF"/>
        <w:spacing w:after="0" w:line="240" w:lineRule="auto"/>
        <w:jc w:val="both"/>
        <w:rPr>
          <w:rFonts w:ascii="Calibri" w:hAnsi="Calibri" w:cs="Times New Roman"/>
          <w:noProof/>
          <w:color w:val="000000" w:themeColor="text1"/>
          <w:lang w:val="es-ES" w:eastAsia="es-ES_tradnl"/>
        </w:rPr>
      </w:pPr>
    </w:p>
    <w:p w14:paraId="435D8186" w14:textId="69F79DD9" w:rsidR="00F028E0" w:rsidRPr="00075E00" w:rsidRDefault="00F028E0" w:rsidP="00F028E0">
      <w:p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 xml:space="preserve">Entre las iniciativas más recientes, en la propuesta del Código Orgánico de Salud se ha contemplado que para la dispensación y expendio de los sucedáneos de la leche materna se pida prescripción. El Código Orgánico de Salud </w:t>
      </w:r>
      <w:r w:rsidR="00C41F4F" w:rsidRPr="00075E00">
        <w:rPr>
          <w:rFonts w:ascii="Calibri" w:hAnsi="Calibri" w:cs="Arial"/>
          <w:noProof/>
          <w:color w:val="000000" w:themeColor="text1"/>
          <w:lang w:val="es-ES" w:eastAsia="es-ES_tradnl"/>
        </w:rPr>
        <w:t>fortalece los mecanismos para</w:t>
      </w:r>
      <w:r w:rsidRPr="00075E00">
        <w:rPr>
          <w:rFonts w:ascii="Calibri" w:hAnsi="Calibri" w:cs="Arial"/>
          <w:noProof/>
          <w:color w:val="000000" w:themeColor="text1"/>
          <w:lang w:val="es-ES" w:eastAsia="es-ES_tradnl"/>
        </w:rPr>
        <w:t xml:space="preserve"> que la mujer reciba información sobre los beneficios de la lactancia materna durante su em</w:t>
      </w:r>
      <w:r w:rsidR="00075E00">
        <w:rPr>
          <w:rFonts w:ascii="Calibri" w:hAnsi="Calibri" w:cs="Arial"/>
          <w:noProof/>
          <w:color w:val="000000" w:themeColor="text1"/>
          <w:lang w:val="es-ES" w:eastAsia="es-ES_tradnl"/>
        </w:rPr>
        <w:t>barazo, el parto y el puerperio</w:t>
      </w:r>
      <w:r w:rsidRPr="00075E00">
        <w:rPr>
          <w:rFonts w:ascii="Calibri" w:hAnsi="Calibri" w:cs="Arial"/>
          <w:noProof/>
          <w:color w:val="000000" w:themeColor="text1"/>
          <w:lang w:val="es-ES" w:eastAsia="es-ES_tradnl"/>
        </w:rPr>
        <w:t xml:space="preserve"> y que los establecimientos de salud la asesoren para que inicie su lactancia exitosamente.</w:t>
      </w:r>
    </w:p>
    <w:p w14:paraId="68C6ED42" w14:textId="77777777" w:rsidR="00CD7F16" w:rsidRPr="00075E00" w:rsidRDefault="00CD7F16" w:rsidP="00CD7F16">
      <w:pPr>
        <w:shd w:val="clear" w:color="auto" w:fill="FFFFFF"/>
        <w:spacing w:after="0" w:line="240" w:lineRule="auto"/>
        <w:jc w:val="both"/>
        <w:rPr>
          <w:rFonts w:ascii="Calibri" w:hAnsi="Calibri" w:cs="Arial"/>
          <w:noProof/>
          <w:color w:val="000000" w:themeColor="text1"/>
          <w:lang w:val="es-ES" w:eastAsia="es-ES_tradnl"/>
        </w:rPr>
      </w:pPr>
    </w:p>
    <w:p w14:paraId="49D03D22" w14:textId="453B0F9A" w:rsidR="004D75D9" w:rsidRPr="00075E00" w:rsidRDefault="00CD7F16" w:rsidP="00CD7F16">
      <w:p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De forma paralela al Plan de Reducción Acelerada de la Desnutrición, se realiza una promoción intensiva de la lactancia materna exclusiva, para lo cual se implementa la certificación de establecimientos de salud amigos de la madre y el niño. A través de esta certificación, se establecen las pautas para la atención a la madre y al recién nacido, mediante prácticas adecuadas del parto, la disminución de cesáreas, apego inmediato madre e hijo, el inicio de la lactancia dentro de la primera hora, el pinzamiento tardío del cordón umbilical y el cumplimiento obligatorio del código internacional de comercialización de sucedáneos de la lactancia materna, entre otras.</w:t>
      </w:r>
    </w:p>
    <w:p w14:paraId="52427C11" w14:textId="25E3E10B" w:rsidR="004D75D9" w:rsidRPr="00075E00" w:rsidRDefault="004D75D9" w:rsidP="004D75D9">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lastRenderedPageBreak/>
        <w:t>Prevención de embarazo en adolescentes</w:t>
      </w:r>
    </w:p>
    <w:p w14:paraId="46FDEFAA" w14:textId="77777777" w:rsidR="004D75D9" w:rsidRPr="00075E00" w:rsidRDefault="004D75D9" w:rsidP="004D75D9">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1AA0FC39" w14:textId="731D801D" w:rsidR="0047279D" w:rsidRPr="00075E00" w:rsidRDefault="0047279D" w:rsidP="0047279D">
      <w:p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 xml:space="preserve">El Estado ecuatoriano, a través del MSP, en su calidad de Autoridad Sanitaria Nacional busca garantizar la atención integral y amigable en adolescentes mediante intervenciones y estrategias que buscan contribuir a la reducción de embarazos en adolescentes, en el marco de los enfoques dispuestos por el Modelo de Atención Integral de Salud. Entre los avances alcanzados, se detalla continuación un amplio marco normativo desarrollado en los últimos años:  </w:t>
      </w:r>
    </w:p>
    <w:p w14:paraId="2CF8E9E1" w14:textId="77777777" w:rsidR="0047279D" w:rsidRPr="00075E00" w:rsidRDefault="0047279D" w:rsidP="0047279D">
      <w:pPr>
        <w:numPr>
          <w:ilvl w:val="0"/>
          <w:numId w:val="8"/>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Paquete normativo atención al adolescente (2009)</w:t>
      </w:r>
    </w:p>
    <w:p w14:paraId="6431280A" w14:textId="77777777" w:rsidR="0047279D" w:rsidRPr="00075E00" w:rsidRDefault="0047279D" w:rsidP="0047279D">
      <w:pPr>
        <w:numPr>
          <w:ilvl w:val="0"/>
          <w:numId w:val="8"/>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Acuerdo 2490 para la regulación y acceso a métodos anticonceptivos para el SNS (2013) y su instructivo de uso para el MSP (2015)</w:t>
      </w:r>
    </w:p>
    <w:p w14:paraId="4CD9F687" w14:textId="77777777" w:rsidR="0047279D" w:rsidRPr="00075E00" w:rsidRDefault="0047279D" w:rsidP="0047279D">
      <w:pPr>
        <w:numPr>
          <w:ilvl w:val="0"/>
          <w:numId w:val="8"/>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Guía de supervisión para la atención integral del adolescente (2014)</w:t>
      </w:r>
    </w:p>
    <w:p w14:paraId="60D36C49" w14:textId="77777777" w:rsidR="0047279D" w:rsidRPr="00075E00" w:rsidRDefault="0047279D" w:rsidP="0047279D">
      <w:pPr>
        <w:numPr>
          <w:ilvl w:val="0"/>
          <w:numId w:val="8"/>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Plan Nacional de Salud Sexual y Salud Reproductiva 2017-2021, actual política pública (2017)</w:t>
      </w:r>
    </w:p>
    <w:p w14:paraId="29EE2528" w14:textId="77777777" w:rsidR="0047279D" w:rsidRPr="00075E00" w:rsidRDefault="0047279D" w:rsidP="0047279D">
      <w:pPr>
        <w:numPr>
          <w:ilvl w:val="0"/>
          <w:numId w:val="8"/>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Manual de asesoría en Salud Sexual y Salud Reproductiva (2017)</w:t>
      </w:r>
    </w:p>
    <w:p w14:paraId="301433F1" w14:textId="77777777" w:rsidR="0047279D" w:rsidRPr="00075E00" w:rsidRDefault="0047279D" w:rsidP="0047279D">
      <w:pPr>
        <w:numPr>
          <w:ilvl w:val="0"/>
          <w:numId w:val="8"/>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Manual de atención integral en salud  sexual y salud reproductiva para personas con discapacidad (2017)</w:t>
      </w:r>
    </w:p>
    <w:p w14:paraId="1219782D" w14:textId="77777777" w:rsidR="0047279D" w:rsidRPr="00075E00" w:rsidRDefault="0047279D" w:rsidP="0047279D">
      <w:pPr>
        <w:shd w:val="clear" w:color="auto" w:fill="FFFFFF"/>
        <w:spacing w:after="0" w:line="240" w:lineRule="auto"/>
        <w:jc w:val="both"/>
        <w:rPr>
          <w:rFonts w:ascii="Calibri" w:hAnsi="Calibri" w:cs="Arial"/>
          <w:noProof/>
          <w:color w:val="000000" w:themeColor="text1"/>
          <w:lang w:val="es-ES" w:eastAsia="es-ES_tradnl"/>
        </w:rPr>
      </w:pPr>
    </w:p>
    <w:p w14:paraId="7623FEBB" w14:textId="28D72E62" w:rsidR="0047279D" w:rsidRPr="00075E00" w:rsidRDefault="0047279D" w:rsidP="0047279D">
      <w:p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Entre los avances de las estrategias propuestas para contribuir a la reducción de embarazos en adolescentes, cabe resaltar:</w:t>
      </w:r>
    </w:p>
    <w:p w14:paraId="5DF04877" w14:textId="77777777" w:rsidR="0047279D" w:rsidRPr="00075E00" w:rsidRDefault="0047279D" w:rsidP="0047279D">
      <w:pPr>
        <w:shd w:val="clear" w:color="auto" w:fill="FFFFFF"/>
        <w:spacing w:after="0" w:line="240" w:lineRule="auto"/>
        <w:jc w:val="both"/>
        <w:rPr>
          <w:rFonts w:ascii="Calibri" w:hAnsi="Calibri" w:cs="Arial"/>
          <w:noProof/>
          <w:color w:val="000000" w:themeColor="text1"/>
          <w:lang w:val="es-ES" w:eastAsia="es-ES_tradnl"/>
        </w:rPr>
      </w:pPr>
    </w:p>
    <w:p w14:paraId="6618D2DF" w14:textId="5B6F886A" w:rsidR="0047279D" w:rsidRPr="00075E00" w:rsidRDefault="00075E00" w:rsidP="0047279D">
      <w:pPr>
        <w:numPr>
          <w:ilvl w:val="0"/>
          <w:numId w:val="8"/>
        </w:numPr>
        <w:shd w:val="clear" w:color="auto" w:fill="FFFFFF"/>
        <w:spacing w:after="0" w:line="240" w:lineRule="auto"/>
        <w:jc w:val="both"/>
        <w:rPr>
          <w:rFonts w:ascii="Calibri" w:hAnsi="Calibri" w:cs="Arial"/>
          <w:noProof/>
          <w:color w:val="000000" w:themeColor="text1"/>
          <w:lang w:val="es-ES" w:eastAsia="es-ES_tradnl"/>
        </w:rPr>
      </w:pPr>
      <w:r>
        <w:rPr>
          <w:rFonts w:ascii="Calibri" w:hAnsi="Calibri" w:cs="Arial"/>
          <w:noProof/>
          <w:color w:val="000000" w:themeColor="text1"/>
          <w:lang w:val="es-ES" w:eastAsia="es-ES_tradnl"/>
        </w:rPr>
        <w:t xml:space="preserve">El </w:t>
      </w:r>
      <w:r w:rsidR="0047279D" w:rsidRPr="00075E00">
        <w:rPr>
          <w:rFonts w:ascii="Calibri" w:hAnsi="Calibri" w:cs="Arial"/>
          <w:noProof/>
          <w:color w:val="000000" w:themeColor="text1"/>
          <w:lang w:val="es-ES" w:eastAsia="es-ES_tradnl"/>
        </w:rPr>
        <w:t>Desarrollo del componente para la atención amigable para adolescentes en el marco de servicios inclusivos.</w:t>
      </w:r>
    </w:p>
    <w:p w14:paraId="615EA674" w14:textId="535DB124" w:rsidR="0047279D" w:rsidRPr="00075E00" w:rsidRDefault="00075E00" w:rsidP="0047279D">
      <w:pPr>
        <w:numPr>
          <w:ilvl w:val="0"/>
          <w:numId w:val="9"/>
        </w:numPr>
        <w:shd w:val="clear" w:color="auto" w:fill="FFFFFF"/>
        <w:spacing w:after="0" w:line="240" w:lineRule="auto"/>
        <w:jc w:val="both"/>
        <w:rPr>
          <w:rFonts w:ascii="Calibri" w:hAnsi="Calibri" w:cs="Arial"/>
          <w:noProof/>
          <w:color w:val="000000" w:themeColor="text1"/>
          <w:lang w:val="es-ES" w:eastAsia="es-ES_tradnl"/>
        </w:rPr>
      </w:pPr>
      <w:r>
        <w:rPr>
          <w:rFonts w:ascii="Calibri" w:hAnsi="Calibri" w:cs="Arial"/>
          <w:noProof/>
          <w:color w:val="000000" w:themeColor="text1"/>
          <w:lang w:val="es-ES" w:eastAsia="es-ES_tradnl"/>
        </w:rPr>
        <w:t>I</w:t>
      </w:r>
      <w:r w:rsidR="0047279D" w:rsidRPr="00075E00">
        <w:rPr>
          <w:rFonts w:ascii="Calibri" w:hAnsi="Calibri" w:cs="Arial"/>
          <w:noProof/>
          <w:color w:val="000000" w:themeColor="text1"/>
          <w:lang w:val="es-ES" w:eastAsia="es-ES_tradnl"/>
        </w:rPr>
        <w:t>mplementación del Proyecto Decidimos: adolescentes y jóvenes con discapacidad</w:t>
      </w:r>
    </w:p>
    <w:p w14:paraId="1FD3F399" w14:textId="3A56432F" w:rsidR="0047279D" w:rsidRPr="00075E00" w:rsidRDefault="0047279D" w:rsidP="0047279D">
      <w:pPr>
        <w:numPr>
          <w:ilvl w:val="1"/>
          <w:numId w:val="9"/>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Mapeo de organizaciones de jóvenes con discapacidad.</w:t>
      </w:r>
    </w:p>
    <w:p w14:paraId="213505BB" w14:textId="674A6703" w:rsidR="0047279D" w:rsidRPr="00075E00" w:rsidRDefault="0047279D" w:rsidP="0047279D">
      <w:pPr>
        <w:numPr>
          <w:ilvl w:val="1"/>
          <w:numId w:val="9"/>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Propuesta de fortalecimiento de los clubes de adolescentes articulados al MSP y de otras organizaciones juveniles.</w:t>
      </w:r>
    </w:p>
    <w:p w14:paraId="0A29A5E9" w14:textId="08C4E540" w:rsidR="0047279D" w:rsidRPr="00075E00" w:rsidRDefault="0047279D" w:rsidP="0047279D">
      <w:pPr>
        <w:numPr>
          <w:ilvl w:val="1"/>
          <w:numId w:val="9"/>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Materiales educomunicacionales sobre Salud Sexual y Salud Reproductiva para jóvenes con discapacidad.</w:t>
      </w:r>
    </w:p>
    <w:p w14:paraId="7ACEA05A" w14:textId="77777777" w:rsidR="0047279D" w:rsidRPr="00075E00" w:rsidRDefault="0047279D" w:rsidP="0047279D">
      <w:pPr>
        <w:numPr>
          <w:ilvl w:val="0"/>
          <w:numId w:val="9"/>
        </w:numPr>
        <w:shd w:val="clear" w:color="auto" w:fill="FFFFFF"/>
        <w:spacing w:after="0" w:line="240" w:lineRule="auto"/>
        <w:jc w:val="both"/>
        <w:rPr>
          <w:rFonts w:ascii="Calibri" w:hAnsi="Calibri" w:cs="Arial"/>
          <w:noProof/>
          <w:color w:val="000000" w:themeColor="text1"/>
          <w:lang w:val="es-ES" w:eastAsia="es-ES_tradnl"/>
        </w:rPr>
      </w:pPr>
      <w:r w:rsidRPr="00075E00">
        <w:rPr>
          <w:rFonts w:ascii="Calibri" w:hAnsi="Calibri" w:cs="Arial"/>
          <w:noProof/>
          <w:color w:val="000000" w:themeColor="text1"/>
          <w:lang w:val="es-ES" w:eastAsia="es-ES_tradnl"/>
        </w:rPr>
        <w:t>Construcción de la “Estrategia Nacional Intersectorial para la Promoción de los Derechos Sexuales y Derechos Reproductivos, y la Prevención del Embarazo en Adolescentes”, en coordinación  con el Ministerio de Educación.</w:t>
      </w:r>
    </w:p>
    <w:p w14:paraId="46D81BF3" w14:textId="77777777" w:rsidR="002E474F" w:rsidRPr="00075E00" w:rsidRDefault="002E474F" w:rsidP="002E474F">
      <w:pPr>
        <w:spacing w:after="0" w:line="240" w:lineRule="auto"/>
        <w:jc w:val="both"/>
        <w:rPr>
          <w:rFonts w:ascii="Calibri" w:hAnsi="Calibri"/>
          <w:noProof/>
          <w:color w:val="000000" w:themeColor="text1"/>
          <w:lang w:val="es-ES"/>
        </w:rPr>
      </w:pPr>
    </w:p>
    <w:p w14:paraId="44EB99BA" w14:textId="550DCA5F" w:rsidR="00544B8C" w:rsidRPr="00075E00" w:rsidRDefault="00544B8C" w:rsidP="00544B8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Con relación al embarazo adolescente producto de delitos de violencia sexual, </w:t>
      </w:r>
      <w:r w:rsidR="00075E00">
        <w:rPr>
          <w:rFonts w:ascii="Calibri" w:hAnsi="Calibri"/>
          <w:noProof/>
          <w:color w:val="000000" w:themeColor="text1"/>
          <w:lang w:val="es-ES"/>
        </w:rPr>
        <w:t xml:space="preserve">la </w:t>
      </w:r>
      <w:r w:rsidRPr="00075E00">
        <w:rPr>
          <w:rFonts w:ascii="Calibri" w:hAnsi="Calibri"/>
          <w:noProof/>
          <w:color w:val="000000" w:themeColor="text1"/>
          <w:lang w:val="es-ES"/>
        </w:rPr>
        <w:t>“Norma Técnica de Atención Integral en Violencia de Género (NTAIVG)” constituye una respuesta al complejo fenómeno social de la violencia de género y una herramienta de obligatorio cumplimiento para la prestación de servicios integrales, en el marco de las competencias del ámbito de la salud, y establece.  Cuando se ha identificado a una víctima de violencia sexual</w:t>
      </w:r>
      <w:r w:rsidR="00075E00">
        <w:rPr>
          <w:rFonts w:ascii="Calibri" w:hAnsi="Calibri"/>
          <w:noProof/>
          <w:color w:val="000000" w:themeColor="text1"/>
          <w:lang w:val="es-ES"/>
        </w:rPr>
        <w:t>,</w:t>
      </w:r>
      <w:r w:rsidRPr="00075E00">
        <w:rPr>
          <w:rFonts w:ascii="Calibri" w:hAnsi="Calibri"/>
          <w:noProof/>
          <w:color w:val="000000" w:themeColor="text1"/>
          <w:lang w:val="es-ES"/>
        </w:rPr>
        <w:t xml:space="preserve"> el MSP garantiza un abordaje integral que incluya la prevención de un embarazo, mediante un tratamiento profiláctico que incluye Anticoncepción Oral de Emergencia (AOE). </w:t>
      </w:r>
    </w:p>
    <w:p w14:paraId="6D2B8902" w14:textId="369E684E" w:rsidR="00544B8C" w:rsidRPr="00075E00" w:rsidRDefault="00544B8C" w:rsidP="002E474F">
      <w:pPr>
        <w:spacing w:after="0" w:line="240" w:lineRule="auto"/>
        <w:jc w:val="both"/>
        <w:rPr>
          <w:rFonts w:ascii="Calibri" w:hAnsi="Calibri"/>
          <w:noProof/>
          <w:color w:val="000000" w:themeColor="text1"/>
          <w:lang w:val="es-ES"/>
        </w:rPr>
      </w:pPr>
    </w:p>
    <w:p w14:paraId="053C24C7" w14:textId="0D19755B" w:rsidR="0064517F" w:rsidRPr="00075E00" w:rsidRDefault="0064517F" w:rsidP="002E474F">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La Norma Técnica de atención integral en violencia de género incluso determina que cuando se trata de NNA, los informes médicos tienen carácter pericial y por tanto hacen prueba ante la Fiscalía. La Norma crea 15 Salas de Primera Acogida en las cuales se da atención integral a las víctimas de violencia, incluyendo informes médicos y periciales; fortalecimiento de las salas de emergencia de los 128 hospitales y 1512 centros de salud. Se han realizado capacitaciones sobre la Norma y en </w:t>
      </w:r>
      <w:r w:rsidRPr="00075E00">
        <w:rPr>
          <w:rFonts w:ascii="Calibri" w:hAnsi="Calibri"/>
          <w:noProof/>
          <w:color w:val="000000" w:themeColor="text1"/>
          <w:lang w:val="es-ES"/>
        </w:rPr>
        <w:lastRenderedPageBreak/>
        <w:t xml:space="preserve">agosto de este año se lanzó un 2do. Curso Virtual sobre Violencia de Género. El MSP también forma parte del Plan Nacional de Erradicación de la Violencia de Género y de la Mesa Interinstitucional de Género por lo cual se inscribe dentro de acciones y políticas coordinadas, específicamente para afinar los procesos de denuncia de casos y de atención a las víctimas, y para acordar formularios, protocolos y flujos de referencia. </w:t>
      </w:r>
    </w:p>
    <w:p w14:paraId="3A34021F" w14:textId="77777777" w:rsidR="00544B8C" w:rsidRPr="00075E00" w:rsidRDefault="00544B8C" w:rsidP="002E474F">
      <w:pPr>
        <w:spacing w:after="0" w:line="240" w:lineRule="auto"/>
        <w:jc w:val="both"/>
        <w:rPr>
          <w:rFonts w:ascii="Calibri" w:hAnsi="Calibri"/>
          <w:noProof/>
          <w:color w:val="000000" w:themeColor="text1"/>
          <w:lang w:val="es-ES"/>
        </w:rPr>
      </w:pPr>
    </w:p>
    <w:p w14:paraId="0C7C2FF5" w14:textId="66673D85" w:rsidR="007E6191" w:rsidRPr="00075E00" w:rsidRDefault="007E6191" w:rsidP="007D6DAB">
      <w:pPr>
        <w:pStyle w:val="Prrafodelista"/>
        <w:numPr>
          <w:ilvl w:val="0"/>
          <w:numId w:val="5"/>
        </w:numPr>
        <w:shd w:val="clear" w:color="auto" w:fill="FFFFFF"/>
        <w:spacing w:after="0" w:line="240" w:lineRule="auto"/>
        <w:ind w:left="284" w:hanging="284"/>
        <w:jc w:val="both"/>
        <w:rPr>
          <w:rFonts w:ascii="Calibri" w:hAnsi="Calibri"/>
          <w:noProof/>
          <w:color w:val="000000" w:themeColor="text1"/>
          <w:lang w:val="es-ES"/>
        </w:rPr>
      </w:pPr>
      <w:r w:rsidRPr="00075E00">
        <w:rPr>
          <w:rFonts w:ascii="Calibri" w:eastAsia="Times New Roman" w:hAnsi="Calibri" w:cs="Times New Roman"/>
          <w:b/>
          <w:noProof/>
          <w:color w:val="000000" w:themeColor="text1"/>
          <w:lang w:val="es-ES" w:eastAsia="es-EC"/>
        </w:rPr>
        <w:t>Políticas públicas sobre salud mental</w:t>
      </w:r>
    </w:p>
    <w:p w14:paraId="3B1C72DB" w14:textId="78AEBB93" w:rsidR="007E6191" w:rsidRPr="00075E00" w:rsidRDefault="007E6191" w:rsidP="002E474F">
      <w:pPr>
        <w:spacing w:after="0" w:line="240" w:lineRule="auto"/>
        <w:jc w:val="both"/>
        <w:rPr>
          <w:rFonts w:ascii="Calibri" w:eastAsia="Times New Roman" w:hAnsi="Calibri" w:cs="Times New Roman"/>
          <w:noProof/>
          <w:color w:val="000000" w:themeColor="text1"/>
          <w:lang w:val="es-ES" w:eastAsia="es-EC"/>
        </w:rPr>
      </w:pPr>
    </w:p>
    <w:p w14:paraId="7CE4E038" w14:textId="289CE2DC" w:rsidR="0091470F" w:rsidRPr="00075E00" w:rsidRDefault="0091470F" w:rsidP="0091470F">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La Constitución establece que el consumo problemático es un problema de salud pública. </w:t>
      </w:r>
      <w:r w:rsidR="00075E00">
        <w:rPr>
          <w:rFonts w:ascii="Calibri" w:hAnsi="Calibri"/>
          <w:noProof/>
          <w:color w:val="000000" w:themeColor="text1"/>
          <w:lang w:val="es-ES"/>
        </w:rPr>
        <w:t>E</w:t>
      </w:r>
      <w:r w:rsidRPr="00075E00">
        <w:rPr>
          <w:rFonts w:ascii="Calibri" w:hAnsi="Calibri"/>
          <w:iCs/>
          <w:noProof/>
          <w:color w:val="000000" w:themeColor="text1"/>
          <w:lang w:val="es-ES"/>
        </w:rPr>
        <w:t xml:space="preserve">n el marco del Proyecto Creación e Implementación de Servicios de la Red de Salud Mental Comunitaria y Centros Estatales de Recuperación de Adicciones y la implementación del Modelo de Atención de Salud Mental, </w:t>
      </w:r>
      <w:r w:rsidR="00075E00">
        <w:rPr>
          <w:rFonts w:ascii="Calibri" w:hAnsi="Calibri"/>
          <w:iCs/>
          <w:noProof/>
          <w:color w:val="000000" w:themeColor="text1"/>
          <w:lang w:val="es-ES"/>
        </w:rPr>
        <w:t xml:space="preserve">el MSP </w:t>
      </w:r>
      <w:r w:rsidRPr="00075E00">
        <w:rPr>
          <w:rFonts w:ascii="Calibri" w:hAnsi="Calibri"/>
          <w:iCs/>
          <w:noProof/>
          <w:color w:val="000000" w:themeColor="text1"/>
          <w:lang w:val="es-ES"/>
        </w:rPr>
        <w:t>contempla la ampliación de la cartera de servicios para la atención integral a personas con consumo problemático de alcohol y otras drogas y trastornos mentales graves a nivel comunitario. Para el efecto se han implementado servicios ambulatorios intensivos a nivel nacional, Unidades Hospitalarias de Salud Mental y los Centros Especializados de Tratamiento para personas con consumo problemático de alcohol y otras drogas (CETAD), además de promover la participación familiar y co</w:t>
      </w:r>
      <w:r w:rsidRPr="00075E00">
        <w:rPr>
          <w:rFonts w:ascii="Calibri" w:hAnsi="Calibri"/>
          <w:bCs/>
          <w:iCs/>
          <w:noProof/>
          <w:color w:val="000000" w:themeColor="text1"/>
          <w:lang w:val="es-ES"/>
        </w:rPr>
        <w:t xml:space="preserve">munitaria en los procesos de tratamiento y reinserción social. </w:t>
      </w:r>
    </w:p>
    <w:p w14:paraId="737AB5B5" w14:textId="77777777" w:rsidR="0091470F" w:rsidRPr="00075E00" w:rsidRDefault="0091470F" w:rsidP="0091470F">
      <w:pPr>
        <w:spacing w:after="0" w:line="240" w:lineRule="auto"/>
        <w:jc w:val="both"/>
        <w:rPr>
          <w:rFonts w:ascii="Calibri" w:hAnsi="Calibri"/>
          <w:noProof/>
          <w:color w:val="000000" w:themeColor="text1"/>
          <w:lang w:val="es-ES"/>
        </w:rPr>
      </w:pPr>
    </w:p>
    <w:p w14:paraId="4599DA36" w14:textId="43EC24DD" w:rsidR="0091470F" w:rsidRPr="00075E00" w:rsidRDefault="00075E00" w:rsidP="0091470F">
      <w:pPr>
        <w:spacing w:after="0" w:line="240" w:lineRule="auto"/>
        <w:jc w:val="both"/>
        <w:rPr>
          <w:rFonts w:ascii="Calibri" w:hAnsi="Calibri"/>
          <w:noProof/>
          <w:color w:val="000000" w:themeColor="text1"/>
          <w:lang w:val="es-ES"/>
        </w:rPr>
      </w:pPr>
      <w:r>
        <w:rPr>
          <w:rFonts w:ascii="Calibri" w:hAnsi="Calibri"/>
          <w:bCs/>
          <w:iCs/>
          <w:noProof/>
          <w:color w:val="000000" w:themeColor="text1"/>
          <w:lang w:val="es-ES"/>
        </w:rPr>
        <w:t>Desde el 2015, e</w:t>
      </w:r>
      <w:r w:rsidR="0091470F" w:rsidRPr="00075E00">
        <w:rPr>
          <w:rFonts w:ascii="Calibri" w:hAnsi="Calibri"/>
          <w:bCs/>
          <w:iCs/>
          <w:noProof/>
          <w:color w:val="000000" w:themeColor="text1"/>
          <w:lang w:val="es-ES"/>
        </w:rPr>
        <w:t>stá en vigencia la Guía de Supervisión de los Servicios de Salud Mental que contiene: una guía metodológica para la supervisión a los servicios de salud mental; define un sistema de evaluación cualitativa y cuantitativa que permite otorgar un resultado integral en cuanto a la calidad de los servicios evaluados y el desempeño profesional; Identifica los nudos críticos en relación a la implementación y funcionamiento de los servicios de salud mental para una atención integral e integrada y permite identificar las líneas estratégicas establecidas en un Plan de Intervención de mejoramiento de los servicios de salud mental.</w:t>
      </w:r>
    </w:p>
    <w:p w14:paraId="3A553464" w14:textId="77777777" w:rsidR="0091470F" w:rsidRPr="00075E00" w:rsidRDefault="0091470F" w:rsidP="0091470F">
      <w:pPr>
        <w:spacing w:after="0" w:line="240" w:lineRule="auto"/>
        <w:jc w:val="both"/>
        <w:rPr>
          <w:rFonts w:ascii="Calibri" w:hAnsi="Calibri"/>
          <w:noProof/>
          <w:color w:val="000000" w:themeColor="text1"/>
          <w:lang w:val="es-ES"/>
        </w:rPr>
      </w:pPr>
    </w:p>
    <w:p w14:paraId="71C7B3F2" w14:textId="33F256BA" w:rsidR="0091470F" w:rsidRPr="00075E00" w:rsidRDefault="0091470F" w:rsidP="0091470F">
      <w:pPr>
        <w:spacing w:after="0" w:line="240" w:lineRule="auto"/>
        <w:jc w:val="both"/>
        <w:rPr>
          <w:rFonts w:ascii="Calibri" w:hAnsi="Calibri"/>
          <w:noProof/>
          <w:color w:val="000000" w:themeColor="text1"/>
          <w:lang w:val="es-ES"/>
        </w:rPr>
      </w:pPr>
      <w:r w:rsidRPr="00075E00">
        <w:rPr>
          <w:rFonts w:ascii="Calibri" w:hAnsi="Calibri"/>
          <w:bCs/>
          <w:noProof/>
          <w:color w:val="000000" w:themeColor="text1"/>
          <w:lang w:val="es-ES"/>
        </w:rPr>
        <w:t>A continuación, se detalla los servicios de salud mental para la atención integral a niños/as, adolescentes y población en general que presentan consumo problemático de alcohol y otras drogas a lo largo y ancho del País, incluidas las zonas de frontera, garantizando el acceso de atención integral en los tres niveles de atención:</w:t>
      </w:r>
    </w:p>
    <w:p w14:paraId="154F4008" w14:textId="77777777" w:rsidR="0091470F" w:rsidRPr="00075E00" w:rsidRDefault="0091470F" w:rsidP="0091470F">
      <w:pPr>
        <w:spacing w:after="0" w:line="240" w:lineRule="auto"/>
        <w:jc w:val="both"/>
        <w:rPr>
          <w:rFonts w:ascii="Calibri" w:hAnsi="Calibri"/>
          <w:noProof/>
          <w:color w:val="000000" w:themeColor="text1"/>
          <w:lang w:val="es-ES"/>
        </w:rPr>
      </w:pPr>
    </w:p>
    <w:p w14:paraId="2AD790DE" w14:textId="063ADA60" w:rsidR="0091470F" w:rsidRPr="00075E00" w:rsidRDefault="0091470F" w:rsidP="0091470F">
      <w:pPr>
        <w:spacing w:after="0" w:line="240" w:lineRule="auto"/>
        <w:jc w:val="both"/>
        <w:rPr>
          <w:rFonts w:ascii="Calibri" w:hAnsi="Calibri"/>
          <w:noProof/>
          <w:color w:val="000000" w:themeColor="text1"/>
          <w:lang w:val="es-ES"/>
        </w:rPr>
      </w:pPr>
      <w:r w:rsidRPr="00075E00">
        <w:rPr>
          <w:rFonts w:ascii="Calibri" w:hAnsi="Calibri"/>
          <w:bCs/>
          <w:iCs/>
          <w:noProof/>
          <w:color w:val="000000" w:themeColor="text1"/>
          <w:lang w:val="es-ES"/>
        </w:rPr>
        <w:t>En el primer nivel de Atención en Salud se implementaron</w:t>
      </w:r>
      <w:r w:rsidRPr="00075E00">
        <w:rPr>
          <w:rFonts w:ascii="Calibri" w:hAnsi="Calibri"/>
          <w:bCs/>
          <w:noProof/>
          <w:color w:val="000000" w:themeColor="text1"/>
          <w:lang w:val="es-ES"/>
        </w:rPr>
        <w:t xml:space="preserve"> servicios Ambulatorios de Salud Mental</w:t>
      </w:r>
      <w:r w:rsidRPr="00075E00">
        <w:rPr>
          <w:rFonts w:ascii="Calibri" w:hAnsi="Calibri"/>
          <w:noProof/>
          <w:color w:val="000000" w:themeColor="text1"/>
          <w:lang w:val="es-ES"/>
        </w:rPr>
        <w:t xml:space="preserve">. </w:t>
      </w:r>
      <w:r w:rsidRPr="00075E00">
        <w:rPr>
          <w:rFonts w:ascii="Calibri" w:hAnsi="Calibri"/>
          <w:iCs/>
          <w:noProof/>
          <w:color w:val="000000" w:themeColor="text1"/>
          <w:lang w:val="es-ES"/>
        </w:rPr>
        <w:t xml:space="preserve">A la fecha existen 471 establecimientos de salud del Primer Nivel de Atención que cuentan con el servicio de Salud Mental. </w:t>
      </w:r>
    </w:p>
    <w:p w14:paraId="2ADD541D" w14:textId="77777777" w:rsidR="0091470F" w:rsidRPr="00075E00" w:rsidRDefault="0091470F" w:rsidP="0091470F">
      <w:pPr>
        <w:spacing w:after="0" w:line="240" w:lineRule="auto"/>
        <w:jc w:val="both"/>
        <w:rPr>
          <w:rFonts w:ascii="Calibri" w:hAnsi="Calibri"/>
          <w:iCs/>
          <w:noProof/>
          <w:color w:val="000000" w:themeColor="text1"/>
          <w:lang w:val="es-ES"/>
        </w:rPr>
      </w:pPr>
    </w:p>
    <w:p w14:paraId="0EEAC4AC" w14:textId="60259418" w:rsidR="0091470F" w:rsidRPr="00075E00" w:rsidRDefault="0091470F" w:rsidP="0091470F">
      <w:pPr>
        <w:spacing w:after="0" w:line="240" w:lineRule="auto"/>
        <w:jc w:val="both"/>
        <w:rPr>
          <w:rFonts w:ascii="Calibri" w:hAnsi="Calibri"/>
          <w:iCs/>
          <w:noProof/>
          <w:color w:val="000000" w:themeColor="text1"/>
          <w:lang w:val="es-ES"/>
        </w:rPr>
      </w:pPr>
      <w:r w:rsidRPr="00075E00">
        <w:rPr>
          <w:rFonts w:ascii="Calibri" w:hAnsi="Calibri"/>
          <w:iCs/>
          <w:noProof/>
          <w:color w:val="000000" w:themeColor="text1"/>
          <w:lang w:val="es-ES"/>
        </w:rPr>
        <w:t>Para el fortalecimiento en la atención integral a personas con consumo problemático de alcohol, otras drogas y trastornos mentales graves, se ha implementado 45 servicios ambulatorios intensivos en los diferentes establecimientos de salud a nivel nacional hasta la actualidad, conformados por un equipo profesional interdisciplinario (médico general/familiar, psicólogo/a, terapista ocupacional, trabajador/a social, psiquiatra itinerante).</w:t>
      </w:r>
    </w:p>
    <w:p w14:paraId="5F87ABDC" w14:textId="77777777" w:rsidR="0091470F" w:rsidRPr="00075E00" w:rsidRDefault="0091470F" w:rsidP="0091470F">
      <w:pPr>
        <w:spacing w:after="0" w:line="240" w:lineRule="auto"/>
        <w:jc w:val="both"/>
        <w:rPr>
          <w:rFonts w:ascii="Calibri" w:hAnsi="Calibri"/>
          <w:noProof/>
          <w:color w:val="000000" w:themeColor="text1"/>
          <w:lang w:val="es-ES"/>
        </w:rPr>
      </w:pPr>
    </w:p>
    <w:p w14:paraId="2803C242" w14:textId="40909EBA" w:rsidR="0091470F" w:rsidRPr="00075E00" w:rsidRDefault="0091470F" w:rsidP="0091470F">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Con relación al segundo nivel de Atención de Salud, la Unidad de Salud Mental Hospitalaria </w:t>
      </w:r>
      <w:r w:rsidRPr="00075E00">
        <w:rPr>
          <w:rFonts w:ascii="Calibri" w:hAnsi="Calibri"/>
          <w:bCs/>
          <w:noProof/>
          <w:color w:val="000000" w:themeColor="text1"/>
          <w:lang w:val="es-ES"/>
        </w:rPr>
        <w:t>brinda atención a personas con casos agudos de abusos de sustancias; episodios psicóticos; trastornos emocionales graves; derivados de los servicios ambulatorios o ambulatorios intensivos, servicio de urgencia y emergencia</w:t>
      </w:r>
      <w:r w:rsidR="00075E00">
        <w:rPr>
          <w:rFonts w:ascii="Calibri" w:hAnsi="Calibri"/>
          <w:bCs/>
          <w:noProof/>
          <w:color w:val="000000" w:themeColor="text1"/>
          <w:lang w:val="es-ES"/>
        </w:rPr>
        <w:t>; internación de corta estancia; p</w:t>
      </w:r>
      <w:r w:rsidRPr="00075E00">
        <w:rPr>
          <w:rFonts w:ascii="Calibri" w:hAnsi="Calibri"/>
          <w:bCs/>
          <w:noProof/>
          <w:color w:val="000000" w:themeColor="text1"/>
          <w:lang w:val="es-ES"/>
        </w:rPr>
        <w:t xml:space="preserve">romoción de la salud mental y prevención </w:t>
      </w:r>
      <w:r w:rsidRPr="00075E00">
        <w:rPr>
          <w:rFonts w:ascii="Calibri" w:hAnsi="Calibri"/>
          <w:bCs/>
          <w:noProof/>
          <w:color w:val="000000" w:themeColor="text1"/>
          <w:lang w:val="es-ES"/>
        </w:rPr>
        <w:lastRenderedPageBreak/>
        <w:t>de problemas de salud mental y supervisión de enlace. En la actualidad se ha implementado 33 unidades de salud mental hospitalaria a nivel nacional.</w:t>
      </w:r>
    </w:p>
    <w:p w14:paraId="33403126" w14:textId="77777777" w:rsidR="0091470F" w:rsidRPr="00075E00" w:rsidRDefault="0091470F" w:rsidP="0091470F">
      <w:pPr>
        <w:spacing w:after="0" w:line="240" w:lineRule="auto"/>
        <w:jc w:val="both"/>
        <w:rPr>
          <w:rFonts w:ascii="Calibri" w:hAnsi="Calibri"/>
          <w:b/>
          <w:noProof/>
          <w:color w:val="000000" w:themeColor="text1"/>
          <w:u w:val="single"/>
          <w:lang w:val="es-ES"/>
        </w:rPr>
      </w:pPr>
    </w:p>
    <w:p w14:paraId="4E4DDAD2" w14:textId="3ED3F1E9" w:rsidR="0091470F" w:rsidRPr="00075E00" w:rsidRDefault="0091470F" w:rsidP="0091470F">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Sobre el tercer nivel de Atención de Salud, los Centros Especializados de Tratamiento para Personas con Consumo Problemático de Alcohol y otras Drogas </w:t>
      </w:r>
      <w:r w:rsidR="00075E00">
        <w:rPr>
          <w:rFonts w:ascii="Calibri" w:hAnsi="Calibri"/>
          <w:noProof/>
          <w:color w:val="000000" w:themeColor="text1"/>
          <w:lang w:val="es-ES"/>
        </w:rPr>
        <w:t>(</w:t>
      </w:r>
      <w:r w:rsidRPr="00075E00">
        <w:rPr>
          <w:rFonts w:ascii="Calibri" w:hAnsi="Calibri"/>
          <w:noProof/>
          <w:color w:val="000000" w:themeColor="text1"/>
          <w:lang w:val="es-ES"/>
        </w:rPr>
        <w:t>CETAD</w:t>
      </w:r>
      <w:r w:rsidR="00075E00">
        <w:rPr>
          <w:rFonts w:ascii="Calibri" w:hAnsi="Calibri"/>
          <w:noProof/>
          <w:color w:val="000000" w:themeColor="text1"/>
          <w:lang w:val="es-ES"/>
        </w:rPr>
        <w:t>)</w:t>
      </w:r>
      <w:r w:rsidRPr="00075E00">
        <w:rPr>
          <w:rFonts w:ascii="Calibri" w:hAnsi="Calibri"/>
          <w:noProof/>
          <w:color w:val="000000" w:themeColor="text1"/>
          <w:lang w:val="es-ES"/>
        </w:rPr>
        <w:t xml:space="preserve"> corresponden a un establecimiento de salud pública, que presenta servicios especializados destinados al diagnóstico, tratamiento, rehabilitación, reducción de daños, inclusión e integración social a personas con consumo problemático de alcohol y otras drogas. </w:t>
      </w:r>
      <w:r w:rsidRPr="00075E00">
        <w:rPr>
          <w:rFonts w:ascii="Calibri" w:hAnsi="Calibri"/>
          <w:bCs/>
          <w:noProof/>
          <w:color w:val="000000" w:themeColor="text1"/>
          <w:lang w:val="es-ES"/>
        </w:rPr>
        <w:t>Las actividades de salud que se desarrollan contemplan el tratamiento en modalidad residencial, cuenta con profesionales de medicina, terapista ocupacional, psiquiatría (itinerante), psicología clínica, trabajo social, enfermería, nutricionista (itinerante) y personal de apoyo.</w:t>
      </w:r>
    </w:p>
    <w:p w14:paraId="1BD07DFD" w14:textId="77777777" w:rsidR="0091470F" w:rsidRPr="00075E00" w:rsidRDefault="0091470F" w:rsidP="0091470F">
      <w:pPr>
        <w:spacing w:after="0" w:line="240" w:lineRule="auto"/>
        <w:jc w:val="both"/>
        <w:rPr>
          <w:rFonts w:ascii="Calibri" w:hAnsi="Calibri"/>
          <w:bCs/>
          <w:noProof/>
          <w:color w:val="000000" w:themeColor="text1"/>
          <w:lang w:val="es-ES"/>
        </w:rPr>
      </w:pPr>
    </w:p>
    <w:p w14:paraId="287E0244" w14:textId="293A75B2" w:rsidR="0091470F" w:rsidRPr="00075E00" w:rsidRDefault="0091470F" w:rsidP="0091470F">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En el marco de atención integral a personas con consumo problemático de alcohol y otras drogas, se ha implementado a nivel Nacional 5 Centros Especializados de Tratamiento a personas con consumo problemático de alcohol y otras drogas (CETAD)</w:t>
      </w:r>
    </w:p>
    <w:p w14:paraId="0529BCC1" w14:textId="77777777" w:rsidR="0091470F" w:rsidRPr="00075E00" w:rsidRDefault="0091470F" w:rsidP="0091470F">
      <w:pPr>
        <w:spacing w:after="0" w:line="240" w:lineRule="auto"/>
        <w:jc w:val="both"/>
        <w:rPr>
          <w:rFonts w:ascii="Calibri" w:hAnsi="Calibri"/>
          <w:noProof/>
          <w:color w:val="000000" w:themeColor="text1"/>
          <w:lang w:val="es-ES"/>
        </w:rPr>
      </w:pPr>
    </w:p>
    <w:p w14:paraId="2D3AE79F" w14:textId="77777777" w:rsidR="0091470F" w:rsidRPr="00075E00" w:rsidRDefault="0091470F" w:rsidP="0091470F">
      <w:pPr>
        <w:numPr>
          <w:ilvl w:val="0"/>
          <w:numId w:val="10"/>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CETAD OTAVALO (adolescentes hombres)</w:t>
      </w:r>
    </w:p>
    <w:p w14:paraId="47D47862" w14:textId="77777777" w:rsidR="0091470F" w:rsidRPr="00075E00" w:rsidRDefault="0091470F" w:rsidP="0091470F">
      <w:pPr>
        <w:numPr>
          <w:ilvl w:val="0"/>
          <w:numId w:val="10"/>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CETAD PUYO ( adolescentes hombres)</w:t>
      </w:r>
    </w:p>
    <w:p w14:paraId="3D1B153A" w14:textId="77777777" w:rsidR="0091470F" w:rsidRPr="00075E00" w:rsidRDefault="0091470F" w:rsidP="0091470F">
      <w:pPr>
        <w:numPr>
          <w:ilvl w:val="0"/>
          <w:numId w:val="10"/>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CETAD “JUAN ELIAS” (adolescentes hombres)</w:t>
      </w:r>
    </w:p>
    <w:p w14:paraId="530A32CD" w14:textId="77777777" w:rsidR="0091470F" w:rsidRPr="00075E00" w:rsidRDefault="0091470F" w:rsidP="0091470F">
      <w:pPr>
        <w:numPr>
          <w:ilvl w:val="0"/>
          <w:numId w:val="10"/>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CETAD “LIBERTADORES” (adolescentes hombres)</w:t>
      </w:r>
    </w:p>
    <w:p w14:paraId="494BCF6B" w14:textId="77777777" w:rsidR="0091470F" w:rsidRPr="00075E00" w:rsidRDefault="0091470F" w:rsidP="0091470F">
      <w:pPr>
        <w:numPr>
          <w:ilvl w:val="0"/>
          <w:numId w:val="10"/>
        </w:num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CETAD PUMAMAQUI (adolescentes mujeres)</w:t>
      </w:r>
    </w:p>
    <w:p w14:paraId="625EF8DA" w14:textId="77777777" w:rsidR="007E6191" w:rsidRPr="00075E00" w:rsidRDefault="007E6191" w:rsidP="002E474F">
      <w:pPr>
        <w:spacing w:after="0" w:line="240" w:lineRule="auto"/>
        <w:jc w:val="both"/>
        <w:rPr>
          <w:rFonts w:ascii="Calibri" w:hAnsi="Calibri"/>
          <w:noProof/>
          <w:color w:val="000000" w:themeColor="text1"/>
          <w:lang w:val="es-ES"/>
        </w:rPr>
      </w:pPr>
    </w:p>
    <w:p w14:paraId="7BFAEA87" w14:textId="05D26F53" w:rsidR="00937294" w:rsidRPr="00075E00" w:rsidRDefault="008B4FD1" w:rsidP="002E474F">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En este contexto, </w:t>
      </w:r>
      <w:r w:rsidR="00075E00">
        <w:rPr>
          <w:rFonts w:ascii="Calibri" w:hAnsi="Calibri"/>
          <w:noProof/>
          <w:color w:val="000000" w:themeColor="text1"/>
          <w:lang w:val="es-ES"/>
        </w:rPr>
        <w:t>e</w:t>
      </w:r>
      <w:r w:rsidRPr="00075E00">
        <w:rPr>
          <w:rFonts w:ascii="Calibri" w:hAnsi="Calibri"/>
          <w:noProof/>
          <w:color w:val="000000" w:themeColor="text1"/>
          <w:lang w:val="es-ES"/>
        </w:rPr>
        <w:t>n el marco del Proyecto de Creación e Implementación de Servicios de la Red de Salud Mental Comunitaria y Centros Estatales de Recuperación de Adicciones, se han implementado lineamientos operativos para la pr</w:t>
      </w:r>
      <w:r w:rsidR="00937294" w:rsidRPr="00075E00">
        <w:rPr>
          <w:rFonts w:ascii="Calibri" w:hAnsi="Calibri"/>
          <w:noProof/>
          <w:color w:val="000000" w:themeColor="text1"/>
          <w:lang w:val="es-ES"/>
        </w:rPr>
        <w:t>evención en autolesión/suicidio</w:t>
      </w:r>
      <w:r w:rsidRPr="00075E00">
        <w:rPr>
          <w:rFonts w:ascii="Calibri" w:hAnsi="Calibri"/>
          <w:noProof/>
          <w:color w:val="000000" w:themeColor="text1"/>
          <w:lang w:val="es-ES"/>
        </w:rPr>
        <w:t>.</w:t>
      </w:r>
      <w:r w:rsidR="009268A4" w:rsidRPr="00075E00">
        <w:rPr>
          <w:rFonts w:ascii="Calibri" w:hAnsi="Calibri"/>
          <w:noProof/>
          <w:color w:val="000000" w:themeColor="text1"/>
          <w:lang w:val="es-ES"/>
        </w:rPr>
        <w:t xml:space="preserve"> El mismo que tiene como finalidad establecer un flujo de atención, con labores de prevención y atención integral de salud a niños, niñas y adolescentes con ideación suicida, así como la orientación y manejo a los familiares en servicios del MSP, en articulación con las instituciones educativas, comunidad y familia.</w:t>
      </w:r>
    </w:p>
    <w:p w14:paraId="34387B36" w14:textId="77777777" w:rsidR="009268A4" w:rsidRPr="00075E00" w:rsidRDefault="009268A4" w:rsidP="002E474F">
      <w:pPr>
        <w:spacing w:after="0" w:line="240" w:lineRule="auto"/>
        <w:jc w:val="both"/>
        <w:rPr>
          <w:rFonts w:ascii="Calibri" w:hAnsi="Calibri"/>
          <w:noProof/>
          <w:color w:val="000000" w:themeColor="text1"/>
          <w:lang w:val="es-ES"/>
        </w:rPr>
      </w:pPr>
    </w:p>
    <w:p w14:paraId="76C9F22C" w14:textId="7E88BE57" w:rsidR="0029759B" w:rsidRPr="00075E00" w:rsidRDefault="0029759B" w:rsidP="00C41F4F">
      <w:pPr>
        <w:pBdr>
          <w:top w:val="single" w:sz="4" w:space="1" w:color="auto"/>
          <w:left w:val="single" w:sz="4" w:space="4" w:color="auto"/>
        </w:pBdr>
        <w:shd w:val="clear" w:color="auto" w:fill="FFFFFF"/>
        <w:spacing w:after="0" w:line="240" w:lineRule="auto"/>
        <w:outlineLvl w:val="0"/>
        <w:rPr>
          <w:rFonts w:ascii="Calibri" w:eastAsia="Times New Roman" w:hAnsi="Calibri" w:cs="Times New Roman"/>
          <w:i/>
          <w:noProof/>
          <w:color w:val="000000" w:themeColor="text1"/>
          <w:lang w:val="es-ES" w:eastAsia="es-EC"/>
        </w:rPr>
      </w:pPr>
      <w:r w:rsidRPr="00075E00">
        <w:rPr>
          <w:rFonts w:ascii="Calibri" w:eastAsia="Times New Roman" w:hAnsi="Calibri" w:cs="Times New Roman"/>
          <w:i/>
          <w:noProof/>
          <w:color w:val="000000" w:themeColor="text1"/>
          <w:lang w:val="es-ES" w:eastAsia="es-EC"/>
        </w:rPr>
        <w:t>Justicia e Inclusión</w:t>
      </w:r>
    </w:p>
    <w:p w14:paraId="3C5C6F61" w14:textId="77777777" w:rsidR="0029759B" w:rsidRPr="00075E00" w:rsidRDefault="0029759B" w:rsidP="0029759B">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3A1F14A7" w14:textId="2B273532" w:rsidR="00CD76AC" w:rsidRPr="00075E00" w:rsidRDefault="00CD76AC" w:rsidP="004D75D9">
      <w:pPr>
        <w:pStyle w:val="Prrafodelista"/>
        <w:numPr>
          <w:ilvl w:val="0"/>
          <w:numId w:val="5"/>
        </w:numPr>
        <w:shd w:val="clear" w:color="auto" w:fill="FFFFFF"/>
        <w:spacing w:after="0" w:line="240" w:lineRule="auto"/>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Información sobre el bono Joaquín Gallegos Lara</w:t>
      </w:r>
    </w:p>
    <w:p w14:paraId="38F21512" w14:textId="55681E96" w:rsidR="00CD76AC" w:rsidRPr="00075E00" w:rsidRDefault="00CD76AC" w:rsidP="00CD76AC">
      <w:pPr>
        <w:shd w:val="clear" w:color="auto" w:fill="FFFFFF"/>
        <w:tabs>
          <w:tab w:val="left" w:pos="2726"/>
        </w:tabs>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Times New Roman"/>
          <w:noProof/>
          <w:color w:val="000000" w:themeColor="text1"/>
          <w:lang w:val="es-ES" w:eastAsia="es-EC"/>
        </w:rPr>
        <w:tab/>
      </w:r>
    </w:p>
    <w:p w14:paraId="0614C09E" w14:textId="77777777" w:rsidR="003E7590" w:rsidRPr="00075E00" w:rsidRDefault="003E7590" w:rsidP="003E7590">
      <w:pPr>
        <w:spacing w:after="0" w:line="240" w:lineRule="auto"/>
        <w:jc w:val="both"/>
        <w:rPr>
          <w:rFonts w:ascii="Calibri" w:hAnsi="Calibri" w:cs="Times New Roman"/>
          <w:noProof/>
          <w:color w:val="000000" w:themeColor="text1"/>
          <w:lang w:val="es-ES" w:eastAsia="es-ES_tradnl"/>
        </w:rPr>
      </w:pPr>
      <w:r w:rsidRPr="00075E00">
        <w:rPr>
          <w:rFonts w:ascii="Calibri" w:hAnsi="Calibri" w:cs="Times New Roman"/>
          <w:noProof/>
          <w:color w:val="000000" w:themeColor="text1"/>
          <w:lang w:val="es-ES" w:eastAsia="es-ES_tradnl"/>
        </w:rPr>
        <w:t xml:space="preserve">Como parte de las políticas de inclusión y protección de las personas, y en especial a los NNA con algún tipo de discapacidad, se contempla el bono “Joaquín Gallegos Lara”, que es una transferencia monetaria condicionada a un familiar o persona responsable del cuidado de una persona con discapacidad física o intelectual severas, con altos niveles de dependencia. Este programa también contempla la entrega de medicinas, capacitación en áreas como salud, higiene, rehabilitación, nutrición, derechos y autoestima, además busca cumplir con un oportuno seguimiento de manera permanente. </w:t>
      </w:r>
    </w:p>
    <w:p w14:paraId="652E152F" w14:textId="77777777" w:rsidR="003E7590" w:rsidRPr="00075E00" w:rsidRDefault="003E7590" w:rsidP="003E7590">
      <w:pPr>
        <w:spacing w:after="0" w:line="240" w:lineRule="auto"/>
        <w:jc w:val="both"/>
        <w:rPr>
          <w:rFonts w:ascii="Calibri" w:hAnsi="Calibri" w:cs="Times New Roman"/>
          <w:noProof/>
          <w:color w:val="000000" w:themeColor="text1"/>
          <w:lang w:val="es-ES" w:eastAsia="es-ES_tradnl"/>
        </w:rPr>
      </w:pPr>
    </w:p>
    <w:p w14:paraId="6A85738E" w14:textId="19A0C04C" w:rsidR="001D1917" w:rsidRPr="00075E00" w:rsidRDefault="003E7590" w:rsidP="00CE72CC">
      <w:pPr>
        <w:spacing w:after="0" w:line="240" w:lineRule="auto"/>
        <w:jc w:val="both"/>
        <w:rPr>
          <w:rFonts w:ascii="Calibri" w:hAnsi="Calibri" w:cs="Times New Roman"/>
          <w:noProof/>
          <w:color w:val="000000" w:themeColor="text1"/>
          <w:lang w:val="es-ES" w:eastAsia="es-ES_tradnl"/>
        </w:rPr>
      </w:pPr>
      <w:r w:rsidRPr="00075E00">
        <w:rPr>
          <w:rFonts w:ascii="Calibri" w:hAnsi="Calibri" w:cs="Times New Roman"/>
          <w:noProof/>
          <w:color w:val="000000" w:themeColor="text1"/>
          <w:lang w:val="es-ES" w:eastAsia="es-ES_tradnl"/>
        </w:rPr>
        <w:t xml:space="preserve">El bono, como toda transferencia monetaria condicionada, contempla que la variación del universo de población objetivo dependerá del cumplimiento de criterios de elegibilidad (actualización registro social, recalificación de discapacidad del beneficiario en el caso de personas con discapacidad, fallecimiento, entre otros) y la observancia de la corresponsabilidad de las personas </w:t>
      </w:r>
      <w:r w:rsidRPr="00075E00">
        <w:rPr>
          <w:rFonts w:ascii="Calibri" w:hAnsi="Calibri" w:cs="Times New Roman"/>
          <w:noProof/>
          <w:color w:val="000000" w:themeColor="text1"/>
          <w:lang w:val="es-ES" w:eastAsia="es-ES_tradnl"/>
        </w:rPr>
        <w:lastRenderedPageBreak/>
        <w:t xml:space="preserve">cuidadoras de las personas antes mencionadas. </w:t>
      </w:r>
      <w:r w:rsidR="007871A0" w:rsidRPr="00075E00">
        <w:rPr>
          <w:rFonts w:ascii="Calibri" w:hAnsi="Calibri" w:cs="Times New Roman"/>
          <w:noProof/>
          <w:color w:val="000000" w:themeColor="text1"/>
          <w:lang w:val="es-ES" w:eastAsia="es-ES_tradnl"/>
        </w:rPr>
        <w:t>En el 2015, 22.815 personas recibieron este bono. Entre los años 2016 y 2017, los datos demuestran que el número de</w:t>
      </w:r>
      <w:r w:rsidRPr="00075E00">
        <w:rPr>
          <w:rFonts w:ascii="Calibri" w:hAnsi="Calibri" w:cs="Times New Roman"/>
          <w:noProof/>
          <w:color w:val="000000" w:themeColor="text1"/>
          <w:lang w:val="es-ES" w:eastAsia="es-ES_tradnl"/>
        </w:rPr>
        <w:t xml:space="preserve"> personas benef</w:t>
      </w:r>
      <w:r w:rsidR="007871A0" w:rsidRPr="00075E00">
        <w:rPr>
          <w:rFonts w:ascii="Calibri" w:hAnsi="Calibri" w:cs="Times New Roman"/>
          <w:noProof/>
          <w:color w:val="000000" w:themeColor="text1"/>
          <w:lang w:val="es-ES" w:eastAsia="es-ES_tradnl"/>
        </w:rPr>
        <w:t>iciari</w:t>
      </w:r>
      <w:r w:rsidRPr="00075E00">
        <w:rPr>
          <w:rFonts w:ascii="Calibri" w:hAnsi="Calibri" w:cs="Times New Roman"/>
          <w:noProof/>
          <w:color w:val="000000" w:themeColor="text1"/>
          <w:lang w:val="es-ES" w:eastAsia="es-ES_tradnl"/>
        </w:rPr>
        <w:t xml:space="preserve">as </w:t>
      </w:r>
      <w:r w:rsidR="007871A0" w:rsidRPr="00075E00">
        <w:rPr>
          <w:rFonts w:ascii="Calibri" w:hAnsi="Calibri" w:cs="Times New Roman"/>
          <w:noProof/>
          <w:color w:val="000000" w:themeColor="text1"/>
          <w:lang w:val="es-ES" w:eastAsia="es-ES_tradnl"/>
        </w:rPr>
        <w:t xml:space="preserve">fluctúa en función de las variaciones constantes del universo de población objetivo, pero no disminuye de manera </w:t>
      </w:r>
      <w:r w:rsidR="004D75D9" w:rsidRPr="00075E00">
        <w:rPr>
          <w:rFonts w:ascii="Calibri" w:hAnsi="Calibri" w:cs="Times New Roman"/>
          <w:noProof/>
          <w:color w:val="000000" w:themeColor="text1"/>
          <w:lang w:val="es-ES" w:eastAsia="es-ES_tradnl"/>
        </w:rPr>
        <w:t>constante,</w:t>
      </w:r>
      <w:r w:rsidR="007871A0" w:rsidRPr="00075E00">
        <w:rPr>
          <w:rFonts w:ascii="Calibri" w:hAnsi="Calibri" w:cs="Times New Roman"/>
          <w:noProof/>
          <w:color w:val="000000" w:themeColor="text1"/>
          <w:lang w:val="es-ES" w:eastAsia="es-ES_tradnl"/>
        </w:rPr>
        <w:t xml:space="preserve"> sino que se mantiene en números elevados, como se observa </w:t>
      </w:r>
      <w:r w:rsidRPr="00075E00">
        <w:rPr>
          <w:rFonts w:ascii="Calibri" w:hAnsi="Calibri" w:cs="Times New Roman"/>
          <w:noProof/>
          <w:color w:val="000000" w:themeColor="text1"/>
          <w:lang w:val="es-ES" w:eastAsia="es-ES_tradnl"/>
        </w:rPr>
        <w:t>en el gráfico:</w:t>
      </w:r>
    </w:p>
    <w:p w14:paraId="720168DF" w14:textId="77777777" w:rsidR="00A16AD3" w:rsidRPr="00075E00" w:rsidRDefault="00A16AD3" w:rsidP="0029759B">
      <w:pPr>
        <w:spacing w:after="0" w:line="240" w:lineRule="auto"/>
        <w:jc w:val="center"/>
        <w:rPr>
          <w:rFonts w:ascii="Calibri" w:hAnsi="Calibri"/>
          <w:noProof/>
          <w:color w:val="000000" w:themeColor="text1"/>
          <w:lang w:val="es-ES"/>
        </w:rPr>
      </w:pPr>
      <w:r w:rsidRPr="00075E00">
        <w:rPr>
          <w:rFonts w:ascii="Calibri" w:hAnsi="Calibri"/>
          <w:noProof/>
          <w:color w:val="000000" w:themeColor="text1"/>
          <w:lang w:val="es-ES_tradnl" w:eastAsia="es-ES_tradnl"/>
        </w:rPr>
        <w:drawing>
          <wp:inline distT="0" distB="0" distL="0" distR="0" wp14:anchorId="003B7ED3" wp14:editId="6B187FF9">
            <wp:extent cx="5638800" cy="3695065"/>
            <wp:effectExtent l="0" t="0" r="0" b="63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60902" cy="3709548"/>
                    </a:xfrm>
                    <a:prstGeom prst="rect">
                      <a:avLst/>
                    </a:prstGeom>
                  </pic:spPr>
                </pic:pic>
              </a:graphicData>
            </a:graphic>
          </wp:inline>
        </w:drawing>
      </w:r>
    </w:p>
    <w:p w14:paraId="27D8BA6D" w14:textId="77777777" w:rsidR="004C350D" w:rsidRPr="00075E00" w:rsidRDefault="004C350D" w:rsidP="0029759B">
      <w:pPr>
        <w:spacing w:after="0" w:line="240" w:lineRule="auto"/>
        <w:jc w:val="right"/>
        <w:rPr>
          <w:rFonts w:ascii="Calibri" w:hAnsi="Calibri"/>
          <w:noProof/>
          <w:color w:val="000000" w:themeColor="text1"/>
          <w:sz w:val="8"/>
          <w:lang w:val="es-ES"/>
        </w:rPr>
      </w:pPr>
    </w:p>
    <w:p w14:paraId="2B3901DA" w14:textId="3DAB3977" w:rsidR="00A16AD3" w:rsidRPr="00075E00" w:rsidRDefault="00A16AD3" w:rsidP="00C41F4F">
      <w:pPr>
        <w:spacing w:after="0" w:line="240" w:lineRule="auto"/>
        <w:jc w:val="right"/>
        <w:outlineLvl w:val="0"/>
        <w:rPr>
          <w:rFonts w:ascii="Calibri" w:hAnsi="Calibri"/>
          <w:noProof/>
          <w:color w:val="000000" w:themeColor="text1"/>
          <w:sz w:val="16"/>
          <w:lang w:val="es-ES"/>
        </w:rPr>
      </w:pPr>
      <w:r w:rsidRPr="00075E00">
        <w:rPr>
          <w:rFonts w:ascii="Calibri" w:hAnsi="Calibri"/>
          <w:noProof/>
          <w:color w:val="000000" w:themeColor="text1"/>
          <w:sz w:val="16"/>
          <w:lang w:val="es-ES"/>
        </w:rPr>
        <w:t>Fuente: Sistema Nacional de Discapacidades - MIES. Agosto 2017</w:t>
      </w:r>
    </w:p>
    <w:p w14:paraId="4A78604C" w14:textId="77777777" w:rsidR="009268A4" w:rsidRPr="00075E00" w:rsidRDefault="009268A4" w:rsidP="00CE72CC">
      <w:pPr>
        <w:spacing w:after="0" w:line="240" w:lineRule="auto"/>
        <w:jc w:val="both"/>
        <w:rPr>
          <w:rFonts w:ascii="Calibri" w:hAnsi="Calibri"/>
          <w:noProof/>
          <w:color w:val="000000" w:themeColor="text1"/>
          <w:lang w:val="es-ES"/>
        </w:rPr>
      </w:pPr>
    </w:p>
    <w:p w14:paraId="65F33C23" w14:textId="58530B59" w:rsidR="00CD76AC" w:rsidRPr="00075E00" w:rsidRDefault="00CD76AC" w:rsidP="00CD76AC">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 xml:space="preserve">Políticas públicas sobre </w:t>
      </w:r>
      <w:r w:rsidR="0050773A" w:rsidRPr="00075E00">
        <w:rPr>
          <w:rFonts w:ascii="Calibri" w:eastAsia="Times New Roman" w:hAnsi="Calibri" w:cs="Times New Roman"/>
          <w:b/>
          <w:noProof/>
          <w:color w:val="000000" w:themeColor="text1"/>
          <w:lang w:val="es-ES" w:eastAsia="es-EC"/>
        </w:rPr>
        <w:t>reinserción</w:t>
      </w:r>
      <w:r w:rsidRPr="00075E00">
        <w:rPr>
          <w:rFonts w:ascii="Calibri" w:eastAsia="Times New Roman" w:hAnsi="Calibri" w:cs="Times New Roman"/>
          <w:b/>
          <w:noProof/>
          <w:color w:val="000000" w:themeColor="text1"/>
          <w:lang w:val="es-ES" w:eastAsia="es-EC"/>
        </w:rPr>
        <w:t xml:space="preserve"> familiar</w:t>
      </w:r>
    </w:p>
    <w:p w14:paraId="3F3F53C4" w14:textId="77777777" w:rsidR="007D4187" w:rsidRPr="00075E00" w:rsidRDefault="007D4187" w:rsidP="00CD76AC">
      <w:pPr>
        <w:shd w:val="clear" w:color="auto" w:fill="FFFFFF"/>
        <w:spacing w:after="0" w:line="240" w:lineRule="auto"/>
        <w:jc w:val="both"/>
        <w:rPr>
          <w:rFonts w:ascii="Calibri" w:eastAsia="Times New Roman" w:hAnsi="Calibri" w:cs="Times New Roman"/>
          <w:b/>
          <w:noProof/>
          <w:color w:val="000000" w:themeColor="text1"/>
          <w:lang w:val="es-ES" w:eastAsia="es-EC"/>
        </w:rPr>
      </w:pPr>
    </w:p>
    <w:p w14:paraId="2F18D43F" w14:textId="43C2D174" w:rsidR="004C350D" w:rsidRDefault="007670C5"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Respecto a la reinserción familiar, existen dos modalidades de cuidado alternativo que se ejecutan el Ecuador para </w:t>
      </w:r>
      <w:r w:rsidR="00F3002E" w:rsidRPr="00075E00">
        <w:rPr>
          <w:rFonts w:ascii="Calibri" w:hAnsi="Calibri"/>
          <w:noProof/>
          <w:color w:val="000000" w:themeColor="text1"/>
          <w:lang w:val="es-ES"/>
        </w:rPr>
        <w:t xml:space="preserve">los </w:t>
      </w:r>
      <w:r w:rsidRPr="00075E00">
        <w:rPr>
          <w:rFonts w:ascii="Calibri" w:hAnsi="Calibri"/>
          <w:noProof/>
          <w:color w:val="000000" w:themeColor="text1"/>
          <w:lang w:val="es-ES"/>
        </w:rPr>
        <w:t xml:space="preserve">NNA que se encuentran privados del medio familiar. En la modalidad institucional como en el acogimiento familiar, </w:t>
      </w:r>
      <w:r w:rsidR="0050773A" w:rsidRPr="00075E00">
        <w:rPr>
          <w:rFonts w:ascii="Calibri" w:hAnsi="Calibri"/>
          <w:noProof/>
          <w:color w:val="000000" w:themeColor="text1"/>
          <w:lang w:val="es-ES"/>
        </w:rPr>
        <w:t xml:space="preserve">el Estado </w:t>
      </w:r>
      <w:r w:rsidR="00A46F63" w:rsidRPr="00075E00">
        <w:rPr>
          <w:rFonts w:ascii="Calibri" w:hAnsi="Calibri"/>
          <w:noProof/>
          <w:color w:val="000000" w:themeColor="text1"/>
          <w:lang w:val="es-ES"/>
        </w:rPr>
        <w:t>ecuatoriano, a través del Ministerio de Inclusión Económica y Social</w:t>
      </w:r>
      <w:r w:rsidRPr="00075E00">
        <w:rPr>
          <w:rFonts w:ascii="Calibri" w:hAnsi="Calibri"/>
          <w:noProof/>
          <w:color w:val="000000" w:themeColor="text1"/>
          <w:lang w:val="es-ES"/>
        </w:rPr>
        <w:t xml:space="preserve"> </w:t>
      </w:r>
      <w:r w:rsidR="00A46F63" w:rsidRPr="00075E00">
        <w:rPr>
          <w:rFonts w:ascii="Calibri" w:hAnsi="Calibri"/>
          <w:noProof/>
          <w:color w:val="000000" w:themeColor="text1"/>
          <w:lang w:val="es-ES"/>
        </w:rPr>
        <w:t>(</w:t>
      </w:r>
      <w:r w:rsidRPr="00075E00">
        <w:rPr>
          <w:rFonts w:ascii="Calibri" w:hAnsi="Calibri"/>
          <w:noProof/>
          <w:color w:val="000000" w:themeColor="text1"/>
          <w:lang w:val="es-ES"/>
        </w:rPr>
        <w:t>MIES</w:t>
      </w:r>
      <w:r w:rsidR="00A46F63" w:rsidRPr="00075E00">
        <w:rPr>
          <w:rFonts w:ascii="Calibri" w:hAnsi="Calibri"/>
          <w:noProof/>
          <w:color w:val="000000" w:themeColor="text1"/>
          <w:lang w:val="es-ES"/>
        </w:rPr>
        <w:t>),</w:t>
      </w:r>
      <w:r w:rsidRPr="00075E00">
        <w:rPr>
          <w:rFonts w:ascii="Calibri" w:hAnsi="Calibri"/>
          <w:noProof/>
          <w:color w:val="000000" w:themeColor="text1"/>
          <w:lang w:val="es-ES"/>
        </w:rPr>
        <w:t xml:space="preserve"> </w:t>
      </w:r>
      <w:r w:rsidR="00A46F63" w:rsidRPr="00075E00">
        <w:rPr>
          <w:rFonts w:ascii="Calibri" w:hAnsi="Calibri"/>
          <w:noProof/>
          <w:color w:val="000000" w:themeColor="text1"/>
          <w:lang w:val="es-ES"/>
        </w:rPr>
        <w:t>establece</w:t>
      </w:r>
      <w:r w:rsidRPr="00075E00">
        <w:rPr>
          <w:rFonts w:ascii="Calibri" w:hAnsi="Calibri"/>
          <w:noProof/>
          <w:color w:val="000000" w:themeColor="text1"/>
          <w:lang w:val="es-ES"/>
        </w:rPr>
        <w:t xml:space="preserve"> normas técnicas y</w:t>
      </w:r>
      <w:r w:rsidR="00F3002E" w:rsidRPr="00075E00">
        <w:rPr>
          <w:rFonts w:ascii="Calibri" w:hAnsi="Calibri"/>
          <w:noProof/>
          <w:color w:val="000000" w:themeColor="text1"/>
          <w:lang w:val="es-ES"/>
        </w:rPr>
        <w:t xml:space="preserve"> un</w:t>
      </w:r>
      <w:r w:rsidRPr="00075E00">
        <w:rPr>
          <w:rFonts w:ascii="Calibri" w:hAnsi="Calibri"/>
          <w:noProof/>
          <w:color w:val="000000" w:themeColor="text1"/>
          <w:lang w:val="es-ES"/>
        </w:rPr>
        <w:t xml:space="preserve"> modelo de atención que priorizan la reinserción familiar. </w:t>
      </w:r>
    </w:p>
    <w:p w14:paraId="23EA1A25" w14:textId="77777777" w:rsidR="00075E00" w:rsidRPr="00075E00" w:rsidRDefault="00075E00" w:rsidP="00CE72CC">
      <w:pPr>
        <w:spacing w:after="0" w:line="240" w:lineRule="auto"/>
        <w:jc w:val="both"/>
        <w:rPr>
          <w:rFonts w:ascii="Calibri" w:hAnsi="Calibri"/>
          <w:noProof/>
          <w:color w:val="000000" w:themeColor="text1"/>
          <w:lang w:val="es-ES"/>
        </w:rPr>
      </w:pPr>
    </w:p>
    <w:p w14:paraId="39DBC2CA" w14:textId="16001886" w:rsidR="004C350D" w:rsidRPr="00075E00" w:rsidRDefault="00F3002E"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w:t>
      </w:r>
      <w:r w:rsidR="007670C5" w:rsidRPr="00075E00">
        <w:rPr>
          <w:rFonts w:ascii="Calibri" w:hAnsi="Calibri"/>
          <w:noProof/>
          <w:color w:val="000000" w:themeColor="text1"/>
          <w:lang w:val="es-ES"/>
        </w:rPr>
        <w:t xml:space="preserve">sta </w:t>
      </w:r>
      <w:r w:rsidRPr="00075E00">
        <w:rPr>
          <w:rFonts w:ascii="Calibri" w:hAnsi="Calibri"/>
          <w:noProof/>
          <w:color w:val="000000" w:themeColor="text1"/>
          <w:lang w:val="es-ES"/>
        </w:rPr>
        <w:t xml:space="preserve">modalidad </w:t>
      </w:r>
      <w:r w:rsidR="007670C5" w:rsidRPr="00075E00">
        <w:rPr>
          <w:rFonts w:ascii="Calibri" w:hAnsi="Calibri"/>
          <w:noProof/>
          <w:color w:val="000000" w:themeColor="text1"/>
          <w:lang w:val="es-ES"/>
        </w:rPr>
        <w:t xml:space="preserve">es llevada adelante mediante un procedimiento legalmente establecido en el Código de la Niñez y Adolescencia, a través de un instrumento técnico y metodológico denominado Plan Global Familiar, el cual permite establecer objetivos de trabajo con las familias en un periodo máximo de 3 meses, que pueden ser prorrogables según las necesidades de las familias. </w:t>
      </w:r>
    </w:p>
    <w:p w14:paraId="495E5A0B" w14:textId="77777777" w:rsidR="004C350D" w:rsidRPr="00075E00" w:rsidRDefault="004C350D" w:rsidP="00CE72CC">
      <w:pPr>
        <w:spacing w:after="0" w:line="240" w:lineRule="auto"/>
        <w:jc w:val="both"/>
        <w:rPr>
          <w:rFonts w:ascii="Calibri" w:hAnsi="Calibri"/>
          <w:noProof/>
          <w:color w:val="000000" w:themeColor="text1"/>
          <w:lang w:val="es-ES"/>
        </w:rPr>
      </w:pPr>
    </w:p>
    <w:p w14:paraId="5901D222" w14:textId="5D9928B3" w:rsidR="006C1F7A" w:rsidRDefault="004C350D"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Dicha</w:t>
      </w:r>
      <w:r w:rsidR="007670C5" w:rsidRPr="00075E00">
        <w:rPr>
          <w:rFonts w:ascii="Calibri" w:hAnsi="Calibri"/>
          <w:noProof/>
          <w:color w:val="000000" w:themeColor="text1"/>
          <w:lang w:val="es-ES"/>
        </w:rPr>
        <w:t xml:space="preserve"> herramienta aborda diferentes problemáticas identificadas dentro del núcleo familiar, modificación de las prácticas o acciones que motivaron las medidas de protección por parte de las autoridades competentes y que procuran el pronto retorno del NNA a su familia, con el acompañamiento sostenido por un periodo de 6 meses posterior a la reinserción.</w:t>
      </w:r>
    </w:p>
    <w:p w14:paraId="57BB3251" w14:textId="77777777" w:rsidR="002841B7" w:rsidRPr="00075E00" w:rsidRDefault="002841B7" w:rsidP="00CE72CC">
      <w:pPr>
        <w:spacing w:after="0" w:line="240" w:lineRule="auto"/>
        <w:jc w:val="both"/>
        <w:rPr>
          <w:rFonts w:ascii="Calibri" w:hAnsi="Calibri"/>
          <w:noProof/>
          <w:color w:val="000000" w:themeColor="text1"/>
          <w:lang w:val="es-ES"/>
        </w:rPr>
      </w:pPr>
    </w:p>
    <w:p w14:paraId="2FB8AAD6" w14:textId="296C9410" w:rsidR="00CD76AC" w:rsidRPr="00075E00" w:rsidRDefault="008B4FD1" w:rsidP="00CD76AC">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lastRenderedPageBreak/>
        <w:t xml:space="preserve"> </w:t>
      </w:r>
      <w:r w:rsidR="00CD76AC" w:rsidRPr="00075E00">
        <w:rPr>
          <w:rFonts w:ascii="Calibri" w:eastAsia="Times New Roman" w:hAnsi="Calibri" w:cs="Times New Roman"/>
          <w:b/>
          <w:noProof/>
          <w:color w:val="000000" w:themeColor="text1"/>
          <w:lang w:val="es-ES" w:eastAsia="es-EC"/>
        </w:rPr>
        <w:t xml:space="preserve">Atención a NNA </w:t>
      </w:r>
      <w:r w:rsidR="006C1F7A" w:rsidRPr="00075E00">
        <w:rPr>
          <w:rFonts w:ascii="Calibri" w:eastAsia="Times New Roman" w:hAnsi="Calibri" w:cs="Times New Roman"/>
          <w:b/>
          <w:noProof/>
          <w:color w:val="000000" w:themeColor="text1"/>
          <w:lang w:val="es-ES" w:eastAsia="es-EC"/>
        </w:rPr>
        <w:t>hijos</w:t>
      </w:r>
      <w:r w:rsidR="00A46F63" w:rsidRPr="00075E00">
        <w:rPr>
          <w:rFonts w:ascii="Calibri" w:eastAsia="Times New Roman" w:hAnsi="Calibri" w:cs="Times New Roman"/>
          <w:b/>
          <w:noProof/>
          <w:color w:val="000000" w:themeColor="text1"/>
          <w:lang w:val="es-ES" w:eastAsia="es-EC"/>
        </w:rPr>
        <w:t>/as</w:t>
      </w:r>
      <w:r w:rsidR="006C1F7A" w:rsidRPr="00075E00">
        <w:rPr>
          <w:rFonts w:ascii="Calibri" w:eastAsia="Times New Roman" w:hAnsi="Calibri" w:cs="Times New Roman"/>
          <w:b/>
          <w:noProof/>
          <w:color w:val="000000" w:themeColor="text1"/>
          <w:lang w:val="es-ES" w:eastAsia="es-EC"/>
        </w:rPr>
        <w:t xml:space="preserve"> de</w:t>
      </w:r>
      <w:r w:rsidR="00CD76AC" w:rsidRPr="00075E00">
        <w:rPr>
          <w:rFonts w:ascii="Calibri" w:eastAsia="Times New Roman" w:hAnsi="Calibri" w:cs="Times New Roman"/>
          <w:b/>
          <w:noProof/>
          <w:color w:val="000000" w:themeColor="text1"/>
          <w:lang w:val="es-ES" w:eastAsia="es-EC"/>
        </w:rPr>
        <w:t xml:space="preserve"> mujeres privadas de la libertad</w:t>
      </w:r>
    </w:p>
    <w:p w14:paraId="048D3E69" w14:textId="77777777" w:rsidR="007D4187" w:rsidRPr="00075E00" w:rsidRDefault="007D4187" w:rsidP="00CE72CC">
      <w:pPr>
        <w:pStyle w:val="Prrafodelista"/>
        <w:shd w:val="clear" w:color="auto" w:fill="FFFFFF"/>
        <w:spacing w:after="0" w:line="240" w:lineRule="auto"/>
        <w:jc w:val="both"/>
        <w:rPr>
          <w:rFonts w:ascii="Calibri" w:eastAsia="Times New Roman" w:hAnsi="Calibri" w:cs="Times New Roman"/>
          <w:b/>
          <w:noProof/>
          <w:color w:val="000000" w:themeColor="text1"/>
          <w:lang w:val="es-ES" w:eastAsia="es-EC"/>
        </w:rPr>
      </w:pPr>
    </w:p>
    <w:p w14:paraId="6E59A0AB" w14:textId="241761A3" w:rsidR="009E5BE9" w:rsidRPr="00075E00" w:rsidRDefault="00F3002E" w:rsidP="00CE72CC">
      <w:pPr>
        <w:spacing w:after="0" w:line="240" w:lineRule="auto"/>
        <w:jc w:val="both"/>
        <w:rPr>
          <w:rFonts w:ascii="Calibri" w:eastAsia="Times New Roman" w:hAnsi="Calibri" w:cs="Arial"/>
          <w:noProof/>
          <w:color w:val="000000" w:themeColor="text1"/>
          <w:lang w:val="es-ES" w:eastAsia="es-EC"/>
        </w:rPr>
      </w:pPr>
      <w:r w:rsidRPr="00075E00">
        <w:rPr>
          <w:rFonts w:ascii="Calibri" w:eastAsia="Times New Roman" w:hAnsi="Calibri" w:cs="Arial"/>
          <w:noProof/>
          <w:color w:val="000000" w:themeColor="text1"/>
          <w:lang w:val="es-ES" w:eastAsia="es-EC"/>
        </w:rPr>
        <w:t>En el país</w:t>
      </w:r>
      <w:r w:rsidR="009E5BE9" w:rsidRPr="00075E00">
        <w:rPr>
          <w:rFonts w:ascii="Calibri" w:eastAsia="Times New Roman" w:hAnsi="Calibri" w:cs="Arial"/>
          <w:noProof/>
          <w:color w:val="000000" w:themeColor="text1"/>
          <w:lang w:val="es-ES" w:eastAsia="es-EC"/>
        </w:rPr>
        <w:t xml:space="preserve"> existen estrategias para la atención</w:t>
      </w:r>
      <w:r w:rsidR="001935C6" w:rsidRPr="00075E00">
        <w:rPr>
          <w:rFonts w:ascii="Calibri" w:eastAsia="Times New Roman" w:hAnsi="Calibri" w:cs="Arial"/>
          <w:noProof/>
          <w:color w:val="000000" w:themeColor="text1"/>
          <w:lang w:val="es-ES" w:eastAsia="es-EC"/>
        </w:rPr>
        <w:t xml:space="preserve"> prioritaria</w:t>
      </w:r>
      <w:r w:rsidR="009E5BE9" w:rsidRPr="00075E00">
        <w:rPr>
          <w:rFonts w:ascii="Calibri" w:eastAsia="Times New Roman" w:hAnsi="Calibri" w:cs="Arial"/>
          <w:noProof/>
          <w:color w:val="000000" w:themeColor="text1"/>
          <w:lang w:val="es-ES" w:eastAsia="es-EC"/>
        </w:rPr>
        <w:t xml:space="preserve"> de niñas y niños que conviven con sus madres privadas de libertad en</w:t>
      </w:r>
      <w:r w:rsidR="001935C6" w:rsidRPr="00075E00">
        <w:rPr>
          <w:rFonts w:ascii="Calibri" w:eastAsia="Times New Roman" w:hAnsi="Calibri" w:cs="Arial"/>
          <w:noProof/>
          <w:color w:val="000000" w:themeColor="text1"/>
          <w:lang w:val="es-ES" w:eastAsia="es-EC"/>
        </w:rPr>
        <w:t xml:space="preserve"> los Centros de Rehabilitación S</w:t>
      </w:r>
      <w:r w:rsidR="009E5BE9" w:rsidRPr="00075E00">
        <w:rPr>
          <w:rFonts w:ascii="Calibri" w:eastAsia="Times New Roman" w:hAnsi="Calibri" w:cs="Arial"/>
          <w:noProof/>
          <w:color w:val="000000" w:themeColor="text1"/>
          <w:lang w:val="es-ES" w:eastAsia="es-EC"/>
        </w:rPr>
        <w:t>ocial</w:t>
      </w:r>
      <w:r w:rsidR="001935C6" w:rsidRPr="00075E00">
        <w:rPr>
          <w:rFonts w:ascii="Calibri" w:eastAsia="Times New Roman" w:hAnsi="Calibri" w:cs="Arial"/>
          <w:noProof/>
          <w:color w:val="000000" w:themeColor="text1"/>
          <w:lang w:val="es-ES" w:eastAsia="es-EC"/>
        </w:rPr>
        <w:t xml:space="preserve"> (CRS)</w:t>
      </w:r>
      <w:r w:rsidR="009E5BE9" w:rsidRPr="00075E00">
        <w:rPr>
          <w:rFonts w:ascii="Calibri" w:eastAsia="Times New Roman" w:hAnsi="Calibri" w:cs="Arial"/>
          <w:noProof/>
          <w:color w:val="000000" w:themeColor="text1"/>
          <w:lang w:val="es-ES" w:eastAsia="es-EC"/>
        </w:rPr>
        <w:t xml:space="preserve"> del país</w:t>
      </w:r>
      <w:r w:rsidR="009E5BE9" w:rsidRPr="00075E00">
        <w:rPr>
          <w:rFonts w:ascii="Calibri" w:eastAsia="Times New Roman" w:hAnsi="Calibri" w:cs="Times New Roman"/>
          <w:noProof/>
          <w:color w:val="000000" w:themeColor="text1"/>
          <w:lang w:val="es-ES" w:eastAsia="es-EC"/>
        </w:rPr>
        <w:t xml:space="preserve">. En ese sentido, </w:t>
      </w:r>
      <w:r w:rsidR="009E5BE9" w:rsidRPr="00075E00">
        <w:rPr>
          <w:rFonts w:ascii="Calibri" w:eastAsia="Times New Roman" w:hAnsi="Calibri" w:cs="Arial"/>
          <w:noProof/>
          <w:color w:val="000000" w:themeColor="text1"/>
          <w:lang w:val="es-ES" w:eastAsia="es-EC"/>
        </w:rPr>
        <w:t xml:space="preserve">se coordina con los equipos </w:t>
      </w:r>
      <w:r w:rsidR="001935C6" w:rsidRPr="00075E00">
        <w:rPr>
          <w:rFonts w:ascii="Calibri" w:eastAsia="Times New Roman" w:hAnsi="Calibri" w:cs="Arial"/>
          <w:noProof/>
          <w:color w:val="000000" w:themeColor="text1"/>
          <w:lang w:val="es-ES" w:eastAsia="es-EC"/>
        </w:rPr>
        <w:t xml:space="preserve">del programa Creciendo con Nuestros Hijos, que organiza los servicios de Desarrollo Infantil Integral en la modalidad no institucionalizada, que operan a través de visitas, </w:t>
      </w:r>
      <w:r w:rsidR="009E5BE9" w:rsidRPr="00075E00">
        <w:rPr>
          <w:rFonts w:ascii="Calibri" w:eastAsia="Times New Roman" w:hAnsi="Calibri" w:cs="Arial"/>
          <w:noProof/>
          <w:color w:val="000000" w:themeColor="text1"/>
          <w:lang w:val="es-ES" w:eastAsia="es-EC"/>
        </w:rPr>
        <w:t>para que inc</w:t>
      </w:r>
      <w:r w:rsidR="001935C6" w:rsidRPr="00075E00">
        <w:rPr>
          <w:rFonts w:ascii="Calibri" w:eastAsia="Times New Roman" w:hAnsi="Calibri" w:cs="Arial"/>
          <w:noProof/>
          <w:color w:val="000000" w:themeColor="text1"/>
          <w:lang w:val="es-ES" w:eastAsia="es-EC"/>
        </w:rPr>
        <w:t xml:space="preserve">orporen en su planificación encuentros </w:t>
      </w:r>
      <w:r w:rsidR="009E5BE9" w:rsidRPr="00075E00">
        <w:rPr>
          <w:rFonts w:ascii="Calibri" w:eastAsia="Times New Roman" w:hAnsi="Calibri" w:cs="Arial"/>
          <w:noProof/>
          <w:color w:val="000000" w:themeColor="text1"/>
          <w:lang w:val="es-ES" w:eastAsia="es-EC"/>
        </w:rPr>
        <w:t xml:space="preserve">individuales </w:t>
      </w:r>
      <w:r w:rsidR="001935C6" w:rsidRPr="00075E00">
        <w:rPr>
          <w:rFonts w:ascii="Calibri" w:eastAsia="Times New Roman" w:hAnsi="Calibri" w:cs="Arial"/>
          <w:noProof/>
          <w:color w:val="000000" w:themeColor="text1"/>
          <w:lang w:val="es-ES" w:eastAsia="es-EC"/>
        </w:rPr>
        <w:t>con</w:t>
      </w:r>
      <w:r w:rsidR="009E5BE9" w:rsidRPr="00075E00">
        <w:rPr>
          <w:rFonts w:ascii="Calibri" w:eastAsia="Times New Roman" w:hAnsi="Calibri" w:cs="Arial"/>
          <w:noProof/>
          <w:color w:val="000000" w:themeColor="text1"/>
          <w:lang w:val="es-ES" w:eastAsia="es-EC"/>
        </w:rPr>
        <w:t xml:space="preserve"> las madres privadas de libertad.</w:t>
      </w:r>
    </w:p>
    <w:p w14:paraId="7F75AD23" w14:textId="77777777" w:rsidR="009E5BE9" w:rsidRPr="00075E00" w:rsidRDefault="009E5BE9" w:rsidP="00CE72CC">
      <w:pPr>
        <w:spacing w:after="0" w:line="240" w:lineRule="auto"/>
        <w:ind w:left="708"/>
        <w:jc w:val="both"/>
        <w:rPr>
          <w:rFonts w:ascii="Calibri" w:eastAsia="Times New Roman" w:hAnsi="Calibri" w:cs="Times New Roman"/>
          <w:noProof/>
          <w:color w:val="000000" w:themeColor="text1"/>
          <w:lang w:val="es-ES" w:eastAsia="es-EC"/>
        </w:rPr>
      </w:pPr>
    </w:p>
    <w:p w14:paraId="60802301" w14:textId="75391FFE" w:rsidR="009E5BE9" w:rsidRPr="00075E00" w:rsidRDefault="009E5BE9" w:rsidP="00CE72CC">
      <w:pPr>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Arial"/>
          <w:noProof/>
          <w:color w:val="000000" w:themeColor="text1"/>
          <w:lang w:val="es-ES" w:eastAsia="es-EC"/>
        </w:rPr>
        <w:t xml:space="preserve">Las actividades se desarrollan al interior del CRS, en un área proporcionada por el </w:t>
      </w:r>
      <w:r w:rsidR="001935C6" w:rsidRPr="00075E00">
        <w:rPr>
          <w:rFonts w:ascii="Calibri" w:eastAsia="Times New Roman" w:hAnsi="Calibri" w:cs="Arial"/>
          <w:noProof/>
          <w:color w:val="000000" w:themeColor="text1"/>
          <w:lang w:val="es-ES" w:eastAsia="es-EC"/>
        </w:rPr>
        <w:t>Ministerio de Justicia, Derechos Humanos y Cultos</w:t>
      </w:r>
      <w:r w:rsidRPr="00075E00">
        <w:rPr>
          <w:rFonts w:ascii="Calibri" w:eastAsia="Times New Roman" w:hAnsi="Calibri" w:cs="Arial"/>
          <w:noProof/>
          <w:color w:val="000000" w:themeColor="text1"/>
          <w:lang w:val="es-ES" w:eastAsia="es-EC"/>
        </w:rPr>
        <w:t>, la misma que fomenta un ambiente cálido, amplio,</w:t>
      </w:r>
      <w:r w:rsidR="001935C6" w:rsidRPr="00075E00">
        <w:rPr>
          <w:rFonts w:ascii="Calibri" w:eastAsia="Times New Roman" w:hAnsi="Calibri" w:cs="Arial"/>
          <w:noProof/>
          <w:color w:val="000000" w:themeColor="text1"/>
          <w:lang w:val="es-ES" w:eastAsia="es-EC"/>
        </w:rPr>
        <w:t xml:space="preserve"> seguro donde se potencializan </w:t>
      </w:r>
      <w:r w:rsidRPr="00075E00">
        <w:rPr>
          <w:rFonts w:ascii="Calibri" w:eastAsia="Times New Roman" w:hAnsi="Calibri" w:cs="Arial"/>
          <w:noProof/>
          <w:color w:val="000000" w:themeColor="text1"/>
          <w:lang w:val="es-ES" w:eastAsia="es-EC"/>
        </w:rPr>
        <w:t>l</w:t>
      </w:r>
      <w:r w:rsidR="00426C48" w:rsidRPr="00075E00">
        <w:rPr>
          <w:rFonts w:ascii="Calibri" w:eastAsia="Times New Roman" w:hAnsi="Calibri" w:cs="Arial"/>
          <w:noProof/>
          <w:color w:val="000000" w:themeColor="text1"/>
          <w:lang w:val="es-ES" w:eastAsia="es-EC"/>
        </w:rPr>
        <w:t>as condiciones socio-afectivas,</w:t>
      </w:r>
      <w:r w:rsidRPr="00075E00">
        <w:rPr>
          <w:rFonts w:ascii="Calibri" w:eastAsia="Times New Roman" w:hAnsi="Calibri" w:cs="Arial"/>
          <w:noProof/>
          <w:color w:val="000000" w:themeColor="text1"/>
          <w:lang w:val="es-ES" w:eastAsia="es-EC"/>
        </w:rPr>
        <w:t xml:space="preserve"> la lactancia materna y </w:t>
      </w:r>
      <w:r w:rsidR="00426C48" w:rsidRPr="00075E00">
        <w:rPr>
          <w:rFonts w:ascii="Calibri" w:eastAsia="Times New Roman" w:hAnsi="Calibri" w:cs="Arial"/>
          <w:noProof/>
          <w:color w:val="000000" w:themeColor="text1"/>
          <w:lang w:val="es-ES" w:eastAsia="es-EC"/>
        </w:rPr>
        <w:t>el fortalecimiento</w:t>
      </w:r>
      <w:r w:rsidRPr="00075E00">
        <w:rPr>
          <w:rFonts w:ascii="Calibri" w:eastAsia="Times New Roman" w:hAnsi="Calibri" w:cs="Arial"/>
          <w:noProof/>
          <w:color w:val="000000" w:themeColor="text1"/>
          <w:lang w:val="es-ES" w:eastAsia="es-EC"/>
        </w:rPr>
        <w:t xml:space="preserve"> </w:t>
      </w:r>
      <w:r w:rsidR="00426C48" w:rsidRPr="00075E00">
        <w:rPr>
          <w:rFonts w:ascii="Calibri" w:eastAsia="Times New Roman" w:hAnsi="Calibri" w:cs="Arial"/>
          <w:noProof/>
          <w:color w:val="000000" w:themeColor="text1"/>
          <w:lang w:val="es-ES" w:eastAsia="es-EC"/>
        </w:rPr>
        <w:t>d</w:t>
      </w:r>
      <w:r w:rsidRPr="00075E00">
        <w:rPr>
          <w:rFonts w:ascii="Calibri" w:eastAsia="Times New Roman" w:hAnsi="Calibri" w:cs="Arial"/>
          <w:noProof/>
          <w:color w:val="000000" w:themeColor="text1"/>
          <w:lang w:val="es-ES" w:eastAsia="es-EC"/>
        </w:rPr>
        <w:t xml:space="preserve">el vínculo </w:t>
      </w:r>
      <w:r w:rsidR="00F3002E" w:rsidRPr="00075E00">
        <w:rPr>
          <w:rFonts w:ascii="Calibri" w:eastAsia="Times New Roman" w:hAnsi="Calibri" w:cs="Arial"/>
          <w:noProof/>
          <w:color w:val="000000" w:themeColor="text1"/>
          <w:lang w:val="es-ES" w:eastAsia="es-EC"/>
        </w:rPr>
        <w:t xml:space="preserve">afectivo con sus </w:t>
      </w:r>
      <w:r w:rsidRPr="00075E00">
        <w:rPr>
          <w:rFonts w:ascii="Calibri" w:eastAsia="Times New Roman" w:hAnsi="Calibri" w:cs="Arial"/>
          <w:noProof/>
          <w:color w:val="000000" w:themeColor="text1"/>
          <w:lang w:val="es-ES" w:eastAsia="es-EC"/>
        </w:rPr>
        <w:t>madres</w:t>
      </w:r>
      <w:r w:rsidR="00426C48" w:rsidRPr="00075E00">
        <w:rPr>
          <w:rFonts w:ascii="Calibri" w:eastAsia="Times New Roman" w:hAnsi="Calibri" w:cs="Arial"/>
          <w:noProof/>
          <w:color w:val="000000" w:themeColor="text1"/>
          <w:lang w:val="es-ES" w:eastAsia="es-EC"/>
        </w:rPr>
        <w:t xml:space="preserve"> en</w:t>
      </w:r>
      <w:r w:rsidRPr="00075E00">
        <w:rPr>
          <w:rFonts w:ascii="Calibri" w:eastAsia="Times New Roman" w:hAnsi="Calibri" w:cs="Arial"/>
          <w:noProof/>
          <w:color w:val="000000" w:themeColor="text1"/>
          <w:lang w:val="es-ES" w:eastAsia="es-EC"/>
        </w:rPr>
        <w:t xml:space="preserve"> aspectos esencial para su desarrollo </w:t>
      </w:r>
      <w:r w:rsidR="00426C48" w:rsidRPr="00075E00">
        <w:rPr>
          <w:rFonts w:ascii="Calibri" w:eastAsia="Times New Roman" w:hAnsi="Calibri" w:cs="Arial"/>
          <w:noProof/>
          <w:color w:val="000000" w:themeColor="text1"/>
          <w:lang w:val="es-ES" w:eastAsia="es-EC"/>
        </w:rPr>
        <w:t xml:space="preserve">físico y </w:t>
      </w:r>
      <w:r w:rsidRPr="00075E00">
        <w:rPr>
          <w:rFonts w:ascii="Calibri" w:eastAsia="Times New Roman" w:hAnsi="Calibri" w:cs="Arial"/>
          <w:noProof/>
          <w:color w:val="000000" w:themeColor="text1"/>
          <w:lang w:val="es-ES" w:eastAsia="es-EC"/>
        </w:rPr>
        <w:t>emocional.</w:t>
      </w:r>
    </w:p>
    <w:p w14:paraId="2ECBD0FB" w14:textId="77777777" w:rsidR="009E5BE9" w:rsidRPr="00075E00" w:rsidRDefault="009E5BE9" w:rsidP="00CE72CC">
      <w:pPr>
        <w:spacing w:after="0" w:line="240" w:lineRule="auto"/>
        <w:ind w:left="708"/>
        <w:jc w:val="both"/>
        <w:rPr>
          <w:rFonts w:ascii="Calibri" w:eastAsia="Times New Roman" w:hAnsi="Calibri" w:cs="Times New Roman"/>
          <w:noProof/>
          <w:color w:val="000000" w:themeColor="text1"/>
          <w:lang w:val="es-ES" w:eastAsia="es-EC"/>
        </w:rPr>
      </w:pPr>
    </w:p>
    <w:p w14:paraId="63804A6B" w14:textId="24BBBB52" w:rsidR="00F96F3A" w:rsidRPr="00075E00" w:rsidRDefault="00426C48" w:rsidP="00CE72CC">
      <w:pPr>
        <w:spacing w:after="0" w:line="240" w:lineRule="auto"/>
        <w:jc w:val="both"/>
        <w:rPr>
          <w:rFonts w:ascii="Calibri" w:eastAsia="Times New Roman" w:hAnsi="Calibri" w:cs="Times New Roman"/>
          <w:noProof/>
          <w:color w:val="000000" w:themeColor="text1"/>
          <w:lang w:val="es-ES" w:eastAsia="es-EC"/>
        </w:rPr>
      </w:pPr>
      <w:r w:rsidRPr="00075E00">
        <w:rPr>
          <w:rFonts w:ascii="Calibri" w:eastAsia="Times New Roman" w:hAnsi="Calibri" w:cs="Arial"/>
          <w:noProof/>
          <w:color w:val="000000" w:themeColor="text1"/>
          <w:lang w:val="es-ES" w:eastAsia="es-EC"/>
        </w:rPr>
        <w:t>De la misma forma, se brinda a</w:t>
      </w:r>
      <w:r w:rsidR="009E5BE9" w:rsidRPr="00075E00">
        <w:rPr>
          <w:rFonts w:ascii="Calibri" w:eastAsia="Times New Roman" w:hAnsi="Calibri" w:cs="Arial"/>
          <w:noProof/>
          <w:color w:val="000000" w:themeColor="text1"/>
          <w:lang w:val="es-ES" w:eastAsia="es-EC"/>
        </w:rPr>
        <w:t xml:space="preserve">tención en </w:t>
      </w:r>
      <w:r w:rsidRPr="00075E00">
        <w:rPr>
          <w:rFonts w:ascii="Calibri" w:eastAsia="Times New Roman" w:hAnsi="Calibri" w:cs="Arial"/>
          <w:noProof/>
          <w:color w:val="000000" w:themeColor="text1"/>
          <w:lang w:val="es-ES" w:eastAsia="es-EC"/>
        </w:rPr>
        <w:t>un Centros Infantiles del Buen Vivir (CIBV)</w:t>
      </w:r>
      <w:r w:rsidR="009E5BE9" w:rsidRPr="00075E00">
        <w:rPr>
          <w:rFonts w:ascii="Calibri" w:eastAsia="Times New Roman" w:hAnsi="Calibri" w:cs="Arial"/>
          <w:noProof/>
          <w:color w:val="000000" w:themeColor="text1"/>
          <w:lang w:val="es-ES" w:eastAsia="es-EC"/>
        </w:rPr>
        <w:t xml:space="preserve"> a niñas y niños que conviven con sus madres privadas de libertad en los </w:t>
      </w:r>
      <w:r w:rsidRPr="00075E00">
        <w:rPr>
          <w:rFonts w:ascii="Calibri" w:eastAsia="Times New Roman" w:hAnsi="Calibri" w:cs="Arial"/>
          <w:noProof/>
          <w:color w:val="000000" w:themeColor="text1"/>
          <w:lang w:val="es-ES" w:eastAsia="es-EC"/>
        </w:rPr>
        <w:t>CRS.</w:t>
      </w:r>
      <w:r w:rsidRPr="00075E00">
        <w:rPr>
          <w:rFonts w:ascii="Calibri" w:eastAsia="Times New Roman" w:hAnsi="Calibri" w:cs="Times New Roman"/>
          <w:noProof/>
          <w:color w:val="000000" w:themeColor="text1"/>
          <w:lang w:val="es-ES" w:eastAsia="es-EC"/>
        </w:rPr>
        <w:t xml:space="preserve"> </w:t>
      </w:r>
      <w:r w:rsidR="009E5BE9" w:rsidRPr="00075E00">
        <w:rPr>
          <w:rFonts w:ascii="Calibri" w:eastAsia="Times New Roman" w:hAnsi="Calibri" w:cs="Arial"/>
          <w:noProof/>
          <w:color w:val="000000" w:themeColor="text1"/>
          <w:lang w:val="es-ES" w:eastAsia="es-EC"/>
        </w:rPr>
        <w:t>A partir de los trece meses de edad</w:t>
      </w:r>
      <w:r w:rsidR="00E14621" w:rsidRPr="00075E00">
        <w:rPr>
          <w:rFonts w:ascii="Calibri" w:eastAsia="Times New Roman" w:hAnsi="Calibri" w:cs="Arial"/>
          <w:noProof/>
          <w:color w:val="000000" w:themeColor="text1"/>
          <w:lang w:val="es-ES" w:eastAsia="es-EC"/>
        </w:rPr>
        <w:t>,</w:t>
      </w:r>
      <w:r w:rsidR="009E5BE9" w:rsidRPr="00075E00">
        <w:rPr>
          <w:rFonts w:ascii="Calibri" w:eastAsia="Times New Roman" w:hAnsi="Calibri" w:cs="Arial"/>
          <w:noProof/>
          <w:color w:val="000000" w:themeColor="text1"/>
          <w:lang w:val="es-ES" w:eastAsia="es-EC"/>
        </w:rPr>
        <w:t xml:space="preserve"> las </w:t>
      </w:r>
      <w:r w:rsidR="00E14621" w:rsidRPr="00075E00">
        <w:rPr>
          <w:rFonts w:ascii="Calibri" w:eastAsia="Times New Roman" w:hAnsi="Calibri" w:cs="Arial"/>
          <w:noProof/>
          <w:color w:val="000000" w:themeColor="text1"/>
          <w:lang w:val="es-ES" w:eastAsia="es-EC"/>
        </w:rPr>
        <w:t xml:space="preserve">niñas y niños que conviven con </w:t>
      </w:r>
      <w:r w:rsidR="00F3002E" w:rsidRPr="00075E00">
        <w:rPr>
          <w:rFonts w:ascii="Calibri" w:eastAsia="Times New Roman" w:hAnsi="Calibri" w:cs="Arial"/>
          <w:noProof/>
          <w:color w:val="000000" w:themeColor="text1"/>
          <w:lang w:val="es-ES" w:eastAsia="es-EC"/>
        </w:rPr>
        <w:t>sus madres en el CRS</w:t>
      </w:r>
      <w:r w:rsidR="009E5BE9" w:rsidRPr="00075E00">
        <w:rPr>
          <w:rFonts w:ascii="Calibri" w:eastAsia="Times New Roman" w:hAnsi="Calibri" w:cs="Arial"/>
          <w:noProof/>
          <w:color w:val="000000" w:themeColor="text1"/>
          <w:lang w:val="es-ES" w:eastAsia="es-EC"/>
        </w:rPr>
        <w:t xml:space="preserve"> tienen la opo</w:t>
      </w:r>
      <w:r w:rsidRPr="00075E00">
        <w:rPr>
          <w:rFonts w:ascii="Calibri" w:eastAsia="Times New Roman" w:hAnsi="Calibri" w:cs="Arial"/>
          <w:noProof/>
          <w:color w:val="000000" w:themeColor="text1"/>
          <w:lang w:val="es-ES" w:eastAsia="es-EC"/>
        </w:rPr>
        <w:t>rtunidad de ser atendidos en un</w:t>
      </w:r>
      <w:r w:rsidR="009E5BE9" w:rsidRPr="00075E00">
        <w:rPr>
          <w:rFonts w:ascii="Calibri" w:eastAsia="Times New Roman" w:hAnsi="Calibri" w:cs="Arial"/>
          <w:noProof/>
          <w:color w:val="000000" w:themeColor="text1"/>
          <w:lang w:val="es-ES" w:eastAsia="es-EC"/>
        </w:rPr>
        <w:t> CIBV externo, en el cual se desarrolla la jornada diaria establecida en base a las gestiones y estándares de la modalidad.</w:t>
      </w:r>
      <w:r w:rsidR="00E14621" w:rsidRPr="00075E00">
        <w:rPr>
          <w:rFonts w:ascii="Calibri" w:eastAsia="Times New Roman" w:hAnsi="Calibri" w:cs="Times New Roman"/>
          <w:noProof/>
          <w:color w:val="000000" w:themeColor="text1"/>
          <w:lang w:val="es-ES" w:eastAsia="es-EC"/>
        </w:rPr>
        <w:t xml:space="preserve"> </w:t>
      </w:r>
      <w:r w:rsidR="009E5BE9" w:rsidRPr="00075E00">
        <w:rPr>
          <w:rFonts w:ascii="Calibri" w:eastAsia="Times New Roman" w:hAnsi="Calibri" w:cs="Arial"/>
          <w:noProof/>
          <w:color w:val="000000" w:themeColor="text1"/>
          <w:lang w:val="es-ES" w:eastAsia="es-EC"/>
        </w:rPr>
        <w:t>El Ministerio de Justicia</w:t>
      </w:r>
      <w:r w:rsidR="00F3002E" w:rsidRPr="00075E00">
        <w:rPr>
          <w:rFonts w:ascii="Calibri" w:eastAsia="Times New Roman" w:hAnsi="Calibri" w:cs="Arial"/>
          <w:noProof/>
          <w:color w:val="000000" w:themeColor="text1"/>
          <w:lang w:val="es-ES" w:eastAsia="es-EC"/>
        </w:rPr>
        <w:t>,</w:t>
      </w:r>
      <w:r w:rsidR="009E5BE9" w:rsidRPr="00075E00">
        <w:rPr>
          <w:rFonts w:ascii="Calibri" w:eastAsia="Times New Roman" w:hAnsi="Calibri" w:cs="Arial"/>
          <w:noProof/>
          <w:color w:val="000000" w:themeColor="text1"/>
          <w:lang w:val="es-ES" w:eastAsia="es-EC"/>
        </w:rPr>
        <w:t xml:space="preserve"> Derechos Humanos y Cultos establece el protocolo de traslado de los niños y niñas del CRS al CIBV</w:t>
      </w:r>
      <w:r w:rsidR="00F3002E" w:rsidRPr="00075E00">
        <w:rPr>
          <w:rFonts w:ascii="Calibri" w:eastAsia="Times New Roman" w:hAnsi="Calibri" w:cs="Arial"/>
          <w:noProof/>
          <w:color w:val="000000" w:themeColor="text1"/>
          <w:lang w:val="es-ES" w:eastAsia="es-EC"/>
        </w:rPr>
        <w:t>, para su atención integral</w:t>
      </w:r>
      <w:r w:rsidR="009E5BE9" w:rsidRPr="00075E00">
        <w:rPr>
          <w:rFonts w:ascii="Calibri" w:eastAsia="Times New Roman" w:hAnsi="Calibri" w:cs="Arial"/>
          <w:noProof/>
          <w:color w:val="000000" w:themeColor="text1"/>
          <w:lang w:val="es-ES" w:eastAsia="es-EC"/>
        </w:rPr>
        <w:t>.</w:t>
      </w:r>
    </w:p>
    <w:p w14:paraId="1EA26CC8" w14:textId="77777777" w:rsidR="0029759B" w:rsidRPr="00075E00" w:rsidRDefault="0029759B" w:rsidP="00CE72CC">
      <w:pPr>
        <w:spacing w:after="0" w:line="240" w:lineRule="auto"/>
        <w:jc w:val="both"/>
        <w:rPr>
          <w:rFonts w:ascii="Calibri" w:eastAsia="Times New Roman" w:hAnsi="Calibri" w:cs="Times New Roman"/>
          <w:noProof/>
          <w:color w:val="000000" w:themeColor="text1"/>
          <w:lang w:val="es-ES" w:eastAsia="es-EC"/>
        </w:rPr>
      </w:pPr>
    </w:p>
    <w:p w14:paraId="5C291D54" w14:textId="6EE11B7E" w:rsidR="0029759B" w:rsidRPr="00075E00" w:rsidRDefault="0029759B" w:rsidP="00C41F4F">
      <w:pPr>
        <w:pBdr>
          <w:top w:val="single" w:sz="4" w:space="1" w:color="auto"/>
          <w:left w:val="single" w:sz="4" w:space="4" w:color="auto"/>
        </w:pBdr>
        <w:shd w:val="clear" w:color="auto" w:fill="FFFFFF"/>
        <w:spacing w:after="0" w:line="240" w:lineRule="auto"/>
        <w:outlineLvl w:val="0"/>
        <w:rPr>
          <w:rFonts w:ascii="Calibri" w:eastAsia="Times New Roman" w:hAnsi="Calibri" w:cs="Times New Roman"/>
          <w:i/>
          <w:noProof/>
          <w:color w:val="000000" w:themeColor="text1"/>
          <w:lang w:val="es-ES" w:eastAsia="es-EC"/>
        </w:rPr>
      </w:pPr>
      <w:r w:rsidRPr="00075E00">
        <w:rPr>
          <w:rFonts w:ascii="Calibri" w:eastAsia="Times New Roman" w:hAnsi="Calibri" w:cs="Times New Roman"/>
          <w:i/>
          <w:noProof/>
          <w:color w:val="000000" w:themeColor="text1"/>
          <w:lang w:val="es-ES" w:eastAsia="es-EC"/>
        </w:rPr>
        <w:t>Movilidad Humana</w:t>
      </w:r>
    </w:p>
    <w:p w14:paraId="30571814" w14:textId="77777777" w:rsidR="0029759B" w:rsidRPr="00075E00" w:rsidRDefault="0029759B" w:rsidP="0029759B">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120B8639" w14:textId="3E132BC0" w:rsidR="006C1F7A" w:rsidRPr="00075E00" w:rsidRDefault="006C1F7A" w:rsidP="006C1F7A">
      <w:pPr>
        <w:pStyle w:val="Prrafodelista"/>
        <w:numPr>
          <w:ilvl w:val="0"/>
          <w:numId w:val="5"/>
        </w:numPr>
        <w:shd w:val="clear" w:color="auto" w:fill="FFFFFF"/>
        <w:spacing w:after="0" w:line="240" w:lineRule="auto"/>
        <w:ind w:left="284" w:hanging="284"/>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 xml:space="preserve"> Protección de derechos e inclusión de NNA refugiados o solicitantes, especialmente solos o no acompañados</w:t>
      </w:r>
    </w:p>
    <w:p w14:paraId="3608FE2B" w14:textId="77777777" w:rsidR="006C1F7A" w:rsidRPr="00075E00" w:rsidRDefault="006C1F7A" w:rsidP="0029759B">
      <w:pPr>
        <w:shd w:val="clear" w:color="auto" w:fill="FFFFFF"/>
        <w:spacing w:after="0" w:line="240" w:lineRule="auto"/>
        <w:jc w:val="both"/>
        <w:rPr>
          <w:rFonts w:ascii="Calibri" w:eastAsia="Times New Roman" w:hAnsi="Calibri" w:cs="Times New Roman"/>
          <w:noProof/>
          <w:color w:val="000000" w:themeColor="text1"/>
          <w:lang w:val="es-ES" w:eastAsia="es-EC"/>
        </w:rPr>
      </w:pPr>
    </w:p>
    <w:p w14:paraId="0134BE23" w14:textId="525B2165" w:rsidR="00BF777C" w:rsidRPr="00075E00" w:rsidRDefault="00BF777C" w:rsidP="00CE72CC">
      <w:pPr>
        <w:spacing w:after="0" w:line="240" w:lineRule="auto"/>
        <w:jc w:val="both"/>
        <w:rPr>
          <w:rFonts w:ascii="Calibri" w:hAnsi="Calibri" w:cstheme="minorHAnsi"/>
          <w:noProof/>
          <w:color w:val="000000" w:themeColor="text1"/>
          <w:lang w:val="es-ES"/>
        </w:rPr>
      </w:pPr>
      <w:r w:rsidRPr="00075E00">
        <w:rPr>
          <w:rFonts w:ascii="Calibri" w:hAnsi="Calibri" w:cstheme="minorHAnsi"/>
          <w:noProof/>
          <w:color w:val="000000" w:themeColor="text1"/>
          <w:lang w:val="es-ES"/>
        </w:rPr>
        <w:t>El Ecuador a través de la Ley Orgánica de Movilidad Humana</w:t>
      </w:r>
      <w:r w:rsidR="0078013C" w:rsidRPr="00075E00">
        <w:rPr>
          <w:rFonts w:ascii="Calibri" w:hAnsi="Calibri" w:cstheme="minorHAnsi"/>
          <w:noProof/>
          <w:color w:val="000000" w:themeColor="text1"/>
          <w:lang w:val="es-ES"/>
        </w:rPr>
        <w:t xml:space="preserve"> (LOMH)</w:t>
      </w:r>
      <w:r w:rsidRPr="00075E00">
        <w:rPr>
          <w:rFonts w:ascii="Calibri" w:hAnsi="Calibri" w:cstheme="minorHAnsi"/>
          <w:noProof/>
          <w:color w:val="000000" w:themeColor="text1"/>
          <w:lang w:val="es-ES"/>
        </w:rPr>
        <w:t>,</w:t>
      </w:r>
      <w:r w:rsidR="00C41F4F" w:rsidRPr="00075E00">
        <w:rPr>
          <w:rFonts w:ascii="Calibri" w:hAnsi="Calibri" w:cstheme="minorHAnsi"/>
          <w:noProof/>
          <w:color w:val="000000" w:themeColor="text1"/>
          <w:lang w:val="es-ES"/>
        </w:rPr>
        <w:t xml:space="preserve"> </w:t>
      </w:r>
      <w:r w:rsidRPr="00075E00">
        <w:rPr>
          <w:rFonts w:ascii="Calibri" w:hAnsi="Calibri" w:cstheme="minorHAnsi"/>
          <w:noProof/>
          <w:color w:val="000000" w:themeColor="text1"/>
          <w:lang w:val="es-ES"/>
        </w:rPr>
        <w:t>que entró en vigencia el 6 de febrero de 2017,</w:t>
      </w:r>
      <w:r w:rsidR="00C41F4F" w:rsidRPr="00075E00">
        <w:rPr>
          <w:rFonts w:ascii="Calibri" w:hAnsi="Calibri" w:cstheme="minorHAnsi"/>
          <w:noProof/>
          <w:color w:val="000000" w:themeColor="text1"/>
          <w:lang w:val="es-ES"/>
        </w:rPr>
        <w:t xml:space="preserve"> </w:t>
      </w:r>
      <w:r w:rsidRPr="00075E00">
        <w:rPr>
          <w:rFonts w:ascii="Calibri" w:hAnsi="Calibri" w:cstheme="minorHAnsi"/>
          <w:noProof/>
          <w:color w:val="000000" w:themeColor="text1"/>
          <w:lang w:val="es-ES"/>
        </w:rPr>
        <w:t xml:space="preserve">contempla un proceso especial para la determinación de la condición de refugio de </w:t>
      </w:r>
      <w:r w:rsidR="0078013C" w:rsidRPr="00075E00">
        <w:rPr>
          <w:rFonts w:ascii="Calibri" w:hAnsi="Calibri" w:cstheme="minorHAnsi"/>
          <w:noProof/>
          <w:color w:val="000000" w:themeColor="text1"/>
          <w:lang w:val="es-ES"/>
        </w:rPr>
        <w:t>NNA</w:t>
      </w:r>
      <w:r w:rsidRPr="00075E00">
        <w:rPr>
          <w:rFonts w:ascii="Calibri" w:hAnsi="Calibri" w:cstheme="minorHAnsi"/>
          <w:noProof/>
          <w:color w:val="000000" w:themeColor="text1"/>
          <w:lang w:val="es-ES"/>
        </w:rPr>
        <w:t>, es así que gozan en la actualidad de garantías procedimentales específicas que buscan asegurar su interés superior.</w:t>
      </w:r>
      <w:r w:rsidR="00C41F4F" w:rsidRPr="00075E00">
        <w:rPr>
          <w:rFonts w:ascii="Calibri" w:hAnsi="Calibri" w:cstheme="minorHAnsi"/>
          <w:noProof/>
          <w:color w:val="000000" w:themeColor="text1"/>
          <w:lang w:val="es-ES"/>
        </w:rPr>
        <w:t xml:space="preserve"> </w:t>
      </w:r>
    </w:p>
    <w:p w14:paraId="45AE0866" w14:textId="77777777" w:rsidR="004C350D" w:rsidRPr="00075E00" w:rsidRDefault="004C350D" w:rsidP="00CE72CC">
      <w:pPr>
        <w:spacing w:after="0" w:line="240" w:lineRule="auto"/>
        <w:jc w:val="both"/>
        <w:rPr>
          <w:rFonts w:ascii="Calibri" w:hAnsi="Calibri" w:cstheme="minorHAnsi"/>
          <w:noProof/>
          <w:color w:val="000000" w:themeColor="text1"/>
          <w:lang w:val="es-ES"/>
        </w:rPr>
      </w:pPr>
    </w:p>
    <w:p w14:paraId="5F6EE6CE" w14:textId="775FB18A" w:rsidR="00BF777C" w:rsidRPr="00075E00" w:rsidRDefault="00BF777C" w:rsidP="00CE72CC">
      <w:pPr>
        <w:spacing w:after="0" w:line="240" w:lineRule="auto"/>
        <w:jc w:val="both"/>
        <w:rPr>
          <w:rFonts w:ascii="Calibri" w:hAnsi="Calibri" w:cstheme="minorHAnsi"/>
          <w:noProof/>
          <w:color w:val="000000" w:themeColor="text1"/>
          <w:lang w:val="es-ES"/>
        </w:rPr>
      </w:pPr>
      <w:r w:rsidRPr="00075E00">
        <w:rPr>
          <w:rFonts w:ascii="Calibri" w:hAnsi="Calibri" w:cstheme="minorHAnsi"/>
          <w:noProof/>
          <w:color w:val="000000" w:themeColor="text1"/>
          <w:lang w:val="es-ES"/>
        </w:rPr>
        <w:t xml:space="preserve">Dentro del proceso de </w:t>
      </w:r>
      <w:r w:rsidR="0078013C" w:rsidRPr="00075E00">
        <w:rPr>
          <w:rFonts w:ascii="Calibri" w:hAnsi="Calibri" w:cstheme="minorHAnsi"/>
          <w:noProof/>
          <w:color w:val="000000" w:themeColor="text1"/>
          <w:lang w:val="es-ES"/>
        </w:rPr>
        <w:t xml:space="preserve">determinación de la condición de </w:t>
      </w:r>
      <w:r w:rsidRPr="00075E00">
        <w:rPr>
          <w:rFonts w:ascii="Calibri" w:hAnsi="Calibri" w:cstheme="minorHAnsi"/>
          <w:noProof/>
          <w:color w:val="000000" w:themeColor="text1"/>
          <w:lang w:val="es-ES"/>
        </w:rPr>
        <w:t xml:space="preserve">refugio, se </w:t>
      </w:r>
      <w:r w:rsidR="0078013C" w:rsidRPr="00075E00">
        <w:rPr>
          <w:rFonts w:ascii="Calibri" w:hAnsi="Calibri" w:cstheme="minorHAnsi"/>
          <w:noProof/>
          <w:color w:val="000000" w:themeColor="text1"/>
          <w:lang w:val="es-ES"/>
        </w:rPr>
        <w:t>prioriza</w:t>
      </w:r>
      <w:r w:rsidRPr="00075E00">
        <w:rPr>
          <w:rFonts w:ascii="Calibri" w:hAnsi="Calibri" w:cstheme="minorHAnsi"/>
          <w:noProof/>
          <w:color w:val="000000" w:themeColor="text1"/>
          <w:lang w:val="es-ES"/>
        </w:rPr>
        <w:t xml:space="preserve"> a los casos de niños, niñas y adolescentes, especialmente cuando éstos se encuentran solos o no acompañados, </w:t>
      </w:r>
      <w:r w:rsidR="0078013C" w:rsidRPr="00075E00">
        <w:rPr>
          <w:rFonts w:ascii="Calibri" w:hAnsi="Calibri" w:cstheme="minorHAnsi"/>
          <w:noProof/>
          <w:color w:val="000000" w:themeColor="text1"/>
          <w:lang w:val="es-ES"/>
        </w:rPr>
        <w:t>con un tratamiento especial. E</w:t>
      </w:r>
      <w:r w:rsidRPr="00075E00">
        <w:rPr>
          <w:rFonts w:ascii="Calibri" w:hAnsi="Calibri" w:cstheme="minorHAnsi"/>
          <w:noProof/>
          <w:color w:val="000000" w:themeColor="text1"/>
          <w:lang w:val="es-ES"/>
        </w:rPr>
        <w:t>n este tipo de casos, de</w:t>
      </w:r>
      <w:r w:rsidR="00C41F4F" w:rsidRPr="00075E00">
        <w:rPr>
          <w:rFonts w:ascii="Calibri" w:hAnsi="Calibri" w:cstheme="minorHAnsi"/>
          <w:noProof/>
          <w:color w:val="000000" w:themeColor="text1"/>
          <w:lang w:val="es-ES"/>
        </w:rPr>
        <w:t xml:space="preserve"> </w:t>
      </w:r>
      <w:r w:rsidRPr="00075E00">
        <w:rPr>
          <w:rFonts w:ascii="Calibri" w:hAnsi="Calibri" w:cstheme="minorHAnsi"/>
          <w:noProof/>
          <w:color w:val="000000" w:themeColor="text1"/>
          <w:lang w:val="es-ES"/>
        </w:rPr>
        <w:t xml:space="preserve">manera obligatoria se debe coordinar con la Defensoría Pública el nombramiento de un tutor o representante legal que asista al menor en todas las fases del proceso y vele por los intereses del </w:t>
      </w:r>
      <w:r w:rsidR="0078013C" w:rsidRPr="00075E00">
        <w:rPr>
          <w:rFonts w:ascii="Calibri" w:hAnsi="Calibri" w:cstheme="minorHAnsi"/>
          <w:noProof/>
          <w:color w:val="000000" w:themeColor="text1"/>
          <w:lang w:val="es-ES"/>
        </w:rPr>
        <w:t>NNA</w:t>
      </w:r>
      <w:r w:rsidRPr="00075E00">
        <w:rPr>
          <w:rFonts w:ascii="Calibri" w:hAnsi="Calibri" w:cstheme="minorHAnsi"/>
          <w:noProof/>
          <w:color w:val="000000" w:themeColor="text1"/>
          <w:lang w:val="es-ES"/>
        </w:rPr>
        <w:t xml:space="preserve">, buscando garantizar los derechos de la niñez en situación de refugio. </w:t>
      </w:r>
    </w:p>
    <w:p w14:paraId="40850FFD" w14:textId="77777777" w:rsidR="004C350D" w:rsidRPr="00075E00" w:rsidRDefault="004C350D" w:rsidP="00CE72CC">
      <w:pPr>
        <w:spacing w:after="0" w:line="240" w:lineRule="auto"/>
        <w:jc w:val="both"/>
        <w:rPr>
          <w:rFonts w:ascii="Calibri" w:hAnsi="Calibri" w:cstheme="minorHAnsi"/>
          <w:noProof/>
          <w:color w:val="000000" w:themeColor="text1"/>
          <w:lang w:val="es-ES"/>
        </w:rPr>
      </w:pPr>
    </w:p>
    <w:p w14:paraId="3C995F7A" w14:textId="6FFDA73D" w:rsidR="00BF777C" w:rsidRPr="00075E00" w:rsidRDefault="00BF777C" w:rsidP="00CE72CC">
      <w:pPr>
        <w:spacing w:after="0" w:line="240" w:lineRule="auto"/>
        <w:jc w:val="both"/>
        <w:rPr>
          <w:rFonts w:ascii="Calibri" w:hAnsi="Calibri" w:cstheme="minorHAnsi"/>
          <w:noProof/>
          <w:color w:val="000000" w:themeColor="text1"/>
          <w:lang w:val="es-ES"/>
        </w:rPr>
      </w:pPr>
      <w:r w:rsidRPr="00075E00">
        <w:rPr>
          <w:rFonts w:ascii="Calibri" w:hAnsi="Calibri" w:cstheme="minorHAnsi"/>
          <w:noProof/>
          <w:color w:val="000000" w:themeColor="text1"/>
          <w:lang w:val="es-ES"/>
        </w:rPr>
        <w:t>De igual forma</w:t>
      </w:r>
      <w:r w:rsidR="0078013C" w:rsidRPr="00075E00">
        <w:rPr>
          <w:rFonts w:ascii="Calibri" w:hAnsi="Calibri" w:cstheme="minorHAnsi"/>
          <w:noProof/>
          <w:color w:val="000000" w:themeColor="text1"/>
          <w:lang w:val="es-ES"/>
        </w:rPr>
        <w:t>,</w:t>
      </w:r>
      <w:r w:rsidRPr="00075E00">
        <w:rPr>
          <w:rFonts w:ascii="Calibri" w:hAnsi="Calibri" w:cstheme="minorHAnsi"/>
          <w:noProof/>
          <w:color w:val="000000" w:themeColor="text1"/>
          <w:lang w:val="es-ES"/>
        </w:rPr>
        <w:t xml:space="preserve"> el </w:t>
      </w:r>
      <w:r w:rsidR="0078013C" w:rsidRPr="00075E00">
        <w:rPr>
          <w:rFonts w:ascii="Calibri" w:hAnsi="Calibri" w:cstheme="minorHAnsi"/>
          <w:noProof/>
          <w:color w:val="000000" w:themeColor="text1"/>
          <w:lang w:val="es-ES"/>
        </w:rPr>
        <w:t>NNA</w:t>
      </w:r>
      <w:r w:rsidRPr="00075E00">
        <w:rPr>
          <w:rFonts w:ascii="Calibri" w:hAnsi="Calibri" w:cstheme="minorHAnsi"/>
          <w:noProof/>
          <w:color w:val="000000" w:themeColor="text1"/>
          <w:lang w:val="es-ES"/>
        </w:rPr>
        <w:t xml:space="preserve"> en necesidad de</w:t>
      </w:r>
      <w:r w:rsidR="0078013C" w:rsidRPr="00075E00">
        <w:rPr>
          <w:rFonts w:ascii="Calibri" w:hAnsi="Calibri" w:cstheme="minorHAnsi"/>
          <w:noProof/>
          <w:color w:val="000000" w:themeColor="text1"/>
          <w:lang w:val="es-ES"/>
        </w:rPr>
        <w:t xml:space="preserve"> protección internacional debe</w:t>
      </w:r>
      <w:r w:rsidRPr="00075E00">
        <w:rPr>
          <w:rFonts w:ascii="Calibri" w:hAnsi="Calibri" w:cstheme="minorHAnsi"/>
          <w:noProof/>
          <w:color w:val="000000" w:themeColor="text1"/>
          <w:lang w:val="es-ES"/>
        </w:rPr>
        <w:t xml:space="preserve"> ser asistido por la autoridad de protecci</w:t>
      </w:r>
      <w:r w:rsidR="0078013C" w:rsidRPr="00075E00">
        <w:rPr>
          <w:rFonts w:ascii="Calibri" w:hAnsi="Calibri" w:cstheme="minorHAnsi"/>
          <w:noProof/>
          <w:color w:val="000000" w:themeColor="text1"/>
          <w:lang w:val="es-ES"/>
        </w:rPr>
        <w:t>ón de la niñez, lo que asegura</w:t>
      </w:r>
      <w:r w:rsidRPr="00075E00">
        <w:rPr>
          <w:rFonts w:ascii="Calibri" w:hAnsi="Calibri" w:cstheme="minorHAnsi"/>
          <w:noProof/>
          <w:color w:val="000000" w:themeColor="text1"/>
          <w:lang w:val="es-ES"/>
        </w:rPr>
        <w:t xml:space="preserve"> una atención integral, considerando su situación de doble vulnerabilidad. Actualmente</w:t>
      </w:r>
      <w:r w:rsidR="0078013C" w:rsidRPr="00075E00">
        <w:rPr>
          <w:rFonts w:ascii="Calibri" w:hAnsi="Calibri" w:cstheme="minorHAnsi"/>
          <w:noProof/>
          <w:color w:val="000000" w:themeColor="text1"/>
          <w:lang w:val="es-ES"/>
        </w:rPr>
        <w:t>,</w:t>
      </w:r>
      <w:r w:rsidRPr="00075E00">
        <w:rPr>
          <w:rFonts w:ascii="Calibri" w:hAnsi="Calibri" w:cstheme="minorHAnsi"/>
          <w:noProof/>
          <w:color w:val="000000" w:themeColor="text1"/>
          <w:lang w:val="es-ES"/>
        </w:rPr>
        <w:t xml:space="preserve"> se cuenta con un marco legal adecuado que permite proteger y exigir el cumplimiento</w:t>
      </w:r>
      <w:r w:rsidR="00C41F4F" w:rsidRPr="00075E00">
        <w:rPr>
          <w:rFonts w:ascii="Calibri" w:hAnsi="Calibri" w:cstheme="minorHAnsi"/>
          <w:noProof/>
          <w:color w:val="000000" w:themeColor="text1"/>
          <w:lang w:val="es-ES"/>
        </w:rPr>
        <w:t xml:space="preserve"> </w:t>
      </w:r>
      <w:r w:rsidRPr="00075E00">
        <w:rPr>
          <w:rFonts w:ascii="Calibri" w:hAnsi="Calibri" w:cstheme="minorHAnsi"/>
          <w:noProof/>
          <w:color w:val="000000" w:themeColor="text1"/>
          <w:lang w:val="es-ES"/>
        </w:rPr>
        <w:t xml:space="preserve">de derechos de </w:t>
      </w:r>
      <w:r w:rsidR="0078013C" w:rsidRPr="00075E00">
        <w:rPr>
          <w:rFonts w:ascii="Calibri" w:hAnsi="Calibri" w:cstheme="minorHAnsi"/>
          <w:noProof/>
          <w:color w:val="000000" w:themeColor="text1"/>
          <w:lang w:val="es-ES"/>
        </w:rPr>
        <w:t>NNA</w:t>
      </w:r>
      <w:r w:rsidRPr="00075E00">
        <w:rPr>
          <w:rFonts w:ascii="Calibri" w:hAnsi="Calibri" w:cstheme="minorHAnsi"/>
          <w:noProof/>
          <w:color w:val="000000" w:themeColor="text1"/>
          <w:lang w:val="es-ES"/>
        </w:rPr>
        <w:t xml:space="preserve"> en situación de refugio. </w:t>
      </w:r>
    </w:p>
    <w:p w14:paraId="4BC33C12" w14:textId="77777777" w:rsidR="004C350D" w:rsidRPr="00075E00" w:rsidRDefault="004C350D" w:rsidP="00CE72CC">
      <w:pPr>
        <w:spacing w:after="0" w:line="240" w:lineRule="auto"/>
        <w:jc w:val="both"/>
        <w:rPr>
          <w:rFonts w:ascii="Calibri" w:hAnsi="Calibri" w:cstheme="minorHAnsi"/>
          <w:noProof/>
          <w:color w:val="000000" w:themeColor="text1"/>
          <w:lang w:val="es-ES"/>
        </w:rPr>
      </w:pPr>
    </w:p>
    <w:p w14:paraId="62F0AD2D" w14:textId="6CC34955" w:rsidR="00BF777C" w:rsidRPr="00075E00" w:rsidRDefault="00BF777C" w:rsidP="00CE72CC">
      <w:pPr>
        <w:spacing w:after="0" w:line="240" w:lineRule="auto"/>
        <w:jc w:val="both"/>
        <w:rPr>
          <w:rFonts w:ascii="Calibri" w:hAnsi="Calibri" w:cstheme="minorHAnsi"/>
          <w:noProof/>
          <w:color w:val="000000" w:themeColor="text1"/>
          <w:lang w:val="es-ES"/>
        </w:rPr>
      </w:pPr>
      <w:r w:rsidRPr="00075E00">
        <w:rPr>
          <w:rFonts w:ascii="Calibri" w:hAnsi="Calibri" w:cstheme="minorHAnsi"/>
          <w:noProof/>
          <w:color w:val="000000" w:themeColor="text1"/>
          <w:lang w:val="es-ES"/>
        </w:rPr>
        <w:t>Desde la entrada en vigencia de la Constitución de 2008,</w:t>
      </w:r>
      <w:r w:rsidR="00C41F4F" w:rsidRPr="00075E00">
        <w:rPr>
          <w:rFonts w:ascii="Calibri" w:hAnsi="Calibri" w:cstheme="minorHAnsi"/>
          <w:noProof/>
          <w:color w:val="000000" w:themeColor="text1"/>
          <w:lang w:val="es-ES"/>
        </w:rPr>
        <w:t xml:space="preserve"> </w:t>
      </w:r>
      <w:r w:rsidRPr="00075E00">
        <w:rPr>
          <w:rFonts w:ascii="Calibri" w:hAnsi="Calibri" w:cstheme="minorHAnsi"/>
          <w:noProof/>
          <w:color w:val="000000" w:themeColor="text1"/>
          <w:lang w:val="es-ES"/>
        </w:rPr>
        <w:t xml:space="preserve">el Ecuador se ha comprometido a brindar protección a las personas en situación de movilidad humana, grupo que incluye a la población refugiada o solicitante de refugio. Es así que las políticas públicas en materia de refugio no se han </w:t>
      </w:r>
      <w:r w:rsidRPr="00075E00">
        <w:rPr>
          <w:rFonts w:ascii="Calibri" w:hAnsi="Calibri" w:cstheme="minorHAnsi"/>
          <w:noProof/>
          <w:color w:val="000000" w:themeColor="text1"/>
          <w:lang w:val="es-ES"/>
        </w:rPr>
        <w:lastRenderedPageBreak/>
        <w:t xml:space="preserve">limitado al reconocimiento de un estatus </w:t>
      </w:r>
      <w:r w:rsidR="0078013C" w:rsidRPr="00075E00">
        <w:rPr>
          <w:rFonts w:ascii="Calibri" w:hAnsi="Calibri" w:cstheme="minorHAnsi"/>
          <w:noProof/>
          <w:color w:val="000000" w:themeColor="text1"/>
          <w:lang w:val="es-ES"/>
        </w:rPr>
        <w:t>migratorio,</w:t>
      </w:r>
      <w:r w:rsidRPr="00075E00">
        <w:rPr>
          <w:rFonts w:ascii="Calibri" w:hAnsi="Calibri" w:cstheme="minorHAnsi"/>
          <w:noProof/>
          <w:color w:val="000000" w:themeColor="text1"/>
          <w:lang w:val="es-ES"/>
        </w:rPr>
        <w:t xml:space="preserve"> sino que han buscado que las personas refugiadas y solicitantes de refugio puedan acceder a salud y educación, entre otros derechos. </w:t>
      </w:r>
    </w:p>
    <w:p w14:paraId="1BE44C3E" w14:textId="77777777" w:rsidR="004C350D" w:rsidRPr="00075E00" w:rsidRDefault="004C350D" w:rsidP="00CE72CC">
      <w:pPr>
        <w:spacing w:after="0" w:line="240" w:lineRule="auto"/>
        <w:jc w:val="both"/>
        <w:rPr>
          <w:rFonts w:ascii="Calibri" w:hAnsi="Calibri" w:cstheme="minorHAnsi"/>
          <w:noProof/>
          <w:color w:val="000000" w:themeColor="text1"/>
          <w:lang w:val="es-ES"/>
        </w:rPr>
      </w:pPr>
    </w:p>
    <w:p w14:paraId="463079BA" w14:textId="7C92242A" w:rsidR="00BF777C" w:rsidRPr="00075E00" w:rsidRDefault="00BF777C" w:rsidP="00CE72CC">
      <w:pPr>
        <w:spacing w:after="0" w:line="240" w:lineRule="auto"/>
        <w:jc w:val="both"/>
        <w:rPr>
          <w:rFonts w:ascii="Calibri" w:hAnsi="Calibri" w:cs="Arial"/>
          <w:noProof/>
          <w:color w:val="000000" w:themeColor="text1"/>
          <w:lang w:val="es-ES"/>
        </w:rPr>
      </w:pPr>
      <w:r w:rsidRPr="00075E00">
        <w:rPr>
          <w:rFonts w:ascii="Calibri" w:hAnsi="Calibri" w:cstheme="minorHAnsi"/>
          <w:noProof/>
          <w:color w:val="000000" w:themeColor="text1"/>
          <w:lang w:val="es-ES"/>
        </w:rPr>
        <w:t xml:space="preserve">En relación con </w:t>
      </w:r>
      <w:r w:rsidR="0078013C" w:rsidRPr="00075E00">
        <w:rPr>
          <w:rFonts w:ascii="Calibri" w:hAnsi="Calibri" w:cstheme="minorHAnsi"/>
          <w:noProof/>
          <w:color w:val="000000" w:themeColor="text1"/>
          <w:lang w:val="es-ES"/>
        </w:rPr>
        <w:t xml:space="preserve">el </w:t>
      </w:r>
      <w:r w:rsidRPr="00075E00">
        <w:rPr>
          <w:rFonts w:ascii="Calibri" w:hAnsi="Calibri" w:cstheme="minorHAnsi"/>
          <w:noProof/>
          <w:color w:val="000000" w:themeColor="text1"/>
          <w:lang w:val="es-ES"/>
        </w:rPr>
        <w:t xml:space="preserve">derecho a la educación, </w:t>
      </w:r>
      <w:r w:rsidRPr="00075E00">
        <w:rPr>
          <w:rFonts w:ascii="Calibri" w:hAnsi="Calibri" w:cs="Arial"/>
          <w:noProof/>
          <w:color w:val="000000" w:themeColor="text1"/>
          <w:lang w:val="es-ES"/>
        </w:rPr>
        <w:t xml:space="preserve">se encuentra vigente el acuerdo 337 </w:t>
      </w:r>
      <w:r w:rsidR="0078013C" w:rsidRPr="00075E00">
        <w:rPr>
          <w:rFonts w:ascii="Calibri" w:hAnsi="Calibri" w:cs="Arial"/>
          <w:noProof/>
          <w:color w:val="000000" w:themeColor="text1"/>
          <w:lang w:val="es-ES"/>
        </w:rPr>
        <w:t>de 2008 emitido por el</w:t>
      </w:r>
      <w:r w:rsidRPr="00075E00">
        <w:rPr>
          <w:rFonts w:ascii="Calibri" w:hAnsi="Calibri" w:cs="Arial"/>
          <w:noProof/>
          <w:color w:val="000000" w:themeColor="text1"/>
          <w:lang w:val="es-ES"/>
        </w:rPr>
        <w:t xml:space="preserve"> </w:t>
      </w:r>
      <w:r w:rsidR="0078013C" w:rsidRPr="00075E00">
        <w:rPr>
          <w:rFonts w:ascii="Calibri" w:hAnsi="Calibri" w:cs="Arial"/>
          <w:noProof/>
          <w:color w:val="000000" w:themeColor="text1"/>
          <w:lang w:val="es-ES"/>
        </w:rPr>
        <w:t>MinEduc</w:t>
      </w:r>
      <w:r w:rsidRPr="00075E00">
        <w:rPr>
          <w:rFonts w:ascii="Calibri" w:hAnsi="Calibri" w:cs="Arial"/>
          <w:noProof/>
          <w:color w:val="000000" w:themeColor="text1"/>
          <w:lang w:val="es-ES"/>
        </w:rPr>
        <w:t xml:space="preserve"> sobre “Acceso y permanencia en el sistema educativo ecuatoriano de niños, niñas y adolescentes ecuatorianos/as y extranjeros/as” que facilita la inclusión al sistema educativo ecuatoriano de personas refugiadas, lo que favorece mayoritariamente a NNA en condición de refugio. </w:t>
      </w:r>
    </w:p>
    <w:p w14:paraId="204DA7DD" w14:textId="77777777" w:rsidR="004C350D" w:rsidRPr="00075E00" w:rsidRDefault="004C350D" w:rsidP="00CE72CC">
      <w:pPr>
        <w:spacing w:after="0" w:line="240" w:lineRule="auto"/>
        <w:jc w:val="both"/>
        <w:rPr>
          <w:rFonts w:ascii="Calibri" w:hAnsi="Calibri" w:cs="Arial"/>
          <w:noProof/>
          <w:color w:val="000000" w:themeColor="text1"/>
          <w:lang w:val="es-ES"/>
        </w:rPr>
      </w:pPr>
    </w:p>
    <w:p w14:paraId="33990319" w14:textId="1729C938" w:rsidR="00BF777C" w:rsidRPr="00075E00" w:rsidRDefault="00BF777C" w:rsidP="00CE72CC">
      <w:pPr>
        <w:spacing w:after="0" w:line="240" w:lineRule="auto"/>
        <w:jc w:val="both"/>
        <w:rPr>
          <w:rFonts w:ascii="Calibri" w:hAnsi="Calibri" w:cs="Arial"/>
          <w:noProof/>
          <w:color w:val="000000" w:themeColor="text1"/>
          <w:lang w:val="es-ES"/>
        </w:rPr>
      </w:pPr>
      <w:r w:rsidRPr="00075E00">
        <w:rPr>
          <w:rFonts w:ascii="Calibri" w:hAnsi="Calibri" w:cs="Arial"/>
          <w:noProof/>
          <w:color w:val="000000" w:themeColor="text1"/>
          <w:lang w:val="es-ES"/>
        </w:rPr>
        <w:t>De esta manera</w:t>
      </w:r>
      <w:r w:rsidR="0078013C" w:rsidRPr="00075E00">
        <w:rPr>
          <w:rFonts w:ascii="Calibri" w:hAnsi="Calibri" w:cs="Arial"/>
          <w:noProof/>
          <w:color w:val="000000" w:themeColor="text1"/>
          <w:lang w:val="es-ES"/>
        </w:rPr>
        <w:t>,</w:t>
      </w:r>
      <w:r w:rsidRPr="00075E00">
        <w:rPr>
          <w:rFonts w:ascii="Calibri" w:hAnsi="Calibri" w:cs="Arial"/>
          <w:noProof/>
          <w:color w:val="000000" w:themeColor="text1"/>
          <w:lang w:val="es-ES"/>
        </w:rPr>
        <w:t xml:space="preserve"> a través de las políticas implementadas por el Ecuador en materia de </w:t>
      </w:r>
      <w:r w:rsidR="0078013C" w:rsidRPr="00075E00">
        <w:rPr>
          <w:rFonts w:ascii="Calibri" w:hAnsi="Calibri" w:cs="Arial"/>
          <w:noProof/>
          <w:color w:val="000000" w:themeColor="text1"/>
          <w:lang w:val="es-ES"/>
        </w:rPr>
        <w:t>movilidad humana</w:t>
      </w:r>
      <w:r w:rsidRPr="00075E00">
        <w:rPr>
          <w:rFonts w:ascii="Calibri" w:hAnsi="Calibri" w:cs="Arial"/>
          <w:noProof/>
          <w:color w:val="000000" w:themeColor="text1"/>
          <w:lang w:val="es-ES"/>
        </w:rPr>
        <w:t>, las personas refugiadas que viven en el país, al igual que la población ecuatoriana tiene pleno acceso a los diferentes programas gubernamentales de inclusión económica y social</w:t>
      </w:r>
      <w:r w:rsidR="0078013C" w:rsidRPr="00075E00">
        <w:rPr>
          <w:rFonts w:ascii="Calibri" w:hAnsi="Calibri" w:cs="Arial"/>
          <w:noProof/>
          <w:color w:val="000000" w:themeColor="text1"/>
          <w:lang w:val="es-ES"/>
        </w:rPr>
        <w:t>, lo cual beneficia</w:t>
      </w:r>
      <w:r w:rsidRPr="00075E00">
        <w:rPr>
          <w:rFonts w:ascii="Calibri" w:hAnsi="Calibri" w:cs="Arial"/>
          <w:noProof/>
          <w:color w:val="000000" w:themeColor="text1"/>
          <w:lang w:val="es-ES"/>
        </w:rPr>
        <w:t xml:space="preserve"> a</w:t>
      </w:r>
      <w:r w:rsidR="0078013C" w:rsidRPr="00075E00">
        <w:rPr>
          <w:rFonts w:ascii="Calibri" w:hAnsi="Calibri" w:cs="Arial"/>
          <w:noProof/>
          <w:color w:val="000000" w:themeColor="text1"/>
          <w:lang w:val="es-ES"/>
        </w:rPr>
        <w:t xml:space="preserve"> los</w:t>
      </w:r>
      <w:r w:rsidRPr="00075E00">
        <w:rPr>
          <w:rFonts w:ascii="Calibri" w:hAnsi="Calibri" w:cs="Arial"/>
          <w:noProof/>
          <w:color w:val="000000" w:themeColor="text1"/>
          <w:lang w:val="es-ES"/>
        </w:rPr>
        <w:t xml:space="preserve"> NNA, sin distinción alguna por su condición migratoria y par</w:t>
      </w:r>
      <w:r w:rsidR="0078013C" w:rsidRPr="00075E00">
        <w:rPr>
          <w:rFonts w:ascii="Calibri" w:hAnsi="Calibri" w:cs="Arial"/>
          <w:noProof/>
          <w:color w:val="000000" w:themeColor="text1"/>
          <w:lang w:val="es-ES"/>
        </w:rPr>
        <w:t>a</w:t>
      </w:r>
      <w:r w:rsidRPr="00075E00">
        <w:rPr>
          <w:rFonts w:ascii="Calibri" w:hAnsi="Calibri" w:cs="Arial"/>
          <w:noProof/>
          <w:color w:val="000000" w:themeColor="text1"/>
          <w:lang w:val="es-ES"/>
        </w:rPr>
        <w:t xml:space="preserve"> el efecto se mantiene un registro desagregado por parte del Ministerio de Relaciones Exteriores y Movilidad Humana. </w:t>
      </w:r>
    </w:p>
    <w:p w14:paraId="1F9A7B5A" w14:textId="77777777" w:rsidR="003C4A0A" w:rsidRPr="00075E00" w:rsidRDefault="003C4A0A" w:rsidP="00CE72CC">
      <w:pPr>
        <w:spacing w:after="0" w:line="240" w:lineRule="auto"/>
        <w:jc w:val="both"/>
        <w:rPr>
          <w:rFonts w:ascii="Calibri" w:hAnsi="Calibri" w:cs="Arial"/>
          <w:noProof/>
          <w:color w:val="000000" w:themeColor="text1"/>
          <w:lang w:val="es-ES"/>
        </w:rPr>
      </w:pPr>
    </w:p>
    <w:tbl>
      <w:tblPr>
        <w:tblW w:w="8795" w:type="dxa"/>
        <w:tblInd w:w="70" w:type="dxa"/>
        <w:tblCellMar>
          <w:left w:w="70" w:type="dxa"/>
          <w:right w:w="70" w:type="dxa"/>
        </w:tblCellMar>
        <w:tblLook w:val="04A0" w:firstRow="1" w:lastRow="0" w:firstColumn="1" w:lastColumn="0" w:noHBand="0" w:noVBand="1"/>
      </w:tblPr>
      <w:tblGrid>
        <w:gridCol w:w="804"/>
        <w:gridCol w:w="1131"/>
        <w:gridCol w:w="1063"/>
        <w:gridCol w:w="1001"/>
        <w:gridCol w:w="1175"/>
        <w:gridCol w:w="727"/>
        <w:gridCol w:w="915"/>
        <w:gridCol w:w="888"/>
        <w:gridCol w:w="1091"/>
      </w:tblGrid>
      <w:tr w:rsidR="00CD7F16" w:rsidRPr="00075E00" w14:paraId="1D0AEEF4" w14:textId="77777777" w:rsidTr="0029759B">
        <w:trPr>
          <w:trHeight w:val="522"/>
        </w:trPr>
        <w:tc>
          <w:tcPr>
            <w:tcW w:w="8795" w:type="dxa"/>
            <w:gridSpan w:val="9"/>
            <w:tcBorders>
              <w:top w:val="single" w:sz="8" w:space="0" w:color="auto"/>
              <w:left w:val="single" w:sz="8" w:space="0" w:color="auto"/>
              <w:bottom w:val="single" w:sz="8" w:space="0" w:color="auto"/>
              <w:right w:val="single" w:sz="8" w:space="0" w:color="000000"/>
            </w:tcBorders>
            <w:shd w:val="clear" w:color="000000" w:fill="DEEBF6"/>
            <w:noWrap/>
            <w:vAlign w:val="center"/>
            <w:hideMark/>
          </w:tcPr>
          <w:p w14:paraId="1018A8A8" w14:textId="7C7F0025"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D</w:t>
            </w:r>
            <w:r w:rsidR="004C350D" w:rsidRPr="00075E00">
              <w:rPr>
                <w:rFonts w:eastAsia="Times New Roman" w:cstheme="minorHAnsi"/>
                <w:b/>
                <w:bCs/>
                <w:iCs/>
                <w:noProof/>
                <w:color w:val="000000" w:themeColor="text1"/>
                <w:lang w:val="es-ES" w:eastAsia="es-EC"/>
              </w:rPr>
              <w:t xml:space="preserve">etalle histórico de niños, niñas y adolescentes reconocidos como refugiados </w:t>
            </w:r>
          </w:p>
        </w:tc>
      </w:tr>
      <w:tr w:rsidR="00CD7F16" w:rsidRPr="00075E00" w14:paraId="3FB2A78B" w14:textId="77777777" w:rsidTr="0029759B">
        <w:trPr>
          <w:trHeight w:val="312"/>
        </w:trPr>
        <w:tc>
          <w:tcPr>
            <w:tcW w:w="8795" w:type="dxa"/>
            <w:gridSpan w:val="9"/>
            <w:tcBorders>
              <w:top w:val="single" w:sz="8" w:space="0" w:color="auto"/>
              <w:left w:val="single" w:sz="8" w:space="0" w:color="auto"/>
              <w:bottom w:val="single" w:sz="8" w:space="0" w:color="auto"/>
              <w:right w:val="single" w:sz="8" w:space="0" w:color="000000"/>
            </w:tcBorders>
            <w:shd w:val="clear" w:color="000000" w:fill="9CC3E6"/>
            <w:noWrap/>
            <w:vAlign w:val="center"/>
            <w:hideMark/>
          </w:tcPr>
          <w:p w14:paraId="477DC9C7" w14:textId="3637D3B9" w:rsidR="00BF777C" w:rsidRPr="00075E00" w:rsidRDefault="004C350D"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 xml:space="preserve">Refugiados reconocidos </w:t>
            </w:r>
          </w:p>
        </w:tc>
      </w:tr>
      <w:tr w:rsidR="00CD7F16" w:rsidRPr="00075E00" w14:paraId="287BE0CC" w14:textId="77777777" w:rsidTr="0029759B">
        <w:trPr>
          <w:trHeight w:val="312"/>
        </w:trPr>
        <w:tc>
          <w:tcPr>
            <w:tcW w:w="804" w:type="dxa"/>
            <w:vMerge w:val="restart"/>
            <w:tcBorders>
              <w:top w:val="nil"/>
              <w:left w:val="single" w:sz="8" w:space="0" w:color="auto"/>
              <w:bottom w:val="single" w:sz="8" w:space="0" w:color="000000"/>
              <w:right w:val="single" w:sz="8" w:space="0" w:color="auto"/>
            </w:tcBorders>
            <w:shd w:val="clear" w:color="000000" w:fill="DEEBF6"/>
            <w:vAlign w:val="center"/>
            <w:hideMark/>
          </w:tcPr>
          <w:p w14:paraId="43D24794" w14:textId="16C23913"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A</w:t>
            </w:r>
            <w:r w:rsidR="004C350D" w:rsidRPr="00075E00">
              <w:rPr>
                <w:rFonts w:eastAsia="Times New Roman" w:cstheme="minorHAnsi"/>
                <w:b/>
                <w:bCs/>
                <w:iCs/>
                <w:noProof/>
                <w:color w:val="000000" w:themeColor="text1"/>
                <w:lang w:val="es-ES" w:eastAsia="es-EC"/>
              </w:rPr>
              <w:t>ño</w:t>
            </w:r>
          </w:p>
        </w:tc>
        <w:tc>
          <w:tcPr>
            <w:tcW w:w="3195" w:type="dxa"/>
            <w:gridSpan w:val="3"/>
            <w:tcBorders>
              <w:top w:val="single" w:sz="8" w:space="0" w:color="auto"/>
              <w:left w:val="nil"/>
              <w:bottom w:val="single" w:sz="8" w:space="0" w:color="auto"/>
              <w:right w:val="single" w:sz="4" w:space="0" w:color="000000"/>
            </w:tcBorders>
            <w:shd w:val="clear" w:color="000000" w:fill="DEEBF6"/>
            <w:vAlign w:val="center"/>
            <w:hideMark/>
          </w:tcPr>
          <w:p w14:paraId="7510C890" w14:textId="341451B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F</w:t>
            </w:r>
            <w:r w:rsidR="004C350D" w:rsidRPr="00075E00">
              <w:rPr>
                <w:rFonts w:eastAsia="Times New Roman" w:cstheme="minorHAnsi"/>
                <w:b/>
                <w:bCs/>
                <w:iCs/>
                <w:noProof/>
                <w:color w:val="000000" w:themeColor="text1"/>
                <w:lang w:val="es-ES" w:eastAsia="es-EC"/>
              </w:rPr>
              <w:t>emenino</w:t>
            </w:r>
          </w:p>
        </w:tc>
        <w:tc>
          <w:tcPr>
            <w:tcW w:w="1175" w:type="dxa"/>
            <w:vMerge w:val="restart"/>
            <w:tcBorders>
              <w:top w:val="nil"/>
              <w:left w:val="single" w:sz="4" w:space="0" w:color="auto"/>
              <w:bottom w:val="single" w:sz="8" w:space="0" w:color="000000"/>
              <w:right w:val="single" w:sz="8" w:space="0" w:color="auto"/>
            </w:tcBorders>
            <w:shd w:val="clear" w:color="000000" w:fill="DEEBF6"/>
            <w:vAlign w:val="center"/>
            <w:hideMark/>
          </w:tcPr>
          <w:p w14:paraId="1FEB2750" w14:textId="0A8F9BB8"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T</w:t>
            </w:r>
            <w:r w:rsidR="004C350D" w:rsidRPr="00075E00">
              <w:rPr>
                <w:rFonts w:eastAsia="Times New Roman" w:cstheme="minorHAnsi"/>
                <w:b/>
                <w:bCs/>
                <w:iCs/>
                <w:noProof/>
                <w:color w:val="000000" w:themeColor="text1"/>
                <w:lang w:val="es-ES" w:eastAsia="es-EC"/>
              </w:rPr>
              <w:t>otal</w:t>
            </w:r>
          </w:p>
        </w:tc>
        <w:tc>
          <w:tcPr>
            <w:tcW w:w="2530" w:type="dxa"/>
            <w:gridSpan w:val="3"/>
            <w:tcBorders>
              <w:top w:val="single" w:sz="8" w:space="0" w:color="auto"/>
              <w:left w:val="nil"/>
              <w:bottom w:val="single" w:sz="8" w:space="0" w:color="auto"/>
              <w:right w:val="single" w:sz="8" w:space="0" w:color="000000"/>
            </w:tcBorders>
            <w:shd w:val="clear" w:color="000000" w:fill="DEEBF6"/>
            <w:vAlign w:val="center"/>
            <w:hideMark/>
          </w:tcPr>
          <w:p w14:paraId="1B4FEA3A" w14:textId="4255AB33"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M</w:t>
            </w:r>
            <w:r w:rsidR="004C350D" w:rsidRPr="00075E00">
              <w:rPr>
                <w:rFonts w:eastAsia="Times New Roman" w:cstheme="minorHAnsi"/>
                <w:b/>
                <w:bCs/>
                <w:iCs/>
                <w:noProof/>
                <w:color w:val="000000" w:themeColor="text1"/>
                <w:lang w:val="es-ES" w:eastAsia="es-EC"/>
              </w:rPr>
              <w:t>asculino</w:t>
            </w:r>
          </w:p>
        </w:tc>
        <w:tc>
          <w:tcPr>
            <w:tcW w:w="1091" w:type="dxa"/>
            <w:vMerge w:val="restart"/>
            <w:tcBorders>
              <w:top w:val="nil"/>
              <w:left w:val="single" w:sz="8" w:space="0" w:color="auto"/>
              <w:bottom w:val="single" w:sz="4" w:space="0" w:color="000000"/>
              <w:right w:val="single" w:sz="8" w:space="0" w:color="auto"/>
            </w:tcBorders>
            <w:shd w:val="clear" w:color="000000" w:fill="DEEBF6"/>
            <w:noWrap/>
            <w:vAlign w:val="center"/>
            <w:hideMark/>
          </w:tcPr>
          <w:p w14:paraId="63D97574" w14:textId="6B9596B2"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T</w:t>
            </w:r>
            <w:r w:rsidR="004C350D" w:rsidRPr="00075E00">
              <w:rPr>
                <w:rFonts w:eastAsia="Times New Roman" w:cstheme="minorHAnsi"/>
                <w:b/>
                <w:bCs/>
                <w:iCs/>
                <w:noProof/>
                <w:color w:val="000000" w:themeColor="text1"/>
                <w:lang w:val="es-ES" w:eastAsia="es-EC"/>
              </w:rPr>
              <w:t>otal</w:t>
            </w:r>
          </w:p>
        </w:tc>
      </w:tr>
      <w:tr w:rsidR="00CD7F16" w:rsidRPr="00075E00" w14:paraId="0EB55A00" w14:textId="77777777" w:rsidTr="0029759B">
        <w:trPr>
          <w:trHeight w:val="312"/>
        </w:trPr>
        <w:tc>
          <w:tcPr>
            <w:tcW w:w="804" w:type="dxa"/>
            <w:vMerge/>
            <w:tcBorders>
              <w:top w:val="nil"/>
              <w:left w:val="single" w:sz="8" w:space="0" w:color="auto"/>
              <w:bottom w:val="single" w:sz="8" w:space="0" w:color="000000"/>
              <w:right w:val="single" w:sz="8" w:space="0" w:color="auto"/>
            </w:tcBorders>
            <w:vAlign w:val="center"/>
            <w:hideMark/>
          </w:tcPr>
          <w:p w14:paraId="336BBD0A"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p>
        </w:tc>
        <w:tc>
          <w:tcPr>
            <w:tcW w:w="1131" w:type="dxa"/>
            <w:tcBorders>
              <w:top w:val="nil"/>
              <w:left w:val="nil"/>
              <w:bottom w:val="single" w:sz="8" w:space="0" w:color="auto"/>
              <w:right w:val="single" w:sz="4" w:space="0" w:color="auto"/>
            </w:tcBorders>
            <w:shd w:val="clear" w:color="000000" w:fill="DEEBF6"/>
            <w:vAlign w:val="center"/>
            <w:hideMark/>
          </w:tcPr>
          <w:p w14:paraId="473FF4AF"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0-4</w:t>
            </w:r>
          </w:p>
        </w:tc>
        <w:tc>
          <w:tcPr>
            <w:tcW w:w="1063" w:type="dxa"/>
            <w:tcBorders>
              <w:top w:val="nil"/>
              <w:left w:val="nil"/>
              <w:bottom w:val="single" w:sz="8" w:space="0" w:color="auto"/>
              <w:right w:val="single" w:sz="4" w:space="0" w:color="auto"/>
            </w:tcBorders>
            <w:shd w:val="clear" w:color="000000" w:fill="DEEBF6"/>
            <w:vAlign w:val="center"/>
            <w:hideMark/>
          </w:tcPr>
          <w:p w14:paraId="7B9AC56C"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5-11</w:t>
            </w:r>
          </w:p>
        </w:tc>
        <w:tc>
          <w:tcPr>
            <w:tcW w:w="1001" w:type="dxa"/>
            <w:tcBorders>
              <w:top w:val="nil"/>
              <w:left w:val="nil"/>
              <w:bottom w:val="single" w:sz="8" w:space="0" w:color="auto"/>
              <w:right w:val="single" w:sz="4" w:space="0" w:color="auto"/>
            </w:tcBorders>
            <w:shd w:val="clear" w:color="000000" w:fill="DEEBF6"/>
            <w:vAlign w:val="center"/>
            <w:hideMark/>
          </w:tcPr>
          <w:p w14:paraId="7B94B6FE"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12-17</w:t>
            </w:r>
          </w:p>
        </w:tc>
        <w:tc>
          <w:tcPr>
            <w:tcW w:w="1175" w:type="dxa"/>
            <w:vMerge/>
            <w:tcBorders>
              <w:top w:val="nil"/>
              <w:left w:val="single" w:sz="4" w:space="0" w:color="auto"/>
              <w:bottom w:val="single" w:sz="8" w:space="0" w:color="000000"/>
              <w:right w:val="single" w:sz="8" w:space="0" w:color="auto"/>
            </w:tcBorders>
            <w:vAlign w:val="center"/>
            <w:hideMark/>
          </w:tcPr>
          <w:p w14:paraId="133D2ABB"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p>
        </w:tc>
        <w:tc>
          <w:tcPr>
            <w:tcW w:w="727" w:type="dxa"/>
            <w:tcBorders>
              <w:top w:val="nil"/>
              <w:left w:val="nil"/>
              <w:bottom w:val="single" w:sz="8" w:space="0" w:color="auto"/>
              <w:right w:val="single" w:sz="4" w:space="0" w:color="auto"/>
            </w:tcBorders>
            <w:shd w:val="clear" w:color="000000" w:fill="DEEBF6"/>
            <w:vAlign w:val="center"/>
            <w:hideMark/>
          </w:tcPr>
          <w:p w14:paraId="2C9D1689"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0-4</w:t>
            </w:r>
          </w:p>
        </w:tc>
        <w:tc>
          <w:tcPr>
            <w:tcW w:w="915" w:type="dxa"/>
            <w:tcBorders>
              <w:top w:val="nil"/>
              <w:left w:val="nil"/>
              <w:bottom w:val="single" w:sz="8" w:space="0" w:color="auto"/>
              <w:right w:val="single" w:sz="4" w:space="0" w:color="auto"/>
            </w:tcBorders>
            <w:shd w:val="clear" w:color="000000" w:fill="DEEBF6"/>
            <w:vAlign w:val="center"/>
            <w:hideMark/>
          </w:tcPr>
          <w:p w14:paraId="21764E01"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5-11</w:t>
            </w:r>
          </w:p>
        </w:tc>
        <w:tc>
          <w:tcPr>
            <w:tcW w:w="888" w:type="dxa"/>
            <w:tcBorders>
              <w:top w:val="nil"/>
              <w:left w:val="nil"/>
              <w:bottom w:val="single" w:sz="8" w:space="0" w:color="auto"/>
              <w:right w:val="nil"/>
            </w:tcBorders>
            <w:shd w:val="clear" w:color="000000" w:fill="DEEBF6"/>
            <w:vAlign w:val="center"/>
            <w:hideMark/>
          </w:tcPr>
          <w:p w14:paraId="529B33BC"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12-17</w:t>
            </w:r>
          </w:p>
        </w:tc>
        <w:tc>
          <w:tcPr>
            <w:tcW w:w="1091" w:type="dxa"/>
            <w:vMerge/>
            <w:tcBorders>
              <w:top w:val="nil"/>
              <w:left w:val="single" w:sz="8" w:space="0" w:color="auto"/>
              <w:bottom w:val="single" w:sz="4" w:space="0" w:color="000000"/>
              <w:right w:val="single" w:sz="8" w:space="0" w:color="auto"/>
            </w:tcBorders>
            <w:vAlign w:val="center"/>
            <w:hideMark/>
          </w:tcPr>
          <w:p w14:paraId="271C960E"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p>
        </w:tc>
      </w:tr>
      <w:tr w:rsidR="00CD7F16" w:rsidRPr="00075E00" w14:paraId="1E61C74E"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5E4A6D57"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1989-2006</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68519D69"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1.023</w:t>
            </w:r>
          </w:p>
        </w:tc>
        <w:tc>
          <w:tcPr>
            <w:tcW w:w="1063" w:type="dxa"/>
            <w:tcBorders>
              <w:top w:val="nil"/>
              <w:left w:val="nil"/>
              <w:bottom w:val="single" w:sz="4" w:space="0" w:color="auto"/>
              <w:right w:val="single" w:sz="4" w:space="0" w:color="auto"/>
            </w:tcBorders>
            <w:shd w:val="clear" w:color="000000" w:fill="FFFFFF"/>
            <w:vAlign w:val="center"/>
            <w:hideMark/>
          </w:tcPr>
          <w:p w14:paraId="1E10BA2F"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767</w:t>
            </w:r>
          </w:p>
        </w:tc>
        <w:tc>
          <w:tcPr>
            <w:tcW w:w="1001" w:type="dxa"/>
            <w:tcBorders>
              <w:top w:val="nil"/>
              <w:left w:val="nil"/>
              <w:bottom w:val="single" w:sz="4" w:space="0" w:color="auto"/>
              <w:right w:val="single" w:sz="4" w:space="0" w:color="auto"/>
            </w:tcBorders>
            <w:shd w:val="clear" w:color="000000" w:fill="FFFFFF"/>
            <w:vAlign w:val="center"/>
            <w:hideMark/>
          </w:tcPr>
          <w:p w14:paraId="02C36C47"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3.000</w:t>
            </w:r>
          </w:p>
        </w:tc>
        <w:tc>
          <w:tcPr>
            <w:tcW w:w="1175" w:type="dxa"/>
            <w:tcBorders>
              <w:top w:val="nil"/>
              <w:left w:val="nil"/>
              <w:bottom w:val="single" w:sz="4" w:space="0" w:color="auto"/>
              <w:right w:val="single" w:sz="4" w:space="0" w:color="auto"/>
            </w:tcBorders>
            <w:shd w:val="clear" w:color="000000" w:fill="FFFFFF"/>
            <w:vAlign w:val="center"/>
            <w:hideMark/>
          </w:tcPr>
          <w:p w14:paraId="1E1D930C"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4.790</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6F9EF02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638</w:t>
            </w:r>
          </w:p>
        </w:tc>
        <w:tc>
          <w:tcPr>
            <w:tcW w:w="915" w:type="dxa"/>
            <w:tcBorders>
              <w:top w:val="nil"/>
              <w:left w:val="nil"/>
              <w:bottom w:val="single" w:sz="4" w:space="0" w:color="auto"/>
              <w:right w:val="single" w:sz="4" w:space="0" w:color="auto"/>
            </w:tcBorders>
            <w:shd w:val="clear" w:color="000000" w:fill="FFFFFF"/>
            <w:vAlign w:val="center"/>
            <w:hideMark/>
          </w:tcPr>
          <w:p w14:paraId="3F6EF862"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781</w:t>
            </w:r>
          </w:p>
        </w:tc>
        <w:tc>
          <w:tcPr>
            <w:tcW w:w="888" w:type="dxa"/>
            <w:tcBorders>
              <w:top w:val="nil"/>
              <w:left w:val="nil"/>
              <w:bottom w:val="single" w:sz="4" w:space="0" w:color="auto"/>
              <w:right w:val="nil"/>
            </w:tcBorders>
            <w:shd w:val="clear" w:color="000000" w:fill="FFFFFF"/>
            <w:vAlign w:val="center"/>
            <w:hideMark/>
          </w:tcPr>
          <w:p w14:paraId="1F3B8BB7"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1.230</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4A6BA33A"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2.649</w:t>
            </w:r>
          </w:p>
        </w:tc>
      </w:tr>
      <w:tr w:rsidR="00CD7F16" w:rsidRPr="00075E00" w14:paraId="1DFB49C1"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2827D002"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2007</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1A6399F2"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0</w:t>
            </w:r>
          </w:p>
        </w:tc>
        <w:tc>
          <w:tcPr>
            <w:tcW w:w="1063" w:type="dxa"/>
            <w:tcBorders>
              <w:top w:val="nil"/>
              <w:left w:val="nil"/>
              <w:bottom w:val="single" w:sz="4" w:space="0" w:color="auto"/>
              <w:right w:val="single" w:sz="4" w:space="0" w:color="auto"/>
            </w:tcBorders>
            <w:shd w:val="clear" w:color="000000" w:fill="FFFFFF"/>
            <w:vAlign w:val="center"/>
            <w:hideMark/>
          </w:tcPr>
          <w:p w14:paraId="7A159BBF"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109</w:t>
            </w:r>
          </w:p>
        </w:tc>
        <w:tc>
          <w:tcPr>
            <w:tcW w:w="1001" w:type="dxa"/>
            <w:tcBorders>
              <w:top w:val="nil"/>
              <w:left w:val="nil"/>
              <w:bottom w:val="single" w:sz="4" w:space="0" w:color="auto"/>
              <w:right w:val="single" w:sz="4" w:space="0" w:color="auto"/>
            </w:tcBorders>
            <w:shd w:val="clear" w:color="000000" w:fill="FFFFFF"/>
            <w:vAlign w:val="center"/>
            <w:hideMark/>
          </w:tcPr>
          <w:p w14:paraId="2A04EF7D"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114</w:t>
            </w:r>
          </w:p>
        </w:tc>
        <w:tc>
          <w:tcPr>
            <w:tcW w:w="1175" w:type="dxa"/>
            <w:tcBorders>
              <w:top w:val="nil"/>
              <w:left w:val="nil"/>
              <w:bottom w:val="single" w:sz="4" w:space="0" w:color="auto"/>
              <w:right w:val="single" w:sz="4" w:space="0" w:color="auto"/>
            </w:tcBorders>
            <w:shd w:val="clear" w:color="000000" w:fill="FFFFFF"/>
            <w:vAlign w:val="center"/>
            <w:hideMark/>
          </w:tcPr>
          <w:p w14:paraId="1A64670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223</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18D232F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0</w:t>
            </w:r>
          </w:p>
        </w:tc>
        <w:tc>
          <w:tcPr>
            <w:tcW w:w="915" w:type="dxa"/>
            <w:tcBorders>
              <w:top w:val="nil"/>
              <w:left w:val="nil"/>
              <w:bottom w:val="single" w:sz="4" w:space="0" w:color="auto"/>
              <w:right w:val="single" w:sz="4" w:space="0" w:color="auto"/>
            </w:tcBorders>
            <w:shd w:val="clear" w:color="000000" w:fill="FFFFFF"/>
            <w:vAlign w:val="center"/>
            <w:hideMark/>
          </w:tcPr>
          <w:p w14:paraId="52FB08DF"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55</w:t>
            </w:r>
          </w:p>
        </w:tc>
        <w:tc>
          <w:tcPr>
            <w:tcW w:w="888" w:type="dxa"/>
            <w:tcBorders>
              <w:top w:val="nil"/>
              <w:left w:val="nil"/>
              <w:bottom w:val="single" w:sz="4" w:space="0" w:color="auto"/>
              <w:right w:val="nil"/>
            </w:tcBorders>
            <w:shd w:val="clear" w:color="000000" w:fill="FFFFFF"/>
            <w:vAlign w:val="center"/>
            <w:hideMark/>
          </w:tcPr>
          <w:p w14:paraId="0390419C"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188</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5031B50B"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243</w:t>
            </w:r>
          </w:p>
        </w:tc>
      </w:tr>
      <w:tr w:rsidR="00CD7F16" w:rsidRPr="00075E00" w14:paraId="59302415"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4C493406"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2008</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2F5DABE3"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218</w:t>
            </w:r>
          </w:p>
        </w:tc>
        <w:tc>
          <w:tcPr>
            <w:tcW w:w="1063" w:type="dxa"/>
            <w:tcBorders>
              <w:top w:val="nil"/>
              <w:left w:val="nil"/>
              <w:bottom w:val="single" w:sz="4" w:space="0" w:color="auto"/>
              <w:right w:val="single" w:sz="4" w:space="0" w:color="auto"/>
            </w:tcBorders>
            <w:shd w:val="clear" w:color="000000" w:fill="FFFFFF"/>
            <w:vAlign w:val="center"/>
            <w:hideMark/>
          </w:tcPr>
          <w:p w14:paraId="3797F7E9"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227</w:t>
            </w:r>
          </w:p>
        </w:tc>
        <w:tc>
          <w:tcPr>
            <w:tcW w:w="1001" w:type="dxa"/>
            <w:tcBorders>
              <w:top w:val="nil"/>
              <w:left w:val="nil"/>
              <w:bottom w:val="single" w:sz="4" w:space="0" w:color="auto"/>
              <w:right w:val="single" w:sz="4" w:space="0" w:color="auto"/>
            </w:tcBorders>
            <w:shd w:val="clear" w:color="000000" w:fill="FFFFFF"/>
            <w:vAlign w:val="center"/>
            <w:hideMark/>
          </w:tcPr>
          <w:p w14:paraId="5C0E7451"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267</w:t>
            </w:r>
          </w:p>
        </w:tc>
        <w:tc>
          <w:tcPr>
            <w:tcW w:w="1175" w:type="dxa"/>
            <w:tcBorders>
              <w:top w:val="nil"/>
              <w:left w:val="nil"/>
              <w:bottom w:val="single" w:sz="4" w:space="0" w:color="auto"/>
              <w:right w:val="single" w:sz="4" w:space="0" w:color="auto"/>
            </w:tcBorders>
            <w:shd w:val="clear" w:color="000000" w:fill="FFFFFF"/>
            <w:vAlign w:val="center"/>
            <w:hideMark/>
          </w:tcPr>
          <w:p w14:paraId="31913CFD"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712</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2BDD8F87"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240</w:t>
            </w:r>
          </w:p>
        </w:tc>
        <w:tc>
          <w:tcPr>
            <w:tcW w:w="915" w:type="dxa"/>
            <w:tcBorders>
              <w:top w:val="nil"/>
              <w:left w:val="nil"/>
              <w:bottom w:val="single" w:sz="4" w:space="0" w:color="auto"/>
              <w:right w:val="single" w:sz="4" w:space="0" w:color="auto"/>
            </w:tcBorders>
            <w:shd w:val="clear" w:color="000000" w:fill="FFFFFF"/>
            <w:vAlign w:val="center"/>
            <w:hideMark/>
          </w:tcPr>
          <w:p w14:paraId="6DD7EACF"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226</w:t>
            </w:r>
          </w:p>
        </w:tc>
        <w:tc>
          <w:tcPr>
            <w:tcW w:w="888" w:type="dxa"/>
            <w:tcBorders>
              <w:top w:val="nil"/>
              <w:left w:val="nil"/>
              <w:bottom w:val="single" w:sz="4" w:space="0" w:color="auto"/>
              <w:right w:val="nil"/>
            </w:tcBorders>
            <w:shd w:val="clear" w:color="000000" w:fill="FFFFFF"/>
            <w:vAlign w:val="center"/>
            <w:hideMark/>
          </w:tcPr>
          <w:p w14:paraId="0F57ECF5"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280</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3B2A19E4"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746</w:t>
            </w:r>
          </w:p>
        </w:tc>
      </w:tr>
      <w:tr w:rsidR="00CD7F16" w:rsidRPr="00075E00" w14:paraId="67119E66"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26E514D2"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2009</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3D5C71F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26</w:t>
            </w:r>
          </w:p>
        </w:tc>
        <w:tc>
          <w:tcPr>
            <w:tcW w:w="1063" w:type="dxa"/>
            <w:tcBorders>
              <w:top w:val="nil"/>
              <w:left w:val="nil"/>
              <w:bottom w:val="single" w:sz="4" w:space="0" w:color="auto"/>
              <w:right w:val="single" w:sz="4" w:space="0" w:color="auto"/>
            </w:tcBorders>
            <w:shd w:val="clear" w:color="000000" w:fill="FFFFFF"/>
            <w:vAlign w:val="center"/>
            <w:hideMark/>
          </w:tcPr>
          <w:p w14:paraId="1E8BE02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1122</w:t>
            </w:r>
          </w:p>
        </w:tc>
        <w:tc>
          <w:tcPr>
            <w:tcW w:w="1001" w:type="dxa"/>
            <w:tcBorders>
              <w:top w:val="nil"/>
              <w:left w:val="nil"/>
              <w:bottom w:val="single" w:sz="4" w:space="0" w:color="auto"/>
              <w:right w:val="single" w:sz="4" w:space="0" w:color="auto"/>
            </w:tcBorders>
            <w:shd w:val="clear" w:color="000000" w:fill="FFFFFF"/>
            <w:vAlign w:val="center"/>
            <w:hideMark/>
          </w:tcPr>
          <w:p w14:paraId="77220097"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1120</w:t>
            </w:r>
          </w:p>
        </w:tc>
        <w:tc>
          <w:tcPr>
            <w:tcW w:w="1175" w:type="dxa"/>
            <w:tcBorders>
              <w:top w:val="nil"/>
              <w:left w:val="nil"/>
              <w:bottom w:val="single" w:sz="4" w:space="0" w:color="auto"/>
              <w:right w:val="single" w:sz="4" w:space="0" w:color="auto"/>
            </w:tcBorders>
            <w:shd w:val="clear" w:color="000000" w:fill="FFFFFF"/>
            <w:vAlign w:val="center"/>
            <w:hideMark/>
          </w:tcPr>
          <w:p w14:paraId="6E7DA04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2.268</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647BCF7D"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32</w:t>
            </w:r>
          </w:p>
        </w:tc>
        <w:tc>
          <w:tcPr>
            <w:tcW w:w="915" w:type="dxa"/>
            <w:tcBorders>
              <w:top w:val="nil"/>
              <w:left w:val="nil"/>
              <w:bottom w:val="single" w:sz="4" w:space="0" w:color="auto"/>
              <w:right w:val="single" w:sz="4" w:space="0" w:color="auto"/>
            </w:tcBorders>
            <w:shd w:val="clear" w:color="000000" w:fill="FFFFFF"/>
            <w:vAlign w:val="center"/>
            <w:hideMark/>
          </w:tcPr>
          <w:p w14:paraId="7CD3D1B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1135</w:t>
            </w:r>
          </w:p>
        </w:tc>
        <w:tc>
          <w:tcPr>
            <w:tcW w:w="888" w:type="dxa"/>
            <w:tcBorders>
              <w:top w:val="nil"/>
              <w:left w:val="nil"/>
              <w:bottom w:val="single" w:sz="4" w:space="0" w:color="auto"/>
              <w:right w:val="nil"/>
            </w:tcBorders>
            <w:shd w:val="clear" w:color="000000" w:fill="FFFFFF"/>
            <w:vAlign w:val="center"/>
            <w:hideMark/>
          </w:tcPr>
          <w:p w14:paraId="652040A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1211</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215C2559"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2.378</w:t>
            </w:r>
          </w:p>
        </w:tc>
      </w:tr>
      <w:tr w:rsidR="00CD7F16" w:rsidRPr="00075E00" w14:paraId="4736C6E7"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29F68B71"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2010</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72504677"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20</w:t>
            </w:r>
          </w:p>
        </w:tc>
        <w:tc>
          <w:tcPr>
            <w:tcW w:w="1063" w:type="dxa"/>
            <w:tcBorders>
              <w:top w:val="nil"/>
              <w:left w:val="nil"/>
              <w:bottom w:val="single" w:sz="4" w:space="0" w:color="auto"/>
              <w:right w:val="single" w:sz="4" w:space="0" w:color="auto"/>
            </w:tcBorders>
            <w:shd w:val="clear" w:color="000000" w:fill="FFFFFF"/>
            <w:vAlign w:val="center"/>
            <w:hideMark/>
          </w:tcPr>
          <w:p w14:paraId="0CAC29F6"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370</w:t>
            </w:r>
          </w:p>
        </w:tc>
        <w:tc>
          <w:tcPr>
            <w:tcW w:w="1001" w:type="dxa"/>
            <w:tcBorders>
              <w:top w:val="nil"/>
              <w:left w:val="nil"/>
              <w:bottom w:val="single" w:sz="4" w:space="0" w:color="auto"/>
              <w:right w:val="single" w:sz="4" w:space="0" w:color="auto"/>
            </w:tcBorders>
            <w:shd w:val="clear" w:color="000000" w:fill="FFFFFF"/>
            <w:vAlign w:val="center"/>
            <w:hideMark/>
          </w:tcPr>
          <w:p w14:paraId="43D2770B"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396</w:t>
            </w:r>
          </w:p>
        </w:tc>
        <w:tc>
          <w:tcPr>
            <w:tcW w:w="1175" w:type="dxa"/>
            <w:tcBorders>
              <w:top w:val="nil"/>
              <w:left w:val="nil"/>
              <w:bottom w:val="single" w:sz="4" w:space="0" w:color="auto"/>
              <w:right w:val="single" w:sz="4" w:space="0" w:color="auto"/>
            </w:tcBorders>
            <w:shd w:val="clear" w:color="000000" w:fill="FFFFFF"/>
            <w:vAlign w:val="center"/>
            <w:hideMark/>
          </w:tcPr>
          <w:p w14:paraId="7C2DAF11"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786</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7FA229B7"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23</w:t>
            </w:r>
          </w:p>
        </w:tc>
        <w:tc>
          <w:tcPr>
            <w:tcW w:w="915" w:type="dxa"/>
            <w:tcBorders>
              <w:top w:val="nil"/>
              <w:left w:val="nil"/>
              <w:bottom w:val="single" w:sz="4" w:space="0" w:color="auto"/>
              <w:right w:val="single" w:sz="4" w:space="0" w:color="auto"/>
            </w:tcBorders>
            <w:shd w:val="clear" w:color="000000" w:fill="FFFFFF"/>
            <w:vAlign w:val="center"/>
            <w:hideMark/>
          </w:tcPr>
          <w:p w14:paraId="0B274C24"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369</w:t>
            </w:r>
          </w:p>
        </w:tc>
        <w:tc>
          <w:tcPr>
            <w:tcW w:w="888" w:type="dxa"/>
            <w:tcBorders>
              <w:top w:val="nil"/>
              <w:left w:val="nil"/>
              <w:bottom w:val="single" w:sz="4" w:space="0" w:color="auto"/>
              <w:right w:val="nil"/>
            </w:tcBorders>
            <w:shd w:val="clear" w:color="000000" w:fill="FFFFFF"/>
            <w:vAlign w:val="center"/>
            <w:hideMark/>
          </w:tcPr>
          <w:p w14:paraId="7DA0C1E3"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417</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1B3B263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809</w:t>
            </w:r>
          </w:p>
        </w:tc>
      </w:tr>
      <w:tr w:rsidR="00CD7F16" w:rsidRPr="00075E00" w14:paraId="3DB00C83"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1B797678"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2011</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1DC2985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13</w:t>
            </w:r>
          </w:p>
        </w:tc>
        <w:tc>
          <w:tcPr>
            <w:tcW w:w="1063" w:type="dxa"/>
            <w:tcBorders>
              <w:top w:val="nil"/>
              <w:left w:val="nil"/>
              <w:bottom w:val="single" w:sz="4" w:space="0" w:color="auto"/>
              <w:right w:val="single" w:sz="4" w:space="0" w:color="auto"/>
            </w:tcBorders>
            <w:shd w:val="clear" w:color="000000" w:fill="FFFFFF"/>
            <w:vAlign w:val="center"/>
            <w:hideMark/>
          </w:tcPr>
          <w:p w14:paraId="4D59E9D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148</w:t>
            </w:r>
          </w:p>
        </w:tc>
        <w:tc>
          <w:tcPr>
            <w:tcW w:w="1001" w:type="dxa"/>
            <w:tcBorders>
              <w:top w:val="nil"/>
              <w:left w:val="nil"/>
              <w:bottom w:val="single" w:sz="4" w:space="0" w:color="auto"/>
              <w:right w:val="single" w:sz="4" w:space="0" w:color="auto"/>
            </w:tcBorders>
            <w:shd w:val="clear" w:color="000000" w:fill="FFFFFF"/>
            <w:vAlign w:val="center"/>
            <w:hideMark/>
          </w:tcPr>
          <w:p w14:paraId="0D6BA59C"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107</w:t>
            </w:r>
          </w:p>
        </w:tc>
        <w:tc>
          <w:tcPr>
            <w:tcW w:w="1175" w:type="dxa"/>
            <w:tcBorders>
              <w:top w:val="nil"/>
              <w:left w:val="nil"/>
              <w:bottom w:val="single" w:sz="4" w:space="0" w:color="auto"/>
              <w:right w:val="single" w:sz="4" w:space="0" w:color="auto"/>
            </w:tcBorders>
            <w:shd w:val="clear" w:color="000000" w:fill="FFFFFF"/>
            <w:vAlign w:val="center"/>
            <w:hideMark/>
          </w:tcPr>
          <w:p w14:paraId="75BD0B5D"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268</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7069E9BD"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21</w:t>
            </w:r>
          </w:p>
        </w:tc>
        <w:tc>
          <w:tcPr>
            <w:tcW w:w="915" w:type="dxa"/>
            <w:tcBorders>
              <w:top w:val="nil"/>
              <w:left w:val="nil"/>
              <w:bottom w:val="single" w:sz="4" w:space="0" w:color="auto"/>
              <w:right w:val="single" w:sz="4" w:space="0" w:color="auto"/>
            </w:tcBorders>
            <w:shd w:val="clear" w:color="000000" w:fill="FFFFFF"/>
            <w:vAlign w:val="center"/>
            <w:hideMark/>
          </w:tcPr>
          <w:p w14:paraId="2A38FAB6"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126</w:t>
            </w:r>
          </w:p>
        </w:tc>
        <w:tc>
          <w:tcPr>
            <w:tcW w:w="888" w:type="dxa"/>
            <w:tcBorders>
              <w:top w:val="nil"/>
              <w:left w:val="nil"/>
              <w:bottom w:val="single" w:sz="4" w:space="0" w:color="auto"/>
              <w:right w:val="nil"/>
            </w:tcBorders>
            <w:shd w:val="clear" w:color="000000" w:fill="FFFFFF"/>
            <w:vAlign w:val="center"/>
            <w:hideMark/>
          </w:tcPr>
          <w:p w14:paraId="66F6E61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146</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28E6EA1C"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293</w:t>
            </w:r>
          </w:p>
        </w:tc>
      </w:tr>
      <w:tr w:rsidR="00CD7F16" w:rsidRPr="00075E00" w14:paraId="2DEAEEF2"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25DCDD5A"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2012</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25247E6B"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16</w:t>
            </w:r>
          </w:p>
        </w:tc>
        <w:tc>
          <w:tcPr>
            <w:tcW w:w="1063" w:type="dxa"/>
            <w:tcBorders>
              <w:top w:val="nil"/>
              <w:left w:val="nil"/>
              <w:bottom w:val="single" w:sz="4" w:space="0" w:color="auto"/>
              <w:right w:val="single" w:sz="4" w:space="0" w:color="auto"/>
            </w:tcBorders>
            <w:shd w:val="clear" w:color="000000" w:fill="FFFFFF"/>
            <w:vAlign w:val="center"/>
            <w:hideMark/>
          </w:tcPr>
          <w:p w14:paraId="0412959B"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96</w:t>
            </w:r>
          </w:p>
        </w:tc>
        <w:tc>
          <w:tcPr>
            <w:tcW w:w="1001" w:type="dxa"/>
            <w:tcBorders>
              <w:top w:val="nil"/>
              <w:left w:val="nil"/>
              <w:bottom w:val="single" w:sz="4" w:space="0" w:color="auto"/>
              <w:right w:val="single" w:sz="4" w:space="0" w:color="auto"/>
            </w:tcBorders>
            <w:shd w:val="clear" w:color="000000" w:fill="FFFFFF"/>
            <w:vAlign w:val="center"/>
            <w:hideMark/>
          </w:tcPr>
          <w:p w14:paraId="580220C4"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76</w:t>
            </w:r>
          </w:p>
        </w:tc>
        <w:tc>
          <w:tcPr>
            <w:tcW w:w="1175" w:type="dxa"/>
            <w:tcBorders>
              <w:top w:val="nil"/>
              <w:left w:val="nil"/>
              <w:bottom w:val="single" w:sz="4" w:space="0" w:color="auto"/>
              <w:right w:val="single" w:sz="4" w:space="0" w:color="auto"/>
            </w:tcBorders>
            <w:shd w:val="clear" w:color="000000" w:fill="FFFFFF"/>
            <w:vAlign w:val="center"/>
            <w:hideMark/>
          </w:tcPr>
          <w:p w14:paraId="64AFE7A7"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188</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4B56D373"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11</w:t>
            </w:r>
          </w:p>
        </w:tc>
        <w:tc>
          <w:tcPr>
            <w:tcW w:w="915" w:type="dxa"/>
            <w:tcBorders>
              <w:top w:val="nil"/>
              <w:left w:val="nil"/>
              <w:bottom w:val="single" w:sz="4" w:space="0" w:color="auto"/>
              <w:right w:val="single" w:sz="4" w:space="0" w:color="auto"/>
            </w:tcBorders>
            <w:shd w:val="clear" w:color="000000" w:fill="FFFFFF"/>
            <w:vAlign w:val="center"/>
            <w:hideMark/>
          </w:tcPr>
          <w:p w14:paraId="5CFABE3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78</w:t>
            </w:r>
          </w:p>
        </w:tc>
        <w:tc>
          <w:tcPr>
            <w:tcW w:w="888" w:type="dxa"/>
            <w:tcBorders>
              <w:top w:val="nil"/>
              <w:left w:val="nil"/>
              <w:bottom w:val="single" w:sz="4" w:space="0" w:color="auto"/>
              <w:right w:val="nil"/>
            </w:tcBorders>
            <w:shd w:val="clear" w:color="000000" w:fill="FFFFFF"/>
            <w:vAlign w:val="center"/>
            <w:hideMark/>
          </w:tcPr>
          <w:p w14:paraId="1A5F285B"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89</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4F9BFAA2"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178</w:t>
            </w:r>
          </w:p>
        </w:tc>
      </w:tr>
      <w:tr w:rsidR="00CD7F16" w:rsidRPr="00075E00" w14:paraId="76D5B908"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28DD8871"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2013</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55C8185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11</w:t>
            </w:r>
          </w:p>
        </w:tc>
        <w:tc>
          <w:tcPr>
            <w:tcW w:w="1063" w:type="dxa"/>
            <w:tcBorders>
              <w:top w:val="nil"/>
              <w:left w:val="nil"/>
              <w:bottom w:val="single" w:sz="4" w:space="0" w:color="auto"/>
              <w:right w:val="single" w:sz="4" w:space="0" w:color="auto"/>
            </w:tcBorders>
            <w:shd w:val="clear" w:color="000000" w:fill="FFFFFF"/>
            <w:vAlign w:val="center"/>
            <w:hideMark/>
          </w:tcPr>
          <w:p w14:paraId="785996EA"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54</w:t>
            </w:r>
          </w:p>
        </w:tc>
        <w:tc>
          <w:tcPr>
            <w:tcW w:w="1001" w:type="dxa"/>
            <w:tcBorders>
              <w:top w:val="nil"/>
              <w:left w:val="nil"/>
              <w:bottom w:val="single" w:sz="4" w:space="0" w:color="auto"/>
              <w:right w:val="single" w:sz="4" w:space="0" w:color="auto"/>
            </w:tcBorders>
            <w:shd w:val="clear" w:color="000000" w:fill="FFFFFF"/>
            <w:vAlign w:val="center"/>
            <w:hideMark/>
          </w:tcPr>
          <w:p w14:paraId="1FFF97C1"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69</w:t>
            </w:r>
          </w:p>
        </w:tc>
        <w:tc>
          <w:tcPr>
            <w:tcW w:w="1175" w:type="dxa"/>
            <w:tcBorders>
              <w:top w:val="nil"/>
              <w:left w:val="nil"/>
              <w:bottom w:val="single" w:sz="4" w:space="0" w:color="auto"/>
              <w:right w:val="single" w:sz="4" w:space="0" w:color="auto"/>
            </w:tcBorders>
            <w:shd w:val="clear" w:color="000000" w:fill="FFFFFF"/>
            <w:vAlign w:val="center"/>
            <w:hideMark/>
          </w:tcPr>
          <w:p w14:paraId="2B6D8D9F"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134</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24DEE3A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13</w:t>
            </w:r>
          </w:p>
        </w:tc>
        <w:tc>
          <w:tcPr>
            <w:tcW w:w="915" w:type="dxa"/>
            <w:tcBorders>
              <w:top w:val="nil"/>
              <w:left w:val="nil"/>
              <w:bottom w:val="single" w:sz="4" w:space="0" w:color="auto"/>
              <w:right w:val="single" w:sz="4" w:space="0" w:color="auto"/>
            </w:tcBorders>
            <w:shd w:val="clear" w:color="000000" w:fill="FFFFFF"/>
            <w:vAlign w:val="center"/>
            <w:hideMark/>
          </w:tcPr>
          <w:p w14:paraId="15D158AA"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49</w:t>
            </w:r>
          </w:p>
        </w:tc>
        <w:tc>
          <w:tcPr>
            <w:tcW w:w="888" w:type="dxa"/>
            <w:tcBorders>
              <w:top w:val="nil"/>
              <w:left w:val="nil"/>
              <w:bottom w:val="single" w:sz="4" w:space="0" w:color="auto"/>
              <w:right w:val="nil"/>
            </w:tcBorders>
            <w:shd w:val="clear" w:color="000000" w:fill="FFFFFF"/>
            <w:vAlign w:val="center"/>
            <w:hideMark/>
          </w:tcPr>
          <w:p w14:paraId="1B432C0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66</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7AFDD4B2"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128</w:t>
            </w:r>
          </w:p>
        </w:tc>
      </w:tr>
      <w:tr w:rsidR="00CD7F16" w:rsidRPr="00075E00" w14:paraId="3FC57904"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0028583A"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2014</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26CD6756"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10</w:t>
            </w:r>
          </w:p>
        </w:tc>
        <w:tc>
          <w:tcPr>
            <w:tcW w:w="1063" w:type="dxa"/>
            <w:tcBorders>
              <w:top w:val="nil"/>
              <w:left w:val="nil"/>
              <w:bottom w:val="single" w:sz="4" w:space="0" w:color="auto"/>
              <w:right w:val="single" w:sz="4" w:space="0" w:color="auto"/>
            </w:tcBorders>
            <w:shd w:val="clear" w:color="000000" w:fill="FFFFFF"/>
            <w:vAlign w:val="center"/>
            <w:hideMark/>
          </w:tcPr>
          <w:p w14:paraId="310225E9"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24</w:t>
            </w:r>
          </w:p>
        </w:tc>
        <w:tc>
          <w:tcPr>
            <w:tcW w:w="1001" w:type="dxa"/>
            <w:tcBorders>
              <w:top w:val="nil"/>
              <w:left w:val="nil"/>
              <w:bottom w:val="single" w:sz="4" w:space="0" w:color="auto"/>
              <w:right w:val="single" w:sz="4" w:space="0" w:color="auto"/>
            </w:tcBorders>
            <w:shd w:val="clear" w:color="000000" w:fill="FFFFFF"/>
            <w:vAlign w:val="center"/>
            <w:hideMark/>
          </w:tcPr>
          <w:p w14:paraId="3A75317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32</w:t>
            </w:r>
          </w:p>
        </w:tc>
        <w:tc>
          <w:tcPr>
            <w:tcW w:w="1175" w:type="dxa"/>
            <w:tcBorders>
              <w:top w:val="nil"/>
              <w:left w:val="nil"/>
              <w:bottom w:val="single" w:sz="4" w:space="0" w:color="auto"/>
              <w:right w:val="single" w:sz="4" w:space="0" w:color="auto"/>
            </w:tcBorders>
            <w:shd w:val="clear" w:color="000000" w:fill="FFFFFF"/>
            <w:vAlign w:val="center"/>
            <w:hideMark/>
          </w:tcPr>
          <w:p w14:paraId="3CF66EB4"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66</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5501C123"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4</w:t>
            </w:r>
          </w:p>
        </w:tc>
        <w:tc>
          <w:tcPr>
            <w:tcW w:w="915" w:type="dxa"/>
            <w:tcBorders>
              <w:top w:val="nil"/>
              <w:left w:val="nil"/>
              <w:bottom w:val="single" w:sz="4" w:space="0" w:color="auto"/>
              <w:right w:val="single" w:sz="4" w:space="0" w:color="auto"/>
            </w:tcBorders>
            <w:shd w:val="clear" w:color="000000" w:fill="FFFFFF"/>
            <w:vAlign w:val="center"/>
            <w:hideMark/>
          </w:tcPr>
          <w:p w14:paraId="3F5B3C13"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18</w:t>
            </w:r>
          </w:p>
        </w:tc>
        <w:tc>
          <w:tcPr>
            <w:tcW w:w="888" w:type="dxa"/>
            <w:tcBorders>
              <w:top w:val="nil"/>
              <w:left w:val="nil"/>
              <w:bottom w:val="single" w:sz="4" w:space="0" w:color="auto"/>
              <w:right w:val="nil"/>
            </w:tcBorders>
            <w:shd w:val="clear" w:color="000000" w:fill="FFFFFF"/>
            <w:vAlign w:val="center"/>
            <w:hideMark/>
          </w:tcPr>
          <w:p w14:paraId="2A1C6F02"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17</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1FDB6BDB"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39</w:t>
            </w:r>
          </w:p>
        </w:tc>
      </w:tr>
      <w:tr w:rsidR="00CD7F16" w:rsidRPr="00075E00" w14:paraId="170F3740"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15C05ABC"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2015</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0F658E54"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w:t>
            </w:r>
          </w:p>
        </w:tc>
        <w:tc>
          <w:tcPr>
            <w:tcW w:w="1063" w:type="dxa"/>
            <w:tcBorders>
              <w:top w:val="nil"/>
              <w:left w:val="nil"/>
              <w:bottom w:val="single" w:sz="4" w:space="0" w:color="auto"/>
              <w:right w:val="single" w:sz="4" w:space="0" w:color="auto"/>
            </w:tcBorders>
            <w:shd w:val="clear" w:color="000000" w:fill="FFFFFF"/>
            <w:vAlign w:val="center"/>
            <w:hideMark/>
          </w:tcPr>
          <w:p w14:paraId="4611F08D"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w:t>
            </w:r>
          </w:p>
        </w:tc>
        <w:tc>
          <w:tcPr>
            <w:tcW w:w="1001" w:type="dxa"/>
            <w:tcBorders>
              <w:top w:val="nil"/>
              <w:left w:val="nil"/>
              <w:bottom w:val="single" w:sz="4" w:space="0" w:color="auto"/>
              <w:right w:val="single" w:sz="4" w:space="0" w:color="auto"/>
            </w:tcBorders>
            <w:shd w:val="clear" w:color="000000" w:fill="FFFFFF"/>
            <w:vAlign w:val="center"/>
            <w:hideMark/>
          </w:tcPr>
          <w:p w14:paraId="3946285D"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w:t>
            </w:r>
          </w:p>
        </w:tc>
        <w:tc>
          <w:tcPr>
            <w:tcW w:w="1175" w:type="dxa"/>
            <w:tcBorders>
              <w:top w:val="nil"/>
              <w:left w:val="nil"/>
              <w:bottom w:val="single" w:sz="4" w:space="0" w:color="auto"/>
              <w:right w:val="single" w:sz="4" w:space="0" w:color="auto"/>
            </w:tcBorders>
            <w:shd w:val="clear" w:color="000000" w:fill="FFFFFF"/>
            <w:vAlign w:val="center"/>
            <w:hideMark/>
          </w:tcPr>
          <w:p w14:paraId="53875B24"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6</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0AC0486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w:t>
            </w:r>
          </w:p>
        </w:tc>
        <w:tc>
          <w:tcPr>
            <w:tcW w:w="915" w:type="dxa"/>
            <w:tcBorders>
              <w:top w:val="nil"/>
              <w:left w:val="nil"/>
              <w:bottom w:val="single" w:sz="4" w:space="0" w:color="auto"/>
              <w:right w:val="single" w:sz="4" w:space="0" w:color="auto"/>
            </w:tcBorders>
            <w:shd w:val="clear" w:color="000000" w:fill="FFFFFF"/>
            <w:vAlign w:val="center"/>
            <w:hideMark/>
          </w:tcPr>
          <w:p w14:paraId="0DA54B9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w:t>
            </w:r>
          </w:p>
        </w:tc>
        <w:tc>
          <w:tcPr>
            <w:tcW w:w="888" w:type="dxa"/>
            <w:tcBorders>
              <w:top w:val="nil"/>
              <w:left w:val="nil"/>
              <w:bottom w:val="single" w:sz="4" w:space="0" w:color="auto"/>
              <w:right w:val="nil"/>
            </w:tcBorders>
            <w:shd w:val="clear" w:color="000000" w:fill="FFFFFF"/>
            <w:vAlign w:val="center"/>
            <w:hideMark/>
          </w:tcPr>
          <w:p w14:paraId="19529D7B"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11702A3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4</w:t>
            </w:r>
          </w:p>
        </w:tc>
      </w:tr>
      <w:tr w:rsidR="00CD7F16" w:rsidRPr="00075E00" w14:paraId="457B446D" w14:textId="77777777" w:rsidTr="0029759B">
        <w:trPr>
          <w:trHeight w:val="298"/>
        </w:trPr>
        <w:tc>
          <w:tcPr>
            <w:tcW w:w="804" w:type="dxa"/>
            <w:tcBorders>
              <w:top w:val="nil"/>
              <w:left w:val="single" w:sz="8" w:space="0" w:color="auto"/>
              <w:bottom w:val="single" w:sz="4" w:space="0" w:color="auto"/>
              <w:right w:val="single" w:sz="4" w:space="0" w:color="auto"/>
            </w:tcBorders>
            <w:shd w:val="clear" w:color="000000" w:fill="FFFFFF"/>
            <w:vAlign w:val="center"/>
            <w:hideMark/>
          </w:tcPr>
          <w:p w14:paraId="3DC7547D"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2016</w:t>
            </w:r>
          </w:p>
        </w:tc>
        <w:tc>
          <w:tcPr>
            <w:tcW w:w="1131" w:type="dxa"/>
            <w:tcBorders>
              <w:top w:val="nil"/>
              <w:left w:val="single" w:sz="8" w:space="0" w:color="auto"/>
              <w:bottom w:val="single" w:sz="4" w:space="0" w:color="auto"/>
              <w:right w:val="single" w:sz="4" w:space="0" w:color="auto"/>
            </w:tcBorders>
            <w:shd w:val="clear" w:color="000000" w:fill="FFFFFF"/>
            <w:vAlign w:val="center"/>
            <w:hideMark/>
          </w:tcPr>
          <w:p w14:paraId="230108C4"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6</w:t>
            </w:r>
          </w:p>
        </w:tc>
        <w:tc>
          <w:tcPr>
            <w:tcW w:w="1063" w:type="dxa"/>
            <w:tcBorders>
              <w:top w:val="nil"/>
              <w:left w:val="nil"/>
              <w:bottom w:val="single" w:sz="4" w:space="0" w:color="auto"/>
              <w:right w:val="single" w:sz="4" w:space="0" w:color="auto"/>
            </w:tcBorders>
            <w:shd w:val="clear" w:color="000000" w:fill="FFFFFF"/>
            <w:vAlign w:val="center"/>
            <w:hideMark/>
          </w:tcPr>
          <w:p w14:paraId="79BA1A5F"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19</w:t>
            </w:r>
          </w:p>
        </w:tc>
        <w:tc>
          <w:tcPr>
            <w:tcW w:w="1001" w:type="dxa"/>
            <w:tcBorders>
              <w:top w:val="nil"/>
              <w:left w:val="nil"/>
              <w:bottom w:val="single" w:sz="4" w:space="0" w:color="auto"/>
              <w:right w:val="single" w:sz="4" w:space="0" w:color="auto"/>
            </w:tcBorders>
            <w:shd w:val="clear" w:color="000000" w:fill="FFFFFF"/>
            <w:vAlign w:val="center"/>
            <w:hideMark/>
          </w:tcPr>
          <w:p w14:paraId="7392A02D"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16</w:t>
            </w:r>
          </w:p>
        </w:tc>
        <w:tc>
          <w:tcPr>
            <w:tcW w:w="1175" w:type="dxa"/>
            <w:tcBorders>
              <w:top w:val="nil"/>
              <w:left w:val="nil"/>
              <w:bottom w:val="single" w:sz="4" w:space="0" w:color="auto"/>
              <w:right w:val="single" w:sz="4" w:space="0" w:color="auto"/>
            </w:tcBorders>
            <w:shd w:val="clear" w:color="000000" w:fill="FFFFFF"/>
            <w:vAlign w:val="center"/>
            <w:hideMark/>
          </w:tcPr>
          <w:p w14:paraId="5B17CD51"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41</w:t>
            </w:r>
          </w:p>
        </w:tc>
        <w:tc>
          <w:tcPr>
            <w:tcW w:w="727" w:type="dxa"/>
            <w:tcBorders>
              <w:top w:val="nil"/>
              <w:left w:val="single" w:sz="8" w:space="0" w:color="auto"/>
              <w:bottom w:val="single" w:sz="4" w:space="0" w:color="auto"/>
              <w:right w:val="single" w:sz="4" w:space="0" w:color="auto"/>
            </w:tcBorders>
            <w:shd w:val="clear" w:color="000000" w:fill="FFFFFF"/>
            <w:vAlign w:val="center"/>
            <w:hideMark/>
          </w:tcPr>
          <w:p w14:paraId="3B2C76B7"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5</w:t>
            </w:r>
          </w:p>
        </w:tc>
        <w:tc>
          <w:tcPr>
            <w:tcW w:w="915" w:type="dxa"/>
            <w:tcBorders>
              <w:top w:val="nil"/>
              <w:left w:val="nil"/>
              <w:bottom w:val="single" w:sz="4" w:space="0" w:color="auto"/>
              <w:right w:val="single" w:sz="4" w:space="0" w:color="auto"/>
            </w:tcBorders>
            <w:shd w:val="clear" w:color="000000" w:fill="FFFFFF"/>
            <w:vAlign w:val="center"/>
            <w:hideMark/>
          </w:tcPr>
          <w:p w14:paraId="33D31F9A"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24</w:t>
            </w:r>
          </w:p>
        </w:tc>
        <w:tc>
          <w:tcPr>
            <w:tcW w:w="888" w:type="dxa"/>
            <w:tcBorders>
              <w:top w:val="nil"/>
              <w:left w:val="nil"/>
              <w:bottom w:val="single" w:sz="4" w:space="0" w:color="auto"/>
              <w:right w:val="nil"/>
            </w:tcBorders>
            <w:shd w:val="clear" w:color="000000" w:fill="FFFFFF"/>
            <w:vAlign w:val="center"/>
            <w:hideMark/>
          </w:tcPr>
          <w:p w14:paraId="4570179C"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17</w:t>
            </w:r>
          </w:p>
        </w:tc>
        <w:tc>
          <w:tcPr>
            <w:tcW w:w="1091" w:type="dxa"/>
            <w:tcBorders>
              <w:top w:val="nil"/>
              <w:left w:val="single" w:sz="8" w:space="0" w:color="auto"/>
              <w:bottom w:val="single" w:sz="4" w:space="0" w:color="auto"/>
              <w:right w:val="single" w:sz="8" w:space="0" w:color="auto"/>
            </w:tcBorders>
            <w:shd w:val="clear" w:color="000000" w:fill="FFFFFF"/>
            <w:noWrap/>
            <w:vAlign w:val="center"/>
            <w:hideMark/>
          </w:tcPr>
          <w:p w14:paraId="78468C24"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46</w:t>
            </w:r>
          </w:p>
        </w:tc>
      </w:tr>
      <w:tr w:rsidR="00CD7F16" w:rsidRPr="00075E00" w14:paraId="2830D01A" w14:textId="77777777" w:rsidTr="004C350D">
        <w:trPr>
          <w:trHeight w:val="312"/>
        </w:trPr>
        <w:tc>
          <w:tcPr>
            <w:tcW w:w="804" w:type="dxa"/>
            <w:tcBorders>
              <w:top w:val="nil"/>
              <w:left w:val="single" w:sz="8" w:space="0" w:color="auto"/>
              <w:bottom w:val="nil"/>
              <w:right w:val="single" w:sz="4" w:space="0" w:color="auto"/>
            </w:tcBorders>
            <w:shd w:val="clear" w:color="000000" w:fill="FFFFFF"/>
            <w:vAlign w:val="center"/>
            <w:hideMark/>
          </w:tcPr>
          <w:p w14:paraId="24FCF379"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2017*</w:t>
            </w:r>
          </w:p>
        </w:tc>
        <w:tc>
          <w:tcPr>
            <w:tcW w:w="1131" w:type="dxa"/>
            <w:tcBorders>
              <w:top w:val="nil"/>
              <w:left w:val="single" w:sz="8" w:space="0" w:color="auto"/>
              <w:bottom w:val="nil"/>
              <w:right w:val="single" w:sz="4" w:space="0" w:color="auto"/>
            </w:tcBorders>
            <w:shd w:val="clear" w:color="000000" w:fill="FFFFFF"/>
            <w:vAlign w:val="center"/>
            <w:hideMark/>
          </w:tcPr>
          <w:p w14:paraId="171535B0"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67</w:t>
            </w:r>
          </w:p>
        </w:tc>
        <w:tc>
          <w:tcPr>
            <w:tcW w:w="1063" w:type="dxa"/>
            <w:tcBorders>
              <w:top w:val="nil"/>
              <w:left w:val="nil"/>
              <w:bottom w:val="nil"/>
              <w:right w:val="single" w:sz="4" w:space="0" w:color="auto"/>
            </w:tcBorders>
            <w:shd w:val="clear" w:color="000000" w:fill="FFFFFF"/>
            <w:vAlign w:val="center"/>
            <w:hideMark/>
          </w:tcPr>
          <w:p w14:paraId="23B9546A"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3</w:t>
            </w:r>
          </w:p>
        </w:tc>
        <w:tc>
          <w:tcPr>
            <w:tcW w:w="1001" w:type="dxa"/>
            <w:tcBorders>
              <w:top w:val="nil"/>
              <w:left w:val="nil"/>
              <w:bottom w:val="nil"/>
              <w:right w:val="single" w:sz="4" w:space="0" w:color="auto"/>
            </w:tcBorders>
            <w:shd w:val="clear" w:color="000000" w:fill="FFFFFF"/>
            <w:vAlign w:val="center"/>
            <w:hideMark/>
          </w:tcPr>
          <w:p w14:paraId="17E8382F"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6</w:t>
            </w:r>
          </w:p>
        </w:tc>
        <w:tc>
          <w:tcPr>
            <w:tcW w:w="1175" w:type="dxa"/>
            <w:tcBorders>
              <w:top w:val="nil"/>
              <w:left w:val="nil"/>
              <w:bottom w:val="single" w:sz="4" w:space="0" w:color="auto"/>
              <w:right w:val="single" w:sz="4" w:space="0" w:color="auto"/>
            </w:tcBorders>
            <w:shd w:val="clear" w:color="000000" w:fill="FFFFFF"/>
            <w:vAlign w:val="center"/>
            <w:hideMark/>
          </w:tcPr>
          <w:p w14:paraId="42C0161A"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76</w:t>
            </w:r>
          </w:p>
        </w:tc>
        <w:tc>
          <w:tcPr>
            <w:tcW w:w="727" w:type="dxa"/>
            <w:tcBorders>
              <w:top w:val="nil"/>
              <w:left w:val="single" w:sz="8" w:space="0" w:color="auto"/>
              <w:bottom w:val="nil"/>
              <w:right w:val="single" w:sz="4" w:space="0" w:color="auto"/>
            </w:tcBorders>
            <w:shd w:val="clear" w:color="000000" w:fill="FFFFFF"/>
            <w:vAlign w:val="center"/>
            <w:hideMark/>
          </w:tcPr>
          <w:p w14:paraId="5E1CB1AB"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w:t>
            </w:r>
          </w:p>
        </w:tc>
        <w:tc>
          <w:tcPr>
            <w:tcW w:w="915" w:type="dxa"/>
            <w:tcBorders>
              <w:top w:val="nil"/>
              <w:left w:val="nil"/>
              <w:bottom w:val="nil"/>
              <w:right w:val="single" w:sz="4" w:space="0" w:color="auto"/>
            </w:tcBorders>
            <w:shd w:val="clear" w:color="000000" w:fill="FFFFFF"/>
            <w:vAlign w:val="center"/>
            <w:hideMark/>
          </w:tcPr>
          <w:p w14:paraId="0DD8DF3E"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2</w:t>
            </w:r>
          </w:p>
        </w:tc>
        <w:tc>
          <w:tcPr>
            <w:tcW w:w="888" w:type="dxa"/>
            <w:tcBorders>
              <w:top w:val="nil"/>
              <w:left w:val="nil"/>
              <w:bottom w:val="nil"/>
              <w:right w:val="nil"/>
            </w:tcBorders>
            <w:shd w:val="clear" w:color="000000" w:fill="FFFFFF"/>
            <w:vAlign w:val="center"/>
            <w:hideMark/>
          </w:tcPr>
          <w:p w14:paraId="53F8F323"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15</w:t>
            </w:r>
          </w:p>
        </w:tc>
        <w:tc>
          <w:tcPr>
            <w:tcW w:w="1091" w:type="dxa"/>
            <w:tcBorders>
              <w:top w:val="nil"/>
              <w:left w:val="single" w:sz="8" w:space="0" w:color="auto"/>
              <w:bottom w:val="nil"/>
              <w:right w:val="single" w:sz="8" w:space="0" w:color="auto"/>
            </w:tcBorders>
            <w:shd w:val="clear" w:color="000000" w:fill="FFFFFF"/>
            <w:noWrap/>
            <w:vAlign w:val="center"/>
            <w:hideMark/>
          </w:tcPr>
          <w:p w14:paraId="1094669A" w14:textId="77777777" w:rsidR="00BF777C" w:rsidRPr="00075E00" w:rsidRDefault="00BF777C" w:rsidP="0029759B">
            <w:pPr>
              <w:spacing w:after="0" w:line="240" w:lineRule="auto"/>
              <w:jc w:val="center"/>
              <w:rPr>
                <w:rFonts w:eastAsia="Times New Roman" w:cstheme="minorHAnsi"/>
                <w:iCs/>
                <w:noProof/>
                <w:color w:val="000000" w:themeColor="text1"/>
                <w:lang w:val="es-ES" w:eastAsia="es-EC"/>
              </w:rPr>
            </w:pPr>
            <w:r w:rsidRPr="00075E00">
              <w:rPr>
                <w:rFonts w:eastAsia="Times New Roman" w:cstheme="minorHAnsi"/>
                <w:iCs/>
                <w:noProof/>
                <w:color w:val="000000" w:themeColor="text1"/>
                <w:lang w:val="es-ES" w:eastAsia="es-EC"/>
              </w:rPr>
              <w:t>18</w:t>
            </w:r>
          </w:p>
        </w:tc>
      </w:tr>
      <w:tr w:rsidR="00CD7F16" w:rsidRPr="00075E00" w14:paraId="5647C25C" w14:textId="77777777" w:rsidTr="0029759B">
        <w:trPr>
          <w:trHeight w:val="312"/>
        </w:trPr>
        <w:tc>
          <w:tcPr>
            <w:tcW w:w="804" w:type="dxa"/>
            <w:tcBorders>
              <w:top w:val="single" w:sz="8" w:space="0" w:color="auto"/>
              <w:left w:val="single" w:sz="8" w:space="0" w:color="auto"/>
              <w:bottom w:val="single" w:sz="8" w:space="0" w:color="auto"/>
              <w:right w:val="single" w:sz="4" w:space="0" w:color="auto"/>
            </w:tcBorders>
            <w:shd w:val="clear" w:color="000000" w:fill="DEEBF6"/>
            <w:vAlign w:val="center"/>
            <w:hideMark/>
          </w:tcPr>
          <w:p w14:paraId="73AC4B16"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Total</w:t>
            </w:r>
          </w:p>
        </w:tc>
        <w:tc>
          <w:tcPr>
            <w:tcW w:w="1131" w:type="dxa"/>
            <w:tcBorders>
              <w:top w:val="single" w:sz="8" w:space="0" w:color="auto"/>
              <w:left w:val="single" w:sz="8" w:space="0" w:color="auto"/>
              <w:bottom w:val="single" w:sz="8" w:space="0" w:color="auto"/>
              <w:right w:val="single" w:sz="4" w:space="0" w:color="auto"/>
            </w:tcBorders>
            <w:shd w:val="clear" w:color="000000" w:fill="DEEBF6"/>
            <w:vAlign w:val="center"/>
            <w:hideMark/>
          </w:tcPr>
          <w:p w14:paraId="33C97C6F"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1.411</w:t>
            </w:r>
          </w:p>
        </w:tc>
        <w:tc>
          <w:tcPr>
            <w:tcW w:w="1063" w:type="dxa"/>
            <w:tcBorders>
              <w:top w:val="single" w:sz="8" w:space="0" w:color="auto"/>
              <w:left w:val="nil"/>
              <w:bottom w:val="single" w:sz="8" w:space="0" w:color="auto"/>
              <w:right w:val="single" w:sz="4" w:space="0" w:color="auto"/>
            </w:tcBorders>
            <w:shd w:val="clear" w:color="000000" w:fill="DEEBF6"/>
            <w:vAlign w:val="center"/>
            <w:hideMark/>
          </w:tcPr>
          <w:p w14:paraId="53B78876"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2.941</w:t>
            </w:r>
          </w:p>
        </w:tc>
        <w:tc>
          <w:tcPr>
            <w:tcW w:w="1001" w:type="dxa"/>
            <w:tcBorders>
              <w:top w:val="single" w:sz="8" w:space="0" w:color="auto"/>
              <w:left w:val="nil"/>
              <w:bottom w:val="single" w:sz="8" w:space="0" w:color="auto"/>
              <w:right w:val="single" w:sz="4" w:space="0" w:color="auto"/>
            </w:tcBorders>
            <w:shd w:val="clear" w:color="000000" w:fill="DEEBF6"/>
            <w:vAlign w:val="center"/>
            <w:hideMark/>
          </w:tcPr>
          <w:p w14:paraId="42FB046A"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5.206</w:t>
            </w:r>
          </w:p>
        </w:tc>
        <w:tc>
          <w:tcPr>
            <w:tcW w:w="1175" w:type="dxa"/>
            <w:tcBorders>
              <w:top w:val="single" w:sz="8" w:space="0" w:color="auto"/>
              <w:left w:val="nil"/>
              <w:bottom w:val="single" w:sz="8" w:space="0" w:color="auto"/>
              <w:right w:val="single" w:sz="4" w:space="0" w:color="auto"/>
            </w:tcBorders>
            <w:shd w:val="clear" w:color="000000" w:fill="DEEBF6"/>
            <w:vAlign w:val="center"/>
            <w:hideMark/>
          </w:tcPr>
          <w:p w14:paraId="32E51F6A"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9.558</w:t>
            </w:r>
          </w:p>
        </w:tc>
        <w:tc>
          <w:tcPr>
            <w:tcW w:w="727" w:type="dxa"/>
            <w:tcBorders>
              <w:top w:val="single" w:sz="8" w:space="0" w:color="auto"/>
              <w:left w:val="single" w:sz="8" w:space="0" w:color="auto"/>
              <w:bottom w:val="single" w:sz="8" w:space="0" w:color="auto"/>
              <w:right w:val="single" w:sz="4" w:space="0" w:color="auto"/>
            </w:tcBorders>
            <w:shd w:val="clear" w:color="000000" w:fill="DEEBF6"/>
            <w:vAlign w:val="center"/>
            <w:hideMark/>
          </w:tcPr>
          <w:p w14:paraId="1AF2F53C"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989</w:t>
            </w:r>
          </w:p>
        </w:tc>
        <w:tc>
          <w:tcPr>
            <w:tcW w:w="915" w:type="dxa"/>
            <w:tcBorders>
              <w:top w:val="single" w:sz="8" w:space="0" w:color="auto"/>
              <w:left w:val="nil"/>
              <w:bottom w:val="single" w:sz="8" w:space="0" w:color="auto"/>
              <w:right w:val="single" w:sz="4" w:space="0" w:color="auto"/>
            </w:tcBorders>
            <w:shd w:val="clear" w:color="000000" w:fill="DEEBF6"/>
            <w:vAlign w:val="center"/>
            <w:hideMark/>
          </w:tcPr>
          <w:p w14:paraId="75B6BC76"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2.864</w:t>
            </w:r>
          </w:p>
        </w:tc>
        <w:tc>
          <w:tcPr>
            <w:tcW w:w="888" w:type="dxa"/>
            <w:tcBorders>
              <w:top w:val="single" w:sz="8" w:space="0" w:color="auto"/>
              <w:left w:val="nil"/>
              <w:bottom w:val="single" w:sz="8" w:space="0" w:color="auto"/>
              <w:right w:val="nil"/>
            </w:tcBorders>
            <w:shd w:val="clear" w:color="000000" w:fill="DEEBF6"/>
            <w:vAlign w:val="center"/>
            <w:hideMark/>
          </w:tcPr>
          <w:p w14:paraId="7E68E782"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3.678</w:t>
            </w:r>
          </w:p>
        </w:tc>
        <w:tc>
          <w:tcPr>
            <w:tcW w:w="1091" w:type="dxa"/>
            <w:tcBorders>
              <w:top w:val="single" w:sz="8" w:space="0" w:color="auto"/>
              <w:left w:val="single" w:sz="8" w:space="0" w:color="auto"/>
              <w:bottom w:val="single" w:sz="8" w:space="0" w:color="auto"/>
              <w:right w:val="single" w:sz="8" w:space="0" w:color="auto"/>
            </w:tcBorders>
            <w:shd w:val="clear" w:color="000000" w:fill="DEEBF6"/>
            <w:noWrap/>
            <w:vAlign w:val="center"/>
            <w:hideMark/>
          </w:tcPr>
          <w:p w14:paraId="1986751E" w14:textId="77777777" w:rsidR="00BF777C" w:rsidRPr="00075E00" w:rsidRDefault="00BF777C" w:rsidP="0029759B">
            <w:pPr>
              <w:spacing w:after="0" w:line="240" w:lineRule="auto"/>
              <w:jc w:val="center"/>
              <w:rPr>
                <w:rFonts w:eastAsia="Times New Roman" w:cstheme="minorHAnsi"/>
                <w:b/>
                <w:bCs/>
                <w:iCs/>
                <w:noProof/>
                <w:color w:val="000000" w:themeColor="text1"/>
                <w:lang w:val="es-ES" w:eastAsia="es-EC"/>
              </w:rPr>
            </w:pPr>
            <w:r w:rsidRPr="00075E00">
              <w:rPr>
                <w:rFonts w:eastAsia="Times New Roman" w:cstheme="minorHAnsi"/>
                <w:b/>
                <w:bCs/>
                <w:iCs/>
                <w:noProof/>
                <w:color w:val="000000" w:themeColor="text1"/>
                <w:lang w:val="es-ES" w:eastAsia="es-EC"/>
              </w:rPr>
              <w:t>7.531</w:t>
            </w:r>
          </w:p>
        </w:tc>
      </w:tr>
    </w:tbl>
    <w:p w14:paraId="33AEB999" w14:textId="77777777" w:rsidR="004C350D" w:rsidRPr="00075E00" w:rsidRDefault="004C350D" w:rsidP="0029759B">
      <w:pPr>
        <w:spacing w:after="0" w:line="240" w:lineRule="auto"/>
        <w:jc w:val="right"/>
        <w:rPr>
          <w:rFonts w:ascii="Calibri" w:hAnsi="Calibri" w:cs="Arial"/>
          <w:noProof/>
          <w:color w:val="000000" w:themeColor="text1"/>
          <w:sz w:val="12"/>
          <w:szCs w:val="16"/>
          <w:lang w:val="es-ES"/>
        </w:rPr>
      </w:pPr>
    </w:p>
    <w:p w14:paraId="19F821AF" w14:textId="77777777" w:rsidR="00BF777C" w:rsidRPr="00075E00" w:rsidRDefault="00BF777C" w:rsidP="00C41F4F">
      <w:pPr>
        <w:spacing w:after="0" w:line="240" w:lineRule="auto"/>
        <w:jc w:val="right"/>
        <w:outlineLvl w:val="0"/>
        <w:rPr>
          <w:rFonts w:ascii="Calibri" w:hAnsi="Calibri" w:cs="Arial"/>
          <w:noProof/>
          <w:color w:val="000000" w:themeColor="text1"/>
          <w:sz w:val="16"/>
          <w:szCs w:val="16"/>
          <w:lang w:val="es-ES"/>
        </w:rPr>
      </w:pPr>
      <w:r w:rsidRPr="00075E00">
        <w:rPr>
          <w:rFonts w:ascii="Calibri" w:hAnsi="Calibri" w:cs="Arial"/>
          <w:noProof/>
          <w:color w:val="000000" w:themeColor="text1"/>
          <w:sz w:val="16"/>
          <w:szCs w:val="16"/>
          <w:lang w:val="es-ES"/>
        </w:rPr>
        <w:t>Fuente: MREMH - VMH.</w:t>
      </w:r>
    </w:p>
    <w:p w14:paraId="5F30FD61" w14:textId="77777777" w:rsidR="00BF777C" w:rsidRPr="00075E00" w:rsidRDefault="00BF777C" w:rsidP="00CE72CC">
      <w:pPr>
        <w:spacing w:after="0" w:line="240" w:lineRule="auto"/>
        <w:jc w:val="both"/>
        <w:rPr>
          <w:rFonts w:ascii="Calibri" w:hAnsi="Calibri"/>
          <w:noProof/>
          <w:color w:val="000000" w:themeColor="text1"/>
          <w:lang w:val="es-ES"/>
        </w:rPr>
      </w:pPr>
    </w:p>
    <w:p w14:paraId="75756507" w14:textId="4B6897D9" w:rsidR="00BF777C" w:rsidRPr="00075E00" w:rsidRDefault="00BF777C"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De la misma forma, como mecanismo de apoyo y atención a NNA solicitantes de refugio</w:t>
      </w:r>
      <w:r w:rsidR="0078013C" w:rsidRPr="00075E00">
        <w:rPr>
          <w:rFonts w:ascii="Calibri" w:hAnsi="Calibri"/>
          <w:noProof/>
          <w:color w:val="000000" w:themeColor="text1"/>
          <w:lang w:val="es-ES"/>
        </w:rPr>
        <w:t>, se</w:t>
      </w:r>
      <w:r w:rsidRPr="00075E00">
        <w:rPr>
          <w:rFonts w:ascii="Calibri" w:hAnsi="Calibri"/>
          <w:noProof/>
          <w:color w:val="000000" w:themeColor="text1"/>
          <w:lang w:val="es-ES"/>
        </w:rPr>
        <w:t xml:space="preserve"> </w:t>
      </w:r>
      <w:r w:rsidR="0078013C" w:rsidRPr="00075E00">
        <w:rPr>
          <w:rFonts w:ascii="Calibri" w:hAnsi="Calibri"/>
          <w:noProof/>
          <w:color w:val="000000" w:themeColor="text1"/>
          <w:lang w:val="es-ES"/>
        </w:rPr>
        <w:t>expidió</w:t>
      </w:r>
      <w:r w:rsidRPr="00075E00">
        <w:rPr>
          <w:rFonts w:ascii="Calibri" w:hAnsi="Calibri"/>
          <w:noProof/>
          <w:color w:val="000000" w:themeColor="text1"/>
          <w:lang w:val="es-ES"/>
        </w:rPr>
        <w:t xml:space="preserve"> un “Protocolo de atención a niños, niñas y adolescentes no acompañados o separados que soliciten refugio en Ecuador”, el mismo que determina que en estos casos se debe contar con el apoyo de la Dirección Nacional de Policía Especializada en NNA (DINAPEN), las juntas cantonales de protección de derechos, así como otras instituciones como el Ministerio de Inclusión Económica y Social y la </w:t>
      </w:r>
      <w:r w:rsidRPr="00075E00">
        <w:rPr>
          <w:rFonts w:ascii="Calibri" w:hAnsi="Calibri"/>
          <w:noProof/>
          <w:color w:val="000000" w:themeColor="text1"/>
          <w:lang w:val="es-ES"/>
        </w:rPr>
        <w:lastRenderedPageBreak/>
        <w:t xml:space="preserve">coordinación con organizaciones no gubernamentales, con la finalidad de </w:t>
      </w:r>
      <w:r w:rsidR="0078013C" w:rsidRPr="00075E00">
        <w:rPr>
          <w:rFonts w:ascii="Calibri" w:hAnsi="Calibri"/>
          <w:noProof/>
          <w:color w:val="000000" w:themeColor="text1"/>
          <w:lang w:val="es-ES"/>
        </w:rPr>
        <w:t>brindar</w:t>
      </w:r>
      <w:r w:rsidRPr="00075E00">
        <w:rPr>
          <w:rFonts w:ascii="Calibri" w:hAnsi="Calibri"/>
          <w:noProof/>
          <w:color w:val="000000" w:themeColor="text1"/>
          <w:lang w:val="es-ES"/>
        </w:rPr>
        <w:t xml:space="preserve"> apoyo psicológico</w:t>
      </w:r>
      <w:r w:rsidR="0078013C" w:rsidRPr="00075E00">
        <w:rPr>
          <w:rFonts w:ascii="Calibri" w:hAnsi="Calibri"/>
          <w:noProof/>
          <w:color w:val="000000" w:themeColor="text1"/>
          <w:lang w:val="es-ES"/>
        </w:rPr>
        <w:t xml:space="preserve"> e integral</w:t>
      </w:r>
      <w:r w:rsidRPr="00075E00">
        <w:rPr>
          <w:rFonts w:ascii="Calibri" w:hAnsi="Calibri"/>
          <w:noProof/>
          <w:color w:val="000000" w:themeColor="text1"/>
          <w:lang w:val="es-ES"/>
        </w:rPr>
        <w:t xml:space="preserve"> para los </w:t>
      </w:r>
      <w:r w:rsidR="0078013C" w:rsidRPr="00075E00">
        <w:rPr>
          <w:rFonts w:ascii="Calibri" w:hAnsi="Calibri"/>
          <w:noProof/>
          <w:color w:val="000000" w:themeColor="text1"/>
          <w:lang w:val="es-ES"/>
        </w:rPr>
        <w:t>NNA</w:t>
      </w:r>
      <w:r w:rsidRPr="00075E00">
        <w:rPr>
          <w:rFonts w:ascii="Calibri" w:hAnsi="Calibri"/>
          <w:noProof/>
          <w:color w:val="000000" w:themeColor="text1"/>
          <w:lang w:val="es-ES"/>
        </w:rPr>
        <w:t xml:space="preserve"> no acompañados o separados</w:t>
      </w:r>
      <w:r w:rsidR="0078013C" w:rsidRPr="00075E00">
        <w:rPr>
          <w:rFonts w:ascii="Calibri" w:hAnsi="Calibri"/>
          <w:noProof/>
          <w:color w:val="000000" w:themeColor="text1"/>
          <w:lang w:val="es-ES"/>
        </w:rPr>
        <w:t>, durante este procedimiento</w:t>
      </w:r>
      <w:r w:rsidRPr="00075E00">
        <w:rPr>
          <w:rFonts w:ascii="Calibri" w:hAnsi="Calibri"/>
          <w:noProof/>
          <w:color w:val="000000" w:themeColor="text1"/>
          <w:lang w:val="es-ES"/>
        </w:rPr>
        <w:t>.</w:t>
      </w:r>
    </w:p>
    <w:p w14:paraId="5112E2DF" w14:textId="77777777" w:rsidR="004C350D" w:rsidRPr="00075E00" w:rsidRDefault="004C350D" w:rsidP="00CE72CC">
      <w:pPr>
        <w:spacing w:after="0" w:line="240" w:lineRule="auto"/>
        <w:jc w:val="both"/>
        <w:rPr>
          <w:rFonts w:ascii="Calibri" w:hAnsi="Calibri"/>
          <w:noProof/>
          <w:color w:val="000000" w:themeColor="text1"/>
          <w:lang w:val="es-ES"/>
        </w:rPr>
      </w:pPr>
    </w:p>
    <w:p w14:paraId="33B1A1DF" w14:textId="21D4E6F7" w:rsidR="00BF777C" w:rsidRPr="00075E00" w:rsidRDefault="0078013C"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Ecuador coopera con</w:t>
      </w:r>
      <w:r w:rsidR="00BF777C" w:rsidRPr="00075E00">
        <w:rPr>
          <w:rFonts w:ascii="Calibri" w:hAnsi="Calibri"/>
          <w:noProof/>
          <w:color w:val="000000" w:themeColor="text1"/>
          <w:lang w:val="es-ES"/>
        </w:rPr>
        <w:t xml:space="preserve"> A</w:t>
      </w:r>
      <w:r w:rsidRPr="00075E00">
        <w:rPr>
          <w:rFonts w:ascii="Calibri" w:hAnsi="Calibri"/>
          <w:noProof/>
          <w:color w:val="000000" w:themeColor="text1"/>
          <w:lang w:val="es-ES"/>
        </w:rPr>
        <w:t>CNUR en la atención a NNA</w:t>
      </w:r>
      <w:r w:rsidR="00BF777C" w:rsidRPr="00075E00">
        <w:rPr>
          <w:rFonts w:ascii="Calibri" w:hAnsi="Calibri"/>
          <w:noProof/>
          <w:color w:val="000000" w:themeColor="text1"/>
          <w:lang w:val="es-ES"/>
        </w:rPr>
        <w:t xml:space="preserve"> no acompañados de sus padres,</w:t>
      </w:r>
      <w:r w:rsidRPr="00075E00">
        <w:rPr>
          <w:rFonts w:ascii="Calibri" w:hAnsi="Calibri"/>
          <w:noProof/>
          <w:color w:val="000000" w:themeColor="text1"/>
          <w:lang w:val="es-ES"/>
        </w:rPr>
        <w:t xml:space="preserve"> ante eventuales casos en los cuales serían</w:t>
      </w:r>
      <w:r w:rsidR="00BF777C" w:rsidRPr="00075E00">
        <w:rPr>
          <w:rFonts w:ascii="Calibri" w:hAnsi="Calibri"/>
          <w:noProof/>
          <w:color w:val="000000" w:themeColor="text1"/>
          <w:lang w:val="es-ES"/>
        </w:rPr>
        <w:t xml:space="preserve"> presuntas víctimas de haber participado en grupos irregulares armados.</w:t>
      </w:r>
      <w:r w:rsidR="00A614B0" w:rsidRPr="00075E00">
        <w:rPr>
          <w:rStyle w:val="Refdenotaalpie"/>
          <w:rFonts w:ascii="Calibri" w:hAnsi="Calibri"/>
          <w:noProof/>
          <w:color w:val="000000" w:themeColor="text1"/>
          <w:lang w:val="es-ES"/>
        </w:rPr>
        <w:footnoteReference w:id="1"/>
      </w:r>
      <w:r w:rsidR="00BF777C" w:rsidRPr="00075E00">
        <w:rPr>
          <w:rFonts w:ascii="Calibri" w:hAnsi="Calibri"/>
          <w:noProof/>
          <w:color w:val="000000" w:themeColor="text1"/>
          <w:lang w:val="es-ES"/>
        </w:rPr>
        <w:t xml:space="preserve"> La ayuda psicológica a los </w:t>
      </w:r>
      <w:r w:rsidRPr="00075E00">
        <w:rPr>
          <w:rFonts w:ascii="Calibri" w:hAnsi="Calibri"/>
          <w:noProof/>
          <w:color w:val="000000" w:themeColor="text1"/>
          <w:lang w:val="es-ES"/>
        </w:rPr>
        <w:t>NNA</w:t>
      </w:r>
      <w:r w:rsidR="00BF777C" w:rsidRPr="00075E00">
        <w:rPr>
          <w:rFonts w:ascii="Calibri" w:hAnsi="Calibri"/>
          <w:noProof/>
          <w:color w:val="000000" w:themeColor="text1"/>
          <w:lang w:val="es-ES"/>
        </w:rPr>
        <w:t xml:space="preserve"> afectados se entrega sin hacer distinciones, con el apoyo de la DINAPEN. En este sentido, el </w:t>
      </w:r>
      <w:r w:rsidRPr="00075E00">
        <w:rPr>
          <w:rFonts w:ascii="Calibri" w:hAnsi="Calibri"/>
          <w:noProof/>
          <w:color w:val="000000" w:themeColor="text1"/>
          <w:lang w:val="es-ES"/>
        </w:rPr>
        <w:t>Viceministerio</w:t>
      </w:r>
      <w:r w:rsidR="00BF777C" w:rsidRPr="00075E00">
        <w:rPr>
          <w:rFonts w:ascii="Calibri" w:hAnsi="Calibri"/>
          <w:noProof/>
          <w:color w:val="000000" w:themeColor="text1"/>
          <w:lang w:val="es-ES"/>
        </w:rPr>
        <w:t xml:space="preserve"> de Movilidad Humana identifica a detalle los derechos que son o podrían ser vulnerados de los </w:t>
      </w:r>
      <w:r w:rsidRPr="00075E00">
        <w:rPr>
          <w:rFonts w:ascii="Calibri" w:hAnsi="Calibri"/>
          <w:noProof/>
          <w:color w:val="000000" w:themeColor="text1"/>
          <w:lang w:val="es-ES"/>
        </w:rPr>
        <w:t>NNA</w:t>
      </w:r>
      <w:r w:rsidR="00BF777C" w:rsidRPr="00075E00">
        <w:rPr>
          <w:rFonts w:ascii="Calibri" w:hAnsi="Calibri"/>
          <w:noProof/>
          <w:color w:val="000000" w:themeColor="text1"/>
          <w:lang w:val="es-ES"/>
        </w:rPr>
        <w:t xml:space="preserve"> solicitantes de refugio o refugiados, a partir de la información obtenida de las declaraciones de sus progenitores o familiares que los representan</w:t>
      </w:r>
      <w:r w:rsidRPr="00075E00">
        <w:rPr>
          <w:rFonts w:ascii="Calibri" w:hAnsi="Calibri"/>
          <w:noProof/>
          <w:color w:val="000000" w:themeColor="text1"/>
          <w:lang w:val="es-ES"/>
        </w:rPr>
        <w:t>,</w:t>
      </w:r>
      <w:r w:rsidR="00BF777C" w:rsidRPr="00075E00">
        <w:rPr>
          <w:rFonts w:ascii="Calibri" w:hAnsi="Calibri"/>
          <w:noProof/>
          <w:color w:val="000000" w:themeColor="text1"/>
          <w:lang w:val="es-ES"/>
        </w:rPr>
        <w:t xml:space="preserve"> en caso de ingresar al territorio ecuatoriano con su núcleo familiar a fin de derivar a las instituciones competentes. </w:t>
      </w:r>
    </w:p>
    <w:p w14:paraId="5C967002" w14:textId="77777777" w:rsidR="004C350D" w:rsidRPr="00075E00" w:rsidRDefault="004C350D" w:rsidP="00CE72CC">
      <w:pPr>
        <w:spacing w:after="0" w:line="240" w:lineRule="auto"/>
        <w:jc w:val="both"/>
        <w:rPr>
          <w:rFonts w:ascii="Calibri" w:hAnsi="Calibri"/>
          <w:noProof/>
          <w:color w:val="000000" w:themeColor="text1"/>
          <w:lang w:val="es-ES"/>
        </w:rPr>
      </w:pPr>
    </w:p>
    <w:p w14:paraId="330C4731" w14:textId="0F78DEE4" w:rsidR="003C4A0A" w:rsidRPr="00075E00" w:rsidRDefault="00DD210C" w:rsidP="00CD76AC">
      <w:pPr>
        <w:pStyle w:val="Prrafodelista"/>
        <w:numPr>
          <w:ilvl w:val="0"/>
          <w:numId w:val="5"/>
        </w:numPr>
        <w:shd w:val="clear" w:color="auto" w:fill="FFFFFF"/>
        <w:spacing w:after="0" w:line="240" w:lineRule="auto"/>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Lucha contra la trata de NNA y atención integral a víctimas</w:t>
      </w:r>
    </w:p>
    <w:p w14:paraId="7913F2D2" w14:textId="77777777" w:rsidR="003C4A0A" w:rsidRPr="00075E00" w:rsidRDefault="003C4A0A" w:rsidP="00CE72CC">
      <w:pPr>
        <w:pStyle w:val="Prrafodelista"/>
        <w:shd w:val="clear" w:color="auto" w:fill="FFFFFF"/>
        <w:spacing w:after="0" w:line="240" w:lineRule="auto"/>
        <w:jc w:val="both"/>
        <w:rPr>
          <w:rFonts w:ascii="Calibri" w:eastAsia="Times New Roman" w:hAnsi="Calibri" w:cs="Times New Roman"/>
          <w:b/>
          <w:noProof/>
          <w:color w:val="000000" w:themeColor="text1"/>
          <w:lang w:val="es-ES" w:eastAsia="es-EC"/>
        </w:rPr>
      </w:pPr>
    </w:p>
    <w:p w14:paraId="004E6BA0" w14:textId="77777777" w:rsidR="00DB6255" w:rsidRPr="00075E00" w:rsidRDefault="00DB6255"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El Plan Nacional de lucha contra la trata de personas y el tráfico ilícito de migrantes contempla el combate a la trata de personas en todas sus modalidades; es decir para fines de explotación laboral o sexual, mendicidad, tráfico de órganos, fines delictivos o de conflicto armado, matrimonio servil, adopciones irregulares, entre otros propósitos asociados con este delito.</w:t>
      </w:r>
    </w:p>
    <w:p w14:paraId="1253E541" w14:textId="77777777" w:rsidR="004C350D" w:rsidRPr="00075E00" w:rsidRDefault="004C350D" w:rsidP="00CE72CC">
      <w:pPr>
        <w:spacing w:after="0" w:line="240" w:lineRule="auto"/>
        <w:jc w:val="both"/>
        <w:rPr>
          <w:rFonts w:ascii="Calibri" w:hAnsi="Calibri"/>
          <w:noProof/>
          <w:color w:val="000000" w:themeColor="text1"/>
          <w:lang w:val="es-ES"/>
        </w:rPr>
      </w:pPr>
    </w:p>
    <w:p w14:paraId="378EB100" w14:textId="40FF33E1" w:rsidR="004C350D" w:rsidRDefault="00DB6255"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En este s</w:t>
      </w:r>
      <w:r w:rsidR="0078013C" w:rsidRPr="00075E00">
        <w:rPr>
          <w:rFonts w:ascii="Calibri" w:hAnsi="Calibri"/>
          <w:noProof/>
          <w:color w:val="000000" w:themeColor="text1"/>
          <w:lang w:val="es-ES"/>
        </w:rPr>
        <w:t>entido, el Reglamento de la LOMH</w:t>
      </w:r>
      <w:r w:rsidRPr="00075E00">
        <w:rPr>
          <w:rFonts w:ascii="Calibri" w:hAnsi="Calibri"/>
          <w:noProof/>
          <w:color w:val="000000" w:themeColor="text1"/>
          <w:lang w:val="es-ES"/>
        </w:rPr>
        <w:t xml:space="preserve"> (agosto de 2017), en el </w:t>
      </w:r>
      <w:r w:rsidR="0078013C" w:rsidRPr="00075E00">
        <w:rPr>
          <w:rFonts w:ascii="Calibri" w:hAnsi="Calibri"/>
          <w:noProof/>
          <w:color w:val="000000" w:themeColor="text1"/>
          <w:lang w:val="es-ES"/>
        </w:rPr>
        <w:t>artículo</w:t>
      </w:r>
      <w:r w:rsidRPr="00075E00">
        <w:rPr>
          <w:rFonts w:ascii="Calibri" w:hAnsi="Calibri"/>
          <w:noProof/>
          <w:color w:val="000000" w:themeColor="text1"/>
          <w:lang w:val="es-ES"/>
        </w:rPr>
        <w:t xml:space="preserve"> 98 actualiza la conformación del Comité Interinstitucional de lucha contra la trata </w:t>
      </w:r>
      <w:r w:rsidR="0078013C" w:rsidRPr="00075E00">
        <w:rPr>
          <w:rFonts w:ascii="Calibri" w:hAnsi="Calibri"/>
          <w:noProof/>
          <w:color w:val="000000" w:themeColor="text1"/>
          <w:lang w:val="es-ES"/>
        </w:rPr>
        <w:t xml:space="preserve">de personas </w:t>
      </w:r>
      <w:r w:rsidRPr="00075E00">
        <w:rPr>
          <w:rFonts w:ascii="Calibri" w:hAnsi="Calibri"/>
          <w:noProof/>
          <w:color w:val="000000" w:themeColor="text1"/>
          <w:lang w:val="es-ES"/>
        </w:rPr>
        <w:t>(anteriormente Comisión Interinstitucional 2006 - 2017) con 13 instituciones del Estado, cuyas competencias se enmarcan desde los ámbitos: social, salud, educativo, productivo, seguridad, judicial y de control social. De tal manera que se ha consolidado la política y la institucionalidad enfocada en coordinar las acciones desde los ejes de: a) prevención – promoción de derechos, b) investigación – sanción, c) protección especial – reparación integral a las víctimas y d) coordinación interinstitucional nacional e internacional; incorporando los enfoques de derechos humanos, género, intergeneracionalidad, interculturalidad y territorialidad.</w:t>
      </w:r>
    </w:p>
    <w:p w14:paraId="19760B51" w14:textId="77777777" w:rsidR="007E1250" w:rsidRPr="00075E00" w:rsidRDefault="007E1250" w:rsidP="00CE72CC">
      <w:pPr>
        <w:spacing w:after="0" w:line="240" w:lineRule="auto"/>
        <w:jc w:val="both"/>
        <w:rPr>
          <w:rFonts w:ascii="Calibri" w:hAnsi="Calibri"/>
          <w:noProof/>
          <w:color w:val="000000" w:themeColor="text1"/>
          <w:lang w:val="es-ES"/>
        </w:rPr>
      </w:pPr>
    </w:p>
    <w:p w14:paraId="6059C5C1" w14:textId="40659C61" w:rsidR="00DB6255" w:rsidRPr="00075E00" w:rsidRDefault="00DB6255"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Por otro lado, con relación a la atención a las víctimas de estos delitos, el Ecuador cuenta con dos casas de acogida especializadas para el cuidado y protección de las víctimas adolescentes de trata de personas con</w:t>
      </w:r>
      <w:r w:rsidR="00185253" w:rsidRPr="00075E00">
        <w:rPr>
          <w:rFonts w:ascii="Calibri" w:hAnsi="Calibri"/>
          <w:noProof/>
          <w:color w:val="000000" w:themeColor="text1"/>
          <w:lang w:val="es-ES"/>
        </w:rPr>
        <w:t xml:space="preserve"> fines de explotación sexual. A</w:t>
      </w:r>
      <w:r w:rsidRPr="00075E00">
        <w:rPr>
          <w:rFonts w:ascii="Calibri" w:hAnsi="Calibri"/>
          <w:noProof/>
          <w:color w:val="000000" w:themeColor="text1"/>
          <w:lang w:val="es-ES"/>
        </w:rPr>
        <w:t>dicionalmente</w:t>
      </w:r>
      <w:r w:rsidR="00185253" w:rsidRPr="00075E00">
        <w:rPr>
          <w:rFonts w:ascii="Calibri" w:hAnsi="Calibri"/>
          <w:noProof/>
          <w:color w:val="000000" w:themeColor="text1"/>
          <w:lang w:val="es-ES"/>
        </w:rPr>
        <w:t>,</w:t>
      </w:r>
      <w:r w:rsidRPr="00075E00">
        <w:rPr>
          <w:rFonts w:ascii="Calibri" w:hAnsi="Calibri"/>
          <w:noProof/>
          <w:color w:val="000000" w:themeColor="text1"/>
          <w:lang w:val="es-ES"/>
        </w:rPr>
        <w:t xml:space="preserve"> el Ministerio de Inclusión, Económica y Social </w:t>
      </w:r>
      <w:r w:rsidRPr="00075E00">
        <w:rPr>
          <w:rFonts w:ascii="Calibri" w:hAnsi="Calibri"/>
          <w:bCs/>
          <w:noProof/>
          <w:color w:val="000000" w:themeColor="text1"/>
          <w:lang w:val="es-ES"/>
        </w:rPr>
        <w:t>cuenta con 57 casas para la atención de diferentes tipos de vulneraciones</w:t>
      </w:r>
      <w:r w:rsidRPr="00075E00">
        <w:rPr>
          <w:rFonts w:ascii="Calibri" w:hAnsi="Calibri"/>
          <w:noProof/>
          <w:color w:val="000000" w:themeColor="text1"/>
          <w:lang w:val="es-ES"/>
        </w:rPr>
        <w:t>, en las cuales, de acuerdo a un análisis previo, se puede atender a víctimas de casos como explotación laboral, situación de calle, fines delictivos u otros.</w:t>
      </w:r>
    </w:p>
    <w:p w14:paraId="7829244A" w14:textId="77777777" w:rsidR="004C350D" w:rsidRPr="00075E00" w:rsidRDefault="004C350D" w:rsidP="00CE72CC">
      <w:pPr>
        <w:spacing w:after="0" w:line="240" w:lineRule="auto"/>
        <w:jc w:val="both"/>
        <w:rPr>
          <w:rFonts w:ascii="Calibri" w:hAnsi="Calibri"/>
          <w:noProof/>
          <w:color w:val="000000" w:themeColor="text1"/>
          <w:lang w:val="es-ES"/>
        </w:rPr>
      </w:pPr>
    </w:p>
    <w:p w14:paraId="5D621C2C" w14:textId="58FA0D0A" w:rsidR="004C350D" w:rsidRPr="00075E00" w:rsidRDefault="00DB6255"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De la misma forma, las víctimas tienen el derecho a ingresar al Sistema de Protección a Víctimas y Testigos de la Fiscalía General del Estado, para recibir una protección especial y asistencia, con el objetivo de salvaguardar su integridad física y psicol</w:t>
      </w:r>
      <w:r w:rsidR="002841B7">
        <w:rPr>
          <w:rFonts w:ascii="Calibri" w:hAnsi="Calibri"/>
          <w:noProof/>
          <w:color w:val="000000" w:themeColor="text1"/>
          <w:lang w:val="es-ES"/>
        </w:rPr>
        <w:t>ógica.</w:t>
      </w:r>
    </w:p>
    <w:p w14:paraId="19232B4B" w14:textId="6B040EE9" w:rsidR="00DB6255" w:rsidRPr="00075E00" w:rsidRDefault="00DB6255"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lastRenderedPageBreak/>
        <w:t xml:space="preserve">Conforme a lo establecido en la disposición transitoria séptima del Reglamento a la LOMH, el Ministerio de Justicia, Derechos Humanos y Cultos es el responsable de implementar nuevas casas de acogida para la atención integral de víctimas de trata de personas y tráfico ilícito de migrantes, así como desarrollar la normativa para su funcionamiento (365 días a partir de la </w:t>
      </w:r>
      <w:r w:rsidR="00185253" w:rsidRPr="00075E00">
        <w:rPr>
          <w:rFonts w:ascii="Calibri" w:hAnsi="Calibri"/>
          <w:noProof/>
          <w:color w:val="000000" w:themeColor="text1"/>
          <w:lang w:val="es-ES"/>
        </w:rPr>
        <w:t>emisión</w:t>
      </w:r>
      <w:r w:rsidRPr="00075E00">
        <w:rPr>
          <w:rFonts w:ascii="Calibri" w:hAnsi="Calibri"/>
          <w:noProof/>
          <w:color w:val="000000" w:themeColor="text1"/>
          <w:lang w:val="es-ES"/>
        </w:rPr>
        <w:t xml:space="preserve"> del Reglamento).</w:t>
      </w:r>
    </w:p>
    <w:p w14:paraId="17DFB667" w14:textId="77777777" w:rsidR="004C350D" w:rsidRPr="00075E00" w:rsidRDefault="004C350D" w:rsidP="00CE72CC">
      <w:pPr>
        <w:spacing w:after="0" w:line="240" w:lineRule="auto"/>
        <w:jc w:val="both"/>
        <w:rPr>
          <w:rFonts w:ascii="Calibri" w:hAnsi="Calibri"/>
          <w:noProof/>
          <w:color w:val="000000" w:themeColor="text1"/>
          <w:lang w:val="es-ES"/>
        </w:rPr>
      </w:pPr>
    </w:p>
    <w:p w14:paraId="00EDAC17" w14:textId="15BCFDED" w:rsidR="00DB6255" w:rsidRPr="00075E00" w:rsidRDefault="00DB6255"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Bajo esta nueva visión, el Ministerio del Interior (MDI) coordina las acciones del Comité. Sin embargo, cada una de las instituciones que lo conforman desarrollan las actividades desde el ámbito de sus competencias. El trabajo intersectorial coordinado ha permitido desarrollar acciones de prevención y protección desde varios frentes, como el educativo, laboral, turístico, comunicacional, de seguridad y judicial, con especial énfasis en la protección de NNA.</w:t>
      </w:r>
    </w:p>
    <w:p w14:paraId="7C654EE7" w14:textId="77777777" w:rsidR="004C350D" w:rsidRPr="00075E00" w:rsidRDefault="004C350D" w:rsidP="00CE72CC">
      <w:pPr>
        <w:spacing w:after="0" w:line="240" w:lineRule="auto"/>
        <w:jc w:val="both"/>
        <w:rPr>
          <w:rFonts w:ascii="Calibri" w:hAnsi="Calibri"/>
          <w:noProof/>
          <w:color w:val="000000" w:themeColor="text1"/>
          <w:lang w:val="es-ES"/>
        </w:rPr>
      </w:pPr>
    </w:p>
    <w:p w14:paraId="48860180" w14:textId="03074A85" w:rsidR="00DB6255" w:rsidRPr="00075E00" w:rsidRDefault="00DB6255"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Adicionalmente</w:t>
      </w:r>
      <w:r w:rsidR="00185253" w:rsidRPr="00075E00">
        <w:rPr>
          <w:rFonts w:ascii="Calibri" w:hAnsi="Calibri"/>
          <w:noProof/>
          <w:color w:val="000000" w:themeColor="text1"/>
          <w:lang w:val="es-ES"/>
        </w:rPr>
        <w:t>,</w:t>
      </w:r>
      <w:r w:rsidRPr="00075E00">
        <w:rPr>
          <w:rFonts w:ascii="Calibri" w:hAnsi="Calibri"/>
          <w:noProof/>
          <w:color w:val="000000" w:themeColor="text1"/>
          <w:lang w:val="es-ES"/>
        </w:rPr>
        <w:t xml:space="preserve"> al trabajo de las instituciones del Estado, se coordina con Organizaciones de Sociedad Civil y Agencias de Naciones Unidas, con el objetivo de alcanzar una restitución de los derechos de las víctimas de trata de personas y tráfico ilícito de migrantes. Finalmente, cabe mencionar que el trabajo principal del Comité se enfoca en la prevención y protección de las víctimas desde un enfoque integral de derechos humanos.</w:t>
      </w:r>
    </w:p>
    <w:p w14:paraId="08B36FD5" w14:textId="77777777" w:rsidR="00B65256" w:rsidRPr="00075E00" w:rsidRDefault="00B65256" w:rsidP="00CE72CC">
      <w:pPr>
        <w:spacing w:after="0" w:line="240" w:lineRule="auto"/>
        <w:jc w:val="both"/>
        <w:rPr>
          <w:rFonts w:ascii="Calibri" w:hAnsi="Calibri"/>
          <w:noProof/>
          <w:color w:val="000000" w:themeColor="text1"/>
          <w:lang w:val="es-ES"/>
        </w:rPr>
      </w:pPr>
    </w:p>
    <w:p w14:paraId="2C554D3B" w14:textId="6BAB0035" w:rsidR="00B65256" w:rsidRPr="00075E00" w:rsidRDefault="00B65256"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En el Plan Nacional contra la Trata </w:t>
      </w:r>
      <w:r w:rsidR="00185253" w:rsidRPr="00075E00">
        <w:rPr>
          <w:rFonts w:ascii="Calibri" w:hAnsi="Calibri"/>
          <w:noProof/>
          <w:color w:val="000000" w:themeColor="text1"/>
          <w:lang w:val="es-ES"/>
        </w:rPr>
        <w:t xml:space="preserve">de personas </w:t>
      </w:r>
      <w:r w:rsidRPr="00075E00">
        <w:rPr>
          <w:rFonts w:ascii="Calibri" w:hAnsi="Calibri"/>
          <w:noProof/>
          <w:color w:val="000000" w:themeColor="text1"/>
          <w:lang w:val="es-ES"/>
        </w:rPr>
        <w:t>y desde el ámbito de la prevención</w:t>
      </w:r>
      <w:r w:rsidR="00185253" w:rsidRPr="00075E00">
        <w:rPr>
          <w:rFonts w:ascii="Calibri" w:hAnsi="Calibri"/>
          <w:noProof/>
          <w:color w:val="000000" w:themeColor="text1"/>
          <w:lang w:val="es-ES"/>
        </w:rPr>
        <w:t>,</w:t>
      </w:r>
      <w:r w:rsidRPr="00075E00">
        <w:rPr>
          <w:rFonts w:ascii="Calibri" w:hAnsi="Calibri"/>
          <w:noProof/>
          <w:color w:val="000000" w:themeColor="text1"/>
          <w:lang w:val="es-ES"/>
        </w:rPr>
        <w:t xml:space="preserve"> se trabaja de manera enfática en la difusión de mensajes preventivos dirigidos a NNA, lo cual incluye información sobre matrimonios serviles. Esta estrategia se </w:t>
      </w:r>
      <w:r w:rsidR="00185253" w:rsidRPr="00075E00">
        <w:rPr>
          <w:rFonts w:ascii="Calibri" w:hAnsi="Calibri"/>
          <w:noProof/>
          <w:color w:val="000000" w:themeColor="text1"/>
          <w:lang w:val="es-ES"/>
        </w:rPr>
        <w:t>ejecuta</w:t>
      </w:r>
      <w:r w:rsidRPr="00075E00">
        <w:rPr>
          <w:rFonts w:ascii="Calibri" w:hAnsi="Calibri"/>
          <w:noProof/>
          <w:color w:val="000000" w:themeColor="text1"/>
          <w:lang w:val="es-ES"/>
        </w:rPr>
        <w:t xml:space="preserve"> de manera permanente a través de redes sociales, en ferias ciudadanas a nivel nacional y mediante charlas de prevención en barrios y en instituciones educativas. En cuanto al tratamiento y reinserción, una v</w:t>
      </w:r>
      <w:r w:rsidR="00185253" w:rsidRPr="00075E00">
        <w:rPr>
          <w:rFonts w:ascii="Calibri" w:hAnsi="Calibri"/>
          <w:noProof/>
          <w:color w:val="000000" w:themeColor="text1"/>
          <w:lang w:val="es-ES"/>
        </w:rPr>
        <w:t xml:space="preserve">ez que las </w:t>
      </w:r>
      <w:r w:rsidRPr="00075E00">
        <w:rPr>
          <w:rFonts w:ascii="Calibri" w:hAnsi="Calibri"/>
          <w:noProof/>
          <w:color w:val="000000" w:themeColor="text1"/>
          <w:lang w:val="es-ES"/>
        </w:rPr>
        <w:t>unidades civiles y de Policía conocen un caso de vulneración, coordinan de manera paralela con el Ministerio de Inclusión Económica y Social (MIES)</w:t>
      </w:r>
      <w:r w:rsidR="00C41F4F" w:rsidRPr="00075E00">
        <w:rPr>
          <w:rFonts w:ascii="Calibri" w:hAnsi="Calibri"/>
          <w:noProof/>
          <w:color w:val="000000" w:themeColor="text1"/>
          <w:lang w:val="es-ES"/>
        </w:rPr>
        <w:t xml:space="preserve"> </w:t>
      </w:r>
      <w:r w:rsidRPr="00075E00">
        <w:rPr>
          <w:rFonts w:ascii="Calibri" w:hAnsi="Calibri"/>
          <w:noProof/>
          <w:color w:val="000000" w:themeColor="text1"/>
          <w:lang w:val="es-ES"/>
        </w:rPr>
        <w:t>para el acogimiento de la víctima en el caso de los NNA.</w:t>
      </w:r>
    </w:p>
    <w:p w14:paraId="5F80A94C" w14:textId="77777777" w:rsidR="00B65256" w:rsidRPr="00075E00" w:rsidRDefault="00B65256" w:rsidP="00CE72CC">
      <w:pPr>
        <w:spacing w:after="0" w:line="240" w:lineRule="auto"/>
        <w:jc w:val="both"/>
        <w:rPr>
          <w:rFonts w:ascii="Calibri" w:hAnsi="Calibri"/>
          <w:noProof/>
          <w:color w:val="000000" w:themeColor="text1"/>
          <w:lang w:val="es-ES"/>
        </w:rPr>
      </w:pPr>
    </w:p>
    <w:p w14:paraId="184B1104" w14:textId="54055B38" w:rsidR="00B65256" w:rsidRPr="00075E00" w:rsidRDefault="00185253"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De manera adicional</w:t>
      </w:r>
      <w:r w:rsidR="00B65256" w:rsidRPr="00075E00">
        <w:rPr>
          <w:rFonts w:ascii="Calibri" w:hAnsi="Calibri"/>
          <w:noProof/>
          <w:color w:val="000000" w:themeColor="text1"/>
          <w:lang w:val="es-ES"/>
        </w:rPr>
        <w:t>, el Estado considera importante capacitar a sus funcionarios para la atención</w:t>
      </w:r>
      <w:r w:rsidR="00C41F4F" w:rsidRPr="00075E00">
        <w:rPr>
          <w:rFonts w:ascii="Calibri" w:hAnsi="Calibri"/>
          <w:noProof/>
          <w:color w:val="000000" w:themeColor="text1"/>
          <w:lang w:val="es-ES"/>
        </w:rPr>
        <w:t xml:space="preserve"> </w:t>
      </w:r>
      <w:r w:rsidR="00B65256" w:rsidRPr="00075E00">
        <w:rPr>
          <w:rFonts w:ascii="Calibri" w:hAnsi="Calibri"/>
          <w:noProof/>
          <w:color w:val="000000" w:themeColor="text1"/>
          <w:lang w:val="es-ES"/>
        </w:rPr>
        <w:t xml:space="preserve">y seguimiento de casos de NNA en delitos vinculados a la trata de personas. Es así que el Consejo de la Judicatura, a través de la Escuela de la Función Judicial, es la entidad encargada de ejecutar los procesos académicos de formación, capacitación para los operadores de justicia del país, entre los que se cuenta a jueces de todos los niveles, fiscales, defensores públicos y miembros de equipos técnicos. Respecto a los programas de capacitación en esta materia, se han realizado las siguientes actividades: </w:t>
      </w:r>
    </w:p>
    <w:p w14:paraId="12D89641" w14:textId="77777777" w:rsidR="00B65256" w:rsidRPr="00075E00" w:rsidRDefault="00B65256" w:rsidP="00CE72CC">
      <w:pPr>
        <w:spacing w:after="0" w:line="240" w:lineRule="auto"/>
        <w:jc w:val="both"/>
        <w:rPr>
          <w:rFonts w:ascii="Calibri" w:hAnsi="Calibri"/>
          <w:noProof/>
          <w:color w:val="000000" w:themeColor="text1"/>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45"/>
        <w:gridCol w:w="1960"/>
        <w:gridCol w:w="1274"/>
      </w:tblGrid>
      <w:tr w:rsidR="00CD7F16" w:rsidRPr="00075E00" w14:paraId="6A5C9D7B" w14:textId="77777777" w:rsidTr="0029759B">
        <w:trPr>
          <w:trHeight w:val="420"/>
        </w:trPr>
        <w:tc>
          <w:tcPr>
            <w:tcW w:w="5545" w:type="dxa"/>
            <w:shd w:val="clear" w:color="auto" w:fill="D2EAF0"/>
            <w:tcMar>
              <w:top w:w="0" w:type="dxa"/>
              <w:left w:w="115" w:type="dxa"/>
              <w:bottom w:w="0" w:type="dxa"/>
              <w:right w:w="115" w:type="dxa"/>
            </w:tcMar>
            <w:vAlign w:val="center"/>
            <w:hideMark/>
          </w:tcPr>
          <w:p w14:paraId="1A090040"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b/>
                <w:bCs/>
                <w:noProof/>
                <w:color w:val="000000" w:themeColor="text1"/>
                <w:sz w:val="20"/>
                <w:lang w:val="es-ES"/>
              </w:rPr>
              <w:t>Nombre del Curso</w:t>
            </w:r>
          </w:p>
        </w:tc>
        <w:tc>
          <w:tcPr>
            <w:tcW w:w="1960" w:type="dxa"/>
            <w:shd w:val="clear" w:color="auto" w:fill="D2EAF0"/>
            <w:tcMar>
              <w:top w:w="0" w:type="dxa"/>
              <w:left w:w="115" w:type="dxa"/>
              <w:bottom w:w="0" w:type="dxa"/>
              <w:right w:w="115" w:type="dxa"/>
            </w:tcMar>
            <w:vAlign w:val="center"/>
            <w:hideMark/>
          </w:tcPr>
          <w:p w14:paraId="665B5969"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b/>
                <w:bCs/>
                <w:noProof/>
                <w:color w:val="000000" w:themeColor="text1"/>
                <w:sz w:val="20"/>
                <w:lang w:val="es-ES"/>
              </w:rPr>
              <w:t>No. de operadores capacitados</w:t>
            </w:r>
          </w:p>
        </w:tc>
        <w:tc>
          <w:tcPr>
            <w:tcW w:w="1274" w:type="dxa"/>
            <w:shd w:val="clear" w:color="auto" w:fill="D2EAF0"/>
            <w:tcMar>
              <w:top w:w="0" w:type="dxa"/>
              <w:left w:w="115" w:type="dxa"/>
              <w:bottom w:w="0" w:type="dxa"/>
              <w:right w:w="115" w:type="dxa"/>
            </w:tcMar>
            <w:vAlign w:val="center"/>
            <w:hideMark/>
          </w:tcPr>
          <w:p w14:paraId="5981F9E5"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b/>
                <w:bCs/>
                <w:noProof/>
                <w:color w:val="000000" w:themeColor="text1"/>
                <w:sz w:val="20"/>
                <w:lang w:val="es-ES"/>
              </w:rPr>
              <w:t>Año</w:t>
            </w:r>
          </w:p>
        </w:tc>
      </w:tr>
      <w:tr w:rsidR="00CD7F16" w:rsidRPr="00075E00" w14:paraId="1DFC728E" w14:textId="77777777" w:rsidTr="0029759B">
        <w:trPr>
          <w:trHeight w:val="898"/>
        </w:trPr>
        <w:tc>
          <w:tcPr>
            <w:tcW w:w="5545" w:type="dxa"/>
            <w:shd w:val="clear" w:color="auto" w:fill="auto"/>
            <w:tcMar>
              <w:top w:w="0" w:type="dxa"/>
              <w:left w:w="115" w:type="dxa"/>
              <w:bottom w:w="0" w:type="dxa"/>
              <w:right w:w="115" w:type="dxa"/>
            </w:tcMar>
            <w:vAlign w:val="center"/>
            <w:hideMark/>
          </w:tcPr>
          <w:p w14:paraId="7E1268F9" w14:textId="754E9F23" w:rsidR="00B65256" w:rsidRPr="00075E00" w:rsidRDefault="00B65256" w:rsidP="009B2E83">
            <w:pPr>
              <w:spacing w:after="0" w:line="240" w:lineRule="auto"/>
              <w:jc w:val="both"/>
              <w:rPr>
                <w:rFonts w:ascii="Calibri" w:hAnsi="Calibri"/>
                <w:noProof/>
                <w:color w:val="000000" w:themeColor="text1"/>
                <w:sz w:val="20"/>
                <w:lang w:val="es-ES"/>
              </w:rPr>
            </w:pPr>
            <w:r w:rsidRPr="00075E00">
              <w:rPr>
                <w:rFonts w:ascii="Calibri" w:hAnsi="Calibri"/>
                <w:noProof/>
                <w:color w:val="000000" w:themeColor="text1"/>
                <w:sz w:val="20"/>
                <w:lang w:val="es-ES"/>
              </w:rPr>
              <w:t xml:space="preserve">Curso de Violencia </w:t>
            </w:r>
            <w:r w:rsidR="009B2E83" w:rsidRPr="00075E00">
              <w:rPr>
                <w:rFonts w:ascii="Calibri" w:hAnsi="Calibri"/>
                <w:noProof/>
                <w:color w:val="000000" w:themeColor="text1"/>
                <w:sz w:val="20"/>
                <w:lang w:val="es-ES"/>
              </w:rPr>
              <w:t>de Género y Trata de Personas, e</w:t>
            </w:r>
            <w:r w:rsidRPr="00075E00">
              <w:rPr>
                <w:rFonts w:ascii="Calibri" w:hAnsi="Calibri"/>
                <w:noProof/>
                <w:color w:val="000000" w:themeColor="text1"/>
                <w:sz w:val="20"/>
                <w:lang w:val="es-ES"/>
              </w:rPr>
              <w:t>n el que existe un módulo específico referente al delito de trata de personas y su abordaje en el ámbito judicial</w:t>
            </w:r>
            <w:r w:rsidRPr="00075E00">
              <w:rPr>
                <w:rFonts w:ascii="Calibri" w:hAnsi="Calibri"/>
                <w:i/>
                <w:iCs/>
                <w:noProof/>
                <w:color w:val="000000" w:themeColor="text1"/>
                <w:sz w:val="20"/>
                <w:lang w:val="es-ES"/>
              </w:rPr>
              <w:t>.</w:t>
            </w:r>
          </w:p>
        </w:tc>
        <w:tc>
          <w:tcPr>
            <w:tcW w:w="1960" w:type="dxa"/>
            <w:shd w:val="clear" w:color="auto" w:fill="auto"/>
            <w:tcMar>
              <w:top w:w="0" w:type="dxa"/>
              <w:left w:w="115" w:type="dxa"/>
              <w:bottom w:w="0" w:type="dxa"/>
              <w:right w:w="115" w:type="dxa"/>
            </w:tcMar>
            <w:vAlign w:val="center"/>
            <w:hideMark/>
          </w:tcPr>
          <w:p w14:paraId="23520AE0"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noProof/>
                <w:color w:val="000000" w:themeColor="text1"/>
                <w:sz w:val="20"/>
                <w:lang w:val="es-ES"/>
              </w:rPr>
              <w:t>1.273</w:t>
            </w:r>
          </w:p>
        </w:tc>
        <w:tc>
          <w:tcPr>
            <w:tcW w:w="1274" w:type="dxa"/>
            <w:shd w:val="clear" w:color="auto" w:fill="auto"/>
            <w:tcMar>
              <w:top w:w="0" w:type="dxa"/>
              <w:left w:w="115" w:type="dxa"/>
              <w:bottom w:w="0" w:type="dxa"/>
              <w:right w:w="115" w:type="dxa"/>
            </w:tcMar>
            <w:vAlign w:val="center"/>
            <w:hideMark/>
          </w:tcPr>
          <w:p w14:paraId="1D77F4F1"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noProof/>
                <w:color w:val="000000" w:themeColor="text1"/>
                <w:sz w:val="20"/>
                <w:lang w:val="es-ES"/>
              </w:rPr>
              <w:t>2015</w:t>
            </w:r>
          </w:p>
        </w:tc>
      </w:tr>
      <w:tr w:rsidR="00CD7F16" w:rsidRPr="00075E00" w14:paraId="2029E750" w14:textId="77777777" w:rsidTr="0029759B">
        <w:trPr>
          <w:trHeight w:val="1260"/>
        </w:trPr>
        <w:tc>
          <w:tcPr>
            <w:tcW w:w="5545" w:type="dxa"/>
            <w:shd w:val="clear" w:color="auto" w:fill="auto"/>
            <w:tcMar>
              <w:top w:w="0" w:type="dxa"/>
              <w:left w:w="115" w:type="dxa"/>
              <w:bottom w:w="0" w:type="dxa"/>
              <w:right w:w="115" w:type="dxa"/>
            </w:tcMar>
            <w:vAlign w:val="center"/>
            <w:hideMark/>
          </w:tcPr>
          <w:p w14:paraId="78C3837B" w14:textId="77777777" w:rsidR="00B65256" w:rsidRPr="00075E00" w:rsidRDefault="00B65256" w:rsidP="009B2E83">
            <w:pPr>
              <w:spacing w:after="0" w:line="240" w:lineRule="auto"/>
              <w:jc w:val="both"/>
              <w:rPr>
                <w:rFonts w:ascii="Calibri" w:hAnsi="Calibri"/>
                <w:noProof/>
                <w:color w:val="000000" w:themeColor="text1"/>
                <w:sz w:val="20"/>
                <w:lang w:val="es-ES"/>
              </w:rPr>
            </w:pPr>
            <w:r w:rsidRPr="00075E00">
              <w:rPr>
                <w:rFonts w:ascii="Calibri" w:hAnsi="Calibri"/>
                <w:noProof/>
                <w:color w:val="000000" w:themeColor="text1"/>
                <w:sz w:val="20"/>
                <w:lang w:val="es-ES"/>
              </w:rPr>
              <w:t>Curso sobre Derecho Constitucional, Garantías Jurisdiccionales, Mecanismos de Prevención y Protección, Grupos de Atención Prioritaria y Derecho Internacional de los Refugiados en el Marco de la Constitución Ecuatoriana</w:t>
            </w:r>
          </w:p>
        </w:tc>
        <w:tc>
          <w:tcPr>
            <w:tcW w:w="1960" w:type="dxa"/>
            <w:shd w:val="clear" w:color="auto" w:fill="auto"/>
            <w:tcMar>
              <w:top w:w="0" w:type="dxa"/>
              <w:left w:w="115" w:type="dxa"/>
              <w:bottom w:w="0" w:type="dxa"/>
              <w:right w:w="115" w:type="dxa"/>
            </w:tcMar>
            <w:vAlign w:val="center"/>
            <w:hideMark/>
          </w:tcPr>
          <w:p w14:paraId="7F97F3F9"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noProof/>
                <w:color w:val="000000" w:themeColor="text1"/>
                <w:sz w:val="20"/>
                <w:lang w:val="es-ES"/>
              </w:rPr>
              <w:t>206</w:t>
            </w:r>
          </w:p>
        </w:tc>
        <w:tc>
          <w:tcPr>
            <w:tcW w:w="1274" w:type="dxa"/>
            <w:shd w:val="clear" w:color="auto" w:fill="auto"/>
            <w:tcMar>
              <w:top w:w="0" w:type="dxa"/>
              <w:left w:w="115" w:type="dxa"/>
              <w:bottom w:w="0" w:type="dxa"/>
              <w:right w:w="115" w:type="dxa"/>
            </w:tcMar>
            <w:vAlign w:val="center"/>
            <w:hideMark/>
          </w:tcPr>
          <w:p w14:paraId="0377A60D"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noProof/>
                <w:color w:val="000000" w:themeColor="text1"/>
                <w:sz w:val="20"/>
                <w:lang w:val="es-ES"/>
              </w:rPr>
              <w:t>2016</w:t>
            </w:r>
          </w:p>
        </w:tc>
      </w:tr>
      <w:tr w:rsidR="00CD7F16" w:rsidRPr="00075E00" w14:paraId="37A494DF" w14:textId="77777777" w:rsidTr="0029759B">
        <w:trPr>
          <w:trHeight w:val="450"/>
        </w:trPr>
        <w:tc>
          <w:tcPr>
            <w:tcW w:w="5545" w:type="dxa"/>
            <w:shd w:val="clear" w:color="auto" w:fill="auto"/>
            <w:tcMar>
              <w:top w:w="0" w:type="dxa"/>
              <w:left w:w="115" w:type="dxa"/>
              <w:bottom w:w="0" w:type="dxa"/>
              <w:right w:w="115" w:type="dxa"/>
            </w:tcMar>
            <w:vAlign w:val="center"/>
            <w:hideMark/>
          </w:tcPr>
          <w:p w14:paraId="029BB073" w14:textId="77777777" w:rsidR="00B65256" w:rsidRPr="00075E00" w:rsidRDefault="00B65256" w:rsidP="009B2E83">
            <w:pPr>
              <w:spacing w:after="0" w:line="240" w:lineRule="auto"/>
              <w:jc w:val="both"/>
              <w:rPr>
                <w:rFonts w:ascii="Calibri" w:hAnsi="Calibri"/>
                <w:noProof/>
                <w:color w:val="000000" w:themeColor="text1"/>
                <w:sz w:val="20"/>
                <w:lang w:val="es-ES"/>
              </w:rPr>
            </w:pPr>
            <w:r w:rsidRPr="00075E00">
              <w:rPr>
                <w:rFonts w:ascii="Calibri" w:hAnsi="Calibri"/>
                <w:noProof/>
                <w:color w:val="000000" w:themeColor="text1"/>
                <w:sz w:val="20"/>
                <w:lang w:val="es-ES"/>
              </w:rPr>
              <w:lastRenderedPageBreak/>
              <w:t>Formas extremas de violencia de género: Femicidio y Trata de Personas</w:t>
            </w:r>
          </w:p>
        </w:tc>
        <w:tc>
          <w:tcPr>
            <w:tcW w:w="1960" w:type="dxa"/>
            <w:shd w:val="clear" w:color="auto" w:fill="auto"/>
            <w:tcMar>
              <w:top w:w="0" w:type="dxa"/>
              <w:left w:w="115" w:type="dxa"/>
              <w:bottom w:w="0" w:type="dxa"/>
              <w:right w:w="115" w:type="dxa"/>
            </w:tcMar>
            <w:vAlign w:val="center"/>
            <w:hideMark/>
          </w:tcPr>
          <w:p w14:paraId="29CCCAB9"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noProof/>
                <w:color w:val="000000" w:themeColor="text1"/>
                <w:sz w:val="20"/>
                <w:lang w:val="es-ES"/>
              </w:rPr>
              <w:t>1.169</w:t>
            </w:r>
          </w:p>
        </w:tc>
        <w:tc>
          <w:tcPr>
            <w:tcW w:w="1274" w:type="dxa"/>
            <w:shd w:val="clear" w:color="auto" w:fill="auto"/>
            <w:tcMar>
              <w:top w:w="0" w:type="dxa"/>
              <w:left w:w="115" w:type="dxa"/>
              <w:bottom w:w="0" w:type="dxa"/>
              <w:right w:w="115" w:type="dxa"/>
            </w:tcMar>
            <w:vAlign w:val="center"/>
            <w:hideMark/>
          </w:tcPr>
          <w:p w14:paraId="3089F5B9"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noProof/>
                <w:color w:val="000000" w:themeColor="text1"/>
                <w:sz w:val="20"/>
                <w:lang w:val="es-ES"/>
              </w:rPr>
              <w:t>2016</w:t>
            </w:r>
          </w:p>
        </w:tc>
      </w:tr>
      <w:tr w:rsidR="00B65256" w:rsidRPr="00075E00" w14:paraId="35AB41A1" w14:textId="77777777" w:rsidTr="0029759B">
        <w:trPr>
          <w:trHeight w:val="668"/>
        </w:trPr>
        <w:tc>
          <w:tcPr>
            <w:tcW w:w="5545" w:type="dxa"/>
            <w:shd w:val="clear" w:color="auto" w:fill="auto"/>
            <w:tcMar>
              <w:top w:w="0" w:type="dxa"/>
              <w:left w:w="115" w:type="dxa"/>
              <w:bottom w:w="0" w:type="dxa"/>
              <w:right w:w="115" w:type="dxa"/>
            </w:tcMar>
            <w:vAlign w:val="center"/>
            <w:hideMark/>
          </w:tcPr>
          <w:p w14:paraId="3FF0009C" w14:textId="77777777" w:rsidR="00B65256" w:rsidRPr="00075E00" w:rsidRDefault="00B65256" w:rsidP="0029759B">
            <w:pPr>
              <w:spacing w:after="0" w:line="240" w:lineRule="auto"/>
              <w:rPr>
                <w:rFonts w:ascii="Calibri" w:hAnsi="Calibri"/>
                <w:noProof/>
                <w:color w:val="000000" w:themeColor="text1"/>
                <w:sz w:val="20"/>
                <w:lang w:val="es-ES"/>
              </w:rPr>
            </w:pPr>
            <w:r w:rsidRPr="00075E00">
              <w:rPr>
                <w:rFonts w:ascii="Calibri" w:hAnsi="Calibri"/>
                <w:b/>
                <w:bCs/>
                <w:noProof/>
                <w:color w:val="000000" w:themeColor="text1"/>
                <w:sz w:val="20"/>
                <w:lang w:val="es-ES"/>
              </w:rPr>
              <w:t>Total de operadores de justicia capacitados</w:t>
            </w:r>
          </w:p>
        </w:tc>
        <w:tc>
          <w:tcPr>
            <w:tcW w:w="1960" w:type="dxa"/>
            <w:shd w:val="clear" w:color="auto" w:fill="auto"/>
            <w:tcMar>
              <w:top w:w="0" w:type="dxa"/>
              <w:left w:w="115" w:type="dxa"/>
              <w:bottom w:w="0" w:type="dxa"/>
              <w:right w:w="115" w:type="dxa"/>
            </w:tcMar>
            <w:vAlign w:val="center"/>
            <w:hideMark/>
          </w:tcPr>
          <w:p w14:paraId="75543317"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b/>
                <w:bCs/>
                <w:noProof/>
                <w:color w:val="000000" w:themeColor="text1"/>
                <w:sz w:val="20"/>
                <w:lang w:val="es-ES"/>
              </w:rPr>
              <w:t>2648</w:t>
            </w:r>
          </w:p>
        </w:tc>
        <w:tc>
          <w:tcPr>
            <w:tcW w:w="1274" w:type="dxa"/>
            <w:shd w:val="clear" w:color="auto" w:fill="auto"/>
            <w:tcMar>
              <w:top w:w="0" w:type="dxa"/>
              <w:left w:w="115" w:type="dxa"/>
              <w:bottom w:w="0" w:type="dxa"/>
              <w:right w:w="115" w:type="dxa"/>
            </w:tcMar>
            <w:vAlign w:val="center"/>
            <w:hideMark/>
          </w:tcPr>
          <w:p w14:paraId="3A38F211" w14:textId="77777777" w:rsidR="00B65256" w:rsidRPr="00075E00" w:rsidRDefault="00B65256" w:rsidP="0029759B">
            <w:pPr>
              <w:spacing w:after="0" w:line="240" w:lineRule="auto"/>
              <w:jc w:val="center"/>
              <w:rPr>
                <w:rFonts w:ascii="Calibri" w:hAnsi="Calibri"/>
                <w:noProof/>
                <w:color w:val="000000" w:themeColor="text1"/>
                <w:sz w:val="20"/>
                <w:lang w:val="es-ES"/>
              </w:rPr>
            </w:pPr>
            <w:r w:rsidRPr="00075E00">
              <w:rPr>
                <w:rFonts w:ascii="Calibri" w:hAnsi="Calibri"/>
                <w:b/>
                <w:bCs/>
                <w:noProof/>
                <w:color w:val="000000" w:themeColor="text1"/>
                <w:sz w:val="20"/>
                <w:lang w:val="es-ES"/>
              </w:rPr>
              <w:t>2015-2016</w:t>
            </w:r>
          </w:p>
        </w:tc>
      </w:tr>
    </w:tbl>
    <w:p w14:paraId="060193F6" w14:textId="792DE0CE" w:rsidR="00B65256" w:rsidRPr="00025377" w:rsidRDefault="00025377" w:rsidP="00025377">
      <w:pPr>
        <w:spacing w:after="0" w:line="240" w:lineRule="auto"/>
        <w:jc w:val="right"/>
        <w:outlineLvl w:val="0"/>
        <w:rPr>
          <w:rFonts w:ascii="Calibri" w:hAnsi="Calibri" w:cs="Arial"/>
          <w:noProof/>
          <w:color w:val="000000" w:themeColor="text1"/>
          <w:sz w:val="16"/>
          <w:szCs w:val="16"/>
          <w:lang w:val="es-ES"/>
        </w:rPr>
      </w:pPr>
      <w:r w:rsidRPr="00075E00">
        <w:rPr>
          <w:rFonts w:ascii="Calibri" w:hAnsi="Calibri" w:cs="Arial"/>
          <w:noProof/>
          <w:color w:val="000000" w:themeColor="text1"/>
          <w:sz w:val="16"/>
          <w:szCs w:val="16"/>
          <w:lang w:val="es-ES"/>
        </w:rPr>
        <w:t xml:space="preserve">Fuente: </w:t>
      </w:r>
      <w:r>
        <w:rPr>
          <w:rFonts w:ascii="Calibri" w:hAnsi="Calibri" w:cs="Arial"/>
          <w:noProof/>
          <w:color w:val="000000" w:themeColor="text1"/>
          <w:sz w:val="16"/>
          <w:szCs w:val="16"/>
          <w:lang w:val="es-ES"/>
        </w:rPr>
        <w:t>Consejo de la Judicatura</w:t>
      </w:r>
      <w:r w:rsidRPr="00075E00">
        <w:rPr>
          <w:rFonts w:ascii="Calibri" w:hAnsi="Calibri" w:cs="Arial"/>
          <w:noProof/>
          <w:color w:val="000000" w:themeColor="text1"/>
          <w:sz w:val="16"/>
          <w:szCs w:val="16"/>
          <w:lang w:val="es-ES"/>
        </w:rPr>
        <w:t>.</w:t>
      </w:r>
    </w:p>
    <w:p w14:paraId="2EA31CA0" w14:textId="77777777" w:rsidR="00025377" w:rsidRPr="00075E00" w:rsidRDefault="00025377" w:rsidP="00CE72CC">
      <w:pPr>
        <w:spacing w:after="0" w:line="240" w:lineRule="auto"/>
        <w:jc w:val="both"/>
        <w:rPr>
          <w:rFonts w:ascii="Calibri" w:hAnsi="Calibri"/>
          <w:noProof/>
          <w:color w:val="000000" w:themeColor="text1"/>
          <w:lang w:val="es-ES"/>
        </w:rPr>
      </w:pPr>
    </w:p>
    <w:p w14:paraId="188B5575" w14:textId="04E9F466" w:rsidR="004C350D" w:rsidRPr="00075E00" w:rsidRDefault="00B65256"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 xml:space="preserve">De la misma forma, durante los años 2015 y 2016, los funcionarios de la Unidad de Control Migratorio del Ministerio del Interior recibieron capacitación en varios ámbitos relacionados con la atención a personas en situación de movilidad. De esta manera, se realizó una </w:t>
      </w:r>
      <w:r w:rsidR="009B2E83" w:rsidRPr="00075E00">
        <w:rPr>
          <w:rFonts w:ascii="Calibri" w:hAnsi="Calibri"/>
          <w:noProof/>
          <w:color w:val="000000" w:themeColor="text1"/>
          <w:lang w:val="es-ES"/>
        </w:rPr>
        <w:t>formación</w:t>
      </w:r>
      <w:r w:rsidRPr="00075E00">
        <w:rPr>
          <w:rFonts w:ascii="Calibri" w:hAnsi="Calibri"/>
          <w:noProof/>
          <w:color w:val="000000" w:themeColor="text1"/>
          <w:lang w:val="es-ES"/>
        </w:rPr>
        <w:t xml:space="preserve"> conjunta con ACNUR, a través del “Taller sobre protección a personas en movilidad humana”. </w:t>
      </w:r>
    </w:p>
    <w:p w14:paraId="0471E8AE" w14:textId="77777777" w:rsidR="004C350D" w:rsidRPr="00075E00" w:rsidRDefault="004C350D" w:rsidP="00CE72CC">
      <w:pPr>
        <w:spacing w:after="0" w:line="240" w:lineRule="auto"/>
        <w:jc w:val="both"/>
        <w:rPr>
          <w:rFonts w:ascii="Calibri" w:hAnsi="Calibri"/>
          <w:noProof/>
          <w:color w:val="000000" w:themeColor="text1"/>
          <w:lang w:val="es-ES"/>
        </w:rPr>
      </w:pPr>
    </w:p>
    <w:p w14:paraId="36F0C87F" w14:textId="1DE78CB4" w:rsidR="003C4A0A" w:rsidRPr="00075E00" w:rsidRDefault="00B65256" w:rsidP="00CE72CC">
      <w:pPr>
        <w:spacing w:after="0" w:line="240" w:lineRule="auto"/>
        <w:jc w:val="both"/>
        <w:rPr>
          <w:rFonts w:ascii="Calibri" w:hAnsi="Calibri"/>
          <w:noProof/>
          <w:color w:val="000000" w:themeColor="text1"/>
          <w:lang w:val="es-ES"/>
        </w:rPr>
      </w:pPr>
      <w:r w:rsidRPr="00075E00">
        <w:rPr>
          <w:rFonts w:ascii="Calibri" w:hAnsi="Calibri"/>
          <w:noProof/>
          <w:color w:val="000000" w:themeColor="text1"/>
          <w:lang w:val="es-ES"/>
        </w:rPr>
        <w:t>En este sentido, se capacitó a 318 analistas de Control Migratorio a nivel nacional en temas relacionados con atención a personas solicitantes de refugio, en necesidad de protección internacional, potenciales víctimas de trata de personas o tráfico ilícito de migrantes, enfocándose de manera particular en las necesidades especiales de las personas en movilidad humana en la frontera norte del Ecuador.</w:t>
      </w:r>
    </w:p>
    <w:p w14:paraId="20F81A87" w14:textId="77777777" w:rsidR="004C350D" w:rsidRPr="00075E00" w:rsidRDefault="004C350D" w:rsidP="00CE72CC">
      <w:pPr>
        <w:spacing w:after="0" w:line="240" w:lineRule="auto"/>
        <w:jc w:val="both"/>
        <w:rPr>
          <w:rFonts w:ascii="Calibri" w:hAnsi="Calibri"/>
          <w:noProof/>
          <w:color w:val="000000" w:themeColor="text1"/>
          <w:lang w:val="es-ES"/>
        </w:rPr>
      </w:pPr>
    </w:p>
    <w:p w14:paraId="0E75FCED" w14:textId="4559972E" w:rsidR="00A70CAD" w:rsidRPr="00075E00" w:rsidRDefault="0050778C" w:rsidP="00CD76AC">
      <w:pPr>
        <w:pStyle w:val="Prrafodelista"/>
        <w:numPr>
          <w:ilvl w:val="0"/>
          <w:numId w:val="5"/>
        </w:numPr>
        <w:shd w:val="clear" w:color="auto" w:fill="FFFFFF"/>
        <w:spacing w:after="0" w:line="240" w:lineRule="auto"/>
        <w:jc w:val="both"/>
        <w:rPr>
          <w:rFonts w:ascii="Calibri" w:eastAsia="Times New Roman" w:hAnsi="Calibri" w:cs="Times New Roman"/>
          <w:b/>
          <w:noProof/>
          <w:color w:val="000000" w:themeColor="text1"/>
          <w:lang w:val="es-ES" w:eastAsia="es-EC"/>
        </w:rPr>
      </w:pPr>
      <w:r w:rsidRPr="00075E00">
        <w:rPr>
          <w:rFonts w:ascii="Calibri" w:eastAsia="Times New Roman" w:hAnsi="Calibri" w:cs="Times New Roman"/>
          <w:b/>
          <w:noProof/>
          <w:color w:val="000000" w:themeColor="text1"/>
          <w:lang w:val="es-ES" w:eastAsia="es-EC"/>
        </w:rPr>
        <w:t>Medidas para proteger a NNA de explotación sexual en</w:t>
      </w:r>
      <w:r w:rsidR="00EF4A61" w:rsidRPr="00075E00">
        <w:rPr>
          <w:rFonts w:ascii="Calibri" w:eastAsia="Times New Roman" w:hAnsi="Calibri" w:cs="Times New Roman"/>
          <w:b/>
          <w:noProof/>
          <w:color w:val="000000" w:themeColor="text1"/>
          <w:lang w:val="es-ES" w:eastAsia="es-EC"/>
        </w:rPr>
        <w:t xml:space="preserve"> el sector turístico</w:t>
      </w:r>
    </w:p>
    <w:p w14:paraId="2344B126" w14:textId="77777777" w:rsidR="0050778C" w:rsidRPr="00075E00" w:rsidRDefault="0050778C" w:rsidP="00CE72CC">
      <w:pPr>
        <w:pStyle w:val="Prrafodelista"/>
        <w:shd w:val="clear" w:color="auto" w:fill="FFFFFF"/>
        <w:spacing w:after="0" w:line="240" w:lineRule="auto"/>
        <w:jc w:val="both"/>
        <w:rPr>
          <w:rFonts w:ascii="Calibri" w:eastAsia="Times New Roman" w:hAnsi="Calibri" w:cs="Times New Roman"/>
          <w:b/>
          <w:noProof/>
          <w:color w:val="000000" w:themeColor="text1"/>
          <w:lang w:val="es-ES" w:eastAsia="es-EC"/>
        </w:rPr>
      </w:pPr>
    </w:p>
    <w:p w14:paraId="23164767" w14:textId="3EFB04C9" w:rsidR="007D4187" w:rsidRPr="00075E00" w:rsidRDefault="009B2E83" w:rsidP="00CE72CC">
      <w:pPr>
        <w:spacing w:after="0" w:line="240" w:lineRule="auto"/>
        <w:jc w:val="both"/>
        <w:rPr>
          <w:rFonts w:ascii="Calibri" w:hAnsi="Calibri" w:cstheme="minorHAnsi"/>
          <w:noProof/>
          <w:color w:val="000000" w:themeColor="text1"/>
          <w:lang w:val="es-ES"/>
        </w:rPr>
      </w:pPr>
      <w:r w:rsidRPr="00075E00">
        <w:rPr>
          <w:rFonts w:ascii="Calibri" w:hAnsi="Calibri" w:cstheme="minorHAnsi"/>
          <w:noProof/>
          <w:color w:val="000000" w:themeColor="text1"/>
          <w:lang w:val="es-ES"/>
        </w:rPr>
        <w:t xml:space="preserve">En octubre de 2016, </w:t>
      </w:r>
      <w:r w:rsidR="009F4C90" w:rsidRPr="00075E00">
        <w:rPr>
          <w:rFonts w:ascii="Calibri" w:hAnsi="Calibri" w:cstheme="minorHAnsi"/>
          <w:noProof/>
          <w:color w:val="000000" w:themeColor="text1"/>
          <w:lang w:val="es-ES"/>
        </w:rPr>
        <w:t xml:space="preserve">el Estado ecuatoriano lanzó el Plan Integral </w:t>
      </w:r>
      <w:r w:rsidR="00CC0D5A" w:rsidRPr="00075E00">
        <w:rPr>
          <w:rFonts w:ascii="Calibri" w:hAnsi="Calibri" w:cstheme="minorHAnsi"/>
          <w:noProof/>
          <w:color w:val="000000" w:themeColor="text1"/>
          <w:lang w:val="es-ES"/>
        </w:rPr>
        <w:t xml:space="preserve">de Asistencia Turística </w:t>
      </w:r>
      <w:r w:rsidR="00EF4A61" w:rsidRPr="00075E00">
        <w:rPr>
          <w:rFonts w:ascii="Calibri" w:hAnsi="Calibri" w:cstheme="minorHAnsi"/>
          <w:noProof/>
          <w:color w:val="000000" w:themeColor="text1"/>
          <w:lang w:val="es-ES"/>
        </w:rPr>
        <w:t>(</w:t>
      </w:r>
      <w:r w:rsidR="00EF4A61" w:rsidRPr="00075E00">
        <w:rPr>
          <w:rFonts w:ascii="Calibri" w:hAnsi="Calibri"/>
          <w:noProof/>
          <w:color w:val="000000" w:themeColor="text1"/>
          <w:lang w:val="es-ES"/>
        </w:rPr>
        <w:t>PIAT: Enlace digital: http://bit.ly/2f5I8FF</w:t>
      </w:r>
      <w:r w:rsidRPr="00075E00">
        <w:rPr>
          <w:rFonts w:ascii="Calibri" w:hAnsi="Calibri"/>
          <w:noProof/>
          <w:color w:val="000000" w:themeColor="text1"/>
          <w:lang w:val="es-ES"/>
        </w:rPr>
        <w:t xml:space="preserve">), </w:t>
      </w:r>
      <w:r w:rsidR="00CC0D5A" w:rsidRPr="00075E00">
        <w:rPr>
          <w:rFonts w:ascii="Calibri" w:hAnsi="Calibri" w:cstheme="minorHAnsi"/>
          <w:noProof/>
          <w:color w:val="000000" w:themeColor="text1"/>
          <w:lang w:val="es-ES"/>
        </w:rPr>
        <w:t xml:space="preserve">en el cual se contempla la importancia de establecer medidas contra la </w:t>
      </w:r>
      <w:r w:rsidR="00847621" w:rsidRPr="00075E00">
        <w:rPr>
          <w:rFonts w:ascii="Calibri" w:hAnsi="Calibri" w:cstheme="minorHAnsi"/>
          <w:noProof/>
          <w:color w:val="000000" w:themeColor="text1"/>
          <w:lang w:val="es-ES"/>
        </w:rPr>
        <w:t>explotación</w:t>
      </w:r>
      <w:r w:rsidR="00CC0D5A" w:rsidRPr="00075E00">
        <w:rPr>
          <w:rFonts w:ascii="Calibri" w:hAnsi="Calibri" w:cstheme="minorHAnsi"/>
          <w:noProof/>
          <w:color w:val="000000" w:themeColor="text1"/>
          <w:lang w:val="es-ES"/>
        </w:rPr>
        <w:t xml:space="preserve"> comercial sexual de NNA en el sector del turismo. </w:t>
      </w:r>
      <w:r w:rsidR="00AD7336" w:rsidRPr="00075E00">
        <w:rPr>
          <w:rFonts w:ascii="Calibri" w:hAnsi="Calibri" w:cstheme="minorHAnsi"/>
          <w:noProof/>
          <w:color w:val="000000" w:themeColor="text1"/>
          <w:lang w:val="es-ES"/>
        </w:rPr>
        <w:t xml:space="preserve">En efecto, en el Plan se incorpora un enfoque de derechos humanos con el objetivo de identificar indicadores de riesgo, disminuir la vulnerabilidad y aumentar la </w:t>
      </w:r>
      <w:r w:rsidR="00847621" w:rsidRPr="00075E00">
        <w:rPr>
          <w:rFonts w:ascii="Calibri" w:hAnsi="Calibri" w:cstheme="minorHAnsi"/>
          <w:noProof/>
          <w:color w:val="000000" w:themeColor="text1"/>
          <w:lang w:val="es-ES"/>
        </w:rPr>
        <w:t>protección</w:t>
      </w:r>
      <w:r w:rsidR="00AD7336" w:rsidRPr="00075E00">
        <w:rPr>
          <w:rFonts w:ascii="Calibri" w:hAnsi="Calibri" w:cstheme="minorHAnsi"/>
          <w:noProof/>
          <w:color w:val="000000" w:themeColor="text1"/>
          <w:lang w:val="es-ES"/>
        </w:rPr>
        <w:t xml:space="preserve"> de NNA en viajes y turismo, así como prevenir y combatir la trata de personas.</w:t>
      </w:r>
    </w:p>
    <w:p w14:paraId="691E732C" w14:textId="77777777" w:rsidR="004C350D" w:rsidRPr="00075E00" w:rsidRDefault="004C350D" w:rsidP="00CE72CC">
      <w:pPr>
        <w:spacing w:after="0" w:line="240" w:lineRule="auto"/>
        <w:jc w:val="both"/>
        <w:rPr>
          <w:rFonts w:ascii="Calibri" w:hAnsi="Calibri"/>
          <w:noProof/>
          <w:color w:val="000000" w:themeColor="text1"/>
          <w:lang w:val="es-ES"/>
        </w:rPr>
      </w:pPr>
    </w:p>
    <w:p w14:paraId="0068E3A1" w14:textId="1FC69E6F" w:rsidR="008A05A8" w:rsidRPr="00075E00" w:rsidRDefault="008A05A8" w:rsidP="00CE72CC">
      <w:pPr>
        <w:spacing w:after="0" w:line="240" w:lineRule="auto"/>
        <w:jc w:val="both"/>
        <w:rPr>
          <w:rFonts w:ascii="Calibri" w:hAnsi="Calibri" w:cstheme="minorHAnsi"/>
          <w:noProof/>
          <w:color w:val="000000" w:themeColor="text1"/>
          <w:lang w:val="es-ES"/>
        </w:rPr>
      </w:pPr>
      <w:r w:rsidRPr="00075E00">
        <w:rPr>
          <w:rFonts w:ascii="Calibri" w:hAnsi="Calibri" w:cstheme="minorHAnsi"/>
          <w:noProof/>
          <w:color w:val="000000" w:themeColor="text1"/>
          <w:lang w:val="es-ES"/>
        </w:rPr>
        <w:t xml:space="preserve">De esta manera, se incorpora y enfatiza la relevancia del delito contemplado en el </w:t>
      </w:r>
      <w:r w:rsidR="00847621" w:rsidRPr="00075E00">
        <w:rPr>
          <w:rFonts w:ascii="Calibri" w:hAnsi="Calibri" w:cstheme="minorHAnsi"/>
          <w:noProof/>
          <w:color w:val="000000" w:themeColor="text1"/>
          <w:lang w:val="es-ES"/>
        </w:rPr>
        <w:t>artículo</w:t>
      </w:r>
      <w:r w:rsidRPr="00075E00">
        <w:rPr>
          <w:rFonts w:ascii="Calibri" w:hAnsi="Calibri" w:cstheme="minorHAnsi"/>
          <w:noProof/>
          <w:color w:val="000000" w:themeColor="text1"/>
          <w:lang w:val="es-ES"/>
        </w:rPr>
        <w:t xml:space="preserve"> 102 del Código Integral Penal</w:t>
      </w:r>
      <w:r w:rsidR="00C41F4F" w:rsidRPr="00075E00">
        <w:rPr>
          <w:rFonts w:ascii="Calibri" w:hAnsi="Calibri" w:cstheme="minorHAnsi"/>
          <w:noProof/>
          <w:color w:val="000000" w:themeColor="text1"/>
          <w:lang w:val="es-ES"/>
        </w:rPr>
        <w:t xml:space="preserve"> </w:t>
      </w:r>
      <w:r w:rsidRPr="00075E00">
        <w:rPr>
          <w:rFonts w:ascii="Calibri" w:hAnsi="Calibri" w:cstheme="minorHAnsi"/>
          <w:noProof/>
          <w:color w:val="000000" w:themeColor="text1"/>
          <w:lang w:val="es-ES"/>
        </w:rPr>
        <w:t xml:space="preserve">sobre turismo sexual, en el cual se especifica la especial vulneración y sanciona con una mayor gravedad las acciones contra NNA: “La persona que organice, promueva, ofrezca, brinde, traslade, reclute, adquiera o contrate actividades </w:t>
      </w:r>
      <w:r w:rsidR="00847621" w:rsidRPr="00075E00">
        <w:rPr>
          <w:rFonts w:ascii="Calibri" w:hAnsi="Calibri" w:cstheme="minorHAnsi"/>
          <w:noProof/>
          <w:color w:val="000000" w:themeColor="text1"/>
          <w:lang w:val="es-ES"/>
        </w:rPr>
        <w:t>turísticas</w:t>
      </w:r>
      <w:r w:rsidRPr="00075E00">
        <w:rPr>
          <w:rFonts w:ascii="Calibri" w:hAnsi="Calibri" w:cstheme="minorHAnsi"/>
          <w:noProof/>
          <w:color w:val="000000" w:themeColor="text1"/>
          <w:lang w:val="es-ES"/>
        </w:rPr>
        <w:t xml:space="preserve"> que impliquen servicios de naturaleza sexual, será sancionada con pena privativa de libertad de siete a diez años. Si las víctimas se encuentran en alguno de los siguientes casos, la pena privativa de libertad será de diez a trece años: 1. Si son niñas, niños o adolescentes o personas en situación de vulnerabilidad, aún cuando hayan prestado su consentimiento”.</w:t>
      </w:r>
    </w:p>
    <w:p w14:paraId="50355FC9" w14:textId="77777777" w:rsidR="004C350D" w:rsidRPr="00075E00" w:rsidRDefault="004C350D" w:rsidP="00CE72CC">
      <w:pPr>
        <w:spacing w:after="0" w:line="240" w:lineRule="auto"/>
        <w:jc w:val="both"/>
        <w:rPr>
          <w:rFonts w:ascii="Calibri" w:hAnsi="Calibri" w:cstheme="minorHAnsi"/>
          <w:noProof/>
          <w:color w:val="000000" w:themeColor="text1"/>
          <w:lang w:val="es-ES"/>
        </w:rPr>
      </w:pPr>
    </w:p>
    <w:p w14:paraId="1E0608B0" w14:textId="4D3F7317" w:rsidR="004C350D" w:rsidRPr="00075E00" w:rsidRDefault="008A05A8" w:rsidP="00CE72CC">
      <w:pPr>
        <w:spacing w:after="0" w:line="240" w:lineRule="auto"/>
        <w:jc w:val="both"/>
        <w:rPr>
          <w:rFonts w:ascii="Calibri" w:hAnsi="Calibri" w:cstheme="minorHAnsi"/>
          <w:noProof/>
          <w:color w:val="000000" w:themeColor="text1"/>
          <w:lang w:val="es-ES"/>
        </w:rPr>
      </w:pPr>
      <w:r w:rsidRPr="00075E00">
        <w:rPr>
          <w:rFonts w:ascii="Calibri" w:hAnsi="Calibri" w:cstheme="minorHAnsi"/>
          <w:noProof/>
          <w:color w:val="000000" w:themeColor="text1"/>
          <w:lang w:val="es-ES"/>
        </w:rPr>
        <w:t>Es así como</w:t>
      </w:r>
      <w:r w:rsidR="009B2E83" w:rsidRPr="00075E00">
        <w:rPr>
          <w:rFonts w:ascii="Calibri" w:hAnsi="Calibri" w:cstheme="minorHAnsi"/>
          <w:noProof/>
          <w:color w:val="000000" w:themeColor="text1"/>
          <w:lang w:val="es-ES"/>
        </w:rPr>
        <w:t xml:space="preserve"> en el PIAT</w:t>
      </w:r>
      <w:r w:rsidRPr="00075E00">
        <w:rPr>
          <w:rFonts w:ascii="Calibri" w:hAnsi="Calibri" w:cstheme="minorHAnsi"/>
          <w:noProof/>
          <w:color w:val="000000" w:themeColor="text1"/>
          <w:lang w:val="es-ES"/>
        </w:rPr>
        <w:t xml:space="preserve"> se considera que la </w:t>
      </w:r>
      <w:r w:rsidR="009B2E83" w:rsidRPr="00075E00">
        <w:rPr>
          <w:rFonts w:ascii="Calibri" w:hAnsi="Calibri" w:cstheme="minorHAnsi"/>
          <w:noProof/>
          <w:color w:val="000000" w:themeColor="text1"/>
          <w:lang w:val="es-ES"/>
        </w:rPr>
        <w:t>utilización</w:t>
      </w:r>
      <w:r w:rsidRPr="00075E00">
        <w:rPr>
          <w:rFonts w:ascii="Calibri" w:hAnsi="Calibri" w:cstheme="minorHAnsi"/>
          <w:noProof/>
          <w:color w:val="000000" w:themeColor="text1"/>
          <w:lang w:val="es-ES"/>
        </w:rPr>
        <w:t xml:space="preserve"> de actividades relacionadas con el turismo para la </w:t>
      </w:r>
      <w:r w:rsidR="009B2E83" w:rsidRPr="00075E00">
        <w:rPr>
          <w:rFonts w:ascii="Calibri" w:hAnsi="Calibri" w:cstheme="minorHAnsi"/>
          <w:noProof/>
          <w:color w:val="000000" w:themeColor="text1"/>
          <w:lang w:val="es-ES"/>
        </w:rPr>
        <w:t>explotación</w:t>
      </w:r>
      <w:r w:rsidRPr="00075E00">
        <w:rPr>
          <w:rFonts w:ascii="Calibri" w:hAnsi="Calibri" w:cstheme="minorHAnsi"/>
          <w:noProof/>
          <w:color w:val="000000" w:themeColor="text1"/>
          <w:lang w:val="es-ES"/>
        </w:rPr>
        <w:t xml:space="preserve"> de seres humanos, en cualquiera de sus formas, y en particular cuando afecta a NNA</w:t>
      </w:r>
      <w:r w:rsidR="009B2E83" w:rsidRPr="00075E00">
        <w:rPr>
          <w:rFonts w:ascii="Calibri" w:hAnsi="Calibri" w:cstheme="minorHAnsi"/>
          <w:noProof/>
          <w:color w:val="000000" w:themeColor="text1"/>
          <w:lang w:val="es-ES"/>
        </w:rPr>
        <w:t>,</w:t>
      </w:r>
      <w:r w:rsidRPr="00075E00">
        <w:rPr>
          <w:rFonts w:ascii="Calibri" w:hAnsi="Calibri" w:cstheme="minorHAnsi"/>
          <w:noProof/>
          <w:color w:val="000000" w:themeColor="text1"/>
          <w:lang w:val="es-ES"/>
        </w:rPr>
        <w:t xml:space="preserve"> menoscaba los objetivos fundamentales del turismo y constituye una </w:t>
      </w:r>
      <w:r w:rsidR="009B2E83" w:rsidRPr="00075E00">
        <w:rPr>
          <w:rFonts w:ascii="Calibri" w:hAnsi="Calibri" w:cstheme="minorHAnsi"/>
          <w:noProof/>
          <w:color w:val="000000" w:themeColor="text1"/>
          <w:lang w:val="es-ES"/>
        </w:rPr>
        <w:t>negación</w:t>
      </w:r>
      <w:r w:rsidRPr="00075E00">
        <w:rPr>
          <w:rFonts w:ascii="Calibri" w:hAnsi="Calibri" w:cstheme="minorHAnsi"/>
          <w:noProof/>
          <w:color w:val="000000" w:themeColor="text1"/>
          <w:lang w:val="es-ES"/>
        </w:rPr>
        <w:t xml:space="preserve"> de su esencia, de </w:t>
      </w:r>
      <w:r w:rsidR="009B2E83" w:rsidRPr="00075E00">
        <w:rPr>
          <w:rFonts w:ascii="Calibri" w:hAnsi="Calibri" w:cstheme="minorHAnsi"/>
          <w:noProof/>
          <w:color w:val="000000" w:themeColor="text1"/>
          <w:lang w:val="es-ES"/>
        </w:rPr>
        <w:t>ahí</w:t>
      </w:r>
      <w:r w:rsidRPr="00075E00">
        <w:rPr>
          <w:rFonts w:ascii="Calibri" w:hAnsi="Calibri" w:cstheme="minorHAnsi"/>
          <w:noProof/>
          <w:color w:val="000000" w:themeColor="text1"/>
          <w:lang w:val="es-ES"/>
        </w:rPr>
        <w:t xml:space="preserve">́ que el Ecuador es parte activa de los organismos internacionales regionales como el Grupo de </w:t>
      </w:r>
      <w:r w:rsidR="009B2E83" w:rsidRPr="00075E00">
        <w:rPr>
          <w:rFonts w:ascii="Calibri" w:hAnsi="Calibri" w:cstheme="minorHAnsi"/>
          <w:noProof/>
          <w:color w:val="000000" w:themeColor="text1"/>
          <w:lang w:val="es-ES"/>
        </w:rPr>
        <w:t>Acción</w:t>
      </w:r>
      <w:r w:rsidRPr="00075E00">
        <w:rPr>
          <w:rFonts w:ascii="Calibri" w:hAnsi="Calibri" w:cstheme="minorHAnsi"/>
          <w:noProof/>
          <w:color w:val="000000" w:themeColor="text1"/>
          <w:lang w:val="es-ES"/>
        </w:rPr>
        <w:t xml:space="preserve"> Regional de las </w:t>
      </w:r>
      <w:r w:rsidR="009B2E83" w:rsidRPr="00075E00">
        <w:rPr>
          <w:rFonts w:ascii="Calibri" w:hAnsi="Calibri" w:cstheme="minorHAnsi"/>
          <w:noProof/>
          <w:color w:val="000000" w:themeColor="text1"/>
          <w:lang w:val="es-ES"/>
        </w:rPr>
        <w:t>Américas</w:t>
      </w:r>
      <w:r w:rsidRPr="00075E00">
        <w:rPr>
          <w:rFonts w:ascii="Calibri" w:hAnsi="Calibri" w:cstheme="minorHAnsi"/>
          <w:noProof/>
          <w:color w:val="000000" w:themeColor="text1"/>
          <w:lang w:val="es-ES"/>
        </w:rPr>
        <w:t xml:space="preserve"> para </w:t>
      </w:r>
      <w:r w:rsidR="009B2E83" w:rsidRPr="00075E00">
        <w:rPr>
          <w:rFonts w:ascii="Calibri" w:hAnsi="Calibri" w:cstheme="minorHAnsi"/>
          <w:noProof/>
          <w:color w:val="000000" w:themeColor="text1"/>
          <w:lang w:val="es-ES"/>
        </w:rPr>
        <w:t>prevención</w:t>
      </w:r>
      <w:r w:rsidRPr="00075E00">
        <w:rPr>
          <w:rFonts w:ascii="Calibri" w:hAnsi="Calibri" w:cstheme="minorHAnsi"/>
          <w:noProof/>
          <w:color w:val="000000" w:themeColor="text1"/>
          <w:lang w:val="es-ES"/>
        </w:rPr>
        <w:t xml:space="preserve"> ESCNNA en viajes y turismo (GARA).</w:t>
      </w:r>
      <w:r w:rsidR="009B2E83" w:rsidRPr="00075E00">
        <w:rPr>
          <w:rFonts w:ascii="Calibri" w:hAnsi="Calibri" w:cstheme="minorHAnsi"/>
          <w:noProof/>
          <w:color w:val="000000" w:themeColor="text1"/>
          <w:lang w:val="es-ES"/>
        </w:rPr>
        <w:t xml:space="preserve"> </w:t>
      </w:r>
      <w:r w:rsidRPr="00075E00">
        <w:rPr>
          <w:rFonts w:ascii="Calibri" w:hAnsi="Calibri" w:cstheme="minorHAnsi"/>
          <w:noProof/>
          <w:color w:val="000000" w:themeColor="text1"/>
          <w:lang w:val="es-ES"/>
        </w:rPr>
        <w:t xml:space="preserve">Las acciones que se llevan a cabo en referencia a esta </w:t>
      </w:r>
      <w:r w:rsidR="009B2E83" w:rsidRPr="00075E00">
        <w:rPr>
          <w:rFonts w:ascii="Calibri" w:hAnsi="Calibri" w:cstheme="minorHAnsi"/>
          <w:noProof/>
          <w:color w:val="000000" w:themeColor="text1"/>
          <w:lang w:val="es-ES"/>
        </w:rPr>
        <w:t>temática</w:t>
      </w:r>
      <w:r w:rsidRPr="00075E00">
        <w:rPr>
          <w:rFonts w:ascii="Calibri" w:hAnsi="Calibri" w:cstheme="minorHAnsi"/>
          <w:noProof/>
          <w:color w:val="000000" w:themeColor="text1"/>
          <w:lang w:val="es-ES"/>
        </w:rPr>
        <w:t xml:space="preserve"> se</w:t>
      </w:r>
      <w:r w:rsidR="009B2E83" w:rsidRPr="00075E00">
        <w:rPr>
          <w:rFonts w:ascii="Calibri" w:hAnsi="Calibri" w:cstheme="minorHAnsi"/>
          <w:noProof/>
          <w:color w:val="000000" w:themeColor="text1"/>
          <w:lang w:val="es-ES"/>
        </w:rPr>
        <w:t xml:space="preserve"> encuentran principalmente ali</w:t>
      </w:r>
      <w:r w:rsidRPr="00075E00">
        <w:rPr>
          <w:rFonts w:ascii="Calibri" w:hAnsi="Calibri" w:cstheme="minorHAnsi"/>
          <w:noProof/>
          <w:color w:val="000000" w:themeColor="text1"/>
          <w:lang w:val="es-ES"/>
        </w:rPr>
        <w:t xml:space="preserve">neadas a la </w:t>
      </w:r>
      <w:r w:rsidR="009B2E83" w:rsidRPr="00075E00">
        <w:rPr>
          <w:rFonts w:ascii="Calibri" w:hAnsi="Calibri" w:cstheme="minorHAnsi"/>
          <w:noProof/>
          <w:color w:val="000000" w:themeColor="text1"/>
          <w:lang w:val="es-ES"/>
        </w:rPr>
        <w:t>prevención</w:t>
      </w:r>
      <w:r w:rsidRPr="00075E00">
        <w:rPr>
          <w:rFonts w:ascii="Calibri" w:hAnsi="Calibri" w:cstheme="minorHAnsi"/>
          <w:noProof/>
          <w:color w:val="000000" w:themeColor="text1"/>
          <w:lang w:val="es-ES"/>
        </w:rPr>
        <w:t xml:space="preserve">, con el incremento de acciones destinadas a reducir los factores de riesgo para evitar una </w:t>
      </w:r>
      <w:r w:rsidR="009B2E83" w:rsidRPr="00075E00">
        <w:rPr>
          <w:rFonts w:ascii="Calibri" w:hAnsi="Calibri" w:cstheme="minorHAnsi"/>
          <w:noProof/>
          <w:color w:val="000000" w:themeColor="text1"/>
          <w:lang w:val="es-ES"/>
        </w:rPr>
        <w:t>situación</w:t>
      </w:r>
      <w:r w:rsidRPr="00075E00">
        <w:rPr>
          <w:rFonts w:ascii="Calibri" w:hAnsi="Calibri" w:cstheme="minorHAnsi"/>
          <w:noProof/>
          <w:color w:val="000000" w:themeColor="text1"/>
          <w:lang w:val="es-ES"/>
        </w:rPr>
        <w:t xml:space="preserve"> de Trata de Personas e identificar posibles </w:t>
      </w:r>
      <w:r w:rsidR="009B2E83" w:rsidRPr="00075E00">
        <w:rPr>
          <w:rFonts w:ascii="Calibri" w:hAnsi="Calibri" w:cstheme="minorHAnsi"/>
          <w:noProof/>
          <w:color w:val="000000" w:themeColor="text1"/>
          <w:lang w:val="es-ES"/>
        </w:rPr>
        <w:t>víctimas</w:t>
      </w:r>
      <w:r w:rsidRPr="00075E00">
        <w:rPr>
          <w:rFonts w:ascii="Calibri" w:hAnsi="Calibri" w:cstheme="minorHAnsi"/>
          <w:noProof/>
          <w:color w:val="000000" w:themeColor="text1"/>
          <w:lang w:val="es-ES"/>
        </w:rPr>
        <w:t xml:space="preserve"> del referido delito. </w:t>
      </w:r>
    </w:p>
    <w:p w14:paraId="483A0FD6" w14:textId="77777777" w:rsidR="004C350D" w:rsidRPr="00075E00" w:rsidRDefault="004C350D" w:rsidP="00CE72CC">
      <w:pPr>
        <w:spacing w:after="0" w:line="240" w:lineRule="auto"/>
        <w:jc w:val="both"/>
        <w:rPr>
          <w:rFonts w:ascii="Calibri" w:hAnsi="Calibri" w:cstheme="minorHAnsi"/>
          <w:noProof/>
          <w:color w:val="000000" w:themeColor="text1"/>
          <w:lang w:val="es-ES"/>
        </w:rPr>
      </w:pPr>
    </w:p>
    <w:p w14:paraId="09046297" w14:textId="182474C6" w:rsidR="008A05A8" w:rsidRPr="00075E00" w:rsidRDefault="008A05A8" w:rsidP="00CE72CC">
      <w:pPr>
        <w:spacing w:after="0" w:line="240" w:lineRule="auto"/>
        <w:jc w:val="both"/>
        <w:rPr>
          <w:rFonts w:ascii="Calibri" w:hAnsi="Calibri" w:cstheme="minorHAnsi"/>
          <w:noProof/>
          <w:color w:val="000000" w:themeColor="text1"/>
          <w:lang w:val="es-ES"/>
        </w:rPr>
      </w:pPr>
      <w:r w:rsidRPr="00075E00">
        <w:rPr>
          <w:rFonts w:ascii="Calibri" w:hAnsi="Calibri" w:cstheme="minorHAnsi"/>
          <w:noProof/>
          <w:color w:val="000000" w:themeColor="text1"/>
          <w:lang w:val="es-ES"/>
        </w:rPr>
        <w:lastRenderedPageBreak/>
        <w:t xml:space="preserve">Asimismo, </w:t>
      </w:r>
      <w:r w:rsidR="009B2E83" w:rsidRPr="00075E00">
        <w:rPr>
          <w:rFonts w:ascii="Calibri" w:hAnsi="Calibri" w:cstheme="minorHAnsi"/>
          <w:noProof/>
          <w:color w:val="000000" w:themeColor="text1"/>
          <w:lang w:val="es-ES"/>
        </w:rPr>
        <w:t xml:space="preserve">en el PIAT </w:t>
      </w:r>
      <w:r w:rsidRPr="00075E00">
        <w:rPr>
          <w:rFonts w:ascii="Calibri" w:hAnsi="Calibri" w:cstheme="minorHAnsi"/>
          <w:noProof/>
          <w:color w:val="000000" w:themeColor="text1"/>
          <w:lang w:val="es-ES"/>
        </w:rPr>
        <w:t xml:space="preserve">se trabaja en la </w:t>
      </w:r>
      <w:r w:rsidR="009B2E83" w:rsidRPr="00075E00">
        <w:rPr>
          <w:rFonts w:ascii="Calibri" w:hAnsi="Calibri" w:cstheme="minorHAnsi"/>
          <w:noProof/>
          <w:color w:val="000000" w:themeColor="text1"/>
          <w:lang w:val="es-ES"/>
        </w:rPr>
        <w:t>regulación</w:t>
      </w:r>
      <w:r w:rsidRPr="00075E00">
        <w:rPr>
          <w:rFonts w:ascii="Calibri" w:hAnsi="Calibri" w:cstheme="minorHAnsi"/>
          <w:noProof/>
          <w:color w:val="000000" w:themeColor="text1"/>
          <w:lang w:val="es-ES"/>
        </w:rPr>
        <w:t xml:space="preserve"> y monitoreo de agencias de viajes, hoteles, transporte </w:t>
      </w:r>
      <w:r w:rsidR="009B2E83" w:rsidRPr="00075E00">
        <w:rPr>
          <w:rFonts w:ascii="Calibri" w:hAnsi="Calibri" w:cstheme="minorHAnsi"/>
          <w:noProof/>
          <w:color w:val="000000" w:themeColor="text1"/>
          <w:lang w:val="es-ES"/>
        </w:rPr>
        <w:t>turístico</w:t>
      </w:r>
      <w:r w:rsidRPr="00075E00">
        <w:rPr>
          <w:rFonts w:ascii="Calibri" w:hAnsi="Calibri" w:cstheme="minorHAnsi"/>
          <w:noProof/>
          <w:color w:val="000000" w:themeColor="text1"/>
          <w:lang w:val="es-ES"/>
        </w:rPr>
        <w:t xml:space="preserve"> y otros, mediante la </w:t>
      </w:r>
      <w:r w:rsidR="009B2E83" w:rsidRPr="00075E00">
        <w:rPr>
          <w:rFonts w:ascii="Calibri" w:hAnsi="Calibri" w:cstheme="minorHAnsi"/>
          <w:noProof/>
          <w:color w:val="000000" w:themeColor="text1"/>
          <w:lang w:val="es-ES"/>
        </w:rPr>
        <w:t>emisión</w:t>
      </w:r>
      <w:r w:rsidRPr="00075E00">
        <w:rPr>
          <w:rFonts w:ascii="Calibri" w:hAnsi="Calibri" w:cstheme="minorHAnsi"/>
          <w:noProof/>
          <w:color w:val="000000" w:themeColor="text1"/>
          <w:lang w:val="es-ES"/>
        </w:rPr>
        <w:t xml:space="preserve"> de normativa como el Reglamento de Alojamiento</w:t>
      </w:r>
      <w:r w:rsidR="009B2E83" w:rsidRPr="00075E00">
        <w:rPr>
          <w:rFonts w:ascii="Calibri" w:hAnsi="Calibri" w:cstheme="minorHAnsi"/>
          <w:noProof/>
          <w:color w:val="000000" w:themeColor="text1"/>
          <w:lang w:val="es-ES"/>
        </w:rPr>
        <w:t xml:space="preserve">, publicado en marzo de 2015 </w:t>
      </w:r>
      <w:r w:rsidRPr="00075E00">
        <w:rPr>
          <w:rFonts w:ascii="Calibri" w:hAnsi="Calibri" w:cstheme="minorHAnsi"/>
          <w:noProof/>
          <w:color w:val="000000" w:themeColor="text1"/>
          <w:lang w:val="es-ES"/>
        </w:rPr>
        <w:t>que “</w:t>
      </w:r>
      <w:r w:rsidR="009B2E83" w:rsidRPr="00075E00">
        <w:rPr>
          <w:rFonts w:ascii="Calibri" w:hAnsi="Calibri" w:cstheme="minorHAnsi"/>
          <w:noProof/>
          <w:color w:val="000000" w:themeColor="text1"/>
          <w:lang w:val="es-ES"/>
        </w:rPr>
        <w:t>prohíbe</w:t>
      </w:r>
      <w:r w:rsidRPr="00075E00">
        <w:rPr>
          <w:rFonts w:ascii="Calibri" w:hAnsi="Calibri" w:cstheme="minorHAnsi"/>
          <w:noProof/>
          <w:color w:val="000000" w:themeColor="text1"/>
          <w:lang w:val="es-ES"/>
        </w:rPr>
        <w:t xml:space="preserve"> a los establecimientos de alojamiento </w:t>
      </w:r>
      <w:r w:rsidR="009B2E83" w:rsidRPr="00075E00">
        <w:rPr>
          <w:rFonts w:ascii="Calibri" w:hAnsi="Calibri" w:cstheme="minorHAnsi"/>
          <w:noProof/>
          <w:color w:val="000000" w:themeColor="text1"/>
          <w:lang w:val="es-ES"/>
        </w:rPr>
        <w:t>turístico</w:t>
      </w:r>
      <w:r w:rsidRPr="00075E00">
        <w:rPr>
          <w:rFonts w:ascii="Calibri" w:hAnsi="Calibri" w:cstheme="minorHAnsi"/>
          <w:noProof/>
          <w:color w:val="000000" w:themeColor="text1"/>
          <w:lang w:val="es-ES"/>
        </w:rPr>
        <w:t xml:space="preserve"> permitir el ingreso de </w:t>
      </w:r>
      <w:r w:rsidR="009B2E83" w:rsidRPr="00075E00">
        <w:rPr>
          <w:rFonts w:ascii="Calibri" w:hAnsi="Calibri" w:cstheme="minorHAnsi"/>
          <w:noProof/>
          <w:color w:val="000000" w:themeColor="text1"/>
          <w:lang w:val="es-ES"/>
        </w:rPr>
        <w:t>niños</w:t>
      </w:r>
      <w:r w:rsidRPr="00075E00">
        <w:rPr>
          <w:rFonts w:ascii="Calibri" w:hAnsi="Calibri" w:cstheme="minorHAnsi"/>
          <w:noProof/>
          <w:color w:val="000000" w:themeColor="text1"/>
          <w:lang w:val="es-ES"/>
        </w:rPr>
        <w:t xml:space="preserve">, </w:t>
      </w:r>
      <w:r w:rsidR="009B2E83" w:rsidRPr="00075E00">
        <w:rPr>
          <w:rFonts w:ascii="Calibri" w:hAnsi="Calibri" w:cstheme="minorHAnsi"/>
          <w:noProof/>
          <w:color w:val="000000" w:themeColor="text1"/>
          <w:lang w:val="es-ES"/>
        </w:rPr>
        <w:t>niñas</w:t>
      </w:r>
      <w:r w:rsidRPr="00075E00">
        <w:rPr>
          <w:rFonts w:ascii="Calibri" w:hAnsi="Calibri" w:cstheme="minorHAnsi"/>
          <w:noProof/>
          <w:color w:val="000000" w:themeColor="text1"/>
          <w:lang w:val="es-ES"/>
        </w:rPr>
        <w:t xml:space="preserve"> y adolescentes a los establecimientos con</w:t>
      </w:r>
      <w:r w:rsidR="00C41F4F" w:rsidRPr="00075E00">
        <w:rPr>
          <w:rFonts w:ascii="Calibri" w:hAnsi="Calibri" w:cstheme="minorHAnsi"/>
          <w:noProof/>
          <w:color w:val="000000" w:themeColor="text1"/>
          <w:lang w:val="es-ES"/>
        </w:rPr>
        <w:t xml:space="preserve"> </w:t>
      </w:r>
      <w:r w:rsidR="009B2E83" w:rsidRPr="00075E00">
        <w:rPr>
          <w:rFonts w:ascii="Calibri" w:hAnsi="Calibri" w:cstheme="minorHAnsi"/>
          <w:noProof/>
          <w:color w:val="000000" w:themeColor="text1"/>
          <w:lang w:val="es-ES"/>
        </w:rPr>
        <w:t>fi</w:t>
      </w:r>
      <w:r w:rsidRPr="00075E00">
        <w:rPr>
          <w:rFonts w:ascii="Calibri" w:hAnsi="Calibri" w:cstheme="minorHAnsi"/>
          <w:noProof/>
          <w:color w:val="000000" w:themeColor="text1"/>
          <w:lang w:val="es-ES"/>
        </w:rPr>
        <w:t xml:space="preserve">nes de </w:t>
      </w:r>
      <w:r w:rsidR="009B2E83" w:rsidRPr="00075E00">
        <w:rPr>
          <w:rFonts w:ascii="Calibri" w:hAnsi="Calibri" w:cstheme="minorHAnsi"/>
          <w:noProof/>
          <w:color w:val="000000" w:themeColor="text1"/>
          <w:lang w:val="es-ES"/>
        </w:rPr>
        <w:t>explotación</w:t>
      </w:r>
      <w:r w:rsidRPr="00075E00">
        <w:rPr>
          <w:rFonts w:ascii="Calibri" w:hAnsi="Calibri" w:cstheme="minorHAnsi"/>
          <w:noProof/>
          <w:color w:val="000000" w:themeColor="text1"/>
          <w:lang w:val="es-ES"/>
        </w:rPr>
        <w:t xml:space="preserve"> sexual, laboral, trata y </w:t>
      </w:r>
      <w:r w:rsidR="009B2E83" w:rsidRPr="00075E00">
        <w:rPr>
          <w:rFonts w:ascii="Calibri" w:hAnsi="Calibri" w:cstheme="minorHAnsi"/>
          <w:noProof/>
          <w:color w:val="000000" w:themeColor="text1"/>
          <w:lang w:val="es-ES"/>
        </w:rPr>
        <w:t>tráfico</w:t>
      </w:r>
      <w:r w:rsidRPr="00075E00">
        <w:rPr>
          <w:rFonts w:ascii="Calibri" w:hAnsi="Calibri" w:cstheme="minorHAnsi"/>
          <w:noProof/>
          <w:color w:val="000000" w:themeColor="text1"/>
          <w:lang w:val="es-ES"/>
        </w:rPr>
        <w:t xml:space="preserve"> de personas. En caso de que se incumpla con esta </w:t>
      </w:r>
      <w:r w:rsidR="009B2E83" w:rsidRPr="00075E00">
        <w:rPr>
          <w:rFonts w:ascii="Calibri" w:hAnsi="Calibri" w:cstheme="minorHAnsi"/>
          <w:noProof/>
          <w:color w:val="000000" w:themeColor="text1"/>
          <w:lang w:val="es-ES"/>
        </w:rPr>
        <w:t>disposición</w:t>
      </w:r>
      <w:r w:rsidRPr="00075E00">
        <w:rPr>
          <w:rFonts w:ascii="Calibri" w:hAnsi="Calibri" w:cstheme="minorHAnsi"/>
          <w:noProof/>
          <w:color w:val="000000" w:themeColor="text1"/>
          <w:lang w:val="es-ES"/>
        </w:rPr>
        <w:t xml:space="preserve">, se </w:t>
      </w:r>
      <w:r w:rsidR="009B2E83" w:rsidRPr="00075E00">
        <w:rPr>
          <w:rFonts w:ascii="Calibri" w:hAnsi="Calibri" w:cstheme="minorHAnsi"/>
          <w:noProof/>
          <w:color w:val="000000" w:themeColor="text1"/>
          <w:lang w:val="es-ES"/>
        </w:rPr>
        <w:t>aplicarán</w:t>
      </w:r>
      <w:r w:rsidRPr="00075E00">
        <w:rPr>
          <w:rFonts w:ascii="Calibri" w:hAnsi="Calibri" w:cstheme="minorHAnsi"/>
          <w:noProof/>
          <w:color w:val="000000" w:themeColor="text1"/>
          <w:lang w:val="es-ES"/>
        </w:rPr>
        <w:t xml:space="preserve"> las sanciones establecidas en la </w:t>
      </w:r>
      <w:r w:rsidR="009B2E83" w:rsidRPr="00075E00">
        <w:rPr>
          <w:rFonts w:ascii="Calibri" w:hAnsi="Calibri" w:cstheme="minorHAnsi"/>
          <w:noProof/>
          <w:color w:val="000000" w:themeColor="text1"/>
          <w:lang w:val="es-ES"/>
        </w:rPr>
        <w:t>legislación</w:t>
      </w:r>
      <w:r w:rsidRPr="00075E00">
        <w:rPr>
          <w:rFonts w:ascii="Calibri" w:hAnsi="Calibri" w:cstheme="minorHAnsi"/>
          <w:noProof/>
          <w:color w:val="000000" w:themeColor="text1"/>
          <w:lang w:val="es-ES"/>
        </w:rPr>
        <w:t xml:space="preserve"> vigente.”</w:t>
      </w:r>
    </w:p>
    <w:p w14:paraId="767E6BB1" w14:textId="77777777" w:rsidR="004C350D" w:rsidRPr="00075E00" w:rsidRDefault="004C350D" w:rsidP="00CE72CC">
      <w:pPr>
        <w:spacing w:after="0" w:line="240" w:lineRule="auto"/>
        <w:jc w:val="both"/>
        <w:rPr>
          <w:rFonts w:ascii="Calibri" w:hAnsi="Calibri" w:cstheme="minorHAnsi"/>
          <w:noProof/>
          <w:color w:val="000000" w:themeColor="text1"/>
          <w:lang w:val="es-ES"/>
        </w:rPr>
      </w:pPr>
    </w:p>
    <w:p w14:paraId="6221D875" w14:textId="42148CDB" w:rsidR="00847621" w:rsidRPr="00075E00" w:rsidRDefault="00865B56" w:rsidP="0029759B">
      <w:pPr>
        <w:spacing w:after="0" w:line="240" w:lineRule="auto"/>
        <w:jc w:val="both"/>
        <w:rPr>
          <w:noProof/>
          <w:color w:val="000000" w:themeColor="text1"/>
          <w:lang w:val="es-ES"/>
        </w:rPr>
      </w:pPr>
      <w:r w:rsidRPr="00075E00">
        <w:rPr>
          <w:rFonts w:ascii="Calibri" w:hAnsi="Calibri" w:cstheme="minorHAnsi"/>
          <w:noProof/>
          <w:color w:val="000000" w:themeColor="text1"/>
          <w:lang w:val="es-ES"/>
        </w:rPr>
        <w:t>En este sen</w:t>
      </w:r>
      <w:r w:rsidR="009B2E83" w:rsidRPr="00075E00">
        <w:rPr>
          <w:rFonts w:ascii="Calibri" w:hAnsi="Calibri" w:cstheme="minorHAnsi"/>
          <w:noProof/>
          <w:color w:val="000000" w:themeColor="text1"/>
          <w:lang w:val="es-ES"/>
        </w:rPr>
        <w:t>tido, en el sector de seguridad, en el PIAT se contempla</w:t>
      </w:r>
      <w:r w:rsidRPr="00075E00">
        <w:rPr>
          <w:rFonts w:ascii="Calibri" w:hAnsi="Calibri" w:cstheme="minorHAnsi"/>
          <w:noProof/>
          <w:color w:val="000000" w:themeColor="text1"/>
          <w:lang w:val="es-ES"/>
        </w:rPr>
        <w:t xml:space="preserve"> los actores que deben coordinar y supervisar todas las acciones de seguridad </w:t>
      </w:r>
      <w:r w:rsidR="009B2E83" w:rsidRPr="00075E00">
        <w:rPr>
          <w:rFonts w:ascii="Calibri" w:hAnsi="Calibri" w:cstheme="minorHAnsi"/>
          <w:noProof/>
          <w:color w:val="000000" w:themeColor="text1"/>
          <w:lang w:val="es-ES"/>
        </w:rPr>
        <w:t>turística</w:t>
      </w:r>
      <w:r w:rsidRPr="00075E00">
        <w:rPr>
          <w:rFonts w:ascii="Calibri" w:hAnsi="Calibri" w:cstheme="minorHAnsi"/>
          <w:noProof/>
          <w:color w:val="000000" w:themeColor="text1"/>
          <w:lang w:val="es-ES"/>
        </w:rPr>
        <w:t xml:space="preserve"> </w:t>
      </w:r>
      <w:r w:rsidR="009B2E83" w:rsidRPr="00075E00">
        <w:rPr>
          <w:rFonts w:ascii="Calibri" w:hAnsi="Calibri" w:cstheme="minorHAnsi"/>
          <w:noProof/>
          <w:color w:val="000000" w:themeColor="text1"/>
          <w:lang w:val="es-ES"/>
        </w:rPr>
        <w:t>y</w:t>
      </w:r>
      <w:r w:rsidRPr="00075E00">
        <w:rPr>
          <w:rFonts w:ascii="Calibri" w:hAnsi="Calibri" w:cstheme="minorHAnsi"/>
          <w:noProof/>
          <w:color w:val="000000" w:themeColor="text1"/>
          <w:lang w:val="es-ES"/>
        </w:rPr>
        <w:t xml:space="preserve"> ciudadana, </w:t>
      </w:r>
      <w:r w:rsidR="009B2E83" w:rsidRPr="00075E00">
        <w:rPr>
          <w:rFonts w:ascii="Calibri" w:hAnsi="Calibri" w:cstheme="minorHAnsi"/>
          <w:noProof/>
          <w:color w:val="000000" w:themeColor="text1"/>
          <w:lang w:val="es-ES"/>
        </w:rPr>
        <w:t>así</w:t>
      </w:r>
      <w:r w:rsidRPr="00075E00">
        <w:rPr>
          <w:rFonts w:ascii="Calibri" w:hAnsi="Calibri" w:cstheme="minorHAnsi"/>
          <w:noProof/>
          <w:color w:val="000000" w:themeColor="text1"/>
          <w:lang w:val="es-ES"/>
        </w:rPr>
        <w:t xml:space="preserve"> como los elementos de </w:t>
      </w:r>
      <w:r w:rsidR="009B2E83" w:rsidRPr="00075E00">
        <w:rPr>
          <w:rFonts w:ascii="Calibri" w:hAnsi="Calibri" w:cstheme="minorHAnsi"/>
          <w:noProof/>
          <w:color w:val="000000" w:themeColor="text1"/>
          <w:lang w:val="es-ES"/>
        </w:rPr>
        <w:t>prevención</w:t>
      </w:r>
      <w:r w:rsidRPr="00075E00">
        <w:rPr>
          <w:rFonts w:ascii="Calibri" w:hAnsi="Calibri" w:cstheme="minorHAnsi"/>
          <w:noProof/>
          <w:color w:val="000000" w:themeColor="text1"/>
          <w:lang w:val="es-ES"/>
        </w:rPr>
        <w:t xml:space="preserve"> y combate de la trata infantil y el abuso sexual contra </w:t>
      </w:r>
      <w:r w:rsidR="009B2E83" w:rsidRPr="00075E00">
        <w:rPr>
          <w:rFonts w:ascii="Calibri" w:hAnsi="Calibri" w:cstheme="minorHAnsi"/>
          <w:noProof/>
          <w:color w:val="000000" w:themeColor="text1"/>
          <w:lang w:val="es-ES"/>
        </w:rPr>
        <w:t>NNA</w:t>
      </w:r>
      <w:r w:rsidRPr="00075E00">
        <w:rPr>
          <w:rFonts w:ascii="Calibri" w:hAnsi="Calibri" w:cstheme="minorHAnsi"/>
          <w:noProof/>
          <w:color w:val="000000" w:themeColor="text1"/>
          <w:lang w:val="es-ES"/>
        </w:rPr>
        <w:t xml:space="preserve">. </w:t>
      </w:r>
    </w:p>
    <w:p w14:paraId="7104CFE0" w14:textId="77777777" w:rsidR="00ED4D67" w:rsidRPr="00075E00" w:rsidRDefault="00ED4D67">
      <w:pPr>
        <w:spacing w:after="0" w:line="240" w:lineRule="auto"/>
        <w:jc w:val="both"/>
        <w:rPr>
          <w:rFonts w:ascii="Calibri" w:hAnsi="Calibri"/>
          <w:noProof/>
          <w:color w:val="000000" w:themeColor="text1"/>
          <w:lang w:val="es-ES"/>
        </w:rPr>
      </w:pPr>
    </w:p>
    <w:sectPr w:rsidR="00ED4D67" w:rsidRPr="00075E00" w:rsidSect="0029759B">
      <w:headerReference w:type="default" r:id="rId9"/>
      <w:footerReference w:type="even" r:id="rId10"/>
      <w:footerReference w:type="default" r:id="rId11"/>
      <w:pgSz w:w="12240" w:h="15840"/>
      <w:pgMar w:top="2127" w:right="1701" w:bottom="1417" w:left="1701" w:header="708" w:footer="54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C244A1" w14:textId="77777777" w:rsidR="0045464B" w:rsidRDefault="0045464B" w:rsidP="00AA6EEA">
      <w:pPr>
        <w:spacing w:after="0" w:line="240" w:lineRule="auto"/>
      </w:pPr>
      <w:r>
        <w:separator/>
      </w:r>
    </w:p>
  </w:endnote>
  <w:endnote w:type="continuationSeparator" w:id="0">
    <w:p w14:paraId="3C0C166E" w14:textId="77777777" w:rsidR="0045464B" w:rsidRDefault="0045464B" w:rsidP="00AA6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OpenSymbol">
    <w:altName w:val="MT Extra"/>
    <w:charset w:val="00"/>
    <w:family w:val="auto"/>
    <w:pitch w:val="variable"/>
    <w:sig w:usb0="800000AF" w:usb1="1001ECEA"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6F2785" w14:textId="77777777" w:rsidR="00DF4C53" w:rsidRDefault="00DF4C53" w:rsidP="007B2133">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C0A6FC8" w14:textId="77777777" w:rsidR="00DF4C53" w:rsidRDefault="00DF4C53" w:rsidP="00DF4C53">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4BE752" w14:textId="77777777" w:rsidR="00DF4C53" w:rsidRDefault="00DF4C53" w:rsidP="007B2133">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305EC">
      <w:rPr>
        <w:rStyle w:val="Nmerodepgina"/>
        <w:noProof/>
      </w:rPr>
      <w:t>1</w:t>
    </w:r>
    <w:r>
      <w:rPr>
        <w:rStyle w:val="Nmerodepgina"/>
      </w:rPr>
      <w:fldChar w:fldCharType="end"/>
    </w:r>
  </w:p>
  <w:p w14:paraId="0A7FE374" w14:textId="19CF96F2" w:rsidR="00CD76AC" w:rsidRDefault="0045464B" w:rsidP="00DF4C53">
    <w:pPr>
      <w:pStyle w:val="Piedepgina"/>
      <w:ind w:right="360"/>
    </w:pPr>
    <w:sdt>
      <w:sdtPr>
        <w:rPr>
          <w:sz w:val="16"/>
        </w:rPr>
        <w:id w:val="586119329"/>
        <w:docPartObj>
          <w:docPartGallery w:val="Page Numbers (Bottom of Page)"/>
          <w:docPartUnique/>
        </w:docPartObj>
      </w:sdtPr>
      <w:sdtEndPr/>
      <w:sdtContent>
        <w:r w:rsidR="00CD76AC">
          <w:rPr>
            <w:sz w:val="16"/>
          </w:rPr>
          <w:t xml:space="preserve"> </w:t>
        </w:r>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A276E7" w14:textId="77777777" w:rsidR="0045464B" w:rsidRDefault="0045464B" w:rsidP="00AA6EEA">
      <w:pPr>
        <w:spacing w:after="0" w:line="240" w:lineRule="auto"/>
      </w:pPr>
      <w:r>
        <w:separator/>
      </w:r>
    </w:p>
  </w:footnote>
  <w:footnote w:type="continuationSeparator" w:id="0">
    <w:p w14:paraId="41F79486" w14:textId="77777777" w:rsidR="0045464B" w:rsidRDefault="0045464B" w:rsidP="00AA6EEA">
      <w:pPr>
        <w:spacing w:after="0" w:line="240" w:lineRule="auto"/>
      </w:pPr>
      <w:r>
        <w:continuationSeparator/>
      </w:r>
    </w:p>
  </w:footnote>
  <w:footnote w:id="1">
    <w:p w14:paraId="7FAD48CD" w14:textId="703C4353" w:rsidR="00CD76AC" w:rsidRPr="00A614B0" w:rsidRDefault="00CD76AC" w:rsidP="00A614B0">
      <w:pPr>
        <w:pStyle w:val="Textonotapie"/>
        <w:spacing w:after="0" w:line="240" w:lineRule="auto"/>
        <w:jc w:val="both"/>
        <w:rPr>
          <w:sz w:val="18"/>
          <w:szCs w:val="18"/>
          <w:lang w:val="en-US"/>
        </w:rPr>
      </w:pPr>
      <w:r w:rsidRPr="00A614B0">
        <w:rPr>
          <w:rStyle w:val="Refdenotaalpie"/>
          <w:sz w:val="18"/>
          <w:szCs w:val="18"/>
        </w:rPr>
        <w:footnoteRef/>
      </w:r>
      <w:r w:rsidRPr="00A614B0">
        <w:rPr>
          <w:sz w:val="18"/>
          <w:szCs w:val="18"/>
        </w:rPr>
        <w:t xml:space="preserve"> </w:t>
      </w:r>
      <w:r w:rsidRPr="00A614B0">
        <w:rPr>
          <w:sz w:val="18"/>
          <w:szCs w:val="18"/>
          <w:lang w:val="es-EC"/>
        </w:rPr>
        <w:t>A nivel nacional, se conformó un Mecanismo de Monitoreo y Alerta Temprana de Seguridad Fronteriza con Colombia, con personal militar y policial, para registrar eventos perturbadores a la seguridad y orden público que puedan estar r</w:t>
      </w:r>
      <w:r>
        <w:rPr>
          <w:sz w:val="18"/>
          <w:szCs w:val="18"/>
          <w:lang w:val="es-EC"/>
        </w:rPr>
        <w:t>elacionados con el posconflicto</w:t>
      </w:r>
      <w:r w:rsidRPr="00A614B0">
        <w:rPr>
          <w:sz w:val="18"/>
          <w:szCs w:val="18"/>
          <w:lang w:val="es-EC"/>
        </w:rPr>
        <w:t>. Se realiz</w:t>
      </w:r>
      <w:r>
        <w:rPr>
          <w:sz w:val="18"/>
          <w:szCs w:val="18"/>
          <w:lang w:val="es-EC"/>
        </w:rPr>
        <w:t>an operativos conjuntos con la Policía y Fuerzas Armadas de C</w:t>
      </w:r>
      <w:r w:rsidRPr="00A614B0">
        <w:rPr>
          <w:sz w:val="18"/>
          <w:szCs w:val="18"/>
          <w:lang w:val="es-EC"/>
        </w:rPr>
        <w:t>olombia y no se tiene evidencia de NNA ecuatorianos en grupos paramilitares o armados en la frontera. Esta información fue contrastada con organismos internacionales que se encuentran en la frontera como ACNUR Y OIM.</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79FA2E" w14:textId="3D223279" w:rsidR="00CD76AC" w:rsidRDefault="00CD76AC" w:rsidP="00A8090B">
    <w:pPr>
      <w:pStyle w:val="Encabezado"/>
      <w:jc w:val="center"/>
    </w:pPr>
    <w:r>
      <w:rPr>
        <w:noProof/>
        <w:lang w:val="es-ES_tradnl" w:eastAsia="es-ES_tradnl"/>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8Num1"/>
    <w:lvl w:ilvl="0">
      <w:start w:val="1"/>
      <w:numFmt w:val="bullet"/>
      <w:lvlText w:val=""/>
      <w:lvlJc w:val="left"/>
      <w:pPr>
        <w:tabs>
          <w:tab w:val="num" w:pos="0"/>
        </w:tabs>
        <w:ind w:left="720" w:hanging="360"/>
      </w:pPr>
      <w:rPr>
        <w:rFonts w:ascii="Symbol" w:hAnsi="Symbol" w:cs="OpenSymbol"/>
      </w:rPr>
    </w:lvl>
    <w:lvl w:ilvl="1">
      <w:start w:val="1"/>
      <w:numFmt w:val="bullet"/>
      <w:lvlText w:val="◦"/>
      <w:lvlJc w:val="left"/>
      <w:pPr>
        <w:tabs>
          <w:tab w:val="num" w:pos="0"/>
        </w:tabs>
        <w:ind w:left="1080" w:hanging="360"/>
      </w:pPr>
      <w:rPr>
        <w:rFonts w:ascii="OpenSymbol" w:hAnsi="OpenSymbol" w:cs="OpenSymbol"/>
      </w:rPr>
    </w:lvl>
    <w:lvl w:ilvl="2">
      <w:start w:val="1"/>
      <w:numFmt w:val="bullet"/>
      <w:lvlText w:val="▪"/>
      <w:lvlJc w:val="left"/>
      <w:pPr>
        <w:tabs>
          <w:tab w:val="num" w:pos="0"/>
        </w:tabs>
        <w:ind w:left="1440" w:hanging="360"/>
      </w:pPr>
      <w:rPr>
        <w:rFonts w:ascii="OpenSymbol" w:hAnsi="OpenSymbol" w:cs="OpenSymbol"/>
      </w:rPr>
    </w:lvl>
    <w:lvl w:ilvl="3">
      <w:start w:val="1"/>
      <w:numFmt w:val="bullet"/>
      <w:lvlText w:val=""/>
      <w:lvlJc w:val="left"/>
      <w:pPr>
        <w:tabs>
          <w:tab w:val="num" w:pos="0"/>
        </w:tabs>
        <w:ind w:left="1800" w:hanging="360"/>
      </w:pPr>
      <w:rPr>
        <w:rFonts w:ascii="Symbol" w:hAnsi="Symbol" w:cs="OpenSymbol"/>
      </w:rPr>
    </w:lvl>
    <w:lvl w:ilvl="4">
      <w:start w:val="1"/>
      <w:numFmt w:val="bullet"/>
      <w:lvlText w:val="◦"/>
      <w:lvlJc w:val="left"/>
      <w:pPr>
        <w:tabs>
          <w:tab w:val="num" w:pos="0"/>
        </w:tabs>
        <w:ind w:left="2160" w:hanging="360"/>
      </w:pPr>
      <w:rPr>
        <w:rFonts w:ascii="OpenSymbol" w:hAnsi="OpenSymbol" w:cs="OpenSymbol"/>
      </w:rPr>
    </w:lvl>
    <w:lvl w:ilvl="5">
      <w:start w:val="1"/>
      <w:numFmt w:val="bullet"/>
      <w:lvlText w:val="▪"/>
      <w:lvlJc w:val="left"/>
      <w:pPr>
        <w:tabs>
          <w:tab w:val="num" w:pos="0"/>
        </w:tabs>
        <w:ind w:left="2520" w:hanging="360"/>
      </w:pPr>
      <w:rPr>
        <w:rFonts w:ascii="OpenSymbol" w:hAnsi="OpenSymbol" w:cs="OpenSymbol"/>
      </w:rPr>
    </w:lvl>
    <w:lvl w:ilvl="6">
      <w:start w:val="1"/>
      <w:numFmt w:val="bullet"/>
      <w:lvlText w:val=""/>
      <w:lvlJc w:val="left"/>
      <w:pPr>
        <w:tabs>
          <w:tab w:val="num" w:pos="0"/>
        </w:tabs>
        <w:ind w:left="2880" w:hanging="360"/>
      </w:pPr>
      <w:rPr>
        <w:rFonts w:ascii="Symbol" w:hAnsi="Symbol" w:cs="OpenSymbol"/>
      </w:rPr>
    </w:lvl>
    <w:lvl w:ilvl="7">
      <w:start w:val="1"/>
      <w:numFmt w:val="bullet"/>
      <w:lvlText w:val="◦"/>
      <w:lvlJc w:val="left"/>
      <w:pPr>
        <w:tabs>
          <w:tab w:val="num" w:pos="0"/>
        </w:tabs>
        <w:ind w:left="3240" w:hanging="360"/>
      </w:pPr>
      <w:rPr>
        <w:rFonts w:ascii="OpenSymbol" w:hAnsi="OpenSymbol" w:cs="OpenSymbol"/>
      </w:rPr>
    </w:lvl>
    <w:lvl w:ilvl="8">
      <w:start w:val="1"/>
      <w:numFmt w:val="bullet"/>
      <w:lvlText w:val="▪"/>
      <w:lvlJc w:val="left"/>
      <w:pPr>
        <w:tabs>
          <w:tab w:val="num" w:pos="0"/>
        </w:tabs>
        <w:ind w:left="3600" w:hanging="360"/>
      </w:pPr>
      <w:rPr>
        <w:rFonts w:ascii="OpenSymbol" w:hAnsi="OpenSymbol" w:cs="OpenSymbol"/>
      </w:rPr>
    </w:lvl>
  </w:abstractNum>
  <w:abstractNum w:abstractNumId="1">
    <w:nsid w:val="00000005"/>
    <w:multiLevelType w:val="multilevel"/>
    <w:tmpl w:val="00000005"/>
    <w:name w:val="WWNum7"/>
    <w:lvl w:ilvl="0">
      <w:start w:val="1"/>
      <w:numFmt w:val="bullet"/>
      <w:lvlText w:val=""/>
      <w:lvlJc w:val="left"/>
      <w:pPr>
        <w:tabs>
          <w:tab w:val="num" w:pos="0"/>
        </w:tabs>
        <w:ind w:left="1068" w:hanging="360"/>
      </w:pPr>
      <w:rPr>
        <w:rFonts w:ascii="Symbol" w:hAnsi="Symbol"/>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rPr>
    </w:lvl>
  </w:abstractNum>
  <w:abstractNum w:abstractNumId="2">
    <w:nsid w:val="00000006"/>
    <w:multiLevelType w:val="multilevel"/>
    <w:tmpl w:val="00000006"/>
    <w:name w:val="WWNum8"/>
    <w:lvl w:ilvl="0">
      <w:start w:val="1"/>
      <w:numFmt w:val="bullet"/>
      <w:lvlText w:val=""/>
      <w:lvlJc w:val="left"/>
      <w:pPr>
        <w:tabs>
          <w:tab w:val="num" w:pos="0"/>
        </w:tabs>
        <w:ind w:left="1068" w:hanging="360"/>
      </w:pPr>
      <w:rPr>
        <w:rFonts w:ascii="Symbol" w:hAnsi="Symbol"/>
      </w:rPr>
    </w:lvl>
    <w:lvl w:ilvl="1">
      <w:start w:val="1"/>
      <w:numFmt w:val="bullet"/>
      <w:lvlText w:val="o"/>
      <w:lvlJc w:val="left"/>
      <w:pPr>
        <w:tabs>
          <w:tab w:val="num" w:pos="0"/>
        </w:tabs>
        <w:ind w:left="1788" w:hanging="360"/>
      </w:pPr>
      <w:rPr>
        <w:rFonts w:ascii="Courier New" w:hAnsi="Courier New" w:cs="Courier New"/>
      </w:rPr>
    </w:lvl>
    <w:lvl w:ilvl="2">
      <w:start w:val="1"/>
      <w:numFmt w:val="bullet"/>
      <w:lvlText w:val=""/>
      <w:lvlJc w:val="left"/>
      <w:pPr>
        <w:tabs>
          <w:tab w:val="num" w:pos="0"/>
        </w:tabs>
        <w:ind w:left="2508" w:hanging="360"/>
      </w:pPr>
      <w:rPr>
        <w:rFonts w:ascii="Wingdings" w:hAnsi="Wingdings"/>
      </w:rPr>
    </w:lvl>
    <w:lvl w:ilvl="3">
      <w:start w:val="1"/>
      <w:numFmt w:val="bullet"/>
      <w:lvlText w:val=""/>
      <w:lvlJc w:val="left"/>
      <w:pPr>
        <w:tabs>
          <w:tab w:val="num" w:pos="0"/>
        </w:tabs>
        <w:ind w:left="3228" w:hanging="360"/>
      </w:pPr>
      <w:rPr>
        <w:rFonts w:ascii="Symbol" w:hAnsi="Symbol"/>
      </w:rPr>
    </w:lvl>
    <w:lvl w:ilvl="4">
      <w:start w:val="1"/>
      <w:numFmt w:val="bullet"/>
      <w:lvlText w:val="o"/>
      <w:lvlJc w:val="left"/>
      <w:pPr>
        <w:tabs>
          <w:tab w:val="num" w:pos="0"/>
        </w:tabs>
        <w:ind w:left="3948" w:hanging="360"/>
      </w:pPr>
      <w:rPr>
        <w:rFonts w:ascii="Courier New" w:hAnsi="Courier New" w:cs="Courier New"/>
      </w:rPr>
    </w:lvl>
    <w:lvl w:ilvl="5">
      <w:start w:val="1"/>
      <w:numFmt w:val="bullet"/>
      <w:lvlText w:val=""/>
      <w:lvlJc w:val="left"/>
      <w:pPr>
        <w:tabs>
          <w:tab w:val="num" w:pos="0"/>
        </w:tabs>
        <w:ind w:left="4668" w:hanging="360"/>
      </w:pPr>
      <w:rPr>
        <w:rFonts w:ascii="Wingdings" w:hAnsi="Wingdings"/>
      </w:rPr>
    </w:lvl>
    <w:lvl w:ilvl="6">
      <w:start w:val="1"/>
      <w:numFmt w:val="bullet"/>
      <w:lvlText w:val=""/>
      <w:lvlJc w:val="left"/>
      <w:pPr>
        <w:tabs>
          <w:tab w:val="num" w:pos="0"/>
        </w:tabs>
        <w:ind w:left="5388" w:hanging="360"/>
      </w:pPr>
      <w:rPr>
        <w:rFonts w:ascii="Symbol" w:hAnsi="Symbol"/>
      </w:rPr>
    </w:lvl>
    <w:lvl w:ilvl="7">
      <w:start w:val="1"/>
      <w:numFmt w:val="bullet"/>
      <w:lvlText w:val="o"/>
      <w:lvlJc w:val="left"/>
      <w:pPr>
        <w:tabs>
          <w:tab w:val="num" w:pos="0"/>
        </w:tabs>
        <w:ind w:left="6108" w:hanging="360"/>
      </w:pPr>
      <w:rPr>
        <w:rFonts w:ascii="Courier New" w:hAnsi="Courier New" w:cs="Courier New"/>
      </w:rPr>
    </w:lvl>
    <w:lvl w:ilvl="8">
      <w:start w:val="1"/>
      <w:numFmt w:val="bullet"/>
      <w:lvlText w:val=""/>
      <w:lvlJc w:val="left"/>
      <w:pPr>
        <w:tabs>
          <w:tab w:val="num" w:pos="0"/>
        </w:tabs>
        <w:ind w:left="6828" w:hanging="360"/>
      </w:pPr>
      <w:rPr>
        <w:rFonts w:ascii="Wingdings" w:hAnsi="Wingdings"/>
      </w:rPr>
    </w:lvl>
  </w:abstractNum>
  <w:abstractNum w:abstractNumId="3">
    <w:nsid w:val="00543CC2"/>
    <w:multiLevelType w:val="hybridMultilevel"/>
    <w:tmpl w:val="22347D9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nsid w:val="1416516E"/>
    <w:multiLevelType w:val="hybridMultilevel"/>
    <w:tmpl w:val="52F4E5B2"/>
    <w:lvl w:ilvl="0" w:tplc="BFFE1F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0E711D9"/>
    <w:multiLevelType w:val="hybridMultilevel"/>
    <w:tmpl w:val="86C01D5C"/>
    <w:lvl w:ilvl="0" w:tplc="6324B0EA">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EB53E56"/>
    <w:multiLevelType w:val="multilevel"/>
    <w:tmpl w:val="527028B0"/>
    <w:styleLink w:val="WWNum9"/>
    <w:lvl w:ilvl="0">
      <w:numFmt w:val="bullet"/>
      <w:lvlText w:val="●"/>
      <w:lvlJc w:val="left"/>
      <w:pPr>
        <w:ind w:left="720" w:hanging="360"/>
      </w:pPr>
      <w:rPr>
        <w:sz w:val="16"/>
        <w:u w:val="none"/>
      </w:rPr>
    </w:lvl>
    <w:lvl w:ilvl="1">
      <w:numFmt w:val="bullet"/>
      <w:lvlText w:val="○"/>
      <w:lvlJc w:val="left"/>
      <w:pPr>
        <w:ind w:left="1440" w:hanging="360"/>
      </w:pPr>
      <w:rPr>
        <w:u w:val="none"/>
      </w:rPr>
    </w:lvl>
    <w:lvl w:ilvl="2">
      <w:numFmt w:val="bullet"/>
      <w:lvlText w:val="■"/>
      <w:lvlJc w:val="left"/>
      <w:pPr>
        <w:ind w:left="2160" w:hanging="360"/>
      </w:pPr>
      <w:rPr>
        <w:u w:val="none"/>
      </w:rPr>
    </w:lvl>
    <w:lvl w:ilvl="3">
      <w:numFmt w:val="bullet"/>
      <w:lvlText w:val="●"/>
      <w:lvlJc w:val="left"/>
      <w:pPr>
        <w:ind w:left="2880" w:hanging="360"/>
      </w:pPr>
      <w:rPr>
        <w:u w:val="none"/>
      </w:rPr>
    </w:lvl>
    <w:lvl w:ilvl="4">
      <w:numFmt w:val="bullet"/>
      <w:lvlText w:val="○"/>
      <w:lvlJc w:val="left"/>
      <w:pPr>
        <w:ind w:left="3600" w:hanging="360"/>
      </w:pPr>
      <w:rPr>
        <w:u w:val="none"/>
      </w:rPr>
    </w:lvl>
    <w:lvl w:ilvl="5">
      <w:numFmt w:val="bullet"/>
      <w:lvlText w:val="■"/>
      <w:lvlJc w:val="left"/>
      <w:pPr>
        <w:ind w:left="4320" w:hanging="360"/>
      </w:pPr>
      <w:rPr>
        <w:u w:val="none"/>
      </w:rPr>
    </w:lvl>
    <w:lvl w:ilvl="6">
      <w:numFmt w:val="bullet"/>
      <w:lvlText w:val="●"/>
      <w:lvlJc w:val="left"/>
      <w:pPr>
        <w:ind w:left="5040" w:hanging="360"/>
      </w:pPr>
      <w:rPr>
        <w:u w:val="none"/>
      </w:rPr>
    </w:lvl>
    <w:lvl w:ilvl="7">
      <w:numFmt w:val="bullet"/>
      <w:lvlText w:val="○"/>
      <w:lvlJc w:val="left"/>
      <w:pPr>
        <w:ind w:left="5760" w:hanging="360"/>
      </w:pPr>
      <w:rPr>
        <w:u w:val="none"/>
      </w:rPr>
    </w:lvl>
    <w:lvl w:ilvl="8">
      <w:numFmt w:val="bullet"/>
      <w:lvlText w:val="■"/>
      <w:lvlJc w:val="left"/>
      <w:pPr>
        <w:ind w:left="6480" w:hanging="360"/>
      </w:pPr>
      <w:rPr>
        <w:u w:val="none"/>
      </w:rPr>
    </w:lvl>
  </w:abstractNum>
  <w:abstractNum w:abstractNumId="7">
    <w:nsid w:val="5F9B7541"/>
    <w:multiLevelType w:val="hybridMultilevel"/>
    <w:tmpl w:val="41D0192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nsid w:val="6BB8485A"/>
    <w:multiLevelType w:val="hybridMultilevel"/>
    <w:tmpl w:val="99D02844"/>
    <w:lvl w:ilvl="0" w:tplc="A02645D8">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A2395E"/>
    <w:multiLevelType w:val="hybridMultilevel"/>
    <w:tmpl w:val="3060197E"/>
    <w:lvl w:ilvl="0" w:tplc="300A000F">
      <w:start w:val="1"/>
      <w:numFmt w:val="decimal"/>
      <w:lvlText w:val="%1."/>
      <w:lvlJc w:val="left"/>
      <w:pPr>
        <w:ind w:left="720" w:hanging="360"/>
      </w:pPr>
      <w:rPr>
        <w:rFonts w:hint="default"/>
      </w:rPr>
    </w:lvl>
    <w:lvl w:ilvl="1" w:tplc="0B10E300">
      <w:numFmt w:val="bullet"/>
      <w:lvlText w:val="-"/>
      <w:lvlJc w:val="left"/>
      <w:pPr>
        <w:ind w:left="1440" w:hanging="360"/>
      </w:pPr>
      <w:rPr>
        <w:rFonts w:ascii="Calibri" w:eastAsiaTheme="minorHAnsi" w:hAnsi="Calibri" w:cs="Calibri" w:hint="default"/>
      </w:r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abstractNumId w:val="6"/>
  </w:num>
  <w:num w:numId="2">
    <w:abstractNumId w:val="3"/>
  </w:num>
  <w:num w:numId="3">
    <w:abstractNumId w:val="9"/>
  </w:num>
  <w:num w:numId="4">
    <w:abstractNumId w:val="5"/>
  </w:num>
  <w:num w:numId="5">
    <w:abstractNumId w:val="4"/>
  </w:num>
  <w:num w:numId="6">
    <w:abstractNumId w:val="8"/>
  </w:num>
  <w:num w:numId="7">
    <w:abstractNumId w:val="7"/>
  </w:num>
  <w:num w:numId="8">
    <w:abstractNumId w:val="1"/>
  </w:num>
  <w:num w:numId="9">
    <w:abstractNumId w:val="2"/>
  </w:num>
  <w:num w:numId="10">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2"/>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935"/>
    <w:rsid w:val="00001700"/>
    <w:rsid w:val="000017BA"/>
    <w:rsid w:val="00025377"/>
    <w:rsid w:val="00037201"/>
    <w:rsid w:val="00051C80"/>
    <w:rsid w:val="00053631"/>
    <w:rsid w:val="0006059E"/>
    <w:rsid w:val="00073DE8"/>
    <w:rsid w:val="000741CC"/>
    <w:rsid w:val="00075E00"/>
    <w:rsid w:val="00087A88"/>
    <w:rsid w:val="00092334"/>
    <w:rsid w:val="000B2BC6"/>
    <w:rsid w:val="000B3292"/>
    <w:rsid w:val="000C06F1"/>
    <w:rsid w:val="000C3473"/>
    <w:rsid w:val="000D293B"/>
    <w:rsid w:val="000E2537"/>
    <w:rsid w:val="000F266B"/>
    <w:rsid w:val="000F3477"/>
    <w:rsid w:val="001166A0"/>
    <w:rsid w:val="001207A2"/>
    <w:rsid w:val="001329DC"/>
    <w:rsid w:val="001349BB"/>
    <w:rsid w:val="00137071"/>
    <w:rsid w:val="0014560C"/>
    <w:rsid w:val="00151F07"/>
    <w:rsid w:val="00152AEF"/>
    <w:rsid w:val="00153306"/>
    <w:rsid w:val="00165CBD"/>
    <w:rsid w:val="00167F31"/>
    <w:rsid w:val="00177DA7"/>
    <w:rsid w:val="00184417"/>
    <w:rsid w:val="00185253"/>
    <w:rsid w:val="001935C6"/>
    <w:rsid w:val="001B4AFB"/>
    <w:rsid w:val="001B6E83"/>
    <w:rsid w:val="001D1917"/>
    <w:rsid w:val="001E5DB0"/>
    <w:rsid w:val="001F44FE"/>
    <w:rsid w:val="002015E4"/>
    <w:rsid w:val="0020527D"/>
    <w:rsid w:val="00214E47"/>
    <w:rsid w:val="00216AF5"/>
    <w:rsid w:val="00222125"/>
    <w:rsid w:val="00225092"/>
    <w:rsid w:val="002361E4"/>
    <w:rsid w:val="002434FB"/>
    <w:rsid w:val="002630B0"/>
    <w:rsid w:val="00273078"/>
    <w:rsid w:val="00275B4B"/>
    <w:rsid w:val="00283330"/>
    <w:rsid w:val="002841B7"/>
    <w:rsid w:val="00292199"/>
    <w:rsid w:val="0029759B"/>
    <w:rsid w:val="002A3DB6"/>
    <w:rsid w:val="002D4145"/>
    <w:rsid w:val="002D7F95"/>
    <w:rsid w:val="002E474F"/>
    <w:rsid w:val="002E4AB4"/>
    <w:rsid w:val="002F0E72"/>
    <w:rsid w:val="003035B4"/>
    <w:rsid w:val="00312A86"/>
    <w:rsid w:val="003141C7"/>
    <w:rsid w:val="00314596"/>
    <w:rsid w:val="00355D52"/>
    <w:rsid w:val="00373D7E"/>
    <w:rsid w:val="00386676"/>
    <w:rsid w:val="0039214E"/>
    <w:rsid w:val="00394DDD"/>
    <w:rsid w:val="003A0172"/>
    <w:rsid w:val="003A505B"/>
    <w:rsid w:val="003A60BB"/>
    <w:rsid w:val="003C12EA"/>
    <w:rsid w:val="003C4A0A"/>
    <w:rsid w:val="003C6651"/>
    <w:rsid w:val="003E5F99"/>
    <w:rsid w:val="003E7590"/>
    <w:rsid w:val="003E7629"/>
    <w:rsid w:val="003F06DA"/>
    <w:rsid w:val="003F260F"/>
    <w:rsid w:val="003F5D7F"/>
    <w:rsid w:val="00401359"/>
    <w:rsid w:val="00402B6E"/>
    <w:rsid w:val="00404AD8"/>
    <w:rsid w:val="00405796"/>
    <w:rsid w:val="00406EB6"/>
    <w:rsid w:val="004117D0"/>
    <w:rsid w:val="00411F03"/>
    <w:rsid w:val="0042170C"/>
    <w:rsid w:val="004265F3"/>
    <w:rsid w:val="00426C48"/>
    <w:rsid w:val="00432919"/>
    <w:rsid w:val="0045464B"/>
    <w:rsid w:val="004605FB"/>
    <w:rsid w:val="00462EDF"/>
    <w:rsid w:val="004667E3"/>
    <w:rsid w:val="0047279D"/>
    <w:rsid w:val="004769F6"/>
    <w:rsid w:val="004816DE"/>
    <w:rsid w:val="004847E3"/>
    <w:rsid w:val="00493D08"/>
    <w:rsid w:val="004A6A2F"/>
    <w:rsid w:val="004B0097"/>
    <w:rsid w:val="004B0753"/>
    <w:rsid w:val="004B2765"/>
    <w:rsid w:val="004C350D"/>
    <w:rsid w:val="004C53A8"/>
    <w:rsid w:val="004C66DE"/>
    <w:rsid w:val="004D75D9"/>
    <w:rsid w:val="004F0EBF"/>
    <w:rsid w:val="004F10B6"/>
    <w:rsid w:val="0050568E"/>
    <w:rsid w:val="0050773A"/>
    <w:rsid w:val="0050778C"/>
    <w:rsid w:val="00510AAD"/>
    <w:rsid w:val="00523353"/>
    <w:rsid w:val="005320AE"/>
    <w:rsid w:val="00534FA0"/>
    <w:rsid w:val="00542BBA"/>
    <w:rsid w:val="00544B8C"/>
    <w:rsid w:val="00556B36"/>
    <w:rsid w:val="0055759D"/>
    <w:rsid w:val="0057318E"/>
    <w:rsid w:val="00573809"/>
    <w:rsid w:val="00575DFE"/>
    <w:rsid w:val="005819C7"/>
    <w:rsid w:val="00583D67"/>
    <w:rsid w:val="00592813"/>
    <w:rsid w:val="00592EA2"/>
    <w:rsid w:val="0059577F"/>
    <w:rsid w:val="0059658F"/>
    <w:rsid w:val="005A1AD0"/>
    <w:rsid w:val="005B6602"/>
    <w:rsid w:val="005C5F8A"/>
    <w:rsid w:val="005D5361"/>
    <w:rsid w:val="005D6CD2"/>
    <w:rsid w:val="00605056"/>
    <w:rsid w:val="00611D34"/>
    <w:rsid w:val="00612DB9"/>
    <w:rsid w:val="006214BB"/>
    <w:rsid w:val="006247C6"/>
    <w:rsid w:val="006317B2"/>
    <w:rsid w:val="00636198"/>
    <w:rsid w:val="0064153D"/>
    <w:rsid w:val="00642AFB"/>
    <w:rsid w:val="0064517F"/>
    <w:rsid w:val="006525E8"/>
    <w:rsid w:val="00657C97"/>
    <w:rsid w:val="00660304"/>
    <w:rsid w:val="0066153A"/>
    <w:rsid w:val="00661B95"/>
    <w:rsid w:val="00696B7D"/>
    <w:rsid w:val="006B0554"/>
    <w:rsid w:val="006C1F7A"/>
    <w:rsid w:val="006C2091"/>
    <w:rsid w:val="006D0FCC"/>
    <w:rsid w:val="006D4671"/>
    <w:rsid w:val="006E6BD4"/>
    <w:rsid w:val="006F2177"/>
    <w:rsid w:val="006F3C8F"/>
    <w:rsid w:val="006F4234"/>
    <w:rsid w:val="006F5C5D"/>
    <w:rsid w:val="006F6B89"/>
    <w:rsid w:val="00700458"/>
    <w:rsid w:val="00703CC4"/>
    <w:rsid w:val="00731034"/>
    <w:rsid w:val="00736687"/>
    <w:rsid w:val="00740549"/>
    <w:rsid w:val="00741D49"/>
    <w:rsid w:val="007670C5"/>
    <w:rsid w:val="00774854"/>
    <w:rsid w:val="00776964"/>
    <w:rsid w:val="00777C82"/>
    <w:rsid w:val="0078013C"/>
    <w:rsid w:val="00780D6E"/>
    <w:rsid w:val="007871A0"/>
    <w:rsid w:val="00787C21"/>
    <w:rsid w:val="007A548D"/>
    <w:rsid w:val="007C4698"/>
    <w:rsid w:val="007D2728"/>
    <w:rsid w:val="007D4187"/>
    <w:rsid w:val="007E1250"/>
    <w:rsid w:val="007E6191"/>
    <w:rsid w:val="00802D57"/>
    <w:rsid w:val="008036D7"/>
    <w:rsid w:val="00810BBA"/>
    <w:rsid w:val="00813D19"/>
    <w:rsid w:val="00815DA7"/>
    <w:rsid w:val="00816CC3"/>
    <w:rsid w:val="008252DF"/>
    <w:rsid w:val="00831827"/>
    <w:rsid w:val="0083686E"/>
    <w:rsid w:val="00847621"/>
    <w:rsid w:val="00847DE8"/>
    <w:rsid w:val="00854E20"/>
    <w:rsid w:val="00864669"/>
    <w:rsid w:val="00865B56"/>
    <w:rsid w:val="00880D44"/>
    <w:rsid w:val="008A05A8"/>
    <w:rsid w:val="008B4FD1"/>
    <w:rsid w:val="008C59A2"/>
    <w:rsid w:val="009031C8"/>
    <w:rsid w:val="0091470F"/>
    <w:rsid w:val="00915260"/>
    <w:rsid w:val="009213F9"/>
    <w:rsid w:val="009268A4"/>
    <w:rsid w:val="0093698A"/>
    <w:rsid w:val="00937294"/>
    <w:rsid w:val="009407AA"/>
    <w:rsid w:val="00941B78"/>
    <w:rsid w:val="00945266"/>
    <w:rsid w:val="0095043D"/>
    <w:rsid w:val="009513F1"/>
    <w:rsid w:val="00955DDA"/>
    <w:rsid w:val="009655D9"/>
    <w:rsid w:val="00975822"/>
    <w:rsid w:val="00977CB2"/>
    <w:rsid w:val="009863F5"/>
    <w:rsid w:val="00991C6E"/>
    <w:rsid w:val="00993778"/>
    <w:rsid w:val="009A2A7D"/>
    <w:rsid w:val="009B2E83"/>
    <w:rsid w:val="009B55A5"/>
    <w:rsid w:val="009D6E30"/>
    <w:rsid w:val="009E417B"/>
    <w:rsid w:val="009E5BE9"/>
    <w:rsid w:val="009F2DCC"/>
    <w:rsid w:val="009F4C90"/>
    <w:rsid w:val="009F74E6"/>
    <w:rsid w:val="00A01E29"/>
    <w:rsid w:val="00A05728"/>
    <w:rsid w:val="00A0585B"/>
    <w:rsid w:val="00A16AD3"/>
    <w:rsid w:val="00A45733"/>
    <w:rsid w:val="00A45F92"/>
    <w:rsid w:val="00A46F63"/>
    <w:rsid w:val="00A50A7C"/>
    <w:rsid w:val="00A614B0"/>
    <w:rsid w:val="00A70CAD"/>
    <w:rsid w:val="00A71254"/>
    <w:rsid w:val="00A8090B"/>
    <w:rsid w:val="00A878B1"/>
    <w:rsid w:val="00A96EDC"/>
    <w:rsid w:val="00AA0695"/>
    <w:rsid w:val="00AA5708"/>
    <w:rsid w:val="00AA5BDB"/>
    <w:rsid w:val="00AA68DD"/>
    <w:rsid w:val="00AA6EEA"/>
    <w:rsid w:val="00AD2E7D"/>
    <w:rsid w:val="00AD7336"/>
    <w:rsid w:val="00AE0F03"/>
    <w:rsid w:val="00AE7FDD"/>
    <w:rsid w:val="00AF0CCE"/>
    <w:rsid w:val="00B05984"/>
    <w:rsid w:val="00B23C4A"/>
    <w:rsid w:val="00B27E21"/>
    <w:rsid w:val="00B305EC"/>
    <w:rsid w:val="00B439CF"/>
    <w:rsid w:val="00B471F9"/>
    <w:rsid w:val="00B53DE3"/>
    <w:rsid w:val="00B56902"/>
    <w:rsid w:val="00B626CB"/>
    <w:rsid w:val="00B65256"/>
    <w:rsid w:val="00B80F16"/>
    <w:rsid w:val="00B92AE2"/>
    <w:rsid w:val="00B94108"/>
    <w:rsid w:val="00B96052"/>
    <w:rsid w:val="00BA1473"/>
    <w:rsid w:val="00BA3037"/>
    <w:rsid w:val="00BB1F47"/>
    <w:rsid w:val="00BC4BAC"/>
    <w:rsid w:val="00BE1CEE"/>
    <w:rsid w:val="00BE1D08"/>
    <w:rsid w:val="00BE4B90"/>
    <w:rsid w:val="00BE73AA"/>
    <w:rsid w:val="00BF777C"/>
    <w:rsid w:val="00C05F54"/>
    <w:rsid w:val="00C07AF8"/>
    <w:rsid w:val="00C32472"/>
    <w:rsid w:val="00C35DBC"/>
    <w:rsid w:val="00C41F4F"/>
    <w:rsid w:val="00C50C4A"/>
    <w:rsid w:val="00C71CC0"/>
    <w:rsid w:val="00C90C01"/>
    <w:rsid w:val="00C939A3"/>
    <w:rsid w:val="00CA50D9"/>
    <w:rsid w:val="00CB31AC"/>
    <w:rsid w:val="00CC0D5A"/>
    <w:rsid w:val="00CC36EE"/>
    <w:rsid w:val="00CC37F2"/>
    <w:rsid w:val="00CD76AC"/>
    <w:rsid w:val="00CD7F16"/>
    <w:rsid w:val="00CE2A1F"/>
    <w:rsid w:val="00CE6021"/>
    <w:rsid w:val="00CE72CC"/>
    <w:rsid w:val="00CF79EC"/>
    <w:rsid w:val="00D00E31"/>
    <w:rsid w:val="00D0285D"/>
    <w:rsid w:val="00D14935"/>
    <w:rsid w:val="00D14FC5"/>
    <w:rsid w:val="00D2428E"/>
    <w:rsid w:val="00D62E81"/>
    <w:rsid w:val="00D635CA"/>
    <w:rsid w:val="00D65EE9"/>
    <w:rsid w:val="00D66CD1"/>
    <w:rsid w:val="00D74F0A"/>
    <w:rsid w:val="00DB6255"/>
    <w:rsid w:val="00DC4AA7"/>
    <w:rsid w:val="00DD210C"/>
    <w:rsid w:val="00DE398D"/>
    <w:rsid w:val="00DF2479"/>
    <w:rsid w:val="00DF4C53"/>
    <w:rsid w:val="00DF5A77"/>
    <w:rsid w:val="00E02428"/>
    <w:rsid w:val="00E0595A"/>
    <w:rsid w:val="00E11201"/>
    <w:rsid w:val="00E14621"/>
    <w:rsid w:val="00E204E7"/>
    <w:rsid w:val="00E20669"/>
    <w:rsid w:val="00E263B3"/>
    <w:rsid w:val="00E2788B"/>
    <w:rsid w:val="00E27FB3"/>
    <w:rsid w:val="00E41B3B"/>
    <w:rsid w:val="00E41BF4"/>
    <w:rsid w:val="00E452C4"/>
    <w:rsid w:val="00E55C9B"/>
    <w:rsid w:val="00E675A6"/>
    <w:rsid w:val="00E73673"/>
    <w:rsid w:val="00E73EFF"/>
    <w:rsid w:val="00E91CB9"/>
    <w:rsid w:val="00E96F30"/>
    <w:rsid w:val="00E97112"/>
    <w:rsid w:val="00EB59EC"/>
    <w:rsid w:val="00EC1BE7"/>
    <w:rsid w:val="00EC431F"/>
    <w:rsid w:val="00ED4D67"/>
    <w:rsid w:val="00EF4A61"/>
    <w:rsid w:val="00F028E0"/>
    <w:rsid w:val="00F06A68"/>
    <w:rsid w:val="00F10A4D"/>
    <w:rsid w:val="00F2450D"/>
    <w:rsid w:val="00F252E0"/>
    <w:rsid w:val="00F3002E"/>
    <w:rsid w:val="00F3750F"/>
    <w:rsid w:val="00F56780"/>
    <w:rsid w:val="00F657E8"/>
    <w:rsid w:val="00F716C9"/>
    <w:rsid w:val="00F736A0"/>
    <w:rsid w:val="00F96F3A"/>
    <w:rsid w:val="00FB03EE"/>
    <w:rsid w:val="00FB241B"/>
    <w:rsid w:val="00FC6CA8"/>
    <w:rsid w:val="00FD300E"/>
    <w:rsid w:val="00FD3A59"/>
    <w:rsid w:val="00FD680B"/>
    <w:rsid w:val="00FF3C0F"/>
  </w:rsids>
  <m:mathPr>
    <m:mathFont m:val="Cambria Math"/>
    <m:brkBin m:val="before"/>
    <m:brkBinSub m:val="--"/>
    <m:smallFrac m:val="0"/>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D97AE7"/>
  <w15:docId w15:val="{80082978-8C6A-471B-9EB8-002B2960F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C"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A3DB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Dot pt,No Spacing1,List Paragraph Char Char Char,Indicator Text,Numbered Para 1,Colorful List - Accent 11,Bullet 1,F5 List Paragraph,Bullet Points,List Paragraph1,Lista vistosa - Énfasis 11,TIT 2 IND,Párrafo de lista SUBCAPITULO,Texto"/>
    <w:basedOn w:val="Normal"/>
    <w:link w:val="PrrafodelistaCar"/>
    <w:uiPriority w:val="34"/>
    <w:qFormat/>
    <w:rsid w:val="00D14935"/>
    <w:pPr>
      <w:ind w:left="720"/>
      <w:contextualSpacing/>
    </w:pPr>
  </w:style>
  <w:style w:type="character" w:styleId="Refdenotaalpie">
    <w:name w:val="footnote reference"/>
    <w:uiPriority w:val="99"/>
    <w:rsid w:val="00AA6EEA"/>
    <w:rPr>
      <w:vertAlign w:val="superscript"/>
    </w:rPr>
  </w:style>
  <w:style w:type="paragraph" w:styleId="Textonotapie">
    <w:name w:val="footnote text"/>
    <w:basedOn w:val="Normal"/>
    <w:link w:val="TextonotapieCar"/>
    <w:uiPriority w:val="99"/>
    <w:rsid w:val="00AA6EEA"/>
    <w:pPr>
      <w:suppressAutoHyphens/>
    </w:pPr>
    <w:rPr>
      <w:rFonts w:ascii="Calibri" w:eastAsia="Calibri" w:hAnsi="Calibri" w:cs="Times New Roman"/>
      <w:sz w:val="20"/>
      <w:szCs w:val="20"/>
      <w:lang w:val="x-none" w:eastAsia="zh-CN"/>
    </w:rPr>
  </w:style>
  <w:style w:type="character" w:customStyle="1" w:styleId="TextonotapieCar">
    <w:name w:val="Texto nota pie Car"/>
    <w:basedOn w:val="Fuentedeprrafopredeter"/>
    <w:link w:val="Textonotapie"/>
    <w:uiPriority w:val="99"/>
    <w:rsid w:val="00AA6EEA"/>
    <w:rPr>
      <w:rFonts w:ascii="Calibri" w:eastAsia="Calibri" w:hAnsi="Calibri" w:cs="Times New Roman"/>
      <w:sz w:val="20"/>
      <w:szCs w:val="20"/>
      <w:lang w:val="x-none" w:eastAsia="zh-CN"/>
    </w:rPr>
  </w:style>
  <w:style w:type="paragraph" w:styleId="NormalWeb">
    <w:name w:val="Normal (Web)"/>
    <w:basedOn w:val="Normal"/>
    <w:uiPriority w:val="99"/>
    <w:unhideWhenUsed/>
    <w:rsid w:val="00813D19"/>
    <w:pPr>
      <w:spacing w:before="100" w:beforeAutospacing="1" w:after="100" w:afterAutospacing="1" w:line="240" w:lineRule="auto"/>
    </w:pPr>
    <w:rPr>
      <w:rFonts w:ascii="Times New Roman" w:eastAsia="Times New Roman" w:hAnsi="Times New Roman" w:cs="Times New Roman"/>
      <w:sz w:val="24"/>
      <w:szCs w:val="24"/>
      <w:lang w:eastAsia="es-EC"/>
    </w:rPr>
  </w:style>
  <w:style w:type="character" w:customStyle="1" w:styleId="PrrafodelistaCar">
    <w:name w:val="Párrafo de lista Car"/>
    <w:aliases w:val="Dot pt Car,No Spacing1 Car,List Paragraph Char Char Char Car,Indicator Text Car,Numbered Para 1 Car,Colorful List - Accent 11 Car,Bullet 1 Car,F5 List Paragraph Car,Bullet Points Car,List Paragraph1 Car,TIT 2 IND Car,Texto Car"/>
    <w:link w:val="Prrafodelista"/>
    <w:uiPriority w:val="34"/>
    <w:qFormat/>
    <w:locked/>
    <w:rsid w:val="00394DDD"/>
  </w:style>
  <w:style w:type="paragraph" w:customStyle="1" w:styleId="Default">
    <w:name w:val="Default"/>
    <w:rsid w:val="00394DDD"/>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Hipervnculo">
    <w:name w:val="Hyperlink"/>
    <w:basedOn w:val="Fuentedeprrafopredeter"/>
    <w:uiPriority w:val="99"/>
    <w:unhideWhenUsed/>
    <w:rsid w:val="005C5F8A"/>
    <w:rPr>
      <w:color w:val="0000FF" w:themeColor="hyperlink"/>
      <w:u w:val="single"/>
    </w:rPr>
  </w:style>
  <w:style w:type="paragraph" w:styleId="Sangradetextonormal">
    <w:name w:val="Body Text Indent"/>
    <w:basedOn w:val="Normal"/>
    <w:link w:val="SangradetextonormalCar"/>
    <w:uiPriority w:val="99"/>
    <w:semiHidden/>
    <w:unhideWhenUsed/>
    <w:rsid w:val="00660304"/>
    <w:pPr>
      <w:spacing w:after="120"/>
      <w:ind w:left="283"/>
    </w:pPr>
  </w:style>
  <w:style w:type="character" w:customStyle="1" w:styleId="SangradetextonormalCar">
    <w:name w:val="Sangría de texto normal Car"/>
    <w:basedOn w:val="Fuentedeprrafopredeter"/>
    <w:link w:val="Sangradetextonormal"/>
    <w:uiPriority w:val="99"/>
    <w:semiHidden/>
    <w:rsid w:val="00660304"/>
  </w:style>
  <w:style w:type="paragraph" w:styleId="Textoindependienteprimerasangra2">
    <w:name w:val="Body Text First Indent 2"/>
    <w:basedOn w:val="Sangradetextonormal"/>
    <w:link w:val="Textoindependienteprimerasangra2Car"/>
    <w:uiPriority w:val="99"/>
    <w:unhideWhenUsed/>
    <w:rsid w:val="00660304"/>
    <w:pPr>
      <w:spacing w:after="0" w:line="240" w:lineRule="auto"/>
      <w:ind w:left="360" w:firstLine="360"/>
    </w:pPr>
    <w:rPr>
      <w:rFonts w:ascii="Times New Roman" w:eastAsia="Times New Roman" w:hAnsi="Times New Roman" w:cs="Times New Roman"/>
      <w:sz w:val="20"/>
      <w:szCs w:val="20"/>
      <w:lang w:val="en-US" w:eastAsia="es-ES"/>
    </w:rPr>
  </w:style>
  <w:style w:type="character" w:customStyle="1" w:styleId="Textoindependienteprimerasangra2Car">
    <w:name w:val="Texto independiente primera sangría 2 Car"/>
    <w:basedOn w:val="SangradetextonormalCar"/>
    <w:link w:val="Textoindependienteprimerasangra2"/>
    <w:uiPriority w:val="99"/>
    <w:rsid w:val="00660304"/>
    <w:rPr>
      <w:rFonts w:ascii="Times New Roman" w:eastAsia="Times New Roman" w:hAnsi="Times New Roman" w:cs="Times New Roman"/>
      <w:sz w:val="20"/>
      <w:szCs w:val="20"/>
      <w:lang w:val="en-US" w:eastAsia="es-ES"/>
    </w:rPr>
  </w:style>
  <w:style w:type="paragraph" w:styleId="Encabezado">
    <w:name w:val="header"/>
    <w:basedOn w:val="Normal"/>
    <w:link w:val="EncabezadoCar"/>
    <w:uiPriority w:val="99"/>
    <w:unhideWhenUsed/>
    <w:rsid w:val="00A8090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8090B"/>
  </w:style>
  <w:style w:type="paragraph" w:styleId="Piedepgina">
    <w:name w:val="footer"/>
    <w:basedOn w:val="Normal"/>
    <w:link w:val="PiedepginaCar"/>
    <w:uiPriority w:val="99"/>
    <w:unhideWhenUsed/>
    <w:rsid w:val="00A8090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8090B"/>
  </w:style>
  <w:style w:type="paragraph" w:styleId="Textodeglobo">
    <w:name w:val="Balloon Text"/>
    <w:basedOn w:val="Normal"/>
    <w:link w:val="TextodegloboCar"/>
    <w:uiPriority w:val="99"/>
    <w:semiHidden/>
    <w:unhideWhenUsed/>
    <w:rsid w:val="00A8090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8090B"/>
    <w:rPr>
      <w:rFonts w:ascii="Tahoma" w:hAnsi="Tahoma" w:cs="Tahoma"/>
      <w:sz w:val="16"/>
      <w:szCs w:val="16"/>
    </w:rPr>
  </w:style>
  <w:style w:type="character" w:styleId="Refdecomentario">
    <w:name w:val="annotation reference"/>
    <w:basedOn w:val="Fuentedeprrafopredeter"/>
    <w:uiPriority w:val="99"/>
    <w:semiHidden/>
    <w:unhideWhenUsed/>
    <w:rsid w:val="00E20669"/>
    <w:rPr>
      <w:sz w:val="16"/>
      <w:szCs w:val="16"/>
    </w:rPr>
  </w:style>
  <w:style w:type="paragraph" w:styleId="Textocomentario">
    <w:name w:val="annotation text"/>
    <w:basedOn w:val="Normal"/>
    <w:link w:val="TextocomentarioCar"/>
    <w:uiPriority w:val="99"/>
    <w:semiHidden/>
    <w:unhideWhenUsed/>
    <w:rsid w:val="00E2066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20669"/>
    <w:rPr>
      <w:sz w:val="20"/>
      <w:szCs w:val="20"/>
    </w:rPr>
  </w:style>
  <w:style w:type="paragraph" w:styleId="Asuntodelcomentario">
    <w:name w:val="annotation subject"/>
    <w:basedOn w:val="Textocomentario"/>
    <w:next w:val="Textocomentario"/>
    <w:link w:val="AsuntodelcomentarioCar"/>
    <w:uiPriority w:val="99"/>
    <w:semiHidden/>
    <w:unhideWhenUsed/>
    <w:rsid w:val="00E20669"/>
    <w:rPr>
      <w:b/>
      <w:bCs/>
    </w:rPr>
  </w:style>
  <w:style w:type="character" w:customStyle="1" w:styleId="AsuntodelcomentarioCar">
    <w:name w:val="Asunto del comentario Car"/>
    <w:basedOn w:val="TextocomentarioCar"/>
    <w:link w:val="Asuntodelcomentario"/>
    <w:uiPriority w:val="99"/>
    <w:semiHidden/>
    <w:rsid w:val="00E20669"/>
    <w:rPr>
      <w:b/>
      <w:bCs/>
      <w:sz w:val="20"/>
      <w:szCs w:val="20"/>
    </w:rPr>
  </w:style>
  <w:style w:type="paragraph" w:customStyle="1" w:styleId="Standard">
    <w:name w:val="Standard"/>
    <w:rsid w:val="002A3DB6"/>
    <w:pPr>
      <w:suppressAutoHyphens/>
      <w:autoSpaceDN w:val="0"/>
      <w:spacing w:after="0"/>
      <w:textAlignment w:val="baseline"/>
    </w:pPr>
    <w:rPr>
      <w:rFonts w:ascii="Arial" w:eastAsia="Arial" w:hAnsi="Arial" w:cs="Arial"/>
      <w:color w:val="000000"/>
      <w:kern w:val="3"/>
      <w:lang w:val="en-US" w:eastAsia="zh-CN" w:bidi="hi-IN"/>
    </w:rPr>
  </w:style>
  <w:style w:type="numbering" w:customStyle="1" w:styleId="WWNum9">
    <w:name w:val="WWNum9"/>
    <w:basedOn w:val="Sinlista"/>
    <w:rsid w:val="00B80F16"/>
    <w:pPr>
      <w:numPr>
        <w:numId w:val="1"/>
      </w:numPr>
    </w:pPr>
  </w:style>
  <w:style w:type="character" w:customStyle="1" w:styleId="apple-converted-space">
    <w:name w:val="apple-converted-space"/>
    <w:basedOn w:val="Fuentedeprrafopredeter"/>
    <w:rsid w:val="004667E3"/>
  </w:style>
  <w:style w:type="character" w:styleId="Nmerodepgina">
    <w:name w:val="page number"/>
    <w:basedOn w:val="Fuentedeprrafopredeter"/>
    <w:uiPriority w:val="99"/>
    <w:semiHidden/>
    <w:unhideWhenUsed/>
    <w:rsid w:val="00DF4C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58447">
      <w:bodyDiv w:val="1"/>
      <w:marLeft w:val="0"/>
      <w:marRight w:val="0"/>
      <w:marTop w:val="0"/>
      <w:marBottom w:val="0"/>
      <w:divBdr>
        <w:top w:val="none" w:sz="0" w:space="0" w:color="auto"/>
        <w:left w:val="none" w:sz="0" w:space="0" w:color="auto"/>
        <w:bottom w:val="none" w:sz="0" w:space="0" w:color="auto"/>
        <w:right w:val="none" w:sz="0" w:space="0" w:color="auto"/>
      </w:divBdr>
      <w:divsChild>
        <w:div w:id="908005988">
          <w:marLeft w:val="-1050"/>
          <w:marRight w:val="0"/>
          <w:marTop w:val="0"/>
          <w:marBottom w:val="0"/>
          <w:divBdr>
            <w:top w:val="none" w:sz="0" w:space="0" w:color="auto"/>
            <w:left w:val="none" w:sz="0" w:space="0" w:color="auto"/>
            <w:bottom w:val="none" w:sz="0" w:space="0" w:color="auto"/>
            <w:right w:val="none" w:sz="0" w:space="0" w:color="auto"/>
          </w:divBdr>
        </w:div>
      </w:divsChild>
    </w:div>
    <w:div w:id="33314315">
      <w:bodyDiv w:val="1"/>
      <w:marLeft w:val="0"/>
      <w:marRight w:val="0"/>
      <w:marTop w:val="0"/>
      <w:marBottom w:val="0"/>
      <w:divBdr>
        <w:top w:val="none" w:sz="0" w:space="0" w:color="auto"/>
        <w:left w:val="none" w:sz="0" w:space="0" w:color="auto"/>
        <w:bottom w:val="none" w:sz="0" w:space="0" w:color="auto"/>
        <w:right w:val="none" w:sz="0" w:space="0" w:color="auto"/>
      </w:divBdr>
    </w:div>
    <w:div w:id="48575879">
      <w:bodyDiv w:val="1"/>
      <w:marLeft w:val="0"/>
      <w:marRight w:val="0"/>
      <w:marTop w:val="0"/>
      <w:marBottom w:val="0"/>
      <w:divBdr>
        <w:top w:val="none" w:sz="0" w:space="0" w:color="auto"/>
        <w:left w:val="none" w:sz="0" w:space="0" w:color="auto"/>
        <w:bottom w:val="none" w:sz="0" w:space="0" w:color="auto"/>
        <w:right w:val="none" w:sz="0" w:space="0" w:color="auto"/>
      </w:divBdr>
      <w:divsChild>
        <w:div w:id="516886409">
          <w:marLeft w:val="-1050"/>
          <w:marRight w:val="0"/>
          <w:marTop w:val="0"/>
          <w:marBottom w:val="0"/>
          <w:divBdr>
            <w:top w:val="none" w:sz="0" w:space="0" w:color="auto"/>
            <w:left w:val="none" w:sz="0" w:space="0" w:color="auto"/>
            <w:bottom w:val="none" w:sz="0" w:space="0" w:color="auto"/>
            <w:right w:val="none" w:sz="0" w:space="0" w:color="auto"/>
          </w:divBdr>
        </w:div>
      </w:divsChild>
    </w:div>
    <w:div w:id="235164091">
      <w:bodyDiv w:val="1"/>
      <w:marLeft w:val="0"/>
      <w:marRight w:val="0"/>
      <w:marTop w:val="0"/>
      <w:marBottom w:val="0"/>
      <w:divBdr>
        <w:top w:val="none" w:sz="0" w:space="0" w:color="auto"/>
        <w:left w:val="none" w:sz="0" w:space="0" w:color="auto"/>
        <w:bottom w:val="none" w:sz="0" w:space="0" w:color="auto"/>
        <w:right w:val="none" w:sz="0" w:space="0" w:color="auto"/>
      </w:divBdr>
    </w:div>
    <w:div w:id="468673361">
      <w:bodyDiv w:val="1"/>
      <w:marLeft w:val="0"/>
      <w:marRight w:val="0"/>
      <w:marTop w:val="0"/>
      <w:marBottom w:val="0"/>
      <w:divBdr>
        <w:top w:val="none" w:sz="0" w:space="0" w:color="auto"/>
        <w:left w:val="none" w:sz="0" w:space="0" w:color="auto"/>
        <w:bottom w:val="none" w:sz="0" w:space="0" w:color="auto"/>
        <w:right w:val="none" w:sz="0" w:space="0" w:color="auto"/>
      </w:divBdr>
      <w:divsChild>
        <w:div w:id="1917550572">
          <w:marLeft w:val="0"/>
          <w:marRight w:val="0"/>
          <w:marTop w:val="0"/>
          <w:marBottom w:val="0"/>
          <w:divBdr>
            <w:top w:val="none" w:sz="0" w:space="0" w:color="auto"/>
            <w:left w:val="none" w:sz="0" w:space="0" w:color="auto"/>
            <w:bottom w:val="none" w:sz="0" w:space="0" w:color="auto"/>
            <w:right w:val="none" w:sz="0" w:space="0" w:color="auto"/>
          </w:divBdr>
          <w:divsChild>
            <w:div w:id="207767386">
              <w:marLeft w:val="0"/>
              <w:marRight w:val="0"/>
              <w:marTop w:val="0"/>
              <w:marBottom w:val="0"/>
              <w:divBdr>
                <w:top w:val="none" w:sz="0" w:space="0" w:color="auto"/>
                <w:left w:val="none" w:sz="0" w:space="0" w:color="auto"/>
                <w:bottom w:val="none" w:sz="0" w:space="0" w:color="auto"/>
                <w:right w:val="none" w:sz="0" w:space="0" w:color="auto"/>
              </w:divBdr>
              <w:divsChild>
                <w:div w:id="141289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494078">
      <w:bodyDiv w:val="1"/>
      <w:marLeft w:val="0"/>
      <w:marRight w:val="0"/>
      <w:marTop w:val="0"/>
      <w:marBottom w:val="0"/>
      <w:divBdr>
        <w:top w:val="none" w:sz="0" w:space="0" w:color="auto"/>
        <w:left w:val="none" w:sz="0" w:space="0" w:color="auto"/>
        <w:bottom w:val="none" w:sz="0" w:space="0" w:color="auto"/>
        <w:right w:val="none" w:sz="0" w:space="0" w:color="auto"/>
      </w:divBdr>
      <w:divsChild>
        <w:div w:id="1235239491">
          <w:marLeft w:val="0"/>
          <w:marRight w:val="0"/>
          <w:marTop w:val="0"/>
          <w:marBottom w:val="0"/>
          <w:divBdr>
            <w:top w:val="none" w:sz="0" w:space="0" w:color="auto"/>
            <w:left w:val="none" w:sz="0" w:space="0" w:color="auto"/>
            <w:bottom w:val="none" w:sz="0" w:space="0" w:color="auto"/>
            <w:right w:val="none" w:sz="0" w:space="0" w:color="auto"/>
          </w:divBdr>
          <w:divsChild>
            <w:div w:id="386228773">
              <w:marLeft w:val="0"/>
              <w:marRight w:val="0"/>
              <w:marTop w:val="0"/>
              <w:marBottom w:val="0"/>
              <w:divBdr>
                <w:top w:val="none" w:sz="0" w:space="0" w:color="auto"/>
                <w:left w:val="none" w:sz="0" w:space="0" w:color="auto"/>
                <w:bottom w:val="none" w:sz="0" w:space="0" w:color="auto"/>
                <w:right w:val="none" w:sz="0" w:space="0" w:color="auto"/>
              </w:divBdr>
              <w:divsChild>
                <w:div w:id="61887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549267">
      <w:bodyDiv w:val="1"/>
      <w:marLeft w:val="0"/>
      <w:marRight w:val="0"/>
      <w:marTop w:val="0"/>
      <w:marBottom w:val="0"/>
      <w:divBdr>
        <w:top w:val="none" w:sz="0" w:space="0" w:color="auto"/>
        <w:left w:val="none" w:sz="0" w:space="0" w:color="auto"/>
        <w:bottom w:val="none" w:sz="0" w:space="0" w:color="auto"/>
        <w:right w:val="none" w:sz="0" w:space="0" w:color="auto"/>
      </w:divBdr>
    </w:div>
    <w:div w:id="1073239344">
      <w:bodyDiv w:val="1"/>
      <w:marLeft w:val="0"/>
      <w:marRight w:val="0"/>
      <w:marTop w:val="0"/>
      <w:marBottom w:val="0"/>
      <w:divBdr>
        <w:top w:val="none" w:sz="0" w:space="0" w:color="auto"/>
        <w:left w:val="none" w:sz="0" w:space="0" w:color="auto"/>
        <w:bottom w:val="none" w:sz="0" w:space="0" w:color="auto"/>
        <w:right w:val="none" w:sz="0" w:space="0" w:color="auto"/>
      </w:divBdr>
    </w:div>
    <w:div w:id="1096751371">
      <w:bodyDiv w:val="1"/>
      <w:marLeft w:val="0"/>
      <w:marRight w:val="0"/>
      <w:marTop w:val="0"/>
      <w:marBottom w:val="0"/>
      <w:divBdr>
        <w:top w:val="none" w:sz="0" w:space="0" w:color="auto"/>
        <w:left w:val="none" w:sz="0" w:space="0" w:color="auto"/>
        <w:bottom w:val="none" w:sz="0" w:space="0" w:color="auto"/>
        <w:right w:val="none" w:sz="0" w:space="0" w:color="auto"/>
      </w:divBdr>
    </w:div>
    <w:div w:id="1119107369">
      <w:bodyDiv w:val="1"/>
      <w:marLeft w:val="0"/>
      <w:marRight w:val="0"/>
      <w:marTop w:val="0"/>
      <w:marBottom w:val="0"/>
      <w:divBdr>
        <w:top w:val="none" w:sz="0" w:space="0" w:color="auto"/>
        <w:left w:val="none" w:sz="0" w:space="0" w:color="auto"/>
        <w:bottom w:val="none" w:sz="0" w:space="0" w:color="auto"/>
        <w:right w:val="none" w:sz="0" w:space="0" w:color="auto"/>
      </w:divBdr>
    </w:div>
    <w:div w:id="1126001400">
      <w:bodyDiv w:val="1"/>
      <w:marLeft w:val="0"/>
      <w:marRight w:val="0"/>
      <w:marTop w:val="0"/>
      <w:marBottom w:val="0"/>
      <w:divBdr>
        <w:top w:val="none" w:sz="0" w:space="0" w:color="auto"/>
        <w:left w:val="none" w:sz="0" w:space="0" w:color="auto"/>
        <w:bottom w:val="none" w:sz="0" w:space="0" w:color="auto"/>
        <w:right w:val="none" w:sz="0" w:space="0" w:color="auto"/>
      </w:divBdr>
    </w:div>
    <w:div w:id="1151480340">
      <w:bodyDiv w:val="1"/>
      <w:marLeft w:val="0"/>
      <w:marRight w:val="0"/>
      <w:marTop w:val="0"/>
      <w:marBottom w:val="0"/>
      <w:divBdr>
        <w:top w:val="none" w:sz="0" w:space="0" w:color="auto"/>
        <w:left w:val="none" w:sz="0" w:space="0" w:color="auto"/>
        <w:bottom w:val="none" w:sz="0" w:space="0" w:color="auto"/>
        <w:right w:val="none" w:sz="0" w:space="0" w:color="auto"/>
      </w:divBdr>
    </w:div>
    <w:div w:id="1171144794">
      <w:bodyDiv w:val="1"/>
      <w:marLeft w:val="0"/>
      <w:marRight w:val="0"/>
      <w:marTop w:val="0"/>
      <w:marBottom w:val="0"/>
      <w:divBdr>
        <w:top w:val="none" w:sz="0" w:space="0" w:color="auto"/>
        <w:left w:val="none" w:sz="0" w:space="0" w:color="auto"/>
        <w:bottom w:val="none" w:sz="0" w:space="0" w:color="auto"/>
        <w:right w:val="none" w:sz="0" w:space="0" w:color="auto"/>
      </w:divBdr>
      <w:divsChild>
        <w:div w:id="1504395297">
          <w:marLeft w:val="0"/>
          <w:marRight w:val="0"/>
          <w:marTop w:val="0"/>
          <w:marBottom w:val="0"/>
          <w:divBdr>
            <w:top w:val="none" w:sz="0" w:space="0" w:color="auto"/>
            <w:left w:val="none" w:sz="0" w:space="0" w:color="auto"/>
            <w:bottom w:val="none" w:sz="0" w:space="0" w:color="auto"/>
            <w:right w:val="none" w:sz="0" w:space="0" w:color="auto"/>
          </w:divBdr>
        </w:div>
      </w:divsChild>
    </w:div>
    <w:div w:id="1177571891">
      <w:bodyDiv w:val="1"/>
      <w:marLeft w:val="0"/>
      <w:marRight w:val="0"/>
      <w:marTop w:val="0"/>
      <w:marBottom w:val="0"/>
      <w:divBdr>
        <w:top w:val="none" w:sz="0" w:space="0" w:color="auto"/>
        <w:left w:val="none" w:sz="0" w:space="0" w:color="auto"/>
        <w:bottom w:val="none" w:sz="0" w:space="0" w:color="auto"/>
        <w:right w:val="none" w:sz="0" w:space="0" w:color="auto"/>
      </w:divBdr>
    </w:div>
    <w:div w:id="1192525483">
      <w:bodyDiv w:val="1"/>
      <w:marLeft w:val="0"/>
      <w:marRight w:val="0"/>
      <w:marTop w:val="0"/>
      <w:marBottom w:val="0"/>
      <w:divBdr>
        <w:top w:val="none" w:sz="0" w:space="0" w:color="auto"/>
        <w:left w:val="none" w:sz="0" w:space="0" w:color="auto"/>
        <w:bottom w:val="none" w:sz="0" w:space="0" w:color="auto"/>
        <w:right w:val="none" w:sz="0" w:space="0" w:color="auto"/>
      </w:divBdr>
      <w:divsChild>
        <w:div w:id="586890116">
          <w:marLeft w:val="0"/>
          <w:marRight w:val="0"/>
          <w:marTop w:val="0"/>
          <w:marBottom w:val="0"/>
          <w:divBdr>
            <w:top w:val="none" w:sz="0" w:space="0" w:color="auto"/>
            <w:left w:val="none" w:sz="0" w:space="0" w:color="auto"/>
            <w:bottom w:val="none" w:sz="0" w:space="0" w:color="auto"/>
            <w:right w:val="none" w:sz="0" w:space="0" w:color="auto"/>
          </w:divBdr>
          <w:divsChild>
            <w:div w:id="284778673">
              <w:marLeft w:val="0"/>
              <w:marRight w:val="0"/>
              <w:marTop w:val="0"/>
              <w:marBottom w:val="0"/>
              <w:divBdr>
                <w:top w:val="none" w:sz="0" w:space="0" w:color="auto"/>
                <w:left w:val="none" w:sz="0" w:space="0" w:color="auto"/>
                <w:bottom w:val="none" w:sz="0" w:space="0" w:color="auto"/>
                <w:right w:val="none" w:sz="0" w:space="0" w:color="auto"/>
              </w:divBdr>
              <w:divsChild>
                <w:div w:id="2058890270">
                  <w:marLeft w:val="0"/>
                  <w:marRight w:val="0"/>
                  <w:marTop w:val="0"/>
                  <w:marBottom w:val="0"/>
                  <w:divBdr>
                    <w:top w:val="none" w:sz="0" w:space="0" w:color="auto"/>
                    <w:left w:val="none" w:sz="0" w:space="0" w:color="auto"/>
                    <w:bottom w:val="none" w:sz="0" w:space="0" w:color="auto"/>
                    <w:right w:val="none" w:sz="0" w:space="0" w:color="auto"/>
                  </w:divBdr>
                </w:div>
              </w:divsChild>
            </w:div>
            <w:div w:id="1004285549">
              <w:marLeft w:val="0"/>
              <w:marRight w:val="0"/>
              <w:marTop w:val="0"/>
              <w:marBottom w:val="0"/>
              <w:divBdr>
                <w:top w:val="none" w:sz="0" w:space="0" w:color="auto"/>
                <w:left w:val="none" w:sz="0" w:space="0" w:color="auto"/>
                <w:bottom w:val="none" w:sz="0" w:space="0" w:color="auto"/>
                <w:right w:val="none" w:sz="0" w:space="0" w:color="auto"/>
              </w:divBdr>
              <w:divsChild>
                <w:div w:id="207867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862479">
      <w:bodyDiv w:val="1"/>
      <w:marLeft w:val="0"/>
      <w:marRight w:val="0"/>
      <w:marTop w:val="0"/>
      <w:marBottom w:val="0"/>
      <w:divBdr>
        <w:top w:val="none" w:sz="0" w:space="0" w:color="auto"/>
        <w:left w:val="none" w:sz="0" w:space="0" w:color="auto"/>
        <w:bottom w:val="none" w:sz="0" w:space="0" w:color="auto"/>
        <w:right w:val="none" w:sz="0" w:space="0" w:color="auto"/>
      </w:divBdr>
    </w:div>
    <w:div w:id="1241409599">
      <w:bodyDiv w:val="1"/>
      <w:marLeft w:val="0"/>
      <w:marRight w:val="0"/>
      <w:marTop w:val="0"/>
      <w:marBottom w:val="0"/>
      <w:divBdr>
        <w:top w:val="none" w:sz="0" w:space="0" w:color="auto"/>
        <w:left w:val="none" w:sz="0" w:space="0" w:color="auto"/>
        <w:bottom w:val="none" w:sz="0" w:space="0" w:color="auto"/>
        <w:right w:val="none" w:sz="0" w:space="0" w:color="auto"/>
      </w:divBdr>
    </w:div>
    <w:div w:id="1253245299">
      <w:bodyDiv w:val="1"/>
      <w:marLeft w:val="0"/>
      <w:marRight w:val="0"/>
      <w:marTop w:val="0"/>
      <w:marBottom w:val="0"/>
      <w:divBdr>
        <w:top w:val="none" w:sz="0" w:space="0" w:color="auto"/>
        <w:left w:val="none" w:sz="0" w:space="0" w:color="auto"/>
        <w:bottom w:val="none" w:sz="0" w:space="0" w:color="auto"/>
        <w:right w:val="none" w:sz="0" w:space="0" w:color="auto"/>
      </w:divBdr>
    </w:div>
    <w:div w:id="1276326291">
      <w:bodyDiv w:val="1"/>
      <w:marLeft w:val="0"/>
      <w:marRight w:val="0"/>
      <w:marTop w:val="0"/>
      <w:marBottom w:val="0"/>
      <w:divBdr>
        <w:top w:val="none" w:sz="0" w:space="0" w:color="auto"/>
        <w:left w:val="none" w:sz="0" w:space="0" w:color="auto"/>
        <w:bottom w:val="none" w:sz="0" w:space="0" w:color="auto"/>
        <w:right w:val="none" w:sz="0" w:space="0" w:color="auto"/>
      </w:divBdr>
    </w:div>
    <w:div w:id="1340501109">
      <w:bodyDiv w:val="1"/>
      <w:marLeft w:val="0"/>
      <w:marRight w:val="0"/>
      <w:marTop w:val="0"/>
      <w:marBottom w:val="0"/>
      <w:divBdr>
        <w:top w:val="none" w:sz="0" w:space="0" w:color="auto"/>
        <w:left w:val="none" w:sz="0" w:space="0" w:color="auto"/>
        <w:bottom w:val="none" w:sz="0" w:space="0" w:color="auto"/>
        <w:right w:val="none" w:sz="0" w:space="0" w:color="auto"/>
      </w:divBdr>
    </w:div>
    <w:div w:id="1346133264">
      <w:bodyDiv w:val="1"/>
      <w:marLeft w:val="0"/>
      <w:marRight w:val="0"/>
      <w:marTop w:val="0"/>
      <w:marBottom w:val="0"/>
      <w:divBdr>
        <w:top w:val="none" w:sz="0" w:space="0" w:color="auto"/>
        <w:left w:val="none" w:sz="0" w:space="0" w:color="auto"/>
        <w:bottom w:val="none" w:sz="0" w:space="0" w:color="auto"/>
        <w:right w:val="none" w:sz="0" w:space="0" w:color="auto"/>
      </w:divBdr>
      <w:divsChild>
        <w:div w:id="473957455">
          <w:marLeft w:val="0"/>
          <w:marRight w:val="0"/>
          <w:marTop w:val="0"/>
          <w:marBottom w:val="0"/>
          <w:divBdr>
            <w:top w:val="none" w:sz="0" w:space="0" w:color="auto"/>
            <w:left w:val="none" w:sz="0" w:space="0" w:color="auto"/>
            <w:bottom w:val="none" w:sz="0" w:space="0" w:color="auto"/>
            <w:right w:val="none" w:sz="0" w:space="0" w:color="auto"/>
          </w:divBdr>
          <w:divsChild>
            <w:div w:id="1944847114">
              <w:marLeft w:val="0"/>
              <w:marRight w:val="0"/>
              <w:marTop w:val="0"/>
              <w:marBottom w:val="0"/>
              <w:divBdr>
                <w:top w:val="none" w:sz="0" w:space="0" w:color="auto"/>
                <w:left w:val="none" w:sz="0" w:space="0" w:color="auto"/>
                <w:bottom w:val="none" w:sz="0" w:space="0" w:color="auto"/>
                <w:right w:val="none" w:sz="0" w:space="0" w:color="auto"/>
              </w:divBdr>
              <w:divsChild>
                <w:div w:id="4005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326658">
      <w:bodyDiv w:val="1"/>
      <w:marLeft w:val="0"/>
      <w:marRight w:val="0"/>
      <w:marTop w:val="0"/>
      <w:marBottom w:val="0"/>
      <w:divBdr>
        <w:top w:val="none" w:sz="0" w:space="0" w:color="auto"/>
        <w:left w:val="none" w:sz="0" w:space="0" w:color="auto"/>
        <w:bottom w:val="none" w:sz="0" w:space="0" w:color="auto"/>
        <w:right w:val="none" w:sz="0" w:space="0" w:color="auto"/>
      </w:divBdr>
      <w:divsChild>
        <w:div w:id="668021993">
          <w:marLeft w:val="0"/>
          <w:marRight w:val="0"/>
          <w:marTop w:val="0"/>
          <w:marBottom w:val="0"/>
          <w:divBdr>
            <w:top w:val="none" w:sz="0" w:space="0" w:color="auto"/>
            <w:left w:val="none" w:sz="0" w:space="0" w:color="auto"/>
            <w:bottom w:val="none" w:sz="0" w:space="0" w:color="auto"/>
            <w:right w:val="none" w:sz="0" w:space="0" w:color="auto"/>
          </w:divBdr>
          <w:divsChild>
            <w:div w:id="833954419">
              <w:marLeft w:val="0"/>
              <w:marRight w:val="0"/>
              <w:marTop w:val="0"/>
              <w:marBottom w:val="0"/>
              <w:divBdr>
                <w:top w:val="none" w:sz="0" w:space="0" w:color="auto"/>
                <w:left w:val="none" w:sz="0" w:space="0" w:color="auto"/>
                <w:bottom w:val="none" w:sz="0" w:space="0" w:color="auto"/>
                <w:right w:val="none" w:sz="0" w:space="0" w:color="auto"/>
              </w:divBdr>
              <w:divsChild>
                <w:div w:id="155138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992916">
      <w:bodyDiv w:val="1"/>
      <w:marLeft w:val="0"/>
      <w:marRight w:val="0"/>
      <w:marTop w:val="0"/>
      <w:marBottom w:val="0"/>
      <w:divBdr>
        <w:top w:val="none" w:sz="0" w:space="0" w:color="auto"/>
        <w:left w:val="none" w:sz="0" w:space="0" w:color="auto"/>
        <w:bottom w:val="none" w:sz="0" w:space="0" w:color="auto"/>
        <w:right w:val="none" w:sz="0" w:space="0" w:color="auto"/>
      </w:divBdr>
    </w:div>
    <w:div w:id="1550141503">
      <w:bodyDiv w:val="1"/>
      <w:marLeft w:val="0"/>
      <w:marRight w:val="0"/>
      <w:marTop w:val="0"/>
      <w:marBottom w:val="0"/>
      <w:divBdr>
        <w:top w:val="none" w:sz="0" w:space="0" w:color="auto"/>
        <w:left w:val="none" w:sz="0" w:space="0" w:color="auto"/>
        <w:bottom w:val="none" w:sz="0" w:space="0" w:color="auto"/>
        <w:right w:val="none" w:sz="0" w:space="0" w:color="auto"/>
      </w:divBdr>
    </w:div>
    <w:div w:id="1618756171">
      <w:bodyDiv w:val="1"/>
      <w:marLeft w:val="0"/>
      <w:marRight w:val="0"/>
      <w:marTop w:val="0"/>
      <w:marBottom w:val="0"/>
      <w:divBdr>
        <w:top w:val="none" w:sz="0" w:space="0" w:color="auto"/>
        <w:left w:val="none" w:sz="0" w:space="0" w:color="auto"/>
        <w:bottom w:val="none" w:sz="0" w:space="0" w:color="auto"/>
        <w:right w:val="none" w:sz="0" w:space="0" w:color="auto"/>
      </w:divBdr>
      <w:divsChild>
        <w:div w:id="95097704">
          <w:marLeft w:val="0"/>
          <w:marRight w:val="0"/>
          <w:marTop w:val="0"/>
          <w:marBottom w:val="0"/>
          <w:divBdr>
            <w:top w:val="none" w:sz="0" w:space="0" w:color="auto"/>
            <w:left w:val="none" w:sz="0" w:space="0" w:color="auto"/>
            <w:bottom w:val="none" w:sz="0" w:space="0" w:color="auto"/>
            <w:right w:val="none" w:sz="0" w:space="0" w:color="auto"/>
          </w:divBdr>
        </w:div>
        <w:div w:id="2113740091">
          <w:marLeft w:val="0"/>
          <w:marRight w:val="0"/>
          <w:marTop w:val="0"/>
          <w:marBottom w:val="0"/>
          <w:divBdr>
            <w:top w:val="none" w:sz="0" w:space="0" w:color="auto"/>
            <w:left w:val="none" w:sz="0" w:space="0" w:color="auto"/>
            <w:bottom w:val="none" w:sz="0" w:space="0" w:color="auto"/>
            <w:right w:val="none" w:sz="0" w:space="0" w:color="auto"/>
          </w:divBdr>
        </w:div>
      </w:divsChild>
    </w:div>
    <w:div w:id="1648631108">
      <w:bodyDiv w:val="1"/>
      <w:marLeft w:val="0"/>
      <w:marRight w:val="0"/>
      <w:marTop w:val="0"/>
      <w:marBottom w:val="0"/>
      <w:divBdr>
        <w:top w:val="none" w:sz="0" w:space="0" w:color="auto"/>
        <w:left w:val="none" w:sz="0" w:space="0" w:color="auto"/>
        <w:bottom w:val="none" w:sz="0" w:space="0" w:color="auto"/>
        <w:right w:val="none" w:sz="0" w:space="0" w:color="auto"/>
      </w:divBdr>
      <w:divsChild>
        <w:div w:id="1018237489">
          <w:marLeft w:val="0"/>
          <w:marRight w:val="0"/>
          <w:marTop w:val="0"/>
          <w:marBottom w:val="0"/>
          <w:divBdr>
            <w:top w:val="none" w:sz="0" w:space="0" w:color="auto"/>
            <w:left w:val="none" w:sz="0" w:space="0" w:color="auto"/>
            <w:bottom w:val="none" w:sz="0" w:space="0" w:color="auto"/>
            <w:right w:val="none" w:sz="0" w:space="0" w:color="auto"/>
          </w:divBdr>
          <w:divsChild>
            <w:div w:id="250310605">
              <w:marLeft w:val="0"/>
              <w:marRight w:val="0"/>
              <w:marTop w:val="0"/>
              <w:marBottom w:val="0"/>
              <w:divBdr>
                <w:top w:val="none" w:sz="0" w:space="0" w:color="auto"/>
                <w:left w:val="none" w:sz="0" w:space="0" w:color="auto"/>
                <w:bottom w:val="none" w:sz="0" w:space="0" w:color="auto"/>
                <w:right w:val="none" w:sz="0" w:space="0" w:color="auto"/>
              </w:divBdr>
              <w:divsChild>
                <w:div w:id="5185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533526">
      <w:bodyDiv w:val="1"/>
      <w:marLeft w:val="0"/>
      <w:marRight w:val="0"/>
      <w:marTop w:val="0"/>
      <w:marBottom w:val="0"/>
      <w:divBdr>
        <w:top w:val="none" w:sz="0" w:space="0" w:color="auto"/>
        <w:left w:val="none" w:sz="0" w:space="0" w:color="auto"/>
        <w:bottom w:val="none" w:sz="0" w:space="0" w:color="auto"/>
        <w:right w:val="none" w:sz="0" w:space="0" w:color="auto"/>
      </w:divBdr>
    </w:div>
    <w:div w:id="1772890653">
      <w:bodyDiv w:val="1"/>
      <w:marLeft w:val="0"/>
      <w:marRight w:val="0"/>
      <w:marTop w:val="0"/>
      <w:marBottom w:val="0"/>
      <w:divBdr>
        <w:top w:val="none" w:sz="0" w:space="0" w:color="auto"/>
        <w:left w:val="none" w:sz="0" w:space="0" w:color="auto"/>
        <w:bottom w:val="none" w:sz="0" w:space="0" w:color="auto"/>
        <w:right w:val="none" w:sz="0" w:space="0" w:color="auto"/>
      </w:divBdr>
      <w:divsChild>
        <w:div w:id="294524385">
          <w:marLeft w:val="0"/>
          <w:marRight w:val="0"/>
          <w:marTop w:val="0"/>
          <w:marBottom w:val="0"/>
          <w:divBdr>
            <w:top w:val="none" w:sz="0" w:space="0" w:color="auto"/>
            <w:left w:val="none" w:sz="0" w:space="0" w:color="auto"/>
            <w:bottom w:val="none" w:sz="0" w:space="0" w:color="auto"/>
            <w:right w:val="none" w:sz="0" w:space="0" w:color="auto"/>
          </w:divBdr>
          <w:divsChild>
            <w:div w:id="1242832555">
              <w:marLeft w:val="0"/>
              <w:marRight w:val="0"/>
              <w:marTop w:val="0"/>
              <w:marBottom w:val="0"/>
              <w:divBdr>
                <w:top w:val="none" w:sz="0" w:space="0" w:color="auto"/>
                <w:left w:val="none" w:sz="0" w:space="0" w:color="auto"/>
                <w:bottom w:val="none" w:sz="0" w:space="0" w:color="auto"/>
                <w:right w:val="none" w:sz="0" w:space="0" w:color="auto"/>
              </w:divBdr>
              <w:divsChild>
                <w:div w:id="19859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915145">
      <w:bodyDiv w:val="1"/>
      <w:marLeft w:val="0"/>
      <w:marRight w:val="0"/>
      <w:marTop w:val="0"/>
      <w:marBottom w:val="0"/>
      <w:divBdr>
        <w:top w:val="none" w:sz="0" w:space="0" w:color="auto"/>
        <w:left w:val="none" w:sz="0" w:space="0" w:color="auto"/>
        <w:bottom w:val="none" w:sz="0" w:space="0" w:color="auto"/>
        <w:right w:val="none" w:sz="0" w:space="0" w:color="auto"/>
      </w:divBdr>
    </w:div>
    <w:div w:id="1820001422">
      <w:bodyDiv w:val="1"/>
      <w:marLeft w:val="0"/>
      <w:marRight w:val="0"/>
      <w:marTop w:val="0"/>
      <w:marBottom w:val="0"/>
      <w:divBdr>
        <w:top w:val="none" w:sz="0" w:space="0" w:color="auto"/>
        <w:left w:val="none" w:sz="0" w:space="0" w:color="auto"/>
        <w:bottom w:val="none" w:sz="0" w:space="0" w:color="auto"/>
        <w:right w:val="none" w:sz="0" w:space="0" w:color="auto"/>
      </w:divBdr>
    </w:div>
    <w:div w:id="1888301122">
      <w:bodyDiv w:val="1"/>
      <w:marLeft w:val="0"/>
      <w:marRight w:val="0"/>
      <w:marTop w:val="0"/>
      <w:marBottom w:val="0"/>
      <w:divBdr>
        <w:top w:val="none" w:sz="0" w:space="0" w:color="auto"/>
        <w:left w:val="none" w:sz="0" w:space="0" w:color="auto"/>
        <w:bottom w:val="none" w:sz="0" w:space="0" w:color="auto"/>
        <w:right w:val="none" w:sz="0" w:space="0" w:color="auto"/>
      </w:divBdr>
    </w:div>
    <w:div w:id="1943610835">
      <w:bodyDiv w:val="1"/>
      <w:marLeft w:val="0"/>
      <w:marRight w:val="0"/>
      <w:marTop w:val="0"/>
      <w:marBottom w:val="0"/>
      <w:divBdr>
        <w:top w:val="none" w:sz="0" w:space="0" w:color="auto"/>
        <w:left w:val="none" w:sz="0" w:space="0" w:color="auto"/>
        <w:bottom w:val="none" w:sz="0" w:space="0" w:color="auto"/>
        <w:right w:val="none" w:sz="0" w:space="0" w:color="auto"/>
      </w:divBdr>
    </w:div>
    <w:div w:id="1958871313">
      <w:bodyDiv w:val="1"/>
      <w:marLeft w:val="0"/>
      <w:marRight w:val="0"/>
      <w:marTop w:val="0"/>
      <w:marBottom w:val="0"/>
      <w:divBdr>
        <w:top w:val="none" w:sz="0" w:space="0" w:color="auto"/>
        <w:left w:val="none" w:sz="0" w:space="0" w:color="auto"/>
        <w:bottom w:val="none" w:sz="0" w:space="0" w:color="auto"/>
        <w:right w:val="none" w:sz="0" w:space="0" w:color="auto"/>
      </w:divBdr>
      <w:divsChild>
        <w:div w:id="1571035197">
          <w:marLeft w:val="0"/>
          <w:marRight w:val="0"/>
          <w:marTop w:val="0"/>
          <w:marBottom w:val="0"/>
          <w:divBdr>
            <w:top w:val="none" w:sz="0" w:space="0" w:color="auto"/>
            <w:left w:val="none" w:sz="0" w:space="0" w:color="auto"/>
            <w:bottom w:val="none" w:sz="0" w:space="0" w:color="auto"/>
            <w:right w:val="none" w:sz="0" w:space="0" w:color="auto"/>
          </w:divBdr>
        </w:div>
      </w:divsChild>
    </w:div>
    <w:div w:id="1984649996">
      <w:bodyDiv w:val="1"/>
      <w:marLeft w:val="0"/>
      <w:marRight w:val="0"/>
      <w:marTop w:val="0"/>
      <w:marBottom w:val="0"/>
      <w:divBdr>
        <w:top w:val="none" w:sz="0" w:space="0" w:color="auto"/>
        <w:left w:val="none" w:sz="0" w:space="0" w:color="auto"/>
        <w:bottom w:val="none" w:sz="0" w:space="0" w:color="auto"/>
        <w:right w:val="none" w:sz="0" w:space="0" w:color="auto"/>
      </w:divBdr>
    </w:div>
    <w:div w:id="1997949124">
      <w:bodyDiv w:val="1"/>
      <w:marLeft w:val="0"/>
      <w:marRight w:val="0"/>
      <w:marTop w:val="0"/>
      <w:marBottom w:val="0"/>
      <w:divBdr>
        <w:top w:val="none" w:sz="0" w:space="0" w:color="auto"/>
        <w:left w:val="none" w:sz="0" w:space="0" w:color="auto"/>
        <w:bottom w:val="none" w:sz="0" w:space="0" w:color="auto"/>
        <w:right w:val="none" w:sz="0" w:space="0" w:color="auto"/>
      </w:divBdr>
      <w:divsChild>
        <w:div w:id="1290622421">
          <w:marLeft w:val="0"/>
          <w:marRight w:val="0"/>
          <w:marTop w:val="0"/>
          <w:marBottom w:val="0"/>
          <w:divBdr>
            <w:top w:val="none" w:sz="0" w:space="0" w:color="auto"/>
            <w:left w:val="none" w:sz="0" w:space="0" w:color="auto"/>
            <w:bottom w:val="none" w:sz="0" w:space="0" w:color="auto"/>
            <w:right w:val="none" w:sz="0" w:space="0" w:color="auto"/>
          </w:divBdr>
          <w:divsChild>
            <w:div w:id="514810155">
              <w:marLeft w:val="0"/>
              <w:marRight w:val="0"/>
              <w:marTop w:val="0"/>
              <w:marBottom w:val="0"/>
              <w:divBdr>
                <w:top w:val="none" w:sz="0" w:space="0" w:color="auto"/>
                <w:left w:val="none" w:sz="0" w:space="0" w:color="auto"/>
                <w:bottom w:val="none" w:sz="0" w:space="0" w:color="auto"/>
                <w:right w:val="none" w:sz="0" w:space="0" w:color="auto"/>
              </w:divBdr>
              <w:divsChild>
                <w:div w:id="26176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376382">
      <w:bodyDiv w:val="1"/>
      <w:marLeft w:val="0"/>
      <w:marRight w:val="0"/>
      <w:marTop w:val="0"/>
      <w:marBottom w:val="0"/>
      <w:divBdr>
        <w:top w:val="none" w:sz="0" w:space="0" w:color="auto"/>
        <w:left w:val="none" w:sz="0" w:space="0" w:color="auto"/>
        <w:bottom w:val="none" w:sz="0" w:space="0" w:color="auto"/>
        <w:right w:val="none" w:sz="0" w:space="0" w:color="auto"/>
      </w:divBdr>
    </w:div>
    <w:div w:id="2097507845">
      <w:bodyDiv w:val="1"/>
      <w:marLeft w:val="0"/>
      <w:marRight w:val="0"/>
      <w:marTop w:val="0"/>
      <w:marBottom w:val="0"/>
      <w:divBdr>
        <w:top w:val="none" w:sz="0" w:space="0" w:color="auto"/>
        <w:left w:val="none" w:sz="0" w:space="0" w:color="auto"/>
        <w:bottom w:val="none" w:sz="0" w:space="0" w:color="auto"/>
        <w:right w:val="none" w:sz="0" w:space="0" w:color="auto"/>
      </w:divBdr>
      <w:divsChild>
        <w:div w:id="807820658">
          <w:marLeft w:val="0"/>
          <w:marRight w:val="0"/>
          <w:marTop w:val="0"/>
          <w:marBottom w:val="0"/>
          <w:divBdr>
            <w:top w:val="none" w:sz="0" w:space="0" w:color="auto"/>
            <w:left w:val="none" w:sz="0" w:space="0" w:color="auto"/>
            <w:bottom w:val="none" w:sz="0" w:space="0" w:color="auto"/>
            <w:right w:val="none" w:sz="0" w:space="0" w:color="auto"/>
          </w:divBdr>
          <w:divsChild>
            <w:div w:id="53819560">
              <w:marLeft w:val="0"/>
              <w:marRight w:val="0"/>
              <w:marTop w:val="0"/>
              <w:marBottom w:val="0"/>
              <w:divBdr>
                <w:top w:val="none" w:sz="0" w:space="0" w:color="auto"/>
                <w:left w:val="none" w:sz="0" w:space="0" w:color="auto"/>
                <w:bottom w:val="none" w:sz="0" w:space="0" w:color="auto"/>
                <w:right w:val="none" w:sz="0" w:space="0" w:color="auto"/>
              </w:divBdr>
              <w:divsChild>
                <w:div w:id="90021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959206">
      <w:bodyDiv w:val="1"/>
      <w:marLeft w:val="0"/>
      <w:marRight w:val="0"/>
      <w:marTop w:val="0"/>
      <w:marBottom w:val="0"/>
      <w:divBdr>
        <w:top w:val="none" w:sz="0" w:space="0" w:color="auto"/>
        <w:left w:val="none" w:sz="0" w:space="0" w:color="auto"/>
        <w:bottom w:val="none" w:sz="0" w:space="0" w:color="auto"/>
        <w:right w:val="none" w:sz="0" w:space="0" w:color="auto"/>
      </w:divBdr>
    </w:div>
    <w:div w:id="2117283014">
      <w:bodyDiv w:val="1"/>
      <w:marLeft w:val="0"/>
      <w:marRight w:val="0"/>
      <w:marTop w:val="0"/>
      <w:marBottom w:val="0"/>
      <w:divBdr>
        <w:top w:val="none" w:sz="0" w:space="0" w:color="auto"/>
        <w:left w:val="none" w:sz="0" w:space="0" w:color="auto"/>
        <w:bottom w:val="none" w:sz="0" w:space="0" w:color="auto"/>
        <w:right w:val="none" w:sz="0" w:space="0" w:color="auto"/>
      </w:divBdr>
    </w:div>
    <w:div w:id="2119715144">
      <w:bodyDiv w:val="1"/>
      <w:marLeft w:val="0"/>
      <w:marRight w:val="0"/>
      <w:marTop w:val="0"/>
      <w:marBottom w:val="0"/>
      <w:divBdr>
        <w:top w:val="none" w:sz="0" w:space="0" w:color="auto"/>
        <w:left w:val="none" w:sz="0" w:space="0" w:color="auto"/>
        <w:bottom w:val="none" w:sz="0" w:space="0" w:color="auto"/>
        <w:right w:val="none" w:sz="0" w:space="0" w:color="auto"/>
      </w:divBdr>
    </w:div>
    <w:div w:id="2129471177">
      <w:bodyDiv w:val="1"/>
      <w:marLeft w:val="0"/>
      <w:marRight w:val="0"/>
      <w:marTop w:val="0"/>
      <w:marBottom w:val="0"/>
      <w:divBdr>
        <w:top w:val="none" w:sz="0" w:space="0" w:color="auto"/>
        <w:left w:val="none" w:sz="0" w:space="0" w:color="auto"/>
        <w:bottom w:val="none" w:sz="0" w:space="0" w:color="auto"/>
        <w:right w:val="none" w:sz="0" w:space="0" w:color="auto"/>
      </w:divBdr>
      <w:divsChild>
        <w:div w:id="1412425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D15D00-F497-674C-A269-ACE5C1351AE7}"/>
</file>

<file path=customXml/itemProps2.xml><?xml version="1.0" encoding="utf-8"?>
<ds:datastoreItem xmlns:ds="http://schemas.openxmlformats.org/officeDocument/2006/customXml" ds:itemID="{FD960388-D973-46C6-9001-FFB29C290088}"/>
</file>

<file path=customXml/itemProps3.xml><?xml version="1.0" encoding="utf-8"?>
<ds:datastoreItem xmlns:ds="http://schemas.openxmlformats.org/officeDocument/2006/customXml" ds:itemID="{1EDDD238-A385-4615-818F-0D323A2D68FC}"/>
</file>

<file path=customXml/itemProps4.xml><?xml version="1.0" encoding="utf-8"?>
<ds:datastoreItem xmlns:ds="http://schemas.openxmlformats.org/officeDocument/2006/customXml" ds:itemID="{F5CB2B87-6527-4F93-9AF6-3703122090ED}"/>
</file>

<file path=docProps/app.xml><?xml version="1.0" encoding="utf-8"?>
<Properties xmlns="http://schemas.openxmlformats.org/officeDocument/2006/extended-properties" xmlns:vt="http://schemas.openxmlformats.org/officeDocument/2006/docPropsVTypes">
  <Template>Normal.dotm</Template>
  <TotalTime>1</TotalTime>
  <Pages>15</Pages>
  <Words>6288</Words>
  <Characters>34588</Characters>
  <Application>Microsoft Macintosh Word</Application>
  <DocSecurity>0</DocSecurity>
  <Lines>288</Lines>
  <Paragraphs>81</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 de Microsoft Office</cp:lastModifiedBy>
  <cp:revision>2</cp:revision>
  <cp:lastPrinted>2017-09-07T07:38:00Z</cp:lastPrinted>
  <dcterms:created xsi:type="dcterms:W3CDTF">2017-09-14T09:18:00Z</dcterms:created>
  <dcterms:modified xsi:type="dcterms:W3CDTF">2017-09-14T09:18:00Z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