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DAB64" w14:textId="77777777" w:rsidR="00534AFF" w:rsidRDefault="00D16163">
      <w:pPr>
        <w:pStyle w:val="paragraph"/>
        <w:spacing w:before="0" w:after="0" w:line="360" w:lineRule="auto"/>
        <w:ind w:left="-576" w:right="-576"/>
        <w:jc w:val="both"/>
      </w:pPr>
      <w:r>
        <w:rPr>
          <w:noProof/>
        </w:rPr>
        <w:drawing>
          <wp:anchor distT="0" distB="0" distL="114300" distR="114300" simplePos="0" relativeHeight="251663360" behindDoc="0" locked="0" layoutInCell="1" allowOverlap="1" wp14:anchorId="311DAB64" wp14:editId="311DAB65">
            <wp:simplePos x="0" y="0"/>
            <wp:positionH relativeFrom="column">
              <wp:posOffset>3232147</wp:posOffset>
            </wp:positionH>
            <wp:positionV relativeFrom="paragraph">
              <wp:posOffset>0</wp:posOffset>
            </wp:positionV>
            <wp:extent cx="1209678" cy="1343025"/>
            <wp:effectExtent l="0" t="0" r="9522" b="9525"/>
            <wp:wrapTight wrapText="bothSides">
              <wp:wrapPolygon edited="0">
                <wp:start x="9184" y="0"/>
                <wp:lineTo x="0" y="6434"/>
                <wp:lineTo x="0" y="21140"/>
                <wp:lineTo x="21430" y="21140"/>
                <wp:lineTo x="21430" y="6434"/>
                <wp:lineTo x="12246" y="0"/>
                <wp:lineTo x="9184"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209678" cy="1343025"/>
                    </a:xfrm>
                    <a:prstGeom prst="rect">
                      <a:avLst/>
                    </a:prstGeom>
                    <a:noFill/>
                    <a:ln>
                      <a:noFill/>
                      <a:prstDash/>
                    </a:ln>
                  </pic:spPr>
                </pic:pic>
              </a:graphicData>
            </a:graphic>
          </wp:anchor>
        </w:drawing>
      </w:r>
      <w:r>
        <w:rPr>
          <w:noProof/>
        </w:rPr>
        <w:drawing>
          <wp:anchor distT="0" distB="0" distL="114300" distR="114300" simplePos="0" relativeHeight="251661312" behindDoc="0" locked="0" layoutInCell="1" allowOverlap="1" wp14:anchorId="311DAB66" wp14:editId="311DAB67">
            <wp:simplePos x="0" y="0"/>
            <wp:positionH relativeFrom="column">
              <wp:posOffset>1374772</wp:posOffset>
            </wp:positionH>
            <wp:positionV relativeFrom="paragraph">
              <wp:posOffset>0</wp:posOffset>
            </wp:positionV>
            <wp:extent cx="1352553" cy="1295403"/>
            <wp:effectExtent l="0" t="0" r="0" b="0"/>
            <wp:wrapTight wrapText="bothSides">
              <wp:wrapPolygon edited="0">
                <wp:start x="0" y="0"/>
                <wp:lineTo x="0" y="21282"/>
                <wp:lineTo x="21296" y="21282"/>
                <wp:lineTo x="21296" y="0"/>
                <wp:lineTo x="0" y="0"/>
              </wp:wrapPolygon>
            </wp:wrapTight>
            <wp:docPr id="2" name="Picture 4" descr="Baghdad Women Association | Linked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352553" cy="1295403"/>
                    </a:xfrm>
                    <a:prstGeom prst="rect">
                      <a:avLst/>
                    </a:prstGeom>
                    <a:noFill/>
                    <a:ln>
                      <a:noFill/>
                      <a:prstDash/>
                    </a:ln>
                  </pic:spPr>
                </pic:pic>
              </a:graphicData>
            </a:graphic>
          </wp:anchor>
        </w:drawing>
      </w:r>
      <w:r>
        <w:rPr>
          <w:noProof/>
          <w:sz w:val="32"/>
          <w:szCs w:val="32"/>
        </w:rPr>
        <w:drawing>
          <wp:anchor distT="0" distB="0" distL="114300" distR="114300" simplePos="0" relativeHeight="251665408" behindDoc="0" locked="0" layoutInCell="1" allowOverlap="1" wp14:anchorId="311DAB68" wp14:editId="311DAB69">
            <wp:simplePos x="0" y="0"/>
            <wp:positionH relativeFrom="column">
              <wp:posOffset>4994279</wp:posOffset>
            </wp:positionH>
            <wp:positionV relativeFrom="paragraph">
              <wp:posOffset>66678</wp:posOffset>
            </wp:positionV>
            <wp:extent cx="1428750" cy="1343025"/>
            <wp:effectExtent l="0" t="0" r="0" b="9525"/>
            <wp:wrapTight wrapText="bothSides">
              <wp:wrapPolygon edited="0">
                <wp:start x="0" y="0"/>
                <wp:lineTo x="0" y="21447"/>
                <wp:lineTo x="21312" y="21447"/>
                <wp:lineTo x="21312" y="0"/>
                <wp:lineTo x="0" y="0"/>
              </wp:wrapPolygon>
            </wp:wrapTight>
            <wp:docPr id="3"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428750" cy="1343025"/>
                    </a:xfrm>
                    <a:prstGeom prst="rect">
                      <a:avLst/>
                    </a:prstGeom>
                    <a:noFill/>
                    <a:ln>
                      <a:noFill/>
                      <a:prstDash/>
                    </a:ln>
                  </pic:spPr>
                </pic:pic>
              </a:graphicData>
            </a:graphic>
          </wp:anchor>
        </w:drawing>
      </w:r>
      <w:r>
        <w:rPr>
          <w:noProof/>
        </w:rPr>
        <w:drawing>
          <wp:anchor distT="0" distB="0" distL="114300" distR="114300" simplePos="0" relativeHeight="251659264" behindDoc="0" locked="0" layoutInCell="1" allowOverlap="1" wp14:anchorId="311DAB6A" wp14:editId="311DAB6B">
            <wp:simplePos x="0" y="0"/>
            <wp:positionH relativeFrom="column">
              <wp:posOffset>-400050</wp:posOffset>
            </wp:positionH>
            <wp:positionV relativeFrom="paragraph">
              <wp:posOffset>0</wp:posOffset>
            </wp:positionV>
            <wp:extent cx="1476371" cy="1343025"/>
            <wp:effectExtent l="0" t="0" r="0" b="9525"/>
            <wp:wrapTight wrapText="bothSides">
              <wp:wrapPolygon edited="0">
                <wp:start x="12269" y="0"/>
                <wp:lineTo x="9480" y="1838"/>
                <wp:lineTo x="7528" y="3983"/>
                <wp:lineTo x="8365" y="9804"/>
                <wp:lineTo x="9759" y="14706"/>
                <wp:lineTo x="1952" y="15013"/>
                <wp:lineTo x="0" y="15932"/>
                <wp:lineTo x="0" y="21140"/>
                <wp:lineTo x="14778" y="21140"/>
                <wp:lineTo x="15057" y="14706"/>
                <wp:lineTo x="19239" y="9804"/>
                <wp:lineTo x="21191" y="8885"/>
                <wp:lineTo x="21191" y="613"/>
                <wp:lineTo x="14778" y="0"/>
                <wp:lineTo x="12269" y="0"/>
              </wp:wrapPolygon>
            </wp:wrapTight>
            <wp:docPr id="4" name="Picture 3" descr="Lutheran World Federation - Wikip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476371" cy="1343025"/>
                    </a:xfrm>
                    <a:prstGeom prst="rect">
                      <a:avLst/>
                    </a:prstGeom>
                    <a:noFill/>
                    <a:ln>
                      <a:noFill/>
                      <a:prstDash/>
                    </a:ln>
                  </pic:spPr>
                </pic:pic>
              </a:graphicData>
            </a:graphic>
          </wp:anchor>
        </w:drawing>
      </w:r>
    </w:p>
    <w:p w14:paraId="311DAB65" w14:textId="77777777" w:rsidR="00534AFF" w:rsidRDefault="00534AFF">
      <w:pPr>
        <w:pStyle w:val="paragraph"/>
        <w:spacing w:before="0" w:after="0" w:line="360" w:lineRule="auto"/>
        <w:ind w:left="-576" w:right="-576"/>
        <w:jc w:val="both"/>
        <w:rPr>
          <w:b/>
          <w:bCs/>
          <w:color w:val="5B9BD5"/>
          <w:sz w:val="22"/>
          <w:szCs w:val="22"/>
          <w14:shadow w14:blurRad="38036" w14:dist="25323" w14:dir="5400000" w14:sx="100000" w14:sy="100000" w14:kx="0" w14:ky="0" w14:algn="b">
            <w14:srgbClr w14:val="6E747A"/>
          </w14:shadow>
        </w:rPr>
      </w:pPr>
    </w:p>
    <w:p w14:paraId="311DAB66" w14:textId="77777777" w:rsidR="00534AFF" w:rsidRDefault="00534AFF">
      <w:pPr>
        <w:pStyle w:val="paragraph"/>
        <w:spacing w:before="0" w:after="0" w:line="360" w:lineRule="auto"/>
        <w:ind w:left="-576" w:right="-576"/>
        <w:jc w:val="both"/>
        <w:rPr>
          <w:b/>
          <w:bCs/>
          <w:color w:val="5B9BD5"/>
          <w:sz w:val="22"/>
          <w:szCs w:val="22"/>
          <w14:shadow w14:blurRad="38036" w14:dist="25323" w14:dir="5400000" w14:sx="100000" w14:sy="100000" w14:kx="0" w14:ky="0" w14:algn="b">
            <w14:srgbClr w14:val="6E747A"/>
          </w14:shadow>
        </w:rPr>
      </w:pPr>
    </w:p>
    <w:p w14:paraId="311DAB67" w14:textId="77777777" w:rsidR="00534AFF" w:rsidRDefault="00534AFF">
      <w:pPr>
        <w:pStyle w:val="paragraph"/>
        <w:spacing w:before="0" w:after="0" w:line="360" w:lineRule="auto"/>
        <w:ind w:left="-576" w:right="-576"/>
        <w:jc w:val="both"/>
        <w:rPr>
          <w:b/>
          <w:bCs/>
          <w:color w:val="5B9BD5"/>
          <w:sz w:val="22"/>
          <w:szCs w:val="22"/>
          <w14:shadow w14:blurRad="38036" w14:dist="25323" w14:dir="5400000" w14:sx="100000" w14:sy="100000" w14:kx="0" w14:ky="0" w14:algn="b">
            <w14:srgbClr w14:val="6E747A"/>
          </w14:shadow>
        </w:rPr>
      </w:pPr>
    </w:p>
    <w:p w14:paraId="311DAB68" w14:textId="77777777" w:rsidR="00534AFF" w:rsidRDefault="00534AFF">
      <w:pPr>
        <w:pStyle w:val="paragraph"/>
        <w:spacing w:before="0" w:after="0" w:line="360" w:lineRule="auto"/>
        <w:ind w:left="-576" w:right="-576"/>
        <w:jc w:val="both"/>
        <w:rPr>
          <w:b/>
          <w:bCs/>
          <w:color w:val="5B9BD5"/>
          <w:sz w:val="22"/>
          <w:szCs w:val="22"/>
          <w14:shadow w14:blurRad="38036" w14:dist="25323" w14:dir="5400000" w14:sx="100000" w14:sy="100000" w14:kx="0" w14:ky="0" w14:algn="b">
            <w14:srgbClr w14:val="6E747A"/>
          </w14:shadow>
        </w:rPr>
      </w:pPr>
    </w:p>
    <w:p w14:paraId="311DAB69" w14:textId="77777777" w:rsidR="00534AFF" w:rsidRDefault="00534AFF">
      <w:pPr>
        <w:pStyle w:val="paragraph"/>
        <w:spacing w:before="0" w:after="0" w:line="360" w:lineRule="auto"/>
        <w:ind w:left="-576" w:right="-576"/>
        <w:jc w:val="both"/>
        <w:rPr>
          <w:b/>
          <w:bCs/>
          <w:color w:val="5B9BD5"/>
          <w:sz w:val="22"/>
          <w:szCs w:val="22"/>
          <w14:shadow w14:blurRad="38036" w14:dist="25323" w14:dir="5400000" w14:sx="100000" w14:sy="100000" w14:kx="0" w14:ky="0" w14:algn="b">
            <w14:srgbClr w14:val="6E747A"/>
          </w14:shadow>
        </w:rPr>
      </w:pPr>
    </w:p>
    <w:p w14:paraId="311DAB6A" w14:textId="77777777" w:rsidR="00534AFF" w:rsidRDefault="00534AFF">
      <w:pPr>
        <w:pStyle w:val="paragraph"/>
        <w:spacing w:before="0" w:after="0" w:line="360" w:lineRule="auto"/>
        <w:ind w:left="-576" w:right="-576"/>
        <w:jc w:val="both"/>
        <w:rPr>
          <w:b/>
          <w:bCs/>
          <w:color w:val="5B9BD5"/>
          <w:sz w:val="22"/>
          <w:szCs w:val="22"/>
          <w14:shadow w14:blurRad="38036" w14:dist="25323" w14:dir="5400000" w14:sx="100000" w14:sy="100000" w14:kx="0" w14:ky="0" w14:algn="b">
            <w14:srgbClr w14:val="6E747A"/>
          </w14:shadow>
        </w:rPr>
      </w:pPr>
    </w:p>
    <w:p w14:paraId="311DAB6B" w14:textId="77777777" w:rsidR="00534AFF" w:rsidRDefault="00534AFF">
      <w:pPr>
        <w:pStyle w:val="paragraph"/>
        <w:spacing w:before="0" w:after="0" w:line="360" w:lineRule="auto"/>
        <w:ind w:right="-576"/>
        <w:jc w:val="both"/>
        <w:rPr>
          <w:b/>
          <w:bCs/>
          <w:color w:val="5B9BD5"/>
          <w:sz w:val="22"/>
          <w:szCs w:val="22"/>
          <w14:shadow w14:blurRad="38036" w14:dist="25323" w14:dir="5400000" w14:sx="100000" w14:sy="100000" w14:kx="0" w14:ky="0" w14:algn="b">
            <w14:srgbClr w14:val="6E747A"/>
          </w14:shadow>
        </w:rPr>
      </w:pPr>
    </w:p>
    <w:p w14:paraId="311DAB6C" w14:textId="77777777" w:rsidR="00534AFF" w:rsidRDefault="00D16163">
      <w:pPr>
        <w:pStyle w:val="NormalWeb"/>
        <w:spacing w:after="120"/>
        <w:jc w:val="both"/>
      </w:pPr>
      <w:r>
        <w:rPr>
          <w:b/>
          <w:bCs/>
          <w:sz w:val="32"/>
          <w:szCs w:val="32"/>
        </w:rPr>
        <w:t xml:space="preserve">Shadow Report on Iraq’s Implementation of the CEDAW: Addressing Violence, Discrimination, and Barriers to Women’s Rights in Sinjar and </w:t>
      </w:r>
      <w:proofErr w:type="spellStart"/>
      <w:r>
        <w:rPr>
          <w:b/>
          <w:bCs/>
          <w:sz w:val="32"/>
          <w:szCs w:val="32"/>
        </w:rPr>
        <w:t>Summel</w:t>
      </w:r>
      <w:proofErr w:type="spellEnd"/>
      <w:r>
        <w:rPr>
          <w:b/>
          <w:bCs/>
          <w:sz w:val="32"/>
          <w:szCs w:val="32"/>
        </w:rPr>
        <w:t xml:space="preserve"> District</w:t>
      </w:r>
    </w:p>
    <w:p w14:paraId="311DAB6D" w14:textId="77777777" w:rsidR="00534AFF" w:rsidRDefault="00534AFF">
      <w:pPr>
        <w:pStyle w:val="paragraph"/>
        <w:spacing w:before="0" w:after="0" w:line="360" w:lineRule="auto"/>
        <w:ind w:left="-576" w:right="-576"/>
        <w:jc w:val="both"/>
        <w:rPr>
          <w:b/>
          <w:bCs/>
          <w:color w:val="5B9BD5"/>
          <w:sz w:val="22"/>
          <w:szCs w:val="22"/>
          <w14:shadow w14:blurRad="38036" w14:dist="25323" w14:dir="5400000" w14:sx="100000" w14:sy="100000" w14:kx="0" w14:ky="0" w14:algn="b">
            <w14:srgbClr w14:val="6E747A"/>
          </w14:shadow>
        </w:rPr>
      </w:pPr>
    </w:p>
    <w:p w14:paraId="311DAB6E" w14:textId="77777777" w:rsidR="00534AFF" w:rsidRDefault="00D16163">
      <w:pPr>
        <w:pStyle w:val="NormalWeb"/>
        <w:spacing w:before="0" w:after="0"/>
        <w:jc w:val="both"/>
      </w:pPr>
      <w:r>
        <w:t xml:space="preserve">This report is submitted by the Lutheran World Federation in </w:t>
      </w:r>
      <w:r>
        <w:t>collaboration with the following organizations:</w:t>
      </w:r>
    </w:p>
    <w:p w14:paraId="311DAB6F" w14:textId="77777777" w:rsidR="00534AFF" w:rsidRDefault="00534AFF">
      <w:pPr>
        <w:pStyle w:val="NormalWeb"/>
        <w:spacing w:before="0" w:after="0"/>
        <w:jc w:val="both"/>
      </w:pPr>
    </w:p>
    <w:p w14:paraId="311DAB70" w14:textId="77777777" w:rsidR="00534AFF" w:rsidRDefault="00D16163">
      <w:pPr>
        <w:pStyle w:val="NormalWeb"/>
        <w:spacing w:before="0" w:after="0"/>
        <w:jc w:val="both"/>
      </w:pPr>
      <w:r>
        <w:t>Baghdad Women Association (BWA)</w:t>
      </w:r>
    </w:p>
    <w:p w14:paraId="311DAB71" w14:textId="77777777" w:rsidR="00534AFF" w:rsidRDefault="00D16163">
      <w:pPr>
        <w:pStyle w:val="NormalWeb"/>
        <w:spacing w:before="0" w:after="0"/>
        <w:jc w:val="both"/>
      </w:pPr>
      <w:r>
        <w:t>University of Duhok Center for Peace and Conflict Resolution Studies (CPCRS)</w:t>
      </w:r>
    </w:p>
    <w:p w14:paraId="311DAB72" w14:textId="77777777" w:rsidR="00534AFF" w:rsidRDefault="00D16163">
      <w:pPr>
        <w:pStyle w:val="NormalWeb"/>
        <w:spacing w:before="0" w:after="0"/>
        <w:jc w:val="both"/>
      </w:pPr>
      <w:proofErr w:type="spellStart"/>
      <w:r>
        <w:t>Alind</w:t>
      </w:r>
      <w:proofErr w:type="spellEnd"/>
      <w:r>
        <w:t xml:space="preserve"> Organization for Youth Democracy</w:t>
      </w:r>
    </w:p>
    <w:p w14:paraId="311DAB73" w14:textId="77777777" w:rsidR="00534AFF" w:rsidRDefault="00D16163">
      <w:pPr>
        <w:pStyle w:val="NormalWeb"/>
        <w:spacing w:after="120"/>
      </w:pPr>
      <w:r>
        <w:t> </w:t>
      </w:r>
    </w:p>
    <w:p w14:paraId="311DAB74" w14:textId="77777777" w:rsidR="00534AFF" w:rsidRDefault="00D16163">
      <w:pPr>
        <w:pStyle w:val="NormalWeb"/>
        <w:spacing w:after="120"/>
        <w:jc w:val="both"/>
      </w:pPr>
      <w:r>
        <w:t xml:space="preserve">The Lutheran World Federation, Chemin du </w:t>
      </w:r>
      <w:proofErr w:type="spellStart"/>
      <w:r>
        <w:t>Pavillon</w:t>
      </w:r>
      <w:proofErr w:type="spellEnd"/>
      <w:r>
        <w:t xml:space="preserve"> 2, 1218</w:t>
      </w:r>
      <w:r>
        <w:t xml:space="preserve"> Le Grand-</w:t>
      </w:r>
      <w:proofErr w:type="spellStart"/>
      <w:r>
        <w:t>Saconnex</w:t>
      </w:r>
      <w:proofErr w:type="spellEnd"/>
      <w:r>
        <w:t>, Geneva, Switzerland. </w:t>
      </w:r>
      <w:hyperlink r:id="rId11" w:tooltip="mailto:info@lutheranworld.org" w:history="1">
        <w:r>
          <w:rPr>
            <w:rStyle w:val="Hyperlink"/>
            <w:rFonts w:eastAsia="Yu Gothic Light"/>
          </w:rPr>
          <w:t>info@lutheranworld.org</w:t>
        </w:r>
      </w:hyperlink>
    </w:p>
    <w:p w14:paraId="311DAB75" w14:textId="77777777" w:rsidR="00534AFF" w:rsidRDefault="00D16163">
      <w:pPr>
        <w:pStyle w:val="NormalWeb"/>
        <w:spacing w:after="120"/>
        <w:rPr>
          <w:b/>
          <w:bCs/>
        </w:rPr>
      </w:pPr>
      <w:r>
        <w:rPr>
          <w:b/>
          <w:bCs/>
        </w:rPr>
        <w:t>Contacts:</w:t>
      </w:r>
    </w:p>
    <w:p w14:paraId="311DAB76" w14:textId="77777777" w:rsidR="00534AFF" w:rsidRDefault="00D16163">
      <w:pPr>
        <w:pStyle w:val="NormalWeb"/>
        <w:spacing w:after="120"/>
      </w:pPr>
      <w:r>
        <w:t>Sikhonzile Ndlovu, Senior Advocacy and Gender Justice Officer, LWF Geneva,  </w:t>
      </w:r>
      <w:hyperlink r:id="rId12" w:history="1">
        <w:r>
          <w:rPr>
            <w:rStyle w:val="Hyperlink"/>
            <w:rFonts w:eastAsia="Yu Gothic Light"/>
          </w:rPr>
          <w:t>sikhonzile.Ndlovu@lutheranworld,org</w:t>
        </w:r>
      </w:hyperlink>
    </w:p>
    <w:p w14:paraId="311DAB77" w14:textId="77777777" w:rsidR="00534AFF" w:rsidRDefault="00D16163">
      <w:pPr>
        <w:pStyle w:val="NormalWeb"/>
        <w:spacing w:after="120"/>
      </w:pPr>
      <w:r>
        <w:t>Collins Onyango, Country Representative, LWF Iraq, </w:t>
      </w:r>
      <w:hyperlink r:id="rId13" w:history="1">
        <w:r>
          <w:rPr>
            <w:rStyle w:val="Hyperlink"/>
            <w:rFonts w:eastAsia="Yu Gothic Light"/>
          </w:rPr>
          <w:t>collins.onyango@lutheranworld.org</w:t>
        </w:r>
      </w:hyperlink>
    </w:p>
    <w:p w14:paraId="311DAB78" w14:textId="77777777" w:rsidR="00534AFF" w:rsidRDefault="00D16163">
      <w:pPr>
        <w:pStyle w:val="NormalWeb"/>
        <w:spacing w:after="120"/>
      </w:pPr>
      <w:r>
        <w:t xml:space="preserve">Helan Muhammed, Program Coordinator, LWF </w:t>
      </w:r>
      <w:r>
        <w:t>Iraq, </w:t>
      </w:r>
      <w:hyperlink r:id="rId14" w:tooltip="mailto:Helan.muhammed@lutheranworld.org" w:history="1">
        <w:r>
          <w:rPr>
            <w:rStyle w:val="Hyperlink"/>
            <w:rFonts w:eastAsia="Yu Gothic Light"/>
          </w:rPr>
          <w:t>Helan.muhammed@lutheranworld.org</w:t>
        </w:r>
      </w:hyperlink>
    </w:p>
    <w:p w14:paraId="311DAB79" w14:textId="77777777" w:rsidR="00534AFF" w:rsidRDefault="00534AFF">
      <w:pPr>
        <w:pStyle w:val="NormalWeb"/>
        <w:spacing w:after="120"/>
      </w:pPr>
    </w:p>
    <w:p w14:paraId="311DAB7A" w14:textId="77777777" w:rsidR="00534AFF" w:rsidRDefault="00534AFF">
      <w:pPr>
        <w:pStyle w:val="paragraph"/>
        <w:spacing w:before="0" w:after="0" w:line="360" w:lineRule="auto"/>
        <w:ind w:right="-576"/>
        <w:jc w:val="both"/>
      </w:pPr>
    </w:p>
    <w:p w14:paraId="311DAB7B" w14:textId="77777777" w:rsidR="00534AFF" w:rsidRDefault="00534AFF">
      <w:pPr>
        <w:pStyle w:val="paragraph"/>
        <w:spacing w:before="0" w:after="0" w:line="360" w:lineRule="auto"/>
        <w:ind w:right="-576"/>
        <w:jc w:val="both"/>
      </w:pPr>
    </w:p>
    <w:p w14:paraId="311DAB7C" w14:textId="77777777" w:rsidR="00534AFF" w:rsidRDefault="00534AFF">
      <w:pPr>
        <w:pStyle w:val="paragraph"/>
        <w:spacing w:before="0" w:after="0" w:line="360" w:lineRule="auto"/>
        <w:ind w:right="-576"/>
        <w:jc w:val="both"/>
      </w:pPr>
    </w:p>
    <w:p w14:paraId="311DAB7D" w14:textId="77777777" w:rsidR="00534AFF" w:rsidRDefault="00534AFF">
      <w:pPr>
        <w:pStyle w:val="paragraph"/>
        <w:spacing w:before="0" w:after="0" w:line="360" w:lineRule="auto"/>
        <w:ind w:right="-576"/>
        <w:jc w:val="both"/>
      </w:pPr>
    </w:p>
    <w:p w14:paraId="311DAB7E" w14:textId="77777777" w:rsidR="00534AFF" w:rsidRDefault="00534AFF">
      <w:pPr>
        <w:pStyle w:val="paragraph"/>
        <w:spacing w:before="0" w:after="0" w:line="360" w:lineRule="auto"/>
        <w:ind w:right="-576"/>
        <w:jc w:val="both"/>
      </w:pPr>
    </w:p>
    <w:p w14:paraId="311DAB7F" w14:textId="77777777" w:rsidR="00534AFF" w:rsidRDefault="00534AFF">
      <w:pPr>
        <w:pStyle w:val="paragraph"/>
        <w:spacing w:before="0" w:after="0" w:line="360" w:lineRule="auto"/>
        <w:ind w:right="-576"/>
        <w:jc w:val="both"/>
      </w:pPr>
    </w:p>
    <w:p w14:paraId="311DAB80" w14:textId="77777777" w:rsidR="00534AFF" w:rsidRDefault="00D16163">
      <w:pPr>
        <w:pStyle w:val="paragraph"/>
        <w:spacing w:before="0" w:after="0" w:line="360" w:lineRule="auto"/>
        <w:ind w:right="-576"/>
        <w:jc w:val="both"/>
        <w:rPr>
          <w:b/>
          <w:bCs/>
          <w:color w:val="5B9BD5"/>
          <w:sz w:val="22"/>
          <w:szCs w:val="22"/>
          <w14:shadow w14:blurRad="38036" w14:dist="25323" w14:dir="5400000" w14:sx="100000" w14:sy="100000" w14:kx="0" w14:ky="0" w14:algn="b">
            <w14:srgbClr w14:val="6E747A"/>
          </w14:shadow>
        </w:rPr>
      </w:pPr>
      <w:r>
        <w:rPr>
          <w:b/>
          <w:bCs/>
          <w:color w:val="5B9BD5"/>
          <w:sz w:val="22"/>
          <w:szCs w:val="22"/>
          <w14:shadow w14:blurRad="38036" w14:dist="25323" w14:dir="5400000" w14:sx="100000" w14:sy="100000" w14:kx="0" w14:ky="0" w14:algn="b">
            <w14:srgbClr w14:val="6E747A"/>
          </w14:shadow>
        </w:rPr>
        <w:lastRenderedPageBreak/>
        <w:t>About LWF Iraq</w:t>
      </w:r>
    </w:p>
    <w:p w14:paraId="311DAB81" w14:textId="77777777" w:rsidR="00534AFF" w:rsidRDefault="00D16163">
      <w:pPr>
        <w:pStyle w:val="paragraph"/>
        <w:spacing w:before="0" w:after="0" w:line="360" w:lineRule="auto"/>
        <w:ind w:left="-576" w:right="-576"/>
        <w:jc w:val="both"/>
      </w:pPr>
      <w:r>
        <w:rPr>
          <w:color w:val="000000"/>
          <w:sz w:val="22"/>
          <w:szCs w:val="22"/>
        </w:rPr>
        <w:t xml:space="preserve">The Lutheran World Federation (LWF) is an international humanitarian and </w:t>
      </w:r>
      <w:r>
        <w:rPr>
          <w:color w:val="000000"/>
          <w:sz w:val="22"/>
          <w:szCs w:val="22"/>
        </w:rPr>
        <w:t xml:space="preserve">development organization headquartered in Geneva, operating in more than 25 countries across the world. </w:t>
      </w:r>
      <w:r>
        <w:rPr>
          <w:rStyle w:val="normaltextrun"/>
          <w:rFonts w:eastAsia="Yu Gothic Light"/>
          <w:color w:val="000000"/>
          <w:sz w:val="22"/>
          <w:szCs w:val="22"/>
          <w:shd w:val="clear" w:color="auto" w:fill="FFFFFF"/>
        </w:rPr>
        <w:t>LWF Iraq has intervened in Iraq since 2014, supporting internally displaced people (IDPs), host communities and Syrian refugees in Duhok, Ninewa and Anb</w:t>
      </w:r>
      <w:r>
        <w:rPr>
          <w:rStyle w:val="normaltextrun"/>
          <w:rFonts w:eastAsia="Yu Gothic Light"/>
          <w:color w:val="000000"/>
          <w:sz w:val="22"/>
          <w:szCs w:val="22"/>
          <w:shd w:val="clear" w:color="auto" w:fill="FFFFFF"/>
        </w:rPr>
        <w:t>ar governorates. Priority populations include community members who remained and survived the ISIS occupation; IDPs who fled</w:t>
      </w:r>
      <w:r>
        <w:rPr>
          <w:rStyle w:val="normaltextrun"/>
          <w:rFonts w:eastAsia="Yu Gothic Light"/>
          <w:color w:val="000000"/>
          <w:sz w:val="22"/>
          <w:szCs w:val="22"/>
        </w:rPr>
        <w:t>,</w:t>
      </w:r>
      <w:r>
        <w:rPr>
          <w:rStyle w:val="normaltextrun"/>
          <w:rFonts w:eastAsia="Yu Gothic Light"/>
          <w:color w:val="000000"/>
          <w:sz w:val="22"/>
          <w:szCs w:val="22"/>
          <w:shd w:val="clear" w:color="auto" w:fill="FFFFFF"/>
        </w:rPr>
        <w:t xml:space="preserve"> but are now returning to their homes and IDPs who remain displaced in Kurdistan Region of I</w:t>
      </w:r>
      <w:r>
        <w:rPr>
          <w:rStyle w:val="normaltextrun"/>
          <w:rFonts w:eastAsia="Yu Gothic Light"/>
          <w:color w:val="000000"/>
          <w:sz w:val="22"/>
          <w:szCs w:val="22"/>
        </w:rPr>
        <w:t>raq</w:t>
      </w:r>
      <w:r>
        <w:rPr>
          <w:rStyle w:val="normaltextrun"/>
          <w:rFonts w:eastAsia="Yu Gothic Light"/>
          <w:color w:val="000000"/>
          <w:sz w:val="22"/>
          <w:szCs w:val="22"/>
          <w:shd w:val="clear" w:color="auto" w:fill="FFFFFF"/>
        </w:rPr>
        <w:t xml:space="preserve"> (KRI). </w:t>
      </w:r>
    </w:p>
    <w:p w14:paraId="311DAB82" w14:textId="77777777" w:rsidR="00534AFF" w:rsidRDefault="00D16163">
      <w:pPr>
        <w:pStyle w:val="paragraph"/>
        <w:spacing w:before="0" w:after="0" w:line="360" w:lineRule="auto"/>
        <w:ind w:left="-576" w:right="-576"/>
        <w:jc w:val="both"/>
      </w:pPr>
      <w:r>
        <w:rPr>
          <w:rStyle w:val="normaltextrun"/>
          <w:rFonts w:eastAsia="Yu Gothic Light"/>
          <w:color w:val="000000"/>
          <w:sz w:val="22"/>
          <w:szCs w:val="22"/>
          <w:shd w:val="clear" w:color="auto" w:fill="FFFFFF"/>
        </w:rPr>
        <w:br/>
      </w:r>
      <w:r>
        <w:rPr>
          <w:rStyle w:val="normaltextrun"/>
          <w:rFonts w:eastAsia="Yu Gothic Light"/>
          <w:color w:val="000000"/>
          <w:sz w:val="22"/>
          <w:szCs w:val="22"/>
          <w:shd w:val="clear" w:color="auto" w:fill="FFFFFF"/>
        </w:rPr>
        <w:t>LWF  Iraq focuses on build</w:t>
      </w:r>
      <w:r>
        <w:rPr>
          <w:rStyle w:val="normaltextrun"/>
          <w:rFonts w:eastAsia="Yu Gothic Light"/>
          <w:color w:val="000000"/>
          <w:sz w:val="22"/>
          <w:szCs w:val="22"/>
          <w:shd w:val="clear" w:color="auto" w:fill="FFFFFF"/>
        </w:rPr>
        <w:t>ing resilience of IDPs, host communities, and returnees through: 1) Climate and Resilient Livelihoods: by increasing opportunities for men and women in business rehabilitation and vocational training programs; 2) Quality Services by increasing access to Wa</w:t>
      </w:r>
      <w:r>
        <w:rPr>
          <w:rStyle w:val="normaltextrun"/>
          <w:rFonts w:eastAsia="Yu Gothic Light"/>
          <w:color w:val="000000"/>
          <w:sz w:val="22"/>
          <w:szCs w:val="22"/>
          <w:shd w:val="clear" w:color="auto" w:fill="FFFFFF"/>
        </w:rPr>
        <w:t>ter Sanitation and Health (WASH) facilities and hygiene promotion;  3) Protection and social cohesion by focusing on awareness and capacity building of affected populations on human rights, addressing discrimination and exclusion, empowerment of women as l</w:t>
      </w:r>
      <w:r>
        <w:rPr>
          <w:rStyle w:val="normaltextrun"/>
          <w:rFonts w:eastAsia="Yu Gothic Light"/>
          <w:color w:val="000000"/>
          <w:sz w:val="22"/>
          <w:szCs w:val="22"/>
          <w:shd w:val="clear" w:color="auto" w:fill="FFFFFF"/>
        </w:rPr>
        <w:t xml:space="preserve">eaders and decision makers in their households and communities, and peace building with a bottom-up approach. </w:t>
      </w:r>
      <w:r>
        <w:rPr>
          <w:color w:val="000000"/>
          <w:sz w:val="22"/>
          <w:szCs w:val="22"/>
          <w:shd w:val="clear" w:color="auto" w:fill="FFFFFF"/>
        </w:rPr>
        <w:t>Gender justice, disability inclusion, and climate change adaptation are also integrated across programming.</w:t>
      </w:r>
    </w:p>
    <w:p w14:paraId="311DAB83" w14:textId="77777777" w:rsidR="00534AFF" w:rsidRDefault="00534AFF">
      <w:pPr>
        <w:pStyle w:val="paragraph"/>
        <w:spacing w:before="0" w:after="0" w:line="360" w:lineRule="auto"/>
        <w:ind w:left="-576" w:right="-576"/>
        <w:jc w:val="both"/>
        <w:rPr>
          <w:color w:val="000000"/>
          <w:sz w:val="22"/>
          <w:szCs w:val="22"/>
          <w:shd w:val="clear" w:color="auto" w:fill="FFFFFF"/>
        </w:rPr>
      </w:pPr>
    </w:p>
    <w:p w14:paraId="311DAB84" w14:textId="77777777" w:rsidR="00534AFF" w:rsidRDefault="00D16163">
      <w:pPr>
        <w:pStyle w:val="Heading3"/>
        <w:spacing w:before="0"/>
        <w:ind w:left="-576" w:right="-576"/>
        <w:rPr>
          <w:rFonts w:ascii="Times New Roman" w:hAnsi="Times New Roman"/>
          <w:b/>
          <w:bCs/>
          <w:color w:val="5B9BD5"/>
          <w:sz w:val="22"/>
          <w:szCs w:val="22"/>
          <w14:shadow w14:blurRad="38036" w14:dist="25323" w14:dir="5400000" w14:sx="100000" w14:sy="100000" w14:kx="0" w14:ky="0" w14:algn="b">
            <w14:srgbClr w14:val="6E747A"/>
          </w14:shadow>
        </w:rPr>
      </w:pPr>
      <w:bookmarkStart w:id="0" w:name="_Toc171343184"/>
      <w:bookmarkStart w:id="1" w:name="_Toc171343502"/>
      <w:bookmarkStart w:id="2" w:name="_Toc172014342"/>
      <w:r>
        <w:rPr>
          <w:rFonts w:ascii="Times New Roman" w:hAnsi="Times New Roman"/>
          <w:b/>
          <w:bCs/>
          <w:color w:val="5B9BD5"/>
          <w:sz w:val="22"/>
          <w:szCs w:val="22"/>
          <w14:shadow w14:blurRad="38036" w14:dist="25323" w14:dir="5400000" w14:sx="100000" w14:sy="100000" w14:kx="0" w14:ky="0" w14:algn="b">
            <w14:srgbClr w14:val="6E747A"/>
          </w14:shadow>
        </w:rPr>
        <w:t xml:space="preserve">About Baghdad Women </w:t>
      </w:r>
      <w:r>
        <w:rPr>
          <w:rFonts w:ascii="Times New Roman" w:hAnsi="Times New Roman"/>
          <w:b/>
          <w:bCs/>
          <w:color w:val="5B9BD5"/>
          <w:sz w:val="22"/>
          <w:szCs w:val="22"/>
          <w14:shadow w14:blurRad="38036" w14:dist="25323" w14:dir="5400000" w14:sx="100000" w14:sy="100000" w14:kx="0" w14:ky="0" w14:algn="b">
            <w14:srgbClr w14:val="6E747A"/>
          </w14:shadow>
        </w:rPr>
        <w:t>Organization</w:t>
      </w:r>
      <w:bookmarkEnd w:id="0"/>
      <w:bookmarkEnd w:id="1"/>
      <w:bookmarkEnd w:id="2"/>
      <w:r>
        <w:rPr>
          <w:rFonts w:ascii="Times New Roman" w:hAnsi="Times New Roman"/>
          <w:b/>
          <w:bCs/>
          <w:color w:val="5B9BD5"/>
          <w:sz w:val="22"/>
          <w:szCs w:val="22"/>
          <w14:shadow w14:blurRad="38036" w14:dist="25323" w14:dir="5400000" w14:sx="100000" w14:sy="100000" w14:kx="0" w14:ky="0" w14:algn="b">
            <w14:srgbClr w14:val="6E747A"/>
          </w14:shadow>
        </w:rPr>
        <w:t xml:space="preserve">  </w:t>
      </w:r>
    </w:p>
    <w:p w14:paraId="311DAB85" w14:textId="77777777" w:rsidR="00534AFF" w:rsidRDefault="00D16163">
      <w:pPr>
        <w:pStyle w:val="paragraph"/>
        <w:spacing w:before="0" w:line="360" w:lineRule="auto"/>
        <w:ind w:left="-576" w:right="-576"/>
        <w:jc w:val="both"/>
      </w:pPr>
      <w:r>
        <w:rPr>
          <w:color w:val="000000"/>
          <w:sz w:val="22"/>
          <w:szCs w:val="22"/>
        </w:rPr>
        <w:t>Baghdad Women Association (BWA) was established in 2004. It is an association dedicated to serving the needs of women and girls, by providing essential support to address the profound challenges faced by Iraqi women. The formation of BWA was</w:t>
      </w:r>
      <w:r>
        <w:rPr>
          <w:color w:val="000000"/>
          <w:sz w:val="22"/>
          <w:szCs w:val="22"/>
        </w:rPr>
        <w:t xml:space="preserve"> a response to the extensive suffering experienced by Iraqi women, transcending all facets of their lives — be it within the family unit, community dynamics, or political spheres. This adversity affects women from the earliest stages of development, impact</w:t>
      </w:r>
      <w:r>
        <w:rPr>
          <w:color w:val="000000"/>
          <w:sz w:val="22"/>
          <w:szCs w:val="22"/>
        </w:rPr>
        <w:t>ing them throughout their lives. Beyond contending with economic hardship, deprivation, and substandard living conditions during the lean years of the economic blockade imposed on Iraq and the prolonged international wars, Iraqi women grappled with profoun</w:t>
      </w:r>
      <w:r>
        <w:rPr>
          <w:color w:val="000000"/>
          <w:sz w:val="22"/>
          <w:szCs w:val="22"/>
        </w:rPr>
        <w:t>d personal losses. In response to these pressing challenges, BWA was founded as a beacon of support and empowerment, pursuing the holistic well-being of Iraqi women and girls. The organization has since evolved with a steadfast commitment to combatting vio</w:t>
      </w:r>
      <w:r>
        <w:rPr>
          <w:color w:val="000000"/>
          <w:sz w:val="22"/>
          <w:szCs w:val="22"/>
        </w:rPr>
        <w:t>lence, advocating for women's rights, and fostering positive change in the lives of those it serves.</w:t>
      </w:r>
    </w:p>
    <w:p w14:paraId="311DAB86" w14:textId="77777777" w:rsidR="00534AFF" w:rsidRDefault="00534AFF">
      <w:pPr>
        <w:pStyle w:val="paragraph"/>
        <w:spacing w:before="0" w:line="360" w:lineRule="auto"/>
        <w:ind w:left="-576" w:right="-576"/>
        <w:jc w:val="both"/>
        <w:rPr>
          <w:color w:val="000000"/>
          <w:sz w:val="22"/>
          <w:szCs w:val="22"/>
        </w:rPr>
      </w:pPr>
    </w:p>
    <w:p w14:paraId="311DAB87" w14:textId="77777777" w:rsidR="00534AFF" w:rsidRDefault="00D16163">
      <w:pPr>
        <w:pStyle w:val="Heading3"/>
        <w:spacing w:before="0"/>
        <w:ind w:left="-576" w:right="-576"/>
        <w:rPr>
          <w:rFonts w:ascii="Times New Roman" w:hAnsi="Times New Roman"/>
          <w:b/>
          <w:bCs/>
          <w:color w:val="5B9BD5"/>
          <w:sz w:val="22"/>
          <w:szCs w:val="22"/>
          <w14:shadow w14:blurRad="38036" w14:dist="25323" w14:dir="5400000" w14:sx="100000" w14:sy="100000" w14:kx="0" w14:ky="0" w14:algn="b">
            <w14:srgbClr w14:val="6E747A"/>
          </w14:shadow>
        </w:rPr>
      </w:pPr>
      <w:bookmarkStart w:id="3" w:name="_Toc171343185"/>
      <w:bookmarkStart w:id="4" w:name="_Toc171343503"/>
      <w:bookmarkStart w:id="5" w:name="_Toc172014343"/>
      <w:r>
        <w:rPr>
          <w:rFonts w:ascii="Times New Roman" w:hAnsi="Times New Roman"/>
          <w:b/>
          <w:bCs/>
          <w:color w:val="5B9BD5"/>
          <w:sz w:val="22"/>
          <w:szCs w:val="22"/>
          <w14:shadow w14:blurRad="38036" w14:dist="25323" w14:dir="5400000" w14:sx="100000" w14:sy="100000" w14:kx="0" w14:ky="0" w14:algn="b">
            <w14:srgbClr w14:val="6E747A"/>
          </w14:shadow>
        </w:rPr>
        <w:t>About University of Duhok Center for Peace and Conflict Resolution Studies (CPCRS)</w:t>
      </w:r>
      <w:bookmarkEnd w:id="3"/>
      <w:bookmarkEnd w:id="4"/>
      <w:bookmarkEnd w:id="5"/>
    </w:p>
    <w:p w14:paraId="311DAB88" w14:textId="77777777" w:rsidR="00534AFF" w:rsidRDefault="00D16163">
      <w:pPr>
        <w:pStyle w:val="NormalWeb"/>
        <w:spacing w:before="0" w:line="360" w:lineRule="auto"/>
        <w:ind w:left="-576" w:right="-576"/>
        <w:jc w:val="both"/>
      </w:pPr>
      <w:r>
        <w:rPr>
          <w:color w:val="000000"/>
          <w:sz w:val="22"/>
          <w:szCs w:val="22"/>
        </w:rPr>
        <w:t>CPCRS was created in 2002, where it served as the University of Duhok’s</w:t>
      </w:r>
      <w:r>
        <w:rPr>
          <w:color w:val="000000"/>
          <w:sz w:val="22"/>
          <w:szCs w:val="22"/>
        </w:rPr>
        <w:t xml:space="preserve"> institutional home for the Academic Consortium for Cooperation and Conflict Resolution, an international network of organizations dedicated to peaceful resolution of conflict in the Kurdistan Region of Iraq. Cooperating partners included the University of</w:t>
      </w:r>
      <w:r>
        <w:rPr>
          <w:color w:val="000000"/>
          <w:sz w:val="22"/>
          <w:szCs w:val="22"/>
        </w:rPr>
        <w:t xml:space="preserve"> Duhok, Salah Al-</w:t>
      </w:r>
      <w:proofErr w:type="spellStart"/>
      <w:r>
        <w:rPr>
          <w:color w:val="000000"/>
          <w:sz w:val="22"/>
          <w:szCs w:val="22"/>
        </w:rPr>
        <w:t>Deen</w:t>
      </w:r>
      <w:proofErr w:type="spellEnd"/>
      <w:r>
        <w:rPr>
          <w:color w:val="000000"/>
          <w:sz w:val="22"/>
          <w:szCs w:val="22"/>
        </w:rPr>
        <w:t xml:space="preserve"> University (Erbil), and the University of Sulaymaniyah, as well as Columbia University’s Center for International Conflict Resolution, American University’s Center for Global Peace, and the Conflict Management Group. The Center conduc</w:t>
      </w:r>
      <w:r>
        <w:rPr>
          <w:color w:val="000000"/>
          <w:sz w:val="22"/>
          <w:szCs w:val="22"/>
        </w:rPr>
        <w:t xml:space="preserve">ts research on subjects related to peace and conflict in the Kurdistan Region of Iraq, hosts seminars and workshops </w:t>
      </w:r>
      <w:r>
        <w:rPr>
          <w:color w:val="000000"/>
          <w:sz w:val="22"/>
          <w:szCs w:val="22"/>
        </w:rPr>
        <w:lastRenderedPageBreak/>
        <w:t>with local and national stakeholders in politics and civil society and engages with international partners, conducts research, which can con</w:t>
      </w:r>
      <w:r>
        <w:rPr>
          <w:color w:val="000000"/>
          <w:sz w:val="22"/>
          <w:szCs w:val="22"/>
        </w:rPr>
        <w:t>tribute to increased peacefulness in the Kurdistan Region and Iraq more broadly.</w:t>
      </w:r>
    </w:p>
    <w:p w14:paraId="311DAB89" w14:textId="77777777" w:rsidR="00534AFF" w:rsidRDefault="00534AFF">
      <w:pPr>
        <w:pStyle w:val="NormalWeb"/>
        <w:spacing w:before="0" w:line="360" w:lineRule="auto"/>
        <w:ind w:left="-576" w:right="-576"/>
        <w:jc w:val="both"/>
        <w:rPr>
          <w:color w:val="000000"/>
          <w:sz w:val="22"/>
          <w:szCs w:val="22"/>
        </w:rPr>
      </w:pPr>
    </w:p>
    <w:p w14:paraId="311DAB8A" w14:textId="77777777" w:rsidR="00534AFF" w:rsidRDefault="00D16163">
      <w:pPr>
        <w:pStyle w:val="Heading3"/>
        <w:spacing w:before="0"/>
        <w:ind w:left="-576" w:right="-576"/>
        <w:rPr>
          <w:rFonts w:ascii="Times New Roman" w:hAnsi="Times New Roman"/>
          <w:b/>
          <w:bCs/>
          <w:color w:val="5B9BD5"/>
          <w:sz w:val="22"/>
          <w:szCs w:val="22"/>
          <w14:shadow w14:blurRad="38036" w14:dist="25323" w14:dir="5400000" w14:sx="100000" w14:sy="100000" w14:kx="0" w14:ky="0" w14:algn="b">
            <w14:srgbClr w14:val="6E747A"/>
          </w14:shadow>
        </w:rPr>
      </w:pPr>
      <w:bookmarkStart w:id="6" w:name="_Toc171343186"/>
      <w:bookmarkStart w:id="7" w:name="_Toc171343504"/>
      <w:bookmarkStart w:id="8" w:name="_Toc172014344"/>
      <w:r>
        <w:rPr>
          <w:rFonts w:ascii="Times New Roman" w:hAnsi="Times New Roman"/>
          <w:b/>
          <w:bCs/>
          <w:color w:val="5B9BD5"/>
          <w:sz w:val="22"/>
          <w:szCs w:val="22"/>
          <w14:shadow w14:blurRad="38036" w14:dist="25323" w14:dir="5400000" w14:sx="100000" w14:sy="100000" w14:kx="0" w14:ky="0" w14:algn="b">
            <w14:srgbClr w14:val="6E747A"/>
          </w14:shadow>
        </w:rPr>
        <w:t xml:space="preserve">About </w:t>
      </w:r>
      <w:proofErr w:type="spellStart"/>
      <w:r>
        <w:rPr>
          <w:rFonts w:ascii="Times New Roman" w:hAnsi="Times New Roman"/>
          <w:b/>
          <w:bCs/>
          <w:color w:val="5B9BD5"/>
          <w:sz w:val="22"/>
          <w:szCs w:val="22"/>
          <w14:shadow w14:blurRad="38036" w14:dist="25323" w14:dir="5400000" w14:sx="100000" w14:sy="100000" w14:kx="0" w14:ky="0" w14:algn="b">
            <w14:srgbClr w14:val="6E747A"/>
          </w14:shadow>
        </w:rPr>
        <w:t>Alind</w:t>
      </w:r>
      <w:proofErr w:type="spellEnd"/>
      <w:r>
        <w:rPr>
          <w:rFonts w:ascii="Times New Roman" w:hAnsi="Times New Roman"/>
          <w:b/>
          <w:bCs/>
          <w:color w:val="5B9BD5"/>
          <w:sz w:val="22"/>
          <w:szCs w:val="22"/>
          <w14:shadow w14:blurRad="38036" w14:dist="25323" w14:dir="5400000" w14:sx="100000" w14:sy="100000" w14:kx="0" w14:ky="0" w14:algn="b">
            <w14:srgbClr w14:val="6E747A"/>
          </w14:shadow>
        </w:rPr>
        <w:t xml:space="preserve"> Organization</w:t>
      </w:r>
      <w:bookmarkEnd w:id="6"/>
      <w:bookmarkEnd w:id="7"/>
      <w:bookmarkEnd w:id="8"/>
      <w:r>
        <w:rPr>
          <w:rFonts w:ascii="Times New Roman" w:hAnsi="Times New Roman"/>
          <w:b/>
          <w:bCs/>
          <w:color w:val="5B9BD5"/>
          <w:sz w:val="22"/>
          <w:szCs w:val="22"/>
          <w14:shadow w14:blurRad="38036" w14:dist="25323" w14:dir="5400000" w14:sx="100000" w14:sy="100000" w14:kx="0" w14:ky="0" w14:algn="b">
            <w14:srgbClr w14:val="6E747A"/>
          </w14:shadow>
        </w:rPr>
        <w:t xml:space="preserve"> </w:t>
      </w:r>
    </w:p>
    <w:p w14:paraId="311DAB8B" w14:textId="77777777" w:rsidR="00534AFF" w:rsidRDefault="00D16163">
      <w:pPr>
        <w:pStyle w:val="NormalWeb"/>
        <w:spacing w:before="0" w:line="360" w:lineRule="auto"/>
        <w:ind w:left="-576" w:right="-576"/>
        <w:jc w:val="both"/>
      </w:pPr>
      <w:proofErr w:type="spellStart"/>
      <w:r>
        <w:rPr>
          <w:color w:val="000000"/>
          <w:sz w:val="22"/>
          <w:szCs w:val="22"/>
        </w:rPr>
        <w:t>Alind</w:t>
      </w:r>
      <w:proofErr w:type="spellEnd"/>
      <w:r>
        <w:rPr>
          <w:color w:val="000000"/>
          <w:sz w:val="22"/>
          <w:szCs w:val="22"/>
        </w:rPr>
        <w:t xml:space="preserve"> is a national independent non-governmental, non-political organization dedicated to humanitarian relief and sustainable development in Iraq. S</w:t>
      </w:r>
      <w:r>
        <w:rPr>
          <w:color w:val="000000"/>
          <w:sz w:val="22"/>
          <w:szCs w:val="22"/>
        </w:rPr>
        <w:t xml:space="preserve">ince its establishment in 2005, </w:t>
      </w:r>
      <w:proofErr w:type="spellStart"/>
      <w:r>
        <w:rPr>
          <w:color w:val="000000"/>
          <w:sz w:val="22"/>
          <w:szCs w:val="22"/>
        </w:rPr>
        <w:t>Alind</w:t>
      </w:r>
      <w:proofErr w:type="spellEnd"/>
      <w:r>
        <w:rPr>
          <w:color w:val="000000"/>
          <w:sz w:val="22"/>
          <w:szCs w:val="22"/>
        </w:rPr>
        <w:t xml:space="preserve"> has been committed to supporting those in urgent need, particularly focusing on youth, both young men and women, and children. By combining immediate humanitarian relief with long-term developmental strategies, </w:t>
      </w:r>
      <w:proofErr w:type="spellStart"/>
      <w:r>
        <w:rPr>
          <w:color w:val="000000"/>
          <w:sz w:val="22"/>
          <w:szCs w:val="22"/>
        </w:rPr>
        <w:t>Alind</w:t>
      </w:r>
      <w:proofErr w:type="spellEnd"/>
      <w:r>
        <w:rPr>
          <w:color w:val="000000"/>
          <w:sz w:val="22"/>
          <w:szCs w:val="22"/>
        </w:rPr>
        <w:t xml:space="preserve"> s</w:t>
      </w:r>
      <w:r>
        <w:rPr>
          <w:color w:val="000000"/>
          <w:sz w:val="22"/>
          <w:szCs w:val="22"/>
        </w:rPr>
        <w:t xml:space="preserve">trives to create a resilient, inclusive, and empowered Iraqi society. </w:t>
      </w:r>
      <w:proofErr w:type="spellStart"/>
      <w:proofErr w:type="gramStart"/>
      <w:r>
        <w:rPr>
          <w:color w:val="000000"/>
          <w:sz w:val="22"/>
          <w:szCs w:val="22"/>
        </w:rPr>
        <w:t>Alind</w:t>
      </w:r>
      <w:proofErr w:type="spellEnd"/>
      <w:r>
        <w:rPr>
          <w:color w:val="000000"/>
          <w:sz w:val="22"/>
          <w:szCs w:val="22"/>
        </w:rPr>
        <w:t xml:space="preserve">  endeavors</w:t>
      </w:r>
      <w:proofErr w:type="gramEnd"/>
      <w:r>
        <w:rPr>
          <w:color w:val="000000"/>
          <w:sz w:val="22"/>
          <w:szCs w:val="22"/>
        </w:rPr>
        <w:t xml:space="preserve"> to respond to humanitarian crises, build resilience, promotes peace and sustainable growth. </w:t>
      </w:r>
      <w:proofErr w:type="spellStart"/>
      <w:r>
        <w:rPr>
          <w:color w:val="000000"/>
          <w:sz w:val="22"/>
          <w:szCs w:val="22"/>
        </w:rPr>
        <w:t>Alind</w:t>
      </w:r>
      <w:proofErr w:type="spellEnd"/>
      <w:r>
        <w:rPr>
          <w:color w:val="000000"/>
          <w:sz w:val="22"/>
          <w:szCs w:val="22"/>
        </w:rPr>
        <w:t xml:space="preserve"> develops and implements programs that target the most vulnerable amongs</w:t>
      </w:r>
      <w:r>
        <w:rPr>
          <w:color w:val="000000"/>
          <w:sz w:val="22"/>
          <w:szCs w:val="22"/>
        </w:rPr>
        <w:t xml:space="preserve">t the population, those that have suffered from conflict, natural disaster, or socio-economic hardship. </w:t>
      </w:r>
      <w:proofErr w:type="spellStart"/>
      <w:r>
        <w:rPr>
          <w:color w:val="000000"/>
          <w:sz w:val="22"/>
          <w:szCs w:val="22"/>
        </w:rPr>
        <w:t>Alinds</w:t>
      </w:r>
      <w:proofErr w:type="spellEnd"/>
      <w:r>
        <w:rPr>
          <w:color w:val="000000"/>
          <w:sz w:val="22"/>
          <w:szCs w:val="22"/>
        </w:rPr>
        <w:t xml:space="preserve"> approach looks beyond the immediate emergency towards opportunities for long term livelihoods reconstruction and sustainable development. Strengt</w:t>
      </w:r>
      <w:r>
        <w:rPr>
          <w:color w:val="000000"/>
          <w:sz w:val="22"/>
          <w:szCs w:val="22"/>
        </w:rPr>
        <w:t>hening and rehabilitating young people, especially young women, and taking into consideration the marginalized and those with special needs without discrimination of women and girls, religion and ethnicity, and raising their capabilities in all fields, esp</w:t>
      </w:r>
      <w:r>
        <w:rPr>
          <w:color w:val="000000"/>
          <w:sz w:val="22"/>
          <w:szCs w:val="22"/>
        </w:rPr>
        <w:t>ecially professional.</w:t>
      </w:r>
    </w:p>
    <w:p w14:paraId="311DAB8C" w14:textId="77777777" w:rsidR="00534AFF" w:rsidRDefault="00534AFF">
      <w:pPr>
        <w:pStyle w:val="NormalWeb"/>
        <w:spacing w:line="360" w:lineRule="auto"/>
        <w:jc w:val="both"/>
        <w:rPr>
          <w:color w:val="000000"/>
          <w:sz w:val="22"/>
          <w:szCs w:val="22"/>
        </w:rPr>
      </w:pPr>
    </w:p>
    <w:p w14:paraId="311DAB8D" w14:textId="77777777" w:rsidR="00534AFF" w:rsidRDefault="00534AFF">
      <w:pPr>
        <w:pStyle w:val="NormalWeb"/>
        <w:tabs>
          <w:tab w:val="left" w:pos="2486"/>
        </w:tabs>
        <w:spacing w:line="360" w:lineRule="auto"/>
        <w:jc w:val="both"/>
        <w:rPr>
          <w:color w:val="000000"/>
          <w:sz w:val="22"/>
          <w:szCs w:val="22"/>
        </w:rPr>
      </w:pPr>
    </w:p>
    <w:p w14:paraId="311DAB8E" w14:textId="77777777" w:rsidR="00534AFF" w:rsidRDefault="00534AFF">
      <w:pPr>
        <w:pStyle w:val="NormalWeb"/>
        <w:tabs>
          <w:tab w:val="left" w:pos="2486"/>
        </w:tabs>
        <w:spacing w:line="360" w:lineRule="auto"/>
        <w:jc w:val="both"/>
        <w:rPr>
          <w:color w:val="000000"/>
          <w:sz w:val="22"/>
          <w:szCs w:val="22"/>
        </w:rPr>
      </w:pPr>
    </w:p>
    <w:p w14:paraId="311DAB8F" w14:textId="77777777" w:rsidR="00534AFF" w:rsidRDefault="00534AFF">
      <w:pPr>
        <w:pStyle w:val="NormalWeb"/>
        <w:tabs>
          <w:tab w:val="left" w:pos="2486"/>
        </w:tabs>
        <w:spacing w:line="360" w:lineRule="auto"/>
        <w:jc w:val="both"/>
        <w:rPr>
          <w:color w:val="000000"/>
          <w:sz w:val="22"/>
          <w:szCs w:val="22"/>
        </w:rPr>
      </w:pPr>
    </w:p>
    <w:p w14:paraId="311DAB90" w14:textId="77777777" w:rsidR="00534AFF" w:rsidRDefault="00534AFF">
      <w:pPr>
        <w:pStyle w:val="NormalWeb"/>
        <w:tabs>
          <w:tab w:val="left" w:pos="2486"/>
        </w:tabs>
        <w:spacing w:line="360" w:lineRule="auto"/>
        <w:jc w:val="both"/>
        <w:rPr>
          <w:color w:val="000000"/>
          <w:sz w:val="22"/>
          <w:szCs w:val="22"/>
        </w:rPr>
      </w:pPr>
    </w:p>
    <w:p w14:paraId="311DAB91" w14:textId="77777777" w:rsidR="00534AFF" w:rsidRDefault="00534AFF">
      <w:pPr>
        <w:pStyle w:val="NormalWeb"/>
        <w:tabs>
          <w:tab w:val="left" w:pos="2486"/>
        </w:tabs>
        <w:spacing w:line="360" w:lineRule="auto"/>
        <w:jc w:val="both"/>
        <w:rPr>
          <w:color w:val="000000"/>
          <w:sz w:val="22"/>
          <w:szCs w:val="22"/>
        </w:rPr>
      </w:pPr>
    </w:p>
    <w:p w14:paraId="311DAB92" w14:textId="77777777" w:rsidR="00534AFF" w:rsidRDefault="00534AFF">
      <w:pPr>
        <w:pStyle w:val="NormalWeb"/>
        <w:tabs>
          <w:tab w:val="left" w:pos="2486"/>
        </w:tabs>
        <w:spacing w:line="360" w:lineRule="auto"/>
        <w:jc w:val="both"/>
        <w:rPr>
          <w:color w:val="000000"/>
          <w:sz w:val="22"/>
          <w:szCs w:val="22"/>
        </w:rPr>
      </w:pPr>
    </w:p>
    <w:p w14:paraId="311DAB93" w14:textId="77777777" w:rsidR="00534AFF" w:rsidRDefault="00534AFF">
      <w:pPr>
        <w:pStyle w:val="NormalWeb"/>
        <w:tabs>
          <w:tab w:val="left" w:pos="2486"/>
        </w:tabs>
        <w:spacing w:line="360" w:lineRule="auto"/>
        <w:jc w:val="both"/>
        <w:rPr>
          <w:color w:val="000000"/>
          <w:sz w:val="22"/>
          <w:szCs w:val="22"/>
        </w:rPr>
      </w:pPr>
    </w:p>
    <w:p w14:paraId="311DAB94" w14:textId="77777777" w:rsidR="00534AFF" w:rsidRDefault="00534AFF">
      <w:pPr>
        <w:pStyle w:val="NormalWeb"/>
        <w:tabs>
          <w:tab w:val="left" w:pos="2486"/>
        </w:tabs>
        <w:spacing w:line="360" w:lineRule="auto"/>
        <w:jc w:val="both"/>
        <w:rPr>
          <w:color w:val="000000"/>
          <w:sz w:val="22"/>
          <w:szCs w:val="22"/>
        </w:rPr>
      </w:pPr>
    </w:p>
    <w:p w14:paraId="311DAB95" w14:textId="77777777" w:rsidR="00534AFF" w:rsidRDefault="00534AFF">
      <w:pPr>
        <w:pStyle w:val="NormalWeb"/>
        <w:tabs>
          <w:tab w:val="left" w:pos="2486"/>
        </w:tabs>
        <w:spacing w:line="360" w:lineRule="auto"/>
        <w:jc w:val="both"/>
        <w:rPr>
          <w:color w:val="000000"/>
          <w:sz w:val="22"/>
          <w:szCs w:val="22"/>
        </w:rPr>
      </w:pPr>
    </w:p>
    <w:p w14:paraId="311DAB96" w14:textId="77777777" w:rsidR="00534AFF" w:rsidRDefault="00534AFF">
      <w:pPr>
        <w:pStyle w:val="NormalWeb"/>
        <w:tabs>
          <w:tab w:val="left" w:pos="2486"/>
        </w:tabs>
        <w:spacing w:line="360" w:lineRule="auto"/>
        <w:jc w:val="both"/>
        <w:rPr>
          <w:color w:val="000000"/>
          <w:sz w:val="22"/>
          <w:szCs w:val="22"/>
        </w:rPr>
      </w:pPr>
    </w:p>
    <w:p w14:paraId="311DAB97" w14:textId="77777777" w:rsidR="00534AFF" w:rsidRDefault="00D16163">
      <w:pPr>
        <w:pStyle w:val="NormalWeb"/>
        <w:tabs>
          <w:tab w:val="left" w:pos="2486"/>
        </w:tabs>
        <w:spacing w:line="360" w:lineRule="auto"/>
        <w:jc w:val="both"/>
        <w:rPr>
          <w:color w:val="000000"/>
          <w:sz w:val="22"/>
          <w:szCs w:val="22"/>
        </w:rPr>
      </w:pPr>
      <w:r>
        <w:rPr>
          <w:color w:val="000000"/>
          <w:sz w:val="22"/>
          <w:szCs w:val="22"/>
        </w:rPr>
        <w:tab/>
      </w:r>
    </w:p>
    <w:p w14:paraId="311DAB98" w14:textId="77777777" w:rsidR="00534AFF" w:rsidRDefault="00534AFF">
      <w:pPr>
        <w:pStyle w:val="NormalWeb"/>
        <w:tabs>
          <w:tab w:val="left" w:pos="2486"/>
        </w:tabs>
        <w:spacing w:line="360" w:lineRule="auto"/>
        <w:jc w:val="both"/>
        <w:rPr>
          <w:color w:val="000000"/>
          <w:sz w:val="22"/>
          <w:szCs w:val="22"/>
        </w:rPr>
      </w:pPr>
    </w:p>
    <w:p w14:paraId="311DAB99" w14:textId="77777777" w:rsidR="00534AFF" w:rsidRDefault="00534AFF">
      <w:pPr>
        <w:pStyle w:val="NormalWeb"/>
        <w:tabs>
          <w:tab w:val="left" w:pos="2486"/>
        </w:tabs>
        <w:spacing w:line="360" w:lineRule="auto"/>
        <w:jc w:val="both"/>
        <w:rPr>
          <w:color w:val="000000"/>
          <w:sz w:val="22"/>
          <w:szCs w:val="22"/>
        </w:rPr>
      </w:pPr>
    </w:p>
    <w:p w14:paraId="311DAB9A" w14:textId="77777777" w:rsidR="00534AFF" w:rsidRDefault="00534AFF">
      <w:pPr>
        <w:pStyle w:val="NormalWeb"/>
        <w:tabs>
          <w:tab w:val="left" w:pos="2486"/>
        </w:tabs>
        <w:spacing w:line="360" w:lineRule="auto"/>
        <w:jc w:val="both"/>
        <w:rPr>
          <w:color w:val="000000"/>
          <w:sz w:val="22"/>
          <w:szCs w:val="22"/>
        </w:rPr>
      </w:pPr>
    </w:p>
    <w:p w14:paraId="311DAB9B" w14:textId="77777777" w:rsidR="00534AFF" w:rsidRDefault="00534AFF">
      <w:pPr>
        <w:pStyle w:val="NormalWeb"/>
        <w:tabs>
          <w:tab w:val="left" w:pos="2486"/>
        </w:tabs>
        <w:spacing w:line="360" w:lineRule="auto"/>
        <w:jc w:val="both"/>
        <w:rPr>
          <w:color w:val="000000"/>
          <w:sz w:val="22"/>
          <w:szCs w:val="22"/>
        </w:rPr>
      </w:pPr>
    </w:p>
    <w:p w14:paraId="311DAB9C" w14:textId="77777777" w:rsidR="00534AFF" w:rsidRDefault="00D16163">
      <w:pPr>
        <w:pStyle w:val="TOCHeading"/>
        <w:outlineLvl w:val="9"/>
      </w:pPr>
      <w:r>
        <w:rPr>
          <w:rFonts w:ascii="Times New Roman" w:hAnsi="Times New Roman"/>
          <w:sz w:val="22"/>
          <w:szCs w:val="22"/>
        </w:rPr>
        <w:t>Content</w:t>
      </w:r>
    </w:p>
    <w:p w14:paraId="311DAB9D" w14:textId="77777777" w:rsidR="00534AFF" w:rsidRDefault="00534AFF"/>
    <w:p w14:paraId="311DAB9E" w14:textId="77777777" w:rsidR="00534AFF" w:rsidRDefault="00D16163">
      <w:pPr>
        <w:pStyle w:val="TOC3"/>
      </w:pPr>
      <w:r>
        <w:rPr>
          <w:kern w:val="0"/>
          <w:sz w:val="20"/>
          <w:szCs w:val="20"/>
          <w:lang w:val="en-US"/>
        </w:rPr>
        <w:fldChar w:fldCharType="begin"/>
      </w:r>
      <w:r>
        <w:instrText xml:space="preserve"> TOC \o "1-3" \u \h </w:instrText>
      </w:r>
      <w:r>
        <w:rPr>
          <w:kern w:val="0"/>
          <w:sz w:val="20"/>
          <w:szCs w:val="20"/>
          <w:lang w:val="en-US"/>
        </w:rPr>
        <w:fldChar w:fldCharType="separate"/>
      </w:r>
      <w:hyperlink r:id="rId15" w:history="1">
        <w:r>
          <w:rPr>
            <w:rStyle w:val="Hyperlink"/>
            <w:rFonts w:ascii="Times New Roman" w:hAnsi="Times New Roman" w:cs="Times New Roman"/>
            <w:sz w:val="22"/>
            <w:szCs w:val="22"/>
          </w:rPr>
          <w:t>About LWF Iraq</w:t>
        </w:r>
        <w:r>
          <w:rPr>
            <w:rFonts w:ascii="Times New Roman" w:hAnsi="Times New Roman" w:cs="Times New Roman"/>
            <w:sz w:val="22"/>
            <w:szCs w:val="22"/>
          </w:rPr>
          <w:tab/>
          <w:t>1</w:t>
        </w:r>
      </w:hyperlink>
    </w:p>
    <w:p w14:paraId="311DAB9F" w14:textId="77777777" w:rsidR="00534AFF" w:rsidRDefault="00D16163">
      <w:pPr>
        <w:pStyle w:val="TOC3"/>
      </w:pPr>
      <w:hyperlink r:id="rId16" w:history="1">
        <w:r>
          <w:rPr>
            <w:rStyle w:val="Hyperlink"/>
            <w:rFonts w:ascii="Times New Roman" w:hAnsi="Times New Roman" w:cs="Times New Roman"/>
            <w:sz w:val="22"/>
            <w:szCs w:val="22"/>
          </w:rPr>
          <w:t>About Baghdad Women Organization</w:t>
        </w:r>
        <w:r>
          <w:rPr>
            <w:rFonts w:ascii="Times New Roman" w:hAnsi="Times New Roman" w:cs="Times New Roman"/>
            <w:sz w:val="22"/>
            <w:szCs w:val="22"/>
          </w:rPr>
          <w:tab/>
          <w:t>1</w:t>
        </w:r>
      </w:hyperlink>
    </w:p>
    <w:p w14:paraId="311DABA0" w14:textId="77777777" w:rsidR="00534AFF" w:rsidRDefault="00D16163">
      <w:pPr>
        <w:pStyle w:val="TOC3"/>
      </w:pPr>
      <w:hyperlink r:id="rId17" w:history="1">
        <w:r>
          <w:rPr>
            <w:rStyle w:val="Hyperlink"/>
            <w:rFonts w:ascii="Times New Roman" w:hAnsi="Times New Roman" w:cs="Times New Roman"/>
            <w:sz w:val="22"/>
            <w:szCs w:val="22"/>
          </w:rPr>
          <w:t xml:space="preserve">About University of Duhok Center for </w:t>
        </w:r>
        <w:r>
          <w:rPr>
            <w:rStyle w:val="Hyperlink"/>
            <w:rFonts w:ascii="Times New Roman" w:hAnsi="Times New Roman" w:cs="Times New Roman"/>
            <w:sz w:val="22"/>
            <w:szCs w:val="22"/>
          </w:rPr>
          <w:t>Peace and Conflict Resolution Studies (CPCRS).</w:t>
        </w:r>
        <w:r>
          <w:rPr>
            <w:rFonts w:ascii="Times New Roman" w:hAnsi="Times New Roman" w:cs="Times New Roman"/>
            <w:sz w:val="22"/>
            <w:szCs w:val="22"/>
          </w:rPr>
          <w:tab/>
          <w:t>2</w:t>
        </w:r>
      </w:hyperlink>
    </w:p>
    <w:p w14:paraId="311DABA1" w14:textId="77777777" w:rsidR="00534AFF" w:rsidRDefault="00D16163">
      <w:pPr>
        <w:pStyle w:val="TOC3"/>
      </w:pPr>
      <w:hyperlink r:id="rId18" w:history="1">
        <w:r>
          <w:rPr>
            <w:rStyle w:val="Hyperlink"/>
            <w:rFonts w:ascii="Times New Roman" w:hAnsi="Times New Roman" w:cs="Times New Roman"/>
            <w:sz w:val="22"/>
            <w:szCs w:val="22"/>
          </w:rPr>
          <w:t>About Alind Organization</w:t>
        </w:r>
        <w:r>
          <w:rPr>
            <w:rFonts w:ascii="Times New Roman" w:hAnsi="Times New Roman" w:cs="Times New Roman"/>
            <w:sz w:val="22"/>
            <w:szCs w:val="22"/>
          </w:rPr>
          <w:tab/>
          <w:t>2</w:t>
        </w:r>
      </w:hyperlink>
    </w:p>
    <w:p w14:paraId="311DABA2" w14:textId="77777777" w:rsidR="00534AFF" w:rsidRDefault="00D16163">
      <w:pPr>
        <w:pStyle w:val="TOC3"/>
        <w:tabs>
          <w:tab w:val="right" w:leader="dot" w:pos="720"/>
        </w:tabs>
      </w:pPr>
      <w:hyperlink r:id="rId19" w:history="1">
        <w:r>
          <w:rPr>
            <w:rStyle w:val="Hyperlink"/>
            <w:rFonts w:ascii="Times New Roman" w:hAnsi="Times New Roman" w:cs="Times New Roman"/>
            <w:sz w:val="22"/>
            <w:szCs w:val="22"/>
          </w:rPr>
          <w:t>1.</w:t>
        </w:r>
        <w:r>
          <w:rPr>
            <w:rFonts w:ascii="Times New Roman" w:hAnsi="Times New Roman" w:cs="Times New Roman"/>
            <w:sz w:val="22"/>
            <w:szCs w:val="22"/>
            <w:lang w:val="en-US"/>
          </w:rPr>
          <w:tab/>
          <w:t xml:space="preserve">Introduction                                                                                                     </w:t>
        </w:r>
        <w:r>
          <w:rPr>
            <w:rFonts w:ascii="Times New Roman" w:hAnsi="Times New Roman" w:cs="Times New Roman"/>
            <w:sz w:val="22"/>
            <w:szCs w:val="22"/>
            <w:lang w:val="en-US"/>
          </w:rPr>
          <w:t xml:space="preserve">                                  2.      </w:t>
        </w:r>
        <w:r>
          <w:rPr>
            <w:rStyle w:val="Hyperlink"/>
            <w:rFonts w:ascii="Times New Roman" w:hAnsi="Times New Roman" w:cs="Times New Roman"/>
            <w:sz w:val="22"/>
            <w:szCs w:val="22"/>
          </w:rPr>
          <w:t>Methodology</w:t>
        </w:r>
        <w:r>
          <w:rPr>
            <w:rFonts w:ascii="Times New Roman" w:hAnsi="Times New Roman" w:cs="Times New Roman"/>
            <w:sz w:val="22"/>
            <w:szCs w:val="22"/>
          </w:rPr>
          <w:tab/>
          <w:t>4</w:t>
        </w:r>
      </w:hyperlink>
    </w:p>
    <w:p w14:paraId="311DABA3" w14:textId="77777777" w:rsidR="00534AFF" w:rsidRDefault="00D16163">
      <w:pPr>
        <w:pStyle w:val="TOC3"/>
        <w:tabs>
          <w:tab w:val="right" w:leader="dot" w:pos="720"/>
        </w:tabs>
      </w:pPr>
      <w:hyperlink r:id="rId20" w:history="1">
        <w:r>
          <w:rPr>
            <w:rStyle w:val="Hyperlink"/>
            <w:rFonts w:ascii="Times New Roman" w:hAnsi="Times New Roman" w:cs="Times New Roman"/>
            <w:sz w:val="22"/>
            <w:szCs w:val="22"/>
          </w:rPr>
          <w:t>2.</w:t>
        </w:r>
        <w:r>
          <w:rPr>
            <w:rFonts w:ascii="Times New Roman" w:hAnsi="Times New Roman" w:cs="Times New Roman"/>
            <w:sz w:val="22"/>
            <w:szCs w:val="22"/>
            <w:lang w:val="en-US"/>
          </w:rPr>
          <w:tab/>
        </w:r>
        <w:r>
          <w:rPr>
            <w:rStyle w:val="Hyperlink"/>
            <w:rFonts w:ascii="Times New Roman" w:hAnsi="Times New Roman" w:cs="Times New Roman"/>
            <w:sz w:val="22"/>
            <w:szCs w:val="22"/>
          </w:rPr>
          <w:t>Violence against Women and Girls</w:t>
        </w:r>
        <w:r>
          <w:rPr>
            <w:rFonts w:ascii="Times New Roman" w:hAnsi="Times New Roman" w:cs="Times New Roman"/>
            <w:sz w:val="22"/>
            <w:szCs w:val="22"/>
          </w:rPr>
          <w:tab/>
          <w:t>4</w:t>
        </w:r>
      </w:hyperlink>
    </w:p>
    <w:p w14:paraId="311DABA4" w14:textId="77777777" w:rsidR="00534AFF" w:rsidRDefault="00D16163">
      <w:pPr>
        <w:pStyle w:val="TOC2"/>
        <w:tabs>
          <w:tab w:val="right" w:leader="dot" w:pos="8296"/>
        </w:tabs>
      </w:pPr>
      <w:hyperlink r:id="rId21" w:history="1">
        <w:r>
          <w:rPr>
            <w:rStyle w:val="Hyperlink"/>
            <w:rFonts w:ascii="Times New Roman" w:hAnsi="Times New Roman" w:cs="Times New Roman"/>
            <w:sz w:val="22"/>
            <w:szCs w:val="22"/>
          </w:rPr>
          <w:t>2.1 Legal Framework</w:t>
        </w:r>
        <w:r>
          <w:rPr>
            <w:rFonts w:ascii="Times New Roman" w:hAnsi="Times New Roman" w:cs="Times New Roman"/>
            <w:sz w:val="22"/>
            <w:szCs w:val="22"/>
          </w:rPr>
          <w:tab/>
          <w:t>5</w:t>
        </w:r>
      </w:hyperlink>
    </w:p>
    <w:p w14:paraId="311DABA5" w14:textId="77777777" w:rsidR="00534AFF" w:rsidRDefault="00D16163">
      <w:pPr>
        <w:pStyle w:val="TOC2"/>
        <w:tabs>
          <w:tab w:val="right" w:leader="dot" w:pos="8296"/>
        </w:tabs>
      </w:pPr>
      <w:hyperlink r:id="rId22" w:history="1">
        <w:r>
          <w:rPr>
            <w:rStyle w:val="Hyperlink"/>
            <w:rFonts w:ascii="Times New Roman" w:hAnsi="Times New Roman" w:cs="Times New Roman"/>
            <w:sz w:val="22"/>
            <w:szCs w:val="22"/>
          </w:rPr>
          <w:t>2.2 Divorce and ID Documents</w:t>
        </w:r>
        <w:r>
          <w:rPr>
            <w:rFonts w:ascii="Times New Roman" w:hAnsi="Times New Roman" w:cs="Times New Roman"/>
            <w:sz w:val="22"/>
            <w:szCs w:val="22"/>
          </w:rPr>
          <w:tab/>
          <w:t>7</w:t>
        </w:r>
      </w:hyperlink>
    </w:p>
    <w:p w14:paraId="311DABA6" w14:textId="77777777" w:rsidR="00534AFF" w:rsidRDefault="00D16163">
      <w:pPr>
        <w:pStyle w:val="TOC2"/>
        <w:tabs>
          <w:tab w:val="right" w:leader="dot" w:pos="8296"/>
        </w:tabs>
      </w:pPr>
      <w:hyperlink r:id="rId23" w:history="1">
        <w:r>
          <w:rPr>
            <w:rStyle w:val="Hyperlink"/>
            <w:rFonts w:ascii="Times New Roman" w:hAnsi="Times New Roman" w:cs="Times New Roman"/>
            <w:sz w:val="22"/>
            <w:szCs w:val="22"/>
          </w:rPr>
          <w:t>2.3 National Protection Scheme</w:t>
        </w:r>
        <w:r>
          <w:rPr>
            <w:rFonts w:ascii="Times New Roman" w:hAnsi="Times New Roman" w:cs="Times New Roman"/>
            <w:sz w:val="22"/>
            <w:szCs w:val="22"/>
          </w:rPr>
          <w:tab/>
          <w:t>9</w:t>
        </w:r>
      </w:hyperlink>
    </w:p>
    <w:p w14:paraId="311DABA7" w14:textId="77777777" w:rsidR="00534AFF" w:rsidRDefault="00D16163">
      <w:pPr>
        <w:pStyle w:val="TOC2"/>
        <w:tabs>
          <w:tab w:val="right" w:leader="dot" w:pos="8296"/>
        </w:tabs>
      </w:pPr>
      <w:hyperlink r:id="rId24" w:history="1">
        <w:r>
          <w:rPr>
            <w:rStyle w:val="Hyperlink"/>
            <w:rFonts w:ascii="Times New Roman" w:hAnsi="Times New Roman" w:cs="Times New Roman"/>
            <w:sz w:val="22"/>
            <w:szCs w:val="22"/>
          </w:rPr>
          <w:t>2.4 Issues of Minority Women</w:t>
        </w:r>
        <w:r>
          <w:rPr>
            <w:rFonts w:ascii="Times New Roman" w:hAnsi="Times New Roman" w:cs="Times New Roman"/>
            <w:sz w:val="22"/>
            <w:szCs w:val="22"/>
          </w:rPr>
          <w:tab/>
          <w:t>10</w:t>
        </w:r>
      </w:hyperlink>
    </w:p>
    <w:p w14:paraId="311DABA8" w14:textId="77777777" w:rsidR="00534AFF" w:rsidRDefault="00D16163">
      <w:pPr>
        <w:pStyle w:val="TOC2"/>
        <w:tabs>
          <w:tab w:val="right" w:leader="dot" w:pos="720"/>
          <w:tab w:val="right" w:leader="dot" w:pos="8296"/>
        </w:tabs>
      </w:pPr>
      <w:hyperlink r:id="rId25" w:history="1">
        <w:r>
          <w:rPr>
            <w:rStyle w:val="Hyperlink"/>
            <w:rFonts w:ascii="Times New Roman" w:hAnsi="Times New Roman" w:cs="Times New Roman"/>
            <w:sz w:val="22"/>
            <w:szCs w:val="22"/>
          </w:rPr>
          <w:t>3.</w:t>
        </w:r>
        <w:r>
          <w:rPr>
            <w:rFonts w:ascii="Times New Roman" w:hAnsi="Times New Roman" w:cs="Times New Roman"/>
            <w:sz w:val="22"/>
            <w:szCs w:val="22"/>
            <w:lang w:val="en-US"/>
          </w:rPr>
          <w:tab/>
        </w:r>
        <w:r>
          <w:rPr>
            <w:rStyle w:val="Hyperlink"/>
            <w:rFonts w:ascii="Times New Roman" w:hAnsi="Times New Roman" w:cs="Times New Roman"/>
            <w:sz w:val="22"/>
            <w:szCs w:val="22"/>
          </w:rPr>
          <w:t>Economic Participation Rights of Women</w:t>
        </w:r>
        <w:r>
          <w:rPr>
            <w:rFonts w:ascii="Times New Roman" w:hAnsi="Times New Roman" w:cs="Times New Roman"/>
            <w:sz w:val="22"/>
            <w:szCs w:val="22"/>
          </w:rPr>
          <w:tab/>
          <w:t>11</w:t>
        </w:r>
      </w:hyperlink>
    </w:p>
    <w:p w14:paraId="311DABA9" w14:textId="77777777" w:rsidR="00534AFF" w:rsidRDefault="00D16163">
      <w:pPr>
        <w:pStyle w:val="TOC2"/>
        <w:tabs>
          <w:tab w:val="right" w:leader="dot" w:pos="8296"/>
        </w:tabs>
      </w:pPr>
      <w:hyperlink r:id="rId26" w:history="1">
        <w:r>
          <w:rPr>
            <w:rStyle w:val="Hyperlink"/>
            <w:rFonts w:ascii="Times New Roman" w:hAnsi="Times New Roman" w:cs="Times New Roman"/>
            <w:sz w:val="22"/>
            <w:szCs w:val="22"/>
          </w:rPr>
          <w:t>3.1 Legal Framework</w:t>
        </w:r>
        <w:r>
          <w:rPr>
            <w:rFonts w:ascii="Times New Roman" w:hAnsi="Times New Roman" w:cs="Times New Roman"/>
            <w:sz w:val="22"/>
            <w:szCs w:val="22"/>
          </w:rPr>
          <w:tab/>
          <w:t>12</w:t>
        </w:r>
      </w:hyperlink>
    </w:p>
    <w:p w14:paraId="311DABAA" w14:textId="77777777" w:rsidR="00534AFF" w:rsidRDefault="00D16163">
      <w:pPr>
        <w:pStyle w:val="TOC2"/>
        <w:tabs>
          <w:tab w:val="right" w:leader="dot" w:pos="8296"/>
        </w:tabs>
      </w:pPr>
      <w:hyperlink r:id="rId27" w:history="1">
        <w:r>
          <w:rPr>
            <w:rStyle w:val="Hyperlink"/>
            <w:rFonts w:ascii="Times New Roman" w:hAnsi="Times New Roman" w:cs="Times New Roman"/>
            <w:sz w:val="22"/>
            <w:szCs w:val="22"/>
          </w:rPr>
          <w:t>3.2 Discrimination</w:t>
        </w:r>
        <w:r>
          <w:rPr>
            <w:rFonts w:ascii="Times New Roman" w:hAnsi="Times New Roman" w:cs="Times New Roman"/>
            <w:sz w:val="22"/>
            <w:szCs w:val="22"/>
          </w:rPr>
          <w:tab/>
          <w:t>13</w:t>
        </w:r>
      </w:hyperlink>
    </w:p>
    <w:p w14:paraId="311DABAB" w14:textId="77777777" w:rsidR="00534AFF" w:rsidRDefault="00D16163">
      <w:pPr>
        <w:pStyle w:val="TOC2"/>
        <w:tabs>
          <w:tab w:val="right" w:leader="dot" w:pos="8296"/>
        </w:tabs>
      </w:pPr>
      <w:hyperlink r:id="rId28" w:history="1">
        <w:r>
          <w:rPr>
            <w:rStyle w:val="Hyperlink"/>
            <w:rFonts w:ascii="Times New Roman" w:hAnsi="Times New Roman" w:cs="Times New Roman"/>
            <w:sz w:val="22"/>
            <w:szCs w:val="22"/>
          </w:rPr>
          <w:t>3.3 Public Transportation and Nurseries</w:t>
        </w:r>
        <w:r>
          <w:rPr>
            <w:rFonts w:ascii="Times New Roman" w:hAnsi="Times New Roman" w:cs="Times New Roman"/>
            <w:sz w:val="22"/>
            <w:szCs w:val="22"/>
          </w:rPr>
          <w:tab/>
          <w:t>14</w:t>
        </w:r>
      </w:hyperlink>
    </w:p>
    <w:p w14:paraId="311DABAC" w14:textId="77777777" w:rsidR="00534AFF" w:rsidRDefault="00D16163">
      <w:pPr>
        <w:pStyle w:val="TOC3"/>
      </w:pPr>
      <w:hyperlink r:id="rId29" w:history="1">
        <w:r>
          <w:rPr>
            <w:rStyle w:val="Hyperlink"/>
            <w:rFonts w:ascii="Times New Roman" w:hAnsi="Times New Roman" w:cs="Times New Roman"/>
            <w:sz w:val="22"/>
            <w:szCs w:val="22"/>
          </w:rPr>
          <w:t>3.4 Early Marriages and Female Education</w:t>
        </w:r>
        <w:r>
          <w:rPr>
            <w:rFonts w:ascii="Times New Roman" w:hAnsi="Times New Roman" w:cs="Times New Roman"/>
            <w:sz w:val="22"/>
            <w:szCs w:val="22"/>
          </w:rPr>
          <w:tab/>
          <w:t>14</w:t>
        </w:r>
      </w:hyperlink>
    </w:p>
    <w:p w14:paraId="311DABAD" w14:textId="77777777" w:rsidR="00534AFF" w:rsidRDefault="00D16163">
      <w:pPr>
        <w:pStyle w:val="TOC2"/>
        <w:tabs>
          <w:tab w:val="right" w:leader="dot" w:pos="8296"/>
        </w:tabs>
      </w:pPr>
      <w:hyperlink r:id="rId30" w:history="1">
        <w:r>
          <w:rPr>
            <w:rStyle w:val="Hyperlink"/>
            <w:rFonts w:ascii="Times New Roman" w:hAnsi="Times New Roman" w:cs="Times New Roman"/>
            <w:sz w:val="22"/>
            <w:szCs w:val="22"/>
          </w:rPr>
          <w:t>Appendix</w:t>
        </w:r>
        <w:r>
          <w:rPr>
            <w:rFonts w:ascii="Times New Roman" w:hAnsi="Times New Roman" w:cs="Times New Roman"/>
            <w:sz w:val="22"/>
            <w:szCs w:val="22"/>
          </w:rPr>
          <w:tab/>
          <w:t>17</w:t>
        </w:r>
      </w:hyperlink>
    </w:p>
    <w:p w14:paraId="311DABAE" w14:textId="77777777" w:rsidR="00534AFF" w:rsidRDefault="00D16163">
      <w:r>
        <w:rPr>
          <w:kern w:val="3"/>
          <w:sz w:val="24"/>
          <w:szCs w:val="24"/>
          <w:lang w:val="de-DE"/>
        </w:rPr>
        <w:fldChar w:fldCharType="end"/>
      </w:r>
    </w:p>
    <w:p w14:paraId="311DABAF" w14:textId="77777777" w:rsidR="00534AFF" w:rsidRDefault="00534AFF">
      <w:pPr>
        <w:rPr>
          <w:rFonts w:ascii="Times New Roman" w:eastAsia="Times New Roman" w:hAnsi="Times New Roman" w:cs="Times New Roman"/>
          <w:color w:val="000000"/>
          <w:sz w:val="22"/>
          <w:szCs w:val="22"/>
        </w:rPr>
      </w:pPr>
    </w:p>
    <w:p w14:paraId="311DABB0" w14:textId="77777777" w:rsidR="00534AFF" w:rsidRDefault="00534AFF">
      <w:pPr>
        <w:ind w:left="-576" w:right="-576"/>
        <w:rPr>
          <w:rFonts w:ascii="Times New Roman" w:hAnsi="Times New Roman" w:cs="Times New Roman"/>
          <w:sz w:val="22"/>
          <w:szCs w:val="22"/>
        </w:rPr>
      </w:pPr>
    </w:p>
    <w:p w14:paraId="311DABB1" w14:textId="77777777" w:rsidR="00534AFF" w:rsidRDefault="00534AFF">
      <w:pPr>
        <w:ind w:left="-576" w:right="-576"/>
        <w:rPr>
          <w:rFonts w:ascii="Times New Roman" w:hAnsi="Times New Roman" w:cs="Times New Roman"/>
          <w:sz w:val="22"/>
          <w:szCs w:val="22"/>
        </w:rPr>
      </w:pPr>
    </w:p>
    <w:p w14:paraId="311DABB2" w14:textId="77777777" w:rsidR="00534AFF" w:rsidRDefault="00534AFF">
      <w:pPr>
        <w:ind w:left="-576" w:right="-576"/>
        <w:rPr>
          <w:rFonts w:ascii="Times New Roman" w:hAnsi="Times New Roman" w:cs="Times New Roman"/>
          <w:sz w:val="22"/>
          <w:szCs w:val="22"/>
        </w:rPr>
      </w:pPr>
    </w:p>
    <w:p w14:paraId="311DABB3" w14:textId="77777777" w:rsidR="00534AFF" w:rsidRDefault="00534AFF">
      <w:pPr>
        <w:ind w:left="-576" w:right="-576"/>
        <w:rPr>
          <w:rFonts w:ascii="Times New Roman" w:hAnsi="Times New Roman" w:cs="Times New Roman"/>
          <w:sz w:val="22"/>
          <w:szCs w:val="22"/>
        </w:rPr>
      </w:pPr>
    </w:p>
    <w:p w14:paraId="311DABB4" w14:textId="77777777" w:rsidR="00534AFF" w:rsidRDefault="00534AFF">
      <w:pPr>
        <w:ind w:right="-576"/>
        <w:rPr>
          <w:rFonts w:ascii="Times New Roman" w:hAnsi="Times New Roman" w:cs="Times New Roman"/>
          <w:sz w:val="22"/>
          <w:szCs w:val="22"/>
        </w:rPr>
      </w:pPr>
    </w:p>
    <w:p w14:paraId="311DABB5" w14:textId="77777777" w:rsidR="00534AFF" w:rsidRDefault="00D16163">
      <w:pPr>
        <w:pStyle w:val="Heading3"/>
        <w:numPr>
          <w:ilvl w:val="0"/>
          <w:numId w:val="1"/>
        </w:numPr>
        <w:spacing w:before="160" w:after="80" w:line="276" w:lineRule="auto"/>
        <w:ind w:left="-576" w:right="-576"/>
        <w:rPr>
          <w:rFonts w:ascii="Times New Roman" w:hAnsi="Times New Roman"/>
          <w:b/>
          <w:bCs/>
          <w:color w:val="5B9BD5"/>
          <w:sz w:val="22"/>
          <w:szCs w:val="22"/>
          <w14:shadow w14:blurRad="38036" w14:dist="25323" w14:dir="5400000" w14:sx="100000" w14:sy="100000" w14:kx="0" w14:ky="0" w14:algn="b">
            <w14:srgbClr w14:val="6E747A"/>
          </w14:shadow>
        </w:rPr>
      </w:pPr>
      <w:bookmarkStart w:id="9" w:name="_Toc172014345"/>
      <w:r>
        <w:rPr>
          <w:rFonts w:ascii="Times New Roman" w:hAnsi="Times New Roman"/>
          <w:b/>
          <w:bCs/>
          <w:color w:val="5B9BD5"/>
          <w:sz w:val="22"/>
          <w:szCs w:val="22"/>
          <w14:shadow w14:blurRad="38036" w14:dist="25323" w14:dir="5400000" w14:sx="100000" w14:sy="100000" w14:kx="0" w14:ky="0" w14:algn="b">
            <w14:srgbClr w14:val="6E747A"/>
          </w14:shadow>
        </w:rPr>
        <w:lastRenderedPageBreak/>
        <w:t>Methodology</w:t>
      </w:r>
      <w:bookmarkEnd w:id="9"/>
      <w:r>
        <w:rPr>
          <w:rFonts w:ascii="Times New Roman" w:hAnsi="Times New Roman"/>
          <w:b/>
          <w:bCs/>
          <w:color w:val="5B9BD5"/>
          <w:sz w:val="22"/>
          <w:szCs w:val="22"/>
          <w14:shadow w14:blurRad="38036" w14:dist="25323" w14:dir="5400000" w14:sx="100000" w14:sy="100000" w14:kx="0" w14:ky="0" w14:algn="b">
            <w14:srgbClr w14:val="6E747A"/>
          </w14:shadow>
        </w:rPr>
        <w:t xml:space="preserve"> </w:t>
      </w:r>
    </w:p>
    <w:p w14:paraId="311DABB6" w14:textId="77777777" w:rsidR="00534AFF" w:rsidRDefault="00D16163">
      <w:pPr>
        <w:pStyle w:val="Heading3"/>
        <w:spacing w:before="160" w:after="80" w:line="360" w:lineRule="auto"/>
        <w:ind w:left="-936" w:right="-576"/>
        <w:jc w:val="both"/>
      </w:pPr>
      <w:r>
        <w:rPr>
          <w:rFonts w:ascii="Times New Roman" w:hAnsi="Times New Roman"/>
          <w:color w:val="000000"/>
          <w:sz w:val="22"/>
          <w:szCs w:val="22"/>
        </w:rPr>
        <w:t xml:space="preserve">This report presents a situational analysis on the protection of women’s rights and implementation of the Convention on the Elimination of all forms of Discrimination (CEDAW) and </w:t>
      </w:r>
      <w:r>
        <w:rPr>
          <w:rFonts w:ascii="Times New Roman" w:hAnsi="Times New Roman"/>
          <w:color w:val="000000"/>
          <w:sz w:val="22"/>
          <w:szCs w:val="22"/>
        </w:rPr>
        <w:t xml:space="preserve">recommendations based on comprehensive research conducted in August 2025 in Sinjar, Ninewa Governorate, and in </w:t>
      </w:r>
      <w:proofErr w:type="spellStart"/>
      <w:r>
        <w:rPr>
          <w:rFonts w:ascii="Times New Roman" w:hAnsi="Times New Roman"/>
          <w:color w:val="000000"/>
          <w:sz w:val="22"/>
          <w:szCs w:val="22"/>
        </w:rPr>
        <w:t>Summel</w:t>
      </w:r>
      <w:proofErr w:type="spellEnd"/>
      <w:r>
        <w:rPr>
          <w:rFonts w:ascii="Times New Roman" w:hAnsi="Times New Roman"/>
          <w:color w:val="000000"/>
          <w:sz w:val="22"/>
          <w:szCs w:val="22"/>
        </w:rPr>
        <w:t>, Dohuk Governorate. Data collection included six focus group discussions (FGDs), with six to eight participants per group, and three key i</w:t>
      </w:r>
      <w:r>
        <w:rPr>
          <w:rFonts w:ascii="Times New Roman" w:hAnsi="Times New Roman"/>
          <w:color w:val="000000"/>
          <w:sz w:val="22"/>
          <w:szCs w:val="22"/>
        </w:rPr>
        <w:t xml:space="preserve">nformant interviews (KII). These data collection methods were chosen to gather firsthand perspectives from those directly affected by the issue, as well as to obtain detailed insights from experts in the respective fields. The results from this study were </w:t>
      </w:r>
      <w:r>
        <w:rPr>
          <w:rFonts w:ascii="Times New Roman" w:hAnsi="Times New Roman"/>
          <w:color w:val="000000"/>
          <w:sz w:val="22"/>
          <w:szCs w:val="22"/>
        </w:rPr>
        <w:t xml:space="preserve">enriched by insights from a comprehensive desk review, including an analysis of legal texts, studies, statistical data related to the topic, and working papers, which provided additional context and information to support the findings from the qualitative </w:t>
      </w:r>
      <w:r>
        <w:rPr>
          <w:rFonts w:ascii="Times New Roman" w:hAnsi="Times New Roman"/>
          <w:color w:val="000000"/>
          <w:sz w:val="22"/>
          <w:szCs w:val="22"/>
        </w:rPr>
        <w:t xml:space="preserve">data. </w:t>
      </w:r>
    </w:p>
    <w:p w14:paraId="311DABB7" w14:textId="77777777" w:rsidR="00534AFF" w:rsidRDefault="00D16163">
      <w:pPr>
        <w:pStyle w:val="Heading3"/>
        <w:spacing w:before="160" w:after="80" w:line="360" w:lineRule="auto"/>
        <w:ind w:left="-936" w:right="-576"/>
        <w:jc w:val="both"/>
      </w:pPr>
      <w:r>
        <w:rPr>
          <w:rFonts w:ascii="Times New Roman" w:hAnsi="Times New Roman"/>
          <w:color w:val="000000"/>
          <w:sz w:val="22"/>
          <w:szCs w:val="22"/>
        </w:rPr>
        <w:t>The participants were highly diverse, including women of different ethnic backgrounds such as Yezidi and Kurdish descent, Arab survivors of various forms of violence committed by Islamic State of Iraq and the Levant, and women with varying demograph</w:t>
      </w:r>
      <w:r>
        <w:rPr>
          <w:rFonts w:ascii="Times New Roman" w:hAnsi="Times New Roman"/>
          <w:color w:val="000000"/>
          <w:sz w:val="22"/>
          <w:szCs w:val="22"/>
        </w:rPr>
        <w:t>ic profiles including married, divorced, recently graduated, and employed women. Two FGDs were conducted with men. The diversity of the given samples ensures that the findings capture a wide range of experiences and that the recommendations are inclusive a</w:t>
      </w:r>
      <w:r>
        <w:rPr>
          <w:rFonts w:ascii="Times New Roman" w:hAnsi="Times New Roman"/>
          <w:color w:val="000000"/>
          <w:sz w:val="22"/>
          <w:szCs w:val="22"/>
        </w:rPr>
        <w:t xml:space="preserve">nd reflective of the broader community. Men were included as participants to provide insights into gender dynamics and societal perceptions from a male perspective. </w:t>
      </w:r>
    </w:p>
    <w:p w14:paraId="311DABB8" w14:textId="77777777" w:rsidR="00534AFF" w:rsidRDefault="00D16163">
      <w:pPr>
        <w:pStyle w:val="Heading3"/>
        <w:spacing w:before="160" w:after="80" w:line="360" w:lineRule="auto"/>
        <w:ind w:left="-936" w:right="-576"/>
        <w:jc w:val="both"/>
      </w:pPr>
      <w:r>
        <w:rPr>
          <w:rFonts w:ascii="Times New Roman" w:hAnsi="Times New Roman"/>
          <w:color w:val="000000"/>
          <w:sz w:val="22"/>
          <w:szCs w:val="22"/>
        </w:rPr>
        <w:t>This report explores the topics of sexual and domestic violence against women and girls in</w:t>
      </w:r>
      <w:r>
        <w:rPr>
          <w:rFonts w:ascii="Times New Roman" w:hAnsi="Times New Roman"/>
          <w:color w:val="000000"/>
          <w:sz w:val="22"/>
          <w:szCs w:val="22"/>
        </w:rPr>
        <w:t xml:space="preserve"> Iraq and investigates the situation concerning women’s economic participation and rights, emphasizing the existing legal framework, its implications, and shortcomings.</w:t>
      </w:r>
    </w:p>
    <w:p w14:paraId="311DABB9" w14:textId="77777777" w:rsidR="00534AFF" w:rsidRDefault="00534AFF"/>
    <w:p w14:paraId="311DABBA" w14:textId="77777777" w:rsidR="00534AFF" w:rsidRDefault="00534AFF"/>
    <w:p w14:paraId="311DABBB" w14:textId="77777777" w:rsidR="00534AFF" w:rsidRDefault="00534AFF"/>
    <w:p w14:paraId="311DABBC" w14:textId="77777777" w:rsidR="00534AFF" w:rsidRDefault="00534AFF"/>
    <w:p w14:paraId="311DABBD" w14:textId="77777777" w:rsidR="00534AFF" w:rsidRDefault="00534AFF"/>
    <w:p w14:paraId="311DABBE" w14:textId="77777777" w:rsidR="00534AFF" w:rsidRDefault="00534AFF"/>
    <w:p w14:paraId="311DABBF" w14:textId="77777777" w:rsidR="00534AFF" w:rsidRDefault="00534AFF"/>
    <w:p w14:paraId="311DABC0" w14:textId="77777777" w:rsidR="00534AFF" w:rsidRDefault="00534AFF"/>
    <w:p w14:paraId="311DABC1" w14:textId="77777777" w:rsidR="00534AFF" w:rsidRDefault="00534AFF"/>
    <w:p w14:paraId="311DABC2" w14:textId="77777777" w:rsidR="00534AFF" w:rsidRDefault="00534AFF"/>
    <w:p w14:paraId="311DABC3" w14:textId="77777777" w:rsidR="00534AFF" w:rsidRDefault="00534AFF"/>
    <w:p w14:paraId="311DABC4" w14:textId="77777777" w:rsidR="00534AFF" w:rsidRDefault="00534AFF"/>
    <w:p w14:paraId="311DABC5" w14:textId="77777777" w:rsidR="00534AFF" w:rsidRDefault="00D16163">
      <w:pPr>
        <w:pStyle w:val="Heading3"/>
        <w:numPr>
          <w:ilvl w:val="0"/>
          <w:numId w:val="1"/>
        </w:numPr>
        <w:spacing w:before="160" w:after="80" w:line="360" w:lineRule="auto"/>
        <w:ind w:left="-576" w:right="-576"/>
        <w:rPr>
          <w:rFonts w:ascii="Times New Roman" w:hAnsi="Times New Roman"/>
          <w:b/>
          <w:bCs/>
          <w:color w:val="5B9BD5"/>
          <w:sz w:val="22"/>
          <w:szCs w:val="22"/>
          <w14:shadow w14:blurRad="38036" w14:dist="25323" w14:dir="5400000" w14:sx="100000" w14:sy="100000" w14:kx="0" w14:ky="0" w14:algn="b">
            <w14:srgbClr w14:val="6E747A"/>
          </w14:shadow>
        </w:rPr>
      </w:pPr>
      <w:bookmarkStart w:id="10" w:name="_Toc172014346"/>
      <w:r>
        <w:rPr>
          <w:rFonts w:ascii="Times New Roman" w:hAnsi="Times New Roman"/>
          <w:b/>
          <w:bCs/>
          <w:color w:val="5B9BD5"/>
          <w:sz w:val="22"/>
          <w:szCs w:val="22"/>
          <w14:shadow w14:blurRad="38036" w14:dist="25323" w14:dir="5400000" w14:sx="100000" w14:sy="100000" w14:kx="0" w14:ky="0" w14:algn="b">
            <w14:srgbClr w14:val="6E747A"/>
          </w14:shadow>
        </w:rPr>
        <w:lastRenderedPageBreak/>
        <w:t>Introduction</w:t>
      </w:r>
    </w:p>
    <w:p w14:paraId="311DABC6" w14:textId="77777777" w:rsidR="00534AFF" w:rsidRDefault="00D16163">
      <w:pPr>
        <w:pStyle w:val="Heading3"/>
        <w:spacing w:before="160" w:after="80" w:line="360" w:lineRule="auto"/>
        <w:ind w:left="-936" w:right="-576"/>
        <w:jc w:val="both"/>
        <w:rPr>
          <w:rFonts w:ascii="Times New Roman" w:hAnsi="Times New Roman"/>
          <w:color w:val="000000"/>
          <w:sz w:val="22"/>
          <w:szCs w:val="22"/>
        </w:rPr>
      </w:pPr>
      <w:r>
        <w:rPr>
          <w:rFonts w:ascii="Times New Roman" w:hAnsi="Times New Roman"/>
          <w:color w:val="000000"/>
          <w:sz w:val="22"/>
          <w:szCs w:val="22"/>
        </w:rPr>
        <w:t xml:space="preserve">This shadow report provides a comprehensive </w:t>
      </w:r>
      <w:r>
        <w:rPr>
          <w:rFonts w:ascii="Times New Roman" w:hAnsi="Times New Roman"/>
          <w:color w:val="000000"/>
          <w:sz w:val="22"/>
          <w:szCs w:val="22"/>
        </w:rPr>
        <w:t xml:space="preserve">examination of the government of Iraq’s progress towards implementation of the provisions of the CEDAW as well as recommendations from the last review with a particular focus on post-conflict areas such as Sinjar and </w:t>
      </w:r>
      <w:proofErr w:type="spellStart"/>
      <w:r>
        <w:rPr>
          <w:rFonts w:ascii="Times New Roman" w:hAnsi="Times New Roman"/>
          <w:color w:val="000000"/>
          <w:sz w:val="22"/>
          <w:szCs w:val="22"/>
        </w:rPr>
        <w:t>Summel</w:t>
      </w:r>
      <w:proofErr w:type="spellEnd"/>
      <w:r>
        <w:rPr>
          <w:rFonts w:ascii="Times New Roman" w:hAnsi="Times New Roman"/>
          <w:color w:val="000000"/>
          <w:sz w:val="22"/>
          <w:szCs w:val="22"/>
        </w:rPr>
        <w:t xml:space="preserve"> District. It is grounded in the </w:t>
      </w:r>
      <w:r>
        <w:rPr>
          <w:rFonts w:ascii="Times New Roman" w:hAnsi="Times New Roman"/>
          <w:color w:val="000000"/>
          <w:sz w:val="22"/>
          <w:szCs w:val="22"/>
        </w:rPr>
        <w:t>lived experiences of women and girls who have returned to these communities after periods of displacement, genocide, and armed conflict. The report highlights persistent violations of women’s rights, including gender-based violence, early and forced marria</w:t>
      </w:r>
      <w:r>
        <w:rPr>
          <w:rFonts w:ascii="Times New Roman" w:hAnsi="Times New Roman"/>
          <w:color w:val="000000"/>
          <w:sz w:val="22"/>
          <w:szCs w:val="22"/>
        </w:rPr>
        <w:t>ge, honor-based violence, and systemic discrimination in economic, social, and political life.</w:t>
      </w:r>
    </w:p>
    <w:p w14:paraId="311DABC7" w14:textId="77777777" w:rsidR="00534AFF" w:rsidRDefault="00D16163">
      <w:pPr>
        <w:pStyle w:val="Heading3"/>
        <w:spacing w:before="160" w:after="80" w:line="360" w:lineRule="auto"/>
        <w:ind w:left="-936" w:right="-576"/>
        <w:jc w:val="both"/>
      </w:pPr>
      <w:r>
        <w:rPr>
          <w:rFonts w:ascii="Times New Roman" w:hAnsi="Times New Roman"/>
          <w:color w:val="000000"/>
          <w:sz w:val="22"/>
          <w:szCs w:val="22"/>
        </w:rPr>
        <w:t xml:space="preserve">Despite Iraq’s ratification of the </w:t>
      </w:r>
      <w:r>
        <w:rPr>
          <w:rStyle w:val="Strong"/>
          <w:rFonts w:ascii="Times New Roman" w:hAnsi="Times New Roman"/>
          <w:color w:val="000000"/>
          <w:sz w:val="22"/>
          <w:szCs w:val="22"/>
        </w:rPr>
        <w:t>Convention on the Elimination of All Forms of Discrimination Against Women (CEDAW)</w:t>
      </w:r>
      <w:r>
        <w:rPr>
          <w:rFonts w:ascii="Times New Roman" w:hAnsi="Times New Roman"/>
          <w:color w:val="000000"/>
          <w:sz w:val="22"/>
          <w:szCs w:val="22"/>
        </w:rPr>
        <w:t xml:space="preserve"> and related national legal frameworks, a si</w:t>
      </w:r>
      <w:r>
        <w:rPr>
          <w:rFonts w:ascii="Times New Roman" w:hAnsi="Times New Roman"/>
          <w:color w:val="000000"/>
          <w:sz w:val="22"/>
          <w:szCs w:val="22"/>
        </w:rPr>
        <w:t>gnificant gap remains between international commitments and the realities on the ground. Women continue to face structural, cultural, and legal barriers that limit their autonomy, safety, and participation in society. This report documents these gaps, expl</w:t>
      </w:r>
      <w:r>
        <w:rPr>
          <w:rFonts w:ascii="Times New Roman" w:hAnsi="Times New Roman"/>
          <w:color w:val="000000"/>
          <w:sz w:val="22"/>
          <w:szCs w:val="22"/>
        </w:rPr>
        <w:t>ores their root causes, and offers actionable recommendations to the Iraqi government and the Kurdistan Regional Government (KRG) to accelerate compliance with CEDAW obligations.</w:t>
      </w:r>
    </w:p>
    <w:p w14:paraId="311DABC8" w14:textId="77777777" w:rsidR="00534AFF" w:rsidRDefault="00D16163">
      <w:pPr>
        <w:pStyle w:val="Heading3"/>
        <w:spacing w:before="160" w:after="80" w:line="360" w:lineRule="auto"/>
        <w:ind w:left="-936" w:right="-576"/>
        <w:jc w:val="both"/>
      </w:pPr>
      <w:r>
        <w:rPr>
          <w:rFonts w:ascii="Times New Roman" w:hAnsi="Times New Roman"/>
          <w:color w:val="000000"/>
          <w:sz w:val="22"/>
          <w:szCs w:val="22"/>
        </w:rPr>
        <w:t xml:space="preserve">By presenting evidence drawn directly from affected communities, this report </w:t>
      </w:r>
      <w:r>
        <w:rPr>
          <w:rFonts w:ascii="Times New Roman" w:hAnsi="Times New Roman"/>
          <w:color w:val="000000"/>
          <w:sz w:val="22"/>
          <w:szCs w:val="22"/>
        </w:rPr>
        <w:t>seeks to inform policy, strengthen advocacy, and guide interventions aimed at advancing gender equality, protecting women and girls from violence, and promoting their full participation in all spheres of life.</w:t>
      </w:r>
    </w:p>
    <w:p w14:paraId="311DABC9" w14:textId="77777777" w:rsidR="00534AFF" w:rsidRDefault="00534AFF"/>
    <w:p w14:paraId="311DABCA" w14:textId="77777777" w:rsidR="00534AFF" w:rsidRDefault="00D16163">
      <w:pPr>
        <w:pStyle w:val="Heading3"/>
        <w:spacing w:before="0" w:line="360" w:lineRule="auto"/>
        <w:ind w:left="-936" w:right="-576"/>
        <w:rPr>
          <w:rFonts w:ascii="Times New Roman" w:hAnsi="Times New Roman"/>
          <w:b/>
          <w:bCs/>
          <w:color w:val="5B9BD5"/>
          <w:sz w:val="22"/>
          <w:szCs w:val="22"/>
          <w14:shadow w14:blurRad="38036" w14:dist="25323" w14:dir="5400000" w14:sx="100000" w14:sy="100000" w14:kx="0" w14:ky="0" w14:algn="b">
            <w14:srgbClr w14:val="6E747A"/>
          </w14:shadow>
        </w:rPr>
      </w:pPr>
      <w:r>
        <w:rPr>
          <w:rFonts w:ascii="Times New Roman" w:hAnsi="Times New Roman"/>
          <w:b/>
          <w:bCs/>
          <w:color w:val="5B9BD5"/>
          <w:sz w:val="22"/>
          <w:szCs w:val="22"/>
          <w14:shadow w14:blurRad="38036" w14:dist="25323" w14:dir="5400000" w14:sx="100000" w14:sy="100000" w14:kx="0" w14:ky="0" w14:algn="b">
            <w14:srgbClr w14:val="6E747A"/>
          </w14:shadow>
        </w:rPr>
        <w:lastRenderedPageBreak/>
        <w:t xml:space="preserve">3 </w:t>
      </w:r>
      <w:bookmarkStart w:id="11" w:name="_Toc172014347"/>
      <w:bookmarkEnd w:id="10"/>
      <w:r>
        <w:rPr>
          <w:rFonts w:ascii="Times New Roman" w:hAnsi="Times New Roman"/>
          <w:b/>
          <w:bCs/>
          <w:color w:val="5B9BD5"/>
          <w:sz w:val="22"/>
          <w:szCs w:val="22"/>
          <w14:shadow w14:blurRad="38036" w14:dist="25323" w14:dir="5400000" w14:sx="100000" w14:sy="100000" w14:kx="0" w14:ky="0" w14:algn="b">
            <w14:srgbClr w14:val="6E747A"/>
          </w14:shadow>
        </w:rPr>
        <w:t xml:space="preserve">General Measures of Implementation </w:t>
      </w:r>
    </w:p>
    <w:p w14:paraId="311DABCB" w14:textId="77777777" w:rsidR="00534AFF" w:rsidRDefault="00D16163">
      <w:pPr>
        <w:pStyle w:val="Heading3"/>
        <w:spacing w:before="0" w:line="360" w:lineRule="auto"/>
        <w:ind w:left="-936" w:right="-576"/>
      </w:pPr>
      <w:r>
        <w:rPr>
          <w:rFonts w:ascii="Times New Roman" w:hAnsi="Times New Roman"/>
          <w:b/>
          <w:bCs/>
          <w:color w:val="5B9BD5"/>
          <w:sz w:val="22"/>
          <w:szCs w:val="22"/>
          <w14:shadow w14:blurRad="38036" w14:dist="25323" w14:dir="5400000" w14:sx="100000" w14:sy="100000" w14:kx="0" w14:ky="0" w14:algn="b">
            <w14:srgbClr w14:val="6E747A"/>
          </w14:shadow>
        </w:rPr>
        <w:t>3.1 Vio</w:t>
      </w:r>
      <w:r>
        <w:rPr>
          <w:rFonts w:ascii="Times New Roman" w:hAnsi="Times New Roman"/>
          <w:b/>
          <w:bCs/>
          <w:color w:val="5B9BD5"/>
          <w:sz w:val="22"/>
          <w:szCs w:val="22"/>
          <w14:shadow w14:blurRad="38036" w14:dist="25323" w14:dir="5400000" w14:sx="100000" w14:sy="100000" w14:kx="0" w14:ky="0" w14:algn="b">
            <w14:srgbClr w14:val="6E747A"/>
          </w14:shadow>
        </w:rPr>
        <w:t xml:space="preserve">lence Against Women and Girls </w:t>
      </w:r>
      <w:r>
        <w:rPr>
          <w:rFonts w:ascii="Times New Roman" w:hAnsi="Times New Roman"/>
          <w:b/>
          <w:bCs/>
          <w:color w:val="000000"/>
          <w:sz w:val="20"/>
          <w:szCs w:val="20"/>
          <w14:shadow w14:blurRad="38036" w14:dist="25323" w14:dir="5400000" w14:sx="100000" w14:sy="100000" w14:kx="0" w14:ky="0" w14:algn="b">
            <w14:srgbClr w14:val="6E747A"/>
          </w14:shadow>
        </w:rPr>
        <w:t>(</w:t>
      </w:r>
      <w:r>
        <w:rPr>
          <w:rStyle w:val="Strong"/>
          <w:rFonts w:ascii="Times New Roman" w:hAnsi="Times New Roman"/>
          <w:color w:val="000000"/>
          <w:sz w:val="20"/>
          <w:szCs w:val="20"/>
        </w:rPr>
        <w:t>CEDAW Articles:</w:t>
      </w:r>
      <w:r>
        <w:rPr>
          <w:rFonts w:ascii="Times New Roman" w:hAnsi="Times New Roman"/>
          <w:color w:val="000000"/>
          <w:sz w:val="20"/>
          <w:szCs w:val="20"/>
        </w:rPr>
        <w:t xml:space="preserve"> 2, 3, 5, 12)</w:t>
      </w:r>
    </w:p>
    <w:p w14:paraId="311DABCC" w14:textId="77777777" w:rsidR="00534AFF" w:rsidRDefault="00D16163">
      <w:pPr>
        <w:pStyle w:val="Heading3"/>
        <w:spacing w:before="160" w:after="80" w:line="360" w:lineRule="auto"/>
        <w:ind w:left="-576" w:right="-576"/>
        <w:jc w:val="both"/>
        <w:rPr>
          <w:rFonts w:ascii="Times New Roman" w:hAnsi="Times New Roman"/>
          <w:color w:val="000000"/>
          <w:sz w:val="22"/>
          <w:szCs w:val="22"/>
        </w:rPr>
      </w:pPr>
      <w:r>
        <w:rPr>
          <w:rFonts w:ascii="Times New Roman" w:hAnsi="Times New Roman"/>
          <w:color w:val="000000"/>
          <w:sz w:val="22"/>
          <w:szCs w:val="22"/>
        </w:rPr>
        <w:t xml:space="preserve">Violence against women and girls in Sinjar persists across multiple dimensions, encompassing physical, psychological, emotional, and economic abuse. Community members highlighted that </w:t>
      </w:r>
      <w:r>
        <w:rPr>
          <w:rFonts w:ascii="Times New Roman" w:hAnsi="Times New Roman"/>
          <w:color w:val="000000"/>
          <w:sz w:val="22"/>
          <w:szCs w:val="22"/>
        </w:rPr>
        <w:t>domestic violence is normalized within families and communities. One participant described how husbands routinely beat wives over minor disagreements, while another recounted being denied the right to work, resulting in both economic deprivation and psycho</w:t>
      </w:r>
      <w:r>
        <w:rPr>
          <w:rFonts w:ascii="Times New Roman" w:hAnsi="Times New Roman"/>
          <w:color w:val="000000"/>
          <w:sz w:val="22"/>
          <w:szCs w:val="22"/>
        </w:rPr>
        <w:t xml:space="preserve">logical stress. Women emphasized that violence is not limited to physical harm; verbal abuse, humiliation, and social restriction are pervasive, creating a climate of fear and dependency. </w:t>
      </w:r>
    </w:p>
    <w:p w14:paraId="311DABCD" w14:textId="77777777" w:rsidR="00534AFF" w:rsidRDefault="00D16163">
      <w:pPr>
        <w:pStyle w:val="Heading3"/>
        <w:spacing w:before="160" w:after="80" w:line="360" w:lineRule="auto"/>
        <w:ind w:left="-576" w:right="-576"/>
        <w:jc w:val="both"/>
      </w:pPr>
      <w:r>
        <w:rPr>
          <w:rFonts w:ascii="Times New Roman" w:eastAsia="Times New Roman" w:hAnsi="Times New Roman"/>
          <w:color w:val="000000"/>
          <w:sz w:val="22"/>
          <w:szCs w:val="22"/>
        </w:rPr>
        <w:t xml:space="preserve">Domestic violence at the household level in Sinjar district cannot </w:t>
      </w:r>
      <w:r>
        <w:rPr>
          <w:rFonts w:ascii="Times New Roman" w:eastAsia="Times New Roman" w:hAnsi="Times New Roman"/>
          <w:color w:val="000000"/>
          <w:sz w:val="22"/>
          <w:szCs w:val="22"/>
        </w:rPr>
        <w:t>presently be quantified with disaggregated, official statistics specific to that district for 2024–2025 due to gaps in data collection and reporting. National and regional data from Iraqi authorities indicate that domestic violence remains a widespread con</w:t>
      </w:r>
      <w:r>
        <w:rPr>
          <w:rFonts w:ascii="Times New Roman" w:eastAsia="Times New Roman" w:hAnsi="Times New Roman"/>
          <w:color w:val="000000"/>
          <w:sz w:val="22"/>
          <w:szCs w:val="22"/>
        </w:rPr>
        <w:t xml:space="preserve">cern: for example, approximately </w:t>
      </w:r>
      <w:r>
        <w:rPr>
          <w:rFonts w:ascii="Times New Roman" w:eastAsia="Times New Roman" w:hAnsi="Times New Roman"/>
          <w:b/>
          <w:bCs/>
          <w:color w:val="000000"/>
          <w:sz w:val="22"/>
          <w:szCs w:val="22"/>
        </w:rPr>
        <w:t>13,857 cases of domestic violence were recorded nationally in the first half of 2024</w:t>
      </w:r>
      <w:r>
        <w:rPr>
          <w:rFonts w:ascii="Times New Roman" w:eastAsia="Times New Roman" w:hAnsi="Times New Roman"/>
          <w:color w:val="000000"/>
          <w:sz w:val="22"/>
          <w:szCs w:val="22"/>
        </w:rPr>
        <w:t xml:space="preserve">, with </w:t>
      </w:r>
      <w:r>
        <w:rPr>
          <w:rFonts w:ascii="Times New Roman" w:eastAsia="Times New Roman" w:hAnsi="Times New Roman"/>
          <w:b/>
          <w:bCs/>
          <w:color w:val="000000"/>
          <w:sz w:val="22"/>
          <w:szCs w:val="22"/>
        </w:rPr>
        <w:t>about 75 % involving violence by husbands against wives</w:t>
      </w:r>
      <w:r>
        <w:rPr>
          <w:rFonts w:ascii="Times New Roman" w:eastAsia="Times New Roman" w:hAnsi="Times New Roman"/>
          <w:color w:val="000000"/>
          <w:sz w:val="22"/>
          <w:szCs w:val="22"/>
        </w:rPr>
        <w:t xml:space="preserve">, and </w:t>
      </w:r>
      <w:r>
        <w:rPr>
          <w:rFonts w:ascii="Times New Roman" w:eastAsia="Times New Roman" w:hAnsi="Times New Roman"/>
          <w:b/>
          <w:bCs/>
          <w:color w:val="000000"/>
          <w:sz w:val="22"/>
          <w:szCs w:val="22"/>
        </w:rPr>
        <w:t>women and girls accounting for a large majority of victims</w:t>
      </w:r>
      <w:r>
        <w:rPr>
          <w:rFonts w:ascii="Times New Roman" w:eastAsia="Times New Roman" w:hAnsi="Times New Roman"/>
          <w:color w:val="000000"/>
          <w:sz w:val="22"/>
          <w:szCs w:val="22"/>
        </w:rPr>
        <w:t>. In the post</w:t>
      </w:r>
      <w:r>
        <w:rPr>
          <w:rFonts w:ascii="Times New Roman" w:eastAsia="Times New Roman" w:hAnsi="Times New Roman"/>
          <w:color w:val="000000"/>
          <w:sz w:val="22"/>
          <w:szCs w:val="22"/>
        </w:rPr>
        <w:noBreakHyphen/>
        <w:t xml:space="preserve">conflict context of Sinjar where ISIS abducted an estimated </w:t>
      </w:r>
      <w:r>
        <w:rPr>
          <w:rFonts w:ascii="Times New Roman" w:eastAsia="Times New Roman" w:hAnsi="Times New Roman"/>
          <w:b/>
          <w:bCs/>
          <w:color w:val="000000"/>
          <w:sz w:val="22"/>
          <w:szCs w:val="22"/>
        </w:rPr>
        <w:t>6,400 women and girls during the 2014 genocide</w:t>
      </w:r>
      <w:r>
        <w:rPr>
          <w:rFonts w:ascii="Times New Roman" w:eastAsia="Times New Roman" w:hAnsi="Times New Roman"/>
          <w:color w:val="000000"/>
          <w:sz w:val="22"/>
          <w:szCs w:val="22"/>
        </w:rPr>
        <w:t xml:space="preserve"> and around </w:t>
      </w:r>
      <w:r>
        <w:rPr>
          <w:rFonts w:ascii="Times New Roman" w:eastAsia="Times New Roman" w:hAnsi="Times New Roman"/>
          <w:b/>
          <w:bCs/>
          <w:color w:val="000000"/>
          <w:sz w:val="22"/>
          <w:szCs w:val="22"/>
        </w:rPr>
        <w:t>2,600 still remain missing</w:t>
      </w:r>
      <w:r>
        <w:rPr>
          <w:rFonts w:ascii="Times New Roman" w:eastAsia="Times New Roman" w:hAnsi="Times New Roman"/>
          <w:color w:val="000000"/>
          <w:sz w:val="22"/>
          <w:szCs w:val="22"/>
        </w:rPr>
        <w:t xml:space="preserve"> underlying social and economic instability, displacement, and trauma may exacerbate household</w:t>
      </w:r>
      <w:r>
        <w:rPr>
          <w:rFonts w:ascii="Times New Roman" w:eastAsia="Times New Roman" w:hAnsi="Times New Roman"/>
          <w:color w:val="000000"/>
          <w:sz w:val="22"/>
          <w:szCs w:val="22"/>
        </w:rPr>
        <w:noBreakHyphen/>
        <w:t>level violence.</w:t>
      </w:r>
      <w:r>
        <w:rPr>
          <w:rStyle w:val="FootnoteReference"/>
          <w:rFonts w:ascii="Times New Roman" w:eastAsia="Times New Roman" w:hAnsi="Times New Roman"/>
          <w:color w:val="000000"/>
          <w:sz w:val="22"/>
          <w:szCs w:val="22"/>
        </w:rPr>
        <w:footnoteReference w:id="1"/>
      </w:r>
      <w:r>
        <w:rPr>
          <w:rFonts w:ascii="Times New Roman" w:eastAsia="Times New Roman" w:hAnsi="Times New Roman"/>
          <w:color w:val="000000"/>
          <w:sz w:val="22"/>
          <w:szCs w:val="22"/>
        </w:rPr>
        <w:t xml:space="preserve"> The absence of reliable, localized domestic violence data for Sinjar highlights a critical gap in monitoring and response mechanisms, un</w:t>
      </w:r>
      <w:r>
        <w:rPr>
          <w:rFonts w:ascii="Times New Roman" w:eastAsia="Times New Roman" w:hAnsi="Times New Roman"/>
          <w:color w:val="000000"/>
          <w:sz w:val="22"/>
          <w:szCs w:val="22"/>
        </w:rPr>
        <w:t>derscoring the need for targeted research and data</w:t>
      </w:r>
      <w:r>
        <w:rPr>
          <w:rFonts w:ascii="Times New Roman" w:eastAsia="Times New Roman" w:hAnsi="Times New Roman"/>
          <w:color w:val="000000"/>
          <w:sz w:val="22"/>
          <w:szCs w:val="22"/>
        </w:rPr>
        <w:noBreakHyphen/>
        <w:t>collection efforts in post</w:t>
      </w:r>
      <w:r>
        <w:rPr>
          <w:rFonts w:ascii="Times New Roman" w:eastAsia="Times New Roman" w:hAnsi="Times New Roman"/>
          <w:color w:val="000000"/>
          <w:sz w:val="22"/>
          <w:szCs w:val="22"/>
        </w:rPr>
        <w:noBreakHyphen/>
        <w:t>conflict and minority</w:t>
      </w:r>
      <w:r>
        <w:rPr>
          <w:rFonts w:ascii="Times New Roman" w:eastAsia="Times New Roman" w:hAnsi="Times New Roman"/>
          <w:color w:val="000000"/>
          <w:sz w:val="22"/>
          <w:szCs w:val="22"/>
        </w:rPr>
        <w:noBreakHyphen/>
        <w:t>affected communities.</w:t>
      </w:r>
    </w:p>
    <w:p w14:paraId="311DABCE" w14:textId="77777777" w:rsidR="00534AFF" w:rsidRDefault="00D16163">
      <w:pPr>
        <w:pStyle w:val="Heading3"/>
        <w:spacing w:before="160" w:after="80" w:line="360" w:lineRule="auto"/>
        <w:ind w:left="-576" w:right="-576"/>
        <w:jc w:val="both"/>
        <w:rPr>
          <w:rFonts w:ascii="Times New Roman" w:hAnsi="Times New Roman"/>
          <w:color w:val="000000"/>
          <w:sz w:val="22"/>
          <w:szCs w:val="22"/>
        </w:rPr>
      </w:pPr>
      <w:r>
        <w:rPr>
          <w:rFonts w:ascii="Times New Roman" w:hAnsi="Times New Roman"/>
          <w:color w:val="000000"/>
          <w:sz w:val="22"/>
          <w:szCs w:val="22"/>
        </w:rPr>
        <w:t>The historical trauma of ISIS occupation intensifies these challenges. Survivors shared accounts of captivity, sexual slavery, and for</w:t>
      </w:r>
      <w:r>
        <w:rPr>
          <w:rFonts w:ascii="Times New Roman" w:hAnsi="Times New Roman"/>
          <w:color w:val="000000"/>
          <w:sz w:val="22"/>
          <w:szCs w:val="22"/>
        </w:rPr>
        <w:t>ced displacement, with the psychological impacts continuing years later. One woman recalled losing two sons, one killed in conflict and another to suicide, highlighting the compounded emotional and social consequences of ongoing violence and deprivation. M</w:t>
      </w:r>
      <w:r>
        <w:rPr>
          <w:rFonts w:ascii="Times New Roman" w:hAnsi="Times New Roman"/>
          <w:color w:val="000000"/>
          <w:sz w:val="22"/>
          <w:szCs w:val="22"/>
        </w:rPr>
        <w:t>any women live in temporary housing, including rented apartments or tents, and face social isolation with no secure spaces for public engagement or leisure.</w:t>
      </w:r>
    </w:p>
    <w:p w14:paraId="311DABCF" w14:textId="77777777" w:rsidR="00534AFF" w:rsidRDefault="00D16163">
      <w:pPr>
        <w:pStyle w:val="Heading3"/>
        <w:spacing w:before="160" w:after="80" w:line="360" w:lineRule="auto"/>
        <w:ind w:left="-576" w:right="-576"/>
        <w:jc w:val="both"/>
        <w:rPr>
          <w:rFonts w:ascii="Times New Roman" w:hAnsi="Times New Roman"/>
          <w:color w:val="000000"/>
          <w:sz w:val="22"/>
          <w:szCs w:val="22"/>
        </w:rPr>
      </w:pPr>
      <w:r>
        <w:rPr>
          <w:rFonts w:ascii="Times New Roman" w:hAnsi="Times New Roman"/>
          <w:color w:val="000000"/>
          <w:sz w:val="22"/>
          <w:szCs w:val="22"/>
        </w:rPr>
        <w:t xml:space="preserve"> Rural women, displaced returnees, and women with disabilities report higher levels of abuse and ma</w:t>
      </w:r>
      <w:r>
        <w:rPr>
          <w:rFonts w:ascii="Times New Roman" w:hAnsi="Times New Roman"/>
          <w:color w:val="000000"/>
          <w:sz w:val="22"/>
          <w:szCs w:val="22"/>
        </w:rPr>
        <w:t>rginalization. For instance, women with disabilities described being neglected, socially excluded, and bullied, adding layers of vulnerability that limit their access to support and protection. Participants pointed to several root causes for ongoing violen</w:t>
      </w:r>
      <w:r>
        <w:rPr>
          <w:rFonts w:ascii="Times New Roman" w:hAnsi="Times New Roman"/>
          <w:color w:val="000000"/>
          <w:sz w:val="22"/>
          <w:szCs w:val="22"/>
        </w:rPr>
        <w:t>ce. Deeply entrenched patriarchal traditions, poverty, economic dependence, weak legal enforcement, and lack of education create an environment where violence persists unchallenged. Physical violence is often triggered by jealousy or attempts to control wo</w:t>
      </w:r>
      <w:r>
        <w:rPr>
          <w:rFonts w:ascii="Times New Roman" w:hAnsi="Times New Roman"/>
          <w:color w:val="000000"/>
          <w:sz w:val="22"/>
          <w:szCs w:val="22"/>
        </w:rPr>
        <w:t>men’s mobility, while emotional abuse is sometimes normalized as “joking” within the community.</w:t>
      </w:r>
    </w:p>
    <w:p w14:paraId="311DABD0" w14:textId="77777777" w:rsidR="00534AFF" w:rsidRDefault="00D16163">
      <w:pPr>
        <w:pStyle w:val="Heading3"/>
        <w:spacing w:before="160" w:after="80" w:line="360" w:lineRule="auto"/>
        <w:ind w:left="-576" w:right="-576"/>
        <w:jc w:val="both"/>
      </w:pPr>
      <w:r>
        <w:rPr>
          <w:rFonts w:ascii="Times New Roman" w:eastAsia="Times New Roman" w:hAnsi="Times New Roman"/>
          <w:color w:val="auto"/>
          <w:sz w:val="22"/>
          <w:szCs w:val="22"/>
        </w:rPr>
        <w:lastRenderedPageBreak/>
        <w:t>Access to support and justice for women in Sinjar remains severely limited, reflecting deep systemic gaps that undermine the protection of their rights under CE</w:t>
      </w:r>
      <w:r>
        <w:rPr>
          <w:rFonts w:ascii="Times New Roman" w:eastAsia="Times New Roman" w:hAnsi="Times New Roman"/>
          <w:color w:val="auto"/>
          <w:sz w:val="22"/>
          <w:szCs w:val="22"/>
        </w:rPr>
        <w:t>DAW. Law enforcement and judicial responses are often weak or unsafe: police frequently lack training on gender-based violence, dismiss complaints, and in some cases perpetuate stigma or victim-blaming, while reporting mechanisms are largely inaccessible a</w:t>
      </w:r>
      <w:r>
        <w:rPr>
          <w:rFonts w:ascii="Times New Roman" w:eastAsia="Times New Roman" w:hAnsi="Times New Roman"/>
          <w:color w:val="auto"/>
          <w:sz w:val="22"/>
          <w:szCs w:val="22"/>
        </w:rPr>
        <w:t>nd survivors fear retaliation, gossip, or social sanctions. Traditional practices often take precedence over formal legal processes, leaving many women with little recourse. Psychosocial and legal support services are almost entirely dependent on NGOs, whi</w:t>
      </w:r>
      <w:r>
        <w:rPr>
          <w:rFonts w:ascii="Times New Roman" w:eastAsia="Times New Roman" w:hAnsi="Times New Roman"/>
          <w:color w:val="auto"/>
          <w:sz w:val="22"/>
          <w:szCs w:val="22"/>
        </w:rPr>
        <w:t xml:space="preserve">ch face chronic underfunding and declining capacity, while government-provided services particularly in rural areas are minimal or non-existent, leaving trauma and ongoing abuse largely unaddressed. The absence of permanent shelters or safe spaces further </w:t>
      </w:r>
      <w:r>
        <w:rPr>
          <w:rFonts w:ascii="Times New Roman" w:eastAsia="Times New Roman" w:hAnsi="Times New Roman"/>
          <w:color w:val="auto"/>
          <w:sz w:val="22"/>
          <w:szCs w:val="22"/>
        </w:rPr>
        <w:t xml:space="preserve">exacerbates women’s vulnerability, forcing those at risk to remain in unsafe homes or temporary accommodations without access to confidential protection or recovery programs. Economic dependence on husbands or family members compounds these challenges, as </w:t>
      </w:r>
      <w:r>
        <w:rPr>
          <w:rFonts w:ascii="Times New Roman" w:eastAsia="Times New Roman" w:hAnsi="Times New Roman"/>
          <w:color w:val="auto"/>
          <w:sz w:val="22"/>
          <w:szCs w:val="22"/>
        </w:rPr>
        <w:t>limited vocational training, employment opportunities, and financial support prevent women from leaving violent situations. Finally, deeply entrenched patriarchal norms persist, reinforced by a lack of public awareness and social change initiatives to educ</w:t>
      </w:r>
      <w:r>
        <w:rPr>
          <w:rFonts w:ascii="Times New Roman" w:eastAsia="Times New Roman" w:hAnsi="Times New Roman"/>
          <w:color w:val="auto"/>
          <w:sz w:val="22"/>
          <w:szCs w:val="22"/>
        </w:rPr>
        <w:t>ate communities, men, and local leaders on women’s rights, which contributes to the normalization of violence and further marginalizes survivors. Together, these gaps highlight the urgent need for coordinated legal, social, and economic interventions to en</w:t>
      </w:r>
      <w:r>
        <w:rPr>
          <w:rFonts w:ascii="Times New Roman" w:eastAsia="Times New Roman" w:hAnsi="Times New Roman"/>
          <w:color w:val="auto"/>
          <w:sz w:val="22"/>
          <w:szCs w:val="22"/>
        </w:rPr>
        <w:t xml:space="preserve">sure women’s safety, empowerment, and access to justice. </w:t>
      </w:r>
      <w:r>
        <w:rPr>
          <w:rFonts w:ascii="Times New Roman" w:hAnsi="Times New Roman"/>
          <w:color w:val="000000"/>
          <w:sz w:val="22"/>
          <w:szCs w:val="22"/>
        </w:rPr>
        <w:t>FGD participants stressed the urgent need for improved protection, psychological support, and economic empowerment. They emphasized that addressing violence requires a combination of legal reform, se</w:t>
      </w:r>
      <w:r>
        <w:rPr>
          <w:rFonts w:ascii="Times New Roman" w:hAnsi="Times New Roman"/>
          <w:color w:val="000000"/>
          <w:sz w:val="22"/>
          <w:szCs w:val="22"/>
        </w:rPr>
        <w:t xml:space="preserve">rvice provision, and social change, including education campaigns to challenge harmful norms. The testimonies underscore that, despite Iraq’s CEDAW obligations under Articles 2, 3, and 5, the realities in Sinjar reveal persistent gaps in the protection of </w:t>
      </w:r>
      <w:r>
        <w:rPr>
          <w:rFonts w:ascii="Times New Roman" w:hAnsi="Times New Roman"/>
          <w:color w:val="000000"/>
          <w:sz w:val="22"/>
          <w:szCs w:val="22"/>
        </w:rPr>
        <w:t>women’s rights.</w:t>
      </w:r>
    </w:p>
    <w:p w14:paraId="311DABD1" w14:textId="77777777" w:rsidR="00534AFF" w:rsidRDefault="00D16163">
      <w:pPr>
        <w:pStyle w:val="Heading3"/>
        <w:spacing w:before="160" w:after="80" w:line="360" w:lineRule="auto"/>
        <w:ind w:left="-576" w:right="-576"/>
        <w:jc w:val="both"/>
        <w:rPr>
          <w:rFonts w:ascii="Times New Roman" w:eastAsia="Times New Roman" w:hAnsi="Times New Roman"/>
          <w:sz w:val="22"/>
          <w:szCs w:val="22"/>
        </w:rPr>
      </w:pPr>
      <w:r>
        <w:rPr>
          <w:rFonts w:ascii="Times New Roman" w:eastAsia="Times New Roman" w:hAnsi="Times New Roman"/>
          <w:sz w:val="22"/>
          <w:szCs w:val="22"/>
        </w:rPr>
        <w:t>The last CEDAW review of Iraq included specific recommendations on combating gender-based violence, emphasizing the need for strengthened legal frameworks, specialized services for survivors, public awareness campaigns, and measures to addr</w:t>
      </w:r>
      <w:r>
        <w:rPr>
          <w:rFonts w:ascii="Times New Roman" w:eastAsia="Times New Roman" w:hAnsi="Times New Roman"/>
          <w:sz w:val="22"/>
          <w:szCs w:val="22"/>
        </w:rPr>
        <w:t>ess violence against marginalized women, including displaced populations and women with disabilities. However, evidence from Sinjar indicates that these recommendations have been only partially implemented. While some legal provisions exist on paper, enfor</w:t>
      </w:r>
      <w:r>
        <w:rPr>
          <w:rFonts w:ascii="Times New Roman" w:eastAsia="Times New Roman" w:hAnsi="Times New Roman"/>
          <w:sz w:val="22"/>
          <w:szCs w:val="22"/>
        </w:rPr>
        <w:t>cement remains weak, and specialized services—such as shelters, psychosocial support, and trained police units are largely unavailable. Public awareness and social change initiatives remain limited, particularly in rural areas, leaving many women without m</w:t>
      </w:r>
      <w:r>
        <w:rPr>
          <w:rFonts w:ascii="Times New Roman" w:eastAsia="Times New Roman" w:hAnsi="Times New Roman"/>
          <w:sz w:val="22"/>
          <w:szCs w:val="22"/>
        </w:rPr>
        <w:t>eaningful protection or access to justice.</w:t>
      </w:r>
    </w:p>
    <w:p w14:paraId="311DABD2" w14:textId="77777777" w:rsidR="00534AFF" w:rsidRDefault="00D16163">
      <w:pPr>
        <w:pStyle w:val="Heading4"/>
        <w:ind w:left="-576" w:right="-576"/>
        <w:rPr>
          <w:rFonts w:ascii="Times New Roman" w:hAnsi="Times New Roman"/>
          <w:color w:val="5B9BD5"/>
          <w14:shadow w14:blurRad="38036" w14:dist="25323" w14:dir="5400000" w14:sx="100000" w14:sy="100000" w14:kx="0" w14:ky="0" w14:algn="b">
            <w14:srgbClr w14:val="6E747A"/>
          </w14:shadow>
        </w:rPr>
      </w:pPr>
      <w:r>
        <w:rPr>
          <w:rFonts w:ascii="Times New Roman" w:hAnsi="Times New Roman"/>
          <w:color w:val="5B9BD5"/>
          <w14:shadow w14:blurRad="38036" w14:dist="25323" w14:dir="5400000" w14:sx="100000" w14:sy="100000" w14:kx="0" w14:ky="0" w14:algn="b">
            <w14:srgbClr w14:val="6E747A"/>
          </w14:shadow>
        </w:rPr>
        <w:t>Recommendations to the Government of Iraq:</w:t>
      </w:r>
    </w:p>
    <w:p w14:paraId="311DABD3" w14:textId="77777777" w:rsidR="00534AFF" w:rsidRDefault="00D16163">
      <w:pPr>
        <w:pStyle w:val="Heading4"/>
        <w:ind w:left="-576" w:right="-576"/>
        <w:jc w:val="both"/>
      </w:pPr>
      <w:r>
        <w:rPr>
          <w:rFonts w:ascii="Times New Roman" w:hAnsi="Times New Roman"/>
          <w:color w:val="000000"/>
        </w:rPr>
        <w:t xml:space="preserve">- Establish </w:t>
      </w:r>
      <w:r>
        <w:rPr>
          <w:rStyle w:val="Strong"/>
          <w:rFonts w:ascii="Times New Roman" w:hAnsi="Times New Roman"/>
          <w:color w:val="000000"/>
        </w:rPr>
        <w:t>specialized units for gender-based violence</w:t>
      </w:r>
      <w:r>
        <w:rPr>
          <w:rFonts w:ascii="Times New Roman" w:hAnsi="Times New Roman"/>
          <w:color w:val="000000"/>
        </w:rPr>
        <w:t xml:space="preserve"> in police stations and courts in Sinjar to ensure survivors have safe access to reporting and justice.</w:t>
      </w:r>
    </w:p>
    <w:p w14:paraId="311DABD4" w14:textId="77777777" w:rsidR="00534AFF" w:rsidRDefault="00D16163">
      <w:pPr>
        <w:pStyle w:val="Heading4"/>
        <w:ind w:left="-576" w:right="-576"/>
        <w:jc w:val="both"/>
      </w:pPr>
      <w:r>
        <w:rPr>
          <w:rFonts w:ascii="Times New Roman" w:hAnsi="Times New Roman"/>
          <w:color w:val="000000"/>
        </w:rPr>
        <w:t xml:space="preserve">- </w:t>
      </w:r>
      <w:r>
        <w:rPr>
          <w:rFonts w:ascii="Times New Roman" w:hAnsi="Times New Roman"/>
          <w:color w:val="000000"/>
        </w:rPr>
        <w:t xml:space="preserve">Develop and fund </w:t>
      </w:r>
      <w:r>
        <w:rPr>
          <w:rStyle w:val="Strong"/>
          <w:rFonts w:ascii="Times New Roman" w:hAnsi="Times New Roman"/>
          <w:color w:val="000000"/>
        </w:rPr>
        <w:t>comprehensive psychosocial support services</w:t>
      </w:r>
      <w:r>
        <w:rPr>
          <w:rFonts w:ascii="Times New Roman" w:hAnsi="Times New Roman"/>
          <w:color w:val="000000"/>
        </w:rPr>
        <w:t>, including trauma counseling, rehabilitation programs, and community mental health centers.</w:t>
      </w:r>
    </w:p>
    <w:p w14:paraId="311DABD5" w14:textId="77777777" w:rsidR="00534AFF" w:rsidRDefault="00D16163">
      <w:pPr>
        <w:pStyle w:val="Heading4"/>
        <w:ind w:left="-576" w:right="-576"/>
        <w:jc w:val="both"/>
      </w:pPr>
      <w:r>
        <w:rPr>
          <w:rFonts w:ascii="Times New Roman" w:hAnsi="Times New Roman"/>
          <w:color w:val="000000"/>
        </w:rPr>
        <w:t xml:space="preserve">- Create </w:t>
      </w:r>
      <w:r>
        <w:rPr>
          <w:rStyle w:val="Strong"/>
          <w:rFonts w:ascii="Times New Roman" w:hAnsi="Times New Roman"/>
          <w:color w:val="000000"/>
        </w:rPr>
        <w:t>permanent shelters and safe spaces</w:t>
      </w:r>
      <w:r>
        <w:rPr>
          <w:rFonts w:ascii="Times New Roman" w:hAnsi="Times New Roman"/>
          <w:color w:val="000000"/>
        </w:rPr>
        <w:t xml:space="preserve"> for women and girls at risk of violence.</w:t>
      </w:r>
    </w:p>
    <w:p w14:paraId="311DABD6" w14:textId="77777777" w:rsidR="00534AFF" w:rsidRDefault="00D16163">
      <w:pPr>
        <w:pStyle w:val="Heading4"/>
        <w:ind w:left="-576" w:right="-576"/>
        <w:jc w:val="both"/>
      </w:pPr>
      <w:r>
        <w:rPr>
          <w:rFonts w:ascii="Times New Roman" w:hAnsi="Times New Roman"/>
          <w:color w:val="000000"/>
        </w:rPr>
        <w:t xml:space="preserve">- Implement </w:t>
      </w:r>
      <w:r>
        <w:rPr>
          <w:rStyle w:val="Strong"/>
          <w:rFonts w:ascii="Times New Roman" w:hAnsi="Times New Roman"/>
          <w:color w:val="000000"/>
        </w:rPr>
        <w:t>public</w:t>
      </w:r>
      <w:r>
        <w:rPr>
          <w:rStyle w:val="Strong"/>
          <w:rFonts w:ascii="Times New Roman" w:hAnsi="Times New Roman"/>
          <w:color w:val="000000"/>
        </w:rPr>
        <w:t xml:space="preserve"> awareness campaigns</w:t>
      </w:r>
      <w:r>
        <w:rPr>
          <w:rFonts w:ascii="Times New Roman" w:hAnsi="Times New Roman"/>
          <w:color w:val="000000"/>
        </w:rPr>
        <w:t xml:space="preserve"> to challenge patriarchal norms and promote women’s rights as stipulated under national law and CEDAW.</w:t>
      </w:r>
    </w:p>
    <w:p w14:paraId="311DABD7" w14:textId="77777777" w:rsidR="00534AFF" w:rsidRDefault="00D16163">
      <w:pPr>
        <w:pStyle w:val="Heading4"/>
        <w:ind w:left="-576" w:right="-576"/>
        <w:jc w:val="both"/>
      </w:pPr>
      <w:r>
        <w:rPr>
          <w:rFonts w:ascii="Times New Roman" w:hAnsi="Times New Roman"/>
          <w:color w:val="000000"/>
        </w:rPr>
        <w:lastRenderedPageBreak/>
        <w:t xml:space="preserve">- Ensure </w:t>
      </w:r>
      <w:r>
        <w:rPr>
          <w:rStyle w:val="Strong"/>
          <w:rFonts w:ascii="Times New Roman" w:hAnsi="Times New Roman"/>
          <w:color w:val="000000"/>
        </w:rPr>
        <w:t>economic empowerment initiatives</w:t>
      </w:r>
      <w:r>
        <w:rPr>
          <w:rFonts w:ascii="Times New Roman" w:hAnsi="Times New Roman"/>
          <w:color w:val="000000"/>
        </w:rPr>
        <w:t xml:space="preserve"> for women, including vocational training, microfinance opportunities, and job placement pro</w:t>
      </w:r>
      <w:r>
        <w:rPr>
          <w:rFonts w:ascii="Times New Roman" w:hAnsi="Times New Roman"/>
          <w:color w:val="000000"/>
        </w:rPr>
        <w:t xml:space="preserve">grams to reduce dependency. </w:t>
      </w:r>
    </w:p>
    <w:p w14:paraId="311DABD8" w14:textId="77777777" w:rsidR="00534AFF" w:rsidRDefault="00D16163">
      <w:pPr>
        <w:pStyle w:val="Heading4"/>
        <w:ind w:left="-576" w:right="-576"/>
        <w:jc w:val="both"/>
      </w:pPr>
      <w:r>
        <w:rPr>
          <w:rFonts w:ascii="Times New Roman" w:hAnsi="Times New Roman"/>
          <w:color w:val="000000"/>
        </w:rPr>
        <w:t xml:space="preserve">- Strengthen </w:t>
      </w:r>
      <w:r>
        <w:rPr>
          <w:rStyle w:val="Strong"/>
          <w:rFonts w:ascii="Times New Roman" w:hAnsi="Times New Roman"/>
          <w:color w:val="000000"/>
        </w:rPr>
        <w:t>monitoring, data collection, and reporting systems</w:t>
      </w:r>
      <w:r>
        <w:rPr>
          <w:rFonts w:ascii="Times New Roman" w:hAnsi="Times New Roman"/>
          <w:color w:val="000000"/>
        </w:rPr>
        <w:t xml:space="preserve"> on violence against women, ensuring confidentiality and survivor protection.</w:t>
      </w:r>
    </w:p>
    <w:p w14:paraId="311DABD9" w14:textId="77777777" w:rsidR="00534AFF" w:rsidRDefault="00534AFF">
      <w:pPr>
        <w:rPr>
          <w:rFonts w:ascii="Times New Roman" w:hAnsi="Times New Roman" w:cs="Times New Roman"/>
          <w:sz w:val="22"/>
          <w:szCs w:val="22"/>
        </w:rPr>
      </w:pPr>
    </w:p>
    <w:p w14:paraId="311DABDA" w14:textId="77777777" w:rsidR="00534AFF" w:rsidRDefault="00D16163">
      <w:pPr>
        <w:pStyle w:val="Heading2"/>
        <w:ind w:left="-576" w:right="-576"/>
      </w:pPr>
      <w:bookmarkStart w:id="12" w:name="_Toc172014348"/>
      <w:bookmarkEnd w:id="11"/>
      <w:r>
        <w:rPr>
          <w:rFonts w:ascii="Times New Roman" w:hAnsi="Times New Roman"/>
          <w:b/>
          <w:bCs/>
          <w:color w:val="5B9BD5"/>
          <w:sz w:val="22"/>
          <w:szCs w:val="22"/>
          <w14:shadow w14:blurRad="38036" w14:dist="25323" w14:dir="5400000" w14:sx="100000" w14:sy="100000" w14:kx="0" w14:ky="0" w14:algn="b">
            <w14:srgbClr w14:val="6E747A"/>
          </w14:shadow>
        </w:rPr>
        <w:t xml:space="preserve">3.2 </w:t>
      </w:r>
      <w:bookmarkEnd w:id="12"/>
      <w:r>
        <w:rPr>
          <w:rFonts w:ascii="Times New Roman" w:hAnsi="Times New Roman"/>
          <w:b/>
          <w:bCs/>
          <w:color w:val="5B9BD5"/>
          <w:sz w:val="22"/>
          <w:szCs w:val="22"/>
          <w14:shadow w14:blurRad="38036" w14:dist="25323" w14:dir="5400000" w14:sx="100000" w14:sy="100000" w14:kx="0" w14:ky="0" w14:algn="b">
            <w14:srgbClr w14:val="6E747A"/>
          </w14:shadow>
        </w:rPr>
        <w:t xml:space="preserve">Early/Forced Marriage </w:t>
      </w:r>
      <w:r>
        <w:rPr>
          <w:rFonts w:ascii="Times New Roman" w:hAnsi="Times New Roman"/>
          <w:b/>
          <w:bCs/>
          <w:color w:val="000000"/>
          <w:sz w:val="20"/>
          <w:szCs w:val="20"/>
          <w14:shadow w14:blurRad="38036" w14:dist="25323" w14:dir="5400000" w14:sx="100000" w14:sy="100000" w14:kx="0" w14:ky="0" w14:algn="b">
            <w14:srgbClr w14:val="6E747A"/>
          </w14:shadow>
        </w:rPr>
        <w:t>(</w:t>
      </w:r>
      <w:r>
        <w:rPr>
          <w:rStyle w:val="Strong"/>
          <w:rFonts w:ascii="Times New Roman" w:hAnsi="Times New Roman"/>
          <w:color w:val="000000"/>
          <w:sz w:val="20"/>
          <w:szCs w:val="20"/>
        </w:rPr>
        <w:t>CEDAW Articles:</w:t>
      </w:r>
      <w:r>
        <w:rPr>
          <w:rFonts w:ascii="Times New Roman" w:hAnsi="Times New Roman"/>
          <w:color w:val="000000"/>
          <w:sz w:val="20"/>
          <w:szCs w:val="20"/>
        </w:rPr>
        <w:t xml:space="preserve"> 10, 12, 16)</w:t>
      </w:r>
    </w:p>
    <w:p w14:paraId="311DABDB" w14:textId="77777777" w:rsidR="00534AFF" w:rsidRDefault="00D16163">
      <w:pPr>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Early and forced </w:t>
      </w:r>
      <w:r>
        <w:rPr>
          <w:rFonts w:ascii="Times New Roman" w:hAnsi="Times New Roman" w:cs="Times New Roman"/>
          <w:sz w:val="22"/>
          <w:szCs w:val="22"/>
        </w:rPr>
        <w:t>marriage remains widespread in Sinjar, with FGD participants reporting that girls commonly marry between the ages of 14 and 18. Most women indicated that marriage decisions are primarily made by families, often in line with traditional or tribal norms, rat</w:t>
      </w:r>
      <w:r>
        <w:rPr>
          <w:rFonts w:ascii="Times New Roman" w:hAnsi="Times New Roman" w:cs="Times New Roman"/>
          <w:sz w:val="22"/>
          <w:szCs w:val="22"/>
        </w:rPr>
        <w:t>her than by the girls themselves. One participant described being forced to marry at age 15, recalling the immense physical, emotional, and social challenges she faced. Another shared the story of a 16-year-old girl who was recently married following famil</w:t>
      </w:r>
      <w:r>
        <w:rPr>
          <w:rFonts w:ascii="Times New Roman" w:hAnsi="Times New Roman" w:cs="Times New Roman"/>
          <w:sz w:val="22"/>
          <w:szCs w:val="22"/>
        </w:rPr>
        <w:t>y pressure to resolve conflicts, highlighting how social expectations often override individual choice.</w:t>
      </w:r>
    </w:p>
    <w:p w14:paraId="311DABDC" w14:textId="77777777" w:rsidR="00534AFF" w:rsidRDefault="00D16163">
      <w:pPr>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There are multiple drivers behind early and forced marriage. Economic hardship, social media influence, blackmail, emotional manipulation, and fear of a</w:t>
      </w:r>
      <w:r>
        <w:rPr>
          <w:rFonts w:ascii="Times New Roman" w:hAnsi="Times New Roman" w:cs="Times New Roman"/>
          <w:sz w:val="22"/>
          <w:szCs w:val="22"/>
        </w:rPr>
        <w:t>rmed group recruitment were all cited as factors contributing to early marriage. Several women mentioned that families marry daughters early to prevent them from joining non-state armed groups or to avoid potential social scandal. Participants also observe</w:t>
      </w:r>
      <w:r>
        <w:rPr>
          <w:rFonts w:ascii="Times New Roman" w:hAnsi="Times New Roman" w:cs="Times New Roman"/>
          <w:sz w:val="22"/>
          <w:szCs w:val="22"/>
        </w:rPr>
        <w:t xml:space="preserve">d that favoritism toward boys often pushes families to </w:t>
      </w:r>
      <w:bookmarkStart w:id="13" w:name="_Int_n2YfB1IW"/>
      <w:r>
        <w:rPr>
          <w:rFonts w:ascii="Times New Roman" w:hAnsi="Times New Roman" w:cs="Times New Roman"/>
          <w:sz w:val="22"/>
          <w:szCs w:val="22"/>
        </w:rPr>
        <w:t>marry off</w:t>
      </w:r>
      <w:bookmarkEnd w:id="13"/>
      <w:r>
        <w:rPr>
          <w:rFonts w:ascii="Times New Roman" w:hAnsi="Times New Roman" w:cs="Times New Roman"/>
          <w:sz w:val="22"/>
          <w:szCs w:val="22"/>
        </w:rPr>
        <w:t xml:space="preserve"> girls early, reinforcing gender inequality.</w:t>
      </w:r>
    </w:p>
    <w:p w14:paraId="311DABDD" w14:textId="77777777" w:rsidR="00534AFF" w:rsidRDefault="00D16163">
      <w:pPr>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The consequences of early and forced marriage are severe and multi-dimensional. Health risks are prominent: one participant reported that her cousi</w:t>
      </w:r>
      <w:r>
        <w:rPr>
          <w:rFonts w:ascii="Times New Roman" w:hAnsi="Times New Roman" w:cs="Times New Roman"/>
          <w:sz w:val="22"/>
          <w:szCs w:val="22"/>
        </w:rPr>
        <w:t>n died during pregnancy after marrying at age 12, and another young girl died on her wedding night due to physical complications. Psychological trauma is pervasive, with many women describing feelings of depression, isolation, and loss of autonomy. Economi</w:t>
      </w:r>
      <w:r>
        <w:rPr>
          <w:rFonts w:ascii="Times New Roman" w:hAnsi="Times New Roman" w:cs="Times New Roman"/>
          <w:sz w:val="22"/>
          <w:szCs w:val="22"/>
        </w:rPr>
        <w:t>c vulnerability is also compounded, as marriage often limits girls’ access to income, education, or vocational training. Early marriage frequently leads to divorce, further exposing women to stigma and poverty.</w:t>
      </w:r>
    </w:p>
    <w:p w14:paraId="311DABDE" w14:textId="77777777" w:rsidR="00534AFF" w:rsidRDefault="00D16163">
      <w:pPr>
        <w:spacing w:line="360" w:lineRule="auto"/>
        <w:ind w:left="-576" w:right="-576"/>
        <w:jc w:val="both"/>
      </w:pPr>
      <w:r>
        <w:rPr>
          <w:rFonts w:ascii="Times New Roman" w:eastAsia="Times New Roman" w:hAnsi="Times New Roman" w:cs="Times New Roman"/>
          <w:sz w:val="22"/>
          <w:szCs w:val="22"/>
        </w:rPr>
        <w:t>Legal gaps exacerbate these issues. While the</w:t>
      </w:r>
      <w:r>
        <w:rPr>
          <w:rFonts w:ascii="Times New Roman" w:eastAsia="Times New Roman" w:hAnsi="Times New Roman" w:cs="Times New Roman"/>
          <w:sz w:val="22"/>
          <w:szCs w:val="22"/>
        </w:rPr>
        <w:t xml:space="preserve"> Personal Status Law establishes 18 as the minimum marriage age, judicial exceptions under Article 8 permit marriages at younger ages with parental consent, undermining protections for girls</w:t>
      </w:r>
      <w:r>
        <w:rPr>
          <w:rFonts w:ascii="Times New Roman" w:hAnsi="Times New Roman" w:cs="Times New Roman"/>
          <w:sz w:val="22"/>
          <w:szCs w:val="22"/>
        </w:rPr>
        <w:t>. Tribal and religious authorities often arrange marriages outside</w:t>
      </w:r>
      <w:r>
        <w:rPr>
          <w:rFonts w:ascii="Times New Roman" w:hAnsi="Times New Roman" w:cs="Times New Roman"/>
          <w:sz w:val="22"/>
          <w:szCs w:val="22"/>
        </w:rPr>
        <w:t xml:space="preserve"> of formal legal channels, leaving girls without documentation or legal protection. FGD participants noted that attempts to seek help are frequently met with social stigma, limited institutional support, and weak enforcement of existing laws.</w:t>
      </w:r>
    </w:p>
    <w:p w14:paraId="311DABDF" w14:textId="77777777" w:rsidR="00534AFF" w:rsidRDefault="00D16163">
      <w:pPr>
        <w:spacing w:line="360" w:lineRule="auto"/>
        <w:ind w:left="-576" w:right="-57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Previous </w:t>
      </w:r>
      <w:r>
        <w:rPr>
          <w:rFonts w:ascii="Times New Roman" w:eastAsia="Times New Roman" w:hAnsi="Times New Roman" w:cs="Times New Roman"/>
          <w:sz w:val="22"/>
          <w:szCs w:val="22"/>
        </w:rPr>
        <w:t>CEDAW reviews explicitly recommended that Iraq take decisive action to address early and forced marriage, including strictly enforcing the minimum legal age for marriage at 18 and removing any judicial discretion to authorize underage marriages, abolishing</w:t>
      </w:r>
      <w:r>
        <w:rPr>
          <w:rFonts w:ascii="Times New Roman" w:eastAsia="Times New Roman" w:hAnsi="Times New Roman" w:cs="Times New Roman"/>
          <w:sz w:val="22"/>
          <w:szCs w:val="22"/>
        </w:rPr>
        <w:t xml:space="preserve"> Article 8 of the Personal Status Law which currently allows judges to permit marriages under the age of 18, and developing a national action plan along with mechanisms to prevent child and forced marriage and protect girls at risk. While the government ha</w:t>
      </w:r>
      <w:r>
        <w:rPr>
          <w:rFonts w:ascii="Times New Roman" w:eastAsia="Times New Roman" w:hAnsi="Times New Roman" w:cs="Times New Roman"/>
          <w:sz w:val="22"/>
          <w:szCs w:val="22"/>
        </w:rPr>
        <w:t xml:space="preserve">s acknowledged child protection as a priority, current legal provisions still allow judicial exceptions for underage marriage, and recent amendments to the Personal Status Law have raised </w:t>
      </w:r>
      <w:r>
        <w:rPr>
          <w:rFonts w:ascii="Times New Roman" w:eastAsia="Times New Roman" w:hAnsi="Times New Roman" w:cs="Times New Roman"/>
          <w:sz w:val="22"/>
          <w:szCs w:val="22"/>
        </w:rPr>
        <w:lastRenderedPageBreak/>
        <w:t xml:space="preserve">serious concerns among rights groups, as they appear to maintain or </w:t>
      </w:r>
      <w:r>
        <w:rPr>
          <w:rFonts w:ascii="Times New Roman" w:eastAsia="Times New Roman" w:hAnsi="Times New Roman" w:cs="Times New Roman"/>
          <w:sz w:val="22"/>
          <w:szCs w:val="22"/>
        </w:rPr>
        <w:t>even expand judicial discretion under Article 8, potentially undermining protections against underage marriage. The amendments also legalize unregistered marriages often used to circumvent safeguards against child marriage and empower religious authorities</w:t>
      </w:r>
      <w:r>
        <w:rPr>
          <w:rFonts w:ascii="Times New Roman" w:eastAsia="Times New Roman" w:hAnsi="Times New Roman" w:cs="Times New Roman"/>
          <w:sz w:val="22"/>
          <w:szCs w:val="22"/>
        </w:rPr>
        <w:t xml:space="preserve"> to draft accompanying personal status codes, creating practical risks that the minimum age and other protections could be overridden in certain communities. As a result, previous CEDAW recommendations to fully prohibit child and forced marriage have not b</w:t>
      </w:r>
      <w:r>
        <w:rPr>
          <w:rFonts w:ascii="Times New Roman" w:eastAsia="Times New Roman" w:hAnsi="Times New Roman" w:cs="Times New Roman"/>
          <w:sz w:val="22"/>
          <w:szCs w:val="22"/>
        </w:rPr>
        <w:t xml:space="preserve">een implemented, leaving girls vulnerable to early and forced marriage. </w:t>
      </w:r>
    </w:p>
    <w:p w14:paraId="311DABE0" w14:textId="77777777" w:rsidR="00534AFF" w:rsidRDefault="00D16163">
      <w:pPr>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 These practices violate Articles 10 and 16 of the CEDAW, which guarantee the right to freely choose a spouse and to equality in marriage and family life. Participants called for stri</w:t>
      </w:r>
      <w:r>
        <w:rPr>
          <w:rFonts w:ascii="Times New Roman" w:hAnsi="Times New Roman" w:cs="Times New Roman"/>
          <w:sz w:val="22"/>
          <w:szCs w:val="22"/>
        </w:rPr>
        <w:t>ct enforcement of minimum age laws, awareness campaigns, safe reporting mechanisms, and expanded education and vocational opportunities for girls. They emphasized that real change requires both legal reform and transformation of cultural attitudes toward g</w:t>
      </w:r>
      <w:r>
        <w:rPr>
          <w:rFonts w:ascii="Times New Roman" w:hAnsi="Times New Roman" w:cs="Times New Roman"/>
          <w:sz w:val="22"/>
          <w:szCs w:val="22"/>
        </w:rPr>
        <w:t>irls’ autonomy.</w:t>
      </w:r>
    </w:p>
    <w:p w14:paraId="311DABE1" w14:textId="77777777" w:rsidR="00534AFF" w:rsidRDefault="00D16163">
      <w:pPr>
        <w:pStyle w:val="Heading4"/>
        <w:ind w:left="-576" w:right="-576"/>
        <w:rPr>
          <w:rFonts w:ascii="Times New Roman" w:hAnsi="Times New Roman"/>
          <w:color w:val="5B9BD5"/>
          <w14:shadow w14:blurRad="38036" w14:dist="25323" w14:dir="5400000" w14:sx="100000" w14:sy="100000" w14:kx="0" w14:ky="0" w14:algn="b">
            <w14:srgbClr w14:val="6E747A"/>
          </w14:shadow>
        </w:rPr>
      </w:pPr>
      <w:r>
        <w:rPr>
          <w:rFonts w:ascii="Times New Roman" w:hAnsi="Times New Roman"/>
          <w:color w:val="5B9BD5"/>
          <w14:shadow w14:blurRad="38036" w14:dist="25323" w14:dir="5400000" w14:sx="100000" w14:sy="100000" w14:kx="0" w14:ky="0" w14:algn="b">
            <w14:srgbClr w14:val="6E747A"/>
          </w14:shadow>
        </w:rPr>
        <w:t>Recommendations to the Government of Iraq:</w:t>
      </w:r>
    </w:p>
    <w:p w14:paraId="311DABE2" w14:textId="77777777" w:rsidR="00534AFF" w:rsidRDefault="00D16163">
      <w:pPr>
        <w:pStyle w:val="Heading4"/>
        <w:ind w:left="-576" w:right="-576"/>
      </w:pPr>
      <w:r>
        <w:rPr>
          <w:rFonts w:ascii="Times New Roman" w:hAnsi="Times New Roman"/>
          <w:color w:val="000000"/>
        </w:rPr>
        <w:t>-</w:t>
      </w:r>
      <w:r>
        <w:rPr>
          <w:rStyle w:val="Strong"/>
          <w:rFonts w:ascii="Times New Roman" w:hAnsi="Times New Roman"/>
          <w:color w:val="000000"/>
        </w:rPr>
        <w:t>Strictly enforce the minimum legal age for marriage (18 years)</w:t>
      </w:r>
      <w:r>
        <w:rPr>
          <w:rFonts w:ascii="Times New Roman" w:hAnsi="Times New Roman"/>
          <w:color w:val="000000"/>
        </w:rPr>
        <w:t xml:space="preserve"> without exceptions, ensuring that courts cannot authorize underage marriages.</w:t>
      </w:r>
    </w:p>
    <w:p w14:paraId="311DABE3" w14:textId="77777777" w:rsidR="00534AFF" w:rsidRDefault="00D16163">
      <w:pPr>
        <w:pStyle w:val="ListParagraph"/>
        <w:numPr>
          <w:ilvl w:val="0"/>
          <w:numId w:val="2"/>
        </w:numPr>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Abolish Article 8 of Personal Status Law which allows a</w:t>
      </w:r>
      <w:r>
        <w:rPr>
          <w:rFonts w:ascii="Times New Roman" w:hAnsi="Times New Roman" w:cs="Times New Roman"/>
          <w:sz w:val="22"/>
          <w:szCs w:val="22"/>
        </w:rPr>
        <w:t xml:space="preserve"> judge to give permission for marriage under the age of 18.</w:t>
      </w:r>
    </w:p>
    <w:p w14:paraId="311DABE4" w14:textId="77777777" w:rsidR="00534AFF" w:rsidRDefault="00D16163">
      <w:pPr>
        <w:pStyle w:val="ListParagraph"/>
        <w:numPr>
          <w:ilvl w:val="0"/>
          <w:numId w:val="2"/>
        </w:numPr>
        <w:spacing w:line="360" w:lineRule="auto"/>
        <w:ind w:left="-576" w:right="-576"/>
        <w:jc w:val="both"/>
      </w:pPr>
      <w:r>
        <w:rPr>
          <w:rFonts w:ascii="Times New Roman" w:hAnsi="Times New Roman" w:cs="Times New Roman"/>
          <w:color w:val="000000"/>
          <w:sz w:val="22"/>
          <w:szCs w:val="22"/>
        </w:rPr>
        <w:t xml:space="preserve">Implement </w:t>
      </w:r>
      <w:r>
        <w:rPr>
          <w:rStyle w:val="Strong"/>
          <w:rFonts w:ascii="Times New Roman" w:hAnsi="Times New Roman" w:cs="Times New Roman"/>
          <w:color w:val="000000"/>
          <w:sz w:val="22"/>
          <w:szCs w:val="22"/>
        </w:rPr>
        <w:t>monitoring mechanisms</w:t>
      </w:r>
      <w:r>
        <w:rPr>
          <w:rFonts w:ascii="Times New Roman" w:hAnsi="Times New Roman" w:cs="Times New Roman"/>
          <w:color w:val="000000"/>
          <w:sz w:val="22"/>
          <w:szCs w:val="22"/>
        </w:rPr>
        <w:t xml:space="preserve"> to identify and prevent forced or underage marriages at community and governorate levels.</w:t>
      </w:r>
    </w:p>
    <w:p w14:paraId="311DABE5" w14:textId="77777777" w:rsidR="00534AFF" w:rsidRDefault="00D16163">
      <w:pPr>
        <w:pStyle w:val="ListParagraph"/>
        <w:numPr>
          <w:ilvl w:val="0"/>
          <w:numId w:val="2"/>
        </w:numPr>
        <w:spacing w:line="360" w:lineRule="auto"/>
        <w:ind w:left="-576" w:right="-576"/>
        <w:jc w:val="both"/>
      </w:pPr>
      <w:r>
        <w:rPr>
          <w:rFonts w:ascii="Times New Roman" w:hAnsi="Times New Roman" w:cs="Times New Roman"/>
          <w:color w:val="000000"/>
          <w:sz w:val="22"/>
          <w:szCs w:val="22"/>
        </w:rPr>
        <w:t xml:space="preserve">Establish </w:t>
      </w:r>
      <w:r>
        <w:rPr>
          <w:rStyle w:val="Strong"/>
          <w:rFonts w:ascii="Times New Roman" w:hAnsi="Times New Roman" w:cs="Times New Roman"/>
          <w:color w:val="000000"/>
          <w:sz w:val="22"/>
          <w:szCs w:val="22"/>
        </w:rPr>
        <w:t>safe reporting channels and protection mechanisms</w:t>
      </w:r>
      <w:r>
        <w:rPr>
          <w:rFonts w:ascii="Times New Roman" w:hAnsi="Times New Roman" w:cs="Times New Roman"/>
          <w:color w:val="000000"/>
          <w:sz w:val="22"/>
          <w:szCs w:val="22"/>
        </w:rPr>
        <w:t xml:space="preserve"> for girls at </w:t>
      </w:r>
      <w:r>
        <w:rPr>
          <w:rFonts w:ascii="Times New Roman" w:hAnsi="Times New Roman" w:cs="Times New Roman"/>
          <w:color w:val="000000"/>
          <w:sz w:val="22"/>
          <w:szCs w:val="22"/>
        </w:rPr>
        <w:t>risk of early or forced marriage.</w:t>
      </w:r>
    </w:p>
    <w:p w14:paraId="311DABE6" w14:textId="77777777" w:rsidR="00534AFF" w:rsidRDefault="00D16163">
      <w:pPr>
        <w:pStyle w:val="ListParagraph"/>
        <w:numPr>
          <w:ilvl w:val="0"/>
          <w:numId w:val="2"/>
        </w:numPr>
        <w:spacing w:line="360" w:lineRule="auto"/>
        <w:ind w:left="-576" w:right="-576"/>
        <w:jc w:val="both"/>
      </w:pPr>
      <w:r>
        <w:rPr>
          <w:rFonts w:ascii="Times New Roman" w:hAnsi="Times New Roman" w:cs="Times New Roman"/>
          <w:color w:val="000000"/>
          <w:sz w:val="22"/>
          <w:szCs w:val="22"/>
        </w:rPr>
        <w:t xml:space="preserve">Expand </w:t>
      </w:r>
      <w:r>
        <w:rPr>
          <w:rStyle w:val="Strong"/>
          <w:rFonts w:ascii="Times New Roman" w:hAnsi="Times New Roman" w:cs="Times New Roman"/>
          <w:color w:val="000000"/>
          <w:sz w:val="22"/>
          <w:szCs w:val="22"/>
        </w:rPr>
        <w:t>access to education, scholarships, and vocational training</w:t>
      </w:r>
      <w:r>
        <w:rPr>
          <w:rFonts w:ascii="Times New Roman" w:hAnsi="Times New Roman" w:cs="Times New Roman"/>
          <w:color w:val="000000"/>
          <w:sz w:val="22"/>
          <w:szCs w:val="22"/>
        </w:rPr>
        <w:t xml:space="preserve"> for girls to reduce economic incentives for early marriage.</w:t>
      </w:r>
    </w:p>
    <w:p w14:paraId="311DABE7" w14:textId="77777777" w:rsidR="00534AFF" w:rsidRDefault="00D16163">
      <w:pPr>
        <w:pStyle w:val="ListParagraph"/>
        <w:numPr>
          <w:ilvl w:val="0"/>
          <w:numId w:val="2"/>
        </w:numPr>
        <w:spacing w:line="360" w:lineRule="auto"/>
        <w:ind w:left="-576" w:right="-576"/>
        <w:jc w:val="both"/>
      </w:pPr>
      <w:r>
        <w:rPr>
          <w:rFonts w:ascii="Times New Roman" w:hAnsi="Times New Roman" w:cs="Times New Roman"/>
          <w:color w:val="000000"/>
          <w:sz w:val="22"/>
          <w:szCs w:val="22"/>
        </w:rPr>
        <w:t xml:space="preserve">Conduct </w:t>
      </w:r>
      <w:r>
        <w:rPr>
          <w:rStyle w:val="Strong"/>
          <w:rFonts w:ascii="Times New Roman" w:hAnsi="Times New Roman" w:cs="Times New Roman"/>
          <w:color w:val="000000"/>
          <w:sz w:val="22"/>
          <w:szCs w:val="22"/>
        </w:rPr>
        <w:t>community engagement and awareness campaigns</w:t>
      </w:r>
      <w:r>
        <w:rPr>
          <w:rFonts w:ascii="Times New Roman" w:hAnsi="Times New Roman" w:cs="Times New Roman"/>
          <w:color w:val="000000"/>
          <w:sz w:val="22"/>
          <w:szCs w:val="22"/>
        </w:rPr>
        <w:t xml:space="preserve"> to challenge cultural norms and inform fami</w:t>
      </w:r>
      <w:r>
        <w:rPr>
          <w:rFonts w:ascii="Times New Roman" w:hAnsi="Times New Roman" w:cs="Times New Roman"/>
          <w:color w:val="000000"/>
          <w:sz w:val="22"/>
          <w:szCs w:val="22"/>
        </w:rPr>
        <w:t>lies about the harms of early marriage.</w:t>
      </w:r>
    </w:p>
    <w:p w14:paraId="311DABE8" w14:textId="77777777" w:rsidR="00534AFF" w:rsidRDefault="00D16163">
      <w:pPr>
        <w:pStyle w:val="ListParagraph"/>
        <w:numPr>
          <w:ilvl w:val="0"/>
          <w:numId w:val="2"/>
        </w:numPr>
        <w:spacing w:line="360" w:lineRule="auto"/>
        <w:ind w:left="-576" w:right="-576"/>
        <w:jc w:val="both"/>
      </w:pPr>
      <w:r>
        <w:rPr>
          <w:rFonts w:ascii="Times New Roman" w:hAnsi="Times New Roman" w:cs="Times New Roman"/>
          <w:color w:val="000000"/>
          <w:sz w:val="22"/>
          <w:szCs w:val="22"/>
        </w:rPr>
        <w:t xml:space="preserve">Train </w:t>
      </w:r>
      <w:r>
        <w:rPr>
          <w:rStyle w:val="Strong"/>
          <w:rFonts w:ascii="Times New Roman" w:hAnsi="Times New Roman" w:cs="Times New Roman"/>
          <w:color w:val="000000"/>
          <w:sz w:val="22"/>
          <w:szCs w:val="22"/>
        </w:rPr>
        <w:t>judges, local authorities, and religious leaders</w:t>
      </w:r>
      <w:r>
        <w:rPr>
          <w:rFonts w:ascii="Times New Roman" w:hAnsi="Times New Roman" w:cs="Times New Roman"/>
          <w:color w:val="000000"/>
          <w:sz w:val="22"/>
          <w:szCs w:val="22"/>
        </w:rPr>
        <w:t xml:space="preserve"> on child protection, women’s rights, and CEDAW obligations.</w:t>
      </w:r>
    </w:p>
    <w:p w14:paraId="311DABE9" w14:textId="77777777" w:rsidR="00534AFF" w:rsidRDefault="00D16163">
      <w:pPr>
        <w:pStyle w:val="Heading2"/>
        <w:ind w:left="-576" w:right="-576"/>
      </w:pPr>
      <w:bookmarkStart w:id="14" w:name="_Toc172014349"/>
      <w:r>
        <w:rPr>
          <w:rFonts w:ascii="Times New Roman" w:hAnsi="Times New Roman"/>
          <w:bCs/>
          <w:color w:val="5B9BD5"/>
          <w:sz w:val="22"/>
          <w:szCs w:val="22"/>
          <w14:shadow w14:blurRad="38036" w14:dist="25323" w14:dir="5400000" w14:sx="100000" w14:sy="100000" w14:kx="0" w14:ky="0" w14:algn="b">
            <w14:srgbClr w14:val="6E747A"/>
          </w14:shadow>
        </w:rPr>
        <w:t xml:space="preserve">3.3 </w:t>
      </w:r>
      <w:bookmarkEnd w:id="14"/>
      <w:r>
        <w:rPr>
          <w:rFonts w:ascii="Times New Roman" w:hAnsi="Times New Roman"/>
          <w:bCs/>
          <w:color w:val="5B9BD5"/>
          <w:sz w:val="22"/>
          <w:szCs w:val="22"/>
          <w14:shadow w14:blurRad="38036" w14:dist="25323" w14:dir="5400000" w14:sx="100000" w14:sy="100000" w14:kx="0" w14:ky="0" w14:algn="b">
            <w14:srgbClr w14:val="6E747A"/>
          </w14:shadow>
        </w:rPr>
        <w:t xml:space="preserve">Honor Killing </w:t>
      </w:r>
      <w:r>
        <w:rPr>
          <w:rFonts w:ascii="Times New Roman" w:hAnsi="Times New Roman"/>
          <w:bCs/>
          <w:color w:val="000000"/>
          <w:sz w:val="22"/>
          <w:szCs w:val="22"/>
          <w14:shadow w14:blurRad="38036" w14:dist="25323" w14:dir="5400000" w14:sx="100000" w14:sy="100000" w14:kx="0" w14:ky="0" w14:algn="b">
            <w14:srgbClr w14:val="6E747A"/>
          </w14:shadow>
        </w:rPr>
        <w:t>(</w:t>
      </w:r>
      <w:r>
        <w:rPr>
          <w:rStyle w:val="Strong"/>
          <w:rFonts w:ascii="Times New Roman" w:hAnsi="Times New Roman"/>
          <w:color w:val="000000"/>
          <w:sz w:val="20"/>
          <w:szCs w:val="20"/>
        </w:rPr>
        <w:t>CEDAW Articles:</w:t>
      </w:r>
      <w:r>
        <w:rPr>
          <w:rFonts w:ascii="Times New Roman" w:hAnsi="Times New Roman"/>
          <w:color w:val="000000"/>
          <w:sz w:val="20"/>
          <w:szCs w:val="20"/>
        </w:rPr>
        <w:t xml:space="preserve"> 2, 3, 5, 12)</w:t>
      </w:r>
    </w:p>
    <w:p w14:paraId="311DABEA" w14:textId="77777777" w:rsidR="00534AFF" w:rsidRDefault="00D16163">
      <w:pPr>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Honor-based violence (HBV) remains a grave, </w:t>
      </w:r>
      <w:r>
        <w:rPr>
          <w:rFonts w:ascii="Times New Roman" w:hAnsi="Times New Roman" w:cs="Times New Roman"/>
          <w:sz w:val="22"/>
          <w:szCs w:val="22"/>
        </w:rPr>
        <w:t>underreported, and deeply entrenched form of abuse in Sinjar. FGDs revealed that women and girls continue to face threats, assault, and even killings in the name of protecting family “honor.” Community norms define acceptable behavior narrowly, with women’</w:t>
      </w:r>
      <w:r>
        <w:rPr>
          <w:rFonts w:ascii="Times New Roman" w:hAnsi="Times New Roman" w:cs="Times New Roman"/>
          <w:sz w:val="22"/>
          <w:szCs w:val="22"/>
        </w:rPr>
        <w:t>s conduct closely monitored. Violations can include speaking to men, wearing certain clothing, using social media, or appearing in public without male supervision.</w:t>
      </w:r>
    </w:p>
    <w:p w14:paraId="311DABEB" w14:textId="77777777" w:rsidR="00534AFF" w:rsidRDefault="00D16163">
      <w:pPr>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Participants shared harrowing examples: one woman described a girl who disappeared after per</w:t>
      </w:r>
      <w:r>
        <w:rPr>
          <w:rFonts w:ascii="Times New Roman" w:hAnsi="Times New Roman" w:cs="Times New Roman"/>
          <w:sz w:val="22"/>
          <w:szCs w:val="22"/>
        </w:rPr>
        <w:t xml:space="preserve">sonal photos were leaked online, with no one knowing her fate. Another recounted how a 16-year-old girl, married to a man in his fifties, was threatened by her brothers when she sought a divorce, enduring ongoing abuse. Several participants knew girls who </w:t>
      </w:r>
      <w:r>
        <w:rPr>
          <w:rFonts w:ascii="Times New Roman" w:hAnsi="Times New Roman" w:cs="Times New Roman"/>
          <w:sz w:val="22"/>
          <w:szCs w:val="22"/>
        </w:rPr>
        <w:t xml:space="preserve">were </w:t>
      </w:r>
      <w:r>
        <w:rPr>
          <w:rFonts w:ascii="Times New Roman" w:hAnsi="Times New Roman" w:cs="Times New Roman"/>
          <w:sz w:val="22"/>
          <w:szCs w:val="22"/>
        </w:rPr>
        <w:lastRenderedPageBreak/>
        <w:t>killed or committed suicide as a result of perceived violations of honor, highlighting the extreme consequences of these social norms.</w:t>
      </w:r>
    </w:p>
    <w:p w14:paraId="311DABEC" w14:textId="77777777" w:rsidR="00534AFF" w:rsidRDefault="00D16163">
      <w:pPr>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HBV is reinforced by the intersection of patriarchal tradition, tribal authority, and weak legal enforcement. Famili</w:t>
      </w:r>
      <w:r>
        <w:rPr>
          <w:rFonts w:ascii="Times New Roman" w:hAnsi="Times New Roman" w:cs="Times New Roman"/>
          <w:sz w:val="22"/>
          <w:szCs w:val="22"/>
        </w:rPr>
        <w:t>es often resolve incidents internally, bypassing formal justice systems. Police and judiciary institutions rarely intervene, and survivors have no access to safe houses or protective services. Women in the FGDs reported that even NGOs face intimidation whe</w:t>
      </w:r>
      <w:r>
        <w:rPr>
          <w:rFonts w:ascii="Times New Roman" w:hAnsi="Times New Roman" w:cs="Times New Roman"/>
          <w:sz w:val="22"/>
          <w:szCs w:val="22"/>
        </w:rPr>
        <w:t>n addressing HBV, creating an environment of impunity for perpetrators. Fear of retaliation and social stigma prevents victims from speaking out or seeking protection.</w:t>
      </w:r>
    </w:p>
    <w:p w14:paraId="311DABED" w14:textId="77777777" w:rsidR="00534AFF" w:rsidRDefault="00D16163">
      <w:pPr>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The impact of HBV is profound, shaping the psychological and social landscape for women </w:t>
      </w:r>
      <w:r>
        <w:rPr>
          <w:rFonts w:ascii="Times New Roman" w:hAnsi="Times New Roman" w:cs="Times New Roman"/>
          <w:sz w:val="22"/>
          <w:szCs w:val="22"/>
        </w:rPr>
        <w:t>in Sinjar. Survivors experience chronic fear, trauma, and social isolation, while girls regulate their behavior to avoid suspicion or punishment. Honor-based violence perpetuates women’s subordination and reinforces restrictive gender norms, directly contr</w:t>
      </w:r>
      <w:r>
        <w:rPr>
          <w:rFonts w:ascii="Times New Roman" w:hAnsi="Times New Roman" w:cs="Times New Roman"/>
          <w:sz w:val="22"/>
          <w:szCs w:val="22"/>
        </w:rPr>
        <w:t>adicting Iraq’s obligations under CEDAW Articles 2 and 5 to eliminate discriminatory practices and protect women’s right to life, safety, and dignity.</w:t>
      </w:r>
    </w:p>
    <w:p w14:paraId="311DABEE" w14:textId="77777777" w:rsidR="00534AFF" w:rsidRDefault="00D16163">
      <w:pPr>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FGD participants recommended comprehensive measures, including the criminalization of honor killings with</w:t>
      </w:r>
      <w:r>
        <w:rPr>
          <w:rFonts w:ascii="Times New Roman" w:hAnsi="Times New Roman" w:cs="Times New Roman"/>
          <w:sz w:val="22"/>
          <w:szCs w:val="22"/>
        </w:rPr>
        <w:t>out mitigating circumstances, the creation of safe shelters, training for law enforcement and judicial personnel on GBV, and community awareness campaigns to challenge harmful norms. They stressed that long-term prevention requires the engagement of both s</w:t>
      </w:r>
      <w:r>
        <w:rPr>
          <w:rFonts w:ascii="Times New Roman" w:hAnsi="Times New Roman" w:cs="Times New Roman"/>
          <w:sz w:val="22"/>
          <w:szCs w:val="22"/>
        </w:rPr>
        <w:t>tate institutions and local civil society organizations to dismantle the cultural justifications that sustain HBV.</w:t>
      </w:r>
    </w:p>
    <w:p w14:paraId="311DABEF" w14:textId="77777777" w:rsidR="00534AFF" w:rsidRDefault="00D16163">
      <w:pPr>
        <w:pStyle w:val="Heading4"/>
        <w:ind w:left="-576" w:right="-576"/>
        <w:rPr>
          <w:rFonts w:ascii="Times New Roman" w:hAnsi="Times New Roman"/>
          <w:color w:val="5B9BD5"/>
          <w14:shadow w14:blurRad="38036" w14:dist="25323" w14:dir="5400000" w14:sx="100000" w14:sy="100000" w14:kx="0" w14:ky="0" w14:algn="b">
            <w14:srgbClr w14:val="6E747A"/>
          </w14:shadow>
        </w:rPr>
      </w:pPr>
      <w:r>
        <w:rPr>
          <w:rFonts w:ascii="Times New Roman" w:hAnsi="Times New Roman"/>
          <w:color w:val="5B9BD5"/>
          <w14:shadow w14:blurRad="38036" w14:dist="25323" w14:dir="5400000" w14:sx="100000" w14:sy="100000" w14:kx="0" w14:ky="0" w14:algn="b">
            <w14:srgbClr w14:val="6E747A"/>
          </w14:shadow>
        </w:rPr>
        <w:t>Recommendations for the Government of Iraq:</w:t>
      </w:r>
      <w:bookmarkStart w:id="15" w:name="_Toc172014350"/>
    </w:p>
    <w:p w14:paraId="311DABF0" w14:textId="77777777" w:rsidR="00534AFF" w:rsidRDefault="00D16163">
      <w:pPr>
        <w:pStyle w:val="Heading4"/>
        <w:ind w:left="-576" w:right="-576"/>
        <w:jc w:val="both"/>
      </w:pPr>
      <w:r>
        <w:rPr>
          <w:rFonts w:ascii="Times New Roman" w:hAnsi="Times New Roman"/>
          <w:color w:val="000000"/>
        </w:rPr>
        <w:t>-</w:t>
      </w:r>
      <w:r>
        <w:rPr>
          <w:rStyle w:val="Strong"/>
          <w:rFonts w:ascii="Times New Roman" w:hAnsi="Times New Roman"/>
          <w:color w:val="000000"/>
        </w:rPr>
        <w:t>Criminalize honor killings and other forms of honor-based violence</w:t>
      </w:r>
      <w:r>
        <w:rPr>
          <w:rFonts w:ascii="Times New Roman" w:hAnsi="Times New Roman"/>
          <w:color w:val="000000"/>
        </w:rPr>
        <w:t xml:space="preserve"> explicitly in law, removing a</w:t>
      </w:r>
      <w:r>
        <w:rPr>
          <w:rFonts w:ascii="Times New Roman" w:hAnsi="Times New Roman"/>
          <w:color w:val="000000"/>
        </w:rPr>
        <w:t xml:space="preserve">ny mitigating provisions based on “family honor.”, including </w:t>
      </w:r>
      <w:r>
        <w:rPr>
          <w:rFonts w:ascii="Times New Roman" w:eastAsia="Times New Roman" w:hAnsi="Times New Roman"/>
          <w:b/>
          <w:bCs/>
        </w:rPr>
        <w:t>Articles 409–411</w:t>
      </w:r>
      <w:r>
        <w:rPr>
          <w:rFonts w:ascii="Times New Roman" w:eastAsia="Times New Roman" w:hAnsi="Times New Roman"/>
        </w:rPr>
        <w:t xml:space="preserve"> of the Iraqi Penal Code, which allow </w:t>
      </w:r>
      <w:r>
        <w:rPr>
          <w:rFonts w:ascii="Times New Roman" w:eastAsia="Times New Roman" w:hAnsi="Times New Roman"/>
          <w:b/>
          <w:bCs/>
        </w:rPr>
        <w:t>reduced sentences</w:t>
      </w:r>
      <w:r>
        <w:rPr>
          <w:rFonts w:ascii="Times New Roman" w:eastAsia="Times New Roman" w:hAnsi="Times New Roman"/>
        </w:rPr>
        <w:t xml:space="preserve"> for killings committed in the name of honor.</w:t>
      </w:r>
    </w:p>
    <w:p w14:paraId="311DABF1" w14:textId="77777777" w:rsidR="00534AFF" w:rsidRDefault="00D16163">
      <w:pPr>
        <w:pStyle w:val="Heading4"/>
        <w:ind w:left="-576" w:right="-576"/>
        <w:jc w:val="both"/>
      </w:pPr>
      <w:r>
        <w:rPr>
          <w:rFonts w:ascii="Times New Roman" w:hAnsi="Times New Roman"/>
          <w:color w:val="000000"/>
        </w:rPr>
        <w:t xml:space="preserve">- Establish </w:t>
      </w:r>
      <w:r>
        <w:rPr>
          <w:rStyle w:val="Strong"/>
          <w:rFonts w:ascii="Times New Roman" w:hAnsi="Times New Roman"/>
          <w:color w:val="000000"/>
        </w:rPr>
        <w:t>safe shelters and protection services</w:t>
      </w:r>
      <w:r>
        <w:rPr>
          <w:rFonts w:ascii="Times New Roman" w:hAnsi="Times New Roman"/>
          <w:color w:val="000000"/>
        </w:rPr>
        <w:t xml:space="preserve"> for women and girls at risk </w:t>
      </w:r>
      <w:r>
        <w:rPr>
          <w:rFonts w:ascii="Times New Roman" w:hAnsi="Times New Roman"/>
          <w:color w:val="000000"/>
        </w:rPr>
        <w:t>of honor-based violence.</w:t>
      </w:r>
    </w:p>
    <w:p w14:paraId="311DABF2" w14:textId="77777777" w:rsidR="00534AFF" w:rsidRDefault="00D16163">
      <w:pPr>
        <w:pStyle w:val="Heading4"/>
        <w:ind w:left="-576" w:right="-576"/>
        <w:jc w:val="both"/>
      </w:pPr>
      <w:r>
        <w:rPr>
          <w:rFonts w:ascii="Times New Roman" w:hAnsi="Times New Roman"/>
          <w:color w:val="000000"/>
        </w:rPr>
        <w:t xml:space="preserve">- Train </w:t>
      </w:r>
      <w:r>
        <w:rPr>
          <w:rStyle w:val="Strong"/>
          <w:rFonts w:ascii="Times New Roman" w:hAnsi="Times New Roman"/>
          <w:color w:val="000000"/>
        </w:rPr>
        <w:t>law enforcement, judicial staff, and community leaders</w:t>
      </w:r>
      <w:r>
        <w:rPr>
          <w:rFonts w:ascii="Times New Roman" w:hAnsi="Times New Roman"/>
          <w:color w:val="000000"/>
        </w:rPr>
        <w:t xml:space="preserve"> on GBV, women’s rights, and survivor-centered approaches.</w:t>
      </w:r>
    </w:p>
    <w:p w14:paraId="311DABF3" w14:textId="77777777" w:rsidR="00534AFF" w:rsidRDefault="00D16163">
      <w:pPr>
        <w:pStyle w:val="Heading4"/>
        <w:ind w:left="-576" w:right="-576"/>
        <w:jc w:val="both"/>
      </w:pPr>
      <w:r>
        <w:rPr>
          <w:rFonts w:ascii="Times New Roman" w:hAnsi="Times New Roman"/>
          <w:color w:val="000000"/>
        </w:rPr>
        <w:t xml:space="preserve">- Conduct </w:t>
      </w:r>
      <w:r>
        <w:rPr>
          <w:rStyle w:val="Strong"/>
          <w:rFonts w:ascii="Times New Roman" w:hAnsi="Times New Roman"/>
          <w:color w:val="000000"/>
        </w:rPr>
        <w:t>public education and awareness campaigns</w:t>
      </w:r>
      <w:r>
        <w:rPr>
          <w:rFonts w:ascii="Times New Roman" w:hAnsi="Times New Roman"/>
          <w:color w:val="000000"/>
        </w:rPr>
        <w:t xml:space="preserve"> to challenge cultural justifications for </w:t>
      </w:r>
      <w:r>
        <w:rPr>
          <w:rFonts w:ascii="Times New Roman" w:hAnsi="Times New Roman"/>
          <w:color w:val="000000"/>
        </w:rPr>
        <w:t>honor-based violence and promote gender equality.</w:t>
      </w:r>
    </w:p>
    <w:p w14:paraId="311DABF4" w14:textId="77777777" w:rsidR="00534AFF" w:rsidRDefault="00D16163">
      <w:pPr>
        <w:pStyle w:val="Heading4"/>
        <w:ind w:left="-576" w:right="-576"/>
        <w:jc w:val="both"/>
      </w:pPr>
      <w:r>
        <w:rPr>
          <w:rFonts w:ascii="Times New Roman" w:hAnsi="Times New Roman"/>
          <w:color w:val="000000"/>
        </w:rPr>
        <w:t xml:space="preserve">- Ensure </w:t>
      </w:r>
      <w:r>
        <w:rPr>
          <w:rStyle w:val="Strong"/>
          <w:rFonts w:ascii="Times New Roman" w:hAnsi="Times New Roman"/>
          <w:color w:val="000000"/>
        </w:rPr>
        <w:t>mechanisms for anonymous reporting and protection</w:t>
      </w:r>
      <w:r>
        <w:rPr>
          <w:rFonts w:ascii="Times New Roman" w:hAnsi="Times New Roman"/>
          <w:color w:val="000000"/>
        </w:rPr>
        <w:t>, including emergency hotlines and rapid response teams.</w:t>
      </w:r>
    </w:p>
    <w:p w14:paraId="311DABF5" w14:textId="77777777" w:rsidR="00534AFF" w:rsidRDefault="00D16163">
      <w:pPr>
        <w:pStyle w:val="Heading4"/>
        <w:ind w:left="-576" w:right="-576"/>
        <w:jc w:val="both"/>
      </w:pPr>
      <w:r>
        <w:rPr>
          <w:rFonts w:ascii="Times New Roman" w:hAnsi="Times New Roman"/>
          <w:color w:val="000000"/>
        </w:rPr>
        <w:t xml:space="preserve">- </w:t>
      </w:r>
      <w:r>
        <w:rPr>
          <w:rFonts w:ascii="Times New Roman" w:hAnsi="Times New Roman"/>
          <w:b/>
          <w:bCs/>
          <w:color w:val="000000"/>
        </w:rPr>
        <w:t>Collaborate with NGOs</w:t>
      </w:r>
      <w:r>
        <w:rPr>
          <w:rFonts w:ascii="Times New Roman" w:hAnsi="Times New Roman"/>
          <w:color w:val="000000"/>
        </w:rPr>
        <w:t xml:space="preserve"> and local civil society to </w:t>
      </w:r>
      <w:r>
        <w:rPr>
          <w:rStyle w:val="Strong"/>
          <w:rFonts w:ascii="Times New Roman" w:hAnsi="Times New Roman"/>
          <w:color w:val="000000"/>
        </w:rPr>
        <w:t>monitor, document, and prosecute cases</w:t>
      </w:r>
      <w:r>
        <w:rPr>
          <w:rFonts w:ascii="Times New Roman" w:hAnsi="Times New Roman"/>
          <w:color w:val="000000"/>
        </w:rPr>
        <w:t xml:space="preserve"> o</w:t>
      </w:r>
      <w:r>
        <w:rPr>
          <w:rFonts w:ascii="Times New Roman" w:hAnsi="Times New Roman"/>
          <w:color w:val="000000"/>
        </w:rPr>
        <w:t>f honor-based violence effectively.</w:t>
      </w:r>
      <w:bookmarkEnd w:id="15"/>
    </w:p>
    <w:p w14:paraId="311DABF6" w14:textId="77777777" w:rsidR="00534AFF" w:rsidRDefault="00534AFF"/>
    <w:p w14:paraId="311DABF7" w14:textId="77777777" w:rsidR="00534AFF" w:rsidRDefault="00D16163">
      <w:pPr>
        <w:pStyle w:val="ListParagraph"/>
        <w:spacing w:line="360" w:lineRule="auto"/>
        <w:ind w:left="-576" w:right="-576"/>
        <w:jc w:val="both"/>
        <w:rPr>
          <w:rFonts w:ascii="Times New Roman" w:hAnsi="Times New Roman" w:cs="Times New Roman"/>
          <w:color w:val="5B9BD5"/>
          <w:sz w:val="22"/>
          <w:szCs w:val="22"/>
          <w14:shadow w14:blurRad="38036" w14:dist="25323" w14:dir="5400000" w14:sx="100000" w14:sy="100000" w14:kx="0" w14:ky="0" w14:algn="b">
            <w14:srgbClr w14:val="6E747A"/>
          </w14:shadow>
        </w:rPr>
      </w:pPr>
      <w:r>
        <w:rPr>
          <w:rFonts w:ascii="Times New Roman" w:hAnsi="Times New Roman" w:cs="Times New Roman"/>
          <w:color w:val="5B9BD5"/>
          <w:sz w:val="22"/>
          <w:szCs w:val="22"/>
          <w14:shadow w14:blurRad="38036" w14:dist="25323" w14:dir="5400000" w14:sx="100000" w14:sy="100000" w14:kx="0" w14:ky="0" w14:algn="b">
            <w14:srgbClr w14:val="6E747A"/>
          </w14:shadow>
        </w:rPr>
        <w:t>4 Women in Economic Participation and Discrimination</w:t>
      </w:r>
    </w:p>
    <w:p w14:paraId="311DABF8" w14:textId="77777777" w:rsidR="00534AFF" w:rsidRDefault="00D16163">
      <w:pPr>
        <w:pStyle w:val="ListParagraph"/>
        <w:spacing w:line="360" w:lineRule="auto"/>
        <w:ind w:left="-576" w:right="-576"/>
        <w:jc w:val="both"/>
      </w:pPr>
      <w:r>
        <w:rPr>
          <w:rFonts w:ascii="Times New Roman" w:hAnsi="Times New Roman" w:cs="Times New Roman"/>
          <w:color w:val="5B9BD5"/>
          <w:sz w:val="22"/>
          <w:szCs w:val="22"/>
          <w14:shadow w14:blurRad="38036" w14:dist="25323" w14:dir="5400000" w14:sx="100000" w14:sy="100000" w14:kx="0" w14:ky="0" w14:algn="b">
            <w14:srgbClr w14:val="6E747A"/>
          </w14:shadow>
        </w:rPr>
        <w:t xml:space="preserve">4.1 Women’s rights in economic participation </w:t>
      </w:r>
      <w:r>
        <w:rPr>
          <w:rFonts w:ascii="Times New Roman" w:hAnsi="Times New Roman" w:cs="Times New Roman"/>
          <w:color w:val="000000"/>
          <w14:shadow w14:blurRad="38036" w14:dist="25323" w14:dir="5400000" w14:sx="100000" w14:sy="100000" w14:kx="0" w14:ky="0" w14:algn="b">
            <w14:srgbClr w14:val="6E747A"/>
          </w14:shadow>
        </w:rPr>
        <w:t>(</w:t>
      </w:r>
      <w:r>
        <w:rPr>
          <w:rStyle w:val="Strong"/>
          <w:rFonts w:ascii="Times New Roman" w:hAnsi="Times New Roman" w:cs="Times New Roman"/>
          <w:color w:val="000000"/>
        </w:rPr>
        <w:t>CEDAW Articles:</w:t>
      </w:r>
      <w:r>
        <w:rPr>
          <w:rFonts w:ascii="Times New Roman" w:hAnsi="Times New Roman" w:cs="Times New Roman"/>
          <w:color w:val="000000"/>
        </w:rPr>
        <w:t xml:space="preserve"> 11, 13, 14)</w:t>
      </w:r>
    </w:p>
    <w:p w14:paraId="311DABF9"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Economic participation for women in </w:t>
      </w:r>
      <w:proofErr w:type="spellStart"/>
      <w:r>
        <w:rPr>
          <w:rFonts w:ascii="Times New Roman" w:hAnsi="Times New Roman" w:cs="Times New Roman"/>
          <w:sz w:val="22"/>
          <w:szCs w:val="22"/>
        </w:rPr>
        <w:t>Summel</w:t>
      </w:r>
      <w:proofErr w:type="spellEnd"/>
      <w:r>
        <w:rPr>
          <w:rFonts w:ascii="Times New Roman" w:hAnsi="Times New Roman" w:cs="Times New Roman"/>
          <w:sz w:val="22"/>
          <w:szCs w:val="22"/>
        </w:rPr>
        <w:t xml:space="preserve"> District remains severely constrained by a </w:t>
      </w:r>
      <w:r>
        <w:rPr>
          <w:rFonts w:ascii="Times New Roman" w:hAnsi="Times New Roman" w:cs="Times New Roman"/>
          <w:sz w:val="22"/>
          <w:szCs w:val="22"/>
        </w:rPr>
        <w:t xml:space="preserve">combination of social norms, family restrictions, institutional barriers, and limited access to financial and technical resources. Although some women </w:t>
      </w:r>
      <w:r>
        <w:rPr>
          <w:rFonts w:ascii="Times New Roman" w:hAnsi="Times New Roman" w:cs="Times New Roman"/>
          <w:sz w:val="22"/>
          <w:szCs w:val="22"/>
        </w:rPr>
        <w:lastRenderedPageBreak/>
        <w:t>engage in small-scale businesses or public sector employment, the overall opportunities for women to achi</w:t>
      </w:r>
      <w:r>
        <w:rPr>
          <w:rFonts w:ascii="Times New Roman" w:hAnsi="Times New Roman" w:cs="Times New Roman"/>
          <w:sz w:val="22"/>
          <w:szCs w:val="22"/>
        </w:rPr>
        <w:t>eve economic independence are limited.</w:t>
      </w:r>
    </w:p>
    <w:p w14:paraId="311DABFA"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Focus group participants described a persistent gap between women’s capabilities and the opportunities available to them. Many women are university graduates, trained in professional or technical fields, yet find them</w:t>
      </w:r>
      <w:r>
        <w:rPr>
          <w:rFonts w:ascii="Times New Roman" w:hAnsi="Times New Roman" w:cs="Times New Roman"/>
          <w:sz w:val="22"/>
          <w:szCs w:val="22"/>
        </w:rPr>
        <w:t>selves unable to access employment due to family restrictions, social stigma, or workplace discrimination.  an IDP from Sinjar, recalled that during early displacement, “women had to do all the men’s work, even heavy labor. Women are capable,” highlighting</w:t>
      </w:r>
      <w:r>
        <w:rPr>
          <w:rFonts w:ascii="Times New Roman" w:hAnsi="Times New Roman" w:cs="Times New Roman"/>
          <w:sz w:val="22"/>
          <w:szCs w:val="22"/>
        </w:rPr>
        <w:t xml:space="preserve"> the discrepancy between women’s skills and the opportunities provided.</w:t>
      </w:r>
    </w:p>
    <w:p w14:paraId="311DABFB"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BFC"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The main barriers to economic participation include restrictive cultural norms, family control over women’s mobility, unsafe transportation, harassment in workplaces, and limited chil</w:t>
      </w:r>
      <w:r>
        <w:rPr>
          <w:rFonts w:ascii="Times New Roman" w:hAnsi="Times New Roman" w:cs="Times New Roman"/>
          <w:sz w:val="22"/>
          <w:szCs w:val="22"/>
        </w:rPr>
        <w:t>dcare options. Participants reported that even when women secure employment, they often work in sectors traditionally associated with women—such as tailoring, food production, or handicrafts—and remain underrepresented in decision-making, leadership, and p</w:t>
      </w:r>
      <w:r>
        <w:rPr>
          <w:rFonts w:ascii="Times New Roman" w:hAnsi="Times New Roman" w:cs="Times New Roman"/>
          <w:sz w:val="22"/>
          <w:szCs w:val="22"/>
        </w:rPr>
        <w:t>rivate-sector roles. Women are also largely excluded from industrial, security, transportation, and construction jobs. Nepotism and favoritism in hiring further limit women’s employment prospects, especially for those without strong family or political con</w:t>
      </w:r>
      <w:r>
        <w:rPr>
          <w:rFonts w:ascii="Times New Roman" w:hAnsi="Times New Roman" w:cs="Times New Roman"/>
          <w:sz w:val="22"/>
          <w:szCs w:val="22"/>
        </w:rPr>
        <w:t>nections.</w:t>
      </w:r>
    </w:p>
    <w:p w14:paraId="311DABFD"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BFE"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The intersectional nature of economic discrimination is a key factor in protecting the rights of women. Rural women, displaced women, widows, and women with disabilities face additional barriers, including seasonal work in </w:t>
      </w:r>
      <w:r>
        <w:rPr>
          <w:rFonts w:ascii="Times New Roman" w:hAnsi="Times New Roman" w:cs="Times New Roman"/>
          <w:sz w:val="22"/>
          <w:szCs w:val="22"/>
        </w:rPr>
        <w:t>agriculture, limited access to markets, and insufficient vocational training. A Yazidi participant, emphasized that inheritance rights exist legally, but in practice, sisters are often pressured to relinquish their shares to brothers, reducing women’s econ</w:t>
      </w:r>
      <w:r>
        <w:rPr>
          <w:rFonts w:ascii="Times New Roman" w:hAnsi="Times New Roman" w:cs="Times New Roman"/>
          <w:sz w:val="22"/>
          <w:szCs w:val="22"/>
        </w:rPr>
        <w:t>omic security and reinforcing dependency.</w:t>
      </w:r>
    </w:p>
    <w:p w14:paraId="311DABFF"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00"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Economic exclusion also undermines women’s agency and independence. Many women remain confined to unpaid domestic labor, limiting their decision-making power within households and their ability to participate in p</w:t>
      </w:r>
      <w:r>
        <w:rPr>
          <w:rFonts w:ascii="Times New Roman" w:hAnsi="Times New Roman" w:cs="Times New Roman"/>
          <w:sz w:val="22"/>
          <w:szCs w:val="22"/>
        </w:rPr>
        <w:t>ublic life. As noted by the male participant, “Economic stress increases divorce and family violence,” demonstrating how lack of economic opportunities contributes to broader social vulnerabilities.</w:t>
      </w:r>
    </w:p>
    <w:p w14:paraId="311DAC01"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02"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Despite these challenges, some NGOs and community initia</w:t>
      </w:r>
      <w:r>
        <w:rPr>
          <w:rFonts w:ascii="Times New Roman" w:hAnsi="Times New Roman" w:cs="Times New Roman"/>
          <w:sz w:val="22"/>
          <w:szCs w:val="22"/>
        </w:rPr>
        <w:t>tives have attempted to improve women’s economic participation. Programs provide vocational training, small business grants, and skills-building workshops, particularly in areas such as tailoring, online sales, and small-scale food processing. However, par</w:t>
      </w:r>
      <w:r>
        <w:rPr>
          <w:rFonts w:ascii="Times New Roman" w:hAnsi="Times New Roman" w:cs="Times New Roman"/>
          <w:sz w:val="22"/>
          <w:szCs w:val="22"/>
        </w:rPr>
        <w:t xml:space="preserve">ticipants emphasized that most initiatives are short-term, donor-dependent, and lack sustainable follow-up. Participants recommended establishing </w:t>
      </w:r>
      <w:r>
        <w:rPr>
          <w:rFonts w:ascii="Times New Roman" w:hAnsi="Times New Roman" w:cs="Times New Roman"/>
          <w:sz w:val="22"/>
          <w:szCs w:val="22"/>
        </w:rPr>
        <w:lastRenderedPageBreak/>
        <w:t>women-focused production facilities, ongoing vocational training, legal aid, and financial literacy programs t</w:t>
      </w:r>
      <w:r>
        <w:rPr>
          <w:rFonts w:ascii="Times New Roman" w:hAnsi="Times New Roman" w:cs="Times New Roman"/>
          <w:sz w:val="22"/>
          <w:szCs w:val="22"/>
        </w:rPr>
        <w:t>o ensure women can maintain businesses and employment independently.</w:t>
      </w:r>
    </w:p>
    <w:p w14:paraId="311DAC03"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04"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To enhance women’s economic participation, participants proposed several measures: increasing access to safe and reliable transportation; providing childcare support; ensuring merit-base</w:t>
      </w:r>
      <w:r>
        <w:rPr>
          <w:rFonts w:ascii="Times New Roman" w:hAnsi="Times New Roman" w:cs="Times New Roman"/>
          <w:sz w:val="22"/>
          <w:szCs w:val="22"/>
        </w:rPr>
        <w:t xml:space="preserve">d hiring and promotion; integrating gender-sensitive policies in public and private institutions; and allocating a fixed percentage of positions for women in every organization. Additionally, promoting women’s leadership in community committees, NGOs, and </w:t>
      </w:r>
      <w:r>
        <w:rPr>
          <w:rFonts w:ascii="Times New Roman" w:hAnsi="Times New Roman" w:cs="Times New Roman"/>
          <w:sz w:val="22"/>
          <w:szCs w:val="22"/>
        </w:rPr>
        <w:t>local councils can strengthen representation, improve social acceptance, and create role models for younger generations.</w:t>
      </w:r>
    </w:p>
    <w:p w14:paraId="311DAC05"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06"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Collaboration between government institutions, civil society organizations, and community leaders. Coordinated strategies can address </w:t>
      </w:r>
      <w:r>
        <w:rPr>
          <w:rFonts w:ascii="Times New Roman" w:hAnsi="Times New Roman" w:cs="Times New Roman"/>
          <w:sz w:val="22"/>
          <w:szCs w:val="22"/>
        </w:rPr>
        <w:t>both structural and cultural barriers, while sustained investment in women’s education, vocational skills, and entrepreneurship can foster long-term economic empowerment. Such interventions are essential not only to meet CEDAW obligations but also to promo</w:t>
      </w:r>
      <w:r>
        <w:rPr>
          <w:rFonts w:ascii="Times New Roman" w:hAnsi="Times New Roman" w:cs="Times New Roman"/>
          <w:sz w:val="22"/>
          <w:szCs w:val="22"/>
        </w:rPr>
        <w:t xml:space="preserve">te social cohesion, resilience, and development across </w:t>
      </w:r>
      <w:proofErr w:type="spellStart"/>
      <w:r>
        <w:rPr>
          <w:rFonts w:ascii="Times New Roman" w:hAnsi="Times New Roman" w:cs="Times New Roman"/>
          <w:sz w:val="22"/>
          <w:szCs w:val="22"/>
        </w:rPr>
        <w:t>Summel</w:t>
      </w:r>
      <w:proofErr w:type="spellEnd"/>
      <w:r>
        <w:rPr>
          <w:rFonts w:ascii="Times New Roman" w:hAnsi="Times New Roman" w:cs="Times New Roman"/>
          <w:sz w:val="22"/>
          <w:szCs w:val="22"/>
        </w:rPr>
        <w:t xml:space="preserve"> District and the broader region.</w:t>
      </w:r>
    </w:p>
    <w:p w14:paraId="311DAC07"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08" w14:textId="77777777" w:rsidR="00534AFF" w:rsidRDefault="00D16163">
      <w:pPr>
        <w:pStyle w:val="Heading4"/>
        <w:ind w:left="-576" w:right="-576"/>
        <w:rPr>
          <w:rFonts w:ascii="Times New Roman" w:hAnsi="Times New Roman"/>
          <w:color w:val="5B9BD5"/>
          <w14:shadow w14:blurRad="38036" w14:dist="25323" w14:dir="5400000" w14:sx="100000" w14:sy="100000" w14:kx="0" w14:ky="0" w14:algn="b">
            <w14:srgbClr w14:val="6E747A"/>
          </w14:shadow>
        </w:rPr>
      </w:pPr>
      <w:r>
        <w:rPr>
          <w:rFonts w:ascii="Times New Roman" w:hAnsi="Times New Roman"/>
          <w:color w:val="5B9BD5"/>
          <w14:shadow w14:blurRad="38036" w14:dist="25323" w14:dir="5400000" w14:sx="100000" w14:sy="100000" w14:kx="0" w14:ky="0" w14:algn="b">
            <w14:srgbClr w14:val="6E747A"/>
          </w14:shadow>
        </w:rPr>
        <w:t>Recommendations for the Government of Iraq:</w:t>
      </w:r>
    </w:p>
    <w:p w14:paraId="311DAC09" w14:textId="77777777" w:rsidR="00534AFF" w:rsidRDefault="00D16163">
      <w:pPr>
        <w:pStyle w:val="Heading4"/>
        <w:ind w:left="-576" w:right="-576"/>
        <w:jc w:val="both"/>
      </w:pPr>
      <w:r>
        <w:rPr>
          <w:rFonts w:ascii="Times New Roman" w:hAnsi="Times New Roman"/>
          <w:color w:val="5B9BD5"/>
          <w14:shadow w14:blurRad="38036" w14:dist="25323" w14:dir="5400000" w14:sx="100000" w14:sy="100000" w14:kx="0" w14:ky="0" w14:algn="b">
            <w14:srgbClr w14:val="6E747A"/>
          </w14:shadow>
        </w:rPr>
        <w:t>-</w:t>
      </w:r>
      <w:r>
        <w:rPr>
          <w:rFonts w:ascii="Times New Roman" w:hAnsi="Times New Roman"/>
          <w:b/>
          <w:bCs/>
        </w:rPr>
        <w:t>Promote women’s access to safe and sustainable employment</w:t>
      </w:r>
      <w:r>
        <w:rPr>
          <w:rFonts w:ascii="Times New Roman" w:hAnsi="Times New Roman"/>
        </w:rPr>
        <w:t xml:space="preserve"> through policies that ensure</w:t>
      </w:r>
      <w:r>
        <w:rPr>
          <w:rFonts w:ascii="Times New Roman" w:hAnsi="Times New Roman"/>
          <w:b/>
          <w:bCs/>
        </w:rPr>
        <w:t xml:space="preserve"> merit-based hiring and </w:t>
      </w:r>
      <w:r>
        <w:rPr>
          <w:rFonts w:ascii="Times New Roman" w:hAnsi="Times New Roman"/>
          <w:b/>
          <w:bCs/>
        </w:rPr>
        <w:t>enforce anti-harassment regulations.</w:t>
      </w:r>
    </w:p>
    <w:p w14:paraId="311DAC0A" w14:textId="77777777" w:rsidR="00534AFF" w:rsidRDefault="00D16163">
      <w:pPr>
        <w:pStyle w:val="Heading4"/>
        <w:ind w:left="-576" w:right="-576"/>
        <w:jc w:val="both"/>
      </w:pPr>
      <w:r>
        <w:rPr>
          <w:rFonts w:ascii="Times New Roman" w:hAnsi="Times New Roman"/>
        </w:rPr>
        <w:t>-</w:t>
      </w:r>
      <w:r>
        <w:rPr>
          <w:rFonts w:ascii="Times New Roman" w:hAnsi="Times New Roman"/>
          <w:b/>
          <w:bCs/>
        </w:rPr>
        <w:t xml:space="preserve"> Support women-led businesses</w:t>
      </w:r>
      <w:r>
        <w:rPr>
          <w:rFonts w:ascii="Times New Roman" w:hAnsi="Times New Roman"/>
        </w:rPr>
        <w:t xml:space="preserve"> through </w:t>
      </w:r>
      <w:r>
        <w:rPr>
          <w:rFonts w:ascii="Times New Roman" w:hAnsi="Times New Roman"/>
          <w:b/>
          <w:bCs/>
        </w:rPr>
        <w:t>microfinance, grants, training, and mentorship programs.</w:t>
      </w:r>
    </w:p>
    <w:p w14:paraId="311DAC0B" w14:textId="77777777" w:rsidR="00534AFF" w:rsidRDefault="00D16163">
      <w:pPr>
        <w:pStyle w:val="Heading4"/>
        <w:ind w:left="-576" w:right="-576"/>
        <w:jc w:val="both"/>
      </w:pPr>
      <w:r>
        <w:rPr>
          <w:rFonts w:ascii="Times New Roman" w:hAnsi="Times New Roman"/>
        </w:rPr>
        <w:t xml:space="preserve">-  </w:t>
      </w:r>
      <w:r>
        <w:rPr>
          <w:rFonts w:ascii="Times New Roman" w:hAnsi="Times New Roman"/>
          <w:b/>
          <w:bCs/>
        </w:rPr>
        <w:t>Establish women-friendly workplaces</w:t>
      </w:r>
      <w:r>
        <w:rPr>
          <w:rFonts w:ascii="Times New Roman" w:hAnsi="Times New Roman"/>
        </w:rPr>
        <w:t xml:space="preserve"> and production facilities, especially </w:t>
      </w:r>
      <w:r>
        <w:rPr>
          <w:rFonts w:ascii="Times New Roman" w:hAnsi="Times New Roman"/>
          <w:b/>
          <w:bCs/>
        </w:rPr>
        <w:t>in rural and displaced communities.</w:t>
      </w:r>
    </w:p>
    <w:p w14:paraId="311DAC0C" w14:textId="77777777" w:rsidR="00534AFF" w:rsidRDefault="00D16163">
      <w:pPr>
        <w:pStyle w:val="Heading4"/>
        <w:ind w:left="-576" w:right="-576"/>
        <w:jc w:val="both"/>
      </w:pPr>
      <w:r>
        <w:rPr>
          <w:rFonts w:ascii="Times New Roman" w:hAnsi="Times New Roman"/>
        </w:rPr>
        <w:t xml:space="preserve">- </w:t>
      </w:r>
      <w:r>
        <w:rPr>
          <w:rFonts w:ascii="Times New Roman" w:hAnsi="Times New Roman"/>
          <w:b/>
          <w:bCs/>
        </w:rPr>
        <w:t>Ensure e</w:t>
      </w:r>
      <w:r>
        <w:rPr>
          <w:rFonts w:ascii="Times New Roman" w:hAnsi="Times New Roman"/>
          <w:b/>
          <w:bCs/>
        </w:rPr>
        <w:t xml:space="preserve">qual access </w:t>
      </w:r>
      <w:r>
        <w:rPr>
          <w:rFonts w:ascii="Times New Roman" w:hAnsi="Times New Roman"/>
        </w:rPr>
        <w:t>to land, credit, and pro</w:t>
      </w:r>
      <w:r>
        <w:rPr>
          <w:rFonts w:ascii="Times New Roman" w:hAnsi="Times New Roman"/>
          <w:b/>
          <w:bCs/>
        </w:rPr>
        <w:t>perty ownership, and protect inheritance rights in practice.</w:t>
      </w:r>
    </w:p>
    <w:p w14:paraId="311DAC0D" w14:textId="77777777" w:rsidR="00534AFF" w:rsidRDefault="00D16163">
      <w:pPr>
        <w:pStyle w:val="Heading4"/>
        <w:ind w:left="-576" w:right="-576"/>
        <w:jc w:val="both"/>
      </w:pPr>
      <w:r>
        <w:rPr>
          <w:rFonts w:ascii="Times New Roman" w:hAnsi="Times New Roman"/>
          <w:b/>
          <w:bCs/>
        </w:rPr>
        <w:t xml:space="preserve">- Provide </w:t>
      </w:r>
      <w:r>
        <w:rPr>
          <w:rFonts w:ascii="Times New Roman" w:hAnsi="Times New Roman"/>
        </w:rPr>
        <w:t>safe transport and childcare support to enable women to participate fully in the workforce.</w:t>
      </w:r>
    </w:p>
    <w:p w14:paraId="311DAC0E" w14:textId="77777777" w:rsidR="00534AFF" w:rsidRDefault="00D16163">
      <w:pPr>
        <w:pStyle w:val="Heading4"/>
        <w:ind w:left="-576" w:right="-576"/>
        <w:jc w:val="both"/>
      </w:pPr>
      <w:r>
        <w:rPr>
          <w:rFonts w:ascii="Times New Roman" w:hAnsi="Times New Roman"/>
        </w:rPr>
        <w:t xml:space="preserve">-  Increase </w:t>
      </w:r>
      <w:r>
        <w:rPr>
          <w:rFonts w:ascii="Times New Roman" w:hAnsi="Times New Roman"/>
          <w:b/>
          <w:bCs/>
        </w:rPr>
        <w:t>representation of women in economic decision-</w:t>
      </w:r>
      <w:r>
        <w:rPr>
          <w:rFonts w:ascii="Times New Roman" w:hAnsi="Times New Roman"/>
          <w:b/>
          <w:bCs/>
        </w:rPr>
        <w:t>making</w:t>
      </w:r>
      <w:r>
        <w:rPr>
          <w:rFonts w:ascii="Times New Roman" w:hAnsi="Times New Roman"/>
        </w:rPr>
        <w:t xml:space="preserve"> and</w:t>
      </w:r>
      <w:r>
        <w:rPr>
          <w:rFonts w:ascii="Times New Roman" w:hAnsi="Times New Roman"/>
          <w:b/>
          <w:bCs/>
        </w:rPr>
        <w:t xml:space="preserve"> leadership roles</w:t>
      </w:r>
      <w:r>
        <w:rPr>
          <w:rFonts w:ascii="Times New Roman" w:hAnsi="Times New Roman"/>
        </w:rPr>
        <w:t xml:space="preserve"> across public and private sectors.</w:t>
      </w:r>
    </w:p>
    <w:p w14:paraId="311DAC0F" w14:textId="77777777" w:rsidR="00534AFF" w:rsidRDefault="00D16163">
      <w:pPr>
        <w:pStyle w:val="Heading4"/>
        <w:ind w:left="-576" w:right="-576"/>
        <w:jc w:val="both"/>
      </w:pPr>
      <w:r>
        <w:rPr>
          <w:rFonts w:ascii="Times New Roman" w:hAnsi="Times New Roman"/>
        </w:rPr>
        <w:t>- Coordinate with NGOs, universities, and community groups to</w:t>
      </w:r>
      <w:r>
        <w:rPr>
          <w:rFonts w:ascii="Times New Roman" w:hAnsi="Times New Roman"/>
          <w:b/>
          <w:bCs/>
        </w:rPr>
        <w:t xml:space="preserve"> deliver sustainable vocational, technical, and financial literacy programs.</w:t>
      </w:r>
    </w:p>
    <w:p w14:paraId="311DAC10" w14:textId="77777777" w:rsidR="00534AFF" w:rsidRDefault="00534AFF"/>
    <w:p w14:paraId="311DAC11" w14:textId="77777777" w:rsidR="00534AFF" w:rsidRDefault="00D16163">
      <w:pPr>
        <w:pStyle w:val="ListParagraph"/>
        <w:spacing w:line="360" w:lineRule="auto"/>
        <w:ind w:left="-576" w:right="-576"/>
        <w:jc w:val="both"/>
      </w:pPr>
      <w:r>
        <w:rPr>
          <w:rFonts w:ascii="Times New Roman" w:hAnsi="Times New Roman" w:cs="Times New Roman"/>
          <w:color w:val="5B9BD5"/>
          <w:sz w:val="22"/>
          <w:szCs w:val="22"/>
          <w14:shadow w14:blurRad="38036" w14:dist="25323" w14:dir="5400000" w14:sx="100000" w14:sy="100000" w14:kx="0" w14:ky="0" w14:algn="b">
            <w14:srgbClr w14:val="6E747A"/>
          </w14:shadow>
        </w:rPr>
        <w:t xml:space="preserve">4.2 Discrimination against women and girls </w:t>
      </w:r>
      <w:r>
        <w:rPr>
          <w:rFonts w:ascii="Times New Roman" w:hAnsi="Times New Roman" w:cs="Times New Roman"/>
          <w:color w:val="000000"/>
          <w14:shadow w14:blurRad="38036" w14:dist="25323" w14:dir="5400000" w14:sx="100000" w14:sy="100000" w14:kx="0" w14:ky="0" w14:algn="b">
            <w14:srgbClr w14:val="6E747A"/>
          </w14:shadow>
        </w:rPr>
        <w:t>(</w:t>
      </w:r>
      <w:r>
        <w:rPr>
          <w:rStyle w:val="Strong"/>
          <w:rFonts w:ascii="Times New Roman" w:hAnsi="Times New Roman" w:cs="Times New Roman"/>
          <w:color w:val="000000"/>
        </w:rPr>
        <w:t xml:space="preserve">CEDAW </w:t>
      </w:r>
      <w:r>
        <w:rPr>
          <w:rStyle w:val="Strong"/>
          <w:rFonts w:ascii="Times New Roman" w:hAnsi="Times New Roman" w:cs="Times New Roman"/>
          <w:color w:val="000000"/>
        </w:rPr>
        <w:t>Articles:</w:t>
      </w:r>
      <w:r>
        <w:rPr>
          <w:rFonts w:ascii="Times New Roman" w:hAnsi="Times New Roman" w:cs="Times New Roman"/>
          <w:color w:val="000000"/>
        </w:rPr>
        <w:t xml:space="preserve"> 1, 2, 5, 7, 15)</w:t>
      </w:r>
    </w:p>
    <w:p w14:paraId="311DAC12"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Women and girls in </w:t>
      </w:r>
      <w:proofErr w:type="spellStart"/>
      <w:r>
        <w:rPr>
          <w:rFonts w:ascii="Times New Roman" w:hAnsi="Times New Roman" w:cs="Times New Roman"/>
          <w:sz w:val="22"/>
          <w:szCs w:val="22"/>
        </w:rPr>
        <w:t>Summel</w:t>
      </w:r>
      <w:proofErr w:type="spellEnd"/>
      <w:r>
        <w:rPr>
          <w:rFonts w:ascii="Times New Roman" w:hAnsi="Times New Roman" w:cs="Times New Roman"/>
          <w:sz w:val="22"/>
          <w:szCs w:val="22"/>
        </w:rPr>
        <w:t xml:space="preserve"> District of Duhok Governorate, including the areas of </w:t>
      </w:r>
      <w:proofErr w:type="spellStart"/>
      <w:r>
        <w:rPr>
          <w:rFonts w:ascii="Times New Roman" w:hAnsi="Times New Roman" w:cs="Times New Roman"/>
          <w:sz w:val="22"/>
          <w:szCs w:val="22"/>
        </w:rPr>
        <w:t>Summel</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Domiz</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Rizgari</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Msirik</w:t>
      </w:r>
      <w:proofErr w:type="spellEnd"/>
      <w:r>
        <w:rPr>
          <w:rFonts w:ascii="Times New Roman" w:hAnsi="Times New Roman" w:cs="Times New Roman"/>
          <w:sz w:val="22"/>
          <w:szCs w:val="22"/>
        </w:rPr>
        <w:t>, and Shariya, continue to face persistent and deeply rooted discrimination that affects nearly every aspect of their li</w:t>
      </w:r>
      <w:r>
        <w:rPr>
          <w:rFonts w:ascii="Times New Roman" w:hAnsi="Times New Roman" w:cs="Times New Roman"/>
          <w:sz w:val="22"/>
          <w:szCs w:val="22"/>
        </w:rPr>
        <w:t>ves. Despite some progress brought by NGO-led awareness initiatives and community engagement programs, patriarchal norms, tribal traditions, and conservative interpretations of religion continue to restrict women’s rights and limit their participation in p</w:t>
      </w:r>
      <w:r>
        <w:rPr>
          <w:rFonts w:ascii="Times New Roman" w:hAnsi="Times New Roman" w:cs="Times New Roman"/>
          <w:sz w:val="22"/>
          <w:szCs w:val="22"/>
        </w:rPr>
        <w:t>ublic, economic, and political life. Discrimination in this context is not only social or cultural, it is structural, reinforced by institutions, family systems, and unequal access to justice and opportunity.</w:t>
      </w:r>
    </w:p>
    <w:p w14:paraId="311DAC13"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14"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Discrimination begins early in a girl’s life. </w:t>
      </w:r>
      <w:r>
        <w:rPr>
          <w:rFonts w:ascii="Times New Roman" w:hAnsi="Times New Roman" w:cs="Times New Roman"/>
          <w:sz w:val="22"/>
          <w:szCs w:val="22"/>
        </w:rPr>
        <w:t>Many families, especially in rural and displaced communities, view daughters as caretakers rather than decision-makers, discouraging them from continuing education or pursuing employment. In one FGD, a participant noted that “girls are taught that they are</w:t>
      </w:r>
      <w:r>
        <w:rPr>
          <w:rFonts w:ascii="Times New Roman" w:hAnsi="Times New Roman" w:cs="Times New Roman"/>
          <w:sz w:val="22"/>
          <w:szCs w:val="22"/>
        </w:rPr>
        <w:t xml:space="preserve"> born to run the house,” a belief that perpetuates gender inequality across generations. Parents often prevent their daughters from attending school beyond the primary level, citing safety, honor, or social judgment as reasons. This limits women’s literacy</w:t>
      </w:r>
      <w:r>
        <w:rPr>
          <w:rFonts w:ascii="Times New Roman" w:hAnsi="Times New Roman" w:cs="Times New Roman"/>
          <w:sz w:val="22"/>
          <w:szCs w:val="22"/>
        </w:rPr>
        <w:t xml:space="preserve"> and self-confidence and reinforces their economic dependence on men. Even in areas where education opportunities exist, participants reported that only a small fraction of women, sometimes as low as one in ten complete higher education.</w:t>
      </w:r>
    </w:p>
    <w:p w14:paraId="311DAC15"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16"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The </w:t>
      </w:r>
      <w:r>
        <w:rPr>
          <w:rFonts w:ascii="Times New Roman" w:hAnsi="Times New Roman" w:cs="Times New Roman"/>
          <w:sz w:val="22"/>
          <w:szCs w:val="22"/>
        </w:rPr>
        <w:t xml:space="preserve">situation is particularly challenging for displaced, refugee, and minority women. Yezidi and displaced participants shared </w:t>
      </w:r>
      <w:proofErr w:type="gramStart"/>
      <w:r>
        <w:rPr>
          <w:rFonts w:ascii="Times New Roman" w:hAnsi="Times New Roman" w:cs="Times New Roman"/>
          <w:sz w:val="22"/>
          <w:szCs w:val="22"/>
        </w:rPr>
        <w:t>that women</w:t>
      </w:r>
      <w:proofErr w:type="gramEnd"/>
      <w:r>
        <w:rPr>
          <w:rFonts w:ascii="Times New Roman" w:hAnsi="Times New Roman" w:cs="Times New Roman"/>
          <w:sz w:val="22"/>
          <w:szCs w:val="22"/>
        </w:rPr>
        <w:t xml:space="preserve"> from their communities face dual discrimination: as women and as members of marginalized ethnic or religious groups. One i</w:t>
      </w:r>
      <w:r>
        <w:rPr>
          <w:rFonts w:ascii="Times New Roman" w:hAnsi="Times New Roman" w:cs="Times New Roman"/>
          <w:sz w:val="22"/>
          <w:szCs w:val="22"/>
        </w:rPr>
        <w:t>nternally displaced woman with a disability, explained, “Women here have very limited rights. We are treated very differently, there are almost no job opportunities for us.” Similarly, women from the Gipsy (</w:t>
      </w:r>
      <w:proofErr w:type="spellStart"/>
      <w:r>
        <w:rPr>
          <w:rFonts w:ascii="Times New Roman" w:hAnsi="Times New Roman" w:cs="Times New Roman"/>
          <w:sz w:val="22"/>
          <w:szCs w:val="22"/>
        </w:rPr>
        <w:t>Husta</w:t>
      </w:r>
      <w:proofErr w:type="spellEnd"/>
      <w:r>
        <w:rPr>
          <w:rFonts w:ascii="Times New Roman" w:hAnsi="Times New Roman" w:cs="Times New Roman"/>
          <w:sz w:val="22"/>
          <w:szCs w:val="22"/>
        </w:rPr>
        <w:t>) tribe are systematically excluded from edu</w:t>
      </w:r>
      <w:r>
        <w:rPr>
          <w:rFonts w:ascii="Times New Roman" w:hAnsi="Times New Roman" w:cs="Times New Roman"/>
          <w:sz w:val="22"/>
          <w:szCs w:val="22"/>
        </w:rPr>
        <w:t>cation after preschool, reflecting the compounded effects of social stigma and entrenched inequality.</w:t>
      </w:r>
    </w:p>
    <w:p w14:paraId="311DAC17"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Cultural and tribal norms remain powerful barriers to gender equality. Families often restrict women’s movement and participation in public life, justifie</w:t>
      </w:r>
      <w:r>
        <w:rPr>
          <w:rFonts w:ascii="Times New Roman" w:hAnsi="Times New Roman" w:cs="Times New Roman"/>
          <w:sz w:val="22"/>
          <w:szCs w:val="22"/>
        </w:rPr>
        <w:t>d under the guise of protection or preserving family honor. Women’s reputation and the family’s social standing are closely linked, meaning that a woman working outside the home or interacting with men may be viewed as inappropriate or dishonorable. Reside</w:t>
      </w:r>
      <w:r>
        <w:rPr>
          <w:rFonts w:ascii="Times New Roman" w:hAnsi="Times New Roman" w:cs="Times New Roman"/>
          <w:sz w:val="22"/>
          <w:szCs w:val="22"/>
        </w:rPr>
        <w:t xml:space="preserve">nts in </w:t>
      </w:r>
      <w:proofErr w:type="spellStart"/>
      <w:r>
        <w:rPr>
          <w:rFonts w:ascii="Times New Roman" w:hAnsi="Times New Roman" w:cs="Times New Roman"/>
          <w:sz w:val="22"/>
          <w:szCs w:val="22"/>
        </w:rPr>
        <w:t>Summel</w:t>
      </w:r>
      <w:proofErr w:type="spellEnd"/>
      <w:r>
        <w:rPr>
          <w:rFonts w:ascii="Times New Roman" w:hAnsi="Times New Roman" w:cs="Times New Roman"/>
          <w:sz w:val="22"/>
          <w:szCs w:val="22"/>
        </w:rPr>
        <w:t xml:space="preserve"> highlighted how these attitudes cause fear and hesitation: “Women here are very scared of the outdoors; they don’t feel secure due to tribal issues, exploitation, bullying, and discrimination.” These perceptions are reinforced by male-dominat</w:t>
      </w:r>
      <w:r>
        <w:rPr>
          <w:rFonts w:ascii="Times New Roman" w:hAnsi="Times New Roman" w:cs="Times New Roman"/>
          <w:sz w:val="22"/>
          <w:szCs w:val="22"/>
        </w:rPr>
        <w:t>ed social structures that normalize gender inequality and discourage women’s empowerment.</w:t>
      </w:r>
    </w:p>
    <w:p w14:paraId="311DAC18"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19"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Discrimination also extends to institutional and governmental settings. Women’s representation in leadership and decision-making positions remains minimal, and recru</w:t>
      </w:r>
      <w:r>
        <w:rPr>
          <w:rFonts w:ascii="Times New Roman" w:hAnsi="Times New Roman" w:cs="Times New Roman"/>
          <w:sz w:val="22"/>
          <w:szCs w:val="22"/>
        </w:rPr>
        <w:t>itment in public institutions often relies on nepotism or favoritism, which disadvantages women. Contradictions in local governance also remain a challenge: “In government offices, women are encouraged to work publicly, but the same officials prevent their</w:t>
      </w:r>
      <w:r>
        <w:rPr>
          <w:rFonts w:ascii="Times New Roman" w:hAnsi="Times New Roman" w:cs="Times New Roman"/>
          <w:sz w:val="22"/>
          <w:szCs w:val="22"/>
        </w:rPr>
        <w:t xml:space="preserve"> own female relatives from working.” Such hypocrisy discourages women from seeking employment and reinforces the idea that their roles belong in the private sphere. Women who do work often face workplace harassment, exploitation, or are confined to low-lev</w:t>
      </w:r>
      <w:r>
        <w:rPr>
          <w:rFonts w:ascii="Times New Roman" w:hAnsi="Times New Roman" w:cs="Times New Roman"/>
          <w:sz w:val="22"/>
          <w:szCs w:val="22"/>
        </w:rPr>
        <w:t>el or low-paying positions. In many communities, as reported by participants, the government and employers prefer to refer conflicts to tribal or religious authorities, which often results in outcomes that further disadvantage women.</w:t>
      </w:r>
    </w:p>
    <w:p w14:paraId="311DAC1A"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1B"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lastRenderedPageBreak/>
        <w:t>Although Iraq and the</w:t>
      </w:r>
      <w:r>
        <w:rPr>
          <w:rFonts w:ascii="Times New Roman" w:hAnsi="Times New Roman" w:cs="Times New Roman"/>
          <w:sz w:val="22"/>
          <w:szCs w:val="22"/>
        </w:rPr>
        <w:t xml:space="preserve"> Kurdistan Region have enacted laws to protect women, such as the Kurdistan Region’s Law No. 8 of 2011 on Combating Domestic Violence, most women remain unaware of their rights, and implementation of these laws is weak. Many women fear reporting abuse or d</w:t>
      </w:r>
      <w:r>
        <w:rPr>
          <w:rFonts w:ascii="Times New Roman" w:hAnsi="Times New Roman" w:cs="Times New Roman"/>
          <w:sz w:val="22"/>
          <w:szCs w:val="22"/>
        </w:rPr>
        <w:t xml:space="preserve">iscrimination due to stigma, fear of retaliation, or mistrust of legal institutions. The local office for combating violence against women in </w:t>
      </w:r>
      <w:proofErr w:type="spellStart"/>
      <w:r>
        <w:rPr>
          <w:rFonts w:ascii="Times New Roman" w:hAnsi="Times New Roman" w:cs="Times New Roman"/>
          <w:sz w:val="22"/>
          <w:szCs w:val="22"/>
        </w:rPr>
        <w:t>Summel</w:t>
      </w:r>
      <w:proofErr w:type="spellEnd"/>
      <w:r>
        <w:rPr>
          <w:rFonts w:ascii="Times New Roman" w:hAnsi="Times New Roman" w:cs="Times New Roman"/>
          <w:sz w:val="22"/>
          <w:szCs w:val="22"/>
        </w:rPr>
        <w:t xml:space="preserve"> was described as having limited capacity and, in some cases, worsening situations by referring complaints t</w:t>
      </w:r>
      <w:r>
        <w:rPr>
          <w:rFonts w:ascii="Times New Roman" w:hAnsi="Times New Roman" w:cs="Times New Roman"/>
          <w:sz w:val="22"/>
          <w:szCs w:val="22"/>
        </w:rPr>
        <w:t>o tribal leaders rather than pursuing justice. One participant explained that “the court often refers the case to the head of the tribe, and most of the time this leads to divorce or the woman losing her rights.” The lack of accountability and institutiona</w:t>
      </w:r>
      <w:r>
        <w:rPr>
          <w:rFonts w:ascii="Times New Roman" w:hAnsi="Times New Roman" w:cs="Times New Roman"/>
          <w:sz w:val="22"/>
          <w:szCs w:val="22"/>
        </w:rPr>
        <w:t>l protection perpetuates impunity and discourages women from seeking legal redress.</w:t>
      </w:r>
    </w:p>
    <w:p w14:paraId="311DAC1C"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1D"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The consequences of this discrimination are profound. Women’s economic dependency, limited education, and exclusion from leadership roles weaken their social position and </w:t>
      </w:r>
      <w:r>
        <w:rPr>
          <w:rFonts w:ascii="Times New Roman" w:hAnsi="Times New Roman" w:cs="Times New Roman"/>
          <w:sz w:val="22"/>
          <w:szCs w:val="22"/>
        </w:rPr>
        <w:t>reinforce cycles of poverty and vulnerability. Without access to income or property rights, women are less able to make decisions within their households or challenge abuse. Participants noted that many women are unemployed or engaged in unpaid domestic la</w:t>
      </w:r>
      <w:r>
        <w:rPr>
          <w:rFonts w:ascii="Times New Roman" w:hAnsi="Times New Roman" w:cs="Times New Roman"/>
          <w:sz w:val="22"/>
          <w:szCs w:val="22"/>
        </w:rPr>
        <w:t xml:space="preserve">bor, which restricts their mobility and visibility in public life. As a resident from </w:t>
      </w:r>
      <w:proofErr w:type="spellStart"/>
      <w:r>
        <w:rPr>
          <w:rFonts w:ascii="Times New Roman" w:hAnsi="Times New Roman" w:cs="Times New Roman"/>
          <w:sz w:val="22"/>
          <w:szCs w:val="22"/>
        </w:rPr>
        <w:t>Summel</w:t>
      </w:r>
      <w:proofErr w:type="spellEnd"/>
      <w:r>
        <w:rPr>
          <w:rFonts w:ascii="Times New Roman" w:hAnsi="Times New Roman" w:cs="Times New Roman"/>
          <w:sz w:val="22"/>
          <w:szCs w:val="22"/>
        </w:rPr>
        <w:t xml:space="preserve"> noted, “although women are now more active due to NGOs, their initiatives are still very limited because they are not raised to face the community confidently.” Th</w:t>
      </w:r>
      <w:r>
        <w:rPr>
          <w:rFonts w:ascii="Times New Roman" w:hAnsi="Times New Roman" w:cs="Times New Roman"/>
          <w:sz w:val="22"/>
          <w:szCs w:val="22"/>
        </w:rPr>
        <w:t>is dependency also increases women’s exposure to exploitation and gender-based violence. Recent statistics shared by participants indicated that over 3,000 cases of exploitation and abuse were recorded in Duhok Governorate in 2024, illustrating the severit</w:t>
      </w:r>
      <w:r>
        <w:rPr>
          <w:rFonts w:ascii="Times New Roman" w:hAnsi="Times New Roman" w:cs="Times New Roman"/>
          <w:sz w:val="22"/>
          <w:szCs w:val="22"/>
        </w:rPr>
        <w:t>y of the issue.</w:t>
      </w:r>
    </w:p>
    <w:p w14:paraId="311DAC1E"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1F"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Despite these challenges, there are emerging signs of gradual progress. NGO programs and local activists have provided women with platforms for participation and awareness, especially in towns like Shariya, where International Women’s Day </w:t>
      </w:r>
      <w:r>
        <w:rPr>
          <w:rFonts w:ascii="Times New Roman" w:hAnsi="Times New Roman" w:cs="Times New Roman"/>
          <w:sz w:val="22"/>
          <w:szCs w:val="22"/>
        </w:rPr>
        <w:t xml:space="preserve">is celebrated annually. These events have helped normalize discussions about women’s rights and encouraged more women to engage in community activities. As </w:t>
      </w:r>
      <w:proofErr w:type="spellStart"/>
      <w:r>
        <w:rPr>
          <w:rFonts w:ascii="Times New Roman" w:hAnsi="Times New Roman" w:cs="Times New Roman"/>
          <w:sz w:val="22"/>
          <w:szCs w:val="22"/>
        </w:rPr>
        <w:t>Jelal</w:t>
      </w:r>
      <w:proofErr w:type="spellEnd"/>
      <w:r>
        <w:rPr>
          <w:rFonts w:ascii="Times New Roman" w:hAnsi="Times New Roman" w:cs="Times New Roman"/>
          <w:sz w:val="22"/>
          <w:szCs w:val="22"/>
        </w:rPr>
        <w:t xml:space="preserve"> from Shariya emphasized, “Women will only be empowered when they are aware of their rights and</w:t>
      </w:r>
      <w:r>
        <w:rPr>
          <w:rFonts w:ascii="Times New Roman" w:hAnsi="Times New Roman" w:cs="Times New Roman"/>
          <w:sz w:val="22"/>
          <w:szCs w:val="22"/>
        </w:rPr>
        <w:t xml:space="preserve"> have a suitable opportunity to be involved and accepted in community life.” However, participants stressed that such initiatives are often short-term and lack sustainable follow-up or coordination with government institutions.</w:t>
      </w:r>
    </w:p>
    <w:p w14:paraId="311DAC20"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21"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Community leaders and </w:t>
      </w:r>
      <w:r>
        <w:rPr>
          <w:rFonts w:ascii="Times New Roman" w:hAnsi="Times New Roman" w:cs="Times New Roman"/>
          <w:sz w:val="22"/>
          <w:szCs w:val="22"/>
        </w:rPr>
        <w:t xml:space="preserve">activists play a critical role in shaping public attitudes toward gender equality. While traditional leaders, such as mukhtars and religious clerics, continue to uphold patriarchal values, some youth activists and civil society actors are driving cultural </w:t>
      </w:r>
      <w:r>
        <w:rPr>
          <w:rFonts w:ascii="Times New Roman" w:hAnsi="Times New Roman" w:cs="Times New Roman"/>
          <w:sz w:val="22"/>
          <w:szCs w:val="22"/>
        </w:rPr>
        <w:t>change through awareness campaigns and training programs. Nonetheless, political interests often hinder meaningful reform. Participants explained that government officials avoid challenging discriminatory norms for fear of losing political support, as “ask</w:t>
      </w:r>
      <w:r>
        <w:rPr>
          <w:rFonts w:ascii="Times New Roman" w:hAnsi="Times New Roman" w:cs="Times New Roman"/>
          <w:sz w:val="22"/>
          <w:szCs w:val="22"/>
        </w:rPr>
        <w:t xml:space="preserve">ing the mukhtar to change people’s mindsets could lead </w:t>
      </w:r>
      <w:r>
        <w:rPr>
          <w:rFonts w:ascii="Times New Roman" w:hAnsi="Times New Roman" w:cs="Times New Roman"/>
          <w:sz w:val="22"/>
          <w:szCs w:val="22"/>
        </w:rPr>
        <w:lastRenderedPageBreak/>
        <w:t>to conflict and loss of cooperation during elections.” As a result, real progress remains dependent on non-governmental actors, rather than on government will or policy implementation.</w:t>
      </w:r>
    </w:p>
    <w:p w14:paraId="311DAC22"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23"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There is a stro</w:t>
      </w:r>
      <w:r>
        <w:rPr>
          <w:rFonts w:ascii="Times New Roman" w:hAnsi="Times New Roman" w:cs="Times New Roman"/>
          <w:sz w:val="22"/>
          <w:szCs w:val="22"/>
        </w:rPr>
        <w:t xml:space="preserve">ng need for systemic change, with community members emphasizing that both government and society must act collaboratively to dismantle discrimination. They called for the government to improve women’s security, invest in education and legal awareness, and </w:t>
      </w:r>
      <w:r>
        <w:rPr>
          <w:rFonts w:ascii="Times New Roman" w:hAnsi="Times New Roman" w:cs="Times New Roman"/>
          <w:sz w:val="22"/>
          <w:szCs w:val="22"/>
        </w:rPr>
        <w:t>enforce accountability mechanisms for gender-based violence and discrimination. Participants also highlighted the need for community engagement that includes men and boys in gender equality efforts, to transform harmful perceptions and build shared respons</w:t>
      </w:r>
      <w:r>
        <w:rPr>
          <w:rFonts w:ascii="Times New Roman" w:hAnsi="Times New Roman" w:cs="Times New Roman"/>
          <w:sz w:val="22"/>
          <w:szCs w:val="22"/>
        </w:rPr>
        <w:t>ibility for women’s empowerment.</w:t>
      </w:r>
    </w:p>
    <w:p w14:paraId="311DAC24"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25"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Based on the insights gathered from the community discussions, participants recommended that the Iraqi government and the Kurdistan Regional Government take concrete actions to address discrimination. These include strengt</w:t>
      </w:r>
      <w:r>
        <w:rPr>
          <w:rFonts w:ascii="Times New Roman" w:hAnsi="Times New Roman" w:cs="Times New Roman"/>
          <w:sz w:val="22"/>
          <w:szCs w:val="22"/>
        </w:rPr>
        <w:t>hening the enforcement of existing legal frameworks such as the Domestic Violence Law (No. 8 of 2011) through better-trained and gender-sensitive law enforcement and judiciary systems; providing accessible legal aid and safe shelters for survivors of viole</w:t>
      </w:r>
      <w:r>
        <w:rPr>
          <w:rFonts w:ascii="Times New Roman" w:hAnsi="Times New Roman" w:cs="Times New Roman"/>
          <w:sz w:val="22"/>
          <w:szCs w:val="22"/>
        </w:rPr>
        <w:t>nce; and launching widespread public awareness campaigns that challenge discriminatory practices and promote gender equality in culturally appropriate ways. The government should also ensure women’s representation in local councils and decision-making bodi</w:t>
      </w:r>
      <w:r>
        <w:rPr>
          <w:rFonts w:ascii="Times New Roman" w:hAnsi="Times New Roman" w:cs="Times New Roman"/>
          <w:sz w:val="22"/>
          <w:szCs w:val="22"/>
        </w:rPr>
        <w:t>es, establish community-based mechanisms for reporting discrimination, and develop programs targeting marginalized groups, including displaced women, widows, women with disabilities, and minority women.</w:t>
      </w:r>
    </w:p>
    <w:p w14:paraId="311DAC26"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27"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Furthermore, participants emphasized the importance </w:t>
      </w:r>
      <w:r>
        <w:rPr>
          <w:rFonts w:ascii="Times New Roman" w:hAnsi="Times New Roman" w:cs="Times New Roman"/>
          <w:sz w:val="22"/>
          <w:szCs w:val="22"/>
        </w:rPr>
        <w:t xml:space="preserve">of engaging religious and tribal leaders as allies in promoting women’s rights, integrating gender equality education into school curricula, and providing sustained support for women’s organizations working at the grassroots level. Government institutions </w:t>
      </w:r>
      <w:r>
        <w:rPr>
          <w:rFonts w:ascii="Times New Roman" w:hAnsi="Times New Roman" w:cs="Times New Roman"/>
          <w:sz w:val="22"/>
          <w:szCs w:val="22"/>
        </w:rPr>
        <w:t>must move beyond rhetoric and demonstrate measurable progress through policies, budgets, and monitoring systems that address women’s lived realities.</w:t>
      </w:r>
    </w:p>
    <w:p w14:paraId="311DAC28"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29" w14:textId="77777777" w:rsidR="00534AFF" w:rsidRDefault="00D16163">
      <w:pPr>
        <w:pStyle w:val="ListParagraph"/>
        <w:spacing w:line="360" w:lineRule="auto"/>
        <w:ind w:left="-576" w:right="-576"/>
        <w:jc w:val="both"/>
        <w:rPr>
          <w:rFonts w:ascii="Times New Roman" w:hAnsi="Times New Roman" w:cs="Times New Roman"/>
          <w:sz w:val="22"/>
          <w:szCs w:val="22"/>
        </w:rPr>
      </w:pPr>
      <w:r>
        <w:rPr>
          <w:rFonts w:ascii="Times New Roman" w:hAnsi="Times New Roman" w:cs="Times New Roman"/>
          <w:sz w:val="22"/>
          <w:szCs w:val="22"/>
        </w:rPr>
        <w:t xml:space="preserve">Ultimately, discrimination against women and girls in </w:t>
      </w:r>
      <w:proofErr w:type="spellStart"/>
      <w:r>
        <w:rPr>
          <w:rFonts w:ascii="Times New Roman" w:hAnsi="Times New Roman" w:cs="Times New Roman"/>
          <w:sz w:val="22"/>
          <w:szCs w:val="22"/>
        </w:rPr>
        <w:t>Summel</w:t>
      </w:r>
      <w:proofErr w:type="spellEnd"/>
      <w:r>
        <w:rPr>
          <w:rFonts w:ascii="Times New Roman" w:hAnsi="Times New Roman" w:cs="Times New Roman"/>
          <w:sz w:val="22"/>
          <w:szCs w:val="22"/>
        </w:rPr>
        <w:t xml:space="preserve"> is not only a violation of individual rights</w:t>
      </w:r>
      <w:r>
        <w:rPr>
          <w:rFonts w:ascii="Times New Roman" w:hAnsi="Times New Roman" w:cs="Times New Roman"/>
          <w:sz w:val="22"/>
          <w:szCs w:val="22"/>
        </w:rPr>
        <w:t xml:space="preserve"> but also a barrier to social cohesion, development, and peace. The testimonies from men and women alike reveal a community in transition—one that recognizes the potential and capability of women but remains constrained by outdated norms and weak instituti</w:t>
      </w:r>
      <w:r>
        <w:rPr>
          <w:rFonts w:ascii="Times New Roman" w:hAnsi="Times New Roman" w:cs="Times New Roman"/>
          <w:sz w:val="22"/>
          <w:szCs w:val="22"/>
        </w:rPr>
        <w:t>onal support. For true equality to take root, both the government and society must commit to transforming structures of discrimination into systems of inclusion, justice, and shared opportunity.</w:t>
      </w:r>
    </w:p>
    <w:p w14:paraId="311DAC2A" w14:textId="77777777" w:rsidR="00534AFF" w:rsidRDefault="00534AFF">
      <w:pPr>
        <w:pStyle w:val="ListParagraph"/>
        <w:spacing w:line="360" w:lineRule="auto"/>
        <w:ind w:left="-576" w:right="-576"/>
        <w:jc w:val="both"/>
        <w:rPr>
          <w:rFonts w:ascii="Times New Roman" w:hAnsi="Times New Roman" w:cs="Times New Roman"/>
          <w:sz w:val="22"/>
          <w:szCs w:val="22"/>
        </w:rPr>
      </w:pPr>
    </w:p>
    <w:p w14:paraId="311DAC2B" w14:textId="77777777" w:rsidR="00534AFF" w:rsidRDefault="00D16163">
      <w:pPr>
        <w:pStyle w:val="Heading4"/>
        <w:ind w:left="-576" w:right="-576"/>
        <w:rPr>
          <w:rFonts w:ascii="Times New Roman" w:hAnsi="Times New Roman"/>
          <w:color w:val="5B9BD5"/>
          <w14:shadow w14:blurRad="38036" w14:dist="25323" w14:dir="5400000" w14:sx="100000" w14:sy="100000" w14:kx="0" w14:ky="0" w14:algn="b">
            <w14:srgbClr w14:val="6E747A"/>
          </w14:shadow>
        </w:rPr>
      </w:pPr>
      <w:r>
        <w:rPr>
          <w:rFonts w:ascii="Times New Roman" w:hAnsi="Times New Roman"/>
          <w:color w:val="5B9BD5"/>
          <w14:shadow w14:blurRad="38036" w14:dist="25323" w14:dir="5400000" w14:sx="100000" w14:sy="100000" w14:kx="0" w14:ky="0" w14:algn="b">
            <w14:srgbClr w14:val="6E747A"/>
          </w14:shadow>
        </w:rPr>
        <w:lastRenderedPageBreak/>
        <w:t>Recommendations for the Government of Iraq:</w:t>
      </w:r>
    </w:p>
    <w:p w14:paraId="311DAC2C" w14:textId="77777777" w:rsidR="00534AFF" w:rsidRDefault="00D16163">
      <w:pPr>
        <w:pStyle w:val="Heading4"/>
        <w:ind w:left="-576" w:right="-576"/>
        <w:jc w:val="both"/>
      </w:pPr>
      <w:r>
        <w:rPr>
          <w:rFonts w:ascii="Times New Roman" w:hAnsi="Times New Roman"/>
          <w:color w:val="000000"/>
        </w:rPr>
        <w:t xml:space="preserve">- </w:t>
      </w:r>
      <w:r>
        <w:rPr>
          <w:rFonts w:ascii="Times New Roman" w:hAnsi="Times New Roman"/>
          <w:b/>
          <w:bCs/>
        </w:rPr>
        <w:t>Strengthen enf</w:t>
      </w:r>
      <w:r>
        <w:rPr>
          <w:rFonts w:ascii="Times New Roman" w:hAnsi="Times New Roman"/>
          <w:b/>
          <w:bCs/>
        </w:rPr>
        <w:t>orcement</w:t>
      </w:r>
      <w:r>
        <w:rPr>
          <w:rFonts w:ascii="Times New Roman" w:hAnsi="Times New Roman"/>
        </w:rPr>
        <w:t xml:space="preserve"> of existing laws on </w:t>
      </w:r>
      <w:r>
        <w:rPr>
          <w:rFonts w:ascii="Times New Roman" w:hAnsi="Times New Roman"/>
          <w:b/>
          <w:bCs/>
        </w:rPr>
        <w:t>domestic violence and discrimination</w:t>
      </w:r>
      <w:r>
        <w:rPr>
          <w:rFonts w:ascii="Times New Roman" w:hAnsi="Times New Roman"/>
        </w:rPr>
        <w:t xml:space="preserve">, including </w:t>
      </w:r>
      <w:r>
        <w:rPr>
          <w:rStyle w:val="Strong"/>
          <w:rFonts w:ascii="Times New Roman" w:hAnsi="Times New Roman"/>
        </w:rPr>
        <w:t>Law No. 8 of 2011</w:t>
      </w:r>
      <w:r>
        <w:rPr>
          <w:rFonts w:ascii="Times New Roman" w:hAnsi="Times New Roman"/>
        </w:rPr>
        <w:t>, through gender-sensitive training for police, judiciary, and administrative staff.</w:t>
      </w:r>
    </w:p>
    <w:p w14:paraId="311DAC2D" w14:textId="77777777" w:rsidR="00534AFF" w:rsidRDefault="00D16163">
      <w:pPr>
        <w:pStyle w:val="Heading4"/>
        <w:ind w:left="-576" w:right="-576"/>
        <w:jc w:val="both"/>
      </w:pPr>
      <w:r>
        <w:rPr>
          <w:rFonts w:ascii="Times New Roman" w:hAnsi="Times New Roman"/>
        </w:rPr>
        <w:t xml:space="preserve">- </w:t>
      </w:r>
      <w:r>
        <w:rPr>
          <w:rFonts w:ascii="Times New Roman" w:hAnsi="Times New Roman"/>
          <w:b/>
          <w:bCs/>
        </w:rPr>
        <w:t>Expand accessible legal aid, shelters,</w:t>
      </w:r>
      <w:r>
        <w:rPr>
          <w:rFonts w:ascii="Times New Roman" w:hAnsi="Times New Roman"/>
        </w:rPr>
        <w:t xml:space="preserve"> </w:t>
      </w:r>
      <w:r>
        <w:rPr>
          <w:rFonts w:ascii="Times New Roman" w:hAnsi="Times New Roman"/>
          <w:b/>
          <w:bCs/>
        </w:rPr>
        <w:t>and confidential reporting mechanism</w:t>
      </w:r>
      <w:r>
        <w:rPr>
          <w:rFonts w:ascii="Times New Roman" w:hAnsi="Times New Roman"/>
          <w:b/>
          <w:bCs/>
        </w:rPr>
        <w:t>s</w:t>
      </w:r>
      <w:r>
        <w:rPr>
          <w:rFonts w:ascii="Times New Roman" w:hAnsi="Times New Roman"/>
        </w:rPr>
        <w:t xml:space="preserve"> for survivors of abuse and discrimination.</w:t>
      </w:r>
    </w:p>
    <w:p w14:paraId="311DAC2E" w14:textId="77777777" w:rsidR="00534AFF" w:rsidRDefault="00D16163">
      <w:pPr>
        <w:pStyle w:val="Heading4"/>
        <w:ind w:left="-576" w:right="-576"/>
        <w:jc w:val="both"/>
      </w:pPr>
      <w:r>
        <w:rPr>
          <w:rFonts w:ascii="Times New Roman" w:hAnsi="Times New Roman"/>
        </w:rPr>
        <w:t xml:space="preserve">- Develop and fund </w:t>
      </w:r>
      <w:r>
        <w:rPr>
          <w:rFonts w:ascii="Times New Roman" w:hAnsi="Times New Roman"/>
          <w:b/>
          <w:bCs/>
        </w:rPr>
        <w:t xml:space="preserve">community-based awareness campaigns </w:t>
      </w:r>
      <w:r>
        <w:rPr>
          <w:rFonts w:ascii="Times New Roman" w:hAnsi="Times New Roman"/>
        </w:rPr>
        <w:t>targeting men, boys, and elders to shift harmful gender norms.</w:t>
      </w:r>
    </w:p>
    <w:p w14:paraId="311DAC2F" w14:textId="77777777" w:rsidR="00534AFF" w:rsidRDefault="00D16163">
      <w:pPr>
        <w:pStyle w:val="Heading4"/>
        <w:ind w:left="-576" w:right="-576"/>
        <w:jc w:val="both"/>
      </w:pPr>
      <w:r>
        <w:rPr>
          <w:rFonts w:ascii="Times New Roman" w:hAnsi="Times New Roman"/>
        </w:rPr>
        <w:t xml:space="preserve">- Ensure </w:t>
      </w:r>
      <w:r>
        <w:rPr>
          <w:rFonts w:ascii="Times New Roman" w:hAnsi="Times New Roman"/>
          <w:b/>
          <w:bCs/>
        </w:rPr>
        <w:t xml:space="preserve">women’s representation in local councils, </w:t>
      </w:r>
      <w:r>
        <w:rPr>
          <w:rFonts w:ascii="Times New Roman" w:hAnsi="Times New Roman"/>
        </w:rPr>
        <w:t xml:space="preserve">community committees, and </w:t>
      </w:r>
      <w:r>
        <w:rPr>
          <w:rFonts w:ascii="Times New Roman" w:hAnsi="Times New Roman"/>
        </w:rPr>
        <w:t>leadership positions.</w:t>
      </w:r>
      <w:r>
        <w:rPr>
          <w:rFonts w:ascii="Times New Roman" w:hAnsi="Times New Roman"/>
          <w:u w:val="single"/>
        </w:rPr>
        <w:t xml:space="preserve"> </w:t>
      </w:r>
    </w:p>
    <w:p w14:paraId="311DAC30" w14:textId="77777777" w:rsidR="00534AFF" w:rsidRDefault="00D16163">
      <w:pPr>
        <w:pStyle w:val="Heading4"/>
        <w:ind w:left="-576" w:right="-576"/>
        <w:jc w:val="both"/>
      </w:pPr>
      <w:r>
        <w:rPr>
          <w:rFonts w:ascii="Times New Roman" w:hAnsi="Times New Roman"/>
        </w:rPr>
        <w:t>-</w:t>
      </w:r>
      <w:r>
        <w:rPr>
          <w:rFonts w:ascii="Times New Roman" w:hAnsi="Times New Roman"/>
          <w:b/>
          <w:bCs/>
        </w:rPr>
        <w:t xml:space="preserve"> Prioritize support for marginalized women</w:t>
      </w:r>
      <w:r>
        <w:rPr>
          <w:rFonts w:ascii="Times New Roman" w:hAnsi="Times New Roman"/>
        </w:rPr>
        <w:t>, including displaced persons, widows, women with disabilities, and minority groups.</w:t>
      </w:r>
    </w:p>
    <w:p w14:paraId="311DAC31" w14:textId="77777777" w:rsidR="00534AFF" w:rsidRDefault="00D16163">
      <w:pPr>
        <w:pStyle w:val="Heading4"/>
        <w:ind w:left="-576" w:right="-576"/>
        <w:jc w:val="both"/>
      </w:pPr>
      <w:r>
        <w:rPr>
          <w:rFonts w:ascii="Times New Roman" w:hAnsi="Times New Roman"/>
        </w:rPr>
        <w:t xml:space="preserve">- </w:t>
      </w:r>
      <w:r>
        <w:rPr>
          <w:rFonts w:ascii="Times New Roman" w:hAnsi="Times New Roman"/>
          <w:b/>
          <w:bCs/>
        </w:rPr>
        <w:t>Implement monitoring systems</w:t>
      </w:r>
      <w:r>
        <w:rPr>
          <w:rFonts w:ascii="Times New Roman" w:hAnsi="Times New Roman"/>
        </w:rPr>
        <w:t xml:space="preserve"> to </w:t>
      </w:r>
      <w:r>
        <w:rPr>
          <w:rFonts w:ascii="Times New Roman" w:hAnsi="Times New Roman"/>
          <w:b/>
          <w:bCs/>
        </w:rPr>
        <w:t>track discrimination and enforce accountability</w:t>
      </w:r>
      <w:r>
        <w:rPr>
          <w:rFonts w:ascii="Times New Roman" w:hAnsi="Times New Roman"/>
        </w:rPr>
        <w:t xml:space="preserve"> in both public and priv</w:t>
      </w:r>
      <w:r>
        <w:rPr>
          <w:rFonts w:ascii="Times New Roman" w:hAnsi="Times New Roman"/>
        </w:rPr>
        <w:t>ate institutions.</w:t>
      </w:r>
    </w:p>
    <w:p w14:paraId="311DAC32" w14:textId="77777777" w:rsidR="00534AFF" w:rsidRDefault="00D16163">
      <w:pPr>
        <w:pStyle w:val="Heading4"/>
        <w:ind w:left="-576" w:right="-576"/>
        <w:jc w:val="both"/>
      </w:pPr>
      <w:r>
        <w:rPr>
          <w:rFonts w:ascii="Times New Roman" w:hAnsi="Times New Roman"/>
        </w:rPr>
        <w:t xml:space="preserve">- </w:t>
      </w:r>
      <w:r>
        <w:rPr>
          <w:rFonts w:ascii="Times New Roman" w:hAnsi="Times New Roman"/>
          <w:b/>
          <w:bCs/>
        </w:rPr>
        <w:t xml:space="preserve">Engage tribal and religious leaders </w:t>
      </w:r>
      <w:r>
        <w:rPr>
          <w:rFonts w:ascii="Times New Roman" w:hAnsi="Times New Roman"/>
        </w:rPr>
        <w:t>as allies t</w:t>
      </w:r>
      <w:r>
        <w:rPr>
          <w:rFonts w:ascii="Times New Roman" w:hAnsi="Times New Roman"/>
          <w:b/>
          <w:bCs/>
        </w:rPr>
        <w:t xml:space="preserve">o promote women’s rights </w:t>
      </w:r>
      <w:r>
        <w:rPr>
          <w:rFonts w:ascii="Times New Roman" w:hAnsi="Times New Roman"/>
        </w:rPr>
        <w:t>within culturally relevant frameworks.</w:t>
      </w:r>
    </w:p>
    <w:p w14:paraId="311DAC33" w14:textId="77777777" w:rsidR="00534AFF" w:rsidRDefault="00534AFF"/>
    <w:p w14:paraId="311DAC34" w14:textId="77777777" w:rsidR="00534AFF" w:rsidRDefault="00D16163">
      <w:pPr>
        <w:pStyle w:val="ListParagraph"/>
        <w:spacing w:line="360" w:lineRule="auto"/>
        <w:ind w:left="-576" w:right="-576"/>
        <w:jc w:val="both"/>
        <w:rPr>
          <w:rFonts w:ascii="Times New Roman" w:hAnsi="Times New Roman" w:cs="Times New Roman"/>
          <w:color w:val="5B9BD5"/>
          <w:sz w:val="22"/>
          <w:szCs w:val="22"/>
          <w14:shadow w14:blurRad="38036" w14:dist="25323" w14:dir="5400000" w14:sx="100000" w14:sy="100000" w14:kx="0" w14:ky="0" w14:algn="b">
            <w14:srgbClr w14:val="6E747A"/>
          </w14:shadow>
        </w:rPr>
      </w:pPr>
      <w:r>
        <w:rPr>
          <w:rFonts w:ascii="Times New Roman" w:hAnsi="Times New Roman" w:cs="Times New Roman"/>
          <w:color w:val="5B9BD5"/>
          <w:sz w:val="22"/>
          <w:szCs w:val="22"/>
          <w14:shadow w14:blurRad="38036" w14:dist="25323" w14:dir="5400000" w14:sx="100000" w14:sy="100000" w14:kx="0" w14:ky="0" w14:algn="b">
            <w14:srgbClr w14:val="6E747A"/>
          </w14:shadow>
        </w:rPr>
        <w:t xml:space="preserve">5 Conclusion  </w:t>
      </w:r>
    </w:p>
    <w:p w14:paraId="311DAC35" w14:textId="77777777" w:rsidR="00534AFF" w:rsidRDefault="00D16163">
      <w:pPr>
        <w:pStyle w:val="ListParagraph"/>
        <w:spacing w:line="360" w:lineRule="auto"/>
        <w:ind w:left="-576" w:right="-57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Women in Sinjar and </w:t>
      </w:r>
      <w:proofErr w:type="spellStart"/>
      <w:r>
        <w:rPr>
          <w:rFonts w:ascii="Times New Roman" w:eastAsia="Times New Roman" w:hAnsi="Times New Roman" w:cs="Times New Roman"/>
          <w:sz w:val="22"/>
          <w:szCs w:val="22"/>
        </w:rPr>
        <w:t>Summel</w:t>
      </w:r>
      <w:proofErr w:type="spellEnd"/>
      <w:r>
        <w:rPr>
          <w:rFonts w:ascii="Times New Roman" w:eastAsia="Times New Roman" w:hAnsi="Times New Roman" w:cs="Times New Roman"/>
          <w:sz w:val="22"/>
          <w:szCs w:val="22"/>
        </w:rPr>
        <w:t xml:space="preserve"> continue to face systemic, cultural, and legal barriers that prevent full enjoymen</w:t>
      </w:r>
      <w:r>
        <w:rPr>
          <w:rFonts w:ascii="Times New Roman" w:eastAsia="Times New Roman" w:hAnsi="Times New Roman" w:cs="Times New Roman"/>
          <w:sz w:val="22"/>
          <w:szCs w:val="22"/>
        </w:rPr>
        <w:t>t of their rights. Violence, early marriage, honor-based abuse, economic exclusion, and discrimination remain pervasive, despite Iraq’s ratification of CEDAW.</w:t>
      </w:r>
    </w:p>
    <w:p w14:paraId="311DAC36" w14:textId="77777777" w:rsidR="00534AFF" w:rsidRDefault="00D16163">
      <w:pPr>
        <w:pStyle w:val="ListParagraph"/>
        <w:spacing w:line="360" w:lineRule="auto"/>
        <w:ind w:left="-576" w:right="-576"/>
        <w:jc w:val="both"/>
      </w:pPr>
      <w:r>
        <w:rPr>
          <w:rFonts w:ascii="Times New Roman" w:eastAsia="Times New Roman" w:hAnsi="Times New Roman" w:cs="Times New Roman"/>
          <w:sz w:val="22"/>
          <w:szCs w:val="22"/>
        </w:rPr>
        <w:t>The testimonies and evidence collected highlight the urgent need for comprehensive, coordinated a</w:t>
      </w:r>
      <w:r>
        <w:rPr>
          <w:rFonts w:ascii="Times New Roman" w:eastAsia="Times New Roman" w:hAnsi="Times New Roman" w:cs="Times New Roman"/>
          <w:sz w:val="22"/>
          <w:szCs w:val="22"/>
        </w:rPr>
        <w:t>ction that addresses legal gaps, strengthens institutional capacity, and challenges harmful social norms. Effective implementation of the recommendations provided in this report is essential to fulfill Iraq’s obligations under CEDAW, promote gender equalit</w:t>
      </w:r>
      <w:r>
        <w:rPr>
          <w:rFonts w:ascii="Times New Roman" w:eastAsia="Times New Roman" w:hAnsi="Times New Roman" w:cs="Times New Roman"/>
          <w:sz w:val="22"/>
          <w:szCs w:val="22"/>
        </w:rPr>
        <w:t>y, protect women and girls from violence, and foster social and economic development in post-conflict communities.</w:t>
      </w:r>
    </w:p>
    <w:p w14:paraId="311DAC37" w14:textId="77777777" w:rsidR="00534AFF" w:rsidRDefault="00534AFF">
      <w:pPr>
        <w:pStyle w:val="ListParagraph"/>
        <w:spacing w:line="360" w:lineRule="auto"/>
        <w:ind w:left="-576" w:right="-576"/>
        <w:jc w:val="both"/>
        <w:rPr>
          <w:rFonts w:ascii="Times New Roman" w:hAnsi="Times New Roman" w:cs="Times New Roman"/>
          <w:color w:val="5B9BD5"/>
          <w:sz w:val="22"/>
          <w:szCs w:val="22"/>
          <w14:shadow w14:blurRad="38036" w14:dist="25323" w14:dir="5400000" w14:sx="100000" w14:sy="100000" w14:kx="0" w14:ky="0" w14:algn="b">
            <w14:srgbClr w14:val="6E747A"/>
          </w14:shadow>
        </w:rPr>
      </w:pPr>
    </w:p>
    <w:p w14:paraId="311DAC38" w14:textId="77777777" w:rsidR="00534AFF" w:rsidRDefault="00534AFF"/>
    <w:p w14:paraId="311DAC39" w14:textId="77777777" w:rsidR="00534AFF" w:rsidRDefault="00534AFF"/>
    <w:p w14:paraId="311DAC3A" w14:textId="77777777" w:rsidR="00534AFF" w:rsidRDefault="00534AFF"/>
    <w:p w14:paraId="311DAC3B" w14:textId="77777777" w:rsidR="00534AFF" w:rsidRDefault="00534AFF">
      <w:pPr>
        <w:pStyle w:val="ListParagraph"/>
        <w:spacing w:line="360" w:lineRule="auto"/>
        <w:ind w:left="-576" w:right="-576"/>
        <w:jc w:val="both"/>
        <w:rPr>
          <w:rFonts w:ascii="Times New Roman" w:hAnsi="Times New Roman" w:cs="Times New Roman"/>
          <w:color w:val="5B9BD5"/>
          <w:sz w:val="24"/>
          <w:szCs w:val="24"/>
          <w14:shadow w14:blurRad="38036" w14:dist="25323" w14:dir="5400000" w14:sx="100000" w14:sy="100000" w14:kx="0" w14:ky="0" w14:algn="b">
            <w14:srgbClr w14:val="6E747A"/>
          </w14:shadow>
        </w:rPr>
      </w:pPr>
    </w:p>
    <w:sectPr w:rsidR="00534AFF">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DAB70" w14:textId="77777777" w:rsidR="00000000" w:rsidRDefault="00D16163">
      <w:pPr>
        <w:spacing w:after="0" w:line="240" w:lineRule="auto"/>
      </w:pPr>
      <w:r>
        <w:separator/>
      </w:r>
    </w:p>
  </w:endnote>
  <w:endnote w:type="continuationSeparator" w:id="0">
    <w:p w14:paraId="311DAB72" w14:textId="77777777" w:rsidR="00000000" w:rsidRDefault="00D16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DAB6C" w14:textId="77777777" w:rsidR="00000000" w:rsidRDefault="00D16163">
      <w:pPr>
        <w:spacing w:after="0" w:line="240" w:lineRule="auto"/>
      </w:pPr>
      <w:r>
        <w:rPr>
          <w:color w:val="000000"/>
        </w:rPr>
        <w:separator/>
      </w:r>
    </w:p>
  </w:footnote>
  <w:footnote w:type="continuationSeparator" w:id="0">
    <w:p w14:paraId="311DAB6E" w14:textId="77777777" w:rsidR="00000000" w:rsidRDefault="00D16163">
      <w:pPr>
        <w:spacing w:after="0" w:line="240" w:lineRule="auto"/>
      </w:pPr>
      <w:r>
        <w:continuationSeparator/>
      </w:r>
    </w:p>
  </w:footnote>
  <w:footnote w:id="1">
    <w:p w14:paraId="311DAB6C" w14:textId="77777777" w:rsidR="00534AFF" w:rsidRDefault="00D16163">
      <w:pPr>
        <w:pStyle w:val="FootnoteText"/>
      </w:pPr>
      <w:r>
        <w:rPr>
          <w:rStyle w:val="FootnoteReference"/>
        </w:rPr>
        <w:footnoteRef/>
      </w:r>
      <w:r>
        <w:t xml:space="preserve"> </w:t>
      </w:r>
      <w:hyperlink r:id="rId1" w:history="1">
        <w:r>
          <w:rPr>
            <w:rStyle w:val="Hyperlink"/>
            <w:rFonts w:ascii="Segoe UI" w:eastAsia="Segoe UI" w:hAnsi="Segoe UI" w:cs="Segoe UI"/>
            <w:color w:val="0000EE"/>
            <w:sz w:val="18"/>
            <w:szCs w:val="18"/>
          </w:rPr>
          <w:t>https://www.basnews.com/en/babat/858979,</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76881"/>
    <w:multiLevelType w:val="multilevel"/>
    <w:tmpl w:val="F8E0310C"/>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F3726F4"/>
    <w:multiLevelType w:val="multilevel"/>
    <w:tmpl w:val="471ED5C8"/>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534AFF"/>
    <w:rsid w:val="00534AFF"/>
    <w:rsid w:val="00985B55"/>
    <w:rsid w:val="009A5EB6"/>
    <w:rsid w:val="00D16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DAB64"/>
  <w15:docId w15:val="{5BAC567C-1B94-4759-8DB0-1A4CF7F6A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Yu Mincho" w:hAnsi="Calibri" w:cs="Arial"/>
        <w:lang w:val="en-US" w:eastAsia="en-US" w:bidi="ar-SA"/>
      </w:rPr>
    </w:rPrDefault>
    <w:pPrDefault>
      <w:pPr>
        <w:autoSpaceDN w:val="0"/>
        <w:spacing w:after="120" w:line="26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20" w:after="0" w:line="240" w:lineRule="auto"/>
      <w:outlineLvl w:val="0"/>
    </w:pPr>
    <w:rPr>
      <w:rFonts w:ascii="Calibri Light" w:eastAsia="Yu Gothic Light" w:hAnsi="Calibri Light" w:cs="Times New Roman"/>
      <w:color w:val="2E74B5"/>
      <w:sz w:val="32"/>
      <w:szCs w:val="32"/>
    </w:rPr>
  </w:style>
  <w:style w:type="paragraph" w:styleId="Heading2">
    <w:name w:val="heading 2"/>
    <w:basedOn w:val="Normal"/>
    <w:next w:val="Normal"/>
    <w:uiPriority w:val="9"/>
    <w:unhideWhenUsed/>
    <w:qFormat/>
    <w:pPr>
      <w:keepNext/>
      <w:keepLines/>
      <w:spacing w:before="80" w:after="0" w:line="240" w:lineRule="auto"/>
      <w:outlineLvl w:val="1"/>
    </w:pPr>
    <w:rPr>
      <w:rFonts w:ascii="Calibri Light" w:eastAsia="Yu Gothic Light" w:hAnsi="Calibri Light" w:cs="Times New Roman"/>
      <w:color w:val="404040"/>
      <w:sz w:val="28"/>
      <w:szCs w:val="28"/>
    </w:rPr>
  </w:style>
  <w:style w:type="paragraph" w:styleId="Heading3">
    <w:name w:val="heading 3"/>
    <w:basedOn w:val="Normal"/>
    <w:next w:val="Normal"/>
    <w:uiPriority w:val="9"/>
    <w:unhideWhenUsed/>
    <w:qFormat/>
    <w:pPr>
      <w:keepNext/>
      <w:keepLines/>
      <w:spacing w:before="40" w:after="0" w:line="240" w:lineRule="auto"/>
      <w:outlineLvl w:val="2"/>
    </w:pPr>
    <w:rPr>
      <w:rFonts w:ascii="Calibri Light" w:eastAsia="Yu Gothic Light" w:hAnsi="Calibri Light" w:cs="Times New Roman"/>
      <w:color w:val="44546A"/>
      <w:sz w:val="24"/>
      <w:szCs w:val="24"/>
    </w:rPr>
  </w:style>
  <w:style w:type="paragraph" w:styleId="Heading4">
    <w:name w:val="heading 4"/>
    <w:basedOn w:val="Normal"/>
    <w:next w:val="Normal"/>
    <w:uiPriority w:val="9"/>
    <w:unhideWhenUsed/>
    <w:qFormat/>
    <w:pPr>
      <w:keepNext/>
      <w:keepLines/>
      <w:spacing w:before="40" w:after="0"/>
      <w:outlineLvl w:val="3"/>
    </w:pPr>
    <w:rPr>
      <w:rFonts w:ascii="Calibri Light" w:eastAsia="Yu Gothic Light" w:hAnsi="Calibri Light" w:cs="Times New Roman"/>
      <w:sz w:val="22"/>
      <w:szCs w:val="22"/>
    </w:rPr>
  </w:style>
  <w:style w:type="paragraph" w:styleId="Heading5">
    <w:name w:val="heading 5"/>
    <w:basedOn w:val="Normal"/>
    <w:next w:val="Normal"/>
    <w:uiPriority w:val="9"/>
    <w:semiHidden/>
    <w:unhideWhenUsed/>
    <w:qFormat/>
    <w:pPr>
      <w:keepNext/>
      <w:keepLines/>
      <w:spacing w:before="40" w:after="0"/>
      <w:outlineLvl w:val="4"/>
    </w:pPr>
    <w:rPr>
      <w:rFonts w:ascii="Calibri Light" w:eastAsia="Yu Gothic Light" w:hAnsi="Calibri Light" w:cs="Times New Roman"/>
      <w:color w:val="44546A"/>
      <w:sz w:val="22"/>
      <w:szCs w:val="22"/>
    </w:rPr>
  </w:style>
  <w:style w:type="paragraph" w:styleId="Heading6">
    <w:name w:val="heading 6"/>
    <w:basedOn w:val="Normal"/>
    <w:next w:val="Normal"/>
    <w:uiPriority w:val="9"/>
    <w:semiHidden/>
    <w:unhideWhenUsed/>
    <w:qFormat/>
    <w:pPr>
      <w:keepNext/>
      <w:keepLines/>
      <w:spacing w:before="40" w:after="0"/>
      <w:outlineLvl w:val="5"/>
    </w:pPr>
    <w:rPr>
      <w:rFonts w:ascii="Calibri Light" w:eastAsia="Yu Gothic Light" w:hAnsi="Calibri Light" w:cs="Times New Roman"/>
      <w:i/>
      <w:iCs/>
      <w:color w:val="44546A"/>
      <w:sz w:val="21"/>
      <w:szCs w:val="21"/>
    </w:rPr>
  </w:style>
  <w:style w:type="paragraph" w:styleId="Heading7">
    <w:name w:val="heading 7"/>
    <w:basedOn w:val="Normal"/>
    <w:next w:val="Normal"/>
    <w:pPr>
      <w:keepNext/>
      <w:keepLines/>
      <w:spacing w:before="40" w:after="0"/>
      <w:outlineLvl w:val="6"/>
    </w:pPr>
    <w:rPr>
      <w:rFonts w:ascii="Calibri Light" w:eastAsia="Yu Gothic Light" w:hAnsi="Calibri Light" w:cs="Times New Roman"/>
      <w:i/>
      <w:iCs/>
      <w:color w:val="1F4E79"/>
      <w:sz w:val="21"/>
      <w:szCs w:val="21"/>
    </w:rPr>
  </w:style>
  <w:style w:type="paragraph" w:styleId="Heading8">
    <w:name w:val="heading 8"/>
    <w:basedOn w:val="Normal"/>
    <w:next w:val="Normal"/>
    <w:pPr>
      <w:keepNext/>
      <w:keepLines/>
      <w:spacing w:before="40" w:after="0"/>
      <w:outlineLvl w:val="7"/>
    </w:pPr>
    <w:rPr>
      <w:rFonts w:ascii="Calibri Light" w:eastAsia="Yu Gothic Light" w:hAnsi="Calibri Light" w:cs="Times New Roman"/>
      <w:b/>
      <w:bCs/>
      <w:color w:val="44546A"/>
    </w:rPr>
  </w:style>
  <w:style w:type="paragraph" w:styleId="Heading9">
    <w:name w:val="heading 9"/>
    <w:basedOn w:val="Normal"/>
    <w:next w:val="Normal"/>
    <w:pPr>
      <w:keepNext/>
      <w:keepLines/>
      <w:spacing w:before="40" w:after="0"/>
      <w:outlineLvl w:val="8"/>
    </w:pPr>
    <w:rPr>
      <w:rFonts w:ascii="Calibri Light" w:eastAsia="Yu Gothic Light" w:hAnsi="Calibri Light" w:cs="Times New Roman"/>
      <w:b/>
      <w:bCs/>
      <w:i/>
      <w:iCs/>
      <w:color w:val="44546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Calibri Light" w:eastAsia="Yu Gothic Light" w:hAnsi="Calibri Light" w:cs="Times New Roman"/>
      <w:color w:val="404040"/>
      <w:sz w:val="28"/>
      <w:szCs w:val="28"/>
    </w:rPr>
  </w:style>
  <w:style w:type="character" w:customStyle="1" w:styleId="Heading3Char">
    <w:name w:val="Heading 3 Char"/>
    <w:basedOn w:val="DefaultParagraphFont"/>
    <w:rPr>
      <w:rFonts w:ascii="Calibri Light" w:eastAsia="Yu Gothic Light" w:hAnsi="Calibri Light" w:cs="Times New Roman"/>
      <w:color w:val="44546A"/>
      <w:sz w:val="24"/>
      <w:szCs w:val="24"/>
    </w:rPr>
  </w:style>
  <w:style w:type="character" w:customStyle="1" w:styleId="Heading4Char">
    <w:name w:val="Heading 4 Char"/>
    <w:basedOn w:val="DefaultParagraphFont"/>
    <w:rPr>
      <w:rFonts w:ascii="Calibri Light" w:eastAsia="Yu Gothic Light" w:hAnsi="Calibri Light" w:cs="Times New Roman"/>
      <w:sz w:val="22"/>
      <w:szCs w:val="22"/>
    </w:rPr>
  </w:style>
  <w:style w:type="character" w:styleId="Hyperlink">
    <w:name w:val="Hyperlink"/>
    <w:basedOn w:val="DefaultParagraphFont"/>
    <w:rPr>
      <w:color w:val="0000FF"/>
      <w:u w:val="single"/>
    </w:rPr>
  </w:style>
  <w:style w:type="paragraph" w:styleId="ListParagraph">
    <w:name w:val="List Paragraph"/>
    <w:basedOn w:val="Normal"/>
    <w:pPr>
      <w:ind w:left="720"/>
    </w:pPr>
  </w:style>
  <w:style w:type="paragraph" w:styleId="FootnoteText">
    <w:name w:val="footnote text"/>
    <w:basedOn w:val="Normal"/>
    <w:pPr>
      <w:spacing w:after="0" w:line="240" w:lineRule="auto"/>
    </w:pPr>
    <w:rPr>
      <w:kern w:val="3"/>
      <w:lang w:val="de-DE"/>
    </w:rPr>
  </w:style>
  <w:style w:type="character" w:customStyle="1" w:styleId="FootnoteTextChar">
    <w:name w:val="Footnote Text Char"/>
    <w:basedOn w:val="DefaultParagraphFont"/>
    <w:rPr>
      <w:kern w:val="3"/>
      <w:sz w:val="20"/>
      <w:szCs w:val="20"/>
      <w:lang w:val="de-DE"/>
    </w:rPr>
  </w:style>
  <w:style w:type="character" w:styleId="FootnoteReference">
    <w:name w:val="footnote reference"/>
    <w:basedOn w:val="DefaultParagraphFont"/>
    <w:rPr>
      <w:position w:val="0"/>
      <w:vertAlign w:val="superscript"/>
    </w:rPr>
  </w:style>
  <w:style w:type="paragraph" w:customStyle="1" w:styleId="paragraph">
    <w:name w:val="paragraph"/>
    <w:basedOn w:val="Normal"/>
    <w:pPr>
      <w:spacing w:before="100" w:after="100"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style>
  <w:style w:type="paragraph" w:styleId="NormalWeb">
    <w:name w:val="Normal (Web)"/>
    <w:basedOn w:val="Normal"/>
    <w:pPr>
      <w:spacing w:before="100" w:after="100"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rPr>
      <w:rFonts w:ascii="Calibri Light" w:eastAsia="Yu Gothic Light" w:hAnsi="Calibri Light" w:cs="Times New Roman"/>
      <w:color w:val="2E74B5"/>
      <w:sz w:val="32"/>
      <w:szCs w:val="32"/>
    </w:rPr>
  </w:style>
  <w:style w:type="paragraph" w:styleId="TOCHeading">
    <w:name w:val="TOC Heading"/>
    <w:basedOn w:val="Heading1"/>
    <w:next w:val="Normal"/>
  </w:style>
  <w:style w:type="paragraph" w:styleId="TOC2">
    <w:name w:val="toc 2"/>
    <w:basedOn w:val="Normal"/>
    <w:next w:val="Normal"/>
    <w:autoRedefine/>
    <w:pPr>
      <w:spacing w:after="100" w:line="276" w:lineRule="auto"/>
      <w:ind w:left="240"/>
    </w:pPr>
    <w:rPr>
      <w:kern w:val="3"/>
      <w:sz w:val="24"/>
      <w:szCs w:val="24"/>
      <w:lang w:val="de-DE"/>
    </w:rPr>
  </w:style>
  <w:style w:type="paragraph" w:styleId="TOC3">
    <w:name w:val="toc 3"/>
    <w:basedOn w:val="Normal"/>
    <w:next w:val="Normal"/>
    <w:autoRedefine/>
    <w:pPr>
      <w:tabs>
        <w:tab w:val="right" w:leader="dot" w:pos="9062"/>
      </w:tabs>
      <w:spacing w:after="100" w:line="276" w:lineRule="auto"/>
      <w:ind w:left="142"/>
    </w:pPr>
    <w:rPr>
      <w:kern w:val="3"/>
      <w:sz w:val="24"/>
      <w:szCs w:val="24"/>
      <w:lang w:val="de-DE"/>
    </w:rPr>
  </w:style>
  <w:style w:type="character" w:styleId="Strong">
    <w:name w:val="Strong"/>
    <w:basedOn w:val="DefaultParagraphFont"/>
    <w:rPr>
      <w:b/>
      <w:bCs/>
    </w:rPr>
  </w:style>
  <w:style w:type="character" w:customStyle="1" w:styleId="Heading5Char">
    <w:name w:val="Heading 5 Char"/>
    <w:basedOn w:val="DefaultParagraphFont"/>
    <w:rPr>
      <w:rFonts w:ascii="Calibri Light" w:eastAsia="Yu Gothic Light" w:hAnsi="Calibri Light" w:cs="Times New Roman"/>
      <w:color w:val="44546A"/>
      <w:sz w:val="22"/>
      <w:szCs w:val="22"/>
    </w:rPr>
  </w:style>
  <w:style w:type="character" w:customStyle="1" w:styleId="Heading6Char">
    <w:name w:val="Heading 6 Char"/>
    <w:basedOn w:val="DefaultParagraphFont"/>
    <w:rPr>
      <w:rFonts w:ascii="Calibri Light" w:eastAsia="Yu Gothic Light" w:hAnsi="Calibri Light" w:cs="Times New Roman"/>
      <w:i/>
      <w:iCs/>
      <w:color w:val="44546A"/>
      <w:sz w:val="21"/>
      <w:szCs w:val="21"/>
    </w:rPr>
  </w:style>
  <w:style w:type="character" w:customStyle="1" w:styleId="Heading7Char">
    <w:name w:val="Heading 7 Char"/>
    <w:basedOn w:val="DefaultParagraphFont"/>
    <w:rPr>
      <w:rFonts w:ascii="Calibri Light" w:eastAsia="Yu Gothic Light" w:hAnsi="Calibri Light" w:cs="Times New Roman"/>
      <w:i/>
      <w:iCs/>
      <w:color w:val="1F4E79"/>
      <w:sz w:val="21"/>
      <w:szCs w:val="21"/>
    </w:rPr>
  </w:style>
  <w:style w:type="character" w:customStyle="1" w:styleId="Heading8Char">
    <w:name w:val="Heading 8 Char"/>
    <w:basedOn w:val="DefaultParagraphFont"/>
    <w:rPr>
      <w:rFonts w:ascii="Calibri Light" w:eastAsia="Yu Gothic Light" w:hAnsi="Calibri Light" w:cs="Times New Roman"/>
      <w:b/>
      <w:bCs/>
      <w:color w:val="44546A"/>
    </w:rPr>
  </w:style>
  <w:style w:type="character" w:customStyle="1" w:styleId="Heading9Char">
    <w:name w:val="Heading 9 Char"/>
    <w:basedOn w:val="DefaultParagraphFont"/>
    <w:rPr>
      <w:rFonts w:ascii="Calibri Light" w:eastAsia="Yu Gothic Light" w:hAnsi="Calibri Light" w:cs="Times New Roman"/>
      <w:b/>
      <w:bCs/>
      <w:i/>
      <w:iCs/>
      <w:color w:val="44546A"/>
    </w:rPr>
  </w:style>
  <w:style w:type="paragraph" w:styleId="Caption">
    <w:name w:val="caption"/>
    <w:basedOn w:val="Normal"/>
    <w:next w:val="Normal"/>
    <w:pPr>
      <w:spacing w:line="240" w:lineRule="auto"/>
    </w:pPr>
    <w:rPr>
      <w:b/>
      <w:bCs/>
      <w:smallCaps/>
      <w:color w:val="595959"/>
      <w:spacing w:val="6"/>
    </w:rPr>
  </w:style>
  <w:style w:type="paragraph" w:styleId="Title">
    <w:name w:val="Title"/>
    <w:basedOn w:val="Normal"/>
    <w:next w:val="Normal"/>
    <w:uiPriority w:val="10"/>
    <w:qFormat/>
    <w:pPr>
      <w:spacing w:after="0" w:line="240" w:lineRule="auto"/>
    </w:pPr>
    <w:rPr>
      <w:rFonts w:ascii="Calibri Light" w:eastAsia="Yu Gothic Light" w:hAnsi="Calibri Light" w:cs="Times New Roman"/>
      <w:color w:val="5B9BD5"/>
      <w:spacing w:val="-10"/>
      <w:sz w:val="56"/>
      <w:szCs w:val="56"/>
    </w:rPr>
  </w:style>
  <w:style w:type="character" w:customStyle="1" w:styleId="TitleChar">
    <w:name w:val="Title Char"/>
    <w:basedOn w:val="DefaultParagraphFont"/>
    <w:rPr>
      <w:rFonts w:ascii="Calibri Light" w:eastAsia="Yu Gothic Light" w:hAnsi="Calibri Light" w:cs="Times New Roman"/>
      <w:color w:val="5B9BD5"/>
      <w:spacing w:val="-10"/>
      <w:sz w:val="56"/>
      <w:szCs w:val="56"/>
    </w:rPr>
  </w:style>
  <w:style w:type="paragraph" w:styleId="Subtitle">
    <w:name w:val="Subtitle"/>
    <w:basedOn w:val="Normal"/>
    <w:next w:val="Normal"/>
    <w:uiPriority w:val="11"/>
    <w:qFormat/>
    <w:pPr>
      <w:spacing w:line="240" w:lineRule="auto"/>
    </w:pPr>
    <w:rPr>
      <w:rFonts w:ascii="Calibri Light" w:eastAsia="Yu Gothic Light" w:hAnsi="Calibri Light" w:cs="Times New Roman"/>
      <w:sz w:val="24"/>
      <w:szCs w:val="24"/>
    </w:rPr>
  </w:style>
  <w:style w:type="character" w:customStyle="1" w:styleId="SubtitleChar">
    <w:name w:val="Subtitle Char"/>
    <w:basedOn w:val="DefaultParagraphFont"/>
    <w:rPr>
      <w:rFonts w:ascii="Calibri Light" w:eastAsia="Yu Gothic Light" w:hAnsi="Calibri Light" w:cs="Times New Roman"/>
      <w:sz w:val="24"/>
      <w:szCs w:val="24"/>
    </w:rPr>
  </w:style>
  <w:style w:type="character" w:styleId="Emphasis">
    <w:name w:val="Emphasis"/>
    <w:basedOn w:val="DefaultParagraphFont"/>
    <w:rPr>
      <w:i/>
      <w:iCs/>
    </w:rPr>
  </w:style>
  <w:style w:type="paragraph" w:styleId="NoSpacing">
    <w:name w:val="No Spacing"/>
    <w:pPr>
      <w:suppressAutoHyphens/>
      <w:spacing w:after="0" w:line="240" w:lineRule="auto"/>
    </w:pPr>
  </w:style>
  <w:style w:type="paragraph" w:styleId="Quote">
    <w:name w:val="Quote"/>
    <w:basedOn w:val="Normal"/>
    <w:next w:val="Normal"/>
    <w:pPr>
      <w:spacing w:before="160"/>
      <w:ind w:left="720" w:right="720"/>
    </w:pPr>
    <w:rPr>
      <w:i/>
      <w:iCs/>
      <w:color w:val="404040"/>
    </w:rPr>
  </w:style>
  <w:style w:type="character" w:customStyle="1" w:styleId="QuoteChar">
    <w:name w:val="Quote Char"/>
    <w:basedOn w:val="DefaultParagraphFont"/>
    <w:rPr>
      <w:i/>
      <w:iCs/>
      <w:color w:val="404040"/>
    </w:rPr>
  </w:style>
  <w:style w:type="paragraph" w:styleId="IntenseQuote">
    <w:name w:val="Intense Quote"/>
    <w:basedOn w:val="Normal"/>
    <w:next w:val="Normal"/>
    <w:pPr>
      <w:pBdr>
        <w:left w:val="single" w:sz="18" w:space="12" w:color="5B9BD5"/>
      </w:pBdr>
      <w:spacing w:before="100" w:line="300" w:lineRule="auto"/>
      <w:ind w:left="1224" w:right="1224"/>
    </w:pPr>
    <w:rPr>
      <w:rFonts w:ascii="Calibri Light" w:eastAsia="Yu Gothic Light" w:hAnsi="Calibri Light" w:cs="Times New Roman"/>
      <w:color w:val="5B9BD5"/>
      <w:sz w:val="28"/>
      <w:szCs w:val="28"/>
    </w:rPr>
  </w:style>
  <w:style w:type="character" w:customStyle="1" w:styleId="IntenseQuoteChar">
    <w:name w:val="Intense Quote Char"/>
    <w:basedOn w:val="DefaultParagraphFont"/>
    <w:rPr>
      <w:rFonts w:ascii="Calibri Light" w:eastAsia="Yu Gothic Light" w:hAnsi="Calibri Light" w:cs="Times New Roman"/>
      <w:color w:val="5B9BD5"/>
      <w:sz w:val="28"/>
      <w:szCs w:val="28"/>
    </w:rPr>
  </w:style>
  <w:style w:type="character" w:styleId="SubtleEmphasis">
    <w:name w:val="Subtle Emphasis"/>
    <w:basedOn w:val="DefaultParagraphFont"/>
    <w:rPr>
      <w:i/>
      <w:iCs/>
      <w:color w:val="404040"/>
    </w:rPr>
  </w:style>
  <w:style w:type="character" w:styleId="IntenseEmphasis">
    <w:name w:val="Intense Emphasis"/>
    <w:basedOn w:val="DefaultParagraphFont"/>
    <w:rPr>
      <w:b/>
      <w:bCs/>
      <w:i/>
      <w:iCs/>
    </w:rPr>
  </w:style>
  <w:style w:type="character" w:styleId="SubtleReference">
    <w:name w:val="Subtle Reference"/>
    <w:basedOn w:val="DefaultParagraphFont"/>
    <w:rPr>
      <w:smallCaps/>
      <w:color w:val="404040"/>
      <w:u w:val="single" w:color="7F7F7F"/>
    </w:rPr>
  </w:style>
  <w:style w:type="character" w:styleId="IntenseReference">
    <w:name w:val="Intense Reference"/>
    <w:basedOn w:val="DefaultParagraphFont"/>
    <w:rPr>
      <w:b/>
      <w:bCs/>
      <w:smallCaps/>
      <w:spacing w:val="5"/>
      <w:u w:val="single"/>
    </w:rPr>
  </w:style>
  <w:style w:type="character" w:styleId="BookTitle">
    <w:name w:val="Book Title"/>
    <w:basedOn w:val="DefaultParagraphFont"/>
    <w:rPr>
      <w:b/>
      <w:bCs/>
      <w:smallCaps/>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collins.onyango@lutheranworld.org" TargetMode="External"/><Relationship Id="rId18" Type="http://schemas.openxmlformats.org/officeDocument/2006/relationships/hyperlink" Target="#_Toc172014344" TargetMode="External"/><Relationship Id="rId26" Type="http://schemas.openxmlformats.org/officeDocument/2006/relationships/hyperlink" Target="#_Toc172014352" TargetMode="External"/><Relationship Id="rId3" Type="http://schemas.openxmlformats.org/officeDocument/2006/relationships/settings" Target="settings.xml"/><Relationship Id="rId21" Type="http://schemas.openxmlformats.org/officeDocument/2006/relationships/hyperlink" Target="#_Toc172014347" TargetMode="External"/><Relationship Id="rId7" Type="http://schemas.openxmlformats.org/officeDocument/2006/relationships/image" Target="media/image1.png"/><Relationship Id="rId12" Type="http://schemas.openxmlformats.org/officeDocument/2006/relationships/hyperlink" Target="mailto:sikhonzile.Ndlovu@lutheranworld,org" TargetMode="External"/><Relationship Id="rId17" Type="http://schemas.openxmlformats.org/officeDocument/2006/relationships/hyperlink" Target="#_Toc172014343" TargetMode="External"/><Relationship Id="rId25" Type="http://schemas.openxmlformats.org/officeDocument/2006/relationships/hyperlink" Target="#_Toc172014351" TargetMode="External"/><Relationship Id="rId2" Type="http://schemas.openxmlformats.org/officeDocument/2006/relationships/styles" Target="styles.xml"/><Relationship Id="rId16" Type="http://schemas.openxmlformats.org/officeDocument/2006/relationships/hyperlink" Target="#_Toc172014342" TargetMode="External"/><Relationship Id="rId20" Type="http://schemas.openxmlformats.org/officeDocument/2006/relationships/hyperlink" Target="#_Toc172014346" TargetMode="External"/><Relationship Id="rId29" Type="http://schemas.openxmlformats.org/officeDocument/2006/relationships/hyperlink" Target="#_Toc17201435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lutheranworld.org" TargetMode="External"/><Relationship Id="rId24" Type="http://schemas.openxmlformats.org/officeDocument/2006/relationships/hyperlink" Target="#_Toc17201435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_Toc172014341" TargetMode="External"/><Relationship Id="rId23" Type="http://schemas.openxmlformats.org/officeDocument/2006/relationships/hyperlink" Target="#_Toc172014349" TargetMode="External"/><Relationship Id="rId28" Type="http://schemas.openxmlformats.org/officeDocument/2006/relationships/hyperlink" Target="#_Toc172014354" TargetMode="External"/><Relationship Id="rId10" Type="http://schemas.openxmlformats.org/officeDocument/2006/relationships/image" Target="media/image4.png"/><Relationship Id="rId19" Type="http://schemas.openxmlformats.org/officeDocument/2006/relationships/hyperlink" Target="#_Toc172014345"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Helan.muhammed@lutheranworld.org" TargetMode="External"/><Relationship Id="rId22" Type="http://schemas.openxmlformats.org/officeDocument/2006/relationships/hyperlink" Target="#_Toc172014348" TargetMode="External"/><Relationship Id="rId27" Type="http://schemas.openxmlformats.org/officeDocument/2006/relationships/hyperlink" Target="#_Toc172014353" TargetMode="External"/><Relationship Id="rId30" Type="http://schemas.openxmlformats.org/officeDocument/2006/relationships/hyperlink" Target="#_Toc17201435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basnews.com/en/babat/8589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6375</Words>
  <Characters>36339</Characters>
  <Application>Microsoft Office Word</Application>
  <DocSecurity>0</DocSecurity>
  <Lines>302</Lines>
  <Paragraphs>85</Paragraphs>
  <ScaleCrop>false</ScaleCrop>
  <Company>World Council of Churches</Company>
  <LinksUpToDate>false</LinksUpToDate>
  <CharactersWithSpaces>42629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Helan LWF</dc:creator>
  <dc:description/>
  <cp:lastModifiedBy>Sikhonzile Ndlovu</cp:lastModifiedBy>
  <cp:revision>2</cp:revision>
  <dcterms:created xsi:type="dcterms:W3CDTF">2026-01-05T14:17:00Z</dcterms:created>
  <dcterms:modified xsi:type="dcterms:W3CDTF">2026-01-05T14:17:00Z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0x010100F0E7E9EA16D0C540A6C9A016A34EE2F5</vt:lpwstr>
  </property>
  <property fmtid="{D5CDD505-2E9C-101B-9397-08002B2CF9AE}" pid="3" name="MediaServiceImageTags">
    <vt:lpwstr/>
  </property>
</Properties>
</file>