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920FB" w14:textId="293A70AA" w:rsidR="001620FA" w:rsidRDefault="001620FA" w:rsidP="001620FA">
      <w:pPr>
        <w:spacing w:after="280"/>
        <w:ind w:left="3330"/>
        <w:jc w:val="both"/>
        <w:rPr>
          <w:b/>
          <w:bCs/>
        </w:rPr>
      </w:pPr>
      <w:r>
        <w:rPr>
          <w:b/>
          <w:bCs/>
          <w:noProof/>
        </w:rPr>
        <w:drawing>
          <wp:inline distT="0" distB="0" distL="0" distR="0" wp14:anchorId="33AE1E46" wp14:editId="5DCCC96E">
            <wp:extent cx="1707502" cy="616241"/>
            <wp:effectExtent l="0" t="0" r="0" b="6350"/>
            <wp:docPr id="1936683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83233" name="Picture 193668323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6309" cy="641074"/>
                    </a:xfrm>
                    <a:prstGeom prst="rect">
                      <a:avLst/>
                    </a:prstGeom>
                  </pic:spPr>
                </pic:pic>
              </a:graphicData>
            </a:graphic>
          </wp:inline>
        </w:drawing>
      </w:r>
    </w:p>
    <w:p w14:paraId="00000001" w14:textId="5887F99B" w:rsidR="00F54A1B" w:rsidRDefault="00000000">
      <w:pPr>
        <w:spacing w:after="280"/>
        <w:jc w:val="both"/>
        <w:rPr>
          <w:b/>
          <w:bCs/>
        </w:rPr>
      </w:pPr>
      <w:r>
        <w:rPr>
          <w:b/>
          <w:bCs/>
        </w:rPr>
        <w:t>Shadow Report on India’s Compliance with the International Convention on the Elimination of All Forms of Racial Discrimination (CERD)</w:t>
      </w:r>
    </w:p>
    <w:p w14:paraId="00000002" w14:textId="77777777" w:rsidR="00F54A1B" w:rsidRDefault="00000000">
      <w:pPr>
        <w:spacing w:after="280"/>
        <w:jc w:val="both"/>
      </w:pPr>
      <w:r>
        <w:t xml:space="preserve">Submitted by: </w:t>
      </w:r>
    </w:p>
    <w:p w14:paraId="00000003" w14:textId="77777777" w:rsidR="00F54A1B" w:rsidRDefault="00000000">
      <w:pPr>
        <w:jc w:val="both"/>
        <w:rPr>
          <w:b/>
          <w:bCs/>
        </w:rPr>
      </w:pPr>
      <w:r>
        <w:rPr>
          <w:b/>
          <w:bCs/>
        </w:rPr>
        <w:t xml:space="preserve">ILAW (International Lawyers Assisting Workers) </w:t>
      </w:r>
    </w:p>
    <w:p w14:paraId="00000004" w14:textId="77777777" w:rsidR="00F54A1B" w:rsidRDefault="00000000">
      <w:pPr>
        <w:jc w:val="both"/>
        <w:rPr>
          <w:b/>
          <w:bCs/>
          <w:highlight w:val="yellow"/>
        </w:rPr>
      </w:pPr>
      <w:r>
        <w:rPr>
          <w:b/>
          <w:bCs/>
          <w:color w:val="222222"/>
          <w:highlight w:val="white"/>
        </w:rPr>
        <w:t>SEWA National Trade Committee</w:t>
      </w:r>
    </w:p>
    <w:p w14:paraId="00000005" w14:textId="77777777" w:rsidR="00F54A1B" w:rsidRDefault="00F54A1B">
      <w:pPr>
        <w:jc w:val="both"/>
      </w:pPr>
    </w:p>
    <w:p w14:paraId="00000006" w14:textId="77777777" w:rsidR="00F54A1B" w:rsidRDefault="00000000">
      <w:pPr>
        <w:jc w:val="both"/>
      </w:pPr>
      <w:r>
        <w:rPr>
          <w:b/>
          <w:bCs/>
        </w:rPr>
        <w:t xml:space="preserve">Due Date: </w:t>
      </w:r>
      <w:r>
        <w:t>20th July 2026</w:t>
      </w:r>
    </w:p>
    <w:p w14:paraId="00000007" w14:textId="77777777" w:rsidR="00F54A1B" w:rsidRDefault="00000000">
      <w:pPr>
        <w:spacing w:before="280" w:after="280"/>
        <w:jc w:val="both"/>
      </w:pPr>
      <w:r>
        <w:rPr>
          <w:b/>
          <w:bCs/>
        </w:rPr>
        <w:t>I. Introduction</w:t>
      </w:r>
    </w:p>
    <w:p w14:paraId="00000008" w14:textId="77777777" w:rsidR="00F54A1B" w:rsidRDefault="00000000">
      <w:pPr>
        <w:jc w:val="both"/>
      </w:pPr>
      <w:r>
        <w:t xml:space="preserve">Discrimination on the intersectional grounds of race, caste and gender in the world of work remain deeply ingrained in Indian society. It is also embedded in its legal system in the form of exclusion of domestic workers from critical </w:t>
      </w:r>
      <w:proofErr w:type="spellStart"/>
      <w:r>
        <w:t>labour</w:t>
      </w:r>
      <w:proofErr w:type="spellEnd"/>
      <w:r>
        <w:t xml:space="preserve"> and related protections. </w:t>
      </w:r>
    </w:p>
    <w:p w14:paraId="00000009" w14:textId="77777777" w:rsidR="00F54A1B" w:rsidRDefault="00F54A1B">
      <w:pPr>
        <w:jc w:val="both"/>
      </w:pPr>
    </w:p>
    <w:p w14:paraId="0000000A" w14:textId="3D7F7588" w:rsidR="00F54A1B" w:rsidRDefault="00000000">
      <w:pPr>
        <w:jc w:val="both"/>
      </w:pPr>
      <w:r>
        <w:t xml:space="preserve">Since India is a </w:t>
      </w:r>
      <w:r w:rsidR="001620FA">
        <w:t>quasi-federal</w:t>
      </w:r>
      <w:r>
        <w:t xml:space="preserve"> state, both the central government and India’s 28 states have the authority to legislate  shared subjects, one of which is </w:t>
      </w:r>
      <w:proofErr w:type="spellStart"/>
      <w:r>
        <w:t>labour</w:t>
      </w:r>
      <w:proofErr w:type="spellEnd"/>
      <w:r>
        <w:t>.</w:t>
      </w:r>
      <w:r>
        <w:rPr>
          <w:vertAlign w:val="superscript"/>
        </w:rPr>
        <w:footnoteReference w:id="1"/>
      </w:r>
      <w:r>
        <w:t xml:space="preserve"> However, currently India has no central </w:t>
      </w:r>
      <w:proofErr w:type="spellStart"/>
      <w:r>
        <w:t>labour</w:t>
      </w:r>
      <w:proofErr w:type="spellEnd"/>
      <w:r>
        <w:t xml:space="preserve"> legislation that extends protections related to working conditions to domestic workers.</w:t>
      </w:r>
      <w:r>
        <w:rPr>
          <w:vertAlign w:val="superscript"/>
        </w:rPr>
        <w:footnoteReference w:id="2"/>
      </w:r>
      <w:r>
        <w:t xml:space="preserve">  While some states in India previously extended limited piecemeal </w:t>
      </w:r>
      <w:proofErr w:type="spellStart"/>
      <w:r>
        <w:t>labour</w:t>
      </w:r>
      <w:proofErr w:type="spellEnd"/>
      <w:r>
        <w:t xml:space="preserve"> protections to domestic workers, most commonly in the form of minimum wage protections and access to a welfare board, the passage in December 2025 of the 4 </w:t>
      </w:r>
      <w:proofErr w:type="spellStart"/>
      <w:r>
        <w:t>Labour</w:t>
      </w:r>
      <w:proofErr w:type="spellEnd"/>
      <w:r>
        <w:t xml:space="preserve"> Codes replaced the entire edifice of India’s </w:t>
      </w:r>
      <w:proofErr w:type="spellStart"/>
      <w:r>
        <w:t>labour</w:t>
      </w:r>
      <w:proofErr w:type="spellEnd"/>
      <w:r>
        <w:t xml:space="preserve"> architecture (that had covered both formal and informal workers), and currently even the limited protections that had covered domestic workers, have now been removed. </w:t>
      </w:r>
      <w:r>
        <w:rPr>
          <w:vertAlign w:val="superscript"/>
        </w:rPr>
        <w:footnoteReference w:id="3"/>
      </w:r>
    </w:p>
    <w:p w14:paraId="0000000B" w14:textId="77777777" w:rsidR="00F54A1B" w:rsidRDefault="00F54A1B">
      <w:pPr>
        <w:jc w:val="both"/>
      </w:pPr>
    </w:p>
    <w:p w14:paraId="0000000C" w14:textId="77777777" w:rsidR="00F54A1B" w:rsidRDefault="00000000">
      <w:pPr>
        <w:spacing w:after="160" w:line="254" w:lineRule="auto"/>
        <w:jc w:val="both"/>
        <w:rPr>
          <w:sz w:val="20"/>
          <w:szCs w:val="20"/>
        </w:rPr>
      </w:pPr>
      <w:r>
        <w:t xml:space="preserve">This submission highlights key </w:t>
      </w:r>
      <w:proofErr w:type="spellStart"/>
      <w:r>
        <w:t>labour</w:t>
      </w:r>
      <w:proofErr w:type="spellEnd"/>
      <w:r>
        <w:t xml:space="preserve"> and related regulatory deficits, which enable discrimination, exploitation and untouchability with respect to domestic workers in India, and conflict with India’s CERD obligations. </w:t>
      </w:r>
    </w:p>
    <w:p w14:paraId="0000000D" w14:textId="77777777" w:rsidR="00F54A1B" w:rsidRDefault="00000000">
      <w:pPr>
        <w:jc w:val="both"/>
        <w:rPr>
          <w:b/>
          <w:bCs/>
        </w:rPr>
      </w:pPr>
      <w:r>
        <w:rPr>
          <w:b/>
          <w:bCs/>
        </w:rPr>
        <w:t>CERD, Discrimination and Domestic Workers</w:t>
      </w:r>
    </w:p>
    <w:p w14:paraId="0000000E" w14:textId="77777777" w:rsidR="00F54A1B" w:rsidRDefault="00F54A1B">
      <w:pPr>
        <w:jc w:val="both"/>
        <w:rPr>
          <w:b/>
          <w:bCs/>
        </w:rPr>
      </w:pPr>
    </w:p>
    <w:p w14:paraId="0000000F" w14:textId="77777777" w:rsidR="00F54A1B" w:rsidRDefault="00000000">
      <w:pPr>
        <w:jc w:val="both"/>
      </w:pPr>
      <w:r>
        <w:t xml:space="preserve">Both caste and gender are critical to social and economic stratification in India, and play a decisive role in how domestic work is </w:t>
      </w:r>
      <w:proofErr w:type="spellStart"/>
      <w:r>
        <w:t>mediated.This</w:t>
      </w:r>
      <w:proofErr w:type="spellEnd"/>
      <w:r>
        <w:t xml:space="preserve"> is because domestic workers in India are </w:t>
      </w:r>
      <w:r>
        <w:lastRenderedPageBreak/>
        <w:t>predominantly women, largely poor and hail primarily from caste-vulnerable communities.</w:t>
      </w:r>
      <w:r>
        <w:rPr>
          <w:vertAlign w:val="superscript"/>
        </w:rPr>
        <w:footnoteReference w:id="4"/>
      </w:r>
      <w:r>
        <w:t xml:space="preserve">  Indeed, according to NSSO data between 2009-2010, Scheduled Caste and Other Backward Castes together formed more than 60% of domestic workers.</w:t>
      </w:r>
      <w:r>
        <w:rPr>
          <w:vertAlign w:val="superscript"/>
        </w:rPr>
        <w:footnoteReference w:id="5"/>
      </w:r>
      <w:r>
        <w:t xml:space="preserve">  In a more recent survey conducted by </w:t>
      </w:r>
      <w:proofErr w:type="spellStart"/>
      <w:r>
        <w:t>Yuva</w:t>
      </w:r>
      <w:proofErr w:type="spellEnd"/>
      <w:r>
        <w:t xml:space="preserve"> across 15 districts in Maharashtra it was found that of the 4,181 part-time domestic workers surveyed, workers from the SC community constituted 49% of the surveyed workers, and Scheduled Tribe (ST) community about 13% of the sample. </w:t>
      </w:r>
    </w:p>
    <w:p w14:paraId="00000010" w14:textId="77777777" w:rsidR="00F54A1B" w:rsidRDefault="00F54A1B">
      <w:pPr>
        <w:jc w:val="both"/>
      </w:pPr>
    </w:p>
    <w:p w14:paraId="00000011" w14:textId="77777777" w:rsidR="00F54A1B" w:rsidRDefault="00000000">
      <w:pPr>
        <w:jc w:val="both"/>
      </w:pPr>
      <w:r>
        <w:t xml:space="preserve">In her report on domestic servitude presented to the 15th Session of the Human Rights Council (A/HRC/15/20), </w:t>
      </w:r>
      <w:proofErr w:type="spellStart"/>
      <w:r>
        <w:t>Ms</w:t>
      </w:r>
      <w:proofErr w:type="spellEnd"/>
      <w:r>
        <w:t xml:space="preserve"> Gulnara </w:t>
      </w:r>
      <w:proofErr w:type="spellStart"/>
      <w:r>
        <w:t>Shahinia</w:t>
      </w:r>
      <w:proofErr w:type="spellEnd"/>
      <w:r>
        <w:t xml:space="preserve"> emphasized that Dalits and certain indigenous communities make up </w:t>
      </w:r>
      <w:proofErr w:type="gramStart"/>
      <w:r>
        <w:t>the vast majority of</w:t>
      </w:r>
      <w:proofErr w:type="gramEnd"/>
      <w:r>
        <w:t xml:space="preserve"> people in domestic bonded </w:t>
      </w:r>
      <w:proofErr w:type="spellStart"/>
      <w:r>
        <w:t>labour</w:t>
      </w:r>
      <w:proofErr w:type="spellEnd"/>
      <w:r>
        <w:t xml:space="preserve">, a form of domestic servitude. The report explains how imagined distinctions in human worth and dignity, derived from differences in outward appearance or lineage, are the basis for exploitation, and found that patterns of discrimination are often internalized by both perpetrators and victims, who </w:t>
      </w:r>
      <w:proofErr w:type="gramStart"/>
      <w:r>
        <w:t>more or less consciously</w:t>
      </w:r>
      <w:proofErr w:type="gramEnd"/>
      <w:r>
        <w:t xml:space="preserve"> envisage themselves as “masters” or “servants.” The report underlined that domestic servitude is rooted in entrenched patterns of gender discrimination and discrimination </w:t>
      </w:r>
      <w:proofErr w:type="gramStart"/>
      <w:r>
        <w:t>on the basis of</w:t>
      </w:r>
      <w:proofErr w:type="gramEnd"/>
      <w:r>
        <w:t xml:space="preserve"> race, ethnicity and caste, noting that specific types of degrading domestic chores are specifically associated with lower castes and linked to exploitative conditions. The heart of the issue, the report states, is the fact that work in or for the household, whether paid or unpaid, is undervalued.</w:t>
      </w:r>
    </w:p>
    <w:p w14:paraId="00000012" w14:textId="77777777" w:rsidR="00F54A1B" w:rsidRDefault="00F54A1B">
      <w:pPr>
        <w:jc w:val="both"/>
      </w:pPr>
    </w:p>
    <w:p w14:paraId="00000013" w14:textId="77777777" w:rsidR="00F54A1B" w:rsidRDefault="00000000">
      <w:pPr>
        <w:jc w:val="both"/>
      </w:pPr>
      <w:r>
        <w:t xml:space="preserve">This perception that domestic work is a form of servitude emanates directly from the state itself, as </w:t>
      </w:r>
      <w:proofErr w:type="gramStart"/>
      <w:r>
        <w:t>evidenced ,</w:t>
      </w:r>
      <w:proofErr w:type="gramEnd"/>
      <w:r>
        <w:t xml:space="preserve"> by one of the draft minimum wage notifications issued by Bihar in 2007, which referred to domestic workers as “servants”.</w:t>
      </w:r>
      <w:r>
        <w:rPr>
          <w:vertAlign w:val="superscript"/>
        </w:rPr>
        <w:footnoteReference w:id="6"/>
      </w:r>
      <w:r>
        <w:t xml:space="preserve"> While the final notification removed the reference, it is  nevertheless telling that the default language is “servant” and not worker. It is further revealing that the State continues to maintain statistics on “servant criminality” and not employment.</w:t>
      </w:r>
      <w:r>
        <w:rPr>
          <w:vertAlign w:val="superscript"/>
        </w:rPr>
        <w:footnoteReference w:id="7"/>
      </w:r>
      <w:r>
        <w:t xml:space="preserve"> </w:t>
      </w:r>
    </w:p>
    <w:p w14:paraId="00000014" w14:textId="77777777" w:rsidR="00F54A1B" w:rsidRDefault="00F54A1B">
      <w:pPr>
        <w:jc w:val="both"/>
      </w:pPr>
    </w:p>
    <w:p w14:paraId="00000015" w14:textId="77777777" w:rsidR="00F54A1B" w:rsidRDefault="00000000">
      <w:pPr>
        <w:jc w:val="both"/>
      </w:pPr>
      <w:r>
        <w:t>The CERD has adopted an intersectional approach to interpreting racial discrimination. In General Recommendation XXV on gender-related dimensions of racial discrimination, it has guided states to pay particular attention to complex forms of disadvantage in which racial discrimination is mixed with other forms of discrimination, such as age, sex, gender, religion, disability and low-economic status.</w:t>
      </w:r>
    </w:p>
    <w:p w14:paraId="00000016" w14:textId="77777777" w:rsidR="00F54A1B" w:rsidRDefault="00F54A1B">
      <w:pPr>
        <w:jc w:val="both"/>
      </w:pPr>
    </w:p>
    <w:p w14:paraId="00000017" w14:textId="77777777" w:rsidR="00F54A1B" w:rsidRDefault="00000000">
      <w:pPr>
        <w:jc w:val="both"/>
      </w:pPr>
      <w:r>
        <w:t xml:space="preserve">In General Recommendation No. 29, CERD clarified that “that discrimination based on ‘descent’ includes discrimination against members of communities based on forms of social stratification </w:t>
      </w:r>
      <w:r>
        <w:lastRenderedPageBreak/>
        <w:t>such as caste and analogous systems of inherited status which nullify or impair their equal enjoyment of human rights.” CERD urges states to take positive steps to combat these intersecting forms of discrimination. The Committee in its Concluding Observations on India in 2007 reaffirmed that discrimination based on the ground of caste is fully covered by article 1 of CERD. Further, the work of the UN Sub-Commission for the Promotion and Protection of Human Rights has similarly recognized that discrimination based on work and descent, includes caste-based discrimination, noting that “a person’s descent determines or is intimately connected with the type of work they are afforded in society.”</w:t>
      </w:r>
      <w:r>
        <w:rPr>
          <w:vertAlign w:val="superscript"/>
        </w:rPr>
        <w:footnoteReference w:id="8"/>
      </w:r>
    </w:p>
    <w:p w14:paraId="00000018" w14:textId="77777777" w:rsidR="00F54A1B" w:rsidRDefault="00F54A1B">
      <w:pPr>
        <w:jc w:val="both"/>
      </w:pPr>
    </w:p>
    <w:p w14:paraId="00000019" w14:textId="77777777" w:rsidR="00F54A1B" w:rsidRDefault="00000000">
      <w:pPr>
        <w:jc w:val="both"/>
      </w:pPr>
      <w:r>
        <w:t xml:space="preserve">However, the Indian state has not only failed to combat this discrimination, but has regressed and with the passage of the 4 </w:t>
      </w:r>
      <w:proofErr w:type="spellStart"/>
      <w:r>
        <w:t>labour</w:t>
      </w:r>
      <w:proofErr w:type="spellEnd"/>
      <w:r>
        <w:t xml:space="preserve"> codes in </w:t>
      </w:r>
      <w:proofErr w:type="gramStart"/>
      <w:r>
        <w:t>December,</w:t>
      </w:r>
      <w:proofErr w:type="gramEnd"/>
      <w:r>
        <w:t xml:space="preserve"> 2025, turned the clock on advancements previously made with respect to protection of domestic worker rights.</w:t>
      </w:r>
    </w:p>
    <w:p w14:paraId="0000001A" w14:textId="77777777" w:rsidR="00F54A1B" w:rsidRDefault="00000000">
      <w:pPr>
        <w:spacing w:before="280" w:after="280"/>
        <w:jc w:val="both"/>
        <w:rPr>
          <w:b/>
          <w:bCs/>
        </w:rPr>
      </w:pPr>
      <w:r>
        <w:t xml:space="preserve"> II. </w:t>
      </w:r>
      <w:r>
        <w:rPr>
          <w:b/>
          <w:bCs/>
        </w:rPr>
        <w:t>India’s Domestic Legal Framework</w:t>
      </w:r>
    </w:p>
    <w:p w14:paraId="0000001B" w14:textId="77777777" w:rsidR="00F54A1B" w:rsidRDefault="00000000">
      <w:pPr>
        <w:numPr>
          <w:ilvl w:val="0"/>
          <w:numId w:val="1"/>
        </w:numPr>
        <w:jc w:val="both"/>
      </w:pPr>
      <w:r>
        <w:t xml:space="preserve">India is a signatory to several international instruments that protect human rights. </w:t>
      </w:r>
      <w:r>
        <w:rPr>
          <w:vertAlign w:val="superscript"/>
        </w:rPr>
        <w:footnoteReference w:id="9"/>
      </w:r>
      <w:r>
        <w:t xml:space="preserve">As a member of the International </w:t>
      </w:r>
      <w:proofErr w:type="spellStart"/>
      <w:r>
        <w:t>Labour</w:t>
      </w:r>
      <w:proofErr w:type="spellEnd"/>
      <w:r>
        <w:t xml:space="preserve"> </w:t>
      </w:r>
      <w:proofErr w:type="spellStart"/>
      <w:r>
        <w:t>Organisation</w:t>
      </w:r>
      <w:proofErr w:type="spellEnd"/>
      <w:r>
        <w:t>, it is bound to respect the ILO Declaration of Philadelphia, which affirms that “</w:t>
      </w:r>
      <w:r>
        <w:rPr>
          <w:i/>
          <w:iCs/>
        </w:rPr>
        <w:t>all human beings, irrespective of race, creed or sex, have the right to pursue both their material well-being and their spiritual development in conditions of freedom and dignity, of economic security and equal opportunity</w:t>
      </w:r>
      <w:r>
        <w:t>.”</w:t>
      </w:r>
      <w:r>
        <w:rPr>
          <w:vertAlign w:val="superscript"/>
        </w:rPr>
        <w:footnoteReference w:id="10"/>
      </w:r>
      <w:r>
        <w:t xml:space="preserve"> It has also ratified the ILO Convention on Discrimination (Employment and Occupational), 1958 (No.111), which provides a framework to address discrimination and sexual harassment in the workplace. However, it has yet to ratify the Domestic Workers Convention, 2011 (No.189) and the Violence and Harassment Convention, 2019 (No.190).</w:t>
      </w:r>
    </w:p>
    <w:p w14:paraId="0000001C" w14:textId="77777777" w:rsidR="00F54A1B" w:rsidRDefault="00F54A1B">
      <w:pPr>
        <w:ind w:left="720"/>
        <w:jc w:val="both"/>
      </w:pPr>
    </w:p>
    <w:p w14:paraId="0000001D" w14:textId="77777777" w:rsidR="00F54A1B" w:rsidRDefault="00000000">
      <w:pPr>
        <w:numPr>
          <w:ilvl w:val="0"/>
          <w:numId w:val="1"/>
        </w:numPr>
        <w:jc w:val="both"/>
      </w:pPr>
      <w:r>
        <w:t xml:space="preserve">Further, </w:t>
      </w:r>
      <w:proofErr w:type="gramStart"/>
      <w:r>
        <w:t>the  Indian</w:t>
      </w:r>
      <w:proofErr w:type="gramEnd"/>
      <w:r>
        <w:t xml:space="preserve"> Constitution is supreme, and all laws are subject to the overarching mandate of the Indian Constitution. While international law is not automatically incorporated into domestic legislation,</w:t>
      </w:r>
      <w:r>
        <w:rPr>
          <w:vertAlign w:val="superscript"/>
        </w:rPr>
        <w:footnoteReference w:id="11"/>
      </w:r>
      <w:r>
        <w:rPr>
          <w:sz w:val="20"/>
          <w:szCs w:val="20"/>
        </w:rPr>
        <w:t xml:space="preserve"> </w:t>
      </w:r>
      <w:r>
        <w:t xml:space="preserve">the Indian Supreme Court has in the past </w:t>
      </w:r>
      <w:r>
        <w:lastRenderedPageBreak/>
        <w:t xml:space="preserve">generously drawn on international law to give effect to rights not covered under existing legislation in India. The paradigmatic example is the cases of </w:t>
      </w:r>
      <w:r>
        <w:rPr>
          <w:i/>
          <w:iCs/>
        </w:rPr>
        <w:t>Vishaka v State of Rajasthan,</w:t>
      </w:r>
      <w:r>
        <w:rPr>
          <w:i/>
          <w:iCs/>
          <w:vertAlign w:val="superscript"/>
        </w:rPr>
        <w:footnoteReference w:id="12"/>
      </w:r>
      <w:r>
        <w:t xml:space="preserve">where the Court gave effect to CEDAW by holding that is it an acceptable rule of </w:t>
      </w:r>
      <w:r>
        <w:rPr>
          <w:sz w:val="20"/>
          <w:szCs w:val="20"/>
        </w:rPr>
        <w:t>judicial</w:t>
      </w:r>
      <w:r>
        <w:t xml:space="preserve"> construction for international conventions and norms to be read into the Indian Constitution where enacted domestic law occupying the field is absent, and when there is no inconsistency between international law and domestic law. </w:t>
      </w:r>
      <w:r>
        <w:rPr>
          <w:vertAlign w:val="superscript"/>
        </w:rPr>
        <w:footnoteReference w:id="13"/>
      </w:r>
    </w:p>
    <w:p w14:paraId="0000001E" w14:textId="77777777" w:rsidR="00F54A1B" w:rsidRDefault="00F54A1B">
      <w:pPr>
        <w:jc w:val="both"/>
      </w:pPr>
    </w:p>
    <w:p w14:paraId="0000001F" w14:textId="77777777" w:rsidR="00F54A1B" w:rsidRDefault="00F54A1B">
      <w:pPr>
        <w:jc w:val="both"/>
      </w:pPr>
    </w:p>
    <w:p w14:paraId="00000020" w14:textId="77777777" w:rsidR="00F54A1B" w:rsidRDefault="00000000">
      <w:pPr>
        <w:numPr>
          <w:ilvl w:val="0"/>
          <w:numId w:val="1"/>
        </w:numPr>
        <w:jc w:val="both"/>
      </w:pPr>
      <w:proofErr w:type="gramStart"/>
      <w:r>
        <w:t>Similarly</w:t>
      </w:r>
      <w:proofErr w:type="gramEnd"/>
      <w:r>
        <w:t xml:space="preserve"> the Indian Constitution guarantees workers a broad range of </w:t>
      </w:r>
      <w:proofErr w:type="spellStart"/>
      <w:r>
        <w:t>labour</w:t>
      </w:r>
      <w:proofErr w:type="spellEnd"/>
      <w:r>
        <w:t xml:space="preserve"> rights, and explicitly addresses the needs of vulnerable groups within society, including members of oppressed groups like scheduled castes and scheduled tribes, women, persons with disabilities etc. The Indian Constitution guarantees as a ‘fundamental right’ both the right to equality before laws under Article 14 and equal protection under laws’ and ‘right against discrimination on grounds of religion, race, caste, sex and place of </w:t>
      </w:r>
      <w:proofErr w:type="spellStart"/>
      <w:r>
        <w:t>birth’under</w:t>
      </w:r>
      <w:proofErr w:type="spellEnd"/>
      <w:r>
        <w:t xml:space="preserve"> Article 15. </w:t>
      </w:r>
    </w:p>
    <w:p w14:paraId="00000021" w14:textId="77777777" w:rsidR="00F54A1B" w:rsidRDefault="00F54A1B">
      <w:pPr>
        <w:ind w:left="720"/>
        <w:jc w:val="both"/>
      </w:pPr>
    </w:p>
    <w:p w14:paraId="00000022" w14:textId="77777777" w:rsidR="00F54A1B" w:rsidRDefault="00000000">
      <w:pPr>
        <w:numPr>
          <w:ilvl w:val="0"/>
          <w:numId w:val="1"/>
        </w:numPr>
        <w:jc w:val="both"/>
      </w:pPr>
      <w:r>
        <w:t xml:space="preserve">More specifically to </w:t>
      </w:r>
      <w:proofErr w:type="spellStart"/>
      <w:r>
        <w:t>labour</w:t>
      </w:r>
      <w:proofErr w:type="spellEnd"/>
      <w:r>
        <w:t xml:space="preserve">, the Indian Constitution explicitly </w:t>
      </w:r>
      <w:proofErr w:type="spellStart"/>
      <w:r>
        <w:t>recognises</w:t>
      </w:r>
      <w:proofErr w:type="spellEnd"/>
      <w:r>
        <w:t xml:space="preserve"> as a fundamental right, the right to workers to freedom of speech and right to form associations and unions under Article 19(1)(c) of the Constitution and the right to be free of Forced </w:t>
      </w:r>
      <w:proofErr w:type="spellStart"/>
      <w:r>
        <w:t>Labour</w:t>
      </w:r>
      <w:proofErr w:type="spellEnd"/>
      <w:r>
        <w:t xml:space="preserve"> under Article 23 of the Indian Constitution which prohibits human trafficking, beggar (forced labor without payment), and all other similar forms of forced </w:t>
      </w:r>
      <w:proofErr w:type="spellStart"/>
      <w:r>
        <w:t>labour</w:t>
      </w:r>
      <w:proofErr w:type="spellEnd"/>
      <w:r>
        <w:t xml:space="preserve">. The Supreme Court of India has interpreted forced </w:t>
      </w:r>
      <w:proofErr w:type="spellStart"/>
      <w:r>
        <w:t>labour</w:t>
      </w:r>
      <w:proofErr w:type="spellEnd"/>
      <w:r>
        <w:t xml:space="preserve"> expansively to include non-payment and under-payment of minimum wages.</w:t>
      </w:r>
      <w:r>
        <w:rPr>
          <w:vertAlign w:val="superscript"/>
        </w:rPr>
        <w:footnoteReference w:id="14"/>
      </w:r>
      <w:r>
        <w:rPr>
          <w:highlight w:val="white"/>
        </w:rPr>
        <w:t xml:space="preserve"> </w:t>
      </w:r>
    </w:p>
    <w:p w14:paraId="00000023" w14:textId="77777777" w:rsidR="00F54A1B" w:rsidRDefault="00F54A1B">
      <w:pPr>
        <w:ind w:left="720"/>
        <w:jc w:val="both"/>
        <w:rPr>
          <w:highlight w:val="white"/>
        </w:rPr>
      </w:pPr>
    </w:p>
    <w:p w14:paraId="00000024" w14:textId="77777777" w:rsidR="00F54A1B" w:rsidRDefault="00000000">
      <w:pPr>
        <w:numPr>
          <w:ilvl w:val="0"/>
          <w:numId w:val="1"/>
        </w:numPr>
        <w:jc w:val="both"/>
      </w:pPr>
      <w:r>
        <w:rPr>
          <w:highlight w:val="white"/>
        </w:rPr>
        <w:t xml:space="preserve">The Supreme Court of India has also interpreted constitutional rights broadly. For </w:t>
      </w:r>
      <w:proofErr w:type="gramStart"/>
      <w:r>
        <w:rPr>
          <w:highlight w:val="white"/>
        </w:rPr>
        <w:t>example</w:t>
      </w:r>
      <w:proofErr w:type="gramEnd"/>
      <w:r>
        <w:rPr>
          <w:highlight w:val="white"/>
        </w:rPr>
        <w:t xml:space="preserve"> it interpreted the ‘right to life’ under Article 21 as the right to live with human dignity, beyond ‘mere animal existence’ </w:t>
      </w:r>
      <w:r>
        <w:rPr>
          <w:highlight w:val="white"/>
          <w:vertAlign w:val="superscript"/>
        </w:rPr>
        <w:footnoteReference w:id="15"/>
      </w:r>
      <w:r>
        <w:rPr>
          <w:highlight w:val="white"/>
        </w:rPr>
        <w:t>and free to be from exploitation. Most recently, in 2026, the Indian Supreme Court has struck down legislation limiting the amount of paid maternity leave permitted to an adoptive mother for violating rights to equality,</w:t>
      </w:r>
      <w:r>
        <w:rPr>
          <w:highlight w:val="white"/>
          <w:vertAlign w:val="superscript"/>
        </w:rPr>
        <w:footnoteReference w:id="16"/>
      </w:r>
      <w:r>
        <w:rPr>
          <w:highlight w:val="white"/>
        </w:rPr>
        <w:t>and protected the right of access to justice of workers employed as “sham” contractors to bi-pass employment regulation.</w:t>
      </w:r>
      <w:r>
        <w:rPr>
          <w:highlight w:val="white"/>
          <w:vertAlign w:val="superscript"/>
        </w:rPr>
        <w:footnoteReference w:id="17"/>
      </w:r>
      <w:r>
        <w:rPr>
          <w:highlight w:val="white"/>
        </w:rPr>
        <w:t xml:space="preserve"> In the recent </w:t>
      </w:r>
      <w:proofErr w:type="spellStart"/>
      <w:r>
        <w:rPr>
          <w:highlight w:val="white"/>
        </w:rPr>
        <w:t>Prajwala</w:t>
      </w:r>
      <w:proofErr w:type="spellEnd"/>
      <w:r>
        <w:rPr>
          <w:highlight w:val="white"/>
        </w:rPr>
        <w:t xml:space="preserve"> </w:t>
      </w:r>
      <w:proofErr w:type="spellStart"/>
      <w:r>
        <w:rPr>
          <w:highlight w:val="white"/>
        </w:rPr>
        <w:t>case,the</w:t>
      </w:r>
      <w:proofErr w:type="spellEnd"/>
      <w:r>
        <w:rPr>
          <w:highlight w:val="white"/>
        </w:rPr>
        <w:t xml:space="preserve"> Supreme Court itself put in place detailed guidelines to comprehensively regulate the rights of victims of human trafficking to an effective remedy, including rehabilitation.</w:t>
      </w:r>
      <w:r>
        <w:rPr>
          <w:highlight w:val="white"/>
          <w:vertAlign w:val="superscript"/>
        </w:rPr>
        <w:footnoteReference w:id="18"/>
      </w:r>
    </w:p>
    <w:p w14:paraId="00000025" w14:textId="77777777" w:rsidR="00F54A1B" w:rsidRDefault="00F54A1B">
      <w:pPr>
        <w:ind w:left="720"/>
        <w:jc w:val="both"/>
        <w:rPr>
          <w:highlight w:val="white"/>
        </w:rPr>
      </w:pPr>
    </w:p>
    <w:p w14:paraId="00000026" w14:textId="77777777" w:rsidR="00F54A1B" w:rsidRDefault="00000000">
      <w:pPr>
        <w:numPr>
          <w:ilvl w:val="0"/>
          <w:numId w:val="1"/>
        </w:numPr>
        <w:jc w:val="both"/>
      </w:pPr>
      <w:r>
        <w:t>Under chapter IV of the Indian Constitution, which contains the Directive Principles of State Policy (DPSP), which are non-</w:t>
      </w:r>
      <w:proofErr w:type="spellStart"/>
      <w:r>
        <w:t>justicable</w:t>
      </w:r>
      <w:proofErr w:type="spellEnd"/>
      <w:r>
        <w:t xml:space="preserve"> the Indian Constitution places </w:t>
      </w:r>
      <w:proofErr w:type="gramStart"/>
      <w:r>
        <w:t>a number of</w:t>
      </w:r>
      <w:proofErr w:type="gramEnd"/>
      <w:r>
        <w:t xml:space="preserve"> duties to safeguard the lives and livelihood of workers. The DPSPs is intended to guide </w:t>
      </w:r>
      <w:r>
        <w:lastRenderedPageBreak/>
        <w:t>and power the vision of legislative policy decisions of the state including the passage of legislations.  Article 39 places a duty on the state to ensure as a matter of state policy that men and women have a right to adequate means of livelihood, equal pay for equal work for men and women.</w:t>
      </w:r>
      <w:r>
        <w:rPr>
          <w:vertAlign w:val="superscript"/>
        </w:rPr>
        <w:footnoteReference w:id="19"/>
      </w:r>
      <w:r>
        <w:t xml:space="preserve"> Article 41 places a further obligation on the state, within the limits of its economic capacity and development, to make effective provision for securing the right to work, to education and to public assistance in cases such as unemployment, old age, sickness, and disability.</w:t>
      </w:r>
    </w:p>
    <w:p w14:paraId="00000027" w14:textId="77777777" w:rsidR="00F54A1B" w:rsidRDefault="00F54A1B">
      <w:pPr>
        <w:ind w:left="720"/>
        <w:jc w:val="both"/>
      </w:pPr>
    </w:p>
    <w:p w14:paraId="00000028" w14:textId="530208BF" w:rsidR="00F54A1B" w:rsidRDefault="00000000">
      <w:pPr>
        <w:numPr>
          <w:ilvl w:val="0"/>
          <w:numId w:val="1"/>
        </w:numPr>
        <w:jc w:val="both"/>
      </w:pPr>
      <w:r>
        <w:t xml:space="preserve">The Supreme Court has also read India’s directive principles of state policy through the frame of Article 21 of the </w:t>
      </w:r>
      <w:r w:rsidR="002947FD">
        <w:t>Constitution and</w:t>
      </w:r>
      <w:r>
        <w:t xml:space="preserve"> made justiciable the provisions of the DPSP.  In </w:t>
      </w:r>
      <w:proofErr w:type="spellStart"/>
      <w:r>
        <w:rPr>
          <w:i/>
          <w:iCs/>
        </w:rPr>
        <w:t>Bandhua</w:t>
      </w:r>
      <w:proofErr w:type="spellEnd"/>
      <w:r>
        <w:rPr>
          <w:i/>
          <w:iCs/>
        </w:rPr>
        <w:t xml:space="preserve"> Mukti Morcha v. Union of India,</w:t>
      </w:r>
      <w:r>
        <w:rPr>
          <w:vertAlign w:val="superscript"/>
        </w:rPr>
        <w:footnoteReference w:id="20"/>
      </w:r>
      <w:r>
        <w:t xml:space="preserve"> the Supreme Court of India stated that “This right to live with human dignity enshrined in Article 21 derives its life breath from the Directive Principles of State Policy and particularly clauses (e) and (f) of Article 39 and Articles 41 and 42 and “at the least, therefore, it must include protection of the health and strength of workers, men and women, and of the tender age of children against abuse, opportunities and facilities for children to develop in a healthy manner and in conditions of freedom and dignity, educational facilities, just and humane conditions of work and maternity relief.”</w:t>
      </w:r>
      <w:r>
        <w:rPr>
          <w:vertAlign w:val="superscript"/>
        </w:rPr>
        <w:footnoteReference w:id="21"/>
      </w:r>
    </w:p>
    <w:p w14:paraId="00000029" w14:textId="77777777" w:rsidR="00F54A1B" w:rsidRDefault="00F54A1B">
      <w:pPr>
        <w:ind w:left="720"/>
        <w:jc w:val="both"/>
      </w:pPr>
    </w:p>
    <w:p w14:paraId="0000002A" w14:textId="77777777" w:rsidR="00F54A1B" w:rsidRDefault="00000000">
      <w:pPr>
        <w:numPr>
          <w:ilvl w:val="0"/>
          <w:numId w:val="1"/>
        </w:numPr>
        <w:jc w:val="both"/>
      </w:pPr>
      <w:r>
        <w:t>Notwithstanding this robust constitutional framework for the protection of rights, there are significant gaps and shortcomings in the protection and regulation of domestic workers.</w:t>
      </w:r>
    </w:p>
    <w:p w14:paraId="0000002B" w14:textId="77777777" w:rsidR="00F54A1B" w:rsidRDefault="00000000">
      <w:pPr>
        <w:spacing w:before="280" w:after="280"/>
        <w:jc w:val="both"/>
      </w:pPr>
      <w:r>
        <w:rPr>
          <w:b/>
          <w:bCs/>
        </w:rPr>
        <w:t xml:space="preserve">III. Regulation of Domestic Workers in India: Gaps and Shortcomings </w:t>
      </w:r>
    </w:p>
    <w:p w14:paraId="0000002C" w14:textId="77777777" w:rsidR="00F54A1B" w:rsidRDefault="00000000">
      <w:pPr>
        <w:jc w:val="both"/>
        <w:rPr>
          <w:b/>
          <w:bCs/>
          <w:i/>
          <w:iCs/>
        </w:rPr>
      </w:pPr>
      <w:r>
        <w:rPr>
          <w:b/>
          <w:bCs/>
        </w:rPr>
        <w:t xml:space="preserve">Violations of Article </w:t>
      </w:r>
      <w:r>
        <w:rPr>
          <w:b/>
          <w:bCs/>
          <w:i/>
          <w:iCs/>
        </w:rPr>
        <w:t>5(e)(</w:t>
      </w:r>
      <w:proofErr w:type="spellStart"/>
      <w:r>
        <w:rPr>
          <w:b/>
          <w:bCs/>
          <w:i/>
          <w:iCs/>
        </w:rPr>
        <w:t>i</w:t>
      </w:r>
      <w:proofErr w:type="spellEnd"/>
      <w:r>
        <w:rPr>
          <w:b/>
          <w:bCs/>
          <w:i/>
          <w:iCs/>
        </w:rPr>
        <w:t xml:space="preserve">) Right to Work and to Just and </w:t>
      </w:r>
      <w:proofErr w:type="spellStart"/>
      <w:r>
        <w:rPr>
          <w:b/>
          <w:bCs/>
          <w:i/>
          <w:iCs/>
        </w:rPr>
        <w:t>Favourable</w:t>
      </w:r>
      <w:proofErr w:type="spellEnd"/>
      <w:r>
        <w:rPr>
          <w:b/>
          <w:bCs/>
          <w:i/>
          <w:iCs/>
        </w:rPr>
        <w:t xml:space="preserve"> Conditions of Work and failure to regulate and require decent working conditions for domestic workers: </w:t>
      </w:r>
    </w:p>
    <w:p w14:paraId="0000002D" w14:textId="77777777" w:rsidR="00F54A1B" w:rsidRDefault="00F54A1B">
      <w:pPr>
        <w:ind w:left="720"/>
        <w:jc w:val="both"/>
        <w:rPr>
          <w:b/>
          <w:bCs/>
          <w:i/>
          <w:iCs/>
        </w:rPr>
      </w:pPr>
    </w:p>
    <w:p w14:paraId="0000002E" w14:textId="77777777" w:rsidR="00F54A1B" w:rsidRDefault="00000000">
      <w:pPr>
        <w:numPr>
          <w:ilvl w:val="0"/>
          <w:numId w:val="1"/>
        </w:numPr>
        <w:jc w:val="both"/>
      </w:pPr>
      <w:r>
        <w:t xml:space="preserve">Work and Working conditions in India are now primarily regulated under the Occupational, Health and Safety Code, 2020 (OSH Code), Wage Code, 2019 and the Industrial Relations Code, 2020 (IR Code). Procedurally, these Codes were passed without tripartite consultation as required under the ILO Tripartite Committee </w:t>
      </w:r>
      <w:proofErr w:type="gramStart"/>
      <w:r>
        <w:t>Convention, and</w:t>
      </w:r>
      <w:proofErr w:type="gramEnd"/>
      <w:r>
        <w:t xml:space="preserve"> have been rejected by the Joint Platform of Central Trade Unions in the country alongside several informal worker unions.  </w:t>
      </w:r>
    </w:p>
    <w:p w14:paraId="0000002F" w14:textId="77777777" w:rsidR="00F54A1B" w:rsidRDefault="00F54A1B">
      <w:pPr>
        <w:ind w:left="720"/>
        <w:jc w:val="both"/>
      </w:pPr>
    </w:p>
    <w:p w14:paraId="00000030" w14:textId="77777777" w:rsidR="00F54A1B" w:rsidRDefault="00000000">
      <w:pPr>
        <w:numPr>
          <w:ilvl w:val="0"/>
          <w:numId w:val="1"/>
        </w:numPr>
        <w:jc w:val="both"/>
      </w:pPr>
      <w:r>
        <w:t xml:space="preserve">Workers fall within the ambit of these laws based on definitions, applications and judicial interpretation stipulated under the 3 codes. As these codes currently stand, based on definitions and on literal interpretation of the codes, ‘domestic’ workers fall outside the scope of all three legislations. </w:t>
      </w:r>
    </w:p>
    <w:p w14:paraId="00000031" w14:textId="77777777" w:rsidR="00F54A1B" w:rsidRDefault="00F54A1B">
      <w:pPr>
        <w:ind w:left="720"/>
        <w:jc w:val="both"/>
      </w:pPr>
    </w:p>
    <w:p w14:paraId="00000032" w14:textId="77777777" w:rsidR="00F54A1B" w:rsidRDefault="00000000">
      <w:pPr>
        <w:numPr>
          <w:ilvl w:val="0"/>
          <w:numId w:val="1"/>
        </w:numPr>
        <w:jc w:val="both"/>
      </w:pPr>
      <w:r>
        <w:t xml:space="preserve">Take the IR Code 2020, for instance. It applies to workers employed in an ‘industry’. For workers to qualify under the law, they </w:t>
      </w:r>
      <w:proofErr w:type="gramStart"/>
      <w:r>
        <w:t>have to</w:t>
      </w:r>
      <w:proofErr w:type="gramEnd"/>
      <w:r>
        <w:t xml:space="preserve"> discharge the double burden of not only </w:t>
      </w:r>
      <w:r>
        <w:lastRenderedPageBreak/>
        <w:t xml:space="preserve">qualifying as ‘worker’ under the IR Code but also proving that their work falls within the scope of an ‘industry’ under the IR Code. Since the IR Code specifically excludes “domestic service” (Section 2 (p)) from the definition of an industry, the IR Code does not apply to domestic workers. </w:t>
      </w:r>
    </w:p>
    <w:p w14:paraId="00000033" w14:textId="77777777" w:rsidR="00F54A1B" w:rsidRDefault="00F54A1B">
      <w:pPr>
        <w:ind w:left="720"/>
        <w:jc w:val="both"/>
        <w:rPr>
          <w:b/>
          <w:bCs/>
          <w:i/>
          <w:iCs/>
        </w:rPr>
      </w:pPr>
    </w:p>
    <w:p w14:paraId="00000034" w14:textId="77777777" w:rsidR="00F54A1B" w:rsidRDefault="00000000">
      <w:pPr>
        <w:numPr>
          <w:ilvl w:val="0"/>
          <w:numId w:val="1"/>
        </w:numPr>
        <w:jc w:val="both"/>
      </w:pPr>
      <w:r>
        <w:t xml:space="preserve">Though domestic workers have a right to form unions under the IR Code, there are no collective bargaining rights that domestic workers unions possess. There is no sectoral bargaining framework provided under the law for domestic workers to bargain either with the state directly or with employer groups. </w:t>
      </w:r>
    </w:p>
    <w:p w14:paraId="00000035" w14:textId="77777777" w:rsidR="00F54A1B" w:rsidRDefault="00F54A1B">
      <w:pPr>
        <w:ind w:left="720"/>
        <w:jc w:val="both"/>
      </w:pPr>
    </w:p>
    <w:p w14:paraId="00000036" w14:textId="44ED67A2" w:rsidR="00F54A1B" w:rsidRDefault="00000000">
      <w:pPr>
        <w:numPr>
          <w:ilvl w:val="0"/>
          <w:numId w:val="1"/>
        </w:numPr>
        <w:jc w:val="both"/>
      </w:pPr>
      <w:r>
        <w:t xml:space="preserve">Similarly, the Occupational Safety and Health Code (OSH Code) governs working conditions </w:t>
      </w:r>
      <w:r w:rsidR="002947FD">
        <w:t>including hours</w:t>
      </w:r>
      <w:r>
        <w:t xml:space="preserve"> </w:t>
      </w:r>
      <w:r>
        <w:rPr>
          <w:sz w:val="20"/>
          <w:szCs w:val="20"/>
        </w:rPr>
        <w:t>of</w:t>
      </w:r>
      <w:r>
        <w:t xml:space="preserve"> work, safety and inspection to most importantly protections for migrant workers. It defines a worker as ‘</w:t>
      </w:r>
      <w:r>
        <w:rPr>
          <w:i/>
          <w:iCs/>
        </w:rPr>
        <w:t>any worker engaged in an establishment”.</w:t>
      </w:r>
      <w:r>
        <w:rPr>
          <w:vertAlign w:val="superscript"/>
        </w:rPr>
        <w:footnoteReference w:id="22"/>
      </w:r>
      <w:r>
        <w:t xml:space="preserve">”Establishment” is in turn defined as “any place which is a factory, industry, trade, business, manufacturing or occupation with 10 or more workers.”  Since domestic workers work in private homes, and are often the sole employee, they are excluded from benefiting from the protections under the OSH Code. </w:t>
      </w:r>
    </w:p>
    <w:p w14:paraId="00000037" w14:textId="77777777" w:rsidR="00F54A1B" w:rsidRDefault="00F54A1B">
      <w:pPr>
        <w:ind w:left="720"/>
        <w:jc w:val="both"/>
        <w:rPr>
          <w:sz w:val="20"/>
          <w:szCs w:val="20"/>
        </w:rPr>
      </w:pPr>
    </w:p>
    <w:p w14:paraId="00000038" w14:textId="77777777" w:rsidR="00F54A1B" w:rsidRDefault="00000000">
      <w:pPr>
        <w:numPr>
          <w:ilvl w:val="0"/>
          <w:numId w:val="1"/>
        </w:numPr>
        <w:jc w:val="both"/>
      </w:pPr>
      <w:r>
        <w:t xml:space="preserve">Further, since there is no specific legislation or regulation that governs working conditions of domestic workers, domestic workers in India are not registered, do not have access to paid leave, are not subject to 8-hour working limit, are not guaranteed occupational health and safety protections including access to compensation in cases of </w:t>
      </w:r>
      <w:proofErr w:type="spellStart"/>
      <w:r>
        <w:t>accidents.They</w:t>
      </w:r>
      <w:proofErr w:type="spellEnd"/>
      <w:r>
        <w:t xml:space="preserve"> also do not have access to gratuity or a bonus like other workers enjoy under the Industrial Relations </w:t>
      </w:r>
      <w:r>
        <w:rPr>
          <w:sz w:val="20"/>
          <w:szCs w:val="20"/>
        </w:rPr>
        <w:t xml:space="preserve">Code, 2020 </w:t>
      </w:r>
      <w:r>
        <w:t xml:space="preserve">and Wage Code, </w:t>
      </w:r>
      <w:r>
        <w:rPr>
          <w:sz w:val="20"/>
          <w:szCs w:val="20"/>
        </w:rPr>
        <w:t xml:space="preserve"> </w:t>
      </w:r>
      <w:r>
        <w:t xml:space="preserve">or have access to basic amenities like drinking water, food, first aid and access </w:t>
      </w:r>
      <w:r>
        <w:rPr>
          <w:sz w:val="20"/>
          <w:szCs w:val="20"/>
        </w:rPr>
        <w:t>to</w:t>
      </w:r>
      <w:r>
        <w:t xml:space="preserve"> washrooms</w:t>
      </w:r>
      <w:r>
        <w:rPr>
          <w:sz w:val="20"/>
          <w:szCs w:val="20"/>
        </w:rPr>
        <w:t xml:space="preserve"> </w:t>
      </w:r>
      <w:r>
        <w:t xml:space="preserve">under the OSH Code, 2020. </w:t>
      </w:r>
    </w:p>
    <w:p w14:paraId="00000039" w14:textId="77777777" w:rsidR="00F54A1B" w:rsidRDefault="00F54A1B">
      <w:pPr>
        <w:jc w:val="both"/>
        <w:rPr>
          <w:sz w:val="20"/>
          <w:szCs w:val="20"/>
        </w:rPr>
      </w:pPr>
    </w:p>
    <w:p w14:paraId="0000003A" w14:textId="77777777" w:rsidR="00F54A1B" w:rsidRDefault="00000000">
      <w:pPr>
        <w:numPr>
          <w:ilvl w:val="0"/>
          <w:numId w:val="1"/>
        </w:numPr>
        <w:jc w:val="both"/>
      </w:pPr>
      <w:r>
        <w:t>Several states have passed state-based platform worker legislations which apply to workers performing tasks through app-based platforms including domestic worker services.</w:t>
      </w:r>
      <w:r>
        <w:rPr>
          <w:vertAlign w:val="superscript"/>
        </w:rPr>
        <w:footnoteReference w:id="23"/>
      </w:r>
      <w:r>
        <w:t xml:space="preserve"> While the content of these laws differ state-to-state, they uniformly do not </w:t>
      </w:r>
      <w:proofErr w:type="spellStart"/>
      <w:r>
        <w:lastRenderedPageBreak/>
        <w:t>recognise</w:t>
      </w:r>
      <w:proofErr w:type="spellEnd"/>
      <w:r>
        <w:t xml:space="preserve"> platform workers as ‘workers’ for the purpose of the law. Further, the state-based platform legislations do not provide any special protections for ‘domestic workers’ on app-based platforms. However, the nature of domestic platform work is distinct from other </w:t>
      </w:r>
      <w:proofErr w:type="gramStart"/>
      <w:r>
        <w:t>platform based</w:t>
      </w:r>
      <w:proofErr w:type="gramEnd"/>
      <w:r>
        <w:t xml:space="preserve"> work, and consequently requires protections suited to domestic work in addition to the existing protections on algorithmic disclosure, grievance redressal, social security that have been guaranteed. For instance, the </w:t>
      </w:r>
      <w:proofErr w:type="gramStart"/>
      <w:r>
        <w:t>platform based</w:t>
      </w:r>
      <w:proofErr w:type="gramEnd"/>
      <w:r>
        <w:t xml:space="preserve"> legislation does not address GBVH that may occur during work. The platform legislation also does not include provisions that outlaw discrimination based on gender, caste, race, ethnicity and other relevant characteristics in recruitment, pay, promotion, transfer, incentives and other conditions of work. Further, the laws do not provide workers access to washroom facilities, rest, drinking water and other basic amenities that are key to dignified working conditions.  </w:t>
      </w:r>
    </w:p>
    <w:p w14:paraId="0000003B" w14:textId="77777777" w:rsidR="00F54A1B" w:rsidRDefault="00F54A1B">
      <w:pPr>
        <w:ind w:left="720"/>
        <w:jc w:val="both"/>
      </w:pPr>
    </w:p>
    <w:p w14:paraId="0000003C" w14:textId="77777777" w:rsidR="00F54A1B" w:rsidRDefault="00000000">
      <w:pPr>
        <w:spacing w:after="280"/>
        <w:jc w:val="both"/>
      </w:pPr>
      <w:r>
        <w:rPr>
          <w:b/>
          <w:bCs/>
          <w:i/>
          <w:iCs/>
        </w:rPr>
        <w:t>Violation of Article 5(e)(</w:t>
      </w:r>
      <w:proofErr w:type="spellStart"/>
      <w:r>
        <w:rPr>
          <w:b/>
          <w:bCs/>
          <w:i/>
          <w:iCs/>
        </w:rPr>
        <w:t>i</w:t>
      </w:r>
      <w:proofErr w:type="spellEnd"/>
      <w:r>
        <w:rPr>
          <w:b/>
          <w:bCs/>
          <w:i/>
          <w:iCs/>
        </w:rPr>
        <w:t xml:space="preserve">) right to equal pay for equal work and just and </w:t>
      </w:r>
      <w:proofErr w:type="spellStart"/>
      <w:r>
        <w:rPr>
          <w:b/>
          <w:bCs/>
          <w:i/>
          <w:iCs/>
        </w:rPr>
        <w:t>favourable</w:t>
      </w:r>
      <w:proofErr w:type="spellEnd"/>
      <w:r>
        <w:rPr>
          <w:b/>
          <w:bCs/>
          <w:i/>
          <w:iCs/>
        </w:rPr>
        <w:t xml:space="preserve"> remuneration and India’s failure to guarantee regulation and platform based</w:t>
      </w:r>
      <w:r>
        <w:t xml:space="preserve"> </w:t>
      </w:r>
      <w:r>
        <w:rPr>
          <w:b/>
          <w:bCs/>
          <w:i/>
          <w:iCs/>
        </w:rPr>
        <w:t xml:space="preserve">domestic </w:t>
      </w:r>
      <w:proofErr w:type="gramStart"/>
      <w:r>
        <w:rPr>
          <w:b/>
          <w:bCs/>
          <w:i/>
          <w:iCs/>
        </w:rPr>
        <w:t>workers</w:t>
      </w:r>
      <w:proofErr w:type="gramEnd"/>
      <w:r>
        <w:rPr>
          <w:b/>
          <w:bCs/>
          <w:i/>
          <w:iCs/>
        </w:rPr>
        <w:t xml:space="preserve"> minimum wage:</w:t>
      </w:r>
    </w:p>
    <w:p w14:paraId="0000003D" w14:textId="77777777" w:rsidR="00F54A1B" w:rsidRDefault="00000000">
      <w:pPr>
        <w:numPr>
          <w:ilvl w:val="0"/>
          <w:numId w:val="1"/>
        </w:numPr>
        <w:jc w:val="both"/>
      </w:pPr>
      <w:r>
        <w:t xml:space="preserve">One of the principal reasons contributing to economic deprivation of domestic workers in India is the poverty level wages they are paid, and the absence of legal obligation on employers to mandate paying domestic workers a ‘minimum wage’.  A 2022 study found that domestic workers earned anywhere between Rs 1,000 to Rs 10,000 in Chennai and between Rs 2,000 to Rs 13,000 in </w:t>
      </w:r>
      <w:proofErr w:type="gramStart"/>
      <w:r>
        <w:t>Bengaluru, and</w:t>
      </w:r>
      <w:proofErr w:type="gramEnd"/>
      <w:r>
        <w:t xml:space="preserve"> found that for a single domestic worker to make minimum wages in the state, they would have to work at a minimum of six households a day. </w:t>
      </w:r>
      <w:r>
        <w:rPr>
          <w:vertAlign w:val="superscript"/>
        </w:rPr>
        <w:footnoteReference w:id="24"/>
      </w:r>
      <w:r>
        <w:t xml:space="preserve"> </w:t>
      </w:r>
    </w:p>
    <w:p w14:paraId="0000003E" w14:textId="77777777" w:rsidR="00F54A1B" w:rsidRDefault="00F54A1B">
      <w:pPr>
        <w:ind w:left="720"/>
        <w:jc w:val="both"/>
      </w:pPr>
    </w:p>
    <w:p w14:paraId="0000003F" w14:textId="77777777" w:rsidR="00F54A1B" w:rsidRDefault="00000000">
      <w:pPr>
        <w:numPr>
          <w:ilvl w:val="0"/>
          <w:numId w:val="1"/>
        </w:numPr>
        <w:jc w:val="both"/>
      </w:pPr>
      <w:r>
        <w:t xml:space="preserve">Prior to the passage of the current Wage Code 2019, domestic workers in about 14 states in India were </w:t>
      </w:r>
      <w:r>
        <w:rPr>
          <w:sz w:val="20"/>
          <w:szCs w:val="20"/>
        </w:rPr>
        <w:t>entitled</w:t>
      </w:r>
      <w:r>
        <w:t xml:space="preserve"> to Minimum Wages. Under the extant Minimum Wages Act, 1948 (MW Act), which has now been subsumed under the Wage Code, the state governments were obligated to notify minimum wages for those sectors of work included within the scheduled employment appended to the MW Act. The MW payable to these workers was required to be calculated as per the formula laid down by the Supreme Court in </w:t>
      </w:r>
      <w:r>
        <w:rPr>
          <w:i/>
          <w:iCs/>
        </w:rPr>
        <w:t xml:space="preserve">Workmen Represented by Secretary vs. Management of </w:t>
      </w:r>
      <w:proofErr w:type="spellStart"/>
      <w:r>
        <w:rPr>
          <w:i/>
          <w:iCs/>
        </w:rPr>
        <w:t>Reptakos</w:t>
      </w:r>
      <w:proofErr w:type="spellEnd"/>
      <w:r>
        <w:rPr>
          <w:i/>
          <w:iCs/>
        </w:rPr>
        <w:t xml:space="preserve"> Brett &amp; Co. Ltd</w:t>
      </w:r>
      <w:r>
        <w:t xml:space="preserve">. </w:t>
      </w:r>
      <w:r>
        <w:rPr>
          <w:vertAlign w:val="superscript"/>
        </w:rPr>
        <w:footnoteReference w:id="25"/>
      </w:r>
      <w:r>
        <w:t xml:space="preserve">The power to decide the employment on the scheduled list lay with the state governments, and several state governments including Tamil Nadu, Kerala, Karnataka prescribed MW for domestic workers in their states. </w:t>
      </w:r>
    </w:p>
    <w:p w14:paraId="00000040" w14:textId="77777777" w:rsidR="00F54A1B" w:rsidRDefault="00F54A1B">
      <w:pPr>
        <w:jc w:val="both"/>
      </w:pPr>
    </w:p>
    <w:p w14:paraId="00000041" w14:textId="77777777" w:rsidR="00F54A1B" w:rsidRDefault="00000000">
      <w:pPr>
        <w:numPr>
          <w:ilvl w:val="0"/>
          <w:numId w:val="1"/>
        </w:numPr>
        <w:jc w:val="both"/>
      </w:pPr>
      <w:r>
        <w:lastRenderedPageBreak/>
        <w:t xml:space="preserve">Claiming that the intention is to </w:t>
      </w:r>
      <w:proofErr w:type="spellStart"/>
      <w:r>
        <w:t>universalise</w:t>
      </w:r>
      <w:proofErr w:type="spellEnd"/>
      <w:r>
        <w:t xml:space="preserve"> ‘wages’ for all workers across the country, the Wage Code removed the practice of notifying wages for workers in scheduled employment. This has however impacted domestic workers adversely, since the Wage Code defines ‘worker’ as those who work in an “industry”, which effectively removes ‘domestic workers’ employed in private households, from the ambit of workers covered under the Wage Code who are entitled to a minimum wage. Additionally, the Wage Code Rules carries 4 schedules that divide different forms of work into unskilled, semi-skilled, skilled and highly skilled - for the purpose of paying Minimum Wages. Domestic work is also not mentioned under any of the four schedules, suggesting that domestic workers will not be covered under the Wage Code. </w:t>
      </w:r>
    </w:p>
    <w:p w14:paraId="00000042" w14:textId="77777777" w:rsidR="00F54A1B" w:rsidRDefault="00F54A1B">
      <w:pPr>
        <w:ind w:left="720"/>
        <w:jc w:val="both"/>
      </w:pPr>
    </w:p>
    <w:p w14:paraId="00000043" w14:textId="77777777" w:rsidR="00F54A1B" w:rsidRDefault="00000000">
      <w:pPr>
        <w:numPr>
          <w:ilvl w:val="0"/>
          <w:numId w:val="1"/>
        </w:numPr>
        <w:spacing w:after="280"/>
        <w:jc w:val="both"/>
      </w:pPr>
      <w:r>
        <w:t xml:space="preserve">Further, state-based </w:t>
      </w:r>
      <w:proofErr w:type="gramStart"/>
      <w:r>
        <w:t>platform based</w:t>
      </w:r>
      <w:proofErr w:type="gramEnd"/>
      <w:r>
        <w:t xml:space="preserve"> legislation does not provide any protections for payment of decent wages to their workers, leaving platform workers to be freely exploited. By way of example, is the case of </w:t>
      </w:r>
      <w:r>
        <w:rPr>
          <w:i/>
          <w:iCs/>
        </w:rPr>
        <w:t>Urban Company,</w:t>
      </w:r>
      <w:r>
        <w:t xml:space="preserve"> where domestic workers report being forced to pay a fine of Rs 2000 for every day that they take leave. </w:t>
      </w:r>
      <w:r>
        <w:rPr>
          <w:vertAlign w:val="superscript"/>
        </w:rPr>
        <w:footnoteReference w:id="26"/>
      </w:r>
    </w:p>
    <w:p w14:paraId="00000044" w14:textId="77777777" w:rsidR="00F54A1B" w:rsidRDefault="00000000">
      <w:pPr>
        <w:numPr>
          <w:ilvl w:val="0"/>
          <w:numId w:val="1"/>
        </w:numPr>
        <w:spacing w:after="280"/>
        <w:jc w:val="both"/>
      </w:pPr>
      <w:r>
        <w:t xml:space="preserve">India has violated its obligation under CERD by excluding domestic workers from the ambit of any legislative frame that obligates payment of MW, including the Wage Code, since currently there is no legislation in India that imposes a legal obligation to pay either </w:t>
      </w:r>
      <w:proofErr w:type="gramStart"/>
      <w:r>
        <w:t>app based</w:t>
      </w:r>
      <w:proofErr w:type="gramEnd"/>
      <w:r>
        <w:t xml:space="preserve"> workers or regular domestic workers a minimum wage. </w:t>
      </w:r>
    </w:p>
    <w:p w14:paraId="00000045" w14:textId="77777777" w:rsidR="00F54A1B" w:rsidRDefault="00000000">
      <w:pPr>
        <w:jc w:val="both"/>
        <w:rPr>
          <w:b/>
          <w:bCs/>
          <w:i/>
          <w:iCs/>
        </w:rPr>
      </w:pPr>
      <w:r>
        <w:rPr>
          <w:b/>
          <w:bCs/>
          <w:i/>
          <w:iCs/>
        </w:rPr>
        <w:t xml:space="preserve">Violation of Article 5(e)(iv) and the failure to guarantee domestic workers social security: </w:t>
      </w:r>
    </w:p>
    <w:p w14:paraId="00000046" w14:textId="77777777" w:rsidR="00F54A1B" w:rsidRDefault="00F54A1B">
      <w:pPr>
        <w:jc w:val="both"/>
        <w:rPr>
          <w:b/>
          <w:bCs/>
          <w:i/>
          <w:iCs/>
        </w:rPr>
      </w:pPr>
    </w:p>
    <w:p w14:paraId="00000047" w14:textId="77777777" w:rsidR="00F54A1B" w:rsidRDefault="00000000">
      <w:pPr>
        <w:numPr>
          <w:ilvl w:val="0"/>
          <w:numId w:val="1"/>
        </w:numPr>
        <w:jc w:val="both"/>
      </w:pPr>
      <w:r>
        <w:t xml:space="preserve">Robust social security is key to preventing workers from facing adverse and paralyzing effects when exposed to exogenous shocks, be it from unexpected </w:t>
      </w:r>
      <w:proofErr w:type="gramStart"/>
      <w:r>
        <w:t>illness,  loss</w:t>
      </w:r>
      <w:proofErr w:type="gramEnd"/>
      <w:r>
        <w:t xml:space="preserve"> of employment, or events like the pandemic. Social security assumes higher importance for domestic workers due to lack of decent pay, and regulation to guarantee a decent wage, which leaves them highly vulnerable to risks. </w:t>
      </w:r>
    </w:p>
    <w:p w14:paraId="00000048" w14:textId="77777777" w:rsidR="00F54A1B" w:rsidRDefault="00F54A1B">
      <w:pPr>
        <w:ind w:left="720"/>
        <w:jc w:val="both"/>
      </w:pPr>
    </w:p>
    <w:p w14:paraId="00000049" w14:textId="77777777" w:rsidR="00F54A1B" w:rsidRDefault="00000000">
      <w:pPr>
        <w:numPr>
          <w:ilvl w:val="0"/>
          <w:numId w:val="1"/>
        </w:numPr>
        <w:jc w:val="both"/>
      </w:pPr>
      <w:r>
        <w:t>However, India has no framework in place that extends social security to domestic workers. Social security payments are governed by the Code on Social Security Code, 2020, which states that all waged workers including domestic workers are entitled to social security.</w:t>
      </w:r>
      <w:r>
        <w:rPr>
          <w:vertAlign w:val="superscript"/>
        </w:rPr>
        <w:footnoteReference w:id="27"/>
      </w:r>
      <w:r>
        <w:t xml:space="preserve"> The Social Security Code (</w:t>
      </w:r>
      <w:r>
        <w:rPr>
          <w:b/>
          <w:bCs/>
        </w:rPr>
        <w:t>SS Code</w:t>
      </w:r>
      <w:r>
        <w:t xml:space="preserve">) adopts an expensive definition of wage </w:t>
      </w:r>
      <w:proofErr w:type="gramStart"/>
      <w:r>
        <w:t>worker, and</w:t>
      </w:r>
      <w:proofErr w:type="gramEnd"/>
      <w:r>
        <w:t xml:space="preserve"> explicitly </w:t>
      </w:r>
      <w:proofErr w:type="spellStart"/>
      <w:r>
        <w:t>recognises</w:t>
      </w:r>
      <w:proofErr w:type="spellEnd"/>
      <w:r>
        <w:t xml:space="preserve"> domestic workers as ‘wage workers’ for the purpose of the SS Code, as workers entitled to social security. However, the SS Code does </w:t>
      </w:r>
      <w:proofErr w:type="gramStart"/>
      <w:r>
        <w:t>not  define</w:t>
      </w:r>
      <w:proofErr w:type="gramEnd"/>
      <w:r>
        <w:t xml:space="preserve"> the content of social security. There is no clarity on the nature of entitlements that domestic workers will have access to - be it employee insurance, pension etc.  The SS Code also states that social security entitlement will be available to workers through the form of schemes that the Central Government will notify. However, the SS Code fails to prescribe a timeline for notifying a scheme. Since the passage of the Code in 2025 December, no scheme has been affected by the government extending social security to domestic workers. </w:t>
      </w:r>
    </w:p>
    <w:p w14:paraId="0000004A" w14:textId="77777777" w:rsidR="00F54A1B" w:rsidRDefault="00F54A1B">
      <w:pPr>
        <w:ind w:left="720"/>
        <w:jc w:val="both"/>
      </w:pPr>
    </w:p>
    <w:p w14:paraId="0000004B" w14:textId="77777777" w:rsidR="00F54A1B" w:rsidRDefault="00000000">
      <w:pPr>
        <w:jc w:val="both"/>
        <w:rPr>
          <w:b/>
          <w:bCs/>
          <w:i/>
          <w:iCs/>
        </w:rPr>
      </w:pPr>
      <w:r>
        <w:rPr>
          <w:b/>
          <w:bCs/>
          <w:i/>
          <w:iCs/>
        </w:rPr>
        <w:t xml:space="preserve">Violation of Article 5 (b) right to security and protection by the State against violence or bodily harm, whether inflicted by government officials or by any individual group or institution and the failure to recognize intersectional discrimination under the POSH Act: </w:t>
      </w:r>
    </w:p>
    <w:p w14:paraId="0000004C" w14:textId="77777777" w:rsidR="00F54A1B" w:rsidRDefault="00F54A1B">
      <w:pPr>
        <w:jc w:val="both"/>
      </w:pPr>
    </w:p>
    <w:p w14:paraId="0000004D" w14:textId="77777777" w:rsidR="00F54A1B" w:rsidRDefault="00000000">
      <w:pPr>
        <w:numPr>
          <w:ilvl w:val="0"/>
          <w:numId w:val="1"/>
        </w:numPr>
        <w:jc w:val="both"/>
      </w:pPr>
      <w:r>
        <w:t>Domestic workers are also included explicitly under The Sexual Harassment of Women at Workplace (Prevention, Prohibition and Redressal) Act, 2013</w:t>
      </w:r>
      <w:r>
        <w:rPr>
          <w:vertAlign w:val="superscript"/>
        </w:rPr>
        <w:footnoteReference w:id="28"/>
      </w:r>
      <w:r>
        <w:t xml:space="preserve"> (POSH). POSH defines domestic workers</w:t>
      </w:r>
      <w:r>
        <w:rPr>
          <w:vertAlign w:val="superscript"/>
        </w:rPr>
        <w:footnoteReference w:id="29"/>
      </w:r>
      <w:r>
        <w:t xml:space="preserve"> and includes women workers who are employed directly or through an agency, those who are permanent or temporary, full time or part time. It also defines employers as those who employ domestic workers.</w:t>
      </w:r>
      <w:r>
        <w:rPr>
          <w:vertAlign w:val="superscript"/>
        </w:rPr>
        <w:footnoteReference w:id="30"/>
      </w:r>
      <w:r>
        <w:t xml:space="preserve"> The inclusion in POSH allows women domestic workers to file complaints of sexual harassment to Local Committees, which are set up under this legislation.</w:t>
      </w:r>
    </w:p>
    <w:p w14:paraId="0000004E" w14:textId="77777777" w:rsidR="00F54A1B" w:rsidRDefault="00F54A1B">
      <w:pPr>
        <w:ind w:left="720"/>
        <w:jc w:val="both"/>
      </w:pPr>
    </w:p>
    <w:p w14:paraId="0000004F" w14:textId="77777777" w:rsidR="00F54A1B" w:rsidRDefault="00000000">
      <w:pPr>
        <w:numPr>
          <w:ilvl w:val="0"/>
          <w:numId w:val="1"/>
        </w:numPr>
        <w:jc w:val="both"/>
      </w:pPr>
      <w:r>
        <w:t>However, the POSH regulation does not address gender-based violence and harassment (GBVH), and only narrowly addresses ‘sexual harassment’ in its provisions. Under C190, gender-based violence and harassment is defined as</w:t>
      </w:r>
      <w:r>
        <w:rPr>
          <w:i/>
          <w:iCs/>
        </w:rPr>
        <w:t xml:space="preserve"> “violence and harassment directed at persons because of their sex or gender or affecting persons of a particular sex or gender disproportionately</w:t>
      </w:r>
      <w:r>
        <w:t xml:space="preserve">” and goes beyond sexual conduct to also include gender-motivated conduct. GBVH often does </w:t>
      </w:r>
      <w:proofErr w:type="gramStart"/>
      <w:r>
        <w:t>not  occur</w:t>
      </w:r>
      <w:proofErr w:type="gramEnd"/>
      <w:r>
        <w:t xml:space="preserve"> in silos, and overlaps with other forms of discrimination including caste, ethnicity, race etc. However, the POSH Act falls short and does not address the compounding effects of intersectional discrimination in its provisions. </w:t>
      </w:r>
    </w:p>
    <w:p w14:paraId="00000050" w14:textId="77777777" w:rsidR="00F54A1B" w:rsidRDefault="00F54A1B">
      <w:pPr>
        <w:jc w:val="both"/>
      </w:pPr>
    </w:p>
    <w:p w14:paraId="00000051" w14:textId="77777777" w:rsidR="00F54A1B" w:rsidRDefault="00000000">
      <w:pPr>
        <w:jc w:val="both"/>
        <w:rPr>
          <w:i/>
          <w:iCs/>
        </w:rPr>
      </w:pPr>
      <w:r>
        <w:rPr>
          <w:b/>
          <w:bCs/>
          <w:i/>
          <w:iCs/>
        </w:rPr>
        <w:t>Segregation and Apartheid-like Practices (Article 3) and India’s failure to guarantee protections against discrimination in the law</w:t>
      </w:r>
      <w:r>
        <w:t>:</w:t>
      </w:r>
    </w:p>
    <w:p w14:paraId="00000052" w14:textId="77777777" w:rsidR="00F54A1B" w:rsidRDefault="00F54A1B">
      <w:pPr>
        <w:ind w:left="720"/>
        <w:jc w:val="both"/>
      </w:pPr>
    </w:p>
    <w:p w14:paraId="00000053" w14:textId="77777777" w:rsidR="00F54A1B" w:rsidRDefault="00000000">
      <w:pPr>
        <w:numPr>
          <w:ilvl w:val="0"/>
          <w:numId w:val="1"/>
        </w:numPr>
        <w:jc w:val="both"/>
      </w:pPr>
      <w:r>
        <w:t xml:space="preserve">Caste also determines the nature of the placement and type of work that a domestic worker is </w:t>
      </w:r>
      <w:proofErr w:type="gramStart"/>
      <w:r>
        <w:t>allocated, and</w:t>
      </w:r>
      <w:proofErr w:type="gramEnd"/>
      <w:r>
        <w:t xml:space="preserve"> operates within a hierarchy of domestic work.</w:t>
      </w:r>
      <w:r>
        <w:rPr>
          <w:vertAlign w:val="superscript"/>
        </w:rPr>
        <w:footnoteReference w:id="31"/>
      </w:r>
      <w:r>
        <w:t xml:space="preserve">The </w:t>
      </w:r>
      <w:proofErr w:type="spellStart"/>
      <w:r>
        <w:t>Yuva</w:t>
      </w:r>
      <w:proofErr w:type="spellEnd"/>
      <w:r>
        <w:t xml:space="preserve"> Survey found that 7% of the survey respondents indicated they were asked about their caste before being hired for domestic work, while over 3 % of respondents reported facing untouchability at the workplace. The most common untouchability practice described was being given separate utensils, followed by not being allowed inside the prayer room, to use the family bathroom or the kitchen. Over 25 % of respondents also reported that they were restricted from using the kitchen or the prayer room during their periods. Women workers from lower castes are more likely to be assigned tasks such as cleaning toilets or removing household waste.</w:t>
      </w:r>
      <w:r>
        <w:rPr>
          <w:vertAlign w:val="superscript"/>
        </w:rPr>
        <w:footnoteReference w:id="32"/>
      </w:r>
      <w:r>
        <w:t xml:space="preserve"> There is also distinction </w:t>
      </w:r>
      <w:proofErr w:type="gramStart"/>
      <w:r>
        <w:t>on the basis of</w:t>
      </w:r>
      <w:proofErr w:type="gramEnd"/>
      <w:r>
        <w:t xml:space="preserve"> live-in and live-out </w:t>
      </w:r>
      <w:r>
        <w:lastRenderedPageBreak/>
        <w:t xml:space="preserve">workers and caste. One study found that the job of a full-time domestic worker is rarely given to a Dalit woman. </w:t>
      </w:r>
      <w:r>
        <w:rPr>
          <w:vertAlign w:val="superscript"/>
        </w:rPr>
        <w:footnoteReference w:id="33"/>
      </w:r>
      <w:r>
        <w:t xml:space="preserve"> </w:t>
      </w:r>
    </w:p>
    <w:p w14:paraId="00000054" w14:textId="77777777" w:rsidR="00F54A1B" w:rsidRDefault="00F54A1B">
      <w:pPr>
        <w:ind w:left="720"/>
        <w:jc w:val="both"/>
      </w:pPr>
    </w:p>
    <w:p w14:paraId="00000055" w14:textId="77777777" w:rsidR="00F54A1B" w:rsidRDefault="00000000">
      <w:pPr>
        <w:numPr>
          <w:ilvl w:val="0"/>
          <w:numId w:val="1"/>
        </w:numPr>
        <w:jc w:val="both"/>
      </w:pPr>
      <w:r>
        <w:t xml:space="preserve">Similarly, in a report by the International Lawyers Assisting Workers network (ILAW) ‘A Promise Not </w:t>
      </w:r>
      <w:proofErr w:type="spellStart"/>
      <w:r>
        <w:t>Realised</w:t>
      </w:r>
      <w:proofErr w:type="spellEnd"/>
      <w:r>
        <w:t>’ in 2024 domestic worker union leader in Bengaluru noted that many domestic workers in the city are Adivasis (indigenous tribes), and that many times  these women “</w:t>
      </w:r>
      <w:r>
        <w:rPr>
          <w:i/>
          <w:iCs/>
        </w:rPr>
        <w:t>are not allowed to eat or drink from the same utensils as used by the house owners or their family; they often are not allowed to use the same toilet facilities meant for the family they work for</w:t>
      </w:r>
      <w:r>
        <w:t xml:space="preserve">.” </w:t>
      </w:r>
      <w:r>
        <w:rPr>
          <w:vertAlign w:val="superscript"/>
        </w:rPr>
        <w:footnoteReference w:id="34"/>
      </w:r>
    </w:p>
    <w:p w14:paraId="00000056" w14:textId="77777777" w:rsidR="00F54A1B" w:rsidRDefault="00F54A1B">
      <w:pPr>
        <w:ind w:left="720"/>
        <w:jc w:val="both"/>
      </w:pPr>
    </w:p>
    <w:p w14:paraId="00000057" w14:textId="77777777" w:rsidR="00F54A1B" w:rsidRDefault="00000000">
      <w:pPr>
        <w:numPr>
          <w:ilvl w:val="0"/>
          <w:numId w:val="1"/>
        </w:numPr>
        <w:jc w:val="both"/>
      </w:pPr>
      <w:r>
        <w:t xml:space="preserve">Another section of domestic workers in India who face persecution </w:t>
      </w:r>
      <w:proofErr w:type="gramStart"/>
      <w:r>
        <w:t>on the basis of</w:t>
      </w:r>
      <w:proofErr w:type="gramEnd"/>
      <w:r>
        <w:t xml:space="preserve"> their community membership are migrant domestic workers from Nepal and Muslim domestic workers from states like West Bengal, who are frequently labelled and targeted as ‘Bangladeshi workers’, as well as workers genuinely hailing from Bangladesh. These workers primarily reside in the slums where they have no access to basic amenities and infrastructure including access to drinking water, sanitation facilities and disposal of garbage. </w:t>
      </w:r>
      <w:r>
        <w:rPr>
          <w:vertAlign w:val="superscript"/>
        </w:rPr>
        <w:footnoteReference w:id="35"/>
      </w:r>
    </w:p>
    <w:p w14:paraId="00000058" w14:textId="77777777" w:rsidR="00F54A1B" w:rsidRDefault="00F54A1B">
      <w:pPr>
        <w:ind w:left="720"/>
        <w:jc w:val="both"/>
      </w:pPr>
    </w:p>
    <w:p w14:paraId="00000059" w14:textId="77777777" w:rsidR="00F54A1B" w:rsidRDefault="00000000">
      <w:pPr>
        <w:numPr>
          <w:ilvl w:val="0"/>
          <w:numId w:val="1"/>
        </w:numPr>
        <w:jc w:val="both"/>
      </w:pPr>
      <w:r>
        <w:t xml:space="preserve">Several migrant workers from Nepal are also under added danger of being trafficked in India, and through Indian territory. Various media reports reveal the trafficking of the Nepalese to India for domestic and sex work to be </w:t>
      </w:r>
      <w:proofErr w:type="gramStart"/>
      <w:r>
        <w:t>frequent, and</w:t>
      </w:r>
      <w:proofErr w:type="gramEnd"/>
      <w:r>
        <w:t xml:space="preserve"> have also found India’s capital city of Delhi as a transit point for Nepali migrants being trafficked to GCC countries. Since transit usually takes time, these Nepali workers are usually made to work in </w:t>
      </w:r>
      <w:proofErr w:type="gramStart"/>
      <w:r>
        <w:t>Delhi, and</w:t>
      </w:r>
      <w:proofErr w:type="gramEnd"/>
      <w:r>
        <w:t xml:space="preserve"> primarily assigned domestic tasks. </w:t>
      </w:r>
      <w:r>
        <w:rPr>
          <w:vertAlign w:val="superscript"/>
        </w:rPr>
        <w:footnoteReference w:id="36"/>
      </w:r>
      <w:r>
        <w:t xml:space="preserve"> The main channel for trafficking of these workers has been through employment agencies which </w:t>
      </w:r>
      <w:proofErr w:type="gramStart"/>
      <w:r>
        <w:t>are located in</w:t>
      </w:r>
      <w:proofErr w:type="gramEnd"/>
      <w:r>
        <w:t xml:space="preserve"> India and Nepal. </w:t>
      </w:r>
    </w:p>
    <w:p w14:paraId="0000005A" w14:textId="77777777" w:rsidR="00F54A1B" w:rsidRDefault="00F54A1B">
      <w:pPr>
        <w:ind w:left="720"/>
        <w:jc w:val="both"/>
      </w:pPr>
    </w:p>
    <w:p w14:paraId="0000005B" w14:textId="77777777" w:rsidR="00F54A1B" w:rsidRDefault="00000000">
      <w:pPr>
        <w:numPr>
          <w:ilvl w:val="0"/>
          <w:numId w:val="1"/>
        </w:numPr>
        <w:jc w:val="both"/>
      </w:pPr>
      <w:r>
        <w:t xml:space="preserve">As domestic work comes to be mediated through digital platforms, domestic workers operating through tech platforms have been exposed to a whole host of </w:t>
      </w:r>
      <w:proofErr w:type="gramStart"/>
      <w:r>
        <w:t xml:space="preserve">additional  </w:t>
      </w:r>
      <w:proofErr w:type="spellStart"/>
      <w:r>
        <w:t>labour</w:t>
      </w:r>
      <w:proofErr w:type="spellEnd"/>
      <w:proofErr w:type="gramEnd"/>
      <w:r>
        <w:t xml:space="preserve"> violations. Digital mediation of domestic workers is of two kinds: (1) through online websites run by placement agencies, which for a pre-determined fee assist with connecting customers to domestic workers. In these arrangements, the platform only helps connect customers and </w:t>
      </w:r>
      <w:proofErr w:type="gramStart"/>
      <w:r>
        <w:t>workers, and</w:t>
      </w:r>
      <w:proofErr w:type="gramEnd"/>
      <w:r>
        <w:t xml:space="preserve"> is not engaged beyond facilitating employment; and (2) through app based platforms which allows customers to book ‘domestic services’ through an app for a specific period of time per day. </w:t>
      </w:r>
    </w:p>
    <w:p w14:paraId="0000005C" w14:textId="77777777" w:rsidR="00F54A1B" w:rsidRDefault="00F54A1B">
      <w:pPr>
        <w:ind w:left="720"/>
        <w:jc w:val="both"/>
      </w:pPr>
    </w:p>
    <w:p w14:paraId="0000005D" w14:textId="77777777" w:rsidR="00F54A1B" w:rsidRDefault="00000000">
      <w:pPr>
        <w:numPr>
          <w:ilvl w:val="0"/>
          <w:numId w:val="1"/>
        </w:numPr>
        <w:jc w:val="both"/>
      </w:pPr>
      <w:r>
        <w:t xml:space="preserve">Online websites run by placement agencies have attracted heavy criticism for the ways in which they have designed their interface and services, </w:t>
      </w:r>
      <w:proofErr w:type="gramStart"/>
      <w:r>
        <w:t>and  chosen</w:t>
      </w:r>
      <w:proofErr w:type="gramEnd"/>
      <w:r>
        <w:t xml:space="preserve"> to advertise their services, to exacerbate racial and ethnic discrimination and stereotyping. For example, ‘</w:t>
      </w:r>
      <w:proofErr w:type="spellStart"/>
      <w:r>
        <w:t>Bookmybai</w:t>
      </w:r>
      <w:proofErr w:type="spellEnd"/>
      <w:r>
        <w:t xml:space="preserve">’ a popular online placement agency which claims to have more than 10,000 </w:t>
      </w:r>
      <w:r>
        <w:lastRenderedPageBreak/>
        <w:t>verified domestic workers in Mumbai and Pune on its roster which offer services ranging from cleaning, cooking to child and elderly care, allows clients to shortlist candidates not merely based on experience and expectations of the domestic workers but also on the basis of religious, linguistic, ethnic preferences.</w:t>
      </w:r>
      <w:r>
        <w:rPr>
          <w:vertAlign w:val="superscript"/>
        </w:rPr>
        <w:footnoteReference w:id="37"/>
      </w:r>
      <w:r>
        <w:t xml:space="preserve"> For instance, a custom search pre-defined on the website allows clients to locate a “Hindu Tamilian Non Veg cook” in Pune. While societal prejudice cannot be pinned exclusively </w:t>
      </w:r>
      <w:proofErr w:type="gramStart"/>
      <w:r>
        <w:t>on  this</w:t>
      </w:r>
      <w:proofErr w:type="gramEnd"/>
      <w:r>
        <w:t xml:space="preserve"> website, unregulated company practices such as these, entrench and validate prejudices. </w:t>
      </w:r>
    </w:p>
    <w:p w14:paraId="0000005E" w14:textId="77777777" w:rsidR="00F54A1B" w:rsidRDefault="00F54A1B">
      <w:pPr>
        <w:ind w:left="720"/>
        <w:jc w:val="both"/>
      </w:pPr>
    </w:p>
    <w:p w14:paraId="0000005F" w14:textId="77777777" w:rsidR="00F54A1B" w:rsidRDefault="00000000">
      <w:pPr>
        <w:numPr>
          <w:ilvl w:val="0"/>
          <w:numId w:val="1"/>
        </w:numPr>
        <w:spacing w:after="160"/>
        <w:jc w:val="both"/>
      </w:pPr>
      <w:r>
        <w:t xml:space="preserve">Further, </w:t>
      </w:r>
      <w:proofErr w:type="gramStart"/>
      <w:r>
        <w:t>app based</w:t>
      </w:r>
      <w:proofErr w:type="gramEnd"/>
      <w:r>
        <w:t xml:space="preserve"> services which are offered through platforms like </w:t>
      </w:r>
      <w:r>
        <w:rPr>
          <w:i/>
          <w:iCs/>
        </w:rPr>
        <w:t>Urban Company/Pronto/</w:t>
      </w:r>
      <w:proofErr w:type="spellStart"/>
      <w:r>
        <w:rPr>
          <w:i/>
          <w:iCs/>
        </w:rPr>
        <w:t>Snabbit</w:t>
      </w:r>
      <w:proofErr w:type="spellEnd"/>
      <w:r>
        <w:rPr>
          <w:i/>
          <w:iCs/>
        </w:rPr>
        <w:t xml:space="preserve"> </w:t>
      </w:r>
      <w:r>
        <w:t>in India offer house cleaning, bathroom and kitchen cleaning, dishwashing, and laundry assistance within 15 minutes, at a rate of ₹49 (0.51$) per hour. In 2025, Urban Company launched its services by using the degrading term ‘</w:t>
      </w:r>
      <w:proofErr w:type="spellStart"/>
      <w:r>
        <w:t>Instamaid</w:t>
      </w:r>
      <w:proofErr w:type="spellEnd"/>
      <w:r>
        <w:t xml:space="preserve">’, and only </w:t>
      </w:r>
      <w:proofErr w:type="gramStart"/>
      <w:r>
        <w:t>later  rebranded</w:t>
      </w:r>
      <w:proofErr w:type="gramEnd"/>
      <w:r>
        <w:t xml:space="preserve"> itself following public backlash. Workers on </w:t>
      </w:r>
      <w:r>
        <w:rPr>
          <w:i/>
          <w:iCs/>
        </w:rPr>
        <w:t>Urban Company</w:t>
      </w:r>
      <w:r>
        <w:t xml:space="preserve"> and other similar platforms have complained that they get no more than two days </w:t>
      </w:r>
      <w:proofErr w:type="gramStart"/>
      <w:r>
        <w:t>leave  a</w:t>
      </w:r>
      <w:proofErr w:type="gramEnd"/>
      <w:r>
        <w:t xml:space="preserve"> month, and are fined on the days they log out from the app. </w:t>
      </w:r>
      <w:r>
        <w:rPr>
          <w:highlight w:val="white"/>
        </w:rPr>
        <w:t xml:space="preserve"> </w:t>
      </w:r>
      <w:r>
        <w:rPr>
          <w:i/>
          <w:iCs/>
          <w:highlight w:val="white"/>
        </w:rPr>
        <w:t>Ins</w:t>
      </w:r>
      <w:r>
        <w:rPr>
          <w:i/>
          <w:iCs/>
        </w:rPr>
        <w:t xml:space="preserve">ta Help </w:t>
      </w:r>
      <w:r>
        <w:t xml:space="preserve">workers said the company fines them two days of pay – around Rs 2,000 – for every weekend day they take off. </w:t>
      </w:r>
      <w:r>
        <w:rPr>
          <w:vertAlign w:val="superscript"/>
        </w:rPr>
        <w:footnoteReference w:id="38"/>
      </w:r>
      <w:r>
        <w:t xml:space="preserve"> </w:t>
      </w:r>
      <w:r>
        <w:rPr>
          <w:i/>
          <w:iCs/>
        </w:rPr>
        <w:t xml:space="preserve">Insta </w:t>
      </w:r>
      <w:r>
        <w:t xml:space="preserve">help workers report facing </w:t>
      </w:r>
      <w:proofErr w:type="spellStart"/>
      <w:r>
        <w:t>casteist</w:t>
      </w:r>
      <w:proofErr w:type="spellEnd"/>
      <w:r>
        <w:t xml:space="preserve"> discrimination from customers, noting </w:t>
      </w:r>
      <w:proofErr w:type="gramStart"/>
      <w:r>
        <w:t>for  instance</w:t>
      </w:r>
      <w:proofErr w:type="gramEnd"/>
      <w:r>
        <w:t xml:space="preserve"> how they have been denied access to washrooms in the houses they visited. Some also said that they were not offered water, or that when they were, it was in distinctly different utensils from those used by members of the household.</w:t>
      </w:r>
      <w:r>
        <w:rPr>
          <w:vertAlign w:val="superscript"/>
        </w:rPr>
        <w:footnoteReference w:id="39"/>
      </w:r>
    </w:p>
    <w:p w14:paraId="00000060" w14:textId="77777777" w:rsidR="00F54A1B" w:rsidRDefault="00F54A1B">
      <w:pPr>
        <w:spacing w:after="160"/>
        <w:ind w:left="720"/>
        <w:jc w:val="both"/>
        <w:rPr>
          <w:b/>
          <w:bCs/>
        </w:rPr>
      </w:pPr>
    </w:p>
    <w:p w14:paraId="00000061" w14:textId="77777777" w:rsidR="00F54A1B" w:rsidRDefault="00000000">
      <w:pPr>
        <w:numPr>
          <w:ilvl w:val="0"/>
          <w:numId w:val="1"/>
        </w:numPr>
        <w:jc w:val="both"/>
      </w:pPr>
      <w:r>
        <w:t xml:space="preserve">Yet, India’s anti-discrimination provisions are at best patchy. India neither has a general anti-discrimination legislation that is designed to prevent and proscribe discriminatory practices </w:t>
      </w:r>
      <w:proofErr w:type="gramStart"/>
      <w:r>
        <w:t>targeting  individuals</w:t>
      </w:r>
      <w:proofErr w:type="gramEnd"/>
      <w:r>
        <w:t xml:space="preserve"> or communities on the ground of protected attributes, nor does it have a legislation that deals with discrimination, including  caste, religious discrimination in employment. Further, none of the four </w:t>
      </w:r>
      <w:proofErr w:type="spellStart"/>
      <w:r>
        <w:t>labour</w:t>
      </w:r>
      <w:proofErr w:type="spellEnd"/>
      <w:r>
        <w:t xml:space="preserve"> codes passed in 2025 contains any provisions that prevent discrimination based on race, caste or ethnicity in their provisions either. </w:t>
      </w:r>
    </w:p>
    <w:p w14:paraId="00000062" w14:textId="77777777" w:rsidR="00F54A1B" w:rsidRDefault="00F54A1B">
      <w:pPr>
        <w:ind w:left="720"/>
        <w:jc w:val="both"/>
      </w:pPr>
    </w:p>
    <w:p w14:paraId="00000063" w14:textId="77777777" w:rsidR="00F54A1B" w:rsidRDefault="00000000">
      <w:pPr>
        <w:numPr>
          <w:ilvl w:val="0"/>
          <w:numId w:val="1"/>
        </w:numPr>
        <w:jc w:val="both"/>
      </w:pPr>
      <w:r>
        <w:t xml:space="preserve">To a limited extent, the Code on Wages addresses gender-based discrimination to the extent that it outlaws direct discrimination between male and female workers </w:t>
      </w:r>
      <w:proofErr w:type="gramStart"/>
      <w:r>
        <w:t>in  terms</w:t>
      </w:r>
      <w:proofErr w:type="gramEnd"/>
      <w:r>
        <w:t xml:space="preserve"> of pay</w:t>
      </w:r>
      <w:r>
        <w:rPr>
          <w:vertAlign w:val="superscript"/>
        </w:rPr>
        <w:footnoteReference w:id="40"/>
      </w:r>
      <w:r>
        <w:t xml:space="preserve"> and recruitment</w:t>
      </w:r>
      <w:r>
        <w:rPr>
          <w:vertAlign w:val="superscript"/>
        </w:rPr>
        <w:footnoteReference w:id="41"/>
      </w:r>
      <w:r>
        <w:t xml:space="preserve"> of workers. </w:t>
      </w:r>
      <w:proofErr w:type="gramStart"/>
      <w:r>
        <w:t>The  Code</w:t>
      </w:r>
      <w:proofErr w:type="gramEnd"/>
      <w:r>
        <w:t xml:space="preserve"> on Wages however does not deal with ‘indirect discrimination’ that results in occupational segregation by gender, caste and race. Differences based on caste, social group, education, skills and social mores contribute to more socially embedded forms of discrimination that are not just confined to the workplace.</w:t>
      </w:r>
    </w:p>
    <w:p w14:paraId="00000064" w14:textId="77777777" w:rsidR="00F54A1B" w:rsidRDefault="00F54A1B">
      <w:pPr>
        <w:jc w:val="both"/>
      </w:pPr>
    </w:p>
    <w:p w14:paraId="00000065" w14:textId="77777777" w:rsidR="00F54A1B" w:rsidRDefault="00000000">
      <w:pPr>
        <w:jc w:val="both"/>
      </w:pPr>
      <w:r>
        <w:rPr>
          <w:b/>
          <w:bCs/>
          <w:i/>
          <w:iCs/>
        </w:rPr>
        <w:t>Violation of Article 6 and the failure to provide effective remedies:</w:t>
      </w:r>
      <w:r>
        <w:t xml:space="preserve"> </w:t>
      </w:r>
    </w:p>
    <w:p w14:paraId="00000066" w14:textId="77777777" w:rsidR="00F54A1B" w:rsidRDefault="00F54A1B">
      <w:pPr>
        <w:ind w:left="720"/>
        <w:jc w:val="both"/>
      </w:pPr>
    </w:p>
    <w:p w14:paraId="00000067" w14:textId="77777777" w:rsidR="00F54A1B" w:rsidRDefault="00000000">
      <w:pPr>
        <w:numPr>
          <w:ilvl w:val="0"/>
          <w:numId w:val="1"/>
        </w:numPr>
        <w:jc w:val="both"/>
      </w:pPr>
      <w:r>
        <w:t xml:space="preserve">Domestic workers in India currently do not have access to grievance redressal mechanisms, </w:t>
      </w:r>
      <w:proofErr w:type="gramStart"/>
      <w:r>
        <w:t>including  the</w:t>
      </w:r>
      <w:proofErr w:type="gramEnd"/>
      <w:r>
        <w:t xml:space="preserve"> Industrial Tribunal, under the IR Code to lodge complaints related to their working conditions or violations of their rights. . Prior to the enactment of the </w:t>
      </w:r>
      <w:proofErr w:type="spellStart"/>
      <w:r>
        <w:t>Labour</w:t>
      </w:r>
      <w:proofErr w:type="spellEnd"/>
      <w:r>
        <w:t xml:space="preserve"> Codes, domestic workers in states like Tamil Nadu and </w:t>
      </w:r>
      <w:proofErr w:type="spellStart"/>
      <w:r>
        <w:t>Mahasrastra</w:t>
      </w:r>
      <w:proofErr w:type="spellEnd"/>
      <w:r>
        <w:t xml:space="preserve"> had access to grievance mechanisms </w:t>
      </w:r>
      <w:proofErr w:type="gramStart"/>
      <w:r>
        <w:t>in  the</w:t>
      </w:r>
      <w:proofErr w:type="gramEnd"/>
      <w:r>
        <w:t xml:space="preserve"> form of ‘Domestic Welfare Boards’ set up under Tamil Nadu Manual Workers (Regulation of Employment and Conditions of Work) Act, 1982 respectively. Their status is now unclear in context of the new codes. </w:t>
      </w:r>
    </w:p>
    <w:p w14:paraId="00000068" w14:textId="77777777" w:rsidR="00F54A1B" w:rsidRDefault="00F54A1B">
      <w:pPr>
        <w:ind w:left="720"/>
        <w:jc w:val="both"/>
      </w:pPr>
    </w:p>
    <w:p w14:paraId="00000069" w14:textId="77777777" w:rsidR="00F54A1B" w:rsidRDefault="00000000">
      <w:pPr>
        <w:numPr>
          <w:ilvl w:val="0"/>
          <w:numId w:val="1"/>
        </w:numPr>
        <w:jc w:val="both"/>
      </w:pPr>
      <w:r>
        <w:t>Most recently, even the Supreme Court, the highest court in India has also shut its door to the demands of domestic workers. A  case</w:t>
      </w:r>
      <w:r>
        <w:rPr>
          <w:vertAlign w:val="superscript"/>
        </w:rPr>
        <w:footnoteReference w:id="42"/>
      </w:r>
      <w:r>
        <w:t xml:space="preserve"> filed by 10 domestic worker unions in 2026, demanding that the right to minimum wage for domestic workers be declared a fundamental right and that domestic workers be explicitly included within the ambit of Code of Wages, was dismissed by the Supreme Court on separation of powers  grounds: that the matter pertained to executive and legislative </w:t>
      </w:r>
      <w:proofErr w:type="spellStart"/>
      <w:r>
        <w:t>domains,and</w:t>
      </w:r>
      <w:proofErr w:type="spellEnd"/>
      <w:r>
        <w:t xml:space="preserve"> that the judiciary cannot supplant the former’s role. The court opined that it would be best if the government came up with a sufficient mechanism to improve conditions of domestic workers. It is perhaps incongruous, that the Supreme Court, which had itself drafted detailed, comprehensive guidelines to provide a judicial remedy to victims of human trafficking in May of the same year, entirely deferred the question of domestic worker’s right to be included in minimum wage, to the legislature.  With this it closed the last and final avenue available to domestic workers to be able to air their grievances and obtain a remedy for violation of core rights.</w:t>
      </w:r>
    </w:p>
    <w:p w14:paraId="0000006A" w14:textId="77777777" w:rsidR="00F54A1B" w:rsidRDefault="00000000">
      <w:pPr>
        <w:spacing w:before="280" w:after="280"/>
        <w:jc w:val="both"/>
      </w:pPr>
      <w:r>
        <w:rPr>
          <w:b/>
          <w:bCs/>
          <w:u w:val="single"/>
        </w:rPr>
        <w:t xml:space="preserve">Recommendations: </w:t>
      </w:r>
    </w:p>
    <w:p w14:paraId="0000006B" w14:textId="77777777" w:rsidR="00F54A1B" w:rsidRDefault="00000000">
      <w:pPr>
        <w:numPr>
          <w:ilvl w:val="0"/>
          <w:numId w:val="2"/>
        </w:numPr>
        <w:jc w:val="both"/>
        <w:rPr>
          <w:rFonts w:ascii="Times New Roman" w:eastAsia="Times New Roman" w:hAnsi="Times New Roman" w:cs="Times New Roman"/>
        </w:rPr>
      </w:pPr>
      <w:r>
        <w:rPr>
          <w:b/>
          <w:bCs/>
          <w:u w:val="single"/>
        </w:rPr>
        <w:t xml:space="preserve">To comply with its CERD obligations, India must:  </w:t>
      </w:r>
    </w:p>
    <w:p w14:paraId="0000006C" w14:textId="77777777" w:rsidR="00F54A1B" w:rsidRDefault="00000000">
      <w:pPr>
        <w:numPr>
          <w:ilvl w:val="0"/>
          <w:numId w:val="4"/>
        </w:numPr>
        <w:jc w:val="both"/>
      </w:pPr>
      <w:r>
        <w:rPr>
          <w:b/>
          <w:bCs/>
        </w:rPr>
        <w:t>Minimum Wages</w:t>
      </w:r>
      <w:r>
        <w:t xml:space="preserve">: ensure that domestic workers are paid ‘need-based minimum wages’ </w:t>
      </w:r>
      <w:proofErr w:type="gramStart"/>
      <w:r>
        <w:t>similar to</w:t>
      </w:r>
      <w:proofErr w:type="gramEnd"/>
      <w:r>
        <w:t xml:space="preserve"> the wages payable to other workers which is calculated as per formula laid down in the Supreme Court judgment of </w:t>
      </w:r>
      <w:proofErr w:type="spellStart"/>
      <w:r>
        <w:t>Reptakos</w:t>
      </w:r>
      <w:proofErr w:type="spellEnd"/>
      <w:r>
        <w:t xml:space="preserve"> Brett. </w:t>
      </w:r>
      <w:r>
        <w:rPr>
          <w:vertAlign w:val="superscript"/>
        </w:rPr>
        <w:footnoteReference w:id="43"/>
      </w:r>
    </w:p>
    <w:p w14:paraId="0000006D" w14:textId="77777777" w:rsidR="00F54A1B" w:rsidRDefault="00000000">
      <w:pPr>
        <w:numPr>
          <w:ilvl w:val="0"/>
          <w:numId w:val="4"/>
        </w:numPr>
        <w:jc w:val="both"/>
      </w:pPr>
      <w:r>
        <w:rPr>
          <w:b/>
          <w:bCs/>
        </w:rPr>
        <w:t>Social Security:</w:t>
      </w:r>
      <w:r>
        <w:t xml:space="preserve"> ensure domestic workers are eligible for insurance provided for workers under the Employment State Insurance Scheme and are entitled to the protections in the Employment Provident Fund Scheme in India. </w:t>
      </w:r>
    </w:p>
    <w:p w14:paraId="0000006E" w14:textId="77777777" w:rsidR="00F54A1B" w:rsidRDefault="00000000">
      <w:pPr>
        <w:numPr>
          <w:ilvl w:val="0"/>
          <w:numId w:val="4"/>
        </w:numPr>
        <w:jc w:val="both"/>
      </w:pPr>
      <w:r>
        <w:rPr>
          <w:b/>
          <w:bCs/>
        </w:rPr>
        <w:t xml:space="preserve">Occupational Health and </w:t>
      </w:r>
      <w:proofErr w:type="spellStart"/>
      <w:proofErr w:type="gramStart"/>
      <w:r>
        <w:rPr>
          <w:b/>
          <w:bCs/>
        </w:rPr>
        <w:t>Safety:</w:t>
      </w:r>
      <w:r>
        <w:t>explicitly</w:t>
      </w:r>
      <w:proofErr w:type="spellEnd"/>
      <w:proofErr w:type="gramEnd"/>
      <w:r>
        <w:t xml:space="preserve"> address occupational, health and safety standards specifically applicable to domestic work including: </w:t>
      </w:r>
    </w:p>
    <w:p w14:paraId="0000006F" w14:textId="77777777" w:rsidR="00F54A1B" w:rsidRDefault="00000000">
      <w:pPr>
        <w:numPr>
          <w:ilvl w:val="0"/>
          <w:numId w:val="3"/>
        </w:numPr>
        <w:jc w:val="both"/>
      </w:pPr>
      <w:r>
        <w:lastRenderedPageBreak/>
        <w:t xml:space="preserve">Protection from surveillance from intrusive bag and body checks and surveillance technology used in gated apartment colonies and homes. </w:t>
      </w:r>
    </w:p>
    <w:p w14:paraId="00000070" w14:textId="77777777" w:rsidR="00F54A1B" w:rsidRDefault="00000000">
      <w:pPr>
        <w:numPr>
          <w:ilvl w:val="0"/>
          <w:numId w:val="3"/>
        </w:numPr>
        <w:jc w:val="both"/>
      </w:pPr>
      <w:r>
        <w:t xml:space="preserve">Safety rules must be developed in relation to handling cleaning tools, chemicals, ventilation, hygiene. </w:t>
      </w:r>
    </w:p>
    <w:p w14:paraId="00000071" w14:textId="77777777" w:rsidR="00F54A1B" w:rsidRDefault="00000000">
      <w:pPr>
        <w:numPr>
          <w:ilvl w:val="0"/>
          <w:numId w:val="3"/>
        </w:numPr>
        <w:jc w:val="both"/>
      </w:pPr>
      <w:proofErr w:type="gramStart"/>
      <w:r>
        <w:t>entitlement  to</w:t>
      </w:r>
      <w:proofErr w:type="gramEnd"/>
      <w:r>
        <w:t xml:space="preserve"> receive compensation for OSH claims  </w:t>
      </w:r>
    </w:p>
    <w:p w14:paraId="00000072" w14:textId="77777777" w:rsidR="00F54A1B" w:rsidRDefault="00000000">
      <w:pPr>
        <w:numPr>
          <w:ilvl w:val="0"/>
          <w:numId w:val="4"/>
        </w:numPr>
        <w:jc w:val="both"/>
      </w:pPr>
      <w:r>
        <w:rPr>
          <w:b/>
          <w:bCs/>
        </w:rPr>
        <w:t>Grievance Redressal Mechanism (GRM)</w:t>
      </w:r>
      <w:r>
        <w:t>:</w:t>
      </w:r>
      <w:r>
        <w:rPr>
          <w:b/>
          <w:bCs/>
        </w:rPr>
        <w:t xml:space="preserve"> </w:t>
      </w:r>
      <w:r>
        <w:t xml:space="preserve">ensure access of domestic workers to a worker friendly grievance redressal mechanism to </w:t>
      </w:r>
      <w:proofErr w:type="gramStart"/>
      <w:r>
        <w:t>report  violations</w:t>
      </w:r>
      <w:proofErr w:type="gramEnd"/>
      <w:r>
        <w:t xml:space="preserve"> of working conditions, abuse and seek justice without fear of retaliation. Worker facilitation centers must be set up to assist workers in approaching the GRM. </w:t>
      </w:r>
    </w:p>
    <w:p w14:paraId="00000073" w14:textId="77777777" w:rsidR="00F54A1B" w:rsidRDefault="00000000">
      <w:pPr>
        <w:numPr>
          <w:ilvl w:val="0"/>
          <w:numId w:val="4"/>
        </w:numPr>
        <w:jc w:val="both"/>
      </w:pPr>
      <w:r>
        <w:t xml:space="preserve">Pass sector specific regulation that addresses the specificities and working conditions of domestic workers, including live-in domestic workers, and those employed through digital platforms. </w:t>
      </w:r>
    </w:p>
    <w:p w14:paraId="00000074" w14:textId="77777777" w:rsidR="00F54A1B" w:rsidRDefault="00000000">
      <w:pPr>
        <w:widowControl w:val="0"/>
        <w:numPr>
          <w:ilvl w:val="0"/>
          <w:numId w:val="4"/>
        </w:numPr>
        <w:jc w:val="both"/>
      </w:pPr>
      <w:r>
        <w:rPr>
          <w:b/>
          <w:bCs/>
        </w:rPr>
        <w:t>Basic Amenities:</w:t>
      </w:r>
      <w:r>
        <w:t xml:space="preserve">  guarantee domestic workers access </w:t>
      </w:r>
      <w:proofErr w:type="gramStart"/>
      <w:r>
        <w:t>to  basic</w:t>
      </w:r>
      <w:proofErr w:type="gramEnd"/>
      <w:r>
        <w:t xml:space="preserve"> amenities including safe drinking water, food, first aid and access to washrooms. Prohibit the denial of domestic </w:t>
      </w:r>
      <w:proofErr w:type="gramStart"/>
      <w:r>
        <w:t>worker  access</w:t>
      </w:r>
      <w:proofErr w:type="gramEnd"/>
      <w:r>
        <w:t xml:space="preserve"> to common areas including lifts, restrooms in apartment complexes. </w:t>
      </w:r>
    </w:p>
    <w:p w14:paraId="00000075" w14:textId="77777777" w:rsidR="00F54A1B" w:rsidRDefault="00000000">
      <w:pPr>
        <w:widowControl w:val="0"/>
        <w:numPr>
          <w:ilvl w:val="0"/>
          <w:numId w:val="4"/>
        </w:numPr>
        <w:jc w:val="both"/>
      </w:pPr>
      <w:r>
        <w:rPr>
          <w:b/>
          <w:bCs/>
        </w:rPr>
        <w:t>Additional Entitlements for Live-In Workers:</w:t>
      </w:r>
      <w:r>
        <w:t xml:space="preserve"> safety protections must be extended to include live-in domestic workers accommodation. </w:t>
      </w:r>
    </w:p>
    <w:p w14:paraId="00000076" w14:textId="77777777" w:rsidR="00F54A1B" w:rsidRDefault="00000000">
      <w:pPr>
        <w:numPr>
          <w:ilvl w:val="0"/>
          <w:numId w:val="2"/>
        </w:numPr>
        <w:jc w:val="both"/>
      </w:pPr>
      <w:proofErr w:type="gramStart"/>
      <w:r>
        <w:rPr>
          <w:b/>
          <w:bCs/>
          <w:u w:val="single"/>
        </w:rPr>
        <w:t>Pass  comprehensive</w:t>
      </w:r>
      <w:proofErr w:type="gramEnd"/>
      <w:r>
        <w:rPr>
          <w:b/>
          <w:bCs/>
          <w:u w:val="single"/>
        </w:rPr>
        <w:t xml:space="preserve"> legislation addressing anti-discrimination in employment,</w:t>
      </w:r>
      <w:r>
        <w:t xml:space="preserve"> including on the grounds of ethnicity, religion, disability and with provisions for redress and compensation for discrimination suffered. The </w:t>
      </w:r>
      <w:proofErr w:type="spellStart"/>
      <w:r>
        <w:t>Labour</w:t>
      </w:r>
      <w:proofErr w:type="spellEnd"/>
      <w:r>
        <w:t xml:space="preserve"> Department must legally extend the jurisdiction to address discrimination at the workplace, and civil remedies must be evolved to address discrimination. </w:t>
      </w:r>
    </w:p>
    <w:p w14:paraId="00000077" w14:textId="77777777" w:rsidR="00F54A1B" w:rsidRDefault="00000000">
      <w:pPr>
        <w:numPr>
          <w:ilvl w:val="0"/>
          <w:numId w:val="2"/>
        </w:numPr>
        <w:jc w:val="both"/>
      </w:pPr>
      <w:r>
        <w:rPr>
          <w:b/>
          <w:bCs/>
          <w:u w:val="single"/>
        </w:rPr>
        <w:t>The Government of India must establish a specialized independent equality body</w:t>
      </w:r>
      <w:r>
        <w:t xml:space="preserve"> both at the central and state level to address complaints regarding discrimination. These bodies must be given the powers of a civil </w:t>
      </w:r>
      <w:proofErr w:type="gramStart"/>
      <w:r>
        <w:t>court, and</w:t>
      </w:r>
      <w:proofErr w:type="gramEnd"/>
      <w:r>
        <w:t xml:space="preserve"> must be allowed to pass judgments on compensation and provide other redress. </w:t>
      </w:r>
    </w:p>
    <w:p w14:paraId="00000078" w14:textId="77777777" w:rsidR="00F54A1B" w:rsidRDefault="00000000">
      <w:pPr>
        <w:numPr>
          <w:ilvl w:val="0"/>
          <w:numId w:val="2"/>
        </w:numPr>
        <w:jc w:val="both"/>
      </w:pPr>
      <w:r>
        <w:rPr>
          <w:b/>
          <w:bCs/>
          <w:u w:val="single"/>
        </w:rPr>
        <w:t>Amend POSH Act</w:t>
      </w:r>
      <w:r>
        <w:t xml:space="preserve"> to expand its ambit beyond sexual harassment to address gender-based violence and harassment at work.  </w:t>
      </w:r>
    </w:p>
    <w:p w14:paraId="00000079" w14:textId="77777777" w:rsidR="00F54A1B" w:rsidRDefault="00000000">
      <w:pPr>
        <w:numPr>
          <w:ilvl w:val="0"/>
          <w:numId w:val="2"/>
        </w:numPr>
        <w:spacing w:after="280"/>
        <w:jc w:val="both"/>
      </w:pPr>
      <w:r>
        <w:rPr>
          <w:b/>
          <w:bCs/>
          <w:u w:val="single"/>
        </w:rPr>
        <w:t>Ratify and domesticate ILO Conventions No. 189 and No. 190</w:t>
      </w:r>
      <w:r>
        <w:rPr>
          <w:u w:val="single"/>
        </w:rPr>
        <w:t>:</w:t>
      </w:r>
      <w:r>
        <w:t xml:space="preserve"> to facilitate </w:t>
      </w:r>
      <w:proofErr w:type="spellStart"/>
      <w:r>
        <w:t>domesticization</w:t>
      </w:r>
      <w:proofErr w:type="spellEnd"/>
      <w:r>
        <w:t xml:space="preserve"> of robust protections for domestic workers against labor exploitation and gender-based violence.</w:t>
      </w:r>
    </w:p>
    <w:p w14:paraId="0000007A" w14:textId="77777777" w:rsidR="00F54A1B" w:rsidRDefault="00F54A1B">
      <w:pPr>
        <w:spacing w:before="280" w:after="280"/>
        <w:jc w:val="both"/>
      </w:pPr>
    </w:p>
    <w:sectPr w:rsidR="00F54A1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53CDD" w14:textId="77777777" w:rsidR="00A12AEB" w:rsidRDefault="00A12AEB">
      <w:pPr>
        <w:spacing w:line="240" w:lineRule="auto"/>
      </w:pPr>
      <w:r>
        <w:separator/>
      </w:r>
    </w:p>
  </w:endnote>
  <w:endnote w:type="continuationSeparator" w:id="0">
    <w:p w14:paraId="7CD570E8" w14:textId="77777777" w:rsidR="00A12AEB" w:rsidRDefault="00A12A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808CE4EF-BFF3-6F41-96A4-E9BAC559CF6C}"/>
    <w:embedBold r:id="rId2" w:fontKey="{0FB7F384-6826-E844-85A9-496253A142D1}"/>
    <w:embedItalic r:id="rId3" w:fontKey="{0924859A-7FDC-1641-BC46-E058ACD3B8D1}"/>
    <w:embedBoldItalic r:id="rId4" w:fontKey="{8A0B1EEB-4ABD-5848-9D8F-C5AA89057365}"/>
  </w:font>
  <w:font w:name="Times New Roman">
    <w:panose1 w:val="02020603050405020304"/>
    <w:charset w:val="00"/>
    <w:family w:val="roman"/>
    <w:pitch w:val="variable"/>
    <w:sig w:usb0="E0002EFF" w:usb1="C000785B" w:usb2="00000009" w:usb3="00000000" w:csb0="000001FF" w:csb1="00000000"/>
    <w:embedRegular r:id="rId5" w:fontKey="{36C7221D-F437-8C4E-B7A6-A1DB6FB6FAB0}"/>
    <w:embedItalic r:id="rId6" w:fontKey="{41E0B503-8858-E443-8B92-6D6A19D2AE13}"/>
  </w:font>
  <w:font w:name="Calibri">
    <w:panose1 w:val="020F0502020204030204"/>
    <w:charset w:val="00"/>
    <w:family w:val="swiss"/>
    <w:pitch w:val="variable"/>
    <w:sig w:usb0="E0002AFF" w:usb1="C000247B" w:usb2="00000009" w:usb3="00000000" w:csb0="000001FF" w:csb1="00000000"/>
    <w:embedRegular r:id="rId7" w:fontKey="{4C506BA6-5607-484C-8DC3-B06E1161E25F}"/>
  </w:font>
  <w:font w:name="Cambria">
    <w:panose1 w:val="02040503050406030204"/>
    <w:charset w:val="00"/>
    <w:family w:val="roman"/>
    <w:pitch w:val="variable"/>
    <w:sig w:usb0="E00002FF" w:usb1="400004FF" w:usb2="00000000" w:usb3="00000000" w:csb0="0000019F" w:csb1="00000000"/>
    <w:embedRegular r:id="rId8" w:fontKey="{974F9673-6D4B-5744-834A-1360EE4585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E" w14:textId="5A084054" w:rsidR="00F54A1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1620FA">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617DA" w14:textId="77777777" w:rsidR="00A12AEB" w:rsidRDefault="00A12AEB">
      <w:pPr>
        <w:spacing w:line="240" w:lineRule="auto"/>
      </w:pPr>
      <w:r>
        <w:separator/>
      </w:r>
    </w:p>
  </w:footnote>
  <w:footnote w:type="continuationSeparator" w:id="0">
    <w:p w14:paraId="1C33B98F" w14:textId="77777777" w:rsidR="00A12AEB" w:rsidRDefault="00A12AEB">
      <w:pPr>
        <w:spacing w:line="240" w:lineRule="auto"/>
      </w:pPr>
      <w:r>
        <w:continuationSeparator/>
      </w:r>
    </w:p>
  </w:footnote>
  <w:footnote w:id="1">
    <w:p w14:paraId="0000008F" w14:textId="77777777" w:rsidR="00F54A1B" w:rsidRDefault="00000000">
      <w:pPr>
        <w:spacing w:line="240" w:lineRule="auto"/>
        <w:rPr>
          <w:sz w:val="20"/>
          <w:szCs w:val="20"/>
        </w:rPr>
      </w:pPr>
      <w:r>
        <w:rPr>
          <w:vertAlign w:val="superscript"/>
        </w:rPr>
        <w:footnoteRef/>
      </w:r>
      <w:r>
        <w:rPr>
          <w:sz w:val="20"/>
          <w:szCs w:val="20"/>
        </w:rPr>
        <w:t xml:space="preserve"> Article 1 and Article 246, Constitution of India. </w:t>
      </w:r>
      <w:hyperlink r:id="rId1">
        <w:r w:rsidR="00F54A1B">
          <w:rPr>
            <w:color w:val="1155CC"/>
            <w:sz w:val="20"/>
            <w:szCs w:val="20"/>
            <w:u w:val="single"/>
          </w:rPr>
          <w:t>https://cdnbbsr.s3waas.gov.in/s380537a945c7aaa788ccfcdf1b99b5d8f/uploads/2024/07/20240716890312078.pdf</w:t>
        </w:r>
      </w:hyperlink>
      <w:r>
        <w:rPr>
          <w:sz w:val="20"/>
          <w:szCs w:val="20"/>
        </w:rPr>
        <w:t xml:space="preserve"> </w:t>
      </w:r>
    </w:p>
  </w:footnote>
  <w:footnote w:id="2">
    <w:p w14:paraId="000000A0" w14:textId="77777777" w:rsidR="00F54A1B" w:rsidRDefault="00000000">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proofErr w:type="gramStart"/>
      <w:r>
        <w:rPr>
          <w:rFonts w:ascii="Times New Roman" w:eastAsia="Times New Roman" w:hAnsi="Times New Roman" w:cs="Times New Roman"/>
          <w:sz w:val="20"/>
          <w:szCs w:val="20"/>
        </w:rPr>
        <w:t>With the exception of</w:t>
      </w:r>
      <w:proofErr w:type="gramEnd"/>
      <w:r>
        <w:rPr>
          <w:rFonts w:ascii="Times New Roman" w:eastAsia="Times New Roman" w:hAnsi="Times New Roman" w:cs="Times New Roman"/>
          <w:sz w:val="20"/>
          <w:szCs w:val="20"/>
        </w:rPr>
        <w:t xml:space="preserve"> POSH legislation on sexual harassment which includes domestic workers within its framework.</w:t>
      </w:r>
    </w:p>
  </w:footnote>
  <w:footnote w:id="3">
    <w:p w14:paraId="00000097" w14:textId="77777777" w:rsidR="00F54A1B"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Press Information Bureau India. India’s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Reforms: Simplification, Security, and Sustainable Growth. Available here: </w:t>
      </w:r>
      <w:hyperlink r:id="rId2">
        <w:r w:rsidR="00F54A1B">
          <w:rPr>
            <w:color w:val="1155CC"/>
            <w:u w:val="single"/>
          </w:rPr>
          <w:t>https://www.pib.gov.in/PressReleasePage.aspx?PRID=2192524&amp;reg=3&amp;lang=2</w:t>
        </w:r>
      </w:hyperlink>
      <w:r>
        <w:t xml:space="preserve"> </w:t>
      </w:r>
    </w:p>
  </w:footnote>
  <w:footnote w:id="4">
    <w:p w14:paraId="000000A7"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Caste system is a form of social stratification whereby people are divided into hierarchical groups by birth and designated particular occupations. It reinforces the access and distribution of resources and has, historically, excluded and marginalized caste groups such as Dalits. Even though caste discrimination is illegal, to date, occupations with low pay or perceived low value such as waste picking, manual scavenging, and cleaning are done by people belonging to designated lower castes. For more information on caste discrimination see B R Ambedkar, Annihilation of Caste (</w:t>
      </w:r>
      <w:proofErr w:type="spellStart"/>
      <w:r>
        <w:rPr>
          <w:rFonts w:ascii="Times New Roman" w:eastAsia="Times New Roman" w:hAnsi="Times New Roman" w:cs="Times New Roman"/>
          <w:sz w:val="20"/>
          <w:szCs w:val="20"/>
        </w:rPr>
        <w:t>Navayana</w:t>
      </w:r>
      <w:proofErr w:type="spellEnd"/>
      <w:r>
        <w:rPr>
          <w:rFonts w:ascii="Times New Roman" w:eastAsia="Times New Roman" w:hAnsi="Times New Roman" w:cs="Times New Roman"/>
          <w:sz w:val="20"/>
          <w:szCs w:val="20"/>
        </w:rPr>
        <w:t xml:space="preserve"> 2014) (originally published 1936) and Anand </w:t>
      </w:r>
      <w:proofErr w:type="spellStart"/>
      <w:r>
        <w:rPr>
          <w:rFonts w:ascii="Times New Roman" w:eastAsia="Times New Roman" w:hAnsi="Times New Roman" w:cs="Times New Roman"/>
          <w:sz w:val="20"/>
          <w:szCs w:val="20"/>
        </w:rPr>
        <w:t>Teltumbde</w:t>
      </w:r>
      <w:proofErr w:type="spellEnd"/>
      <w:r>
        <w:rPr>
          <w:rFonts w:ascii="Times New Roman" w:eastAsia="Times New Roman" w:hAnsi="Times New Roman" w:cs="Times New Roman"/>
          <w:sz w:val="20"/>
          <w:szCs w:val="20"/>
        </w:rPr>
        <w:t xml:space="preserve">. The Persistence of Caste: The </w:t>
      </w:r>
      <w:proofErr w:type="spellStart"/>
      <w:r>
        <w:rPr>
          <w:rFonts w:ascii="Times New Roman" w:eastAsia="Times New Roman" w:hAnsi="Times New Roman" w:cs="Times New Roman"/>
          <w:sz w:val="20"/>
          <w:szCs w:val="20"/>
        </w:rPr>
        <w:t>Khairlanji</w:t>
      </w:r>
      <w:proofErr w:type="spellEnd"/>
      <w:r>
        <w:rPr>
          <w:rFonts w:ascii="Times New Roman" w:eastAsia="Times New Roman" w:hAnsi="Times New Roman" w:cs="Times New Roman"/>
          <w:sz w:val="20"/>
          <w:szCs w:val="20"/>
        </w:rPr>
        <w:t xml:space="preserve"> Murders and India’s Hidden </w:t>
      </w:r>
      <w:proofErr w:type="gramStart"/>
      <w:r>
        <w:rPr>
          <w:rFonts w:ascii="Times New Roman" w:eastAsia="Times New Roman" w:hAnsi="Times New Roman" w:cs="Times New Roman"/>
          <w:sz w:val="20"/>
          <w:szCs w:val="20"/>
        </w:rPr>
        <w:t>Apartheid.(</w:t>
      </w:r>
      <w:proofErr w:type="gramEnd"/>
      <w:r>
        <w:rPr>
          <w:rFonts w:ascii="Times New Roman" w:eastAsia="Times New Roman" w:hAnsi="Times New Roman" w:cs="Times New Roman"/>
          <w:sz w:val="20"/>
          <w:szCs w:val="20"/>
        </w:rPr>
        <w:t xml:space="preserve">Zed Books 2010) </w:t>
      </w:r>
    </w:p>
  </w:footnote>
  <w:footnote w:id="5">
    <w:p w14:paraId="000000AD" w14:textId="77777777" w:rsidR="00F54A1B" w:rsidRDefault="00000000">
      <w:pPr>
        <w:spacing w:line="240" w:lineRule="auto"/>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Chadha, </w:t>
      </w:r>
      <w:proofErr w:type="spellStart"/>
      <w:r>
        <w:rPr>
          <w:rFonts w:ascii="Times New Roman" w:eastAsia="Times New Roman" w:hAnsi="Times New Roman" w:cs="Times New Roman"/>
          <w:sz w:val="18"/>
          <w:szCs w:val="18"/>
        </w:rPr>
        <w:t>Neymat</w:t>
      </w:r>
      <w:proofErr w:type="spellEnd"/>
      <w:r>
        <w:rPr>
          <w:rFonts w:ascii="Times New Roman" w:eastAsia="Times New Roman" w:hAnsi="Times New Roman" w:cs="Times New Roman"/>
          <w:sz w:val="18"/>
          <w:szCs w:val="18"/>
        </w:rPr>
        <w:t>. Domestic Workers in India: An Invisible Workforce. Social and Political Research Foundation</w:t>
      </w:r>
      <w:r>
        <w:rPr>
          <w:rFonts w:ascii="Times New Roman" w:eastAsia="Times New Roman" w:hAnsi="Times New Roman" w:cs="Times New Roman"/>
          <w:color w:val="191B1C"/>
          <w:sz w:val="15"/>
          <w:szCs w:val="15"/>
        </w:rPr>
        <w:t xml:space="preserve">. 2020. </w:t>
      </w:r>
    </w:p>
  </w:footnote>
  <w:footnote w:id="6">
    <w:p w14:paraId="000000A5" w14:textId="77777777" w:rsidR="00F54A1B"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Neetha</w:t>
      </w:r>
      <w:proofErr w:type="spellEnd"/>
      <w:r>
        <w:rPr>
          <w:rFonts w:ascii="Times New Roman" w:eastAsia="Times New Roman" w:hAnsi="Times New Roman" w:cs="Times New Roman"/>
          <w:sz w:val="18"/>
          <w:szCs w:val="18"/>
        </w:rPr>
        <w:t xml:space="preserve"> N. Minimum wage setting practices in domestic work: an inter-state analysis, International </w:t>
      </w:r>
      <w:proofErr w:type="spellStart"/>
      <w:r>
        <w:rPr>
          <w:rFonts w:ascii="Times New Roman" w:eastAsia="Times New Roman" w:hAnsi="Times New Roman" w:cs="Times New Roman"/>
          <w:sz w:val="18"/>
          <w:szCs w:val="18"/>
        </w:rPr>
        <w:t>Labour</w:t>
      </w:r>
      <w:proofErr w:type="spellEnd"/>
      <w:r>
        <w:rPr>
          <w:rFonts w:ascii="Times New Roman" w:eastAsia="Times New Roman" w:hAnsi="Times New Roman" w:cs="Times New Roman"/>
          <w:sz w:val="18"/>
          <w:szCs w:val="18"/>
        </w:rPr>
        <w:t xml:space="preserve"> Organization, p11(2015)</w:t>
      </w:r>
    </w:p>
  </w:footnote>
  <w:footnote w:id="7">
    <w:p w14:paraId="000000A6" w14:textId="77777777" w:rsidR="00F54A1B" w:rsidRDefault="00000000">
      <w:pPr>
        <w:spacing w:line="240" w:lineRule="auto"/>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Sonal Sharma Domestic workers, class-hegemony, and the Indian state: a sociological perspective on </w:t>
      </w:r>
      <w:proofErr w:type="gramStart"/>
      <w:r>
        <w:rPr>
          <w:rFonts w:ascii="Times New Roman" w:eastAsia="Times New Roman" w:hAnsi="Times New Roman" w:cs="Times New Roman"/>
          <w:sz w:val="18"/>
          <w:szCs w:val="18"/>
        </w:rPr>
        <w:t>ideology,  13</w:t>
      </w:r>
      <w:proofErr w:type="gramEnd"/>
      <w:r>
        <w:rPr>
          <w:rFonts w:ascii="Times New Roman" w:eastAsia="Times New Roman" w:hAnsi="Times New Roman" w:cs="Times New Roman"/>
          <w:sz w:val="18"/>
          <w:szCs w:val="18"/>
        </w:rPr>
        <w:t>:4, South Asian History and Culture, p528-545 (2022)</w:t>
      </w:r>
    </w:p>
  </w:footnote>
  <w:footnote w:id="8">
    <w:p w14:paraId="000000AC" w14:textId="77777777" w:rsidR="00F54A1B" w:rsidRDefault="00000000">
      <w:pPr>
        <w:spacing w:line="240" w:lineRule="auto"/>
        <w:rPr>
          <w:sz w:val="20"/>
          <w:szCs w:val="20"/>
        </w:rPr>
      </w:pPr>
      <w:r>
        <w:rPr>
          <w:vertAlign w:val="superscript"/>
        </w:rPr>
        <w:footnoteRef/>
      </w:r>
      <w:r>
        <w:rPr>
          <w:sz w:val="20"/>
          <w:szCs w:val="20"/>
        </w:rPr>
        <w:t xml:space="preserve"> https://digitallibrary.un.org/record/502479</w:t>
      </w:r>
    </w:p>
  </w:footnote>
  <w:footnote w:id="9">
    <w:p w14:paraId="0000007B"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These include the Universal Declaration of Human Rights (UDHR), the International Covenant on Economic, Social and Cultural Rights (ICESCR</w:t>
      </w:r>
      <w:proofErr w:type="gramStart"/>
      <w:r>
        <w:rPr>
          <w:rFonts w:ascii="Times New Roman" w:eastAsia="Times New Roman" w:hAnsi="Times New Roman" w:cs="Times New Roman"/>
          <w:sz w:val="20"/>
          <w:szCs w:val="20"/>
        </w:rPr>
        <w:t>) ,</w:t>
      </w:r>
      <w:proofErr w:type="gramEnd"/>
      <w:r>
        <w:rPr>
          <w:rFonts w:ascii="Times New Roman" w:eastAsia="Times New Roman" w:hAnsi="Times New Roman" w:cs="Times New Roman"/>
          <w:sz w:val="20"/>
          <w:szCs w:val="20"/>
        </w:rPr>
        <w:t xml:space="preserve"> the Convention on the Elimination of Discrimination Against Women (CEDAW) and the Convention on the Rights to the Child (CRC). India is also a member of the International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Organization. Under this membership, it is bound to respect the ILO Declaration of Philadelphia, 1944 which affirms that “all human beings, irrespective of race, creed or sex, have the right to pursue both their material well-being and their spiritual development in conditions of freedom and dignity, of economic security and equal opportunity”. India has also ratified several key International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Organization (ILO) conventions including the six of the eight ILO fundamental conventions. More significantly, India has ratified the ILO Convention on Discrimination (Employment and Occupational) Convention, 1958 (No.111) which provides a framework to address discrimination and sexual harassment in the workplace. </w:t>
      </w:r>
    </w:p>
  </w:footnote>
  <w:footnote w:id="10">
    <w:p w14:paraId="0000007C" w14:textId="77777777" w:rsidR="00F54A1B" w:rsidRDefault="00000000">
      <w:pPr>
        <w:spacing w:line="240" w:lineRule="auto"/>
        <w:rPr>
          <w:rFonts w:ascii="Times New Roman" w:eastAsia="Times New Roman" w:hAnsi="Times New Roman" w:cs="Times New Roman"/>
          <w:sz w:val="24"/>
          <w:szCs w:val="24"/>
        </w:rPr>
      </w:pPr>
      <w:r>
        <w:rPr>
          <w:vertAlign w:val="superscript"/>
        </w:rPr>
        <w:footnoteRef/>
      </w:r>
      <w:r>
        <w:rPr>
          <w:sz w:val="20"/>
          <w:szCs w:val="20"/>
        </w:rPr>
        <w:t xml:space="preserve"> https://webapps.ilo.org/static/english/inwork/cb-policy-guide/declarationofPhiladelphia1944.pdf</w:t>
      </w:r>
    </w:p>
  </w:footnote>
  <w:footnote w:id="11">
    <w:p w14:paraId="000000A1"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Indian Constitution does not have a specific reference to the status of international law in the domestic legal system, </w:t>
      </w:r>
      <w:proofErr w:type="gramStart"/>
      <w:r>
        <w:rPr>
          <w:rFonts w:ascii="Times New Roman" w:eastAsia="Times New Roman" w:hAnsi="Times New Roman" w:cs="Times New Roman"/>
          <w:sz w:val="20"/>
          <w:szCs w:val="20"/>
        </w:rPr>
        <w:t>though  Article</w:t>
      </w:r>
      <w:proofErr w:type="gramEnd"/>
      <w:r>
        <w:rPr>
          <w:rFonts w:ascii="Times New Roman" w:eastAsia="Times New Roman" w:hAnsi="Times New Roman" w:cs="Times New Roman"/>
          <w:sz w:val="20"/>
          <w:szCs w:val="20"/>
        </w:rPr>
        <w:t xml:space="preserve"> 51 of the Indian Constitution, states the “The State shall </w:t>
      </w:r>
      <w:proofErr w:type="spellStart"/>
      <w:r>
        <w:rPr>
          <w:rFonts w:ascii="Times New Roman" w:eastAsia="Times New Roman" w:hAnsi="Times New Roman" w:cs="Times New Roman"/>
          <w:sz w:val="20"/>
          <w:szCs w:val="20"/>
        </w:rPr>
        <w:t>endeavour</w:t>
      </w:r>
      <w:proofErr w:type="spellEnd"/>
      <w:r>
        <w:rPr>
          <w:rFonts w:ascii="Times New Roman" w:eastAsia="Times New Roman" w:hAnsi="Times New Roman" w:cs="Times New Roman"/>
          <w:sz w:val="20"/>
          <w:szCs w:val="20"/>
        </w:rPr>
        <w:t xml:space="preserve"> to  foster respect for international law and treaty obligations in the dealings of </w:t>
      </w:r>
      <w:proofErr w:type="spellStart"/>
      <w:r>
        <w:rPr>
          <w:rFonts w:ascii="Times New Roman" w:eastAsia="Times New Roman" w:hAnsi="Times New Roman" w:cs="Times New Roman"/>
          <w:sz w:val="20"/>
          <w:szCs w:val="20"/>
        </w:rPr>
        <w:t>organised</w:t>
      </w:r>
      <w:proofErr w:type="spellEnd"/>
      <w:r>
        <w:rPr>
          <w:rFonts w:ascii="Times New Roman" w:eastAsia="Times New Roman" w:hAnsi="Times New Roman" w:cs="Times New Roman"/>
          <w:sz w:val="20"/>
          <w:szCs w:val="20"/>
        </w:rPr>
        <w:t xml:space="preserve"> peoples with one another”.  Article 230 of the Indian Constitution states that, Parliament has power to make any law for any State or part thereof for implementing any treaty, agreement or convention with any other country or countries. Article 253 of the Indian Constitution states that for any international convention, treaty or agreement to apply to India, an enabling domestic legislation must be enacted. </w:t>
      </w:r>
    </w:p>
  </w:footnote>
  <w:footnote w:id="12">
    <w:p w14:paraId="00000089"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AIR 1997 SC 3011.</w:t>
      </w:r>
    </w:p>
  </w:footnote>
  <w:footnote w:id="13">
    <w:p w14:paraId="00000088"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4">
    <w:p w14:paraId="0000007D"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People's Union for Democratic Rights v. Union of India, AIR 1982 SC 1473 </w:t>
      </w:r>
    </w:p>
  </w:footnote>
  <w:footnote w:id="15">
    <w:p w14:paraId="0000008A"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Maneka</w:t>
      </w:r>
      <w:proofErr w:type="spellEnd"/>
      <w:r>
        <w:rPr>
          <w:rFonts w:ascii="Times New Roman" w:eastAsia="Times New Roman" w:hAnsi="Times New Roman" w:cs="Times New Roman"/>
          <w:sz w:val="20"/>
          <w:szCs w:val="20"/>
        </w:rPr>
        <w:t xml:space="preserve"> Gandhi v Union of India, AIR 1978 SC 597</w:t>
      </w:r>
    </w:p>
  </w:footnote>
  <w:footnote w:id="16">
    <w:p w14:paraId="000000AA"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Hamsaanandini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Nanduri</w:t>
      </w:r>
      <w:proofErr w:type="spellEnd"/>
      <w:r>
        <w:rPr>
          <w:rFonts w:ascii="Times New Roman" w:eastAsia="Times New Roman" w:hAnsi="Times New Roman" w:cs="Times New Roman"/>
          <w:sz w:val="20"/>
          <w:szCs w:val="20"/>
        </w:rPr>
        <w:t xml:space="preserve"> v Union of India and Others (2026 INSC 246), decided Mar 17, 2026</w:t>
      </w:r>
    </w:p>
  </w:footnote>
  <w:footnote w:id="17">
    <w:p w14:paraId="000000A9"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M/s Premium Transmission Private Limited v State of Maharashtra &amp; Ors (2026 INSC 87), decided January 27, 2026</w:t>
      </w:r>
    </w:p>
  </w:footnote>
  <w:footnote w:id="18">
    <w:p w14:paraId="000000AB"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Prajwala</w:t>
      </w:r>
      <w:proofErr w:type="spellEnd"/>
      <w:r>
        <w:rPr>
          <w:rFonts w:ascii="Times New Roman" w:eastAsia="Times New Roman" w:hAnsi="Times New Roman" w:cs="Times New Roman"/>
          <w:sz w:val="20"/>
          <w:szCs w:val="20"/>
        </w:rPr>
        <w:t xml:space="preserve"> v Union of India &amp; Others, 2026 INSC 609, decided on May 29</w:t>
      </w:r>
      <w:proofErr w:type="gramStart"/>
      <w:r>
        <w:rPr>
          <w:rFonts w:ascii="Times New Roman" w:eastAsia="Times New Roman" w:hAnsi="Times New Roman" w:cs="Times New Roman"/>
          <w:sz w:val="20"/>
          <w:szCs w:val="20"/>
        </w:rPr>
        <w:t xml:space="preserve"> 2026</w:t>
      </w:r>
      <w:proofErr w:type="gramEnd"/>
      <w:r>
        <w:rPr>
          <w:rFonts w:ascii="Times New Roman" w:eastAsia="Times New Roman" w:hAnsi="Times New Roman" w:cs="Times New Roman"/>
          <w:sz w:val="20"/>
          <w:szCs w:val="20"/>
        </w:rPr>
        <w:t>.</w:t>
      </w:r>
    </w:p>
  </w:footnote>
  <w:footnote w:id="19">
    <w:p w14:paraId="0000008D"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39, Indian Constitution </w:t>
      </w:r>
    </w:p>
  </w:footnote>
  <w:footnote w:id="20">
    <w:p w14:paraId="0000008B" w14:textId="77777777" w:rsidR="00F54A1B" w:rsidRDefault="00000000">
      <w:pPr>
        <w:spacing w:line="240" w:lineRule="auto"/>
        <w:rPr>
          <w:rFonts w:ascii="Times New Roman" w:eastAsia="Times New Roman" w:hAnsi="Times New Roman" w:cs="Times New Roman"/>
          <w:sz w:val="24"/>
          <w:szCs w:val="24"/>
        </w:rPr>
      </w:pPr>
      <w:r>
        <w:rPr>
          <w:vertAlign w:val="superscript"/>
        </w:rPr>
        <w:footnoteRef/>
      </w:r>
      <w:r>
        <w:rPr>
          <w:sz w:val="20"/>
          <w:szCs w:val="20"/>
        </w:rPr>
        <w:t xml:space="preserve"> </w:t>
      </w:r>
      <w:r>
        <w:rPr>
          <w:rFonts w:ascii="Times New Roman" w:eastAsia="Times New Roman" w:hAnsi="Times New Roman" w:cs="Times New Roman"/>
          <w:sz w:val="20"/>
          <w:szCs w:val="20"/>
        </w:rPr>
        <w:t>AIR 1984 SC 802</w:t>
      </w:r>
    </w:p>
  </w:footnote>
  <w:footnote w:id="21">
    <w:p w14:paraId="0000008C"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2">
    <w:p w14:paraId="00000090"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definition of establishment (v) “establishment” means—</w:t>
      </w:r>
    </w:p>
    <w:p w14:paraId="00000091" w14:textId="77777777" w:rsidR="00F54A1B"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i</w:t>
      </w:r>
      <w:proofErr w:type="spellEnd"/>
      <w:r>
        <w:rPr>
          <w:rFonts w:ascii="Times New Roman" w:eastAsia="Times New Roman" w:hAnsi="Times New Roman" w:cs="Times New Roman"/>
          <w:sz w:val="20"/>
          <w:szCs w:val="20"/>
        </w:rPr>
        <w:t>) a place where any industry, trade, business, manufacturing or occupation is carried on in which ten or more workers are employed; or</w:t>
      </w:r>
    </w:p>
    <w:p w14:paraId="00000092" w14:textId="77777777" w:rsidR="00F54A1B"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(ii) motor transport undertaking, newspaper establishment, audio-video production, building and other construction work or plantation, in which ten or more workers are employed; or</w:t>
      </w:r>
    </w:p>
    <w:p w14:paraId="00000093" w14:textId="77777777" w:rsidR="00F54A1B"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(iii) factory, for the purpose of Chapter II, in which ten or more workers are employed, notwithstanding the threshold of workers provided in clause (w); or (iv) a mine or port or vicinity of port where dock work is carried out:</w:t>
      </w:r>
    </w:p>
    <w:p w14:paraId="00000094" w14:textId="77777777" w:rsidR="00F54A1B"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Provided that in sub-clauses (</w:t>
      </w:r>
      <w:proofErr w:type="spellStart"/>
      <w:r>
        <w:rPr>
          <w:rFonts w:ascii="Times New Roman" w:eastAsia="Times New Roman" w:hAnsi="Times New Roman" w:cs="Times New Roman"/>
          <w:sz w:val="20"/>
          <w:szCs w:val="20"/>
        </w:rPr>
        <w:t>i</w:t>
      </w:r>
      <w:proofErr w:type="spellEnd"/>
      <w:r>
        <w:rPr>
          <w:rFonts w:ascii="Times New Roman" w:eastAsia="Times New Roman" w:hAnsi="Times New Roman" w:cs="Times New Roman"/>
          <w:sz w:val="20"/>
          <w:szCs w:val="20"/>
        </w:rPr>
        <w:t xml:space="preserve">) and (ii), the threshold of worker specified therein shall not be applicable in case of such establishment or class of establishments, in which such hazardous or </w:t>
      </w:r>
      <w:proofErr w:type="gramStart"/>
      <w:r>
        <w:rPr>
          <w:rFonts w:ascii="Times New Roman" w:eastAsia="Times New Roman" w:hAnsi="Times New Roman" w:cs="Times New Roman"/>
          <w:sz w:val="20"/>
          <w:szCs w:val="20"/>
        </w:rPr>
        <w:t>life threatening</w:t>
      </w:r>
      <w:proofErr w:type="gramEnd"/>
      <w:r>
        <w:rPr>
          <w:rFonts w:ascii="Times New Roman" w:eastAsia="Times New Roman" w:hAnsi="Times New Roman" w:cs="Times New Roman"/>
          <w:sz w:val="20"/>
          <w:szCs w:val="20"/>
        </w:rPr>
        <w:t xml:space="preserve"> activity is being carried on, as may be notified by the Central Government:</w:t>
      </w:r>
    </w:p>
    <w:p w14:paraId="00000095" w14:textId="77777777" w:rsidR="00F54A1B"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Provided further that notwithstanding any threshold provided in the definition of factory in clause (w), for the purposes of Chapter II, the establishment specified in sub-clause (</w:t>
      </w:r>
      <w:proofErr w:type="spellStart"/>
      <w:r>
        <w:rPr>
          <w:rFonts w:ascii="Times New Roman" w:eastAsia="Times New Roman" w:hAnsi="Times New Roman" w:cs="Times New Roman"/>
          <w:sz w:val="20"/>
          <w:szCs w:val="20"/>
        </w:rPr>
        <w:t>i</w:t>
      </w:r>
      <w:proofErr w:type="spellEnd"/>
      <w:r>
        <w:rPr>
          <w:rFonts w:ascii="Times New Roman" w:eastAsia="Times New Roman" w:hAnsi="Times New Roman" w:cs="Times New Roman"/>
          <w:sz w:val="20"/>
          <w:szCs w:val="20"/>
        </w:rPr>
        <w:t xml:space="preserve">) or sub-clause (ii) or sub-clause (iii) shall be deemed to be the establishment within the meaning of this clause though the number of employees employed are ten or </w:t>
      </w:r>
      <w:proofErr w:type="gramStart"/>
      <w:r>
        <w:rPr>
          <w:rFonts w:ascii="Times New Roman" w:eastAsia="Times New Roman" w:hAnsi="Times New Roman" w:cs="Times New Roman"/>
          <w:sz w:val="20"/>
          <w:szCs w:val="20"/>
        </w:rPr>
        <w:t>more;</w:t>
      </w:r>
      <w:proofErr w:type="gramEnd"/>
    </w:p>
  </w:footnote>
  <w:footnote w:id="23">
    <w:p w14:paraId="00000098"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Karnataka Platform Based Gig Workers (Social Security and Welfare) Act, 2025; Available here: </w:t>
      </w:r>
      <w:hyperlink r:id="rId3">
        <w:r w:rsidR="00F54A1B">
          <w:rPr>
            <w:rFonts w:ascii="Times New Roman" w:eastAsia="Times New Roman" w:hAnsi="Times New Roman" w:cs="Times New Roman"/>
            <w:color w:val="1155CC"/>
            <w:sz w:val="20"/>
            <w:szCs w:val="20"/>
            <w:u w:val="single"/>
          </w:rPr>
          <w:t>https://kla.kar.nic.in/council/house/bills/156/31E.pdf</w:t>
        </w:r>
      </w:hyperlink>
      <w:r>
        <w:rPr>
          <w:rFonts w:ascii="Times New Roman" w:eastAsia="Times New Roman" w:hAnsi="Times New Roman" w:cs="Times New Roman"/>
          <w:sz w:val="20"/>
          <w:szCs w:val="20"/>
        </w:rPr>
        <w:t xml:space="preserve"> </w:t>
      </w:r>
    </w:p>
    <w:p w14:paraId="00000099" w14:textId="77777777" w:rsidR="00F54A1B"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Telangana Platform Based Gig Workers (Registration, Social Security and Welfare) Act, 2026; Available here: </w:t>
      </w:r>
      <w:hyperlink r:id="rId4">
        <w:r w:rsidR="00F54A1B">
          <w:rPr>
            <w:rFonts w:ascii="Times New Roman" w:eastAsia="Times New Roman" w:hAnsi="Times New Roman" w:cs="Times New Roman"/>
            <w:color w:val="1155CC"/>
            <w:sz w:val="20"/>
            <w:szCs w:val="20"/>
            <w:u w:val="single"/>
          </w:rPr>
          <w:t>https://prsindia.org/files/bills_acts/acts_states/telangana/2026/Act21of2026TG.pdf</w:t>
        </w:r>
      </w:hyperlink>
      <w:r>
        <w:rPr>
          <w:rFonts w:ascii="Times New Roman" w:eastAsia="Times New Roman" w:hAnsi="Times New Roman" w:cs="Times New Roman"/>
          <w:sz w:val="20"/>
          <w:szCs w:val="20"/>
        </w:rPr>
        <w:t xml:space="preserve"> </w:t>
      </w:r>
    </w:p>
  </w:footnote>
  <w:footnote w:id="24">
    <w:p w14:paraId="000000A2"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https://www.indiaspend.com/special-reports/domestic-workers-need-to-work-in-6-households-to-make-minimum-wage-study-845619 </w:t>
      </w:r>
    </w:p>
  </w:footnote>
  <w:footnote w:id="25">
    <w:p w14:paraId="000000A3"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formula is calculated against three consumption units (two adults and two children</w:t>
      </w:r>
      <w:proofErr w:type="gramStart"/>
      <w:r>
        <w:rPr>
          <w:rFonts w:ascii="Times New Roman" w:eastAsia="Times New Roman" w:hAnsi="Times New Roman" w:cs="Times New Roman"/>
          <w:sz w:val="20"/>
          <w:szCs w:val="20"/>
        </w:rPr>
        <w:t>), and</w:t>
      </w:r>
      <w:proofErr w:type="gramEnd"/>
      <w:r>
        <w:rPr>
          <w:rFonts w:ascii="Times New Roman" w:eastAsia="Times New Roman" w:hAnsi="Times New Roman" w:cs="Times New Roman"/>
          <w:sz w:val="20"/>
          <w:szCs w:val="20"/>
        </w:rPr>
        <w:t xml:space="preserve"> is calculated based on a) A net daily intake of 2,700 calories per person b) A per capita cloth allowance of at least 18 yards per year. c) The minimum rent charged by the government under the subsidized industrial housing scheme d) Fuel and Lighting: Must constitute 20% of the total minimum wage. e) 20% of the total wage must be allocated for miscellaneous expenses. f) a further 25% of the total minimum wage to cover children’s education, medical requirements, minimum recreation, festivals, and old age/marriage provisions. </w:t>
      </w:r>
    </w:p>
  </w:footnote>
  <w:footnote w:id="26">
    <w:p w14:paraId="000000A8"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5">
        <w:r w:rsidR="00F54A1B">
          <w:rPr>
            <w:rFonts w:ascii="Times New Roman" w:eastAsia="Times New Roman" w:hAnsi="Times New Roman" w:cs="Times New Roman"/>
            <w:color w:val="1155CC"/>
            <w:sz w:val="20"/>
            <w:szCs w:val="20"/>
            <w:u w:val="single"/>
          </w:rPr>
          <w:t>https://scroll.in/article/1091102/why-domestic-workers-say-gig-work-platforms-have-let-them-down</w:t>
        </w:r>
      </w:hyperlink>
      <w:r>
        <w:rPr>
          <w:rFonts w:ascii="Times New Roman" w:eastAsia="Times New Roman" w:hAnsi="Times New Roman" w:cs="Times New Roman"/>
          <w:sz w:val="20"/>
          <w:szCs w:val="20"/>
        </w:rPr>
        <w:t xml:space="preserve"> </w:t>
      </w:r>
    </w:p>
  </w:footnote>
  <w:footnote w:id="27">
    <w:p w14:paraId="00000096"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Section 2(90) of the Social Security Code </w:t>
      </w:r>
    </w:p>
  </w:footnote>
  <w:footnote w:id="28">
    <w:p w14:paraId="0000007F"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 xml:space="preserve">Sexual Harassment of Women at Workplace (Prevention, Prohibition and Redressal) Act, 2013. India. Available at </w:t>
      </w:r>
      <w:hyperlink r:id="rId6">
        <w:r w:rsidR="00F54A1B">
          <w:rPr>
            <w:rFonts w:ascii="Times New Roman" w:eastAsia="Times New Roman" w:hAnsi="Times New Roman" w:cs="Times New Roman"/>
            <w:sz w:val="18"/>
            <w:szCs w:val="18"/>
          </w:rPr>
          <w:t>https://www.indiacode.nic.in/bitstream/123456789/2104/1/A2013-14.pdf</w:t>
        </w:r>
      </w:hyperlink>
      <w:r>
        <w:rPr>
          <w:rFonts w:ascii="Times New Roman" w:eastAsia="Times New Roman" w:hAnsi="Times New Roman" w:cs="Times New Roman"/>
          <w:sz w:val="18"/>
          <w:szCs w:val="18"/>
        </w:rPr>
        <w:t xml:space="preserve"> (Accessed May 20, 2025)</w:t>
      </w:r>
    </w:p>
  </w:footnote>
  <w:footnote w:id="29">
    <w:p w14:paraId="00000080" w14:textId="77777777" w:rsidR="00F54A1B" w:rsidRDefault="00000000">
      <w:pPr>
        <w:spacing w:line="240" w:lineRule="auto"/>
        <w:rPr>
          <w:rFonts w:ascii="Times New Roman" w:eastAsia="Times New Roman" w:hAnsi="Times New Roman" w:cs="Times New Roman"/>
          <w:sz w:val="24"/>
          <w:szCs w:val="24"/>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 xml:space="preserve">Section 2(e) “domestic worker” means a woman who is employed to do the household work in any household for remuneration whether in cash or kind, either directly or through any agency on a temporary, permanent, part time or </w:t>
      </w:r>
      <w:proofErr w:type="gramStart"/>
      <w:r>
        <w:rPr>
          <w:rFonts w:ascii="Times New Roman" w:eastAsia="Times New Roman" w:hAnsi="Times New Roman" w:cs="Times New Roman"/>
          <w:sz w:val="18"/>
          <w:szCs w:val="18"/>
        </w:rPr>
        <w:t>full time</w:t>
      </w:r>
      <w:proofErr w:type="gramEnd"/>
      <w:r>
        <w:rPr>
          <w:rFonts w:ascii="Times New Roman" w:eastAsia="Times New Roman" w:hAnsi="Times New Roman" w:cs="Times New Roman"/>
          <w:sz w:val="18"/>
          <w:szCs w:val="18"/>
        </w:rPr>
        <w:t xml:space="preserve"> basis, but does not include any member of the family of the employer</w:t>
      </w:r>
    </w:p>
  </w:footnote>
  <w:footnote w:id="30">
    <w:p w14:paraId="00000081" w14:textId="77777777" w:rsidR="00F54A1B"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Section 2(g) (iv) (iv) in relation to a dwelling place or house, a person or a household who employs or benefits</w:t>
      </w:r>
    </w:p>
    <w:p w14:paraId="00000082" w14:textId="77777777" w:rsidR="00F54A1B" w:rsidRDefault="00000000">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from the employment of domestic worker, irrespective of the number, </w:t>
      </w:r>
      <w:proofErr w:type="gramStart"/>
      <w:r>
        <w:rPr>
          <w:rFonts w:ascii="Times New Roman" w:eastAsia="Times New Roman" w:hAnsi="Times New Roman" w:cs="Times New Roman"/>
          <w:sz w:val="18"/>
          <w:szCs w:val="18"/>
        </w:rPr>
        <w:t>time period</w:t>
      </w:r>
      <w:proofErr w:type="gramEnd"/>
      <w:r>
        <w:rPr>
          <w:rFonts w:ascii="Times New Roman" w:eastAsia="Times New Roman" w:hAnsi="Times New Roman" w:cs="Times New Roman"/>
          <w:sz w:val="18"/>
          <w:szCs w:val="18"/>
        </w:rPr>
        <w:t xml:space="preserve"> or type of such worker employed, or the nature of the employment or activities performed by the domestic worker</w:t>
      </w:r>
    </w:p>
  </w:footnote>
  <w:footnote w:id="31">
    <w:p w14:paraId="000000A4" w14:textId="77777777" w:rsidR="00F54A1B" w:rsidRDefault="00000000">
      <w:pPr>
        <w:spacing w:line="240" w:lineRule="auto"/>
        <w:rPr>
          <w:sz w:val="18"/>
          <w:szCs w:val="18"/>
        </w:rPr>
      </w:pPr>
      <w:r>
        <w:rPr>
          <w:vertAlign w:val="superscript"/>
        </w:rPr>
        <w:footnoteRef/>
      </w:r>
      <w:r>
        <w:rPr>
          <w:sz w:val="18"/>
          <w:szCs w:val="18"/>
        </w:rPr>
        <w:t xml:space="preserve">  </w:t>
      </w:r>
    </w:p>
  </w:footnote>
  <w:footnote w:id="32">
    <w:p w14:paraId="00000083" w14:textId="77777777" w:rsidR="00F54A1B"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Parvati </w:t>
      </w:r>
      <w:r>
        <w:rPr>
          <w:rFonts w:ascii="Times New Roman" w:eastAsia="Times New Roman" w:hAnsi="Times New Roman" w:cs="Times New Roman"/>
          <w:color w:val="222222"/>
          <w:sz w:val="18"/>
          <w:szCs w:val="18"/>
          <w:highlight w:val="white"/>
        </w:rPr>
        <w:t xml:space="preserve">Raghuram, </w:t>
      </w:r>
      <w:r>
        <w:rPr>
          <w:rFonts w:ascii="Times New Roman" w:eastAsia="Times New Roman" w:hAnsi="Times New Roman" w:cs="Times New Roman"/>
          <w:i/>
          <w:iCs/>
          <w:color w:val="222222"/>
          <w:sz w:val="18"/>
          <w:szCs w:val="18"/>
          <w:highlight w:val="white"/>
        </w:rPr>
        <w:t xml:space="preserve">Caste and gender in the </w:t>
      </w:r>
      <w:proofErr w:type="spellStart"/>
      <w:r>
        <w:rPr>
          <w:rFonts w:ascii="Times New Roman" w:eastAsia="Times New Roman" w:hAnsi="Times New Roman" w:cs="Times New Roman"/>
          <w:i/>
          <w:iCs/>
          <w:color w:val="222222"/>
          <w:sz w:val="18"/>
          <w:szCs w:val="18"/>
          <w:highlight w:val="white"/>
        </w:rPr>
        <w:t>organisation</w:t>
      </w:r>
      <w:proofErr w:type="spellEnd"/>
      <w:r>
        <w:rPr>
          <w:rFonts w:ascii="Times New Roman" w:eastAsia="Times New Roman" w:hAnsi="Times New Roman" w:cs="Times New Roman"/>
          <w:i/>
          <w:iCs/>
          <w:color w:val="222222"/>
          <w:sz w:val="18"/>
          <w:szCs w:val="18"/>
          <w:highlight w:val="white"/>
        </w:rPr>
        <w:t xml:space="preserve"> of paid domestic work in India</w:t>
      </w:r>
      <w:r>
        <w:rPr>
          <w:rFonts w:ascii="Times New Roman" w:eastAsia="Times New Roman" w:hAnsi="Times New Roman" w:cs="Times New Roman"/>
          <w:color w:val="222222"/>
          <w:sz w:val="18"/>
          <w:szCs w:val="18"/>
          <w:highlight w:val="white"/>
        </w:rPr>
        <w:t>. </w:t>
      </w:r>
      <w:r>
        <w:rPr>
          <w:rFonts w:ascii="Times New Roman" w:eastAsia="Times New Roman" w:hAnsi="Times New Roman" w:cs="Times New Roman"/>
          <w:i/>
          <w:iCs/>
          <w:color w:val="222222"/>
          <w:sz w:val="18"/>
          <w:szCs w:val="18"/>
        </w:rPr>
        <w:t xml:space="preserve"> 15</w:t>
      </w:r>
      <w:r>
        <w:rPr>
          <w:rFonts w:ascii="Times New Roman" w:eastAsia="Times New Roman" w:hAnsi="Times New Roman" w:cs="Times New Roman"/>
          <w:color w:val="222222"/>
          <w:sz w:val="18"/>
          <w:szCs w:val="18"/>
          <w:highlight w:val="white"/>
        </w:rPr>
        <w:t xml:space="preserve">(3), </w:t>
      </w:r>
      <w:r>
        <w:rPr>
          <w:rFonts w:ascii="Times New Roman" w:eastAsia="Times New Roman" w:hAnsi="Times New Roman" w:cs="Times New Roman"/>
          <w:color w:val="222222"/>
          <w:sz w:val="18"/>
          <w:szCs w:val="18"/>
        </w:rPr>
        <w:t>Work, Employment and Society</w:t>
      </w:r>
      <w:r>
        <w:rPr>
          <w:rFonts w:ascii="Times New Roman" w:eastAsia="Times New Roman" w:hAnsi="Times New Roman" w:cs="Times New Roman"/>
          <w:color w:val="222222"/>
          <w:sz w:val="18"/>
          <w:szCs w:val="18"/>
          <w:highlight w:val="white"/>
        </w:rPr>
        <w:t>, pp.607-617.</w:t>
      </w:r>
      <w:r>
        <w:rPr>
          <w:rFonts w:ascii="Times New Roman" w:eastAsia="Times New Roman" w:hAnsi="Times New Roman" w:cs="Times New Roman"/>
          <w:color w:val="222222"/>
          <w:sz w:val="18"/>
          <w:szCs w:val="18"/>
        </w:rPr>
        <w:t xml:space="preserve"> (</w:t>
      </w:r>
      <w:r>
        <w:rPr>
          <w:rFonts w:ascii="Times New Roman" w:eastAsia="Times New Roman" w:hAnsi="Times New Roman" w:cs="Times New Roman"/>
          <w:color w:val="222222"/>
          <w:sz w:val="18"/>
          <w:szCs w:val="18"/>
          <w:highlight w:val="white"/>
        </w:rPr>
        <w:t>2001</w:t>
      </w:r>
      <w:r>
        <w:rPr>
          <w:rFonts w:ascii="Times New Roman" w:eastAsia="Times New Roman" w:hAnsi="Times New Roman" w:cs="Times New Roman"/>
          <w:color w:val="222222"/>
          <w:sz w:val="18"/>
          <w:szCs w:val="18"/>
        </w:rPr>
        <w:t>)</w:t>
      </w:r>
    </w:p>
  </w:footnote>
  <w:footnote w:id="33">
    <w:p w14:paraId="00000084"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color w:val="222222"/>
          <w:sz w:val="20"/>
          <w:szCs w:val="20"/>
          <w:highlight w:val="white"/>
        </w:rPr>
        <w:t xml:space="preserve">Arora, A., Caste, gender, and </w:t>
      </w:r>
      <w:proofErr w:type="spellStart"/>
      <w:r>
        <w:rPr>
          <w:rFonts w:ascii="Times New Roman" w:eastAsia="Times New Roman" w:hAnsi="Times New Roman" w:cs="Times New Roman"/>
          <w:color w:val="222222"/>
          <w:sz w:val="20"/>
          <w:szCs w:val="20"/>
          <w:highlight w:val="white"/>
        </w:rPr>
        <w:t>labour</w:t>
      </w:r>
      <w:proofErr w:type="spellEnd"/>
      <w:r>
        <w:rPr>
          <w:rFonts w:ascii="Times New Roman" w:eastAsia="Times New Roman" w:hAnsi="Times New Roman" w:cs="Times New Roman"/>
          <w:color w:val="222222"/>
          <w:sz w:val="20"/>
          <w:szCs w:val="20"/>
          <w:highlight w:val="white"/>
        </w:rPr>
        <w:t xml:space="preserve">: A case study of </w:t>
      </w:r>
      <w:proofErr w:type="spellStart"/>
      <w:r>
        <w:rPr>
          <w:rFonts w:ascii="Times New Roman" w:eastAsia="Times New Roman" w:hAnsi="Times New Roman" w:cs="Times New Roman"/>
          <w:color w:val="222222"/>
          <w:sz w:val="20"/>
          <w:szCs w:val="20"/>
          <w:highlight w:val="white"/>
        </w:rPr>
        <w:t>dalit</w:t>
      </w:r>
      <w:proofErr w:type="spellEnd"/>
      <w:r>
        <w:rPr>
          <w:rFonts w:ascii="Times New Roman" w:eastAsia="Times New Roman" w:hAnsi="Times New Roman" w:cs="Times New Roman"/>
          <w:color w:val="222222"/>
          <w:sz w:val="20"/>
          <w:szCs w:val="20"/>
          <w:highlight w:val="white"/>
        </w:rPr>
        <w:t xml:space="preserve"> women domestic workers. </w:t>
      </w:r>
    </w:p>
  </w:footnote>
  <w:footnote w:id="34">
    <w:p w14:paraId="0000009A" w14:textId="77777777" w:rsidR="00F54A1B" w:rsidRDefault="00000000">
      <w:pPr>
        <w:spacing w:line="240" w:lineRule="auto"/>
        <w:rPr>
          <w:sz w:val="20"/>
          <w:szCs w:val="20"/>
        </w:rPr>
      </w:pPr>
      <w:r>
        <w:rPr>
          <w:vertAlign w:val="superscript"/>
        </w:rPr>
        <w:footnoteRef/>
      </w:r>
      <w:r>
        <w:rPr>
          <w:sz w:val="20"/>
          <w:szCs w:val="20"/>
        </w:rPr>
        <w:t xml:space="preserve"> https://www.ilawnetwork.com/wp-content/uploads/2024/03/ISSUE-BRIEF-A-Promise-Not-Realized.pdf</w:t>
      </w:r>
    </w:p>
  </w:footnote>
  <w:footnote w:id="35">
    <w:p w14:paraId="0000009C"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rPr>
        <w:t xml:space="preserve"> </w:t>
      </w:r>
      <w:r>
        <w:rPr>
          <w:rFonts w:ascii="Times New Roman" w:eastAsia="Times New Roman" w:hAnsi="Times New Roman" w:cs="Times New Roman"/>
          <w:sz w:val="20"/>
          <w:szCs w:val="20"/>
        </w:rPr>
        <w:t>Centre for Education and Communication. (2010).  Nepalese</w:t>
      </w:r>
      <w:r>
        <w:rPr>
          <w:rFonts w:ascii="Times New Roman" w:eastAsia="Times New Roman" w:hAnsi="Times New Roman" w:cs="Times New Roman"/>
        </w:rPr>
        <w:t xml:space="preserve"> Women Domestic Workers in India. Available here: </w:t>
      </w:r>
    </w:p>
  </w:footnote>
  <w:footnote w:id="36">
    <w:p w14:paraId="0000009B" w14:textId="77777777" w:rsidR="00F54A1B" w:rsidRDefault="00000000">
      <w:pPr>
        <w:spacing w:line="240" w:lineRule="auto"/>
        <w:rPr>
          <w:rFonts w:ascii="Times New Roman" w:eastAsia="Times New Roman" w:hAnsi="Times New Roman" w:cs="Times New Roman"/>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Ibid </w:t>
      </w:r>
    </w:p>
  </w:footnote>
  <w:footnote w:id="37">
    <w:p w14:paraId="000000AE"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Jain, Mayank. This online company provides maids – and lets you pick them by religion and region. (2015). </w:t>
      </w:r>
      <w:hyperlink r:id="rId7">
        <w:r w:rsidR="00F54A1B">
          <w:rPr>
            <w:rFonts w:ascii="Times New Roman" w:eastAsia="Times New Roman" w:hAnsi="Times New Roman" w:cs="Times New Roman"/>
            <w:color w:val="1155CC"/>
            <w:sz w:val="20"/>
            <w:szCs w:val="20"/>
            <w:u w:val="single"/>
          </w:rPr>
          <w:t>https://scroll.in/article/766490/this-online-company-provides-maids-and-lets-you-pick-them-by-religion-and-region</w:t>
        </w:r>
      </w:hyperlink>
      <w:r>
        <w:rPr>
          <w:rFonts w:ascii="Times New Roman" w:eastAsia="Times New Roman" w:hAnsi="Times New Roman" w:cs="Times New Roman"/>
          <w:sz w:val="20"/>
          <w:szCs w:val="20"/>
        </w:rPr>
        <w:t xml:space="preserve"> </w:t>
      </w:r>
    </w:p>
  </w:footnote>
  <w:footnote w:id="38">
    <w:p w14:paraId="00000087" w14:textId="77777777" w:rsidR="00F54A1B" w:rsidRDefault="00000000">
      <w:pPr>
        <w:spacing w:line="240" w:lineRule="auto"/>
        <w:rPr>
          <w:sz w:val="20"/>
          <w:szCs w:val="20"/>
        </w:rPr>
      </w:pPr>
      <w:r>
        <w:rPr>
          <w:vertAlign w:val="superscript"/>
        </w:rPr>
        <w:footnoteRef/>
      </w:r>
      <w:r>
        <w:rPr>
          <w:sz w:val="20"/>
          <w:szCs w:val="20"/>
        </w:rPr>
        <w:t xml:space="preserve"> Minj, </w:t>
      </w:r>
      <w:proofErr w:type="spellStart"/>
      <w:r>
        <w:rPr>
          <w:sz w:val="20"/>
          <w:szCs w:val="20"/>
        </w:rPr>
        <w:t>Nolina</w:t>
      </w:r>
      <w:proofErr w:type="spellEnd"/>
      <w:r>
        <w:rPr>
          <w:sz w:val="20"/>
          <w:szCs w:val="20"/>
        </w:rPr>
        <w:t xml:space="preserve">. ‘Why domestic gig workers in India are unhappy despite the pay. (2026). </w:t>
      </w:r>
      <w:hyperlink r:id="rId8">
        <w:r w:rsidR="00F54A1B">
          <w:rPr>
            <w:color w:val="1155CC"/>
            <w:sz w:val="20"/>
            <w:szCs w:val="20"/>
            <w:u w:val="single"/>
          </w:rPr>
          <w:t>https://scroll.in/article/1091102/why-domestic-workers-say-gig-work-platforms-have-let-them-down</w:t>
        </w:r>
      </w:hyperlink>
      <w:r>
        <w:rPr>
          <w:sz w:val="20"/>
          <w:szCs w:val="20"/>
        </w:rPr>
        <w:t xml:space="preserve"> </w:t>
      </w:r>
    </w:p>
  </w:footnote>
  <w:footnote w:id="39">
    <w:p w14:paraId="0000008E" w14:textId="77777777" w:rsidR="00F54A1B" w:rsidRDefault="00000000">
      <w:pPr>
        <w:spacing w:line="240" w:lineRule="auto"/>
        <w:rPr>
          <w:sz w:val="20"/>
          <w:szCs w:val="20"/>
        </w:rPr>
      </w:pPr>
      <w:r>
        <w:rPr>
          <w:vertAlign w:val="superscript"/>
        </w:rPr>
        <w:footnoteRef/>
      </w:r>
      <w:r>
        <w:rPr>
          <w:sz w:val="20"/>
          <w:szCs w:val="20"/>
        </w:rPr>
        <w:t xml:space="preserve"> Ibid. </w:t>
      </w:r>
    </w:p>
  </w:footnote>
  <w:footnote w:id="40">
    <w:p w14:paraId="00000085" w14:textId="77777777" w:rsidR="00F54A1B" w:rsidRDefault="00000000">
      <w:pPr>
        <w:spacing w:line="240" w:lineRule="auto"/>
        <w:rPr>
          <w:sz w:val="18"/>
          <w:szCs w:val="18"/>
        </w:rPr>
      </w:pPr>
      <w:r>
        <w:rPr>
          <w:vertAlign w:val="superscript"/>
        </w:rPr>
        <w:footnoteRef/>
      </w:r>
      <w:r>
        <w:rPr>
          <w:sz w:val="18"/>
          <w:szCs w:val="18"/>
        </w:rPr>
        <w:t xml:space="preserve"> Section 3(</w:t>
      </w:r>
      <w:proofErr w:type="spellStart"/>
      <w:r>
        <w:rPr>
          <w:sz w:val="18"/>
          <w:szCs w:val="18"/>
        </w:rPr>
        <w:t>i</w:t>
      </w:r>
      <w:proofErr w:type="spellEnd"/>
      <w:r>
        <w:rPr>
          <w:sz w:val="18"/>
          <w:szCs w:val="18"/>
        </w:rPr>
        <w:t xml:space="preserve">) of the Wage Code, 2019. </w:t>
      </w:r>
    </w:p>
  </w:footnote>
  <w:footnote w:id="41">
    <w:p w14:paraId="00000086" w14:textId="77777777" w:rsidR="00F54A1B" w:rsidRDefault="00000000">
      <w:pPr>
        <w:spacing w:line="240" w:lineRule="auto"/>
        <w:rPr>
          <w:sz w:val="18"/>
          <w:szCs w:val="18"/>
        </w:rPr>
      </w:pPr>
      <w:r>
        <w:rPr>
          <w:vertAlign w:val="superscript"/>
        </w:rPr>
        <w:footnoteRef/>
      </w:r>
      <w:r>
        <w:rPr>
          <w:sz w:val="18"/>
          <w:szCs w:val="18"/>
        </w:rPr>
        <w:t xml:space="preserve"> Section 3(ii) of the Wage Code, 2019. </w:t>
      </w:r>
    </w:p>
  </w:footnote>
  <w:footnote w:id="42">
    <w:p w14:paraId="0000009D" w14:textId="77777777" w:rsidR="00F54A1B"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sz w:val="20"/>
          <w:szCs w:val="20"/>
        </w:rPr>
        <w:t xml:space="preserve"> Penn </w:t>
      </w:r>
      <w:proofErr w:type="spellStart"/>
      <w:r>
        <w:rPr>
          <w:rFonts w:ascii="Times New Roman" w:eastAsia="Times New Roman" w:hAnsi="Times New Roman" w:cs="Times New Roman"/>
          <w:sz w:val="20"/>
          <w:szCs w:val="20"/>
        </w:rPr>
        <w:t>Thozhilalargal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Sagam</w:t>
      </w:r>
      <w:proofErr w:type="spellEnd"/>
      <w:r>
        <w:rPr>
          <w:rFonts w:ascii="Times New Roman" w:eastAsia="Times New Roman" w:hAnsi="Times New Roman" w:cs="Times New Roman"/>
          <w:sz w:val="20"/>
          <w:szCs w:val="20"/>
        </w:rPr>
        <w:t xml:space="preserve"> &amp; Ors v Union of India. WP 42/2026. Available here: </w:t>
      </w:r>
      <w:hyperlink r:id="rId9">
        <w:r w:rsidR="00F54A1B">
          <w:rPr>
            <w:rFonts w:ascii="Times New Roman" w:eastAsia="Times New Roman" w:hAnsi="Times New Roman" w:cs="Times New Roman"/>
            <w:color w:val="1155CC"/>
            <w:sz w:val="20"/>
            <w:szCs w:val="20"/>
            <w:u w:val="single"/>
          </w:rPr>
          <w:t>https://www.sci.gov.in/sci-get-pdf/?diary_no=751202025&amp;type=o&amp;order_date=2026-01-29&amp;from=latest_judgements_order</w:t>
        </w:r>
      </w:hyperlink>
      <w:r>
        <w:rPr>
          <w:rFonts w:ascii="Times New Roman" w:eastAsia="Times New Roman" w:hAnsi="Times New Roman" w:cs="Times New Roman"/>
        </w:rPr>
        <w:t xml:space="preserve"> </w:t>
      </w:r>
    </w:p>
  </w:footnote>
  <w:footnote w:id="43">
    <w:p w14:paraId="0000009E" w14:textId="77777777" w:rsidR="00F54A1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formula is calculated against three consumption units (two adults and two children), </w:t>
      </w:r>
      <w:proofErr w:type="gramStart"/>
      <w:r>
        <w:rPr>
          <w:rFonts w:ascii="Times New Roman" w:eastAsia="Times New Roman" w:hAnsi="Times New Roman" w:cs="Times New Roman"/>
          <w:sz w:val="20"/>
          <w:szCs w:val="20"/>
        </w:rPr>
        <w:t>and  takes</w:t>
      </w:r>
      <w:proofErr w:type="gramEnd"/>
      <w:r>
        <w:rPr>
          <w:rFonts w:ascii="Times New Roman" w:eastAsia="Times New Roman" w:hAnsi="Times New Roman" w:cs="Times New Roman"/>
          <w:sz w:val="20"/>
          <w:szCs w:val="20"/>
        </w:rPr>
        <w:t xml:space="preserve"> into account a) A net daily intake of 2,700 calories per person b) A per capita cloth allowance of at least 18 yards per year. c) The minimum rent charged by the government under the subsidized industrial housing scheme d) Fuel and Lighting: Must constitute 20% of the total minimum wage. e) 20% of the total wage must be allocated for miscellaneous expenses.  </w:t>
      </w:r>
    </w:p>
    <w:p w14:paraId="0000009F" w14:textId="77777777" w:rsidR="00F54A1B" w:rsidRDefault="00F54A1B">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823E9"/>
    <w:multiLevelType w:val="multilevel"/>
    <w:tmpl w:val="B4AA638C"/>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3DE31FE"/>
    <w:multiLevelType w:val="multilevel"/>
    <w:tmpl w:val="2E04D446"/>
    <w:lvl w:ilvl="0">
      <w:start w:val="1"/>
      <w:numFmt w:val="decimal"/>
      <w:lvlText w:val="%1."/>
      <w:lvlJc w:val="left"/>
      <w:pPr>
        <w:ind w:left="720" w:hanging="360"/>
      </w:pPr>
      <w:rPr>
        <w:b w:val="0"/>
        <w:bCs w:val="0"/>
        <w:i w:val="0"/>
        <w:iCs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6BFD0490"/>
    <w:multiLevelType w:val="multilevel"/>
    <w:tmpl w:val="6818E02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760D2C3B"/>
    <w:multiLevelType w:val="multilevel"/>
    <w:tmpl w:val="1B001D9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331644554">
    <w:abstractNumId w:val="0"/>
  </w:num>
  <w:num w:numId="2" w16cid:durableId="340818626">
    <w:abstractNumId w:val="1"/>
  </w:num>
  <w:num w:numId="3" w16cid:durableId="1970433181">
    <w:abstractNumId w:val="2"/>
  </w:num>
  <w:num w:numId="4" w16cid:durableId="4509050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A1B"/>
    <w:rsid w:val="001620FA"/>
    <w:rsid w:val="002947FD"/>
    <w:rsid w:val="00461292"/>
    <w:rsid w:val="007966EE"/>
    <w:rsid w:val="00A12AEB"/>
    <w:rsid w:val="00C12590"/>
    <w:rsid w:val="00F54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47171B"/>
  <w15:docId w15:val="{60BBF858-3365-A04A-9E8E-D59C2EEE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scroll.in/article/1091102/why-domestic-workers-say-gig-work-platforms-have-let-them-down" TargetMode="External"/><Relationship Id="rId3" Type="http://schemas.openxmlformats.org/officeDocument/2006/relationships/hyperlink" Target="https://kla.kar.nic.in/council/house/bills/156/31E.pdf" TargetMode="External"/><Relationship Id="rId7" Type="http://schemas.openxmlformats.org/officeDocument/2006/relationships/hyperlink" Target="https://scroll.in/article/766490/this-online-company-provides-maids-and-lets-you-pick-them-by-religion-and-region" TargetMode="External"/><Relationship Id="rId2" Type="http://schemas.openxmlformats.org/officeDocument/2006/relationships/hyperlink" Target="https://www.pib.gov.in/PressReleasePage.aspx?PRID=2192524&amp;reg=3&amp;lang=2" TargetMode="External"/><Relationship Id="rId1" Type="http://schemas.openxmlformats.org/officeDocument/2006/relationships/hyperlink" Target="https://cdnbbsr.s3waas.gov.in/s380537a945c7aaa788ccfcdf1b99b5d8f/uploads/2024/07/20240716890312078.pdf" TargetMode="External"/><Relationship Id="rId6" Type="http://schemas.openxmlformats.org/officeDocument/2006/relationships/hyperlink" Target="https://www.indiacode.nic.in/bitstream/123456789/2104/1/A2013-14.pdf" TargetMode="External"/><Relationship Id="rId5" Type="http://schemas.openxmlformats.org/officeDocument/2006/relationships/hyperlink" Target="https://scroll.in/article/1091102/why-domestic-workers-say-gig-work-platforms-have-let-them-down" TargetMode="External"/><Relationship Id="rId4" Type="http://schemas.openxmlformats.org/officeDocument/2006/relationships/hyperlink" Target="https://prsindia.org/files/bills_acts/acts_states/telangana/2026/Act21of2026TG.pdf" TargetMode="External"/><Relationship Id="rId9" Type="http://schemas.openxmlformats.org/officeDocument/2006/relationships/hyperlink" Target="https://www.sci.gov.in/sci-get-pdf/?diary_no=751202025&amp;type=o&amp;order_date=2026-01-29&amp;from=latest_judgements_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4771</Words>
  <Characters>27196</Characters>
  <Application>Microsoft Office Word</Application>
  <DocSecurity>0</DocSecurity>
  <Lines>226</Lines>
  <Paragraphs>63</Paragraphs>
  <ScaleCrop>false</ScaleCrop>
  <Company/>
  <LinksUpToDate>false</LinksUpToDate>
  <CharactersWithSpaces>31904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madhulika.t</cp:lastModifiedBy>
  <cp:revision>3</cp:revision>
  <cp:lastPrinted>2026-07-21T02:54:00Z</cp:lastPrinted>
  <dcterms:created xsi:type="dcterms:W3CDTF">2026-07-21T03:02:00Z</dcterms:created>
  <dcterms:modified xsi:type="dcterms:W3CDTF">2026-07-21T03:03:00Z</dcterms:modified>
</cp:coreProperties>
</file>