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E1614" w14:textId="5BA53F87" w:rsidR="005410B7" w:rsidRPr="005A2243" w:rsidRDefault="005A2243" w:rsidP="005A2243">
      <w:pPr>
        <w:bidi w:val="0"/>
        <w:jc w:val="center"/>
        <w:rPr>
          <w:rFonts w:ascii="Sakkal Majalla" w:hAnsi="Sakkal Majalla" w:cs="Sakkal Majalla"/>
          <w:b/>
          <w:bCs/>
          <w:color w:val="7030A0"/>
          <w:sz w:val="32"/>
          <w:szCs w:val="32"/>
          <w:lang w:bidi="ar-EG"/>
        </w:rPr>
      </w:pPr>
      <w:r>
        <w:rPr>
          <w:rFonts w:ascii="Sakkal Majalla" w:hAnsi="Sakkal Majalla" w:cs="Sakkal Majalla"/>
          <w:b/>
          <w:bCs/>
          <w:color w:val="7030A0"/>
          <w:sz w:val="32"/>
          <w:szCs w:val="32"/>
          <w:lang w:bidi="ar-EG"/>
        </w:rPr>
        <w:t xml:space="preserve">Maat’s </w:t>
      </w:r>
      <w:r w:rsidR="001D641B">
        <w:rPr>
          <w:rFonts w:ascii="Sakkal Majalla" w:hAnsi="Sakkal Majalla" w:cs="Sakkal Majalla"/>
          <w:b/>
          <w:bCs/>
          <w:color w:val="7030A0"/>
          <w:sz w:val="32"/>
          <w:szCs w:val="32"/>
          <w:lang w:bidi="ar-EG"/>
        </w:rPr>
        <w:t>submission</w:t>
      </w:r>
      <w:r w:rsidR="005410B7" w:rsidRPr="005A2243">
        <w:rPr>
          <w:rFonts w:ascii="Sakkal Majalla" w:hAnsi="Sakkal Majalla" w:cs="Sakkal Majalla"/>
          <w:b/>
          <w:bCs/>
          <w:color w:val="7030A0"/>
          <w:sz w:val="32"/>
          <w:szCs w:val="32"/>
          <w:lang w:bidi="ar-EG"/>
        </w:rPr>
        <w:t xml:space="preserve"> </w:t>
      </w:r>
      <w:r w:rsidR="001D641B">
        <w:rPr>
          <w:rFonts w:ascii="Sakkal Majalla" w:hAnsi="Sakkal Majalla" w:cs="Sakkal Majalla"/>
          <w:b/>
          <w:bCs/>
          <w:color w:val="7030A0"/>
          <w:sz w:val="32"/>
          <w:szCs w:val="32"/>
          <w:lang w:bidi="ar-EG"/>
        </w:rPr>
        <w:t>on the review of</w:t>
      </w:r>
      <w:r>
        <w:rPr>
          <w:rFonts w:ascii="Sakkal Majalla" w:hAnsi="Sakkal Majalla" w:cs="Sakkal Majalla"/>
          <w:b/>
          <w:bCs/>
          <w:color w:val="7030A0"/>
          <w:sz w:val="32"/>
          <w:szCs w:val="32"/>
          <w:lang w:bidi="ar-EG"/>
        </w:rPr>
        <w:t xml:space="preserve"> the State</w:t>
      </w:r>
      <w:r w:rsidR="001D641B">
        <w:rPr>
          <w:rFonts w:ascii="Sakkal Majalla" w:hAnsi="Sakkal Majalla" w:cs="Sakkal Majalla"/>
          <w:b/>
          <w:bCs/>
          <w:color w:val="7030A0"/>
          <w:sz w:val="32"/>
          <w:szCs w:val="32"/>
          <w:lang w:bidi="ar-EG"/>
        </w:rPr>
        <w:t xml:space="preserve"> part report</w:t>
      </w:r>
      <w:r>
        <w:rPr>
          <w:rFonts w:ascii="Sakkal Majalla" w:hAnsi="Sakkal Majalla" w:cs="Sakkal Majalla"/>
          <w:b/>
          <w:bCs/>
          <w:color w:val="7030A0"/>
          <w:sz w:val="32"/>
          <w:szCs w:val="32"/>
          <w:lang w:bidi="ar-EG"/>
        </w:rPr>
        <w:t xml:space="preserve"> of Azerbaijan </w:t>
      </w:r>
      <w:r w:rsidR="001D641B">
        <w:rPr>
          <w:rFonts w:ascii="Sakkal Majalla" w:hAnsi="Sakkal Majalla" w:cs="Sakkal Majalla"/>
          <w:b/>
          <w:bCs/>
          <w:color w:val="7030A0"/>
          <w:sz w:val="32"/>
          <w:szCs w:val="32"/>
          <w:lang w:bidi="ar-EG"/>
        </w:rPr>
        <w:t>before CERD</w:t>
      </w:r>
    </w:p>
    <w:p w14:paraId="67AB04F1" w14:textId="77777777" w:rsidR="005410B7" w:rsidRPr="005A2243" w:rsidRDefault="005410B7" w:rsidP="00C23A85">
      <w:pPr>
        <w:jc w:val="lowKashida"/>
        <w:rPr>
          <w:rFonts w:ascii="Sakkal Majalla" w:hAnsi="Sakkal Majalla" w:cs="Sakkal Majalla"/>
          <w:b/>
          <w:bCs/>
          <w:color w:val="7030A0"/>
          <w:sz w:val="32"/>
          <w:szCs w:val="32"/>
          <w:rtl/>
          <w:lang w:bidi="ar-EG"/>
        </w:rPr>
      </w:pPr>
    </w:p>
    <w:p w14:paraId="7FB6F19B" w14:textId="3565E54D" w:rsidR="005410B7" w:rsidRDefault="005410B7" w:rsidP="005A2243">
      <w:pPr>
        <w:bidi w:val="0"/>
        <w:jc w:val="lowKashida"/>
        <w:rPr>
          <w:rFonts w:ascii="Sakkal Majalla" w:hAnsi="Sakkal Majalla" w:cs="Sakkal Majalla"/>
          <w:sz w:val="32"/>
          <w:szCs w:val="32"/>
          <w:lang w:bidi="ar-EG"/>
        </w:rPr>
      </w:pPr>
      <w:r w:rsidRPr="005A2243">
        <w:rPr>
          <w:rFonts w:ascii="Sakkal Majalla" w:hAnsi="Sakkal Majalla" w:cs="Sakkal Majalla"/>
          <w:b/>
          <w:bCs/>
          <w:sz w:val="32"/>
          <w:szCs w:val="32"/>
          <w:u w:val="single"/>
          <w:lang w:bidi="ar-EG"/>
        </w:rPr>
        <w:t>Submitted by</w:t>
      </w:r>
      <w:r w:rsidRPr="005A2243">
        <w:rPr>
          <w:rFonts w:ascii="Sakkal Majalla" w:hAnsi="Sakkal Majalla" w:cs="Sakkal Majalla"/>
          <w:sz w:val="32"/>
          <w:szCs w:val="32"/>
          <w:lang w:bidi="ar-EG"/>
        </w:rPr>
        <w:t xml:space="preserve">: </w:t>
      </w:r>
      <w:bookmarkStart w:id="0" w:name="_GoBack"/>
      <w:r w:rsidRPr="005A2243">
        <w:rPr>
          <w:rFonts w:ascii="Sakkal Majalla" w:hAnsi="Sakkal Majalla" w:cs="Sakkal Majalla"/>
          <w:sz w:val="32"/>
          <w:szCs w:val="32"/>
          <w:lang w:bidi="ar-EG"/>
        </w:rPr>
        <w:t>Maat for Peace, Development and Human Rights</w:t>
      </w:r>
      <w:bookmarkEnd w:id="0"/>
      <w:r w:rsidR="00C44355" w:rsidRPr="005A2243">
        <w:rPr>
          <w:rFonts w:ascii="Sakkal Majalla" w:hAnsi="Sakkal Majalla" w:cs="Sakkal Majalla"/>
          <w:sz w:val="32"/>
          <w:szCs w:val="32"/>
          <w:lang w:bidi="ar-EG"/>
        </w:rPr>
        <w:t>,</w:t>
      </w:r>
      <w:r w:rsidRPr="005A2243">
        <w:rPr>
          <w:rFonts w:ascii="Sakkal Majalla" w:hAnsi="Sakkal Majalla" w:cs="Sakkal Majalla"/>
          <w:sz w:val="32"/>
          <w:szCs w:val="32"/>
          <w:lang w:bidi="ar-EG"/>
        </w:rPr>
        <w:t xml:space="preserve"> </w:t>
      </w:r>
      <w:r w:rsidR="00600C0E">
        <w:rPr>
          <w:rFonts w:ascii="Sakkal Majalla" w:hAnsi="Sakkal Majalla" w:cs="Sakkal Majalla"/>
          <w:sz w:val="32"/>
          <w:szCs w:val="32"/>
          <w:lang w:bidi="ar-EG"/>
        </w:rPr>
        <w:t>in</w:t>
      </w:r>
      <w:r w:rsidR="005A2243">
        <w:rPr>
          <w:rFonts w:ascii="Sakkal Majalla" w:hAnsi="Sakkal Majalla" w:cs="Sakkal Majalla"/>
          <w:sz w:val="32"/>
          <w:szCs w:val="32"/>
          <w:lang w:bidi="ar-EG"/>
        </w:rPr>
        <w:t xml:space="preserve"> </w:t>
      </w:r>
      <w:r w:rsidRPr="005A2243">
        <w:rPr>
          <w:rFonts w:ascii="Sakkal Majalla" w:hAnsi="Sakkal Majalla" w:cs="Sakkal Majalla"/>
          <w:sz w:val="32"/>
          <w:szCs w:val="32"/>
          <w:lang w:bidi="ar-EG"/>
        </w:rPr>
        <w:t xml:space="preserve">consultative status </w:t>
      </w:r>
      <w:r w:rsidR="005A2243">
        <w:rPr>
          <w:rFonts w:ascii="Sakkal Majalla" w:hAnsi="Sakkal Majalla" w:cs="Sakkal Majalla"/>
          <w:sz w:val="32"/>
          <w:szCs w:val="32"/>
          <w:lang w:bidi="ar-EG"/>
        </w:rPr>
        <w:t>with</w:t>
      </w:r>
      <w:r w:rsidRPr="005A2243">
        <w:rPr>
          <w:rFonts w:ascii="Sakkal Majalla" w:hAnsi="Sakkal Majalla" w:cs="Sakkal Majalla"/>
          <w:sz w:val="32"/>
          <w:szCs w:val="32"/>
          <w:lang w:bidi="ar-EG"/>
        </w:rPr>
        <w:t xml:space="preserve"> the </w:t>
      </w:r>
      <w:r w:rsidR="005A2243">
        <w:rPr>
          <w:rFonts w:ascii="Sakkal Majalla" w:hAnsi="Sakkal Majalla" w:cs="Sakkal Majalla"/>
          <w:sz w:val="32"/>
          <w:szCs w:val="32"/>
          <w:lang w:bidi="ar-EG"/>
        </w:rPr>
        <w:t xml:space="preserve">UN </w:t>
      </w:r>
      <w:r w:rsidRPr="005A2243">
        <w:rPr>
          <w:rFonts w:ascii="Sakkal Majalla" w:hAnsi="Sakkal Majalla" w:cs="Sakkal Majalla"/>
          <w:sz w:val="32"/>
          <w:szCs w:val="32"/>
          <w:lang w:bidi="ar-EG"/>
        </w:rPr>
        <w:t>Economic and Soci</w:t>
      </w:r>
      <w:r w:rsidR="005A2243">
        <w:rPr>
          <w:rFonts w:ascii="Sakkal Majalla" w:hAnsi="Sakkal Majalla" w:cs="Sakkal Majalla"/>
          <w:sz w:val="32"/>
          <w:szCs w:val="32"/>
          <w:lang w:bidi="ar-EG"/>
        </w:rPr>
        <w:t>al Council</w:t>
      </w:r>
    </w:p>
    <w:p w14:paraId="1455BB08" w14:textId="77777777" w:rsidR="00600C0E" w:rsidRPr="005A2243" w:rsidRDefault="00600C0E" w:rsidP="00600C0E">
      <w:pPr>
        <w:bidi w:val="0"/>
        <w:ind w:left="-57" w:firstLine="0"/>
        <w:jc w:val="lowKashida"/>
        <w:rPr>
          <w:rFonts w:ascii="Sakkal Majalla" w:hAnsi="Sakkal Majalla" w:cs="Sakkal Majalla"/>
          <w:b/>
          <w:bCs/>
          <w:color w:val="7030A0"/>
          <w:sz w:val="32"/>
          <w:szCs w:val="32"/>
          <w:rtl/>
          <w:lang w:bidi="ar-EG"/>
        </w:rPr>
      </w:pPr>
      <w:r w:rsidRPr="005A2243">
        <w:rPr>
          <w:rFonts w:ascii="Sakkal Majalla" w:hAnsi="Sakkal Majalla" w:cs="Sakkal Majalla"/>
          <w:b/>
          <w:bCs/>
          <w:color w:val="7030A0"/>
          <w:sz w:val="32"/>
          <w:szCs w:val="32"/>
          <w:lang w:bidi="ar-EG"/>
        </w:rPr>
        <w:t>Unemployment has skyrocketed to unprecedented levels</w:t>
      </w:r>
    </w:p>
    <w:p w14:paraId="37F4CEF0" w14:textId="77777777" w:rsidR="00600C0E" w:rsidRPr="005A2243" w:rsidRDefault="00600C0E" w:rsidP="00600C0E">
      <w:pPr>
        <w:bidi w:val="0"/>
        <w:ind w:left="0" w:firstLine="720"/>
        <w:rPr>
          <w:rFonts w:ascii="Sakkal Majalla" w:eastAsia="Calibri" w:hAnsi="Sakkal Majalla" w:cs="Sakkal Majalla"/>
          <w:sz w:val="32"/>
          <w:szCs w:val="32"/>
        </w:rPr>
      </w:pPr>
      <w:r w:rsidRPr="005A2243">
        <w:rPr>
          <w:rFonts w:ascii="Sakkal Majalla" w:eastAsia="Calibri" w:hAnsi="Sakkal Majalla" w:cs="Sakkal Majalla"/>
          <w:sz w:val="32"/>
          <w:szCs w:val="32"/>
        </w:rPr>
        <w:t>The Labor Code, along with many laws, regulates labor relations in Azerbaijan. Although the right to work is one of the most important economic rights stipulated in the International Covenant on Economic, Social, and Cultural Rights, it is still being violated in Azerbaijan. The percentage of working individuals in Azerbaijan decreases, and the unemployment rate rises in return. Of the more than 10 million citizens of Azerbaijan, nearly 5 million are economically active. According to official statistics, the number of registered employees in Azerbaijan at the beginning of 2020 amounted to approximately 1,645,000 people; about 914 thousand people work in the public sector, and 730 thousand people work in the non-governmental sector</w:t>
      </w:r>
      <w:r w:rsidRPr="005A2243">
        <w:rPr>
          <w:rFonts w:ascii="Sakkal Majalla" w:eastAsia="Calibri" w:hAnsi="Sakkal Majalla" w:cs="Sakkal Majalla"/>
          <w:sz w:val="32"/>
          <w:szCs w:val="32"/>
          <w:vertAlign w:val="superscript"/>
          <w:rtl/>
          <w:lang w:bidi="ar-EG"/>
        </w:rPr>
        <w:footnoteReference w:id="1"/>
      </w:r>
      <w:r w:rsidRPr="005A2243">
        <w:rPr>
          <w:rFonts w:ascii="Sakkal Majalla" w:eastAsia="Calibri" w:hAnsi="Sakkal Majalla" w:cs="Sakkal Majalla"/>
          <w:sz w:val="32"/>
          <w:szCs w:val="32"/>
          <w:rtl/>
        </w:rPr>
        <w:t>.</w:t>
      </w:r>
    </w:p>
    <w:p w14:paraId="45B3AD65" w14:textId="77777777" w:rsidR="00600C0E" w:rsidRPr="005A2243" w:rsidRDefault="00600C0E" w:rsidP="00600C0E">
      <w:pPr>
        <w:bidi w:val="0"/>
        <w:ind w:left="0" w:firstLine="0"/>
        <w:jc w:val="lowKashida"/>
        <w:rPr>
          <w:rFonts w:ascii="Sakkal Majalla" w:eastAsia="Calibri" w:hAnsi="Sakkal Majalla" w:cs="Sakkal Majalla"/>
          <w:sz w:val="32"/>
          <w:szCs w:val="32"/>
          <w:rtl/>
        </w:rPr>
      </w:pPr>
      <w:r w:rsidRPr="005A2243">
        <w:rPr>
          <w:rFonts w:ascii="Sakkal Majalla" w:eastAsia="Calibri" w:hAnsi="Sakkal Majalla" w:cs="Sakkal Majalla"/>
          <w:sz w:val="32"/>
          <w:szCs w:val="32"/>
          <w:rtl/>
        </w:rPr>
        <w:t xml:space="preserve"> </w:t>
      </w:r>
      <w:r>
        <w:rPr>
          <w:rFonts w:ascii="Sakkal Majalla" w:eastAsia="Calibri" w:hAnsi="Sakkal Majalla" w:cs="Sakkal Majalla"/>
          <w:sz w:val="32"/>
          <w:szCs w:val="32"/>
        </w:rPr>
        <w:tab/>
      </w:r>
      <w:r w:rsidRPr="005A2243">
        <w:rPr>
          <w:rFonts w:ascii="Sakkal Majalla" w:eastAsia="Calibri" w:hAnsi="Sakkal Majalla" w:cs="Sakkal Majalla"/>
          <w:sz w:val="32"/>
          <w:szCs w:val="32"/>
        </w:rPr>
        <w:t xml:space="preserve">On the other hand, the rates of seekers and the unemployed are rising. According to official statistics, the number of job seekers and unemployed people registered with employment services in Azerbaijan has reached more than 234,000, with a rate of 5%, which is very low and contrasts with the unemployment in </w:t>
      </w:r>
      <w:r w:rsidRPr="005A2243">
        <w:rPr>
          <w:rFonts w:ascii="Sakkal Majalla" w:eastAsia="Calibri" w:hAnsi="Sakkal Majalla" w:cs="Sakkal Majalla"/>
          <w:sz w:val="32"/>
          <w:szCs w:val="32"/>
        </w:rPr>
        <w:lastRenderedPageBreak/>
        <w:t>Azerbaijan. Recent research, contrary to official statistics, has shown that the unemployment level in Azerbaijan is 25%. That confirms the high level of unemployment among the economically active in Azerbaijan, contrary to the official statistics announced by the Azerbaijani government</w:t>
      </w:r>
      <w:r w:rsidRPr="005A2243">
        <w:rPr>
          <w:rFonts w:ascii="Sakkal Majalla" w:eastAsia="Calibri" w:hAnsi="Sakkal Majalla" w:cs="Sakkal Majalla"/>
          <w:sz w:val="32"/>
          <w:szCs w:val="32"/>
          <w:vertAlign w:val="superscript"/>
          <w:rtl/>
          <w:lang w:bidi="ar-EG"/>
        </w:rPr>
        <w:footnoteReference w:id="2"/>
      </w:r>
      <w:r w:rsidRPr="005A2243">
        <w:rPr>
          <w:rFonts w:ascii="Sakkal Majalla" w:eastAsia="Calibri" w:hAnsi="Sakkal Majalla" w:cs="Sakkal Majalla"/>
          <w:sz w:val="32"/>
          <w:szCs w:val="32"/>
          <w:rtl/>
        </w:rPr>
        <w:t>.</w:t>
      </w:r>
    </w:p>
    <w:p w14:paraId="190FDE3A" w14:textId="77777777" w:rsidR="00600C0E" w:rsidRPr="005A2243" w:rsidRDefault="00600C0E" w:rsidP="00600C0E">
      <w:pPr>
        <w:bidi w:val="0"/>
        <w:ind w:left="-57" w:firstLine="0"/>
        <w:jc w:val="lowKashida"/>
        <w:rPr>
          <w:rFonts w:ascii="Sakkal Majalla" w:hAnsi="Sakkal Majalla" w:cs="Sakkal Majalla"/>
          <w:b/>
          <w:bCs/>
          <w:color w:val="7030A0"/>
          <w:sz w:val="32"/>
          <w:szCs w:val="32"/>
          <w:rtl/>
          <w:lang w:bidi="ar-EG"/>
        </w:rPr>
      </w:pPr>
      <w:r w:rsidRPr="005A2243">
        <w:rPr>
          <w:rFonts w:ascii="Sakkal Majalla" w:hAnsi="Sakkal Majalla" w:cs="Sakkal Majalla"/>
          <w:b/>
          <w:bCs/>
          <w:color w:val="7030A0"/>
          <w:sz w:val="32"/>
          <w:szCs w:val="32"/>
          <w:lang w:bidi="ar-EG"/>
        </w:rPr>
        <w:t>Gender inequality in employment and education</w:t>
      </w:r>
    </w:p>
    <w:p w14:paraId="10CD0514" w14:textId="77777777" w:rsidR="00600C0E" w:rsidRPr="005A2243" w:rsidRDefault="00600C0E" w:rsidP="00600C0E">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Women in Azerbaijan are subjected to discrimination in law and societal practice, particularly about their enjoyment of their economic, social, and cultural rights. Gender stereotypes in Azerbaijan continue to negatively affect the situation of women by violating their social, economic, and cultural rights, especially in education. Women in Azerbaijan work in low-paid economic sectors and informal jobs. They represent 68.5 % of the education sector, 73 % of the medical and social services sector, and 60 % of the entertainment and arts sector</w:t>
      </w:r>
      <w:r w:rsidRPr="005A2243">
        <w:rPr>
          <w:rFonts w:ascii="Sakkal Majalla" w:eastAsia="Calibri" w:hAnsi="Sakkal Majalla" w:cs="Sakkal Majalla"/>
          <w:sz w:val="32"/>
          <w:szCs w:val="32"/>
          <w:vertAlign w:val="superscript"/>
          <w:rtl/>
          <w:lang w:bidi="ar-EG"/>
        </w:rPr>
        <w:footnoteReference w:id="3"/>
      </w:r>
      <w:r w:rsidRPr="005A2243">
        <w:rPr>
          <w:rFonts w:ascii="Sakkal Majalla" w:eastAsia="Calibri" w:hAnsi="Sakkal Majalla" w:cs="Sakkal Majalla"/>
          <w:sz w:val="32"/>
          <w:szCs w:val="32"/>
          <w:rtl/>
          <w:lang w:bidi="ar-EG"/>
        </w:rPr>
        <w:t>.</w:t>
      </w:r>
    </w:p>
    <w:p w14:paraId="244897F9" w14:textId="77777777" w:rsidR="00600C0E" w:rsidRPr="005A2243" w:rsidRDefault="00600C0E" w:rsidP="00600C0E">
      <w:pPr>
        <w:bidi w:val="0"/>
        <w:ind w:left="0" w:firstLine="0"/>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Pr>
          <w:rFonts w:ascii="Sakkal Majalla" w:eastAsia="Calibri" w:hAnsi="Sakkal Majalla" w:cs="Sakkal Majalla"/>
          <w:sz w:val="32"/>
          <w:szCs w:val="32"/>
          <w:lang w:bidi="ar-EG"/>
        </w:rPr>
        <w:tab/>
      </w:r>
      <w:r w:rsidRPr="005A2243">
        <w:rPr>
          <w:rFonts w:ascii="Sakkal Majalla" w:eastAsia="Calibri" w:hAnsi="Sakkal Majalla" w:cs="Sakkal Majalla"/>
          <w:sz w:val="32"/>
          <w:szCs w:val="32"/>
          <w:lang w:bidi="ar-EG"/>
        </w:rPr>
        <w:t>Azerbaijani law allowed for gender inequality in employment; it prohibits women from high-paying jobs. That is demonstrated in Article 241 of the Labor Code of Azerbaijan, and Resolution No. 170 of the Cabinet of Ministers of Azerbaijan of October 20, 1999, approving the list of sectors, professions, and jobs prohibited for women</w:t>
      </w:r>
      <w:r w:rsidRPr="005A2243">
        <w:rPr>
          <w:rFonts w:ascii="Sakkal Majalla" w:eastAsia="Calibri" w:hAnsi="Sakkal Majalla" w:cs="Sakkal Majalla"/>
          <w:sz w:val="32"/>
          <w:szCs w:val="32"/>
          <w:vertAlign w:val="superscript"/>
          <w:rtl/>
          <w:lang w:bidi="ar-EG"/>
        </w:rPr>
        <w:footnoteReference w:id="4"/>
      </w:r>
      <w:r w:rsidRPr="005A2243">
        <w:rPr>
          <w:rFonts w:ascii="Sakkal Majalla" w:eastAsia="Calibri" w:hAnsi="Sakkal Majalla" w:cs="Sakkal Majalla"/>
          <w:sz w:val="32"/>
          <w:szCs w:val="32"/>
          <w:lang w:bidi="ar-EG"/>
        </w:rPr>
        <w:t xml:space="preserve">. It makes restrictions on women's employment in more than 678 occupations in 38 industry branches, as dangerous industries, such </w:t>
      </w:r>
      <w:r w:rsidRPr="005A2243">
        <w:rPr>
          <w:rFonts w:ascii="Sakkal Majalla" w:eastAsia="Calibri" w:hAnsi="Sakkal Majalla" w:cs="Sakkal Majalla"/>
          <w:sz w:val="32"/>
          <w:szCs w:val="32"/>
          <w:lang w:bidi="ar-EG"/>
        </w:rPr>
        <w:lastRenderedPageBreak/>
        <w:t>as the oil and gas, power, chemical, food, metallurgical, shipbuilding, and machinery industries. Also, women were underrepresented in high-level positions, including in senior positions in the business. According to the International Statistics Committee, in 2019, the average monthly salary for women was 58% of the salary for men</w:t>
      </w:r>
      <w:r w:rsidRPr="005A2243">
        <w:rPr>
          <w:rFonts w:ascii="Sakkal Majalla" w:eastAsia="Calibri" w:hAnsi="Sakkal Majalla" w:cs="Sakkal Majalla"/>
          <w:sz w:val="32"/>
          <w:szCs w:val="32"/>
          <w:vertAlign w:val="superscript"/>
          <w:rtl/>
          <w:lang w:bidi="ar-EG"/>
        </w:rPr>
        <w:footnoteReference w:id="5"/>
      </w:r>
      <w:r w:rsidRPr="005A2243">
        <w:rPr>
          <w:rFonts w:ascii="Sakkal Majalla" w:eastAsia="Calibri" w:hAnsi="Sakkal Majalla" w:cs="Sakkal Majalla"/>
          <w:sz w:val="32"/>
          <w:szCs w:val="32"/>
          <w:rtl/>
          <w:lang w:bidi="ar-EG"/>
        </w:rPr>
        <w:t>.</w:t>
      </w:r>
    </w:p>
    <w:p w14:paraId="0FFAFEC8" w14:textId="77777777" w:rsidR="00600C0E" w:rsidRPr="005A2243" w:rsidRDefault="00600C0E" w:rsidP="00600C0E">
      <w:pPr>
        <w:bidi w:val="0"/>
        <w:ind w:left="0" w:firstLine="0"/>
        <w:jc w:val="lowKashida"/>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Pr>
          <w:rFonts w:ascii="Sakkal Majalla" w:eastAsia="Calibri" w:hAnsi="Sakkal Majalla" w:cs="Sakkal Majalla"/>
          <w:sz w:val="32"/>
          <w:szCs w:val="32"/>
          <w:lang w:bidi="ar-EG"/>
        </w:rPr>
        <w:tab/>
      </w:r>
      <w:r w:rsidRPr="005A2243">
        <w:rPr>
          <w:rFonts w:ascii="Sakkal Majalla" w:eastAsia="Calibri" w:hAnsi="Sakkal Majalla" w:cs="Sakkal Majalla"/>
          <w:sz w:val="32"/>
          <w:szCs w:val="32"/>
          <w:lang w:bidi="ar-EG"/>
        </w:rPr>
        <w:t>Therefore, banning women from working in these industries and economic sectors significantly deprives them of access to jobs. One of their most important economic rights, the right to work, is increasingly being violated, which greatly complicates their chances of achieving economic independence. In education, there is a need to achieve gender balance in general education. The percentage of girls enrolled in public education institutions is lower compared to males.  They are forced to attend private educational institutions - 65 percent of these institutions - instead of public education institutions. It would lead to unequal employment opportunities between the sexes and make them unable to work in economic sectors with higher wages like males</w:t>
      </w:r>
      <w:r>
        <w:rPr>
          <w:rFonts w:ascii="Sakkal Majalla" w:eastAsia="Calibri" w:hAnsi="Sakkal Majalla" w:cs="Sakkal Majalla"/>
          <w:sz w:val="32"/>
          <w:szCs w:val="32"/>
          <w:lang w:bidi="ar-EG"/>
        </w:rPr>
        <w:t>.</w:t>
      </w:r>
    </w:p>
    <w:p w14:paraId="2B0CF189" w14:textId="77777777" w:rsidR="00600C0E" w:rsidRPr="005A2243" w:rsidRDefault="00600C0E" w:rsidP="00600C0E">
      <w:pPr>
        <w:bidi w:val="0"/>
        <w:ind w:left="-57" w:firstLine="0"/>
        <w:jc w:val="lowKashida"/>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Forced labor</w:t>
      </w:r>
    </w:p>
    <w:p w14:paraId="2A9AD50F" w14:textId="77777777" w:rsidR="00600C0E" w:rsidRPr="005A2243" w:rsidRDefault="00600C0E" w:rsidP="00600C0E">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 xml:space="preserve">Forced labor or forced labor in Azerbaijan remains a prominent feature of violations of economic rights. Forced labor is commonly used as a punitive measure or a penalty imposed on persons found guilty of a crime. The constitution and law of Azerbaijan are replete with many broad provisions that include the imposition of forced labor as a punishment for expressing political </w:t>
      </w:r>
      <w:r w:rsidRPr="005A2243">
        <w:rPr>
          <w:rFonts w:ascii="Sakkal Majalla" w:eastAsia="Calibri" w:hAnsi="Sakkal Majalla" w:cs="Sakkal Majalla"/>
          <w:sz w:val="32"/>
          <w:szCs w:val="32"/>
          <w:lang w:bidi="ar-EG"/>
        </w:rPr>
        <w:lastRenderedPageBreak/>
        <w:t>views or opinions ideologically opposed to the existing political, social or economic system. That is evident in Article 35 of the Azerbaijani Constitution, provisions of the Criminal Code, and the Labor Code of Azerbaijan</w:t>
      </w:r>
      <w:r w:rsidRPr="005A2243">
        <w:rPr>
          <w:rFonts w:ascii="Sakkal Majalla" w:eastAsia="Calibri" w:hAnsi="Sakkal Majalla" w:cs="Sakkal Majalla"/>
          <w:sz w:val="32"/>
          <w:szCs w:val="32"/>
          <w:rtl/>
          <w:lang w:bidi="ar-EG"/>
        </w:rPr>
        <w:t>.</w:t>
      </w:r>
    </w:p>
    <w:p w14:paraId="10EC7472" w14:textId="77777777" w:rsidR="00600C0E" w:rsidRPr="005A2243" w:rsidRDefault="00600C0E" w:rsidP="00600C0E">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sidRPr="005A2243">
        <w:rPr>
          <w:rFonts w:ascii="Sakkal Majalla" w:eastAsia="Calibri" w:hAnsi="Sakkal Majalla" w:cs="Sakkal Majalla"/>
          <w:sz w:val="32"/>
          <w:szCs w:val="32"/>
          <w:lang w:bidi="ar-EG"/>
        </w:rPr>
        <w:t>The International Labor Organization's Committee of Experts has expressed concern about the increasing trend of using various provisions of the Criminal Code to prosecute journalists, bloggers, human rights defenders, and others who have expressed critical opinions, on dubious charges that appear to be politically motivated. That led to long periods of correctional labor or imprisonment, both of which involve forced labor</w:t>
      </w:r>
      <w:r w:rsidRPr="005A2243">
        <w:rPr>
          <w:rFonts w:ascii="Sakkal Majalla" w:eastAsia="Calibri" w:hAnsi="Sakkal Majalla" w:cs="Sakkal Majalla"/>
          <w:sz w:val="32"/>
          <w:szCs w:val="32"/>
          <w:rtl/>
          <w:lang w:bidi="ar-EG"/>
        </w:rPr>
        <w:t>.</w:t>
      </w:r>
      <w:r w:rsidRPr="005A2243">
        <w:rPr>
          <w:rFonts w:ascii="Sakkal Majalla" w:eastAsia="Calibri" w:hAnsi="Sakkal Majalla" w:cs="Sakkal Majalla"/>
          <w:sz w:val="32"/>
          <w:szCs w:val="32"/>
          <w:vertAlign w:val="superscript"/>
          <w:rtl/>
          <w:lang w:bidi="ar-EG"/>
        </w:rPr>
        <w:t xml:space="preserve"> </w:t>
      </w:r>
      <w:r w:rsidRPr="005A2243">
        <w:rPr>
          <w:rFonts w:ascii="Sakkal Majalla" w:eastAsia="Calibri" w:hAnsi="Sakkal Majalla" w:cs="Sakkal Majalla"/>
          <w:sz w:val="32"/>
          <w:szCs w:val="32"/>
          <w:vertAlign w:val="superscript"/>
          <w:rtl/>
          <w:lang w:bidi="ar-EG"/>
        </w:rPr>
        <w:footnoteReference w:id="6"/>
      </w:r>
    </w:p>
    <w:p w14:paraId="5A3C04A4" w14:textId="77777777" w:rsidR="00600C0E" w:rsidRPr="005A2243" w:rsidRDefault="00600C0E" w:rsidP="00600C0E">
      <w:pPr>
        <w:bidi w:val="0"/>
        <w:ind w:left="-57" w:firstLine="0"/>
        <w:jc w:val="lowKashida"/>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Violations related to vulnerable or marginalized groups</w:t>
      </w:r>
      <w:r w:rsidRPr="005A2243">
        <w:rPr>
          <w:rFonts w:ascii="Sakkal Majalla" w:hAnsi="Sakkal Majalla" w:cs="Sakkal Majalla"/>
          <w:b/>
          <w:bCs/>
          <w:color w:val="7030A0"/>
          <w:sz w:val="32"/>
          <w:szCs w:val="32"/>
          <w:rtl/>
          <w:lang w:bidi="ar-EG"/>
        </w:rPr>
        <w:t>:</w:t>
      </w:r>
    </w:p>
    <w:p w14:paraId="4B8AEF81" w14:textId="77777777" w:rsidR="00600C0E" w:rsidRPr="005A2243" w:rsidRDefault="00600C0E" w:rsidP="00600C0E">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Some vulnerable, marginalized groups, such as refugees, displaced persons, stateless persons, and people with special needs, are subjected to violations of their economic, social, and cultural rights. In terms of internally displaced persons, the United Nations High Commissioner for Refugees estimated their number in Azerbaijan at more than 326,000 internally displaced persons. All face economic hardship due to their exclusion from employment opportunities; Their unemployment rate is higher than the national average. The Azerbaijani government did not sufficiently promote the integration of the displaced into society. In the same context, more than 1,591 refugees in Azerbaijan lack access to services, including education, health, decent housing, and legal work. The same is true for stateless persons, as their lack of legal status still hinders their enjoyment of their rights, particularly the right to internal movement, work, and health care</w:t>
      </w:r>
      <w:r w:rsidRPr="005A2243">
        <w:rPr>
          <w:rFonts w:ascii="Sakkal Majalla" w:eastAsia="Calibri" w:hAnsi="Sakkal Majalla" w:cs="Sakkal Majalla"/>
          <w:sz w:val="32"/>
          <w:szCs w:val="32"/>
          <w:rtl/>
          <w:lang w:bidi="ar-EG"/>
        </w:rPr>
        <w:t>.</w:t>
      </w:r>
    </w:p>
    <w:p w14:paraId="2C12FF3B" w14:textId="77777777" w:rsidR="00600C0E" w:rsidRPr="005A2243" w:rsidRDefault="00600C0E" w:rsidP="00600C0E">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lastRenderedPageBreak/>
        <w:t>While the law in Azerbaijan prohibits discrimination against persons with physical, sensory, mental, or mental disabilities, the Azerbaijani government has not effectively enforced these provisions. Discrimination and bad stereotypes towards persons with disabilities are common in Azerbaijan. There is a widespread belief in Azerbaijani society that children with disabilities are sick and should be separated from other children and placed in secluded institutions. That affected their enjoyment of their economic and cultural rights, especially the right to work and education. Of the more than 62,000 children with disabilities in Azerbaijan, only 6-10 thousand children with disabilities receive educational services in educational facilities separated from healthy children, the rest do not receive any educational services</w:t>
      </w:r>
      <w:r w:rsidRPr="005A2243">
        <w:rPr>
          <w:rFonts w:ascii="Sakkal Majalla" w:eastAsia="Calibri" w:hAnsi="Sakkal Majalla" w:cs="Sakkal Majalla"/>
          <w:sz w:val="32"/>
          <w:szCs w:val="32"/>
          <w:rtl/>
          <w:lang w:bidi="ar-EG"/>
        </w:rPr>
        <w:t>.</w:t>
      </w:r>
    </w:p>
    <w:p w14:paraId="211A9869" w14:textId="77777777" w:rsidR="00600C0E" w:rsidRPr="005A2243" w:rsidRDefault="00600C0E" w:rsidP="00600C0E">
      <w:pPr>
        <w:bidi w:val="0"/>
        <w:jc w:val="lowKashida"/>
        <w:rPr>
          <w:rFonts w:ascii="Sakkal Majalla" w:hAnsi="Sakkal Majalla" w:cs="Sakkal Majalla"/>
          <w:sz w:val="32"/>
          <w:szCs w:val="32"/>
          <w:lang w:bidi="ar-EG"/>
        </w:rPr>
      </w:pPr>
    </w:p>
    <w:p w14:paraId="2AFD7256" w14:textId="2E48AEBF" w:rsidR="001877CA" w:rsidRPr="005A2243" w:rsidRDefault="001877CA" w:rsidP="001877CA">
      <w:pPr>
        <w:bidi w:val="0"/>
        <w:ind w:left="0" w:hanging="16"/>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Violations of the right to housing and property against the Armenian citizens of Karabakh</w:t>
      </w:r>
    </w:p>
    <w:p w14:paraId="738AB5BD" w14:textId="270FA8B9" w:rsidR="0097170A" w:rsidRPr="005A2243" w:rsidRDefault="001877CA" w:rsidP="005A2243">
      <w:pPr>
        <w:bidi w:val="0"/>
        <w:ind w:left="0" w:firstLine="720"/>
        <w:jc w:val="lowKashida"/>
        <w:rPr>
          <w:rFonts w:ascii="Sakkal Majalla" w:eastAsia="Calibri" w:hAnsi="Sakkal Majalla" w:cs="Sakkal Majalla"/>
          <w:sz w:val="32"/>
          <w:szCs w:val="32"/>
          <w:rtl/>
          <w:lang w:bidi="ar-EG"/>
        </w:rPr>
      </w:pPr>
      <w:r w:rsidRPr="005A2243">
        <w:rPr>
          <w:rFonts w:ascii="Sakkal Majalla" w:eastAsia="Calibri" w:hAnsi="Sakkal Majalla" w:cs="Sakkal Majalla"/>
          <w:sz w:val="32"/>
          <w:szCs w:val="32"/>
          <w:lang w:bidi="ar-EG"/>
        </w:rPr>
        <w:t xml:space="preserve">The Azerbaijani authorities committed grave violations of the economic rights of Armenian citizens during its war that broke out in September 2020 for control of the Karabakh region and its surroundings. It was a violation of its international obligations under the International Covenant on Economic, Cultural, and Social Rights. In its war for control of the Karabakh region, Azerbaijan expelled the Armenian population from their homes. It forced them to flee their lands and property in flagrant violation of economic and social rights, particularly the right to property and housing. According to a study prepared by Maat for Peace, Development, and Human Rights, as a result of the military operations carried out by Azerbaijan in the Karabakh region, the local population lost their </w:t>
      </w:r>
      <w:r w:rsidRPr="005A2243">
        <w:rPr>
          <w:rFonts w:ascii="Sakkal Majalla" w:eastAsia="Calibri" w:hAnsi="Sakkal Majalla" w:cs="Sakkal Majalla"/>
          <w:sz w:val="32"/>
          <w:szCs w:val="32"/>
          <w:lang w:bidi="ar-EG"/>
        </w:rPr>
        <w:lastRenderedPageBreak/>
        <w:t xml:space="preserve">homes, property, and hundreds of acres of agricultural land. A man in Syunik province had his house and farm divided between the two countries in the recent Azerbaijani attacks. Also, 12 families of 37 people in the village of </w:t>
      </w:r>
      <w:proofErr w:type="spellStart"/>
      <w:r w:rsidRPr="005A2243">
        <w:rPr>
          <w:rFonts w:ascii="Sakkal Majalla" w:eastAsia="Calibri" w:hAnsi="Sakkal Majalla" w:cs="Sakkal Majalla"/>
          <w:sz w:val="32"/>
          <w:szCs w:val="32"/>
          <w:lang w:bidi="ar-EG"/>
        </w:rPr>
        <w:t>Churnokh</w:t>
      </w:r>
      <w:proofErr w:type="spellEnd"/>
      <w:r w:rsidRPr="005A2243">
        <w:rPr>
          <w:rFonts w:ascii="Sakkal Majalla" w:eastAsia="Calibri" w:hAnsi="Sakkal Majalla" w:cs="Sakkal Majalla"/>
          <w:sz w:val="32"/>
          <w:szCs w:val="32"/>
          <w:lang w:bidi="ar-EG"/>
        </w:rPr>
        <w:t xml:space="preserve"> were forced to flee and abandon their property forever after the Azerbaijani soldiers assaulted them</w:t>
      </w:r>
      <w:r w:rsidR="0097170A" w:rsidRPr="005A2243">
        <w:rPr>
          <w:rFonts w:ascii="Sakkal Majalla" w:eastAsia="Calibri" w:hAnsi="Sakkal Majalla" w:cs="Sakkal Majalla"/>
          <w:sz w:val="32"/>
          <w:szCs w:val="32"/>
          <w:rtl/>
          <w:lang w:bidi="ar-EG"/>
        </w:rPr>
        <w:t>.</w:t>
      </w:r>
      <w:r w:rsidR="0097170A" w:rsidRPr="005A2243">
        <w:rPr>
          <w:rFonts w:ascii="Sakkal Majalla" w:eastAsia="Calibri" w:hAnsi="Sakkal Majalla" w:cs="Sakkal Majalla"/>
          <w:sz w:val="32"/>
          <w:szCs w:val="32"/>
          <w:vertAlign w:val="superscript"/>
          <w:rtl/>
          <w:lang w:bidi="ar-EG"/>
        </w:rPr>
        <w:footnoteReference w:id="7"/>
      </w:r>
    </w:p>
    <w:p w14:paraId="46BD3D9D" w14:textId="552F07BC" w:rsidR="005D388D" w:rsidRPr="005A2243" w:rsidRDefault="001877CA" w:rsidP="001877CA">
      <w:pPr>
        <w:bidi w:val="0"/>
        <w:ind w:left="-57" w:firstLine="0"/>
        <w:jc w:val="lowKashida"/>
        <w:rPr>
          <w:rFonts w:ascii="Sakkal Majalla" w:hAnsi="Sakkal Majalla" w:cs="Sakkal Majalla"/>
          <w:b/>
          <w:bCs/>
          <w:color w:val="7030A0"/>
          <w:sz w:val="32"/>
          <w:szCs w:val="32"/>
          <w:rtl/>
          <w:lang w:bidi="ar-EG"/>
        </w:rPr>
      </w:pPr>
      <w:r w:rsidRPr="005A2243">
        <w:rPr>
          <w:rFonts w:ascii="Sakkal Majalla" w:hAnsi="Sakkal Majalla" w:cs="Sakkal Majalla"/>
          <w:b/>
          <w:bCs/>
          <w:color w:val="7030A0"/>
          <w:sz w:val="32"/>
          <w:szCs w:val="32"/>
          <w:lang w:bidi="ar-EG"/>
        </w:rPr>
        <w:t>Unemployment has skyrocketed to unprecedented levels</w:t>
      </w:r>
    </w:p>
    <w:p w14:paraId="52B7FE02" w14:textId="2185367A" w:rsidR="001C1FEC" w:rsidRPr="005A2243" w:rsidRDefault="001C1FEC" w:rsidP="005A2243">
      <w:pPr>
        <w:bidi w:val="0"/>
        <w:ind w:left="0" w:firstLine="720"/>
        <w:rPr>
          <w:rFonts w:ascii="Sakkal Majalla" w:eastAsia="Calibri" w:hAnsi="Sakkal Majalla" w:cs="Sakkal Majalla"/>
          <w:sz w:val="32"/>
          <w:szCs w:val="32"/>
        </w:rPr>
      </w:pPr>
      <w:r w:rsidRPr="005A2243">
        <w:rPr>
          <w:rFonts w:ascii="Sakkal Majalla" w:eastAsia="Calibri" w:hAnsi="Sakkal Majalla" w:cs="Sakkal Majalla"/>
          <w:sz w:val="32"/>
          <w:szCs w:val="32"/>
        </w:rPr>
        <w:t>The Labor Code, along with many laws, regulates labor relations in Azerbaijan. Although the right to work is one of the most important economic rights stipulated in the International Covenant on Economic, Social, and Cultural Rights, it is still being violated in Azerbaijan. The percentage of working individuals in Azerbaijan decreases, and the unemployment rate rises in return. Of the more than 10 million citizens of Azerbaijan, nearly 5 million are economically active. According to official statistics, the number of registered employees in Azerbaijan at the beginning of 2020 amounted to approximately 1,645,000 people; about 914 thousand people work in the public sector, and 730 thousand people work in the non-governmental sector</w:t>
      </w:r>
      <w:r w:rsidRPr="005A2243">
        <w:rPr>
          <w:rFonts w:ascii="Sakkal Majalla" w:eastAsia="Calibri" w:hAnsi="Sakkal Majalla" w:cs="Sakkal Majalla"/>
          <w:sz w:val="32"/>
          <w:szCs w:val="32"/>
          <w:vertAlign w:val="superscript"/>
          <w:rtl/>
          <w:lang w:bidi="ar-EG"/>
        </w:rPr>
        <w:footnoteReference w:id="8"/>
      </w:r>
      <w:r w:rsidRPr="005A2243">
        <w:rPr>
          <w:rFonts w:ascii="Sakkal Majalla" w:eastAsia="Calibri" w:hAnsi="Sakkal Majalla" w:cs="Sakkal Majalla"/>
          <w:sz w:val="32"/>
          <w:szCs w:val="32"/>
          <w:rtl/>
        </w:rPr>
        <w:t>.</w:t>
      </w:r>
    </w:p>
    <w:p w14:paraId="2B0EC280" w14:textId="07917914" w:rsidR="005B0B31" w:rsidRPr="005A2243" w:rsidRDefault="001C1FEC" w:rsidP="001C1FEC">
      <w:pPr>
        <w:bidi w:val="0"/>
        <w:ind w:left="0" w:firstLine="0"/>
        <w:jc w:val="lowKashida"/>
        <w:rPr>
          <w:rFonts w:ascii="Sakkal Majalla" w:eastAsia="Calibri" w:hAnsi="Sakkal Majalla" w:cs="Sakkal Majalla"/>
          <w:sz w:val="32"/>
          <w:szCs w:val="32"/>
          <w:rtl/>
        </w:rPr>
      </w:pPr>
      <w:r w:rsidRPr="005A2243">
        <w:rPr>
          <w:rFonts w:ascii="Sakkal Majalla" w:eastAsia="Calibri" w:hAnsi="Sakkal Majalla" w:cs="Sakkal Majalla"/>
          <w:sz w:val="32"/>
          <w:szCs w:val="32"/>
          <w:rtl/>
        </w:rPr>
        <w:t xml:space="preserve"> </w:t>
      </w:r>
      <w:r w:rsidR="005A2243">
        <w:rPr>
          <w:rFonts w:ascii="Sakkal Majalla" w:eastAsia="Calibri" w:hAnsi="Sakkal Majalla" w:cs="Sakkal Majalla"/>
          <w:sz w:val="32"/>
          <w:szCs w:val="32"/>
        </w:rPr>
        <w:tab/>
      </w:r>
      <w:r w:rsidRPr="005A2243">
        <w:rPr>
          <w:rFonts w:ascii="Sakkal Majalla" w:eastAsia="Calibri" w:hAnsi="Sakkal Majalla" w:cs="Sakkal Majalla"/>
          <w:sz w:val="32"/>
          <w:szCs w:val="32"/>
        </w:rPr>
        <w:t xml:space="preserve">On the other hand, the rates of seekers and the unemployed are rising. According to official statistics, the number of job seekers and unemployed people registered with employment services in Azerbaijan has reached more than </w:t>
      </w:r>
      <w:r w:rsidRPr="005A2243">
        <w:rPr>
          <w:rFonts w:ascii="Sakkal Majalla" w:eastAsia="Calibri" w:hAnsi="Sakkal Majalla" w:cs="Sakkal Majalla"/>
          <w:sz w:val="32"/>
          <w:szCs w:val="32"/>
        </w:rPr>
        <w:lastRenderedPageBreak/>
        <w:t>234,000, with a rate of 5%, which is very low and contrasts with the unemployment in Azerbaijan. Recent research, contrary to official statistics, has shown that the unemployment level in Azerbaijan is 25%. That confirms the high level of unemployment among the economically active in Azerbaijan, contrary to the official statistics announced by the Azerbaijani government</w:t>
      </w:r>
      <w:r w:rsidRPr="005A2243">
        <w:rPr>
          <w:rFonts w:ascii="Sakkal Majalla" w:eastAsia="Calibri" w:hAnsi="Sakkal Majalla" w:cs="Sakkal Majalla"/>
          <w:sz w:val="32"/>
          <w:szCs w:val="32"/>
          <w:vertAlign w:val="superscript"/>
          <w:rtl/>
          <w:lang w:bidi="ar-EG"/>
        </w:rPr>
        <w:footnoteReference w:id="9"/>
      </w:r>
      <w:r w:rsidRPr="005A2243">
        <w:rPr>
          <w:rFonts w:ascii="Sakkal Majalla" w:eastAsia="Calibri" w:hAnsi="Sakkal Majalla" w:cs="Sakkal Majalla"/>
          <w:sz w:val="32"/>
          <w:szCs w:val="32"/>
          <w:rtl/>
        </w:rPr>
        <w:t>.</w:t>
      </w:r>
    </w:p>
    <w:p w14:paraId="646C8B95" w14:textId="35CE0821" w:rsidR="00B40B95" w:rsidRPr="005A2243" w:rsidRDefault="001C1FEC" w:rsidP="001C1FEC">
      <w:pPr>
        <w:bidi w:val="0"/>
        <w:ind w:left="-57" w:firstLine="0"/>
        <w:jc w:val="lowKashida"/>
        <w:rPr>
          <w:rFonts w:ascii="Sakkal Majalla" w:hAnsi="Sakkal Majalla" w:cs="Sakkal Majalla"/>
          <w:b/>
          <w:bCs/>
          <w:color w:val="7030A0"/>
          <w:sz w:val="32"/>
          <w:szCs w:val="32"/>
          <w:rtl/>
          <w:lang w:bidi="ar-EG"/>
        </w:rPr>
      </w:pPr>
      <w:r w:rsidRPr="005A2243">
        <w:rPr>
          <w:rFonts w:ascii="Sakkal Majalla" w:hAnsi="Sakkal Majalla" w:cs="Sakkal Majalla"/>
          <w:b/>
          <w:bCs/>
          <w:color w:val="7030A0"/>
          <w:sz w:val="32"/>
          <w:szCs w:val="32"/>
          <w:lang w:bidi="ar-EG"/>
        </w:rPr>
        <w:t>Gender inequality in employment and education</w:t>
      </w:r>
    </w:p>
    <w:p w14:paraId="0C0D7AAA" w14:textId="333FBBA9" w:rsidR="00BE3E1C" w:rsidRPr="005A2243" w:rsidRDefault="00BE3E1C" w:rsidP="005A2243">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Women in Azerbaijan are subjected to discrimination in law and societal practice, particularly about their enjoyment of their economic, social, and cultural rights. Gender stereotypes in Azerbaijan continue to negatively affect the situation of women by violating their social, economic, and cultural rights, especially in education. Women in Azerbaijan work in low-paid economic sectors and informal jobs. They represent 68.5 % of the education sector, 73 % of the medical and social services sector, and 60 % of the entertainment and arts sector</w:t>
      </w:r>
      <w:r w:rsidRPr="005A2243">
        <w:rPr>
          <w:rFonts w:ascii="Sakkal Majalla" w:eastAsia="Calibri" w:hAnsi="Sakkal Majalla" w:cs="Sakkal Majalla"/>
          <w:sz w:val="32"/>
          <w:szCs w:val="32"/>
          <w:vertAlign w:val="superscript"/>
          <w:rtl/>
          <w:lang w:bidi="ar-EG"/>
        </w:rPr>
        <w:footnoteReference w:id="10"/>
      </w:r>
      <w:r w:rsidRPr="005A2243">
        <w:rPr>
          <w:rFonts w:ascii="Sakkal Majalla" w:eastAsia="Calibri" w:hAnsi="Sakkal Majalla" w:cs="Sakkal Majalla"/>
          <w:sz w:val="32"/>
          <w:szCs w:val="32"/>
          <w:rtl/>
          <w:lang w:bidi="ar-EG"/>
        </w:rPr>
        <w:t>.</w:t>
      </w:r>
    </w:p>
    <w:p w14:paraId="42E3B803" w14:textId="72DE983A" w:rsidR="00BE3E1C" w:rsidRPr="005A2243" w:rsidRDefault="00BE3E1C" w:rsidP="00BE3E1C">
      <w:pPr>
        <w:bidi w:val="0"/>
        <w:ind w:left="0" w:firstLine="0"/>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sidR="005A2243">
        <w:rPr>
          <w:rFonts w:ascii="Sakkal Majalla" w:eastAsia="Calibri" w:hAnsi="Sakkal Majalla" w:cs="Sakkal Majalla"/>
          <w:sz w:val="32"/>
          <w:szCs w:val="32"/>
          <w:lang w:bidi="ar-EG"/>
        </w:rPr>
        <w:tab/>
      </w:r>
      <w:r w:rsidRPr="005A2243">
        <w:rPr>
          <w:rFonts w:ascii="Sakkal Majalla" w:eastAsia="Calibri" w:hAnsi="Sakkal Majalla" w:cs="Sakkal Majalla"/>
          <w:sz w:val="32"/>
          <w:szCs w:val="32"/>
          <w:lang w:bidi="ar-EG"/>
        </w:rPr>
        <w:t>Azerbaijani law allowed for gender inequality in employment; it prohibits women from high-paying jobs. That is demonstrated in Article 241 of the Labor Code of Azerbaijan, and Resolution No. 170 of the Cabinet of Ministers of Azerbaijan of October 20, 1999, approving the list of sectors, professions, and jobs prohibited for women</w:t>
      </w:r>
      <w:r w:rsidRPr="005A2243">
        <w:rPr>
          <w:rFonts w:ascii="Sakkal Majalla" w:eastAsia="Calibri" w:hAnsi="Sakkal Majalla" w:cs="Sakkal Majalla"/>
          <w:sz w:val="32"/>
          <w:szCs w:val="32"/>
          <w:vertAlign w:val="superscript"/>
          <w:rtl/>
          <w:lang w:bidi="ar-EG"/>
        </w:rPr>
        <w:footnoteReference w:id="11"/>
      </w:r>
      <w:r w:rsidRPr="005A2243">
        <w:rPr>
          <w:rFonts w:ascii="Sakkal Majalla" w:eastAsia="Calibri" w:hAnsi="Sakkal Majalla" w:cs="Sakkal Majalla"/>
          <w:sz w:val="32"/>
          <w:szCs w:val="32"/>
          <w:lang w:bidi="ar-EG"/>
        </w:rPr>
        <w:t xml:space="preserve">. It makes restrictions on women's employment in </w:t>
      </w:r>
      <w:r w:rsidRPr="005A2243">
        <w:rPr>
          <w:rFonts w:ascii="Sakkal Majalla" w:eastAsia="Calibri" w:hAnsi="Sakkal Majalla" w:cs="Sakkal Majalla"/>
          <w:sz w:val="32"/>
          <w:szCs w:val="32"/>
          <w:lang w:bidi="ar-EG"/>
        </w:rPr>
        <w:lastRenderedPageBreak/>
        <w:t>more than 678 occupations in 38 industry branches, as dangerous industries, such as the oil and gas, power, chemical, food, metallurgical, shipbuilding, and machinery industries. Also, women were underrepresented in high-level positions, including in senior positions in the business. According to the International Statistics Committee, in 2019, the average monthly salary for women was 58% of the salary for men</w:t>
      </w:r>
      <w:r w:rsidRPr="005A2243">
        <w:rPr>
          <w:rFonts w:ascii="Sakkal Majalla" w:eastAsia="Calibri" w:hAnsi="Sakkal Majalla" w:cs="Sakkal Majalla"/>
          <w:sz w:val="32"/>
          <w:szCs w:val="32"/>
          <w:vertAlign w:val="superscript"/>
          <w:rtl/>
          <w:lang w:bidi="ar-EG"/>
        </w:rPr>
        <w:footnoteReference w:id="12"/>
      </w:r>
      <w:r w:rsidRPr="005A2243">
        <w:rPr>
          <w:rFonts w:ascii="Sakkal Majalla" w:eastAsia="Calibri" w:hAnsi="Sakkal Majalla" w:cs="Sakkal Majalla"/>
          <w:sz w:val="32"/>
          <w:szCs w:val="32"/>
          <w:rtl/>
          <w:lang w:bidi="ar-EG"/>
        </w:rPr>
        <w:t>.</w:t>
      </w:r>
    </w:p>
    <w:p w14:paraId="5D052B77" w14:textId="5A6B4132" w:rsidR="00BE3E1C" w:rsidRPr="005A2243" w:rsidRDefault="00BE3E1C" w:rsidP="005A2243">
      <w:pPr>
        <w:bidi w:val="0"/>
        <w:ind w:left="0" w:firstLine="0"/>
        <w:jc w:val="lowKashida"/>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sidR="005A2243">
        <w:rPr>
          <w:rFonts w:ascii="Sakkal Majalla" w:eastAsia="Calibri" w:hAnsi="Sakkal Majalla" w:cs="Sakkal Majalla"/>
          <w:sz w:val="32"/>
          <w:szCs w:val="32"/>
          <w:lang w:bidi="ar-EG"/>
        </w:rPr>
        <w:tab/>
      </w:r>
      <w:r w:rsidRPr="005A2243">
        <w:rPr>
          <w:rFonts w:ascii="Sakkal Majalla" w:eastAsia="Calibri" w:hAnsi="Sakkal Majalla" w:cs="Sakkal Majalla"/>
          <w:sz w:val="32"/>
          <w:szCs w:val="32"/>
          <w:lang w:bidi="ar-EG"/>
        </w:rPr>
        <w:t>Therefore, banning women from working in these industries and economic sectors significantly deprives them of access to jobs. One of their most important economic rights, the right to work, is increasingly being violated, which greatly complicates their chances of achieving economic independence. In education, there is a need to achieve gender balance in general education. The percentage of girls enrolled in public education institutions is lower compared to males.  They are forced to attend private educational institutions - 65 percent of these institutions - instead of public education institutions. It would lead to unequal employment opportunities between the sexes and make them unable to work in economic sectors with higher wages like males</w:t>
      </w:r>
      <w:r w:rsidR="005A2243">
        <w:rPr>
          <w:rFonts w:ascii="Sakkal Majalla" w:eastAsia="Calibri" w:hAnsi="Sakkal Majalla" w:cs="Sakkal Majalla"/>
          <w:sz w:val="32"/>
          <w:szCs w:val="32"/>
          <w:lang w:bidi="ar-EG"/>
        </w:rPr>
        <w:t>.</w:t>
      </w:r>
    </w:p>
    <w:p w14:paraId="7040E998" w14:textId="0E78E115" w:rsidR="003C62F6" w:rsidRPr="005A2243" w:rsidRDefault="003C62F6" w:rsidP="003C62F6">
      <w:pPr>
        <w:bidi w:val="0"/>
        <w:ind w:left="-57" w:firstLine="0"/>
        <w:jc w:val="lowKashida"/>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Forced labor</w:t>
      </w:r>
    </w:p>
    <w:p w14:paraId="054E5858" w14:textId="77777777" w:rsidR="003C62F6" w:rsidRPr="005A2243" w:rsidRDefault="003C62F6" w:rsidP="005A2243">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 xml:space="preserve">Forced labor or forced labor in Azerbaijan remains a prominent feature of violations of economic rights. Forced labor is commonly used as a punitive measure or a penalty imposed on persons found guilty of a crime. The constitution and law of Azerbaijan are replete with many broad provisions that </w:t>
      </w:r>
      <w:r w:rsidRPr="005A2243">
        <w:rPr>
          <w:rFonts w:ascii="Sakkal Majalla" w:eastAsia="Calibri" w:hAnsi="Sakkal Majalla" w:cs="Sakkal Majalla"/>
          <w:sz w:val="32"/>
          <w:szCs w:val="32"/>
          <w:lang w:bidi="ar-EG"/>
        </w:rPr>
        <w:lastRenderedPageBreak/>
        <w:t>include the imposition of forced labor as a punishment for expressing political views or opinions ideologically opposed to the existing political, social or economic system. That is evident in Article 35 of the Azerbaijani Constitution, provisions of the Criminal Code, and the Labor Code of Azerbaijan</w:t>
      </w:r>
      <w:r w:rsidRPr="005A2243">
        <w:rPr>
          <w:rFonts w:ascii="Sakkal Majalla" w:eastAsia="Calibri" w:hAnsi="Sakkal Majalla" w:cs="Sakkal Majalla"/>
          <w:sz w:val="32"/>
          <w:szCs w:val="32"/>
          <w:rtl/>
          <w:lang w:bidi="ar-EG"/>
        </w:rPr>
        <w:t>.</w:t>
      </w:r>
    </w:p>
    <w:p w14:paraId="75536ED7" w14:textId="72892076" w:rsidR="003C62F6" w:rsidRPr="005A2243" w:rsidRDefault="003C62F6" w:rsidP="005A2243">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rtl/>
          <w:lang w:bidi="ar-EG"/>
        </w:rPr>
        <w:t xml:space="preserve"> </w:t>
      </w:r>
      <w:r w:rsidRPr="005A2243">
        <w:rPr>
          <w:rFonts w:ascii="Sakkal Majalla" w:eastAsia="Calibri" w:hAnsi="Sakkal Majalla" w:cs="Sakkal Majalla"/>
          <w:sz w:val="32"/>
          <w:szCs w:val="32"/>
          <w:lang w:bidi="ar-EG"/>
        </w:rPr>
        <w:t>The International Labor Organization's Committee of Experts has expressed concern about the increasing trend of using various provisions of the Criminal Code to prosecute journalists, bloggers, human rights defenders, and others who have expressed critical opinions, on dubious charges that appear to be politically motivated. That led to long periods of correctional labor or imprisonment, both of which involve forced labor</w:t>
      </w:r>
      <w:r w:rsidRPr="005A2243">
        <w:rPr>
          <w:rFonts w:ascii="Sakkal Majalla" w:eastAsia="Calibri" w:hAnsi="Sakkal Majalla" w:cs="Sakkal Majalla"/>
          <w:sz w:val="32"/>
          <w:szCs w:val="32"/>
          <w:rtl/>
          <w:lang w:bidi="ar-EG"/>
        </w:rPr>
        <w:t>.</w:t>
      </w:r>
      <w:r w:rsidR="00C44355" w:rsidRPr="005A2243">
        <w:rPr>
          <w:rFonts w:ascii="Sakkal Majalla" w:eastAsia="Calibri" w:hAnsi="Sakkal Majalla" w:cs="Sakkal Majalla"/>
          <w:sz w:val="32"/>
          <w:szCs w:val="32"/>
          <w:vertAlign w:val="superscript"/>
          <w:rtl/>
          <w:lang w:bidi="ar-EG"/>
        </w:rPr>
        <w:t xml:space="preserve"> </w:t>
      </w:r>
      <w:r w:rsidR="00C44355" w:rsidRPr="005A2243">
        <w:rPr>
          <w:rFonts w:ascii="Sakkal Majalla" w:eastAsia="Calibri" w:hAnsi="Sakkal Majalla" w:cs="Sakkal Majalla"/>
          <w:sz w:val="32"/>
          <w:szCs w:val="32"/>
          <w:vertAlign w:val="superscript"/>
          <w:rtl/>
          <w:lang w:bidi="ar-EG"/>
        </w:rPr>
        <w:footnoteReference w:id="13"/>
      </w:r>
    </w:p>
    <w:p w14:paraId="79652041" w14:textId="77777777" w:rsidR="003C62F6" w:rsidRPr="005A2243" w:rsidRDefault="003C62F6" w:rsidP="00C44355">
      <w:pPr>
        <w:bidi w:val="0"/>
        <w:ind w:left="-57" w:firstLine="0"/>
        <w:jc w:val="lowKashida"/>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Violations related to vulnerable or marginalized groups</w:t>
      </w:r>
      <w:r w:rsidRPr="005A2243">
        <w:rPr>
          <w:rFonts w:ascii="Sakkal Majalla" w:hAnsi="Sakkal Majalla" w:cs="Sakkal Majalla"/>
          <w:b/>
          <w:bCs/>
          <w:color w:val="7030A0"/>
          <w:sz w:val="32"/>
          <w:szCs w:val="32"/>
          <w:rtl/>
          <w:lang w:bidi="ar-EG"/>
        </w:rPr>
        <w:t>:</w:t>
      </w:r>
    </w:p>
    <w:p w14:paraId="3793514E" w14:textId="77777777" w:rsidR="003C62F6" w:rsidRPr="005A2243" w:rsidRDefault="003C62F6" w:rsidP="005A2243">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 xml:space="preserve">Some vulnerable, marginalized groups, such as refugees, displaced persons, stateless persons, and people with special needs, are subjected to violations of their economic, social, and cultural rights. In terms of internally displaced persons, the United Nations High Commissioner for Refugees estimated their number in Azerbaijan at more than 326,000 internally displaced persons. All face economic hardship due to their exclusion from employment opportunities; Their unemployment rate is higher than the national average. The Azerbaijani government did not sufficiently promote the integration of the displaced into society. In the same context, more than 1,591 refugees in Azerbaijan lack access to services, including education, health, decent housing, and legal work. The same is true for stateless persons, as their lack of legal status still hinders their </w:t>
      </w:r>
      <w:r w:rsidRPr="005A2243">
        <w:rPr>
          <w:rFonts w:ascii="Sakkal Majalla" w:eastAsia="Calibri" w:hAnsi="Sakkal Majalla" w:cs="Sakkal Majalla"/>
          <w:sz w:val="32"/>
          <w:szCs w:val="32"/>
          <w:lang w:bidi="ar-EG"/>
        </w:rPr>
        <w:lastRenderedPageBreak/>
        <w:t>enjoyment of their rights, particularly the right to internal movement, work, and health care</w:t>
      </w:r>
      <w:r w:rsidRPr="005A2243">
        <w:rPr>
          <w:rFonts w:ascii="Sakkal Majalla" w:eastAsia="Calibri" w:hAnsi="Sakkal Majalla" w:cs="Sakkal Majalla"/>
          <w:sz w:val="32"/>
          <w:szCs w:val="32"/>
          <w:rtl/>
          <w:lang w:bidi="ar-EG"/>
        </w:rPr>
        <w:t>.</w:t>
      </w:r>
    </w:p>
    <w:p w14:paraId="68CC6F3B" w14:textId="77777777" w:rsidR="003C62F6" w:rsidRPr="005A2243" w:rsidRDefault="003C62F6" w:rsidP="005A2243">
      <w:pPr>
        <w:bidi w:val="0"/>
        <w:ind w:left="0" w:firstLine="72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While the law in Azerbaijan prohibits discrimination against persons with physical, sensory, mental, or mental disabilities, the Azerbaijani government has not effectively enforced these provisions. Discrimination and bad stereotypes towards persons with disabilities are common in Azerbaijan. There is a widespread belief in Azerbaijani society that children with disabilities are sick and should be separated from other children and placed in secluded institutions. That affected their enjoyment of their economic and cultural rights, especially the right to work and education. Of the more than 62,000 children with disabilities in Azerbaijan, only 6-10 thousand children with disabilities receive educational services in educational facilities separated from healthy children, the rest do not receive any educational services</w:t>
      </w:r>
      <w:r w:rsidRPr="005A2243">
        <w:rPr>
          <w:rFonts w:ascii="Sakkal Majalla" w:eastAsia="Calibri" w:hAnsi="Sakkal Majalla" w:cs="Sakkal Majalla"/>
          <w:sz w:val="32"/>
          <w:szCs w:val="32"/>
          <w:rtl/>
          <w:lang w:bidi="ar-EG"/>
        </w:rPr>
        <w:t>.</w:t>
      </w:r>
    </w:p>
    <w:p w14:paraId="32167EB5" w14:textId="77777777" w:rsidR="003C62F6" w:rsidRPr="005A2243" w:rsidRDefault="003C62F6" w:rsidP="00C44355">
      <w:pPr>
        <w:bidi w:val="0"/>
        <w:ind w:left="-57" w:firstLine="0"/>
        <w:jc w:val="lowKashida"/>
        <w:rPr>
          <w:rFonts w:ascii="Sakkal Majalla" w:hAnsi="Sakkal Majalla" w:cs="Sakkal Majalla"/>
          <w:b/>
          <w:bCs/>
          <w:color w:val="7030A0"/>
          <w:sz w:val="32"/>
          <w:szCs w:val="32"/>
          <w:lang w:bidi="ar-EG"/>
        </w:rPr>
      </w:pPr>
      <w:r w:rsidRPr="005A2243">
        <w:rPr>
          <w:rFonts w:ascii="Sakkal Majalla" w:hAnsi="Sakkal Majalla" w:cs="Sakkal Majalla"/>
          <w:b/>
          <w:bCs/>
          <w:color w:val="7030A0"/>
          <w:sz w:val="32"/>
          <w:szCs w:val="32"/>
          <w:lang w:bidi="ar-EG"/>
        </w:rPr>
        <w:t>Recommendations</w:t>
      </w:r>
    </w:p>
    <w:p w14:paraId="547CA7DC" w14:textId="77777777" w:rsidR="003C62F6" w:rsidRPr="005A2243" w:rsidRDefault="003C62F6" w:rsidP="005A2243">
      <w:pPr>
        <w:bidi w:val="0"/>
        <w:ind w:left="0" w:firstLine="36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 xml:space="preserve">In conclusion, although the law and the Azerbaijani Constitution stipulate that individuals enjoy a set of economic, social, and cultural rights from a legal point of view. However, the actual reality testifies to the deterioration of the economic, social, and cultural rights of individuals in Azerbaijan, it contrasted with Azerbaijan’s international obligations under the International Covenant on Economic, Cultural, and Social Rights, in particular regarding the rights to work, housing, health, and education. Unemployment rates are high among the population in Azerbaijan, especially among women, gender-discriminatory policies are common in taking jobs, and forced labor procedures are widespread as a punitive measure. The rights of vulnerable and marginalized individuals such </w:t>
      </w:r>
      <w:r w:rsidRPr="005A2243">
        <w:rPr>
          <w:rFonts w:ascii="Sakkal Majalla" w:eastAsia="Calibri" w:hAnsi="Sakkal Majalla" w:cs="Sakkal Majalla"/>
          <w:sz w:val="32"/>
          <w:szCs w:val="32"/>
          <w:lang w:bidi="ar-EG"/>
        </w:rPr>
        <w:lastRenderedPageBreak/>
        <w:t>as refugees, asylum seekers, stateless persons, IDPs, and people with disabilities to work, education, and health services are violated. Maat for Peace, Development, and Human Rights recommends the state of Azerbaijan to follow the following</w:t>
      </w:r>
      <w:r w:rsidRPr="005A2243">
        <w:rPr>
          <w:rFonts w:ascii="Sakkal Majalla" w:eastAsia="Calibri" w:hAnsi="Sakkal Majalla" w:cs="Sakkal Majalla"/>
          <w:sz w:val="32"/>
          <w:szCs w:val="32"/>
          <w:rtl/>
          <w:lang w:bidi="ar-EG"/>
        </w:rPr>
        <w:t>:</w:t>
      </w:r>
    </w:p>
    <w:p w14:paraId="4D409064" w14:textId="547E76D6" w:rsidR="003C62F6" w:rsidRPr="005A2243" w:rsidRDefault="003C62F6" w:rsidP="00C44355">
      <w:pPr>
        <w:pStyle w:val="ListParagraph"/>
        <w:numPr>
          <w:ilvl w:val="0"/>
          <w:numId w:val="2"/>
        </w:numPr>
        <w:bidi w:val="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The necessity of refraining from the policies of evacuation, house demolition, and confiscation of property and land owned by Armenian citizens in the Karabakh region</w:t>
      </w:r>
      <w:r w:rsidR="005A2243">
        <w:rPr>
          <w:rFonts w:ascii="Sakkal Majalla" w:eastAsia="Calibri" w:hAnsi="Sakkal Majalla" w:cs="Sakkal Majalla"/>
          <w:sz w:val="32"/>
          <w:szCs w:val="32"/>
          <w:lang w:bidi="ar-EG"/>
        </w:rPr>
        <w:t>;</w:t>
      </w:r>
    </w:p>
    <w:p w14:paraId="1E9059E6" w14:textId="39C56B93" w:rsidR="00C44355" w:rsidRPr="00600C0E" w:rsidRDefault="003C62F6" w:rsidP="00600C0E">
      <w:pPr>
        <w:pStyle w:val="ListParagraph"/>
        <w:numPr>
          <w:ilvl w:val="0"/>
          <w:numId w:val="2"/>
        </w:numPr>
        <w:bidi w:val="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The need to intensify efforts to eliminate stereotyped images of gender roles and all forms of prejudice against women through organizing programs and awareness campaigns</w:t>
      </w:r>
      <w:r w:rsidR="005A2243">
        <w:rPr>
          <w:rFonts w:ascii="Sakkal Majalla" w:eastAsia="Calibri" w:hAnsi="Sakkal Majalla" w:cs="Sakkal Majalla"/>
          <w:sz w:val="32"/>
          <w:szCs w:val="32"/>
          <w:lang w:bidi="ar-EG"/>
        </w:rPr>
        <w:t>;</w:t>
      </w:r>
    </w:p>
    <w:p w14:paraId="25E12305" w14:textId="4973DE78" w:rsidR="003C62F6" w:rsidRPr="005A2243" w:rsidRDefault="003C62F6" w:rsidP="005A2243">
      <w:pPr>
        <w:pStyle w:val="ListParagraph"/>
        <w:numPr>
          <w:ilvl w:val="0"/>
          <w:numId w:val="2"/>
        </w:numPr>
        <w:bidi w:val="0"/>
        <w:rPr>
          <w:rFonts w:ascii="Sakkal Majalla" w:eastAsia="Calibri" w:hAnsi="Sakkal Majalla" w:cs="Sakkal Majalla"/>
          <w:sz w:val="32"/>
          <w:szCs w:val="32"/>
          <w:rtl/>
          <w:lang w:bidi="ar-EG"/>
        </w:rPr>
      </w:pPr>
      <w:r w:rsidRPr="005A2243">
        <w:rPr>
          <w:rFonts w:ascii="Sakkal Majalla" w:eastAsia="Calibri" w:hAnsi="Sakkal Majalla" w:cs="Sakkal Majalla"/>
          <w:sz w:val="32"/>
          <w:szCs w:val="32"/>
          <w:lang w:bidi="ar-EG"/>
        </w:rPr>
        <w:t xml:space="preserve">The need to abolish the list of prohibited professions for women and to adopt special legislation that includes in </w:t>
      </w:r>
      <w:r w:rsidR="00C44355" w:rsidRPr="005A2243">
        <w:rPr>
          <w:rFonts w:ascii="Sakkal Majalla" w:eastAsia="Calibri" w:hAnsi="Sakkal Majalla" w:cs="Sakkal Majalla"/>
          <w:sz w:val="32"/>
          <w:szCs w:val="32"/>
          <w:lang w:bidi="ar-EG"/>
        </w:rPr>
        <w:t>significant</w:t>
      </w:r>
      <w:r w:rsidRPr="005A2243">
        <w:rPr>
          <w:rFonts w:ascii="Sakkal Majalla" w:eastAsia="Calibri" w:hAnsi="Sakkal Majalla" w:cs="Sakkal Majalla"/>
          <w:sz w:val="32"/>
          <w:szCs w:val="32"/>
          <w:lang w:bidi="ar-EG"/>
        </w:rPr>
        <w:t xml:space="preserve"> manner gender equality in work</w:t>
      </w:r>
      <w:r w:rsidR="005A2243">
        <w:rPr>
          <w:rFonts w:ascii="Sakkal Majalla" w:eastAsia="Calibri" w:hAnsi="Sakkal Majalla" w:cs="Sakkal Majalla"/>
          <w:sz w:val="32"/>
          <w:szCs w:val="32"/>
          <w:lang w:bidi="ar-EG"/>
        </w:rPr>
        <w:t>;</w:t>
      </w:r>
    </w:p>
    <w:p w14:paraId="05459042" w14:textId="1705941C" w:rsidR="003C62F6" w:rsidRPr="005A2243" w:rsidRDefault="003C62F6" w:rsidP="005A2243">
      <w:pPr>
        <w:pStyle w:val="ListParagraph"/>
        <w:numPr>
          <w:ilvl w:val="0"/>
          <w:numId w:val="2"/>
        </w:numPr>
        <w:bidi w:val="0"/>
        <w:rPr>
          <w:rFonts w:ascii="Sakkal Majalla" w:eastAsia="Calibri" w:hAnsi="Sakkal Majalla" w:cs="Sakkal Majalla"/>
          <w:sz w:val="32"/>
          <w:szCs w:val="32"/>
          <w:rtl/>
          <w:lang w:bidi="ar-EG"/>
        </w:rPr>
      </w:pPr>
      <w:r w:rsidRPr="005A2243">
        <w:rPr>
          <w:rFonts w:ascii="Sakkal Majalla" w:eastAsia="Calibri" w:hAnsi="Sakkal Majalla" w:cs="Sakkal Majalla"/>
          <w:sz w:val="32"/>
          <w:szCs w:val="32"/>
          <w:lang w:bidi="ar-EG"/>
        </w:rPr>
        <w:t>Ensure all economic, social, and cultural rights of refugees, internally displaced persons, asylum seekers, and people with disabilities, including the right to health care, education, adequate housing, and legal work</w:t>
      </w:r>
      <w:r w:rsidR="005A2243">
        <w:rPr>
          <w:rFonts w:ascii="Sakkal Majalla" w:eastAsia="Calibri" w:hAnsi="Sakkal Majalla" w:cs="Sakkal Majalla"/>
          <w:sz w:val="32"/>
          <w:szCs w:val="32"/>
          <w:lang w:bidi="ar-EG"/>
        </w:rPr>
        <w:t>;</w:t>
      </w:r>
    </w:p>
    <w:p w14:paraId="3D434C73" w14:textId="29DD8284" w:rsidR="003C62F6" w:rsidRPr="005A2243" w:rsidRDefault="003C62F6" w:rsidP="005A2243">
      <w:pPr>
        <w:pStyle w:val="ListParagraph"/>
        <w:numPr>
          <w:ilvl w:val="0"/>
          <w:numId w:val="2"/>
        </w:numPr>
        <w:bidi w:val="0"/>
        <w:rPr>
          <w:rFonts w:ascii="Sakkal Majalla" w:eastAsia="Calibri" w:hAnsi="Sakkal Majalla" w:cs="Sakkal Majalla"/>
          <w:sz w:val="32"/>
          <w:szCs w:val="32"/>
          <w:rtl/>
          <w:lang w:bidi="ar-EG"/>
        </w:rPr>
      </w:pPr>
      <w:r w:rsidRPr="005A2243">
        <w:rPr>
          <w:rFonts w:ascii="Sakkal Majalla" w:eastAsia="Calibri" w:hAnsi="Sakkal Majalla" w:cs="Sakkal Majalla"/>
          <w:sz w:val="32"/>
          <w:szCs w:val="32"/>
          <w:lang w:bidi="ar-EG"/>
        </w:rPr>
        <w:t>The necessity of launching effective programs and strategies to reduce high unemployment rates and increase employment rates among the population</w:t>
      </w:r>
      <w:r w:rsidR="005A2243">
        <w:rPr>
          <w:rFonts w:ascii="Sakkal Majalla" w:eastAsia="Calibri" w:hAnsi="Sakkal Majalla" w:cs="Sakkal Majalla"/>
          <w:sz w:val="32"/>
          <w:szCs w:val="32"/>
          <w:lang w:bidi="ar-EG"/>
        </w:rPr>
        <w:t>;</w:t>
      </w:r>
    </w:p>
    <w:p w14:paraId="59D8A76D" w14:textId="332556B3" w:rsidR="003C62F6" w:rsidRPr="005A2243" w:rsidRDefault="003C62F6" w:rsidP="00C44355">
      <w:pPr>
        <w:pStyle w:val="ListParagraph"/>
        <w:numPr>
          <w:ilvl w:val="0"/>
          <w:numId w:val="2"/>
        </w:numPr>
        <w:bidi w:val="0"/>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The necessity of refraining from resorting to forced labor as a punitive measure or a penalty against persons found guilty of certain crimes, especially politically motivated crimes. And the abolition of the provisions of the constitution and the law that establish such a penalty</w:t>
      </w:r>
      <w:r w:rsidR="005A2243">
        <w:rPr>
          <w:rFonts w:ascii="Sakkal Majalla" w:eastAsia="Calibri" w:hAnsi="Sakkal Majalla" w:cs="Sakkal Majalla"/>
          <w:sz w:val="32"/>
          <w:szCs w:val="32"/>
          <w:lang w:bidi="ar-EG"/>
        </w:rPr>
        <w:t>;</w:t>
      </w:r>
    </w:p>
    <w:p w14:paraId="760A8B85" w14:textId="278EA1E6" w:rsidR="00BE3E1C" w:rsidRPr="005A2243" w:rsidRDefault="003C62F6" w:rsidP="00C44355">
      <w:pPr>
        <w:pStyle w:val="ListParagraph"/>
        <w:numPr>
          <w:ilvl w:val="0"/>
          <w:numId w:val="2"/>
        </w:numPr>
        <w:bidi w:val="0"/>
        <w:jc w:val="lowKashida"/>
        <w:rPr>
          <w:rFonts w:ascii="Sakkal Majalla" w:eastAsia="Calibri" w:hAnsi="Sakkal Majalla" w:cs="Sakkal Majalla"/>
          <w:sz w:val="32"/>
          <w:szCs w:val="32"/>
          <w:lang w:bidi="ar-EG"/>
        </w:rPr>
      </w:pPr>
      <w:r w:rsidRPr="005A2243">
        <w:rPr>
          <w:rFonts w:ascii="Sakkal Majalla" w:eastAsia="Calibri" w:hAnsi="Sakkal Majalla" w:cs="Sakkal Majalla"/>
          <w:sz w:val="32"/>
          <w:szCs w:val="32"/>
          <w:lang w:bidi="ar-EG"/>
        </w:rPr>
        <w:t>The need to take all necessary measures to ensure that children with disabilities enjoy the right to education on the same basis as others</w:t>
      </w:r>
      <w:r w:rsidRPr="005A2243">
        <w:rPr>
          <w:rFonts w:ascii="Sakkal Majalla" w:eastAsia="Calibri" w:hAnsi="Sakkal Majalla" w:cs="Sakkal Majalla"/>
          <w:sz w:val="32"/>
          <w:szCs w:val="32"/>
          <w:rtl/>
          <w:lang w:bidi="ar-EG"/>
        </w:rPr>
        <w:t>.</w:t>
      </w:r>
    </w:p>
    <w:p w14:paraId="63BEAC51" w14:textId="77777777" w:rsidR="00E7749C" w:rsidRPr="005A2243" w:rsidRDefault="00E7749C" w:rsidP="00E7749C">
      <w:pPr>
        <w:ind w:left="0" w:firstLine="0"/>
        <w:jc w:val="both"/>
        <w:rPr>
          <w:rFonts w:ascii="Sakkal Majalla" w:eastAsia="Calibri" w:hAnsi="Sakkal Majalla" w:cs="Sakkal Majalla"/>
          <w:sz w:val="32"/>
          <w:szCs w:val="32"/>
          <w:rtl/>
          <w:lang w:bidi="ar-EG"/>
        </w:rPr>
      </w:pPr>
    </w:p>
    <w:p w14:paraId="6BECF3AA" w14:textId="77777777" w:rsidR="00BF1E65" w:rsidRPr="005A2243" w:rsidRDefault="00BF1E65" w:rsidP="00BF1E65">
      <w:pPr>
        <w:bidi w:val="0"/>
        <w:rPr>
          <w:rFonts w:ascii="Sakkal Majalla" w:hAnsi="Sakkal Majalla" w:cs="Sakkal Majalla"/>
          <w:sz w:val="32"/>
          <w:szCs w:val="32"/>
          <w:lang w:bidi="ar-EG"/>
        </w:rPr>
      </w:pPr>
    </w:p>
    <w:sectPr w:rsidR="00BF1E65" w:rsidRPr="005A2243" w:rsidSect="00BF1E65">
      <w:headerReference w:type="default" r:id="rId7"/>
      <w:footerReference w:type="default" r:id="rId8"/>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A155B" w14:textId="77777777" w:rsidR="00504686" w:rsidRDefault="00504686" w:rsidP="00BF1E65">
      <w:pPr>
        <w:spacing w:after="0" w:line="240" w:lineRule="auto"/>
      </w:pPr>
      <w:r>
        <w:separator/>
      </w:r>
    </w:p>
  </w:endnote>
  <w:endnote w:type="continuationSeparator" w:id="0">
    <w:p w14:paraId="096CDFBD" w14:textId="77777777" w:rsidR="00504686" w:rsidRDefault="00504686" w:rsidP="00BF1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73"/>
      <w:gridCol w:w="1389"/>
      <w:gridCol w:w="692"/>
      <w:gridCol w:w="453"/>
      <w:gridCol w:w="819"/>
      <w:gridCol w:w="521"/>
      <w:gridCol w:w="4723"/>
    </w:tblGrid>
    <w:tr w:rsidR="0086433E" w14:paraId="3A1BD884" w14:textId="77777777" w:rsidTr="0086433E">
      <w:trPr>
        <w:jc w:val="center"/>
      </w:trPr>
      <w:tc>
        <w:tcPr>
          <w:tcW w:w="740" w:type="pct"/>
          <w:vMerge w:val="restart"/>
          <w:vAlign w:val="center"/>
        </w:tcPr>
        <w:p w14:paraId="0C2247A9" w14:textId="77777777" w:rsidR="0086433E" w:rsidRDefault="0086433E" w:rsidP="0086433E">
          <w:pPr>
            <w:bidi w:val="0"/>
            <w:spacing w:after="60" w:line="240" w:lineRule="auto"/>
            <w:jc w:val="center"/>
            <w:rPr>
              <w:noProof/>
              <w:rtl/>
            </w:rPr>
          </w:pPr>
          <w:r>
            <w:rPr>
              <w:rFonts w:hint="cs"/>
              <w:noProof/>
              <w:lang w:val="en-GB" w:eastAsia="en-GB"/>
            </w:rPr>
            <w:drawing>
              <wp:inline distT="0" distB="0" distL="0" distR="0" wp14:anchorId="0E368696" wp14:editId="5CD5E170">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60" w:type="pct"/>
          <w:gridSpan w:val="7"/>
        </w:tcPr>
        <w:p w14:paraId="1A23DB17" w14:textId="77777777" w:rsidR="0086433E" w:rsidRDefault="0086433E" w:rsidP="00C124EA">
          <w:pPr>
            <w:bidi w:val="0"/>
            <w:spacing w:after="60" w:line="240" w:lineRule="auto"/>
            <w:rPr>
              <w:rFonts w:ascii="Times New Roman" w:hAnsi="Times New Roman" w:cs="Times New Roman"/>
              <w:b/>
              <w:bCs/>
              <w:color w:val="000066"/>
              <w:sz w:val="20"/>
              <w:szCs w:val="20"/>
            </w:rPr>
          </w:pPr>
          <w:r>
            <w:rPr>
              <w:noProof/>
              <w:rtl/>
              <w:lang w:val="en-GB" w:eastAsia="en-GB"/>
            </w:rPr>
            <mc:AlternateContent>
              <mc:Choice Requires="wps">
                <w:drawing>
                  <wp:inline distT="0" distB="0" distL="0" distR="0" wp14:anchorId="14366154" wp14:editId="05408C9D">
                    <wp:extent cx="5632106" cy="38615"/>
                    <wp:effectExtent l="19050" t="19050" r="6985" b="19050"/>
                    <wp:docPr id="1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632106" cy="3861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3FE251A" id="Line 1" o:spid="_x0000_s1026" style="flip:x y;visibility:visible;mso-wrap-style:square;mso-left-percent:-10001;mso-top-percent:-10001;mso-position-horizontal:absolute;mso-position-horizontal-relative:char;mso-position-vertical:absolute;mso-position-vertical-relative:line;mso-left-percent:-10001;mso-top-percent:-10001" from="0,0" to="443.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" strokecolor="red" strokeweight="2.25pt">
                    <w10:anchorlock/>
                  </v:line>
                </w:pict>
              </mc:Fallback>
            </mc:AlternateContent>
          </w:r>
        </w:p>
        <w:p w14:paraId="6C98B9C6" w14:textId="77777777" w:rsidR="0086433E" w:rsidRPr="006F4190" w:rsidRDefault="0086433E" w:rsidP="00C124EA">
          <w:pPr>
            <w:bidi w:val="0"/>
            <w:spacing w:after="60" w:line="240" w:lineRule="auto"/>
            <w:jc w:val="center"/>
            <w:rPr>
              <w:rFonts w:ascii="Times New Roman" w:hAnsi="Times New Roman" w:cs="Times New Rom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86433E" w14:paraId="33AB0A06" w14:textId="77777777" w:rsidTr="0086433E">
      <w:trPr>
        <w:jc w:val="center"/>
      </w:trPr>
      <w:tc>
        <w:tcPr>
          <w:tcW w:w="740" w:type="pct"/>
          <w:vMerge/>
        </w:tcPr>
        <w:p w14:paraId="594E15E5" w14:textId="77777777" w:rsidR="0086433E" w:rsidRDefault="0086433E" w:rsidP="00BF1E65">
          <w:pPr>
            <w:bidi w:val="0"/>
            <w:spacing w:after="0"/>
            <w:ind w:left="0" w:firstLine="0"/>
            <w:jc w:val="center"/>
            <w:rPr>
              <w:b/>
              <w:bCs/>
              <w:noProof/>
              <w:lang w:bidi="ar-EG"/>
            </w:rPr>
          </w:pPr>
        </w:p>
      </w:tc>
      <w:tc>
        <w:tcPr>
          <w:tcW w:w="269" w:type="pct"/>
          <w:vMerge w:val="restart"/>
          <w:vAlign w:val="center"/>
        </w:tcPr>
        <w:p w14:paraId="23AAD925" w14:textId="77777777" w:rsidR="0086433E" w:rsidRPr="000F15D5" w:rsidRDefault="0086433E" w:rsidP="00BF1E65">
          <w:pPr>
            <w:bidi w:val="0"/>
            <w:spacing w:after="0"/>
            <w:ind w:left="0" w:firstLine="0"/>
            <w:jc w:val="center"/>
            <w:rPr>
              <w:b/>
              <w:bCs/>
              <w:lang w:bidi="ar-EG"/>
            </w:rPr>
          </w:pPr>
          <w:r>
            <w:rPr>
              <w:b/>
              <w:bCs/>
              <w:noProof/>
              <w:lang w:val="en-GB" w:eastAsia="en-GB"/>
            </w:rPr>
            <w:drawing>
              <wp:inline distT="0" distB="0" distL="0" distR="0" wp14:anchorId="185F2640" wp14:editId="154B161B">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3991" w:type="pct"/>
          <w:gridSpan w:val="6"/>
          <w:vAlign w:val="center"/>
        </w:tcPr>
        <w:p w14:paraId="6C5929F2" w14:textId="77777777" w:rsidR="0086433E" w:rsidRPr="000F15D5" w:rsidRDefault="0086433E" w:rsidP="00BF1E65">
          <w:pPr>
            <w:bidi w:val="0"/>
            <w:spacing w:after="0"/>
            <w:ind w:left="-57" w:firstLine="0"/>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86433E" w14:paraId="709ED00E" w14:textId="77777777" w:rsidTr="0086433E">
      <w:trPr>
        <w:jc w:val="center"/>
      </w:trPr>
      <w:tc>
        <w:tcPr>
          <w:tcW w:w="740" w:type="pct"/>
          <w:vMerge/>
        </w:tcPr>
        <w:p w14:paraId="43AC4B3E" w14:textId="77777777" w:rsidR="0086433E" w:rsidRDefault="0086433E" w:rsidP="00BF1E65">
          <w:pPr>
            <w:bidi w:val="0"/>
            <w:spacing w:after="0"/>
            <w:ind w:left="0" w:firstLine="0"/>
            <w:jc w:val="center"/>
            <w:rPr>
              <w:lang w:bidi="ar-EG"/>
            </w:rPr>
          </w:pPr>
        </w:p>
      </w:tc>
      <w:tc>
        <w:tcPr>
          <w:tcW w:w="269" w:type="pct"/>
          <w:vMerge/>
          <w:vAlign w:val="center"/>
        </w:tcPr>
        <w:p w14:paraId="43CF52CE" w14:textId="77777777" w:rsidR="0086433E" w:rsidRDefault="0086433E" w:rsidP="00BF1E65">
          <w:pPr>
            <w:bidi w:val="0"/>
            <w:spacing w:after="0"/>
            <w:ind w:left="0" w:firstLine="0"/>
            <w:jc w:val="center"/>
            <w:rPr>
              <w:lang w:bidi="ar-EG"/>
            </w:rPr>
          </w:pPr>
        </w:p>
      </w:tc>
      <w:tc>
        <w:tcPr>
          <w:tcW w:w="3991" w:type="pct"/>
          <w:gridSpan w:val="6"/>
          <w:vAlign w:val="center"/>
        </w:tcPr>
        <w:p w14:paraId="03A8750B" w14:textId="77777777" w:rsidR="0086433E" w:rsidRPr="000F15D5" w:rsidRDefault="0086433E" w:rsidP="00BF1E65">
          <w:pPr>
            <w:bidi w:val="0"/>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C124EA" w14:paraId="40C6CEED" w14:textId="77777777" w:rsidTr="0086433E">
      <w:trPr>
        <w:jc w:val="center"/>
      </w:trPr>
      <w:tc>
        <w:tcPr>
          <w:tcW w:w="740" w:type="pct"/>
          <w:vMerge/>
        </w:tcPr>
        <w:p w14:paraId="17A0979C" w14:textId="77777777" w:rsidR="0086433E" w:rsidRDefault="0086433E" w:rsidP="00BF1E65">
          <w:pPr>
            <w:bidi w:val="0"/>
            <w:spacing w:after="0"/>
            <w:ind w:left="0" w:firstLine="0"/>
            <w:jc w:val="center"/>
            <w:rPr>
              <w:noProof/>
              <w:lang w:bidi="ar-EG"/>
            </w:rPr>
          </w:pPr>
        </w:p>
      </w:tc>
      <w:tc>
        <w:tcPr>
          <w:tcW w:w="269" w:type="pct"/>
          <w:vAlign w:val="center"/>
        </w:tcPr>
        <w:p w14:paraId="06E4EC27" w14:textId="77777777" w:rsidR="0086433E" w:rsidRDefault="0086433E" w:rsidP="00BF1E65">
          <w:pPr>
            <w:bidi w:val="0"/>
            <w:spacing w:after="0"/>
            <w:ind w:left="0" w:firstLine="0"/>
            <w:jc w:val="center"/>
            <w:rPr>
              <w:lang w:bidi="ar-EG"/>
            </w:rPr>
          </w:pPr>
          <w:r>
            <w:rPr>
              <w:noProof/>
              <w:lang w:val="en-GB" w:eastAsia="en-GB"/>
            </w:rPr>
            <w:drawing>
              <wp:inline distT="0" distB="0" distL="0" distR="0" wp14:anchorId="7C9BCDC4" wp14:editId="0031CEBE">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52" w:type="pct"/>
          <w:vAlign w:val="center"/>
        </w:tcPr>
        <w:p w14:paraId="17445BA7" w14:textId="77777777" w:rsidR="0086433E" w:rsidRPr="000F15D5" w:rsidRDefault="0086433E" w:rsidP="00BF1E65">
          <w:pPr>
            <w:bidi w:val="0"/>
            <w:spacing w:after="0"/>
            <w:ind w:left="0" w:firstLine="0"/>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875" w:type="pct"/>
          <w:gridSpan w:val="3"/>
          <w:vAlign w:val="center"/>
        </w:tcPr>
        <w:p w14:paraId="347CD416" w14:textId="77777777" w:rsidR="0086433E" w:rsidRPr="000F15D5" w:rsidRDefault="0086433E" w:rsidP="00BF1E65">
          <w:pPr>
            <w:bidi w:val="0"/>
            <w:spacing w:after="0"/>
            <w:ind w:left="0" w:firstLine="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45" w:type="pct"/>
          <w:vAlign w:val="center"/>
        </w:tcPr>
        <w:p w14:paraId="33E10F3C" w14:textId="77777777" w:rsidR="0086433E" w:rsidRPr="00A20672" w:rsidRDefault="0086433E" w:rsidP="00BF1E65">
          <w:pPr>
            <w:bidi w:val="0"/>
            <w:spacing w:after="0"/>
            <w:ind w:left="0" w:firstLine="0"/>
            <w:rPr>
              <w:b/>
              <w:bCs/>
              <w:sz w:val="18"/>
              <w:szCs w:val="18"/>
              <w:lang w:bidi="ar-EG"/>
            </w:rPr>
          </w:pPr>
          <w:r>
            <w:rPr>
              <w:b/>
              <w:bCs/>
              <w:noProof/>
              <w:sz w:val="18"/>
              <w:szCs w:val="18"/>
              <w:lang w:val="en-GB" w:eastAsia="en-GB"/>
            </w:rPr>
            <w:drawing>
              <wp:inline distT="0" distB="0" distL="0" distR="0" wp14:anchorId="11D5104A" wp14:editId="35DEA261">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219" w:type="pct"/>
          <w:vAlign w:val="center"/>
        </w:tcPr>
        <w:p w14:paraId="5C122FF6" w14:textId="77777777" w:rsidR="0086433E" w:rsidRPr="000F15D5" w:rsidRDefault="0086433E" w:rsidP="00BF1E65">
          <w:pPr>
            <w:bidi w:val="0"/>
            <w:spacing w:after="0"/>
            <w:ind w:left="0" w:firstLine="0"/>
            <w:rPr>
              <w:sz w:val="18"/>
              <w:szCs w:val="18"/>
              <w:lang w:bidi="ar-EG"/>
            </w:rPr>
          </w:pPr>
          <w:r w:rsidRPr="0086433E">
            <w:rPr>
              <w:rStyle w:val="apple-style-span"/>
              <w:color w:val="000000"/>
              <w:sz w:val="20"/>
              <w:szCs w:val="20"/>
            </w:rPr>
            <w:t>maat@maatpeace.org</w:t>
          </w:r>
        </w:p>
      </w:tc>
    </w:tr>
    <w:tr w:rsidR="00C124EA" w14:paraId="05728B32" w14:textId="77777777" w:rsidTr="0086433E">
      <w:trPr>
        <w:jc w:val="center"/>
      </w:trPr>
      <w:tc>
        <w:tcPr>
          <w:tcW w:w="740" w:type="pct"/>
          <w:vMerge/>
        </w:tcPr>
        <w:p w14:paraId="25FD3CC8" w14:textId="77777777" w:rsidR="0086433E" w:rsidRDefault="0086433E" w:rsidP="00BF1E65">
          <w:pPr>
            <w:bidi w:val="0"/>
            <w:spacing w:after="0"/>
            <w:ind w:left="0" w:firstLine="0"/>
            <w:jc w:val="center"/>
            <w:rPr>
              <w:noProof/>
              <w:lang w:bidi="ar-EG"/>
            </w:rPr>
          </w:pPr>
        </w:p>
      </w:tc>
      <w:tc>
        <w:tcPr>
          <w:tcW w:w="269" w:type="pct"/>
          <w:vAlign w:val="center"/>
        </w:tcPr>
        <w:p w14:paraId="7F118098" w14:textId="77777777" w:rsidR="0086433E" w:rsidRDefault="0086433E" w:rsidP="00BF1E65">
          <w:pPr>
            <w:bidi w:val="0"/>
            <w:spacing w:after="0"/>
            <w:ind w:left="0" w:firstLine="0"/>
            <w:jc w:val="center"/>
            <w:rPr>
              <w:lang w:bidi="ar-EG"/>
            </w:rPr>
          </w:pPr>
          <w:r>
            <w:rPr>
              <w:noProof/>
              <w:lang w:val="en-GB" w:eastAsia="en-GB"/>
            </w:rPr>
            <w:drawing>
              <wp:inline distT="0" distB="0" distL="0" distR="0" wp14:anchorId="39082DA0" wp14:editId="09CB1CA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960" w:type="pct"/>
          <w:gridSpan w:val="2"/>
          <w:vAlign w:val="center"/>
        </w:tcPr>
        <w:p w14:paraId="5D7F5368" w14:textId="77777777" w:rsidR="0086433E" w:rsidRPr="005C2948" w:rsidRDefault="0086433E" w:rsidP="00BF1E65">
          <w:pPr>
            <w:bidi w:val="0"/>
            <w:spacing w:after="0"/>
            <w:rPr>
              <w:rFonts w:asciiTheme="majorBidi" w:hAnsiTheme="majorBidi" w:cstheme="majorBidi"/>
              <w:b/>
              <w:bCs/>
              <w:color w:val="000000"/>
              <w:sz w:val="18"/>
              <w:szCs w:val="18"/>
              <w:shd w:val="clear" w:color="auto" w:fill="FFFFFF"/>
            </w:rPr>
          </w:pPr>
          <w:r w:rsidRPr="005C2948">
            <w:rPr>
              <w:rStyle w:val="apple-style-span"/>
              <w:b/>
              <w:bCs/>
              <w:color w:val="000000"/>
              <w:sz w:val="18"/>
              <w:szCs w:val="18"/>
            </w:rPr>
            <w:t>00(20) (2) 25344706/</w:t>
          </w:r>
          <w:r w:rsidRPr="005C2948">
            <w:rPr>
              <w:rStyle w:val="apple-style-span"/>
              <w:b/>
              <w:bCs/>
              <w:sz w:val="18"/>
              <w:szCs w:val="18"/>
            </w:rPr>
            <w:t>7</w:t>
          </w:r>
        </w:p>
      </w:tc>
      <w:tc>
        <w:tcPr>
          <w:tcW w:w="202" w:type="pct"/>
          <w:vAlign w:val="center"/>
        </w:tcPr>
        <w:p w14:paraId="78AFB749" w14:textId="77777777" w:rsidR="0086433E" w:rsidRPr="005C2948" w:rsidRDefault="0086433E" w:rsidP="00BF1E65">
          <w:pPr>
            <w:bidi w:val="0"/>
            <w:spacing w:after="0"/>
            <w:jc w:val="center"/>
            <w:rPr>
              <w:rFonts w:asciiTheme="majorBidi" w:hAnsiTheme="majorBidi" w:cstheme="majorBidi"/>
              <w:b/>
              <w:bCs/>
              <w:color w:val="000000"/>
              <w:sz w:val="18"/>
              <w:szCs w:val="18"/>
              <w:shd w:val="clear" w:color="auto" w:fill="FFFFFF"/>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50162D98" wp14:editId="7DE009A4">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829" w:type="pct"/>
          <w:gridSpan w:val="3"/>
          <w:vAlign w:val="center"/>
        </w:tcPr>
        <w:p w14:paraId="08176B0D" w14:textId="77777777" w:rsidR="0086433E" w:rsidRPr="0086433E" w:rsidRDefault="0086433E" w:rsidP="00BF1E65">
          <w:pPr>
            <w:bidi w:val="0"/>
            <w:spacing w:after="0"/>
            <w:rPr>
              <w:rFonts w:asciiTheme="majorBidi" w:hAnsiTheme="majorBidi" w:cstheme="majorBidi"/>
              <w:b/>
              <w:bCs/>
              <w:color w:val="000000" w:themeColor="text1"/>
              <w:sz w:val="18"/>
              <w:szCs w:val="18"/>
              <w:shd w:val="clear" w:color="auto" w:fill="FFFFFF"/>
            </w:rPr>
          </w:pPr>
          <w:r w:rsidRPr="0086433E">
            <w:rPr>
              <w:rStyle w:val="apple-style-span"/>
              <w:b/>
              <w:bCs/>
              <w:color w:val="000000" w:themeColor="text1"/>
              <w:sz w:val="18"/>
              <w:szCs w:val="18"/>
            </w:rPr>
            <w:t>+201226521170</w:t>
          </w:r>
        </w:p>
      </w:tc>
    </w:tr>
  </w:tbl>
  <w:p w14:paraId="1652BCDB" w14:textId="77777777" w:rsidR="00BF1E65" w:rsidRPr="00BF1E65" w:rsidRDefault="00BF1E65"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44E2B" w14:textId="77777777" w:rsidR="00504686" w:rsidRDefault="00504686" w:rsidP="00BF1E65">
      <w:pPr>
        <w:spacing w:after="0" w:line="240" w:lineRule="auto"/>
      </w:pPr>
      <w:r>
        <w:separator/>
      </w:r>
    </w:p>
  </w:footnote>
  <w:footnote w:type="continuationSeparator" w:id="0">
    <w:p w14:paraId="14AF91C6" w14:textId="77777777" w:rsidR="00504686" w:rsidRDefault="00504686" w:rsidP="00BF1E65">
      <w:pPr>
        <w:spacing w:after="0" w:line="240" w:lineRule="auto"/>
      </w:pPr>
      <w:r>
        <w:continuationSeparator/>
      </w:r>
    </w:p>
  </w:footnote>
  <w:footnote w:id="1">
    <w:p w14:paraId="6FD64C54" w14:textId="77777777" w:rsidR="00600C0E" w:rsidRDefault="00600C0E" w:rsidP="00600C0E">
      <w:pPr>
        <w:pStyle w:val="FootnoteText"/>
        <w:ind w:left="0" w:firstLine="0"/>
        <w:rPr>
          <w:lang w:bidi="ar-EG"/>
        </w:rPr>
      </w:pPr>
      <w:r>
        <w:rPr>
          <w:rStyle w:val="FootnoteReference"/>
        </w:rPr>
        <w:footnoteRef/>
      </w:r>
      <w:r>
        <w:rPr>
          <w:rtl/>
        </w:rPr>
        <w:t xml:space="preserve"> </w:t>
      </w:r>
      <w:r w:rsidRPr="00036BD0">
        <w:rPr>
          <w:lang w:bidi="ar-EG"/>
        </w:rPr>
        <w:t>INTERNATIONAL COVENANT ON ECONOMIC, SOCIAL AND CULTURAL RIGHTS</w:t>
      </w:r>
      <w:r w:rsidRPr="004304A5">
        <w:t xml:space="preserve"> </w:t>
      </w:r>
      <w:r w:rsidRPr="004304A5">
        <w:rPr>
          <w:lang w:bidi="ar-EG"/>
        </w:rPr>
        <w:t>,</w:t>
      </w:r>
      <w:r>
        <w:rPr>
          <w:lang w:bidi="ar-EG"/>
        </w:rPr>
        <w:t xml:space="preserve"> </w:t>
      </w:r>
      <w:r w:rsidRPr="004304A5">
        <w:rPr>
          <w:lang w:bidi="ar-EG"/>
        </w:rPr>
        <w:t xml:space="preserve">“LAW AND </w:t>
      </w:r>
      <w:r>
        <w:rPr>
          <w:lang w:bidi="ar-EG"/>
        </w:rPr>
        <w:t>DEVELOPMENT”</w:t>
      </w:r>
      <w:r w:rsidRPr="004304A5">
        <w:rPr>
          <w:lang w:bidi="ar-EG"/>
        </w:rPr>
        <w:t>,</w:t>
      </w:r>
      <w:r>
        <w:rPr>
          <w:lang w:bidi="ar-EG"/>
        </w:rPr>
        <w:t xml:space="preserve"> link:  </w:t>
      </w:r>
      <w:hyperlink r:id="rId1" w:history="1">
        <w:r w:rsidRPr="001E207C">
          <w:rPr>
            <w:rStyle w:val="Hyperlink"/>
            <w:lang w:bidi="ar-EG"/>
          </w:rPr>
          <w:t>https://tbinternet.ohchr.org/_layouts/15/treatybodyexternal/Download.aspx?symbolno=INT%2fCESCR%2fCSS%2fAZE%2f43028&amp;Lang=en</w:t>
        </w:r>
      </w:hyperlink>
      <w:r>
        <w:rPr>
          <w:lang w:bidi="ar-EG"/>
        </w:rPr>
        <w:t xml:space="preserve"> </w:t>
      </w:r>
    </w:p>
  </w:footnote>
  <w:footnote w:id="2">
    <w:p w14:paraId="0B3B20D0" w14:textId="65B31211" w:rsidR="00600C0E" w:rsidRDefault="00600C0E" w:rsidP="00600C0E">
      <w:pPr>
        <w:pStyle w:val="FootnoteText"/>
        <w:ind w:left="0" w:firstLine="0"/>
        <w:rPr>
          <w:lang w:bidi="ar-EG"/>
        </w:rPr>
      </w:pPr>
      <w:r>
        <w:rPr>
          <w:rStyle w:val="FootnoteReference"/>
        </w:rPr>
        <w:footnoteRef/>
      </w:r>
      <w:r>
        <w:rPr>
          <w:rtl/>
        </w:rPr>
        <w:t xml:space="preserve"> </w:t>
      </w:r>
      <w:r>
        <w:rPr>
          <w:lang w:bidi="ar-EG"/>
        </w:rPr>
        <w:t>Ibid</w:t>
      </w:r>
    </w:p>
  </w:footnote>
  <w:footnote w:id="3">
    <w:p w14:paraId="76668D6C" w14:textId="77777777" w:rsidR="00600C0E" w:rsidRDefault="00600C0E" w:rsidP="00600C0E">
      <w:pPr>
        <w:pStyle w:val="FootnoteText"/>
        <w:ind w:left="0" w:firstLine="0"/>
        <w:rPr>
          <w:lang w:bidi="ar-EG"/>
        </w:rPr>
      </w:pPr>
      <w:r>
        <w:rPr>
          <w:rStyle w:val="FootnoteReference"/>
        </w:rPr>
        <w:footnoteRef/>
      </w:r>
      <w:r>
        <w:rPr>
          <w:rtl/>
        </w:rPr>
        <w:t xml:space="preserve"> </w:t>
      </w:r>
      <w:r w:rsidRPr="00CE5C32">
        <w:rPr>
          <w:lang w:bidi="ar-EG"/>
        </w:rPr>
        <w:t xml:space="preserve">In Azerbaijan, Women are Strong, Steadfast, and Resilient,” </w:t>
      </w:r>
      <w:proofErr w:type="spellStart"/>
      <w:r w:rsidRPr="00CE5C32">
        <w:rPr>
          <w:lang w:bidi="ar-EG"/>
        </w:rPr>
        <w:t>Sodruzhestvo</w:t>
      </w:r>
      <w:proofErr w:type="spellEnd"/>
      <w:r w:rsidRPr="00CE5C32">
        <w:rPr>
          <w:lang w:bidi="ar-EG"/>
        </w:rPr>
        <w:t xml:space="preserve"> Press Club, June 2019, </w:t>
      </w:r>
      <w:r>
        <w:rPr>
          <w:lang w:bidi="ar-EG"/>
        </w:rPr>
        <w:t xml:space="preserve">link: </w:t>
      </w:r>
      <w:hyperlink r:id="rId2" w:history="1">
        <w:r w:rsidRPr="00D340A7">
          <w:rPr>
            <w:rStyle w:val="Hyperlink"/>
            <w:lang w:bidi="ar-EG"/>
          </w:rPr>
          <w:t>http://press-unity.com/analitika-stati/11975.html</w:t>
        </w:r>
      </w:hyperlink>
      <w:r>
        <w:rPr>
          <w:lang w:bidi="ar-EG"/>
        </w:rPr>
        <w:t xml:space="preserve"> </w:t>
      </w:r>
    </w:p>
  </w:footnote>
  <w:footnote w:id="4">
    <w:p w14:paraId="574C5B79" w14:textId="77777777" w:rsidR="00600C0E" w:rsidRDefault="00600C0E" w:rsidP="00600C0E">
      <w:pPr>
        <w:pStyle w:val="FootnoteText"/>
        <w:ind w:left="0" w:firstLine="0"/>
      </w:pPr>
      <w:r>
        <w:rPr>
          <w:rStyle w:val="FootnoteReference"/>
        </w:rPr>
        <w:footnoteRef/>
      </w:r>
      <w:r>
        <w:rPr>
          <w:rtl/>
        </w:rPr>
        <w:t xml:space="preserve"> </w:t>
      </w:r>
      <w:r w:rsidRPr="007D5182">
        <w:t>Labor Code of the Republic of Azerbaijan</w:t>
      </w:r>
      <w:r w:rsidRPr="00CE5C32">
        <w:rPr>
          <w:lang w:bidi="ar-EG"/>
        </w:rPr>
        <w:t>,</w:t>
      </w:r>
      <w:r>
        <w:t xml:space="preserve"> NATLEX</w:t>
      </w:r>
      <w:r w:rsidRPr="00CE5C32">
        <w:rPr>
          <w:lang w:bidi="ar-EG"/>
        </w:rPr>
        <w:t>,</w:t>
      </w:r>
      <w:r>
        <w:t xml:space="preserve">  link:</w:t>
      </w:r>
      <w:r w:rsidRPr="007D5182">
        <w:t xml:space="preserve"> </w:t>
      </w:r>
      <w:hyperlink r:id="rId3" w:history="1">
        <w:r w:rsidRPr="00D340A7">
          <w:rPr>
            <w:rStyle w:val="Hyperlink"/>
          </w:rPr>
          <w:t>http://www.ilo.org/dyn/natlex/docs/WEBTEXT/54131/65184/E99AZE01.htm</w:t>
        </w:r>
      </w:hyperlink>
      <w:r>
        <w:t xml:space="preserve"> </w:t>
      </w:r>
    </w:p>
  </w:footnote>
  <w:footnote w:id="5">
    <w:p w14:paraId="275E18E2" w14:textId="77777777" w:rsidR="00600C0E" w:rsidRDefault="00600C0E" w:rsidP="00600C0E">
      <w:pPr>
        <w:pStyle w:val="FootnoteText"/>
        <w:ind w:left="0" w:firstLine="0"/>
        <w:rPr>
          <w:lang w:bidi="ar-EG"/>
        </w:rPr>
      </w:pPr>
      <w:r>
        <w:rPr>
          <w:rStyle w:val="FootnoteReference"/>
        </w:rPr>
        <w:footnoteRef/>
      </w:r>
      <w:r>
        <w:rPr>
          <w:rtl/>
        </w:rPr>
        <w:t xml:space="preserve"> </w:t>
      </w:r>
      <w:r w:rsidRPr="004E1AD8">
        <w:rPr>
          <w:rtl/>
          <w:lang w:bidi="ar-EG"/>
        </w:rPr>
        <w:t>2020</w:t>
      </w:r>
      <w:r w:rsidRPr="004E1AD8">
        <w:rPr>
          <w:lang w:bidi="ar-EG"/>
        </w:rPr>
        <w:t xml:space="preserve"> Country Reports on Human Rights Practices: Azerbaijan</w:t>
      </w:r>
      <w:r w:rsidRPr="004E1AD8">
        <w:t xml:space="preserve">, </w:t>
      </w:r>
      <w:r w:rsidRPr="004E1AD8">
        <w:rPr>
          <w:lang w:bidi="ar-EG"/>
        </w:rPr>
        <w:t>Us department of state,</w:t>
      </w:r>
      <w:r w:rsidRPr="004E1AD8">
        <w:t xml:space="preserve"> MARCH 30, 2021 </w:t>
      </w:r>
      <w:r w:rsidRPr="004E1AD8">
        <w:rPr>
          <w:lang w:bidi="ar-EG"/>
        </w:rPr>
        <w:t>,</w:t>
      </w:r>
      <w:r>
        <w:rPr>
          <w:lang w:bidi="ar-EG"/>
        </w:rPr>
        <w:t xml:space="preserve"> link: </w:t>
      </w:r>
      <w:hyperlink r:id="rId4" w:history="1">
        <w:r w:rsidRPr="00D340A7">
          <w:rPr>
            <w:rStyle w:val="Hyperlink"/>
            <w:lang w:bidi="ar-EG"/>
          </w:rPr>
          <w:t>https://www.state.gov/reports/2020-country-reports-on-human-rights-practices/azerbaijan/</w:t>
        </w:r>
      </w:hyperlink>
      <w:r>
        <w:rPr>
          <w:lang w:bidi="ar-EG"/>
        </w:rPr>
        <w:t xml:space="preserve"> </w:t>
      </w:r>
    </w:p>
  </w:footnote>
  <w:footnote w:id="6">
    <w:p w14:paraId="5FED6D77" w14:textId="405D5846" w:rsidR="00600C0E" w:rsidRDefault="00600C0E" w:rsidP="00600C0E">
      <w:pPr>
        <w:pStyle w:val="FootnoteText"/>
        <w:ind w:left="0" w:firstLine="0"/>
        <w:rPr>
          <w:lang w:bidi="ar-EG"/>
        </w:rPr>
      </w:pPr>
      <w:r>
        <w:rPr>
          <w:rStyle w:val="FootnoteReference"/>
        </w:rPr>
        <w:footnoteRef/>
      </w:r>
      <w:r>
        <w:rPr>
          <w:rtl/>
        </w:rPr>
        <w:t xml:space="preserve"> </w:t>
      </w:r>
      <w:r w:rsidRPr="00C61DCB">
        <w:t>Country Reports on Human Rights Practices: Azerbaijan</w:t>
      </w:r>
      <w:proofErr w:type="gramStart"/>
      <w:r w:rsidRPr="00814591">
        <w:t xml:space="preserve">, </w:t>
      </w:r>
      <w:r>
        <w:t xml:space="preserve"> </w:t>
      </w:r>
      <w:r>
        <w:rPr>
          <w:lang w:bidi="ar-EG"/>
        </w:rPr>
        <w:t>Ibid</w:t>
      </w:r>
      <w:proofErr w:type="gramEnd"/>
      <w:r>
        <w:rPr>
          <w:lang w:bidi="ar-EG"/>
        </w:rPr>
        <w:t>.</w:t>
      </w:r>
    </w:p>
  </w:footnote>
  <w:footnote w:id="7">
    <w:p w14:paraId="2B6B0F12" w14:textId="77777777" w:rsidR="0097170A" w:rsidRDefault="0097170A" w:rsidP="0097170A">
      <w:pPr>
        <w:pStyle w:val="FootnoteText"/>
        <w:ind w:left="0" w:firstLine="0"/>
        <w:rPr>
          <w:rtl/>
          <w:lang w:bidi="ar-EG"/>
        </w:rPr>
      </w:pPr>
      <w:r>
        <w:rPr>
          <w:rStyle w:val="FootnoteReference"/>
        </w:rPr>
        <w:footnoteRef/>
      </w:r>
      <w:r>
        <w:rPr>
          <w:rtl/>
        </w:rPr>
        <w:t xml:space="preserve"> </w:t>
      </w:r>
      <w:r w:rsidRPr="00FA2D96">
        <w:t xml:space="preserve">The situation of refugees after the 44-day war on the Karabakh region, Maat Foundation for Peace, Development and Human Rights, July 3, 2021, link: </w:t>
      </w:r>
      <w:hyperlink r:id="rId5" w:history="1">
        <w:r w:rsidRPr="009F7853">
          <w:rPr>
            <w:rStyle w:val="Hyperlink"/>
          </w:rPr>
          <w:t>https://www.maatpeace.org</w:t>
        </w:r>
      </w:hyperlink>
      <w:r>
        <w:t xml:space="preserve"> </w:t>
      </w:r>
      <w:r>
        <w:rPr>
          <w:rFonts w:hint="cs"/>
          <w:rtl/>
          <w:lang w:bidi="ar-EG"/>
        </w:rPr>
        <w:t xml:space="preserve"> </w:t>
      </w:r>
    </w:p>
  </w:footnote>
  <w:footnote w:id="8">
    <w:p w14:paraId="0E87B453" w14:textId="77777777" w:rsidR="001C1FEC" w:rsidRDefault="001C1FEC" w:rsidP="001C1FEC">
      <w:pPr>
        <w:pStyle w:val="FootnoteText"/>
        <w:ind w:left="0" w:firstLine="0"/>
        <w:rPr>
          <w:lang w:bidi="ar-EG"/>
        </w:rPr>
      </w:pPr>
      <w:r>
        <w:rPr>
          <w:rStyle w:val="FootnoteReference"/>
        </w:rPr>
        <w:footnoteRef/>
      </w:r>
      <w:r>
        <w:rPr>
          <w:rtl/>
        </w:rPr>
        <w:t xml:space="preserve"> </w:t>
      </w:r>
      <w:r w:rsidRPr="00036BD0">
        <w:rPr>
          <w:lang w:bidi="ar-EG"/>
        </w:rPr>
        <w:t>INTERNATIONAL COVENANT ON ECONOMIC, SOCIAL AND CULTURAL RIGHTS</w:t>
      </w:r>
      <w:r w:rsidRPr="004304A5">
        <w:t xml:space="preserve"> </w:t>
      </w:r>
      <w:r w:rsidRPr="004304A5">
        <w:rPr>
          <w:lang w:bidi="ar-EG"/>
        </w:rPr>
        <w:t>,</w:t>
      </w:r>
      <w:r>
        <w:rPr>
          <w:lang w:bidi="ar-EG"/>
        </w:rPr>
        <w:t xml:space="preserve"> </w:t>
      </w:r>
      <w:r w:rsidRPr="004304A5">
        <w:rPr>
          <w:lang w:bidi="ar-EG"/>
        </w:rPr>
        <w:t xml:space="preserve">“LAW AND </w:t>
      </w:r>
      <w:r>
        <w:rPr>
          <w:lang w:bidi="ar-EG"/>
        </w:rPr>
        <w:t>DEVELOPMENT”</w:t>
      </w:r>
      <w:r w:rsidRPr="004304A5">
        <w:rPr>
          <w:lang w:bidi="ar-EG"/>
        </w:rPr>
        <w:t>,</w:t>
      </w:r>
      <w:r>
        <w:rPr>
          <w:lang w:bidi="ar-EG"/>
        </w:rPr>
        <w:t xml:space="preserve"> link:  </w:t>
      </w:r>
      <w:hyperlink r:id="rId6" w:history="1">
        <w:r w:rsidRPr="001E207C">
          <w:rPr>
            <w:rStyle w:val="Hyperlink"/>
            <w:lang w:bidi="ar-EG"/>
          </w:rPr>
          <w:t>https://tbinternet.ohchr.org/_layouts/15/treatybodyexternal/Download.aspx?symbolno=INT%2fCESCR%2fCSS%2fAZE%2f43028&amp;Lang=en</w:t>
        </w:r>
      </w:hyperlink>
      <w:r>
        <w:rPr>
          <w:lang w:bidi="ar-EG"/>
        </w:rPr>
        <w:t xml:space="preserve"> </w:t>
      </w:r>
    </w:p>
  </w:footnote>
  <w:footnote w:id="9">
    <w:p w14:paraId="54C9889B" w14:textId="59CE9D01" w:rsidR="001C1FEC" w:rsidRDefault="001C1FEC" w:rsidP="001C1FEC">
      <w:pPr>
        <w:pStyle w:val="FootnoteText"/>
        <w:ind w:left="0" w:firstLine="0"/>
        <w:rPr>
          <w:lang w:bidi="ar-EG"/>
        </w:rPr>
      </w:pPr>
      <w:r>
        <w:rPr>
          <w:rStyle w:val="FootnoteReference"/>
        </w:rPr>
        <w:footnoteRef/>
      </w:r>
      <w:r>
        <w:rPr>
          <w:rtl/>
        </w:rPr>
        <w:t xml:space="preserve"> </w:t>
      </w:r>
      <w:r w:rsidR="00600C0E">
        <w:rPr>
          <w:lang w:bidi="ar-EG"/>
        </w:rPr>
        <w:t>Ibid</w:t>
      </w:r>
    </w:p>
  </w:footnote>
  <w:footnote w:id="10">
    <w:p w14:paraId="2F0F1019" w14:textId="77777777" w:rsidR="00BE3E1C" w:rsidRDefault="00BE3E1C" w:rsidP="00BE3E1C">
      <w:pPr>
        <w:pStyle w:val="FootnoteText"/>
        <w:ind w:left="0" w:firstLine="0"/>
        <w:rPr>
          <w:lang w:bidi="ar-EG"/>
        </w:rPr>
      </w:pPr>
      <w:r>
        <w:rPr>
          <w:rStyle w:val="FootnoteReference"/>
        </w:rPr>
        <w:footnoteRef/>
      </w:r>
      <w:r>
        <w:rPr>
          <w:rtl/>
        </w:rPr>
        <w:t xml:space="preserve"> </w:t>
      </w:r>
      <w:r w:rsidRPr="00CE5C32">
        <w:rPr>
          <w:lang w:bidi="ar-EG"/>
        </w:rPr>
        <w:t xml:space="preserve">In Azerbaijan, Women are Strong, Steadfast, and Resilient,” </w:t>
      </w:r>
      <w:proofErr w:type="spellStart"/>
      <w:r w:rsidRPr="00CE5C32">
        <w:rPr>
          <w:lang w:bidi="ar-EG"/>
        </w:rPr>
        <w:t>Sodruzhestvo</w:t>
      </w:r>
      <w:proofErr w:type="spellEnd"/>
      <w:r w:rsidRPr="00CE5C32">
        <w:rPr>
          <w:lang w:bidi="ar-EG"/>
        </w:rPr>
        <w:t xml:space="preserve"> Press Club, June 2019, </w:t>
      </w:r>
      <w:r>
        <w:rPr>
          <w:lang w:bidi="ar-EG"/>
        </w:rPr>
        <w:t xml:space="preserve">link: </w:t>
      </w:r>
      <w:hyperlink r:id="rId7" w:history="1">
        <w:r w:rsidRPr="00D340A7">
          <w:rPr>
            <w:rStyle w:val="Hyperlink"/>
            <w:lang w:bidi="ar-EG"/>
          </w:rPr>
          <w:t>http://press-unity.com/analitika-stati/11975.html</w:t>
        </w:r>
      </w:hyperlink>
      <w:r>
        <w:rPr>
          <w:lang w:bidi="ar-EG"/>
        </w:rPr>
        <w:t xml:space="preserve"> </w:t>
      </w:r>
    </w:p>
  </w:footnote>
  <w:footnote w:id="11">
    <w:p w14:paraId="7F5E760F" w14:textId="77777777" w:rsidR="00BE3E1C" w:rsidRDefault="00BE3E1C" w:rsidP="00BE3E1C">
      <w:pPr>
        <w:pStyle w:val="FootnoteText"/>
        <w:ind w:left="0" w:firstLine="0"/>
      </w:pPr>
      <w:r>
        <w:rPr>
          <w:rStyle w:val="FootnoteReference"/>
        </w:rPr>
        <w:footnoteRef/>
      </w:r>
      <w:r>
        <w:rPr>
          <w:rtl/>
        </w:rPr>
        <w:t xml:space="preserve"> </w:t>
      </w:r>
      <w:r w:rsidRPr="007D5182">
        <w:t>Labor Code of the Republic of Azerbaijan</w:t>
      </w:r>
      <w:r w:rsidRPr="00CE5C32">
        <w:rPr>
          <w:lang w:bidi="ar-EG"/>
        </w:rPr>
        <w:t>,</w:t>
      </w:r>
      <w:r>
        <w:t xml:space="preserve"> NATLEX</w:t>
      </w:r>
      <w:r w:rsidRPr="00CE5C32">
        <w:rPr>
          <w:lang w:bidi="ar-EG"/>
        </w:rPr>
        <w:t>,</w:t>
      </w:r>
      <w:r>
        <w:t xml:space="preserve">  link:</w:t>
      </w:r>
      <w:r w:rsidRPr="007D5182">
        <w:t xml:space="preserve"> </w:t>
      </w:r>
      <w:hyperlink r:id="rId8" w:history="1">
        <w:r w:rsidRPr="00D340A7">
          <w:rPr>
            <w:rStyle w:val="Hyperlink"/>
          </w:rPr>
          <w:t>http://www.ilo.org/dyn/natlex/docs/WEBTEXT/54131/65184/E99AZE01.htm</w:t>
        </w:r>
      </w:hyperlink>
      <w:r>
        <w:t xml:space="preserve"> </w:t>
      </w:r>
    </w:p>
  </w:footnote>
  <w:footnote w:id="12">
    <w:p w14:paraId="288A89E1" w14:textId="77777777" w:rsidR="00BE3E1C" w:rsidRDefault="00BE3E1C" w:rsidP="00BE3E1C">
      <w:pPr>
        <w:pStyle w:val="FootnoteText"/>
        <w:ind w:left="0" w:firstLine="0"/>
        <w:rPr>
          <w:lang w:bidi="ar-EG"/>
        </w:rPr>
      </w:pPr>
      <w:r>
        <w:rPr>
          <w:rStyle w:val="FootnoteReference"/>
        </w:rPr>
        <w:footnoteRef/>
      </w:r>
      <w:r>
        <w:rPr>
          <w:rtl/>
        </w:rPr>
        <w:t xml:space="preserve"> </w:t>
      </w:r>
      <w:r w:rsidRPr="004E1AD8">
        <w:rPr>
          <w:rtl/>
          <w:lang w:bidi="ar-EG"/>
        </w:rPr>
        <w:t>2020</w:t>
      </w:r>
      <w:r w:rsidRPr="004E1AD8">
        <w:rPr>
          <w:lang w:bidi="ar-EG"/>
        </w:rPr>
        <w:t xml:space="preserve"> Country Reports on Human Rights Practices: Azerbaijan</w:t>
      </w:r>
      <w:r w:rsidRPr="004E1AD8">
        <w:t xml:space="preserve">, </w:t>
      </w:r>
      <w:r w:rsidRPr="004E1AD8">
        <w:rPr>
          <w:lang w:bidi="ar-EG"/>
        </w:rPr>
        <w:t>Us department of state,</w:t>
      </w:r>
      <w:r w:rsidRPr="004E1AD8">
        <w:t xml:space="preserve"> MARCH 30, 2021 </w:t>
      </w:r>
      <w:r w:rsidRPr="004E1AD8">
        <w:rPr>
          <w:lang w:bidi="ar-EG"/>
        </w:rPr>
        <w:t>,</w:t>
      </w:r>
      <w:r>
        <w:rPr>
          <w:lang w:bidi="ar-EG"/>
        </w:rPr>
        <w:t xml:space="preserve"> link: </w:t>
      </w:r>
      <w:hyperlink r:id="rId9" w:history="1">
        <w:r w:rsidRPr="00D340A7">
          <w:rPr>
            <w:rStyle w:val="Hyperlink"/>
            <w:lang w:bidi="ar-EG"/>
          </w:rPr>
          <w:t>https://www.state.gov/reports/2020-country-reports-on-human-rights-practices/azerbaijan/</w:t>
        </w:r>
      </w:hyperlink>
      <w:r>
        <w:rPr>
          <w:lang w:bidi="ar-EG"/>
        </w:rPr>
        <w:t xml:space="preserve"> </w:t>
      </w:r>
    </w:p>
  </w:footnote>
  <w:footnote w:id="13">
    <w:p w14:paraId="3C0A4F18" w14:textId="77777777" w:rsidR="00C44355" w:rsidRDefault="00C44355" w:rsidP="00C44355">
      <w:pPr>
        <w:pStyle w:val="FootnoteText"/>
        <w:ind w:left="0" w:firstLine="0"/>
        <w:rPr>
          <w:lang w:bidi="ar-EG"/>
        </w:rPr>
      </w:pPr>
      <w:r>
        <w:rPr>
          <w:rStyle w:val="FootnoteReference"/>
        </w:rPr>
        <w:footnoteRef/>
      </w:r>
      <w:r>
        <w:rPr>
          <w:rtl/>
        </w:rPr>
        <w:t xml:space="preserve"> </w:t>
      </w:r>
      <w:r w:rsidRPr="00C61DCB">
        <w:t>Country Reports on Human Rights Practices: Azerbaijan</w:t>
      </w:r>
      <w:r w:rsidRPr="00814591">
        <w:t xml:space="preserve">, </w:t>
      </w:r>
      <w:r>
        <w:t xml:space="preserve"> </w:t>
      </w:r>
      <w:r w:rsidRPr="00C61DCB">
        <w:rPr>
          <w:lang w:bidi="ar-EG"/>
        </w:rPr>
        <w:t xml:space="preserve"> </w:t>
      </w:r>
      <w:r w:rsidRPr="00441E50">
        <w:rPr>
          <w:lang w:bidi="ar-EG"/>
        </w:rPr>
        <w:t>previous reference</w:t>
      </w:r>
      <w:r>
        <w:rPr>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946EE" w14:textId="77777777" w:rsidR="0086433E" w:rsidRDefault="0086433E" w:rsidP="0086433E">
    <w:pPr>
      <w:pStyle w:val="Header"/>
      <w:jc w:val="right"/>
    </w:pPr>
    <w:r>
      <w:rPr>
        <w:rFonts w:hint="cs"/>
        <w:noProof/>
        <w:lang w:val="en-GB" w:eastAsia="en-GB"/>
      </w:rPr>
      <w:drawing>
        <wp:inline distT="0" distB="0" distL="0" distR="0" wp14:anchorId="408DDFDB" wp14:editId="1DD1A1BD">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57720"/>
    <w:multiLevelType w:val="hybridMultilevel"/>
    <w:tmpl w:val="9F4C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2D071A9"/>
    <w:multiLevelType w:val="hybridMultilevel"/>
    <w:tmpl w:val="518A7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Y3MzUwMjc1MjS1NDFV0lEKTi0uzszPAykwrAUAnZdW3iwAAAA="/>
  </w:docVars>
  <w:rsids>
    <w:rsidRoot w:val="00C23A85"/>
    <w:rsid w:val="00030E6D"/>
    <w:rsid w:val="00051C06"/>
    <w:rsid w:val="000B4005"/>
    <w:rsid w:val="000F15D5"/>
    <w:rsid w:val="00185930"/>
    <w:rsid w:val="001877CA"/>
    <w:rsid w:val="001C1FEC"/>
    <w:rsid w:val="001D641B"/>
    <w:rsid w:val="00264A01"/>
    <w:rsid w:val="002D4375"/>
    <w:rsid w:val="003C62F6"/>
    <w:rsid w:val="00465323"/>
    <w:rsid w:val="004C2513"/>
    <w:rsid w:val="00504686"/>
    <w:rsid w:val="00514A39"/>
    <w:rsid w:val="005410B7"/>
    <w:rsid w:val="005735DC"/>
    <w:rsid w:val="005A2243"/>
    <w:rsid w:val="005B0B31"/>
    <w:rsid w:val="005B43BD"/>
    <w:rsid w:val="005C2948"/>
    <w:rsid w:val="005D388D"/>
    <w:rsid w:val="00600C0E"/>
    <w:rsid w:val="00691A78"/>
    <w:rsid w:val="006F4190"/>
    <w:rsid w:val="007E32D5"/>
    <w:rsid w:val="00815501"/>
    <w:rsid w:val="0086433E"/>
    <w:rsid w:val="008B07D7"/>
    <w:rsid w:val="008C1686"/>
    <w:rsid w:val="008C2732"/>
    <w:rsid w:val="0094338E"/>
    <w:rsid w:val="0097170A"/>
    <w:rsid w:val="009C2CEF"/>
    <w:rsid w:val="00A20672"/>
    <w:rsid w:val="00B40B95"/>
    <w:rsid w:val="00B63B8C"/>
    <w:rsid w:val="00BE3E1C"/>
    <w:rsid w:val="00BF1E65"/>
    <w:rsid w:val="00C124EA"/>
    <w:rsid w:val="00C23A85"/>
    <w:rsid w:val="00C44355"/>
    <w:rsid w:val="00CA058E"/>
    <w:rsid w:val="00CF1F44"/>
    <w:rsid w:val="00D009E7"/>
    <w:rsid w:val="00D01D10"/>
    <w:rsid w:val="00D44EB3"/>
    <w:rsid w:val="00D531CE"/>
    <w:rsid w:val="00E41557"/>
    <w:rsid w:val="00E7749C"/>
    <w:rsid w:val="00EA5E0D"/>
    <w:rsid w:val="00F158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B3FF0E"/>
  <w15:docId w15:val="{29857944-FFBC-4BF3-B3A7-9571C9F36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A85"/>
    <w:pPr>
      <w:spacing w:after="200" w:line="276" w:lineRule="auto"/>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63B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B8C"/>
    <w:rPr>
      <w:rFonts w:eastAsiaTheme="minorEastAsia"/>
    </w:rPr>
  </w:style>
  <w:style w:type="character" w:customStyle="1" w:styleId="apple-style-span">
    <w:name w:val="apple-style-span"/>
    <w:basedOn w:val="DefaultParagraphFont"/>
    <w:rsid w:val="00B63B8C"/>
  </w:style>
  <w:style w:type="table" w:styleId="TableGrid">
    <w:name w:val="Table Grid"/>
    <w:basedOn w:val="TableNormal"/>
    <w:uiPriority w:val="39"/>
    <w:rsid w:val="006F4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1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E65"/>
    <w:rPr>
      <w:rFonts w:eastAsiaTheme="minorEastAsia"/>
    </w:rPr>
  </w:style>
  <w:style w:type="character" w:styleId="Hyperlink">
    <w:name w:val="Hyperlink"/>
    <w:basedOn w:val="DefaultParagraphFont"/>
    <w:uiPriority w:val="99"/>
    <w:unhideWhenUsed/>
    <w:rsid w:val="00264A01"/>
    <w:rPr>
      <w:color w:val="0000FF"/>
      <w:u w:val="single"/>
    </w:rPr>
  </w:style>
  <w:style w:type="character" w:styleId="FootnoteReference">
    <w:name w:val="footnote reference"/>
    <w:basedOn w:val="DefaultParagraphFont"/>
    <w:uiPriority w:val="99"/>
    <w:semiHidden/>
    <w:unhideWhenUsed/>
    <w:rsid w:val="00264A01"/>
    <w:rPr>
      <w:vertAlign w:val="superscript"/>
    </w:rPr>
  </w:style>
  <w:style w:type="paragraph" w:styleId="FootnoteText">
    <w:name w:val="footnote text"/>
    <w:basedOn w:val="Normal"/>
    <w:link w:val="FootnoteTextChar"/>
    <w:uiPriority w:val="99"/>
    <w:semiHidden/>
    <w:unhideWhenUsed/>
    <w:rsid w:val="00264A01"/>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264A01"/>
    <w:rPr>
      <w:rFonts w:ascii="Calibri" w:eastAsia="Calibri" w:hAnsi="Calibri" w:cs="Arial"/>
      <w:sz w:val="20"/>
      <w:szCs w:val="20"/>
    </w:rPr>
  </w:style>
  <w:style w:type="paragraph" w:styleId="BalloonText">
    <w:name w:val="Balloon Text"/>
    <w:basedOn w:val="Normal"/>
    <w:link w:val="BalloonTextChar"/>
    <w:uiPriority w:val="99"/>
    <w:semiHidden/>
    <w:unhideWhenUsed/>
    <w:rsid w:val="00BE3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E1C"/>
    <w:rPr>
      <w:rFonts w:ascii="Tahoma" w:eastAsiaTheme="minorEastAsia" w:hAnsi="Tahoma" w:cs="Tahoma"/>
      <w:sz w:val="16"/>
      <w:szCs w:val="16"/>
    </w:rPr>
  </w:style>
  <w:style w:type="paragraph" w:styleId="ListParagraph">
    <w:name w:val="List Paragraph"/>
    <w:basedOn w:val="Normal"/>
    <w:uiPriority w:val="34"/>
    <w:qFormat/>
    <w:rsid w:val="00C44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ilo.org/dyn/natlex/docs/WEBTEXT/54131/65184/E99AZE01.htm" TargetMode="External"/><Relationship Id="rId3" Type="http://schemas.openxmlformats.org/officeDocument/2006/relationships/hyperlink" Target="http://www.ilo.org/dyn/natlex/docs/WEBTEXT/54131/65184/E99AZE01.htm" TargetMode="External"/><Relationship Id="rId7" Type="http://schemas.openxmlformats.org/officeDocument/2006/relationships/hyperlink" Target="http://press-unity.com/analitika-stati/11975.html" TargetMode="External"/><Relationship Id="rId2" Type="http://schemas.openxmlformats.org/officeDocument/2006/relationships/hyperlink" Target="http://press-unity.com/analitika-stati/11975.html" TargetMode="External"/><Relationship Id="rId1" Type="http://schemas.openxmlformats.org/officeDocument/2006/relationships/hyperlink" Target="https://tbinternet.ohchr.org/_layouts/15/treatybodyexternal/Download.aspx?symbolno=INT%2fCESCR%2fCSS%2fAZE%2f43028&amp;Lang=en" TargetMode="External"/><Relationship Id="rId6" Type="http://schemas.openxmlformats.org/officeDocument/2006/relationships/hyperlink" Target="https://tbinternet.ohchr.org/_layouts/15/treatybodyexternal/Download.aspx?symbolno=INT%2fCESCR%2fCSS%2fAZE%2f43028&amp;Lang=en" TargetMode="External"/><Relationship Id="rId5" Type="http://schemas.openxmlformats.org/officeDocument/2006/relationships/hyperlink" Target="https://www.maatpeace.org" TargetMode="External"/><Relationship Id="rId4" Type="http://schemas.openxmlformats.org/officeDocument/2006/relationships/hyperlink" Target="https://www.state.gov/reports/2020-country-reports-on-human-rights-practices/azerbaijan/" TargetMode="External"/><Relationship Id="rId9" Type="http://schemas.openxmlformats.org/officeDocument/2006/relationships/hyperlink" Target="https://www.state.gov/reports/2020-country-reports-on-human-rights-practices/azerbaij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R\&#1588;&#1594;&#1604;%202021\New%20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C1AC45-D1E6-4822-9DD7-1970F9E426FC}"/>
</file>

<file path=customXml/itemProps2.xml><?xml version="1.0" encoding="utf-8"?>
<ds:datastoreItem xmlns:ds="http://schemas.openxmlformats.org/officeDocument/2006/customXml" ds:itemID="{1375613A-42EE-40CF-B2E7-8EE3D5A7047C}"/>
</file>

<file path=customXml/itemProps3.xml><?xml version="1.0" encoding="utf-8"?>
<ds:datastoreItem xmlns:ds="http://schemas.openxmlformats.org/officeDocument/2006/customXml" ds:itemID="{A91BB798-A90A-47D7-9A74-F9F3D2748D8A}"/>
</file>

<file path=docProps/app.xml><?xml version="1.0" encoding="utf-8"?>
<Properties xmlns="http://schemas.openxmlformats.org/officeDocument/2006/extended-properties" xmlns:vt="http://schemas.openxmlformats.org/officeDocument/2006/docPropsVTypes">
  <Template>New Maat.dotx</Template>
  <TotalTime>0</TotalTime>
  <Pages>12</Pages>
  <Words>2483</Words>
  <Characters>14159</Characters>
  <Application>Microsoft Office Word</Application>
  <DocSecurity>0</DocSecurity>
  <Lines>117</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5Dell</dc:creator>
  <cp:lastModifiedBy>REYNAUD Céline</cp:lastModifiedBy>
  <cp:revision>2</cp:revision>
  <dcterms:created xsi:type="dcterms:W3CDTF">2021-09-02T19:01:00Z</dcterms:created>
  <dcterms:modified xsi:type="dcterms:W3CDTF">2021-09-02T19:01:00Z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