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4E3" w:rsidRDefault="007374E3">
      <w:pPr>
        <w:rPr>
          <w:b/>
          <w:bCs/>
          <w:lang w:val="mi-NZ"/>
        </w:rPr>
      </w:pPr>
      <w:bookmarkStart w:id="0" w:name="_GoBack"/>
      <w:bookmarkEnd w:id="0"/>
    </w:p>
    <w:p w:rsidR="007374E3" w:rsidRDefault="00DE1821">
      <w:pPr>
        <w:jc w:val="center"/>
      </w:pPr>
      <w:r>
        <w:rPr>
          <w:noProof/>
          <w:lang w:eastAsia="en-GB"/>
        </w:rPr>
        <w:drawing>
          <wp:anchor distT="0" distB="0" distL="0" distR="0" simplePos="0" relativeHeight="2" behindDoc="0" locked="0" layoutInCell="0" allowOverlap="1">
            <wp:simplePos x="0" y="0"/>
            <wp:positionH relativeFrom="column">
              <wp:align>center</wp:align>
            </wp:positionH>
            <wp:positionV relativeFrom="paragraph">
              <wp:posOffset>635</wp:posOffset>
            </wp:positionV>
            <wp:extent cx="1173480" cy="117348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8"/>
                    <a:stretch>
                      <a:fillRect/>
                    </a:stretch>
                  </pic:blipFill>
                  <pic:spPr bwMode="auto">
                    <a:xfrm>
                      <a:off x="0" y="0"/>
                      <a:ext cx="1173480" cy="1173480"/>
                    </a:xfrm>
                    <a:prstGeom prst="rect">
                      <a:avLst/>
                    </a:prstGeom>
                  </pic:spPr>
                </pic:pic>
              </a:graphicData>
            </a:graphic>
          </wp:anchor>
        </w:drawing>
      </w:r>
    </w:p>
    <w:p w:rsidR="007374E3" w:rsidRDefault="007374E3">
      <w:pPr>
        <w:rPr>
          <w:b/>
          <w:bCs/>
          <w:lang w:val="mi-NZ"/>
        </w:rPr>
      </w:pPr>
    </w:p>
    <w:p w:rsidR="007374E3" w:rsidRDefault="007374E3">
      <w:pPr>
        <w:rPr>
          <w:b/>
          <w:bCs/>
          <w:lang w:val="mi-NZ"/>
        </w:rPr>
      </w:pPr>
    </w:p>
    <w:p w:rsidR="007374E3" w:rsidRDefault="007374E3">
      <w:pPr>
        <w:rPr>
          <w:b/>
          <w:bCs/>
          <w:lang w:val="mi-NZ"/>
        </w:rPr>
      </w:pPr>
    </w:p>
    <w:p w:rsidR="007374E3" w:rsidRDefault="007374E3">
      <w:pPr>
        <w:rPr>
          <w:b/>
          <w:bCs/>
          <w:lang w:val="mi-NZ"/>
        </w:rPr>
      </w:pPr>
    </w:p>
    <w:p w:rsidR="007374E3" w:rsidRDefault="007374E3">
      <w:pPr>
        <w:rPr>
          <w:b/>
          <w:bCs/>
          <w:lang w:val="mi-NZ"/>
        </w:rPr>
      </w:pPr>
    </w:p>
    <w:p w:rsidR="007374E3" w:rsidRDefault="007374E3">
      <w:pPr>
        <w:rPr>
          <w:b/>
          <w:bCs/>
          <w:lang w:val="mi-NZ"/>
        </w:rPr>
      </w:pPr>
    </w:p>
    <w:p w:rsidR="007374E3" w:rsidRDefault="00DE1821">
      <w:pPr>
        <w:rPr>
          <w:sz w:val="26"/>
          <w:szCs w:val="26"/>
        </w:rPr>
      </w:pPr>
      <w:r>
        <w:rPr>
          <w:b/>
          <w:bCs/>
          <w:sz w:val="26"/>
          <w:szCs w:val="26"/>
          <w:lang w:val="mi-NZ"/>
        </w:rPr>
        <w:t>United Nations Committee Against Torture</w:t>
      </w:r>
    </w:p>
    <w:p w:rsidR="007374E3" w:rsidRDefault="007374E3">
      <w:pPr>
        <w:rPr>
          <w:b/>
          <w:bCs/>
          <w:lang w:val="mi-NZ"/>
        </w:rPr>
      </w:pPr>
    </w:p>
    <w:p w:rsidR="007374E3" w:rsidRDefault="00DE1821">
      <w:pPr>
        <w:rPr>
          <w:sz w:val="26"/>
          <w:szCs w:val="26"/>
        </w:rPr>
      </w:pPr>
      <w:hyperlink r:id="rId9">
        <w:r>
          <w:rPr>
            <w:rStyle w:val="Hyperlink"/>
            <w:b/>
            <w:bCs/>
            <w:sz w:val="26"/>
            <w:szCs w:val="26"/>
            <w:lang w:val="mi-NZ"/>
          </w:rPr>
          <w:t>ohchr-cat@un.org</w:t>
        </w:r>
      </w:hyperlink>
      <w:hyperlink>
        <w:r>
          <w:rPr>
            <w:b/>
            <w:bCs/>
            <w:sz w:val="26"/>
            <w:szCs w:val="26"/>
            <w:lang w:val="mi-NZ"/>
          </w:rPr>
          <w:tab/>
        </w:r>
        <w:r>
          <w:rPr>
            <w:b/>
            <w:bCs/>
            <w:sz w:val="26"/>
            <w:szCs w:val="26"/>
            <w:lang w:val="mi-NZ"/>
          </w:rPr>
          <w:tab/>
        </w:r>
        <w:r>
          <w:rPr>
            <w:b/>
            <w:bCs/>
            <w:sz w:val="26"/>
            <w:szCs w:val="26"/>
            <w:lang w:val="mi-NZ"/>
          </w:rPr>
          <w:tab/>
        </w:r>
        <w:r>
          <w:rPr>
            <w:b/>
            <w:bCs/>
            <w:sz w:val="26"/>
            <w:szCs w:val="26"/>
            <w:lang w:val="mi-NZ"/>
          </w:rPr>
          <w:tab/>
        </w:r>
        <w:r>
          <w:rPr>
            <w:b/>
            <w:bCs/>
            <w:sz w:val="26"/>
            <w:szCs w:val="26"/>
            <w:lang w:val="mi-NZ"/>
          </w:rPr>
          <w:tab/>
        </w:r>
        <w:r>
          <w:rPr>
            <w:b/>
            <w:bCs/>
            <w:sz w:val="26"/>
            <w:szCs w:val="26"/>
            <w:lang w:val="mi-NZ"/>
          </w:rPr>
          <w:tab/>
        </w:r>
        <w:r>
          <w:rPr>
            <w:b/>
            <w:bCs/>
            <w:sz w:val="26"/>
            <w:szCs w:val="26"/>
            <w:lang w:val="mi-NZ"/>
          </w:rPr>
          <w:tab/>
        </w:r>
        <w:r>
          <w:rPr>
            <w:b/>
            <w:bCs/>
            <w:sz w:val="26"/>
            <w:szCs w:val="26"/>
            <w:lang w:val="mi-NZ"/>
          </w:rPr>
          <w:tab/>
        </w:r>
      </w:hyperlink>
      <w:r>
        <w:rPr>
          <w:b/>
          <w:bCs/>
          <w:sz w:val="26"/>
          <w:szCs w:val="26"/>
          <w:lang w:val="mi-NZ"/>
        </w:rPr>
        <w:t>11 June 2023</w:t>
      </w:r>
    </w:p>
    <w:p w:rsidR="007374E3" w:rsidRDefault="007374E3">
      <w:pPr>
        <w:rPr>
          <w:b/>
          <w:bCs/>
          <w:lang w:val="mi-NZ"/>
        </w:rPr>
      </w:pPr>
    </w:p>
    <w:p w:rsidR="007374E3" w:rsidRDefault="00DE1821">
      <w:pPr>
        <w:rPr>
          <w:b/>
          <w:bCs/>
          <w:sz w:val="26"/>
          <w:szCs w:val="26"/>
          <w:lang w:val="mi-NZ"/>
        </w:rPr>
      </w:pPr>
      <w:r>
        <w:rPr>
          <w:b/>
          <w:bCs/>
          <w:sz w:val="26"/>
          <w:szCs w:val="26"/>
          <w:lang w:val="mi-NZ"/>
        </w:rPr>
        <w:t xml:space="preserve">                       </w:t>
      </w:r>
      <w:r>
        <w:rPr>
          <w:b/>
          <w:bCs/>
          <w:sz w:val="28"/>
          <w:szCs w:val="28"/>
          <w:lang w:val="mi-NZ"/>
        </w:rPr>
        <w:t xml:space="preserve">  Submission to the seventh periodic review of New Zealand</w:t>
      </w:r>
    </w:p>
    <w:p w:rsidR="007374E3" w:rsidRDefault="007374E3">
      <w:pPr>
        <w:rPr>
          <w:b/>
          <w:bCs/>
          <w:lang w:val="mi-NZ"/>
        </w:rPr>
      </w:pPr>
    </w:p>
    <w:p w:rsidR="007374E3" w:rsidRDefault="00DE1821">
      <w:pPr>
        <w:pStyle w:val="ListParagraph"/>
        <w:jc w:val="center"/>
        <w:rPr>
          <w:b/>
          <w:bCs/>
        </w:rPr>
      </w:pPr>
      <w:r>
        <w:rPr>
          <w:b/>
          <w:bCs/>
          <w:sz w:val="28"/>
          <w:szCs w:val="28"/>
          <w:lang w:val="en-NZ"/>
        </w:rPr>
        <w:t xml:space="preserve"> Citizens Commission on</w:t>
      </w:r>
      <w:r>
        <w:rPr>
          <w:b/>
          <w:bCs/>
          <w:sz w:val="28"/>
          <w:szCs w:val="28"/>
          <w:lang w:val="en-NZ"/>
        </w:rPr>
        <w:t xml:space="preserve"> Human Rights New Zealand</w:t>
      </w:r>
    </w:p>
    <w:p w:rsidR="007374E3" w:rsidRDefault="00DE1821">
      <w:pPr>
        <w:pStyle w:val="ListParagraph"/>
        <w:jc w:val="center"/>
        <w:rPr>
          <w:b/>
          <w:bCs/>
        </w:rPr>
      </w:pPr>
      <w:r>
        <w:rPr>
          <w:b/>
          <w:bCs/>
          <w:sz w:val="28"/>
          <w:szCs w:val="28"/>
          <w:lang w:val="en-NZ"/>
        </w:rPr>
        <w:tab/>
      </w:r>
      <w:r>
        <w:rPr>
          <w:b/>
          <w:bCs/>
          <w:sz w:val="28"/>
          <w:szCs w:val="28"/>
          <w:lang w:val="en-NZ"/>
        </w:rPr>
        <w:tab/>
      </w:r>
      <w:r>
        <w:rPr>
          <w:b/>
          <w:bCs/>
          <w:sz w:val="28"/>
          <w:szCs w:val="28"/>
          <w:lang w:val="en-NZ"/>
        </w:rPr>
        <w:tab/>
      </w:r>
      <w:r>
        <w:rPr>
          <w:b/>
          <w:bCs/>
          <w:sz w:val="28"/>
          <w:szCs w:val="28"/>
          <w:lang w:val="en-NZ"/>
        </w:rPr>
        <w:tab/>
      </w:r>
      <w:r>
        <w:rPr>
          <w:b/>
          <w:bCs/>
          <w:sz w:val="28"/>
          <w:szCs w:val="28"/>
          <w:lang w:val="en-NZ"/>
        </w:rPr>
        <w:tab/>
      </w:r>
    </w:p>
    <w:p w:rsidR="007374E3" w:rsidRDefault="00DE1821">
      <w:pPr>
        <w:pStyle w:val="ListParagraph"/>
        <w:jc w:val="center"/>
        <w:rPr>
          <w:b/>
          <w:bCs/>
        </w:rPr>
      </w:pPr>
      <w:r>
        <w:rPr>
          <w:b/>
          <w:bCs/>
          <w:sz w:val="28"/>
          <w:szCs w:val="28"/>
          <w:lang w:val="en-NZ"/>
        </w:rPr>
        <w:tab/>
      </w:r>
      <w:r>
        <w:rPr>
          <w:b/>
          <w:bCs/>
          <w:sz w:val="28"/>
          <w:szCs w:val="28"/>
          <w:lang w:val="en-NZ"/>
        </w:rPr>
        <w:tab/>
      </w:r>
      <w:r>
        <w:rPr>
          <w:b/>
          <w:bCs/>
          <w:sz w:val="28"/>
          <w:szCs w:val="28"/>
          <w:lang w:val="en-NZ"/>
        </w:rPr>
        <w:tab/>
      </w:r>
      <w:r>
        <w:rPr>
          <w:b/>
          <w:bCs/>
          <w:sz w:val="28"/>
          <w:szCs w:val="28"/>
          <w:lang w:val="en-NZ"/>
        </w:rPr>
        <w:tab/>
      </w:r>
      <w:r>
        <w:rPr>
          <w:b/>
          <w:bCs/>
          <w:sz w:val="28"/>
          <w:szCs w:val="28"/>
          <w:lang w:val="en-NZ"/>
        </w:rPr>
        <w:tab/>
      </w:r>
      <w:r>
        <w:rPr>
          <w:b/>
          <w:bCs/>
          <w:sz w:val="28"/>
          <w:szCs w:val="28"/>
          <w:lang w:val="en-NZ"/>
        </w:rPr>
        <w:tab/>
      </w:r>
      <w:r>
        <w:rPr>
          <w:b/>
          <w:bCs/>
          <w:sz w:val="28"/>
          <w:szCs w:val="28"/>
          <w:lang w:val="en-NZ"/>
        </w:rPr>
        <w:tab/>
      </w:r>
      <w:r>
        <w:rPr>
          <w:b/>
          <w:bCs/>
          <w:sz w:val="28"/>
          <w:szCs w:val="28"/>
          <w:lang w:val="en-NZ"/>
        </w:rPr>
        <w:tab/>
      </w:r>
    </w:p>
    <w:p w:rsidR="007374E3" w:rsidRDefault="007374E3">
      <w:pPr>
        <w:rPr>
          <w:b/>
          <w:bCs/>
          <w:lang w:val="mi-NZ"/>
        </w:rPr>
      </w:pPr>
    </w:p>
    <w:p w:rsidR="007374E3" w:rsidRDefault="00DE1821">
      <w:pPr>
        <w:pStyle w:val="Heading2"/>
        <w:rPr>
          <w:lang w:val="mi-NZ"/>
        </w:rPr>
      </w:pPr>
      <w:r>
        <w:rPr>
          <w:rFonts w:ascii="Calibri" w:hAnsi="Calibri"/>
          <w:b/>
          <w:bCs/>
          <w:color w:val="000000"/>
          <w:lang w:val="mi-NZ"/>
        </w:rPr>
        <w:t>Introduction</w:t>
      </w:r>
    </w:p>
    <w:p w:rsidR="007374E3" w:rsidRDefault="007374E3"/>
    <w:p w:rsidR="007374E3" w:rsidRDefault="00DE1821">
      <w:r>
        <w:tab/>
        <w:t xml:space="preserve">    The Citizens Commission on Human Rights (CCHR) was co-founded in 1969 by the </w:t>
      </w:r>
      <w:r>
        <w:tab/>
        <w:t xml:space="preserve">    Church of Scientology and Professor of Psychiatry Emeritus Dr. Thomas Szasz at a </w:t>
      </w:r>
      <w:r>
        <w:tab/>
        <w:t xml:space="preserve">    time when patients were bei</w:t>
      </w:r>
      <w:r>
        <w:t xml:space="preserve">ng warehoused in institutions and stripped of all </w:t>
      </w:r>
      <w:r>
        <w:tab/>
        <w:t xml:space="preserve">  </w:t>
      </w:r>
      <w:r>
        <w:tab/>
        <w:t xml:space="preserve">    constitutional, civil and human rights. </w:t>
      </w:r>
      <w:r>
        <w:rPr>
          <w:lang w:val="mi-NZ"/>
        </w:rPr>
        <w:t xml:space="preserve">The New Zealand branch was established in </w:t>
      </w:r>
      <w:r>
        <w:rPr>
          <w:lang w:val="mi-NZ"/>
        </w:rPr>
        <w:tab/>
        <w:t xml:space="preserve">    1975.    </w:t>
      </w:r>
    </w:p>
    <w:p w:rsidR="007374E3" w:rsidRDefault="007374E3">
      <w:pPr>
        <w:rPr>
          <w:lang w:val="mi-NZ"/>
        </w:rPr>
      </w:pPr>
    </w:p>
    <w:p w:rsidR="007374E3" w:rsidRDefault="00DE1821">
      <w:pPr>
        <w:rPr>
          <w:lang w:val="mi-NZ"/>
        </w:rPr>
      </w:pPr>
      <w:r>
        <w:rPr>
          <w:lang w:val="mi-NZ"/>
        </w:rPr>
        <w:tab/>
        <w:t xml:space="preserve">    One of the early activities of CCHR in New Zealand was to inspect several </w:t>
      </w:r>
      <w:r>
        <w:rPr>
          <w:lang w:val="mi-NZ"/>
        </w:rPr>
        <w:tab/>
        <w:t xml:space="preserve">  </w:t>
      </w:r>
      <w:r>
        <w:rPr>
          <w:lang w:val="mi-NZ"/>
        </w:rPr>
        <w:tab/>
        <w:t xml:space="preserve">    psychiatric h</w:t>
      </w:r>
      <w:r>
        <w:rPr>
          <w:lang w:val="mi-NZ"/>
        </w:rPr>
        <w:t xml:space="preserve">ospitals including the Lake Alice Child and Adolescent Unit. It was in </w:t>
      </w:r>
      <w:r>
        <w:rPr>
          <w:lang w:val="mi-NZ"/>
        </w:rPr>
        <w:tab/>
        <w:t xml:space="preserve">    their tour of Lake Alice in January 1976 that the members of CCHR interviewed a </w:t>
      </w:r>
      <w:r>
        <w:rPr>
          <w:lang w:val="mi-NZ"/>
        </w:rPr>
        <w:tab/>
        <w:t xml:space="preserve">    number of the children incarcerated there and found that they were being given </w:t>
      </w:r>
      <w:r>
        <w:rPr>
          <w:lang w:val="mi-NZ"/>
        </w:rPr>
        <w:tab/>
        <w:t xml:space="preserve">    electroshoc</w:t>
      </w:r>
      <w:r>
        <w:rPr>
          <w:lang w:val="mi-NZ"/>
        </w:rPr>
        <w:t xml:space="preserve">ks and drugs as punishment. </w:t>
      </w:r>
    </w:p>
    <w:p w:rsidR="007374E3" w:rsidRDefault="007374E3">
      <w:pPr>
        <w:rPr>
          <w:lang w:val="mi-NZ"/>
        </w:rPr>
      </w:pPr>
    </w:p>
    <w:p w:rsidR="007374E3" w:rsidRDefault="00DE1821">
      <w:pPr>
        <w:rPr>
          <w:lang w:val="mi-NZ"/>
        </w:rPr>
      </w:pPr>
      <w:r>
        <w:rPr>
          <w:lang w:val="mi-NZ"/>
        </w:rPr>
        <w:tab/>
        <w:t xml:space="preserve">    CCHR made their findings known through reports to the media and followed </w:t>
      </w:r>
      <w:r>
        <w:rPr>
          <w:lang w:val="mi-NZ"/>
        </w:rPr>
        <w:tab/>
      </w:r>
      <w:r>
        <w:rPr>
          <w:lang w:val="mi-NZ"/>
        </w:rPr>
        <w:tab/>
        <w:t xml:space="preserve">    through with inquiries and protests when the authorities at the time were doing </w:t>
      </w:r>
      <w:r>
        <w:rPr>
          <w:lang w:val="mi-NZ"/>
        </w:rPr>
        <w:tab/>
        <w:t xml:space="preserve">    very little about the situation.</w:t>
      </w:r>
    </w:p>
    <w:p w:rsidR="007374E3" w:rsidRDefault="007374E3">
      <w:pPr>
        <w:rPr>
          <w:lang w:val="mi-NZ"/>
        </w:rPr>
      </w:pPr>
    </w:p>
    <w:p w:rsidR="007374E3" w:rsidRDefault="00DE1821">
      <w:pPr>
        <w:rPr>
          <w:lang w:val="mi-NZ"/>
        </w:rPr>
      </w:pPr>
      <w:r>
        <w:rPr>
          <w:lang w:val="mi-NZ"/>
        </w:rPr>
        <w:tab/>
        <w:t xml:space="preserve">    CCHR worked with L</w:t>
      </w:r>
      <w:r>
        <w:rPr>
          <w:lang w:val="mi-NZ"/>
        </w:rPr>
        <w:t xml:space="preserve">ake Alice survivors in the 1990s and the 2000s where they </w:t>
      </w:r>
      <w:r>
        <w:rPr>
          <w:lang w:val="mi-NZ"/>
        </w:rPr>
        <w:tab/>
        <w:t xml:space="preserve"> </w:t>
      </w:r>
      <w:r>
        <w:rPr>
          <w:lang w:val="mi-NZ"/>
        </w:rPr>
        <w:tab/>
        <w:t xml:space="preserve">    demanded the authorities conduct a proper investigation of Lake Alice and filed </w:t>
      </w:r>
      <w:r>
        <w:rPr>
          <w:lang w:val="mi-NZ"/>
        </w:rPr>
        <w:tab/>
        <w:t xml:space="preserve">    new police complaints which, once again, resulted in no charges being laid despite </w:t>
      </w:r>
      <w:r>
        <w:rPr>
          <w:lang w:val="mi-NZ"/>
        </w:rPr>
        <w:tab/>
        <w:t xml:space="preserve">    evidence of ill tr</w:t>
      </w:r>
      <w:r>
        <w:rPr>
          <w:lang w:val="mi-NZ"/>
        </w:rPr>
        <w:t xml:space="preserve">eatment and torture. </w:t>
      </w:r>
    </w:p>
    <w:p w:rsidR="007374E3" w:rsidRDefault="007374E3">
      <w:pPr>
        <w:rPr>
          <w:lang w:val="mi-NZ"/>
        </w:rPr>
      </w:pPr>
    </w:p>
    <w:p w:rsidR="007374E3" w:rsidRDefault="00DE1821">
      <w:pPr>
        <w:rPr>
          <w:lang w:val="mi-NZ"/>
        </w:rPr>
      </w:pPr>
      <w:r>
        <w:rPr>
          <w:lang w:val="mi-NZ"/>
        </w:rPr>
        <w:tab/>
        <w:t xml:space="preserve">    In 2010 CCHR made its first submission to United Nations Committee Against </w:t>
      </w:r>
      <w:r>
        <w:rPr>
          <w:lang w:val="mi-NZ"/>
        </w:rPr>
        <w:tab/>
        <w:t xml:space="preserve"> </w:t>
      </w:r>
      <w:r>
        <w:rPr>
          <w:lang w:val="mi-NZ"/>
        </w:rPr>
        <w:tab/>
        <w:t xml:space="preserve">    Torture and followed this with another submission in 2012. In 2015 the director of </w:t>
      </w:r>
      <w:r>
        <w:rPr>
          <w:lang w:val="mi-NZ"/>
        </w:rPr>
        <w:tab/>
      </w:r>
      <w:r>
        <w:rPr>
          <w:lang w:val="mi-NZ"/>
        </w:rPr>
        <w:t xml:space="preserve">    CCHR, Steve Green, accompanied Lake Alice survivor, Paul Zentveld, to Geneva </w:t>
      </w:r>
      <w:r>
        <w:rPr>
          <w:lang w:val="mi-NZ"/>
        </w:rPr>
        <w:tab/>
        <w:t xml:space="preserve">    to present their case to the Committee in person. </w:t>
      </w:r>
    </w:p>
    <w:p w:rsidR="007374E3" w:rsidRDefault="007374E3">
      <w:pPr>
        <w:rPr>
          <w:lang w:val="mi-NZ"/>
        </w:rPr>
      </w:pPr>
    </w:p>
    <w:p w:rsidR="007374E3" w:rsidRDefault="00DE1821">
      <w:pPr>
        <w:rPr>
          <w:lang w:val="mi-NZ"/>
        </w:rPr>
      </w:pPr>
      <w:r>
        <w:rPr>
          <w:lang w:val="mi-NZ"/>
        </w:rPr>
        <w:lastRenderedPageBreak/>
        <w:tab/>
      </w:r>
      <w:r>
        <w:rPr>
          <w:lang w:val="mi-NZ"/>
        </w:rPr>
        <w:tab/>
      </w:r>
      <w:r>
        <w:rPr>
          <w:lang w:val="mi-NZ"/>
        </w:rPr>
        <w:tab/>
      </w:r>
      <w:r>
        <w:rPr>
          <w:lang w:val="mi-NZ"/>
        </w:rPr>
        <w:tab/>
      </w:r>
      <w:r>
        <w:rPr>
          <w:lang w:val="mi-NZ"/>
        </w:rPr>
        <w:tab/>
      </w:r>
      <w:r>
        <w:rPr>
          <w:lang w:val="mi-NZ"/>
        </w:rPr>
        <w:tab/>
        <w:t>2</w:t>
      </w:r>
    </w:p>
    <w:p w:rsidR="007374E3" w:rsidRDefault="007374E3">
      <w:pPr>
        <w:rPr>
          <w:lang w:val="mi-NZ"/>
        </w:rPr>
      </w:pPr>
    </w:p>
    <w:p w:rsidR="007374E3" w:rsidRDefault="00DE1821">
      <w:pPr>
        <w:rPr>
          <w:lang w:val="mi-NZ"/>
        </w:rPr>
      </w:pPr>
      <w:r>
        <w:rPr>
          <w:lang w:val="mi-NZ"/>
        </w:rPr>
        <w:tab/>
        <w:t xml:space="preserve">    After the UNCAT recommendation that a new investigation into Lake Alice be </w:t>
      </w:r>
      <w:r>
        <w:rPr>
          <w:lang w:val="mi-NZ"/>
        </w:rPr>
        <w:tab/>
        <w:t xml:space="preserve">  </w:t>
      </w:r>
      <w:r>
        <w:rPr>
          <w:lang w:val="mi-NZ"/>
        </w:rPr>
        <w:tab/>
        <w:t xml:space="preserve">    undertaken were ignor</w:t>
      </w:r>
      <w:r>
        <w:rPr>
          <w:lang w:val="mi-NZ"/>
        </w:rPr>
        <w:t xml:space="preserve">ed by the New Zealand State, CCHR then filed a formal </w:t>
      </w:r>
      <w:r>
        <w:rPr>
          <w:lang w:val="mi-NZ"/>
        </w:rPr>
        <w:tab/>
        <w:t xml:space="preserve">  </w:t>
      </w:r>
      <w:r>
        <w:rPr>
          <w:lang w:val="mi-NZ"/>
        </w:rPr>
        <w:tab/>
        <w:t xml:space="preserve">    complaint on behalf of Paul Zentveld in 2017 which resulted in a finding against </w:t>
      </w:r>
      <w:r>
        <w:rPr>
          <w:lang w:val="mi-NZ"/>
        </w:rPr>
        <w:tab/>
        <w:t xml:space="preserve">    the New Zealand State for breaches of articles 12, 13 and 14 of the Convention </w:t>
      </w:r>
      <w:r>
        <w:rPr>
          <w:lang w:val="mi-NZ"/>
        </w:rPr>
        <w:tab/>
        <w:t xml:space="preserve">    Against Torture. As a re</w:t>
      </w:r>
      <w:r>
        <w:rPr>
          <w:lang w:val="mi-NZ"/>
        </w:rPr>
        <w:t xml:space="preserve">sult a new police investigation began in early 2021. </w:t>
      </w:r>
    </w:p>
    <w:p w:rsidR="007374E3" w:rsidRDefault="007374E3">
      <w:pPr>
        <w:rPr>
          <w:lang w:val="mi-NZ"/>
        </w:rPr>
      </w:pPr>
    </w:p>
    <w:p w:rsidR="007374E3" w:rsidRDefault="007374E3">
      <w:pPr>
        <w:rPr>
          <w:lang w:val="mi-NZ"/>
        </w:rPr>
      </w:pPr>
    </w:p>
    <w:p w:rsidR="007374E3" w:rsidRDefault="00DE1821">
      <w:pPr>
        <w:pStyle w:val="ListParagraph"/>
      </w:pPr>
      <w:r>
        <w:rPr>
          <w:color w:val="000000"/>
          <w:lang w:val="mi-NZ"/>
        </w:rPr>
        <w:t>Recommendations summary:</w:t>
      </w:r>
    </w:p>
    <w:p w:rsidR="007374E3" w:rsidRDefault="007374E3">
      <w:pPr>
        <w:pStyle w:val="ListParagraph"/>
        <w:rPr>
          <w:color w:val="000000"/>
          <w:lang w:val="mi-NZ"/>
        </w:rPr>
      </w:pPr>
    </w:p>
    <w:p w:rsidR="007374E3" w:rsidRDefault="00DE1821">
      <w:pPr>
        <w:pStyle w:val="ListParagraph"/>
        <w:ind w:left="927"/>
      </w:pPr>
      <w:r>
        <w:rPr>
          <w:color w:val="000000"/>
          <w:lang w:val="mi-NZ"/>
        </w:rPr>
        <w:t xml:space="preserve">1  That the Committee urges the State Party to provide full redress to all of the Lake Alice survivors as they are victims of torture and ill treatment, and to provide </w:t>
      </w:r>
      <w:r>
        <w:rPr>
          <w:color w:val="000000"/>
          <w:lang w:val="mi-NZ"/>
        </w:rPr>
        <w:t>redress to the families of those survivors who have died. (paragraph 30, page 10)</w:t>
      </w:r>
    </w:p>
    <w:p w:rsidR="007374E3" w:rsidRDefault="007374E3">
      <w:pPr>
        <w:pStyle w:val="ListParagraph"/>
        <w:ind w:left="927"/>
        <w:rPr>
          <w:color w:val="000000"/>
          <w:lang w:val="mi-NZ"/>
        </w:rPr>
      </w:pPr>
    </w:p>
    <w:p w:rsidR="007374E3" w:rsidRDefault="00DE1821">
      <w:pPr>
        <w:pStyle w:val="ListParagraph"/>
        <w:ind w:left="927"/>
      </w:pPr>
      <w:r>
        <w:rPr>
          <w:color w:val="000000"/>
          <w:lang w:val="mi-NZ"/>
        </w:rPr>
        <w:t xml:space="preserve">2  That the State Party, New Zealand, removes its reservation on </w:t>
      </w:r>
      <w:r>
        <w:rPr>
          <w:color w:val="000000"/>
          <w:lang w:val="en-NZ"/>
        </w:rPr>
        <w:t>a</w:t>
      </w:r>
      <w:r>
        <w:rPr>
          <w:color w:val="000000"/>
          <w:lang w:val="mi-NZ"/>
        </w:rPr>
        <w:t>rticle 14 and shall ensure in its legal system that the victim of an act of torture obtains redress and has</w:t>
      </w:r>
      <w:r>
        <w:rPr>
          <w:color w:val="000000"/>
          <w:lang w:val="mi-NZ"/>
        </w:rPr>
        <w:t xml:space="preserve"> an enforceable right to fair and adequate compensation under the Convention Against Torture, including the means for as full rehabilitation as possible. In the event of the death of the victim as a result of an act of torture, his dependants shall be enti</w:t>
      </w:r>
      <w:r>
        <w:rPr>
          <w:color w:val="000000"/>
          <w:lang w:val="mi-NZ"/>
        </w:rPr>
        <w:t>tled to compensation. (paragraph 31, page 10)</w:t>
      </w:r>
    </w:p>
    <w:p w:rsidR="007374E3" w:rsidRDefault="007374E3">
      <w:pPr>
        <w:pStyle w:val="ListParagraph"/>
        <w:ind w:left="927"/>
        <w:rPr>
          <w:color w:val="000000"/>
          <w:lang w:val="mi-NZ"/>
        </w:rPr>
      </w:pPr>
    </w:p>
    <w:p w:rsidR="007374E3" w:rsidRDefault="00DE1821">
      <w:pPr>
        <w:pStyle w:val="ListParagraph"/>
        <w:ind w:left="927"/>
      </w:pPr>
      <w:r>
        <w:t>3.1 The Committee urges the New Zealand State Party makes the two UNCAT decisions concerning Zentveld and Richards widely known so as to prevent similar violations of the Convention Against Torture in the futu</w:t>
      </w:r>
      <w:r>
        <w:t>re. (paragraph 41, page 12)</w:t>
      </w:r>
    </w:p>
    <w:p w:rsidR="007374E3" w:rsidRDefault="007374E3">
      <w:pPr>
        <w:pStyle w:val="ListParagraph"/>
        <w:ind w:left="927"/>
      </w:pPr>
    </w:p>
    <w:p w:rsidR="007374E3" w:rsidRDefault="00DE1821">
      <w:pPr>
        <w:pStyle w:val="ListParagraph"/>
        <w:ind w:left="927"/>
      </w:pPr>
      <w:r>
        <w:t>3.2 The New Zealand State should ensure the Medical and Nursing Councils, the Psychologist Board and Royal Australian and New Zealand College of Psychiatrists inform their members of the two UNCAT decisions concerning Lake Alic</w:t>
      </w:r>
      <w:r>
        <w:t>e. This is in line with Point 11 (c) “with a view to preventing similar violations of the convention in the future.” Each of these professional bodies have a disciplinary role and have never taken any action concerning the psychiatrist, the nurses and psyc</w:t>
      </w:r>
      <w:r>
        <w:t>hologists who were staff at the Lake Alice Child and Adolescent Unit. (paragraph 42, page 12)</w:t>
      </w:r>
    </w:p>
    <w:p w:rsidR="007374E3" w:rsidRDefault="007374E3">
      <w:pPr>
        <w:pStyle w:val="ListParagraph"/>
        <w:ind w:left="1647"/>
      </w:pPr>
    </w:p>
    <w:p w:rsidR="007374E3" w:rsidRDefault="00DE1821">
      <w:pPr>
        <w:pStyle w:val="ListParagraph"/>
        <w:ind w:left="927"/>
      </w:pPr>
      <w:r>
        <w:rPr>
          <w:color w:val="000000"/>
          <w:lang w:val="mi-NZ"/>
        </w:rPr>
        <w:t>3.3 The UNCAT decisions should also be made widely known among Ministry of Health executives, District Inspectors and mental health staff. These decisions should</w:t>
      </w:r>
      <w:r>
        <w:rPr>
          <w:color w:val="000000"/>
          <w:lang w:val="mi-NZ"/>
        </w:rPr>
        <w:t xml:space="preserve"> also be made widely known throughout the social workers and staff of Oranga Tamariki (Child Welfare). (paragraph 43, page 12)</w:t>
      </w:r>
    </w:p>
    <w:p w:rsidR="007374E3" w:rsidRDefault="007374E3">
      <w:pPr>
        <w:pStyle w:val="ListParagraph"/>
        <w:ind w:left="927"/>
        <w:rPr>
          <w:color w:val="000000"/>
          <w:lang w:val="mi-NZ"/>
        </w:rPr>
      </w:pPr>
    </w:p>
    <w:p w:rsidR="007374E3" w:rsidRDefault="00DE1821">
      <w:pPr>
        <w:pStyle w:val="ListParagraph"/>
        <w:ind w:left="900"/>
      </w:pPr>
      <w:r>
        <w:t>4  That the Committee supports the new police investigation into alleged accessories to an act of torture after the fact. (parag</w:t>
      </w:r>
      <w:r>
        <w:t>raph 47, page 13)</w:t>
      </w:r>
    </w:p>
    <w:p w:rsidR="007374E3" w:rsidRDefault="007374E3">
      <w:pPr>
        <w:pStyle w:val="ListParagraph"/>
        <w:ind w:left="900"/>
      </w:pPr>
    </w:p>
    <w:p w:rsidR="007374E3" w:rsidRDefault="00DE1821">
      <w:pPr>
        <w:pStyle w:val="ListParagraph"/>
        <w:ind w:left="927"/>
        <w:rPr>
          <w:rFonts w:cstheme="minorHAnsi"/>
        </w:rPr>
      </w:pPr>
      <w:r>
        <w:rPr>
          <w:rFonts w:cstheme="minorHAnsi"/>
        </w:rPr>
        <w:t xml:space="preserve">5  The Committee urges the New Zealand State to commit to eliminating coercive and compulsory psychiatric practices condoned in law, the resolution of which would include the prohibition of forced treatment, including psychotropic drugs </w:t>
      </w:r>
    </w:p>
    <w:p w:rsidR="007374E3" w:rsidRDefault="007374E3">
      <w:pPr>
        <w:pStyle w:val="ListParagraph"/>
        <w:ind w:left="927"/>
        <w:rPr>
          <w:rFonts w:cstheme="minorHAnsi"/>
        </w:rPr>
      </w:pPr>
    </w:p>
    <w:p w:rsidR="007374E3" w:rsidRDefault="00DE1821">
      <w:pPr>
        <w:pStyle w:val="ListParagraph"/>
        <w:ind w:left="927"/>
        <w:rPr>
          <w:rFonts w:cstheme="minorHAnsi"/>
        </w:rPr>
      </w:pPr>
      <w:r>
        <w:rPr>
          <w:rFonts w:cstheme="minorHAnsi"/>
        </w:rPr>
        <w:lastRenderedPageBreak/>
        <w:tab/>
      </w:r>
      <w:r>
        <w:rPr>
          <w:rFonts w:cstheme="minorHAnsi"/>
        </w:rPr>
        <w:tab/>
      </w:r>
      <w:r>
        <w:rPr>
          <w:rFonts w:cstheme="minorHAnsi"/>
        </w:rPr>
        <w:tab/>
      </w:r>
      <w:r>
        <w:rPr>
          <w:rFonts w:cstheme="minorHAnsi"/>
        </w:rPr>
        <w:tab/>
      </w:r>
      <w:r>
        <w:rPr>
          <w:rFonts w:cstheme="minorHAnsi"/>
        </w:rPr>
        <w:tab/>
        <w:t>3</w:t>
      </w:r>
    </w:p>
    <w:p w:rsidR="007374E3" w:rsidRDefault="007374E3">
      <w:pPr>
        <w:pStyle w:val="ListParagraph"/>
        <w:ind w:left="927"/>
        <w:rPr>
          <w:rFonts w:cstheme="minorHAnsi"/>
        </w:rPr>
      </w:pPr>
    </w:p>
    <w:p w:rsidR="007374E3" w:rsidRDefault="00DE1821">
      <w:pPr>
        <w:pStyle w:val="ListParagraph"/>
        <w:ind w:left="927"/>
        <w:rPr>
          <w:rFonts w:cstheme="minorHAnsi"/>
        </w:rPr>
      </w:pPr>
      <w:r>
        <w:rPr>
          <w:rFonts w:cstheme="minorHAnsi"/>
        </w:rPr>
        <w:t>without informed consent, electroshock, psychosurgery and the use of mechanical and chemical restraints. (paragraph 79, page 20)</w:t>
      </w:r>
    </w:p>
    <w:p w:rsidR="007374E3" w:rsidRDefault="007374E3">
      <w:pPr>
        <w:pStyle w:val="ListParagraph"/>
        <w:ind w:left="927"/>
        <w:rPr>
          <w:color w:val="000000"/>
          <w:lang w:val="mi-NZ"/>
        </w:rPr>
      </w:pPr>
    </w:p>
    <w:p w:rsidR="007374E3" w:rsidRDefault="007374E3">
      <w:pPr>
        <w:pStyle w:val="ListParagraph"/>
        <w:rPr>
          <w:lang w:val="mi-NZ"/>
        </w:rPr>
      </w:pPr>
    </w:p>
    <w:p w:rsidR="007374E3" w:rsidRDefault="007374E3">
      <w:pPr>
        <w:rPr>
          <w:lang w:val="mi-NZ"/>
        </w:rPr>
      </w:pPr>
    </w:p>
    <w:p w:rsidR="007374E3" w:rsidRDefault="00DE1821">
      <w:pPr>
        <w:pStyle w:val="Heading2"/>
        <w:rPr>
          <w:rFonts w:ascii="Calibri" w:hAnsi="Calibri"/>
          <w:b/>
          <w:bCs/>
          <w:color w:val="000000"/>
        </w:rPr>
      </w:pPr>
      <w:r>
        <w:rPr>
          <w:rFonts w:ascii="Calibri" w:hAnsi="Calibri"/>
          <w:b/>
          <w:bCs/>
          <w:color w:val="000000"/>
        </w:rPr>
        <w:t xml:space="preserve">Investigation - 11 (a) of UN Committee Against Torture Zentveld decision </w:t>
      </w:r>
    </w:p>
    <w:p w:rsidR="007374E3" w:rsidRDefault="00DE1821">
      <w:pPr>
        <w:rPr>
          <w:lang w:val="mi-NZ"/>
        </w:rPr>
      </w:pPr>
      <w:r>
        <w:rPr>
          <w:lang w:val="mi-NZ"/>
        </w:rPr>
        <w:tab/>
        <w:t xml:space="preserve">   </w:t>
      </w:r>
    </w:p>
    <w:p w:rsidR="007374E3" w:rsidRDefault="00DE1821">
      <w:pPr>
        <w:pStyle w:val="ListParagraph"/>
        <w:numPr>
          <w:ilvl w:val="0"/>
          <w:numId w:val="1"/>
        </w:numPr>
      </w:pPr>
      <w:r>
        <w:rPr>
          <w:color w:val="000000"/>
          <w:lang w:val="mi-NZ"/>
        </w:rPr>
        <w:t xml:space="preserve">The UN Committee Against Torture’s </w:t>
      </w:r>
      <w:r>
        <w:rPr>
          <w:color w:val="000000"/>
          <w:lang w:val="mi-NZ"/>
        </w:rPr>
        <w:t>two decisions against the State Party,    finding in each case that articles 12, 13 and 14 of the Convention had been breached (</w:t>
      </w:r>
      <w:bookmarkStart w:id="1" w:name="_Hlk134466613"/>
      <w:r>
        <w:rPr>
          <w:color w:val="000000"/>
        </w:rPr>
        <w:t xml:space="preserve">CAT/C/68/D/852/2017 </w:t>
      </w:r>
      <w:bookmarkEnd w:id="1"/>
      <w:r>
        <w:rPr>
          <w:color w:val="000000"/>
        </w:rPr>
        <w:t>and CAT/C/73/D/934/2019). More than three years have passed since the first decision and over one year since</w:t>
      </w:r>
      <w:r>
        <w:rPr>
          <w:color w:val="000000"/>
        </w:rPr>
        <w:t xml:space="preserve"> the second decision.</w:t>
      </w:r>
    </w:p>
    <w:p w:rsidR="007374E3" w:rsidRDefault="00DE1821">
      <w:pPr>
        <w:pStyle w:val="ListParagraph"/>
        <w:rPr>
          <w:color w:val="000000"/>
        </w:rPr>
      </w:pPr>
      <w:r>
        <w:rPr>
          <w:color w:val="000000"/>
        </w:rPr>
        <w:t xml:space="preserve"> </w:t>
      </w:r>
    </w:p>
    <w:p w:rsidR="007374E3" w:rsidRDefault="00DE1821">
      <w:pPr>
        <w:pStyle w:val="ListParagraph"/>
        <w:rPr>
          <w:i/>
          <w:iCs/>
        </w:rPr>
      </w:pPr>
      <w:r>
        <w:rPr>
          <w:i/>
          <w:iCs/>
          <w:color w:val="000000"/>
        </w:rPr>
        <w:tab/>
      </w:r>
      <w:r>
        <w:rPr>
          <w:color w:val="000000"/>
        </w:rPr>
        <w:t>In CAT/C/68/D/852/2017 (the Zentveld decision) the Committee said:</w:t>
      </w:r>
    </w:p>
    <w:p w:rsidR="007374E3" w:rsidRDefault="007374E3">
      <w:pPr>
        <w:pStyle w:val="ListParagraph"/>
        <w:rPr>
          <w:color w:val="000000"/>
        </w:rPr>
      </w:pPr>
    </w:p>
    <w:p w:rsidR="007374E3" w:rsidRDefault="00DE1821">
      <w:pPr>
        <w:pStyle w:val="ListParagraph"/>
        <w:ind w:left="1440"/>
        <w:rPr>
          <w:i/>
          <w:iCs/>
        </w:rPr>
      </w:pPr>
      <w:r>
        <w:rPr>
          <w:i/>
          <w:iCs/>
          <w:color w:val="000000"/>
          <w:lang w:val="en-NZ"/>
        </w:rPr>
        <w:t xml:space="preserve">8.3 </w:t>
      </w:r>
      <w:r>
        <w:rPr>
          <w:i/>
          <w:iCs/>
          <w:color w:val="000000"/>
        </w:rPr>
        <w:t>The Committee notes that the alleged events took place between 1974 and 1977, when the complainant had been admitted to the Child and Adolescent Unit at the La</w:t>
      </w:r>
      <w:r>
        <w:rPr>
          <w:i/>
          <w:iCs/>
          <w:color w:val="000000"/>
        </w:rPr>
        <w:t>ke Alice Psychiatric Hospital, and that the State party’s declaration pursuant to article 22 (1) of the Convention was effective from 10 December 1989. The Committee observes that even though the alleged ill-treatment preceded the adoption and entry into f</w:t>
      </w:r>
      <w:r>
        <w:rPr>
          <w:i/>
          <w:iCs/>
          <w:color w:val="000000"/>
        </w:rPr>
        <w:t>orce of the Convention for the State party, the prohibition of torture and other ill-treatment was nonetheless universally accepted as absolute at that time. The Committee recalls that a State party’s obligations under the Convention apply from the date of</w:t>
      </w:r>
      <w:r>
        <w:rPr>
          <w:i/>
          <w:iCs/>
          <w:color w:val="000000"/>
        </w:rPr>
        <w:t xml:space="preserve"> its entry into force for that State party. However, the Committee can examine alleged violations of procedural obligations under the Convention which occurred before a State party’s ratification or accession to the Convention, or recognition of the Commit</w:t>
      </w:r>
      <w:r>
        <w:rPr>
          <w:i/>
          <w:iCs/>
          <w:color w:val="000000"/>
        </w:rPr>
        <w:t>tee’s competence through its declaration under article 22 and of other obligations that have similar legal effect under the Convention. In that connection, the Committee notes that both the filing of the complaint to the police and their decision not to in</w:t>
      </w:r>
      <w:r>
        <w:rPr>
          <w:i/>
          <w:iCs/>
          <w:color w:val="000000"/>
        </w:rPr>
        <w:t>vestigate Dr. Leeks occurred after the entry into force of article 22 of the Convention for the State party. The Committee therefore considers that, while the acts of ill-treatment occurred between 1974 and 1977, the contested investigation of those acts b</w:t>
      </w:r>
      <w:r>
        <w:rPr>
          <w:i/>
          <w:iCs/>
          <w:color w:val="000000"/>
        </w:rPr>
        <w:t>y the State party is within the Committee’s competence ratione temporis.”</w:t>
      </w:r>
      <w:r>
        <w:rPr>
          <w:rStyle w:val="FootnoteReference"/>
          <w:i/>
          <w:iCs/>
          <w:color w:val="000000"/>
        </w:rPr>
        <w:footnoteReference w:id="1"/>
      </w:r>
    </w:p>
    <w:p w:rsidR="007374E3" w:rsidRDefault="007374E3">
      <w:pPr>
        <w:pStyle w:val="ListParagraph"/>
        <w:ind w:left="927"/>
        <w:rPr>
          <w:color w:val="000000"/>
        </w:rPr>
      </w:pPr>
    </w:p>
    <w:p w:rsidR="007374E3" w:rsidRDefault="00DE1821">
      <w:pPr>
        <w:pStyle w:val="ListParagraph"/>
        <w:ind w:left="927"/>
      </w:pPr>
      <w:r>
        <w:rPr>
          <w:color w:val="000000"/>
        </w:rPr>
        <w:tab/>
      </w:r>
      <w:r>
        <w:rPr>
          <w:color w:val="000000"/>
        </w:rPr>
        <w:tab/>
      </w:r>
      <w:r>
        <w:rPr>
          <w:color w:val="000000"/>
        </w:rPr>
        <w:tab/>
      </w:r>
      <w:r>
        <w:rPr>
          <w:color w:val="000000"/>
        </w:rPr>
        <w:tab/>
      </w:r>
      <w:r>
        <w:rPr>
          <w:color w:val="000000"/>
        </w:rPr>
        <w:tab/>
      </w:r>
    </w:p>
    <w:p w:rsidR="007374E3" w:rsidRDefault="007374E3">
      <w:pPr>
        <w:pStyle w:val="ListParagraph"/>
        <w:ind w:left="927"/>
        <w:rPr>
          <w:color w:val="000000"/>
        </w:rPr>
      </w:pPr>
    </w:p>
    <w:p w:rsidR="007374E3" w:rsidRDefault="007374E3">
      <w:pPr>
        <w:pStyle w:val="ListParagraph"/>
        <w:ind w:left="927"/>
        <w:rPr>
          <w:color w:val="000000"/>
        </w:rPr>
      </w:pPr>
    </w:p>
    <w:p w:rsidR="007374E3" w:rsidRDefault="00DE1821">
      <w:pPr>
        <w:pStyle w:val="ListParagraph"/>
        <w:ind w:left="927"/>
      </w:pPr>
      <w:r>
        <w:rPr>
          <w:color w:val="000000"/>
        </w:rPr>
        <w:tab/>
      </w:r>
      <w:r>
        <w:rPr>
          <w:color w:val="000000"/>
        </w:rPr>
        <w:tab/>
      </w:r>
      <w:r>
        <w:rPr>
          <w:color w:val="000000"/>
        </w:rPr>
        <w:tab/>
      </w:r>
      <w:r>
        <w:rPr>
          <w:color w:val="000000"/>
        </w:rPr>
        <w:tab/>
      </w:r>
      <w:r>
        <w:rPr>
          <w:color w:val="000000"/>
        </w:rPr>
        <w:tab/>
        <w:t>4</w:t>
      </w:r>
    </w:p>
    <w:p w:rsidR="007374E3" w:rsidRDefault="007374E3">
      <w:pPr>
        <w:pStyle w:val="ListParagraph"/>
        <w:ind w:left="927"/>
        <w:rPr>
          <w:color w:val="000000"/>
        </w:rPr>
      </w:pPr>
    </w:p>
    <w:p w:rsidR="007374E3" w:rsidRDefault="00DE1821">
      <w:pPr>
        <w:pStyle w:val="ListParagraph"/>
        <w:ind w:left="927"/>
      </w:pPr>
      <w:r>
        <w:rPr>
          <w:color w:val="000000"/>
        </w:rPr>
        <w:t xml:space="preserve">The first and key point is that the prohibition of torture and other ill-treatment was universally accepted as absolute relating to the torture and other ill-treatment occurring between 1974 and </w:t>
      </w:r>
      <w:r>
        <w:rPr>
          <w:color w:val="000000"/>
          <w:lang w:val="en-NZ"/>
        </w:rPr>
        <w:t>1977</w:t>
      </w:r>
      <w:r>
        <w:rPr>
          <w:color w:val="000000"/>
        </w:rPr>
        <w:t xml:space="preserve">. </w:t>
      </w:r>
    </w:p>
    <w:p w:rsidR="007374E3" w:rsidRDefault="007374E3">
      <w:pPr>
        <w:pStyle w:val="ListParagraph"/>
        <w:ind w:left="927"/>
        <w:rPr>
          <w:color w:val="000000"/>
        </w:rPr>
      </w:pPr>
    </w:p>
    <w:p w:rsidR="007374E3" w:rsidRDefault="00DE1821">
      <w:pPr>
        <w:pStyle w:val="ListParagraph"/>
        <w:ind w:left="927"/>
      </w:pPr>
      <w:r>
        <w:rPr>
          <w:color w:val="000000"/>
        </w:rPr>
        <w:t>The second point is that the Committee can examine al</w:t>
      </w:r>
      <w:r>
        <w:rPr>
          <w:color w:val="000000"/>
        </w:rPr>
        <w:t xml:space="preserve">leged violations of procedural obligations under the Convention which occurred before New Zealand’s ratification or accession to the Convention, or recognition of the Committee’s competence through its declaration under </w:t>
      </w:r>
      <w:r>
        <w:rPr>
          <w:color w:val="000000"/>
          <w:lang w:val="en-NZ"/>
        </w:rPr>
        <w:t>a</w:t>
      </w:r>
      <w:r>
        <w:rPr>
          <w:color w:val="000000"/>
        </w:rPr>
        <w:t xml:space="preserve">rticle 22 and of other obligations </w:t>
      </w:r>
      <w:r>
        <w:rPr>
          <w:color w:val="000000"/>
        </w:rPr>
        <w:t xml:space="preserve">that have similar legal effect under the Convention Against Torture. </w:t>
      </w:r>
    </w:p>
    <w:p w:rsidR="007374E3" w:rsidRDefault="007374E3">
      <w:pPr>
        <w:pStyle w:val="ListParagraph"/>
        <w:ind w:left="927"/>
      </w:pPr>
    </w:p>
    <w:p w:rsidR="007374E3" w:rsidRDefault="00DE1821">
      <w:pPr>
        <w:pStyle w:val="ListParagraph"/>
        <w:numPr>
          <w:ilvl w:val="0"/>
          <w:numId w:val="1"/>
        </w:numPr>
      </w:pPr>
      <w:r>
        <w:rPr>
          <w:color w:val="000000"/>
        </w:rPr>
        <w:t xml:space="preserve">In the Zentveld decision the </w:t>
      </w:r>
      <w:bookmarkStart w:id="2" w:name="_Hlk133130992"/>
      <w:r>
        <w:rPr>
          <w:color w:val="000000"/>
        </w:rPr>
        <w:t>UN Committee Against Tortur</w:t>
      </w:r>
      <w:bookmarkEnd w:id="2"/>
      <w:r>
        <w:rPr>
          <w:color w:val="000000"/>
        </w:rPr>
        <w:t>e stated:</w:t>
      </w:r>
    </w:p>
    <w:p w:rsidR="007374E3" w:rsidRDefault="007374E3">
      <w:pPr>
        <w:rPr>
          <w:rFonts w:ascii="Calibri" w:hAnsi="Calibri"/>
          <w:color w:val="000000"/>
        </w:rPr>
      </w:pPr>
    </w:p>
    <w:p w:rsidR="007374E3" w:rsidRDefault="00DE1821">
      <w:pPr>
        <w:rPr>
          <w:color w:val="C9211E"/>
        </w:rPr>
      </w:pPr>
      <w:r>
        <w:tab/>
      </w:r>
      <w:r>
        <w:tab/>
      </w:r>
      <w:r>
        <w:rPr>
          <w:i/>
          <w:iCs/>
        </w:rPr>
        <w:t>11. The Committee urges the State party to:</w:t>
      </w:r>
    </w:p>
    <w:p w:rsidR="007374E3" w:rsidRDefault="00DE1821">
      <w:pPr>
        <w:rPr>
          <w:color w:val="C9211E"/>
        </w:rPr>
      </w:pPr>
      <w:r>
        <w:rPr>
          <w:i/>
          <w:iCs/>
        </w:rPr>
        <w:tab/>
      </w:r>
      <w:r>
        <w:rPr>
          <w:i/>
          <w:iCs/>
        </w:rPr>
        <w:tab/>
        <w:t>(a) Conduct a prompt, impartial and independent investigation into all</w:t>
      </w:r>
    </w:p>
    <w:p w:rsidR="007374E3" w:rsidRDefault="00DE1821">
      <w:pPr>
        <w:rPr>
          <w:i/>
          <w:iCs/>
        </w:rPr>
      </w:pPr>
      <w:r>
        <w:rPr>
          <w:i/>
          <w:iCs/>
        </w:rPr>
        <w:tab/>
      </w:r>
      <w:r>
        <w:rPr>
          <w:i/>
          <w:iCs/>
        </w:rPr>
        <w:tab/>
        <w:t xml:space="preserve">allegations of torture and ill-treatment made by the complainant including, </w:t>
      </w:r>
      <w:r>
        <w:rPr>
          <w:i/>
          <w:iCs/>
        </w:rPr>
        <w:tab/>
      </w:r>
      <w:r>
        <w:rPr>
          <w:i/>
          <w:iCs/>
        </w:rPr>
        <w:tab/>
        <w:t xml:space="preserve">where appropriate, the filing of specific torture and/or ill-treatment charges </w:t>
      </w:r>
      <w:r>
        <w:rPr>
          <w:i/>
          <w:iCs/>
        </w:rPr>
        <w:tab/>
      </w:r>
      <w:r>
        <w:rPr>
          <w:i/>
          <w:iCs/>
        </w:rPr>
        <w:tab/>
        <w:t xml:space="preserve">against the perpetrators and the application of the corresponding penalties </w:t>
      </w:r>
      <w:r>
        <w:rPr>
          <w:i/>
          <w:iCs/>
        </w:rPr>
        <w:tab/>
      </w:r>
      <w:r>
        <w:rPr>
          <w:i/>
          <w:iCs/>
        </w:rPr>
        <w:tab/>
        <w:t>under domestic l</w:t>
      </w:r>
      <w:r>
        <w:rPr>
          <w:i/>
          <w:iCs/>
        </w:rPr>
        <w:t>aw;</w:t>
      </w:r>
    </w:p>
    <w:p w:rsidR="007374E3" w:rsidRDefault="00DE1821">
      <w:pPr>
        <w:rPr>
          <w:color w:val="C9211E"/>
        </w:rPr>
      </w:pPr>
      <w:r>
        <w:rPr>
          <w:i/>
          <w:iCs/>
        </w:rPr>
        <w:tab/>
      </w:r>
      <w:r>
        <w:rPr>
          <w:i/>
          <w:iCs/>
        </w:rPr>
        <w:tab/>
        <w:t>(b) Provide the complainant with access to appropriate redress, including fair</w:t>
      </w:r>
    </w:p>
    <w:p w:rsidR="007374E3" w:rsidRDefault="00DE1821">
      <w:pPr>
        <w:rPr>
          <w:color w:val="C9211E"/>
        </w:rPr>
      </w:pPr>
      <w:r>
        <w:rPr>
          <w:i/>
          <w:iCs/>
        </w:rPr>
        <w:tab/>
      </w:r>
      <w:r>
        <w:rPr>
          <w:i/>
          <w:iCs/>
        </w:rPr>
        <w:tab/>
        <w:t xml:space="preserve">compensation and access to the truth, in line with the outcome of the </w:t>
      </w:r>
      <w:r>
        <w:rPr>
          <w:i/>
          <w:iCs/>
        </w:rPr>
        <w:tab/>
      </w:r>
      <w:r>
        <w:rPr>
          <w:i/>
          <w:iCs/>
        </w:rPr>
        <w:tab/>
      </w:r>
      <w:r>
        <w:rPr>
          <w:i/>
          <w:iCs/>
        </w:rPr>
        <w:tab/>
        <w:t>investigation;</w:t>
      </w:r>
    </w:p>
    <w:p w:rsidR="007374E3" w:rsidRDefault="00DE1821">
      <w:pPr>
        <w:rPr>
          <w:i/>
          <w:iCs/>
        </w:rPr>
      </w:pPr>
      <w:r>
        <w:rPr>
          <w:i/>
          <w:iCs/>
        </w:rPr>
        <w:tab/>
      </w:r>
      <w:r>
        <w:rPr>
          <w:i/>
          <w:iCs/>
        </w:rPr>
        <w:tab/>
        <w:t xml:space="preserve">(c) Make public the present decision and disseminate its content widely, with </w:t>
      </w:r>
      <w:r>
        <w:rPr>
          <w:i/>
          <w:iCs/>
        </w:rPr>
        <w:tab/>
      </w:r>
      <w:r>
        <w:rPr>
          <w:i/>
          <w:iCs/>
        </w:rPr>
        <w:tab/>
        <w:t>a view to preventing similar violations of the Convention in the future</w:t>
      </w:r>
      <w:r>
        <w:rPr>
          <w:i/>
          <w:iCs/>
          <w:color w:val="000000"/>
        </w:rPr>
        <w:t>.</w:t>
      </w:r>
      <w:r>
        <w:rPr>
          <w:rStyle w:val="FootnoteReference"/>
          <w:i/>
          <w:iCs/>
          <w:color w:val="000000"/>
        </w:rPr>
        <w:footnoteReference w:id="2"/>
      </w:r>
    </w:p>
    <w:p w:rsidR="007374E3" w:rsidRDefault="007374E3"/>
    <w:p w:rsidR="007374E3" w:rsidRDefault="007374E3">
      <w:pPr>
        <w:pStyle w:val="Heading2"/>
        <w:rPr>
          <w:rFonts w:ascii="Calibri" w:hAnsi="Calibri"/>
          <w:b/>
          <w:bCs/>
          <w:color w:val="000000"/>
        </w:rPr>
      </w:pPr>
      <w:bookmarkStart w:id="3" w:name="_Hlk133139301"/>
      <w:bookmarkEnd w:id="3"/>
    </w:p>
    <w:p w:rsidR="007374E3" w:rsidRDefault="00DE1821">
      <w:pPr>
        <w:pStyle w:val="Heading3"/>
        <w:rPr>
          <w:rFonts w:ascii="Calibri" w:hAnsi="Calibri"/>
          <w:color w:val="000000"/>
        </w:rPr>
      </w:pPr>
      <w:r>
        <w:rPr>
          <w:rFonts w:ascii="Calibri" w:hAnsi="Calibri"/>
          <w:color w:val="000000"/>
        </w:rPr>
        <w:t>The delay in prompt investigation before the 2020 Zentveld decision of the UN Committee Against Torture</w:t>
      </w:r>
    </w:p>
    <w:p w:rsidR="007374E3" w:rsidRDefault="007374E3"/>
    <w:p w:rsidR="007374E3" w:rsidRDefault="00DE1821">
      <w:pPr>
        <w:pStyle w:val="ListParagraph"/>
        <w:numPr>
          <w:ilvl w:val="0"/>
          <w:numId w:val="1"/>
        </w:numPr>
      </w:pPr>
      <w:r>
        <w:rPr>
          <w:color w:val="000000"/>
        </w:rPr>
        <w:t xml:space="preserve">Obviously, no investigation of allegations made decades before or conducted since the Zentveld decision in January 2020 by the </w:t>
      </w:r>
      <w:bookmarkStart w:id="4" w:name="_Hlk133135875"/>
      <w:r>
        <w:rPr>
          <w:color w:val="000000"/>
        </w:rPr>
        <w:t xml:space="preserve">UN Committee Against Torture </w:t>
      </w:r>
      <w:bookmarkEnd w:id="4"/>
      <w:r>
        <w:rPr>
          <w:color w:val="000000"/>
        </w:rPr>
        <w:t xml:space="preserve">can possibly meet the “prompt” criteria of the CAT. </w:t>
      </w:r>
    </w:p>
    <w:p w:rsidR="007374E3" w:rsidRDefault="007374E3">
      <w:pPr>
        <w:pStyle w:val="ListParagraph"/>
        <w:ind w:left="927"/>
        <w:rPr>
          <w:color w:val="000000"/>
        </w:rPr>
      </w:pPr>
    </w:p>
    <w:p w:rsidR="007374E3" w:rsidRDefault="00DE1821">
      <w:pPr>
        <w:pStyle w:val="ListParagraph"/>
        <w:numPr>
          <w:ilvl w:val="0"/>
          <w:numId w:val="1"/>
        </w:numPr>
      </w:pPr>
      <w:r>
        <w:rPr>
          <w:color w:val="000000"/>
        </w:rPr>
        <w:t>The inadequacy of the State's investigations b</w:t>
      </w:r>
      <w:r>
        <w:rPr>
          <w:color w:val="000000"/>
        </w:rPr>
        <w:t xml:space="preserve">efore the Zentveld decision is demonstrated by the outcomes of the December 2021 New Zealand Police decisions and the investigation that led to those decisions. All of the other investigations and inquiries failed to get to the truth of what happened. </w:t>
      </w:r>
    </w:p>
    <w:p w:rsidR="007374E3" w:rsidRDefault="007374E3">
      <w:pPr>
        <w:pStyle w:val="ListParagraph"/>
        <w:ind w:left="927"/>
        <w:rPr>
          <w:color w:val="000000"/>
        </w:rPr>
      </w:pPr>
    </w:p>
    <w:p w:rsidR="007374E3" w:rsidRDefault="00DE1821">
      <w:pPr>
        <w:pStyle w:val="ListParagraph"/>
        <w:numPr>
          <w:ilvl w:val="0"/>
          <w:numId w:val="1"/>
        </w:numPr>
      </w:pPr>
      <w:r>
        <w:rPr>
          <w:color w:val="000000"/>
        </w:rPr>
        <w:t>Th</w:t>
      </w:r>
      <w:r>
        <w:rPr>
          <w:color w:val="000000"/>
        </w:rPr>
        <w:t xml:space="preserve">e December 2021 New Zealand police decisions in relation to its investigation of abuse in </w:t>
      </w:r>
      <w:bookmarkStart w:id="5" w:name="_Hlk133137298"/>
      <w:r>
        <w:rPr>
          <w:color w:val="000000"/>
        </w:rPr>
        <w:t xml:space="preserve">the Lake Alice Child and Adolescent Unit </w:t>
      </w:r>
      <w:bookmarkEnd w:id="5"/>
      <w:r>
        <w:rPr>
          <w:color w:val="000000"/>
        </w:rPr>
        <w:t>are all the evidence that is needed to establish that an earlier investigation would have found that the abuse of children in</w:t>
      </w:r>
      <w:r>
        <w:rPr>
          <w:color w:val="000000"/>
        </w:rPr>
        <w:t xml:space="preserve"> the Lake Alice Child and Adolescent Unit was a criminal matter. (See later section on New Zealand police investigation.) </w:t>
      </w:r>
    </w:p>
    <w:p w:rsidR="007374E3" w:rsidRDefault="007374E3">
      <w:pPr>
        <w:pStyle w:val="ListParagraph"/>
        <w:rPr>
          <w:color w:val="000000"/>
        </w:rPr>
      </w:pPr>
    </w:p>
    <w:p w:rsidR="007374E3" w:rsidRDefault="007374E3">
      <w:pPr>
        <w:pStyle w:val="ListParagraph"/>
        <w:ind w:left="927"/>
        <w:rPr>
          <w:color w:val="000000"/>
        </w:rPr>
      </w:pPr>
    </w:p>
    <w:p w:rsidR="007374E3" w:rsidRDefault="00DE1821">
      <w:pPr>
        <w:pStyle w:val="ListParagraph"/>
        <w:ind w:left="4320"/>
      </w:pPr>
      <w:r>
        <w:rPr>
          <w:color w:val="000000"/>
        </w:rPr>
        <w:t>5</w:t>
      </w:r>
    </w:p>
    <w:p w:rsidR="007374E3" w:rsidRDefault="007374E3">
      <w:pPr>
        <w:pStyle w:val="ListParagraph"/>
        <w:ind w:left="927"/>
        <w:rPr>
          <w:color w:val="000000"/>
        </w:rPr>
      </w:pPr>
    </w:p>
    <w:p w:rsidR="007374E3" w:rsidRDefault="00DE1821">
      <w:pPr>
        <w:pStyle w:val="ListParagraph"/>
        <w:numPr>
          <w:ilvl w:val="0"/>
          <w:numId w:val="1"/>
        </w:numPr>
      </w:pPr>
      <w:r>
        <w:rPr>
          <w:color w:val="000000"/>
        </w:rPr>
        <w:t>This delay caused harm and needs to be considered as part of the redress. There is no possible justification for further delay b</w:t>
      </w:r>
      <w:r>
        <w:rPr>
          <w:color w:val="000000"/>
        </w:rPr>
        <w:t>y the State Party, New Zealand, in providing redress to the survivors of the abuse for this delay and the underlying harm done to the children tortured and the children</w:t>
      </w:r>
      <w:r>
        <w:rPr>
          <w:color w:val="000000"/>
          <w:lang w:val="en-NZ"/>
        </w:rPr>
        <w:t xml:space="preserve"> ill treated </w:t>
      </w:r>
      <w:r>
        <w:rPr>
          <w:color w:val="000000"/>
        </w:rPr>
        <w:t>in the Lake Alice Child and Adolescent Unit.</w:t>
      </w:r>
    </w:p>
    <w:p w:rsidR="007374E3" w:rsidRDefault="007374E3">
      <w:pPr>
        <w:pStyle w:val="ListParagraph"/>
        <w:ind w:left="1647"/>
        <w:rPr>
          <w:color w:val="000000"/>
        </w:rPr>
      </w:pPr>
    </w:p>
    <w:p w:rsidR="007374E3" w:rsidRDefault="00DE1821">
      <w:pPr>
        <w:pStyle w:val="Heading3"/>
      </w:pPr>
      <w:r>
        <w:rPr>
          <w:rFonts w:ascii="Calibri" w:hAnsi="Calibri"/>
          <w:color w:val="000000"/>
        </w:rPr>
        <w:t>Investigations since the 2020</w:t>
      </w:r>
      <w:r>
        <w:rPr>
          <w:rFonts w:ascii="Calibri" w:hAnsi="Calibri"/>
          <w:color w:val="000000"/>
        </w:rPr>
        <w:t xml:space="preserve"> Zentveld decision of the UN Committee Against Torture </w:t>
      </w:r>
    </w:p>
    <w:p w:rsidR="007374E3" w:rsidRDefault="007374E3">
      <w:pPr>
        <w:pStyle w:val="ListParagraph"/>
        <w:rPr>
          <w:color w:val="000000"/>
        </w:rPr>
      </w:pPr>
    </w:p>
    <w:p w:rsidR="007374E3" w:rsidRDefault="00DE1821">
      <w:pPr>
        <w:pStyle w:val="ListParagraph"/>
        <w:numPr>
          <w:ilvl w:val="0"/>
          <w:numId w:val="1"/>
        </w:numPr>
        <w:rPr>
          <w:color w:val="000000"/>
        </w:rPr>
      </w:pPr>
      <w:r>
        <w:rPr>
          <w:color w:val="000000"/>
        </w:rPr>
        <w:t xml:space="preserve">The New Zealand police and the Royal Commission of Inquiry into Abuse in State Care have now separately completed investigations relevant to para 11 (a) of the UN Committee Against Torture decision. </w:t>
      </w:r>
      <w:r>
        <w:rPr>
          <w:color w:val="000000"/>
        </w:rPr>
        <w:t xml:space="preserve">These completed investigations are all that is required to deal with the redress for survivors for the abuse suffered at Lake Alice and the delays in conducting proper investigations by the State Party. </w:t>
      </w:r>
    </w:p>
    <w:p w:rsidR="007374E3" w:rsidRDefault="007374E3">
      <w:pPr>
        <w:pStyle w:val="ListParagraph"/>
        <w:ind w:left="927"/>
        <w:rPr>
          <w:color w:val="000000"/>
        </w:rPr>
      </w:pPr>
    </w:p>
    <w:p w:rsidR="007374E3" w:rsidRDefault="00DE1821">
      <w:pPr>
        <w:pStyle w:val="Heading3"/>
        <w:rPr>
          <w:rFonts w:ascii="Calibri" w:hAnsi="Calibri"/>
          <w:color w:val="000000"/>
        </w:rPr>
      </w:pPr>
      <w:r>
        <w:rPr>
          <w:rFonts w:ascii="Calibri" w:hAnsi="Calibri"/>
          <w:color w:val="000000"/>
        </w:rPr>
        <w:t>The 2020 police Investigation took two years to com</w:t>
      </w:r>
      <w:r>
        <w:rPr>
          <w:rFonts w:ascii="Calibri" w:hAnsi="Calibri"/>
          <w:color w:val="000000"/>
        </w:rPr>
        <w:t>plete</w:t>
      </w:r>
    </w:p>
    <w:p w:rsidR="007374E3" w:rsidRDefault="007374E3">
      <w:pPr>
        <w:rPr>
          <w:rFonts w:ascii="Calibri" w:hAnsi="Calibri"/>
          <w:color w:val="000000"/>
        </w:rPr>
      </w:pPr>
    </w:p>
    <w:p w:rsidR="007374E3" w:rsidRDefault="00DE1821">
      <w:pPr>
        <w:pStyle w:val="ListParagraph"/>
        <w:numPr>
          <w:ilvl w:val="0"/>
          <w:numId w:val="1"/>
        </w:numPr>
        <w:rPr>
          <w:color w:val="000000"/>
        </w:rPr>
      </w:pPr>
      <w:r>
        <w:rPr>
          <w:color w:val="000000"/>
        </w:rPr>
        <w:t xml:space="preserve">The police investigation took two more years from the beginning of 2020, when the Zentveld decision was made by the UN Committee Against Torture. </w:t>
      </w:r>
    </w:p>
    <w:p w:rsidR="007374E3" w:rsidRDefault="007374E3">
      <w:pPr>
        <w:pStyle w:val="ListParagraph"/>
        <w:ind w:left="927"/>
        <w:rPr>
          <w:color w:val="000000"/>
        </w:rPr>
      </w:pPr>
    </w:p>
    <w:p w:rsidR="007374E3" w:rsidRDefault="00DE1821">
      <w:pPr>
        <w:pStyle w:val="ListParagraph"/>
        <w:numPr>
          <w:ilvl w:val="0"/>
          <w:numId w:val="1"/>
        </w:numPr>
        <w:rPr>
          <w:color w:val="000000"/>
        </w:rPr>
      </w:pPr>
      <w:r>
        <w:rPr>
          <w:color w:val="000000"/>
        </w:rPr>
        <w:t>In December 2021 the New Zealand police investigation resulted in charges of cruelty to children bein</w:t>
      </w:r>
      <w:r>
        <w:rPr>
          <w:color w:val="000000"/>
        </w:rPr>
        <w:t xml:space="preserve">g laid against a former charge nurse of the Lake Alice Child and Adolescent Unit who is now in his early 90s. This prosecution is ongoing and the trial begins </w:t>
      </w:r>
      <w:r>
        <w:rPr>
          <w:color w:val="000000"/>
          <w:lang w:val="en-NZ"/>
        </w:rPr>
        <w:t xml:space="preserve">in late </w:t>
      </w:r>
      <w:r>
        <w:rPr>
          <w:color w:val="000000"/>
        </w:rPr>
        <w:t xml:space="preserve">August 2023 and </w:t>
      </w:r>
      <w:r>
        <w:rPr>
          <w:color w:val="000000"/>
          <w:lang w:val="en-NZ"/>
        </w:rPr>
        <w:t xml:space="preserve">could </w:t>
      </w:r>
      <w:r>
        <w:rPr>
          <w:color w:val="000000"/>
        </w:rPr>
        <w:t xml:space="preserve">take </w:t>
      </w:r>
      <w:r>
        <w:rPr>
          <w:color w:val="000000"/>
          <w:lang w:val="en-NZ"/>
        </w:rPr>
        <w:t xml:space="preserve">as long as </w:t>
      </w:r>
      <w:r>
        <w:rPr>
          <w:color w:val="000000"/>
        </w:rPr>
        <w:t xml:space="preserve">eight weeks. </w:t>
      </w:r>
    </w:p>
    <w:p w:rsidR="007374E3" w:rsidRDefault="007374E3">
      <w:pPr>
        <w:pStyle w:val="ListParagraph"/>
        <w:ind w:left="927"/>
        <w:rPr>
          <w:color w:val="000000"/>
        </w:rPr>
      </w:pPr>
    </w:p>
    <w:p w:rsidR="007374E3" w:rsidRDefault="00DE1821">
      <w:pPr>
        <w:pStyle w:val="ListParagraph"/>
        <w:numPr>
          <w:ilvl w:val="0"/>
          <w:numId w:val="1"/>
        </w:numPr>
        <w:rPr>
          <w:color w:val="000000"/>
        </w:rPr>
      </w:pPr>
      <w:r>
        <w:rPr>
          <w:color w:val="000000"/>
        </w:rPr>
        <w:t>The police did not charge Dr Selwyn Leeks who was the psychiatrist in charge of the Lake Alice Child and Adolescent Unit, who for decades faced allegations that he was responsible for acts of abuse, cruelty and torture against his child-adolescent patients</w:t>
      </w:r>
      <w:r>
        <w:rPr>
          <w:color w:val="000000"/>
        </w:rPr>
        <w:t>. At the time the police made the decision to lay charges, Dr Leeks and a former staff nurse were deemed mentally and physically incapacitated and unable to stand trial. In such circumstances the police were unable to lay charges. They did take the unusual</w:t>
      </w:r>
      <w:r>
        <w:rPr>
          <w:color w:val="000000"/>
        </w:rPr>
        <w:t xml:space="preserve"> step to announce that they did have sufficient evidence to lay charges against them (which further highlights the egregiousness of failing to press charges earlier—in 1978 and 2010).  Leeks subsequently passed away in January 2022.  </w:t>
      </w:r>
    </w:p>
    <w:p w:rsidR="007374E3" w:rsidRDefault="007374E3">
      <w:pPr>
        <w:pStyle w:val="ListParagraph"/>
        <w:rPr>
          <w:color w:val="000000"/>
        </w:rPr>
      </w:pPr>
    </w:p>
    <w:p w:rsidR="007374E3" w:rsidRDefault="00DE1821">
      <w:pPr>
        <w:pStyle w:val="ListParagraph"/>
        <w:numPr>
          <w:ilvl w:val="0"/>
          <w:numId w:val="1"/>
        </w:numPr>
      </w:pPr>
      <w:r>
        <w:rPr>
          <w:color w:val="000000"/>
        </w:rPr>
        <w:t>Whether the prosecution of the former charge nurse succeeds or not, the New Zealand Police, as an independent and impartial investigator, had found adequate grounds to prosecute. (This should also have been sufficient grounds to start the redress process f</w:t>
      </w:r>
      <w:r>
        <w:rPr>
          <w:color w:val="000000"/>
        </w:rPr>
        <w:t xml:space="preserve">or the children tortured and ill-treated in the Lake Alice Child and Adolescent Unit.)  The first police investigation was muddied by </w:t>
      </w:r>
      <w:r>
        <w:t>several members of the Royal Australian and NZ College of Psychiatrists who advised two government inquiries that electros</w:t>
      </w:r>
      <w:r>
        <w:t>hock given without anaesthetic and muscle relaxant was justified in certain situations and was “painless.” In a hearing held in 1977, doctors assured a magistrate that “there is instant loss of consciousness when the current is applied, and that when the p</w:t>
      </w:r>
      <w:r>
        <w:t xml:space="preserve">atient recovers consciousness, he </w:t>
      </w:r>
    </w:p>
    <w:p w:rsidR="007374E3" w:rsidRDefault="00DE1821">
      <w:pPr>
        <w:pStyle w:val="ListParagraph"/>
        <w:ind w:left="4320"/>
      </w:pPr>
      <w:r>
        <w:t>6</w:t>
      </w:r>
    </w:p>
    <w:p w:rsidR="007374E3" w:rsidRDefault="007374E3">
      <w:pPr>
        <w:pStyle w:val="ListParagraph"/>
        <w:ind w:left="927"/>
      </w:pPr>
    </w:p>
    <w:p w:rsidR="007374E3" w:rsidRDefault="00DE1821">
      <w:pPr>
        <w:pStyle w:val="ListParagraph"/>
        <w:numPr>
          <w:ilvl w:val="0"/>
          <w:numId w:val="1"/>
        </w:numPr>
      </w:pPr>
      <w:r>
        <w:t xml:space="preserve">cannot remember receiving the treatment.” </w:t>
      </w:r>
      <w:r>
        <w:rPr>
          <w:rStyle w:val="FootnoteReference"/>
        </w:rPr>
        <w:footnoteReference w:id="3"/>
      </w:r>
      <w:r>
        <w:t>The 2021 Royal Commission hearing into Lake Alice heard evidence of the opposite.</w:t>
      </w:r>
    </w:p>
    <w:p w:rsidR="007374E3" w:rsidRDefault="007374E3">
      <w:pPr>
        <w:pStyle w:val="ListParagraph"/>
        <w:ind w:left="1647"/>
        <w:rPr>
          <w:color w:val="000000"/>
        </w:rPr>
      </w:pPr>
    </w:p>
    <w:p w:rsidR="007374E3" w:rsidRDefault="00DE1821">
      <w:pPr>
        <w:pStyle w:val="NormalWeb"/>
        <w:numPr>
          <w:ilvl w:val="0"/>
          <w:numId w:val="1"/>
        </w:numPr>
        <w:rPr>
          <w:rFonts w:asciiTheme="minorHAnsi" w:hAnsiTheme="minorHAnsi" w:cstheme="minorHAnsi"/>
        </w:rPr>
      </w:pPr>
      <w:r>
        <w:rPr>
          <w:rFonts w:asciiTheme="minorHAnsi" w:hAnsiTheme="minorHAnsi" w:cstheme="minorHAnsi"/>
        </w:rPr>
        <w:t>In 1977, psychiatrist David Gilmore McLachlan, a Fellow of the RANZCP, was asked by police t</w:t>
      </w:r>
      <w:r>
        <w:rPr>
          <w:rFonts w:asciiTheme="minorHAnsi" w:hAnsiTheme="minorHAnsi" w:cstheme="minorHAnsi"/>
        </w:rPr>
        <w:t>o review the files of Lake Alice-treated children. In response, McLachlan sent a confidential memo to deputy police commissioner Bob Walton, which amounted to a “staunch defense of Leeks and his methods and that allegations against Leeks and his staff were</w:t>
      </w:r>
      <w:r>
        <w:rPr>
          <w:rFonts w:asciiTheme="minorHAnsi" w:hAnsiTheme="minorHAnsi" w:cstheme="minorHAnsi"/>
        </w:rPr>
        <w:t xml:space="preserve"> unsubstantiated.”</w:t>
      </w:r>
      <w:r>
        <w:rPr>
          <w:rStyle w:val="FootnoteReference"/>
          <w:rFonts w:asciiTheme="minorHAnsi" w:hAnsiTheme="minorHAnsi" w:cstheme="minorHAnsi"/>
        </w:rPr>
        <w:footnoteReference w:id="4"/>
      </w:r>
      <w:r>
        <w:rPr>
          <w:rFonts w:asciiTheme="minorHAnsi" w:hAnsiTheme="minorHAnsi" w:cstheme="minorHAnsi"/>
        </w:rPr>
        <w:t xml:space="preserve"> Because Leeks thought the “newly advocated technique” was appropriate and justified, McLachlan concluded, “his motive in using it </w:t>
      </w:r>
      <w:r>
        <w:rPr>
          <w:rStyle w:val="Emphasis"/>
          <w:rFonts w:asciiTheme="minorHAnsi" w:hAnsiTheme="minorHAnsi" w:cstheme="minorHAnsi"/>
        </w:rPr>
        <w:t>with intended therapeutic benefit cannot justifiably be censured</w:t>
      </w:r>
      <w:r>
        <w:rPr>
          <w:rFonts w:asciiTheme="minorHAnsi" w:hAnsiTheme="minorHAnsi" w:cstheme="minorHAnsi"/>
        </w:rPr>
        <w:t>.” [Emphasis added] Even more egregious, M</w:t>
      </w:r>
      <w:r>
        <w:rPr>
          <w:rFonts w:asciiTheme="minorHAnsi" w:hAnsiTheme="minorHAnsi" w:cstheme="minorHAnsi"/>
        </w:rPr>
        <w:t>cLaughlin blamed the children and adolescents, labelling them as “therapeutically recalcitrant, and morale-destroying,” who “would readily ‘gang up’ against authority.”</w:t>
      </w:r>
      <w:r>
        <w:rPr>
          <w:rStyle w:val="FootnoteReference"/>
          <w:rFonts w:asciiTheme="minorHAnsi" w:hAnsiTheme="minorHAnsi" w:cstheme="minorHAnsi"/>
        </w:rPr>
        <w:footnoteReference w:id="5"/>
      </w:r>
      <w:r>
        <w:rPr>
          <w:rFonts w:asciiTheme="minorHAnsi" w:hAnsiTheme="minorHAnsi" w:cstheme="minorHAnsi"/>
        </w:rPr>
        <w:t xml:space="preserve"> </w:t>
      </w:r>
    </w:p>
    <w:p w:rsidR="007374E3" w:rsidRDefault="007374E3">
      <w:pPr>
        <w:pStyle w:val="NormalWeb"/>
        <w:ind w:left="927"/>
        <w:rPr>
          <w:rFonts w:asciiTheme="minorHAnsi" w:hAnsiTheme="minorHAnsi" w:cstheme="minorHAnsi"/>
        </w:rPr>
      </w:pPr>
    </w:p>
    <w:p w:rsidR="007374E3" w:rsidRDefault="00DE1821">
      <w:pPr>
        <w:pStyle w:val="NormalWeb"/>
        <w:numPr>
          <w:ilvl w:val="0"/>
          <w:numId w:val="1"/>
        </w:numPr>
        <w:rPr>
          <w:rFonts w:asciiTheme="minorHAnsi" w:hAnsiTheme="minorHAnsi" w:cstheme="minorHAnsi"/>
        </w:rPr>
      </w:pPr>
      <w:r>
        <w:rPr>
          <w:rFonts w:asciiTheme="minorHAnsi" w:hAnsiTheme="minorHAnsi" w:cstheme="minorHAnsi"/>
        </w:rPr>
        <w:t>These references are made in the context that little has changed contemporarily as e</w:t>
      </w:r>
      <w:r>
        <w:rPr>
          <w:rFonts w:asciiTheme="minorHAnsi" w:hAnsiTheme="minorHAnsi" w:cstheme="minorHAnsi"/>
        </w:rPr>
        <w:t>lectroshock therapy is still administered without consent, which is addressed later.</w:t>
      </w:r>
    </w:p>
    <w:p w:rsidR="007374E3" w:rsidRDefault="007374E3">
      <w:pPr>
        <w:pStyle w:val="NormalWeb"/>
        <w:ind w:left="927"/>
        <w:rPr>
          <w:rFonts w:asciiTheme="minorHAnsi" w:hAnsiTheme="minorHAnsi" w:cstheme="minorHAnsi"/>
        </w:rPr>
      </w:pPr>
    </w:p>
    <w:p w:rsidR="007374E3" w:rsidRDefault="00DE1821">
      <w:pPr>
        <w:pStyle w:val="NormalWeb"/>
        <w:numPr>
          <w:ilvl w:val="0"/>
          <w:numId w:val="1"/>
        </w:numPr>
        <w:rPr>
          <w:rFonts w:ascii="Calibri" w:hAnsi="Calibri"/>
        </w:rPr>
      </w:pPr>
      <w:r>
        <w:rPr>
          <w:rFonts w:ascii="Calibri" w:hAnsi="Calibri"/>
          <w:color w:val="000000"/>
        </w:rPr>
        <w:t>The 2021 police decisions are all the evidence that is needed to establish that an earlier investigation would have found that the abuse of children in the Lake Alice Chi</w:t>
      </w:r>
      <w:r>
        <w:rPr>
          <w:rFonts w:ascii="Calibri" w:hAnsi="Calibri"/>
          <w:color w:val="000000"/>
        </w:rPr>
        <w:t xml:space="preserve">ld and Adolescent Unit was a criminal matter. </w:t>
      </w:r>
    </w:p>
    <w:p w:rsidR="007374E3" w:rsidRDefault="007374E3">
      <w:pPr>
        <w:pStyle w:val="ListParagraph"/>
        <w:rPr>
          <w:color w:val="000000"/>
        </w:rPr>
      </w:pPr>
    </w:p>
    <w:p w:rsidR="007374E3" w:rsidRDefault="007374E3">
      <w:pPr>
        <w:rPr>
          <w:color w:val="000000"/>
        </w:rPr>
      </w:pPr>
    </w:p>
    <w:p w:rsidR="007374E3" w:rsidRDefault="00DE1821">
      <w:pPr>
        <w:pStyle w:val="Heading3"/>
        <w:rPr>
          <w:rFonts w:ascii="Calibri" w:hAnsi="Calibri"/>
          <w:color w:val="000000"/>
        </w:rPr>
      </w:pPr>
      <w:r>
        <w:rPr>
          <w:rFonts w:ascii="Calibri" w:hAnsi="Calibri"/>
          <w:color w:val="000000"/>
        </w:rPr>
        <w:t>The Royal Commission of Inquiry into Abuse in State Care</w:t>
      </w:r>
    </w:p>
    <w:p w:rsidR="007374E3" w:rsidRDefault="007374E3"/>
    <w:p w:rsidR="007374E3" w:rsidRDefault="00DE1821">
      <w:pPr>
        <w:pStyle w:val="ListParagraph"/>
        <w:numPr>
          <w:ilvl w:val="0"/>
          <w:numId w:val="1"/>
        </w:numPr>
      </w:pPr>
      <w:r>
        <w:rPr>
          <w:color w:val="000000"/>
        </w:rPr>
        <w:t>The Royal Commission of Inquiry into Abuse in State Care was announced in February 2018, a year after we filed a formal complaint against the New Zea</w:t>
      </w:r>
      <w:r>
        <w:rPr>
          <w:color w:val="000000"/>
        </w:rPr>
        <w:t xml:space="preserve">land State on behalf of Paul Zentveld with the CAT. The Royal Commission’s Terms of Reference were agreed in November 2019.  </w:t>
      </w:r>
      <w:r>
        <w:rPr>
          <w:color w:val="000000"/>
          <w:lang w:val="en-NZ"/>
        </w:rPr>
        <w:t xml:space="preserve">An overview of the Royal Commission’s investigations can be seen </w:t>
      </w:r>
      <w:hyperlink r:id="rId10">
        <w:r>
          <w:rPr>
            <w:rStyle w:val="Hyperlink1"/>
            <w:lang w:val="en-NZ"/>
          </w:rPr>
          <w:t>h</w:t>
        </w:r>
        <w:r>
          <w:rPr>
            <w:rStyle w:val="Hyperlink1"/>
            <w:lang w:val="en-NZ"/>
          </w:rPr>
          <w:t>ere</w:t>
        </w:r>
      </w:hyperlink>
      <w:r>
        <w:rPr>
          <w:color w:val="000000"/>
          <w:lang w:val="en-NZ"/>
        </w:rPr>
        <w:t>.</w:t>
      </w:r>
    </w:p>
    <w:p w:rsidR="007374E3" w:rsidRDefault="007374E3">
      <w:pPr>
        <w:pStyle w:val="ListParagraph"/>
        <w:ind w:left="927"/>
        <w:rPr>
          <w:color w:val="000000"/>
          <w:lang w:val="en-NZ"/>
        </w:rPr>
      </w:pPr>
    </w:p>
    <w:p w:rsidR="007374E3" w:rsidRDefault="00DE1821">
      <w:pPr>
        <w:pStyle w:val="ListParagraph"/>
        <w:numPr>
          <w:ilvl w:val="0"/>
          <w:numId w:val="1"/>
        </w:numPr>
      </w:pPr>
      <w:r>
        <w:rPr>
          <w:lang w:val="mi-NZ"/>
        </w:rPr>
        <w:t xml:space="preserve">The  investigation into “Abuse in State Psychiatric Care” investigated </w:t>
      </w:r>
      <w:r>
        <w:rPr>
          <w:rFonts w:eastAsia="Calibri" w:cs="Calibri"/>
          <w:lang w:val="en-AU"/>
        </w:rPr>
        <w:t xml:space="preserve">the abuse of children, young persons and vulnerable adults in State </w:t>
      </w:r>
      <w:r>
        <w:rPr>
          <w:rFonts w:eastAsia="Calibri" w:cs="Calibri"/>
        </w:rPr>
        <w:t>psychiatric care in New Zealand. During the course of this investigation the Royal Commission selected the Lake</w:t>
      </w:r>
      <w:r>
        <w:rPr>
          <w:rFonts w:eastAsia="Calibri" w:cs="Calibri"/>
        </w:rPr>
        <w:t xml:space="preserve"> Alice Child and Adolescent Unit as an institution to be a case study of abuse in psychiatric care throughout the country. </w:t>
      </w:r>
    </w:p>
    <w:p w:rsidR="007374E3" w:rsidRDefault="007374E3">
      <w:pPr>
        <w:pStyle w:val="ListParagraph"/>
        <w:ind w:left="927"/>
        <w:rPr>
          <w:rFonts w:eastAsia="Calibri" w:cs="Calibri"/>
        </w:rPr>
      </w:pPr>
    </w:p>
    <w:p w:rsidR="007374E3" w:rsidRDefault="00DE1821">
      <w:pPr>
        <w:pStyle w:val="ListParagraph"/>
        <w:ind w:left="4320"/>
      </w:pPr>
      <w:r>
        <w:rPr>
          <w:rFonts w:eastAsia="Calibri" w:cs="Calibri"/>
        </w:rPr>
        <w:t>7</w:t>
      </w:r>
    </w:p>
    <w:p w:rsidR="007374E3" w:rsidRDefault="007374E3">
      <w:pPr>
        <w:pStyle w:val="ListParagraph"/>
        <w:ind w:left="927"/>
        <w:rPr>
          <w:rFonts w:eastAsia="Calibri" w:cs="Calibri"/>
        </w:rPr>
      </w:pPr>
    </w:p>
    <w:p w:rsidR="007374E3" w:rsidRDefault="00DE1821">
      <w:pPr>
        <w:pStyle w:val="ListParagraph"/>
        <w:numPr>
          <w:ilvl w:val="0"/>
          <w:numId w:val="1"/>
        </w:numPr>
      </w:pPr>
      <w:r>
        <w:rPr>
          <w:rFonts w:eastAsia="Calibri" w:cs="Calibri"/>
        </w:rPr>
        <w:t>In December 2022, more than forty years after what occurred at the Lake Alice Child and Adolescent Unit, the Royal Commission concluded its full investigation into the Unit. In June 2021 they held a two-week public hearing where, for the first time, surviv</w:t>
      </w:r>
      <w:r>
        <w:rPr>
          <w:rFonts w:eastAsia="Calibri" w:cs="Calibri"/>
        </w:rPr>
        <w:t xml:space="preserve">ors and witnesses testified. </w:t>
      </w:r>
    </w:p>
    <w:p w:rsidR="007374E3" w:rsidRDefault="007374E3">
      <w:pPr>
        <w:pStyle w:val="ListParagraph"/>
        <w:ind w:left="927"/>
        <w:rPr>
          <w:rFonts w:eastAsia="Calibri" w:cs="Calibri"/>
        </w:rPr>
      </w:pPr>
    </w:p>
    <w:p w:rsidR="007374E3" w:rsidRDefault="00DE1821">
      <w:pPr>
        <w:pStyle w:val="ListParagraph"/>
        <w:numPr>
          <w:ilvl w:val="0"/>
          <w:numId w:val="1"/>
        </w:numPr>
      </w:pPr>
      <w:r>
        <w:rPr>
          <w:rFonts w:eastAsia="Calibri" w:cs="Calibri"/>
        </w:rPr>
        <w:t>The Royal Commission published its report into “the torture, tūkino (abuse, harm and trauma) and neglect suffered by children and young people admitted, often for no good reason, to Lake Alice Psychiatric Hospital’s Child and</w:t>
      </w:r>
      <w:r>
        <w:rPr>
          <w:rFonts w:eastAsia="Calibri" w:cs="Calibri"/>
        </w:rPr>
        <w:t xml:space="preserve"> Adolescent Unit from 1972 to 1980.”</w:t>
      </w:r>
    </w:p>
    <w:p w:rsidR="007374E3" w:rsidRDefault="007374E3">
      <w:pPr>
        <w:pStyle w:val="ListParagraph"/>
      </w:pPr>
    </w:p>
    <w:p w:rsidR="007374E3" w:rsidRDefault="00DE1821">
      <w:pPr>
        <w:pStyle w:val="ListParagraph"/>
        <w:ind w:left="927"/>
      </w:pPr>
      <w:r>
        <w:rPr>
          <w:rFonts w:eastAsia="Calibri" w:cs="Calibri"/>
        </w:rPr>
        <w:t xml:space="preserve">The report </w:t>
      </w:r>
      <w:r>
        <w:rPr>
          <w:rFonts w:eastAsia="Calibri" w:cs="Calibri"/>
          <w:i/>
          <w:iCs/>
        </w:rPr>
        <w:t>Beautiful Children Te Uiui o te Manga Tamariki me te Rangatahi ki Lake Alice Inquiry into the Lake Alice Child and Adolescent Unit</w:t>
      </w:r>
      <w:r>
        <w:rPr>
          <w:rFonts w:eastAsia="Calibri" w:cs="Calibri"/>
        </w:rPr>
        <w:t xml:space="preserve"> is attached and can also be found</w:t>
      </w:r>
      <w:hyperlink r:id="rId11">
        <w:r>
          <w:rPr>
            <w:rStyle w:val="Hyperlink1"/>
            <w:rFonts w:eastAsia="Calibri" w:cs="Calibri"/>
          </w:rPr>
          <w:t xml:space="preserve"> here.</w:t>
        </w:r>
      </w:hyperlink>
    </w:p>
    <w:p w:rsidR="007374E3" w:rsidRDefault="007374E3">
      <w:pPr>
        <w:pStyle w:val="ListParagraph"/>
        <w:rPr>
          <w:rFonts w:ascii="Calibri" w:eastAsia="Calibri" w:hAnsi="Calibri" w:cs="Calibri"/>
        </w:rPr>
      </w:pPr>
    </w:p>
    <w:p w:rsidR="007374E3" w:rsidRDefault="00DE1821">
      <w:pPr>
        <w:pStyle w:val="ListParagraph"/>
        <w:numPr>
          <w:ilvl w:val="0"/>
          <w:numId w:val="1"/>
        </w:numPr>
        <w:rPr>
          <w:rFonts w:ascii="Calibri" w:eastAsia="Calibri" w:hAnsi="Calibri" w:cs="Calibri"/>
        </w:rPr>
      </w:pPr>
      <w:r>
        <w:rPr>
          <w:rFonts w:eastAsia="Calibri" w:cs="Calibri"/>
        </w:rPr>
        <w:t>Specifically, the Royal Commission concluded:</w:t>
      </w:r>
    </w:p>
    <w:p w:rsidR="007374E3" w:rsidRDefault="007374E3">
      <w:pPr>
        <w:pStyle w:val="ListParagraph"/>
        <w:rPr>
          <w:rFonts w:ascii="Calibri" w:eastAsia="Calibri" w:hAnsi="Calibri" w:cs="Calibri"/>
        </w:rPr>
      </w:pPr>
    </w:p>
    <w:p w:rsidR="007374E3" w:rsidRDefault="00DE1821">
      <w:pPr>
        <w:pStyle w:val="ListParagraph"/>
        <w:ind w:left="927"/>
        <w:rPr>
          <w:i/>
          <w:iCs/>
        </w:rPr>
      </w:pPr>
      <w:r>
        <w:rPr>
          <w:rFonts w:eastAsia="Calibri" w:cs="Calibri"/>
          <w:b/>
          <w:bCs/>
          <w:i/>
          <w:iCs/>
        </w:rPr>
        <w:tab/>
        <w:t xml:space="preserve">In the almost eight years the unit operated, Dr Leeks and the staff at Lake </w:t>
      </w:r>
      <w:r>
        <w:rPr>
          <w:rFonts w:eastAsia="Calibri" w:cs="Calibri"/>
          <w:b/>
          <w:bCs/>
          <w:i/>
          <w:iCs/>
        </w:rPr>
        <w:tab/>
        <w:t xml:space="preserve">Alice inflicted, or oversaw, serious abuse – some amounting to torture – in </w:t>
      </w:r>
      <w:r>
        <w:rPr>
          <w:rFonts w:eastAsia="Calibri" w:cs="Calibri"/>
          <w:b/>
          <w:bCs/>
          <w:i/>
          <w:iCs/>
        </w:rPr>
        <w:tab/>
        <w:t xml:space="preserve">what quickly became a culture of mistreatment, physical violence, sexual </w:t>
      </w:r>
      <w:r>
        <w:rPr>
          <w:rFonts w:eastAsia="Calibri" w:cs="Calibri"/>
          <w:b/>
          <w:bCs/>
          <w:i/>
          <w:iCs/>
        </w:rPr>
        <w:tab/>
        <w:t xml:space="preserve">and emotional abuse, neglect, threats, degradation and other forms of </w:t>
      </w:r>
      <w:r>
        <w:rPr>
          <w:rFonts w:eastAsia="Calibri" w:cs="Calibri"/>
          <w:b/>
          <w:bCs/>
          <w:i/>
          <w:iCs/>
        </w:rPr>
        <w:tab/>
        <w:t>humiliation.</w:t>
      </w:r>
    </w:p>
    <w:p w:rsidR="007374E3" w:rsidRDefault="007374E3">
      <w:pPr>
        <w:pStyle w:val="ListParagraph"/>
        <w:ind w:left="927"/>
        <w:rPr>
          <w:rFonts w:ascii="Calibri" w:eastAsia="Calibri" w:hAnsi="Calibri" w:cs="Calibri"/>
          <w:b/>
          <w:bCs/>
          <w:i/>
          <w:iCs/>
        </w:rPr>
      </w:pPr>
    </w:p>
    <w:p w:rsidR="007374E3" w:rsidRDefault="00DE1821">
      <w:pPr>
        <w:pStyle w:val="ListParagraph"/>
        <w:ind w:left="927"/>
        <w:rPr>
          <w:i/>
          <w:iCs/>
        </w:rPr>
      </w:pPr>
      <w:r>
        <w:rPr>
          <w:rFonts w:eastAsia="Calibri" w:cs="Calibri"/>
          <w:b/>
          <w:bCs/>
          <w:i/>
          <w:iCs/>
        </w:rPr>
        <w:tab/>
        <w:t>The torture surviv</w:t>
      </w:r>
      <w:r>
        <w:rPr>
          <w:rFonts w:eastAsia="Calibri" w:cs="Calibri"/>
          <w:b/>
          <w:bCs/>
          <w:i/>
          <w:iCs/>
        </w:rPr>
        <w:t xml:space="preserve">ors experienced included electric shocks, often without </w:t>
      </w:r>
      <w:r>
        <w:rPr>
          <w:rFonts w:eastAsia="Calibri" w:cs="Calibri"/>
          <w:b/>
          <w:bCs/>
          <w:i/>
          <w:iCs/>
        </w:rPr>
        <w:tab/>
        <w:t xml:space="preserve">anaesthetic, applied not just to the temples but to the limbs, torso and </w:t>
      </w:r>
      <w:r>
        <w:rPr>
          <w:rFonts w:eastAsia="Calibri" w:cs="Calibri"/>
          <w:b/>
          <w:bCs/>
          <w:i/>
          <w:iCs/>
        </w:rPr>
        <w:tab/>
        <w:t xml:space="preserve">genitals. They were given excruciatingly painful and immobilising injections </w:t>
      </w:r>
      <w:r>
        <w:rPr>
          <w:rFonts w:eastAsia="Calibri" w:cs="Calibri"/>
          <w:b/>
          <w:bCs/>
          <w:i/>
          <w:iCs/>
        </w:rPr>
        <w:tab/>
        <w:t>of paraldehyde, administered by staff as punish</w:t>
      </w:r>
      <w:r>
        <w:rPr>
          <w:rFonts w:eastAsia="Calibri" w:cs="Calibri"/>
          <w:b/>
          <w:bCs/>
          <w:i/>
          <w:iCs/>
        </w:rPr>
        <w:t xml:space="preserve">ment or as an improper </w:t>
      </w:r>
      <w:r>
        <w:rPr>
          <w:rFonts w:eastAsia="Calibri" w:cs="Calibri"/>
          <w:b/>
          <w:bCs/>
          <w:i/>
          <w:iCs/>
        </w:rPr>
        <w:tab/>
        <w:t xml:space="preserve">form of aversion therapy, not for legitimate medical reasons. Children and </w:t>
      </w:r>
      <w:r>
        <w:rPr>
          <w:rFonts w:eastAsia="Calibri" w:cs="Calibri"/>
          <w:b/>
          <w:bCs/>
          <w:i/>
          <w:iCs/>
        </w:rPr>
        <w:tab/>
        <w:t xml:space="preserve">young people were held in solitary confinement and deprived of their </w:t>
      </w:r>
      <w:r>
        <w:rPr>
          <w:rFonts w:eastAsia="Calibri" w:cs="Calibri"/>
          <w:b/>
          <w:bCs/>
          <w:i/>
          <w:iCs/>
        </w:rPr>
        <w:tab/>
        <w:t xml:space="preserve">liberty, sometimes for days or weeks on end. The atmosphere in the unit </w:t>
      </w:r>
      <w:r>
        <w:rPr>
          <w:rFonts w:eastAsia="Calibri" w:cs="Calibri"/>
          <w:b/>
          <w:bCs/>
          <w:i/>
          <w:iCs/>
        </w:rPr>
        <w:tab/>
        <w:t>was one of in</w:t>
      </w:r>
      <w:r>
        <w:rPr>
          <w:rFonts w:eastAsia="Calibri" w:cs="Calibri"/>
          <w:b/>
          <w:bCs/>
          <w:i/>
          <w:iCs/>
        </w:rPr>
        <w:t>tense fear.</w:t>
      </w:r>
      <w:r>
        <w:rPr>
          <w:rStyle w:val="FootnoteReference"/>
          <w:rFonts w:eastAsia="Calibri" w:cs="Calibri"/>
          <w:b/>
          <w:bCs/>
          <w:i/>
          <w:iCs/>
        </w:rPr>
        <w:footnoteReference w:id="6"/>
      </w:r>
    </w:p>
    <w:p w:rsidR="007374E3" w:rsidRDefault="007374E3">
      <w:pPr>
        <w:pStyle w:val="ListParagraph"/>
        <w:ind w:left="927"/>
        <w:rPr>
          <w:rFonts w:eastAsia="Calibri" w:cs="Calibri"/>
          <w:b/>
          <w:bCs/>
        </w:rPr>
      </w:pPr>
    </w:p>
    <w:p w:rsidR="007374E3" w:rsidRDefault="00DE1821">
      <w:pPr>
        <w:pStyle w:val="Heading2"/>
        <w:rPr>
          <w:b/>
          <w:bCs/>
        </w:rPr>
      </w:pPr>
      <w:r>
        <w:rPr>
          <w:rFonts w:ascii="Calibri" w:hAnsi="Calibri"/>
          <w:b/>
          <w:bCs/>
          <w:color w:val="000000"/>
          <w:sz w:val="24"/>
          <w:szCs w:val="24"/>
        </w:rPr>
        <w:t xml:space="preserve">Redress - 11 (b) of UN Committee Against Torture Zentveld decision </w:t>
      </w:r>
    </w:p>
    <w:p w:rsidR="007374E3" w:rsidRDefault="007374E3">
      <w:pPr>
        <w:rPr>
          <w:color w:val="000000"/>
        </w:rPr>
      </w:pPr>
    </w:p>
    <w:p w:rsidR="007374E3" w:rsidRDefault="00DE1821">
      <w:pPr>
        <w:pStyle w:val="Heading3"/>
      </w:pPr>
      <w:r>
        <w:rPr>
          <w:rFonts w:ascii="Calibri" w:hAnsi="Calibri"/>
          <w:color w:val="000000"/>
        </w:rPr>
        <w:t>Investigations of abuse – some of it torture—</w:t>
      </w:r>
      <w:r>
        <w:rPr>
          <w:rFonts w:ascii="Calibri" w:hAnsi="Calibri"/>
          <w:color w:val="000000"/>
          <w:lang w:val="en-NZ"/>
        </w:rPr>
        <w:t xml:space="preserve">at </w:t>
      </w:r>
      <w:r>
        <w:rPr>
          <w:rFonts w:ascii="Calibri" w:hAnsi="Calibri"/>
          <w:color w:val="000000"/>
        </w:rPr>
        <w:t xml:space="preserve">the Lake Alice Child and Adolescent Unit have been completed and it is now time for appropriate redress. </w:t>
      </w:r>
    </w:p>
    <w:p w:rsidR="007374E3" w:rsidRDefault="007374E3"/>
    <w:p w:rsidR="007374E3" w:rsidRDefault="00DE1821">
      <w:pPr>
        <w:pStyle w:val="ListParagraph"/>
        <w:numPr>
          <w:ilvl w:val="0"/>
          <w:numId w:val="1"/>
        </w:numPr>
        <w:rPr>
          <w:rFonts w:ascii="Calibri" w:eastAsia="Calibri" w:hAnsi="Calibri" w:cs="Calibri"/>
        </w:rPr>
      </w:pPr>
      <w:r>
        <w:rPr>
          <w:rFonts w:eastAsia="Calibri" w:cs="Calibri"/>
        </w:rPr>
        <w:t>The State Party ha</w:t>
      </w:r>
      <w:r>
        <w:rPr>
          <w:rFonts w:eastAsia="Calibri" w:cs="Calibri"/>
        </w:rPr>
        <w:t>s, through two independent and impartial investigations, instigated after a delay of over forty years since, that torture and abuse occurred and found that New Zealand public servants, and therefore the State Party  “</w:t>
      </w:r>
      <w:r>
        <w:rPr>
          <w:rFonts w:eastAsia="Calibri" w:cs="Calibri"/>
          <w:b/>
          <w:bCs/>
        </w:rPr>
        <w:t xml:space="preserve">inflicted, or oversaw, serious abuse – </w:t>
      </w:r>
      <w:r>
        <w:rPr>
          <w:rFonts w:eastAsia="Calibri" w:cs="Calibri"/>
          <w:b/>
          <w:bCs/>
        </w:rPr>
        <w:t>some amounting to torture.”</w:t>
      </w:r>
    </w:p>
    <w:p w:rsidR="007374E3" w:rsidRDefault="007374E3">
      <w:pPr>
        <w:pStyle w:val="ListParagraph"/>
        <w:ind w:left="927"/>
        <w:rPr>
          <w:rFonts w:ascii="Calibri" w:eastAsia="Calibri" w:hAnsi="Calibri" w:cs="Calibri"/>
        </w:rPr>
      </w:pPr>
    </w:p>
    <w:p w:rsidR="007374E3" w:rsidRDefault="00DE1821">
      <w:pPr>
        <w:pStyle w:val="ListParagraph"/>
        <w:numPr>
          <w:ilvl w:val="0"/>
          <w:numId w:val="1"/>
        </w:numPr>
      </w:pPr>
      <w:r>
        <w:rPr>
          <w:lang w:val="mi-NZ"/>
        </w:rPr>
        <w:t>Article 14 of the Convention stipulates that:</w:t>
      </w:r>
    </w:p>
    <w:p w:rsidR="007374E3" w:rsidRDefault="007374E3">
      <w:pPr>
        <w:pStyle w:val="ListParagraph"/>
        <w:ind w:left="927"/>
      </w:pPr>
    </w:p>
    <w:p w:rsidR="007374E3" w:rsidRDefault="00DE1821">
      <w:pPr>
        <w:ind w:left="1440"/>
      </w:pPr>
      <w:r>
        <w:rPr>
          <w:i/>
          <w:iCs/>
          <w:lang w:val="mi-NZ"/>
        </w:rPr>
        <w:tab/>
      </w:r>
      <w:r>
        <w:rPr>
          <w:i/>
          <w:iCs/>
          <w:lang w:val="mi-NZ"/>
        </w:rPr>
        <w:tab/>
      </w:r>
      <w:r>
        <w:rPr>
          <w:i/>
          <w:iCs/>
          <w:lang w:val="mi-NZ"/>
        </w:rPr>
        <w:tab/>
      </w:r>
      <w:r>
        <w:rPr>
          <w:i/>
          <w:iCs/>
          <w:lang w:val="mi-NZ"/>
        </w:rPr>
        <w:tab/>
      </w:r>
      <w:r>
        <w:rPr>
          <w:lang w:val="mi-NZ"/>
        </w:rPr>
        <w:t>8</w:t>
      </w:r>
    </w:p>
    <w:p w:rsidR="007374E3" w:rsidRDefault="007374E3">
      <w:pPr>
        <w:ind w:left="1440"/>
        <w:rPr>
          <w:i/>
          <w:iCs/>
          <w:lang w:val="mi-NZ"/>
        </w:rPr>
      </w:pPr>
    </w:p>
    <w:p w:rsidR="007374E3" w:rsidRDefault="00DE1821">
      <w:pPr>
        <w:ind w:left="1440"/>
      </w:pPr>
      <w:r>
        <w:rPr>
          <w:i/>
          <w:iCs/>
          <w:lang w:val="mi-NZ"/>
        </w:rPr>
        <w:t xml:space="preserve">1. Each State Party shall ensure in its legal system that the victim of an act of torture obtains redress and has an enforceable right to fair and adequate compensation, including the means for as full rehabilitation as possible. In the event of the death </w:t>
      </w:r>
      <w:r>
        <w:rPr>
          <w:i/>
          <w:iCs/>
          <w:lang w:val="mi-NZ"/>
        </w:rPr>
        <w:t xml:space="preserve">of </w:t>
      </w:r>
      <w:r>
        <w:rPr>
          <w:i/>
          <w:iCs/>
          <w:lang w:val="mi-NZ"/>
        </w:rPr>
        <w:tab/>
        <w:t>the victim as a result of an act of torture, his dependants shall be entitled to compensation.</w:t>
      </w:r>
    </w:p>
    <w:p w:rsidR="007374E3" w:rsidRDefault="00DE1821">
      <w:pPr>
        <w:ind w:left="927"/>
        <w:rPr>
          <w:i/>
          <w:iCs/>
        </w:rPr>
      </w:pPr>
      <w:r>
        <w:rPr>
          <w:i/>
          <w:iCs/>
          <w:lang w:val="mi-NZ"/>
        </w:rPr>
        <w:tab/>
        <w:t xml:space="preserve">2. Nothing in this article shall affect any right of the victim or other persons to </w:t>
      </w:r>
      <w:r>
        <w:rPr>
          <w:i/>
          <w:iCs/>
          <w:lang w:val="mi-NZ"/>
        </w:rPr>
        <w:tab/>
        <w:t>compensation which may exist under national law.</w:t>
      </w:r>
    </w:p>
    <w:p w:rsidR="007374E3" w:rsidRDefault="007374E3">
      <w:pPr>
        <w:ind w:left="927"/>
        <w:rPr>
          <w:i/>
          <w:iCs/>
        </w:rPr>
      </w:pPr>
      <w:bookmarkStart w:id="6" w:name="move133139908_Copy_1"/>
      <w:bookmarkEnd w:id="6"/>
    </w:p>
    <w:p w:rsidR="007374E3" w:rsidRDefault="00DE1821">
      <w:pPr>
        <w:pStyle w:val="ListParagraph"/>
        <w:numPr>
          <w:ilvl w:val="0"/>
          <w:numId w:val="1"/>
        </w:numPr>
      </w:pPr>
      <w:r>
        <w:rPr>
          <w:lang w:val="mi-NZ"/>
        </w:rPr>
        <w:t>The conclusions of th</w:t>
      </w:r>
      <w:r>
        <w:rPr>
          <w:lang w:val="mi-NZ"/>
        </w:rPr>
        <w:t xml:space="preserve">e investigations now lead to the State Party, New Zealand, obligation under the Convention Against Torture and customary international law to follow  the Committee’s Reccomendation  11. (b) in the Zentveld decision to provide appropriate redress including </w:t>
      </w:r>
      <w:r>
        <w:rPr>
          <w:lang w:val="mi-NZ"/>
        </w:rPr>
        <w:t xml:space="preserve">fair compensation. </w:t>
      </w:r>
    </w:p>
    <w:p w:rsidR="007374E3" w:rsidRDefault="007374E3">
      <w:pPr>
        <w:pStyle w:val="ListParagraph"/>
        <w:ind w:left="927"/>
      </w:pPr>
    </w:p>
    <w:p w:rsidR="007374E3" w:rsidRDefault="00DE1821">
      <w:pPr>
        <w:pStyle w:val="ListParagraph"/>
        <w:numPr>
          <w:ilvl w:val="0"/>
          <w:numId w:val="1"/>
        </w:numPr>
      </w:pPr>
      <w:r>
        <w:rPr>
          <w:lang w:val="mi-NZ"/>
        </w:rPr>
        <w:t>The Committee’s recomendation was soley related to Mr Zentveld and was followed by a similar decison in relation to Mr Malcolm Richards.</w:t>
      </w:r>
      <w:r>
        <w:rPr>
          <w:rStyle w:val="FootnoteReference"/>
          <w:lang w:val="mi-NZ"/>
        </w:rPr>
        <w:footnoteReference w:id="7"/>
      </w:r>
      <w:r>
        <w:rPr>
          <w:lang w:val="mi-NZ"/>
        </w:rPr>
        <w:t xml:space="preserve"> There can be no doubt that that these two survivors of torture at the hands of public servants of</w:t>
      </w:r>
      <w:r>
        <w:rPr>
          <w:lang w:val="mi-NZ"/>
        </w:rPr>
        <w:t xml:space="preserve"> the State Party, New Zealand, including psychiatrists, such as Selwyn Leeks, should receive redress from the State Party without further delay. </w:t>
      </w:r>
    </w:p>
    <w:p w:rsidR="007374E3" w:rsidRDefault="007374E3">
      <w:pPr>
        <w:pStyle w:val="ListParagraph"/>
        <w:ind w:left="927"/>
      </w:pPr>
    </w:p>
    <w:p w:rsidR="007374E3" w:rsidRDefault="00DE1821">
      <w:pPr>
        <w:pStyle w:val="ListParagraph"/>
        <w:numPr>
          <w:ilvl w:val="0"/>
          <w:numId w:val="1"/>
        </w:numPr>
      </w:pPr>
      <w:r>
        <w:rPr>
          <w:lang w:val="mi-NZ"/>
        </w:rPr>
        <w:t>To date no government official nor representative has met with Mr Zentveld and Mr Richards to acknowledge the</w:t>
      </w:r>
      <w:r>
        <w:rPr>
          <w:lang w:val="mi-NZ"/>
        </w:rPr>
        <w:t xml:space="preserve">ir effort in taking the cases to the United Nations despite several requests for meetings. </w:t>
      </w:r>
    </w:p>
    <w:p w:rsidR="007374E3" w:rsidRDefault="007374E3">
      <w:pPr>
        <w:pStyle w:val="ListParagraph"/>
        <w:ind w:left="927"/>
      </w:pPr>
    </w:p>
    <w:p w:rsidR="007374E3" w:rsidRDefault="00DE1821">
      <w:pPr>
        <w:pStyle w:val="ListParagraph"/>
        <w:numPr>
          <w:ilvl w:val="0"/>
          <w:numId w:val="1"/>
        </w:numPr>
      </w:pPr>
      <w:r>
        <w:rPr>
          <w:color w:val="000000"/>
          <w:lang w:val="mi-NZ"/>
        </w:rPr>
        <w:t>The Attorney-General wrote to Mr Richards on 3 Nov 2022 saying his complaint to the UNCAT will be resolved in accordance with a future independent,</w:t>
      </w:r>
    </w:p>
    <w:p w:rsidR="007374E3" w:rsidRDefault="00DE1821">
      <w:pPr>
        <w:pStyle w:val="ListParagraph"/>
        <w:ind w:left="927"/>
      </w:pPr>
      <w:r>
        <w:rPr>
          <w:color w:val="000000"/>
          <w:lang w:val="mi-NZ"/>
        </w:rPr>
        <w:t xml:space="preserve">holistic and survivor-focused redress system which is not yet established and is not expected to be until mid-2024. </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 xml:space="preserve">The Attorney-General reiterated in his letter how New Zealand has made a reservation to the UN Convention Against Torture stating how the </w:t>
      </w:r>
      <w:r>
        <w:rPr>
          <w:color w:val="000000"/>
          <w:lang w:val="mi-NZ"/>
        </w:rPr>
        <w:t>right to award compensation to torture victims is only at the discretion of the Attorney-General, and how this means New Zealand does not have an international law obligation under the Convention to provide redress for victims of torture. The Attorney-Gene</w:t>
      </w:r>
      <w:r>
        <w:rPr>
          <w:color w:val="000000"/>
          <w:lang w:val="mi-NZ"/>
        </w:rPr>
        <w:t>ral’s letter was silent on any international obligations to redress under international customary law.    He has however stated that Mr Richards’ complaint will be resolved in accordance with the new redress processes.</w:t>
      </w:r>
      <w:r>
        <w:rPr>
          <w:rStyle w:val="FootnoteReference"/>
          <w:color w:val="000000"/>
          <w:lang w:val="mi-NZ"/>
        </w:rPr>
        <w:footnoteReference w:id="8"/>
      </w:r>
      <w:r>
        <w:rPr>
          <w:color w:val="000000"/>
          <w:lang w:val="mi-NZ"/>
        </w:rPr>
        <w:t xml:space="preserve"> </w:t>
      </w:r>
    </w:p>
    <w:p w:rsidR="007374E3" w:rsidRDefault="007374E3">
      <w:pPr>
        <w:pStyle w:val="ListParagraph"/>
        <w:ind w:left="927"/>
        <w:rPr>
          <w:color w:val="000000"/>
          <w:lang w:val="mi-NZ"/>
        </w:rPr>
      </w:pPr>
    </w:p>
    <w:p w:rsidR="007374E3" w:rsidRDefault="00DE1821">
      <w:pPr>
        <w:pStyle w:val="ListParagraph"/>
        <w:numPr>
          <w:ilvl w:val="0"/>
          <w:numId w:val="1"/>
        </w:numPr>
      </w:pPr>
      <w:r>
        <w:t>There have been recent development</w:t>
      </w:r>
      <w:r>
        <w:t>s which suggest that the State may be considering redressing the harm done to Mr Zentveld and Mr Richards under the UNCAT recommendations. This came in a letter from the Minister for the Public Service, Hon Andrew Little, (undated but created on 15 May 202</w:t>
      </w:r>
      <w:r>
        <w:t xml:space="preserve">3) saying he has </w:t>
      </w:r>
    </w:p>
    <w:p w:rsidR="007374E3" w:rsidRDefault="00DE1821">
      <w:pPr>
        <w:pStyle w:val="ListParagraph"/>
        <w:ind w:left="4320"/>
      </w:pPr>
      <w:r>
        <w:t>9</w:t>
      </w:r>
    </w:p>
    <w:p w:rsidR="007374E3" w:rsidRDefault="007374E3">
      <w:pPr>
        <w:pStyle w:val="ListParagraph"/>
        <w:ind w:left="927"/>
      </w:pPr>
    </w:p>
    <w:p w:rsidR="007374E3" w:rsidRDefault="00DE1821">
      <w:pPr>
        <w:pStyle w:val="ListParagraph"/>
        <w:numPr>
          <w:ilvl w:val="0"/>
          <w:numId w:val="1"/>
        </w:numPr>
      </w:pPr>
      <w:r>
        <w:t>instructed his officials to look into potential options for early redress for Mr Richards and Mr Zentveld (the two survivors who have had a report of torture from the UNCAT). He added that this does not guarantee that something suitabl</w:t>
      </w:r>
      <w:r>
        <w:t>e can be arranged.</w:t>
      </w:r>
      <w:r>
        <w:rPr>
          <w:rStyle w:val="FootnoteReference"/>
        </w:rPr>
        <w:footnoteReference w:id="9"/>
      </w:r>
      <w:r>
        <w:t xml:space="preserve"> </w:t>
      </w:r>
    </w:p>
    <w:p w:rsidR="007374E3" w:rsidRDefault="007374E3">
      <w:pPr>
        <w:pStyle w:val="ListParagraph"/>
        <w:ind w:left="927"/>
      </w:pPr>
    </w:p>
    <w:p w:rsidR="007374E3" w:rsidRDefault="00DE1821">
      <w:pPr>
        <w:pStyle w:val="ListParagraph"/>
        <w:numPr>
          <w:ilvl w:val="0"/>
          <w:numId w:val="1"/>
        </w:numPr>
      </w:pPr>
      <w:r>
        <w:t>Because of the uncertainty of the outcome of these developments and the need to meet the UN Committee Against Torture deadline for the filing of this report we will update the Committee on any developments that occur before the date f</w:t>
      </w:r>
      <w:r>
        <w:t xml:space="preserve">or the Committee’s review of New Zealand. </w:t>
      </w:r>
    </w:p>
    <w:p w:rsidR="007374E3" w:rsidRDefault="007374E3">
      <w:pPr>
        <w:pStyle w:val="ListParagraph"/>
        <w:ind w:left="927"/>
        <w:rPr>
          <w:rFonts w:ascii="Calibri" w:hAnsi="Calibri"/>
          <w:color w:val="000000"/>
          <w:lang w:val="mi-NZ"/>
        </w:rPr>
      </w:pPr>
    </w:p>
    <w:p w:rsidR="007374E3" w:rsidRDefault="007374E3">
      <w:pPr>
        <w:pStyle w:val="ListParagraph"/>
        <w:ind w:left="927"/>
        <w:rPr>
          <w:rFonts w:ascii="Calibri" w:hAnsi="Calibri"/>
          <w:color w:val="000000"/>
          <w:lang w:val="mi-NZ"/>
        </w:rPr>
      </w:pPr>
    </w:p>
    <w:p w:rsidR="007374E3" w:rsidRDefault="007374E3">
      <w:pPr>
        <w:pStyle w:val="ListParagraph"/>
        <w:ind w:left="927"/>
        <w:rPr>
          <w:rFonts w:ascii="Calibri" w:hAnsi="Calibri"/>
          <w:color w:val="000000"/>
          <w:lang w:val="mi-NZ"/>
        </w:rPr>
      </w:pPr>
    </w:p>
    <w:p w:rsidR="007374E3" w:rsidRDefault="00DE1821">
      <w:pPr>
        <w:pStyle w:val="ListParagraph"/>
        <w:ind w:left="0"/>
      </w:pPr>
      <w:r>
        <w:rPr>
          <w:color w:val="000000"/>
          <w:lang w:val="mi-NZ"/>
        </w:rPr>
        <w:t xml:space="preserve">The proposed redress scheme  </w:t>
      </w:r>
    </w:p>
    <w:p w:rsidR="007374E3" w:rsidRDefault="007374E3">
      <w:pPr>
        <w:rPr>
          <w:rFonts w:ascii="Calibri" w:hAnsi="Calibri"/>
          <w:color w:val="000000"/>
        </w:rPr>
      </w:pPr>
    </w:p>
    <w:p w:rsidR="007374E3" w:rsidRDefault="00DE1821">
      <w:pPr>
        <w:pStyle w:val="ListParagraph"/>
        <w:numPr>
          <w:ilvl w:val="0"/>
          <w:numId w:val="1"/>
        </w:numPr>
      </w:pPr>
      <w:r>
        <w:rPr>
          <w:color w:val="000000"/>
          <w:lang w:val="mi-NZ"/>
        </w:rPr>
        <w:t xml:space="preserve"> In December 2021 the Royal Commission determined that a new independent redress scheme was needed for people who had been abused in care. The State had a history of contesting ab</w:t>
      </w:r>
      <w:r>
        <w:rPr>
          <w:color w:val="000000"/>
          <w:lang w:val="mi-NZ"/>
        </w:rPr>
        <w:t xml:space="preserve">use claims and awards that had been provided in the past were generally in low figures. The Royal Commission said the new redress system needed to be survivor led. </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The New Zealand Government established a Crown Response Unit to drive and coordinate respo</w:t>
      </w:r>
      <w:r>
        <w:rPr>
          <w:color w:val="000000"/>
          <w:lang w:val="mi-NZ"/>
        </w:rPr>
        <w:t xml:space="preserve">nses to the Royal Commission; this includes a focus on the development of a new redress system. </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The redress taskforce under the government’s Crown Response Unit (to the Royal Commission) has spent more than twelve months before engaging with surivors to establish a design team and advisory board. The redress scheme is not expected to be functional un</w:t>
      </w:r>
      <w:r>
        <w:rPr>
          <w:color w:val="000000"/>
          <w:lang w:val="mi-NZ"/>
        </w:rPr>
        <w:t xml:space="preserve">til mid-2024. </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 xml:space="preserve">For the Lake Alice survivors this would mean a year and a half after the Lake Alice report and three years after the Royal Commission’s public hearing. The torture they suffered occurred in the 1970s, and they have every right to expect no </w:t>
      </w:r>
      <w:r>
        <w:rPr>
          <w:color w:val="000000"/>
          <w:lang w:val="mi-NZ"/>
        </w:rPr>
        <w:t xml:space="preserve">further delays when it comes to justice and redress. </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 xml:space="preserve">The Royal Commission recorded in its </w:t>
      </w:r>
      <w:hyperlink r:id="rId12">
        <w:r>
          <w:rPr>
            <w:rStyle w:val="Hyperlink1"/>
            <w:color w:val="000000"/>
            <w:lang w:val="mi-NZ"/>
          </w:rPr>
          <w:t>re</w:t>
        </w:r>
        <w:r>
          <w:rPr>
            <w:rStyle w:val="Hyperlink1"/>
            <w:color w:val="000000"/>
            <w:lang w:val="mi-NZ"/>
          </w:rPr>
          <w:t>port on redress</w:t>
        </w:r>
      </w:hyperlink>
      <w:r>
        <w:rPr>
          <w:color w:val="000000"/>
          <w:lang w:val="mi-NZ"/>
        </w:rPr>
        <w:t xml:space="preserve"> that:</w:t>
      </w:r>
    </w:p>
    <w:p w:rsidR="007374E3" w:rsidRDefault="007374E3">
      <w:pPr>
        <w:pStyle w:val="ListParagraph"/>
        <w:ind w:left="927"/>
        <w:rPr>
          <w:color w:val="000000"/>
          <w:lang w:val="mi-NZ"/>
        </w:rPr>
      </w:pPr>
    </w:p>
    <w:p w:rsidR="007374E3" w:rsidRDefault="00DE1821">
      <w:pPr>
        <w:pStyle w:val="ListParagraph"/>
      </w:pPr>
      <w:r>
        <w:rPr>
          <w:color w:val="000000"/>
          <w:lang w:val="mi-NZ"/>
        </w:rPr>
        <w:tab/>
      </w:r>
      <w:r>
        <w:rPr>
          <w:i/>
          <w:iCs/>
          <w:color w:val="000000"/>
          <w:lang w:val="mi-NZ"/>
        </w:rPr>
        <w:t xml:space="preserve">One survivor told us that all of the children and young people who passed </w:t>
      </w:r>
      <w:r>
        <w:rPr>
          <w:i/>
          <w:iCs/>
          <w:color w:val="000000"/>
          <w:lang w:val="mi-NZ"/>
        </w:rPr>
        <w:tab/>
      </w:r>
      <w:r>
        <w:rPr>
          <w:i/>
          <w:iCs/>
          <w:color w:val="000000"/>
          <w:lang w:val="mi-NZ"/>
        </w:rPr>
        <w:tab/>
        <w:t xml:space="preserve">through Lake Alice received life sentences; another spoke about the abuse </w:t>
      </w:r>
      <w:r>
        <w:rPr>
          <w:i/>
          <w:iCs/>
          <w:color w:val="000000"/>
          <w:lang w:val="mi-NZ"/>
        </w:rPr>
        <w:tab/>
        <w:t xml:space="preserve">being always with her, a “huge and dark” presence that had remained </w:t>
      </w:r>
      <w:r>
        <w:rPr>
          <w:i/>
          <w:iCs/>
          <w:color w:val="000000"/>
          <w:lang w:val="mi-NZ"/>
        </w:rPr>
        <w:tab/>
      </w:r>
      <w:r>
        <w:rPr>
          <w:i/>
          <w:iCs/>
          <w:color w:val="000000"/>
          <w:lang w:val="mi-NZ"/>
        </w:rPr>
        <w:tab/>
      </w:r>
      <w:r>
        <w:rPr>
          <w:i/>
          <w:iCs/>
          <w:color w:val="000000"/>
          <w:lang w:val="mi-NZ"/>
        </w:rPr>
        <w:t xml:space="preserve">throughout her life. They told us that any redress process will therefore need </w:t>
      </w:r>
      <w:r>
        <w:rPr>
          <w:i/>
          <w:iCs/>
          <w:color w:val="000000"/>
          <w:lang w:val="mi-NZ"/>
        </w:rPr>
        <w:tab/>
        <w:t xml:space="preserve">to support them to rebuild lives that have been deeply and profoundly </w:t>
      </w:r>
      <w:r>
        <w:rPr>
          <w:i/>
          <w:iCs/>
          <w:color w:val="000000"/>
          <w:lang w:val="mi-NZ"/>
        </w:rPr>
        <w:tab/>
      </w:r>
      <w:r>
        <w:rPr>
          <w:i/>
          <w:iCs/>
          <w:color w:val="000000"/>
          <w:lang w:val="mi-NZ"/>
        </w:rPr>
        <w:tab/>
        <w:t xml:space="preserve">affected by the abuse they experienced, and account for the lifetime impacts </w:t>
      </w:r>
      <w:r>
        <w:rPr>
          <w:i/>
          <w:iCs/>
          <w:color w:val="000000"/>
          <w:lang w:val="mi-NZ"/>
        </w:rPr>
        <w:tab/>
        <w:t>on them, their whānau, hap</w:t>
      </w:r>
      <w:r>
        <w:rPr>
          <w:i/>
          <w:iCs/>
          <w:color w:val="000000"/>
          <w:lang w:val="mi-NZ"/>
        </w:rPr>
        <w:t>ū, iwi and hapori or communities.</w:t>
      </w:r>
    </w:p>
    <w:p w:rsidR="007374E3" w:rsidRDefault="00DE1821">
      <w:r>
        <w:tab/>
      </w:r>
      <w:r>
        <w:tab/>
      </w:r>
      <w:r>
        <w:tab/>
      </w:r>
      <w:r>
        <w:tab/>
      </w:r>
      <w:r>
        <w:tab/>
      </w:r>
      <w:r>
        <w:tab/>
        <w:t>10</w:t>
      </w:r>
    </w:p>
    <w:p w:rsidR="007374E3" w:rsidRDefault="007374E3"/>
    <w:p w:rsidR="007374E3" w:rsidRDefault="007374E3"/>
    <w:p w:rsidR="007374E3" w:rsidRDefault="00DE1821">
      <w:r>
        <w:rPr>
          <w:lang w:val="mi-NZ"/>
        </w:rPr>
        <w:tab/>
      </w:r>
      <w:r>
        <w:rPr>
          <w:lang w:val="mi-NZ"/>
        </w:rPr>
        <w:tab/>
      </w:r>
      <w:r>
        <w:rPr>
          <w:i/>
          <w:iCs/>
          <w:lang w:val="mi-NZ"/>
        </w:rPr>
        <w:t xml:space="preserve">The impacts include serious physical injuries from abuse, such as head </w:t>
      </w:r>
      <w:r>
        <w:rPr>
          <w:i/>
          <w:iCs/>
          <w:lang w:val="mi-NZ"/>
        </w:rPr>
        <w:tab/>
      </w:r>
      <w:r>
        <w:rPr>
          <w:i/>
          <w:iCs/>
          <w:lang w:val="mi-NZ"/>
        </w:rPr>
        <w:tab/>
      </w:r>
      <w:r>
        <w:rPr>
          <w:i/>
          <w:iCs/>
          <w:lang w:val="mi-NZ"/>
        </w:rPr>
        <w:tab/>
        <w:t xml:space="preserve">injuries, internal injuries, and broken bones. Treatment was not always </w:t>
      </w:r>
      <w:r>
        <w:rPr>
          <w:i/>
          <w:iCs/>
          <w:lang w:val="mi-NZ"/>
        </w:rPr>
        <w:tab/>
      </w:r>
      <w:r>
        <w:rPr>
          <w:i/>
          <w:iCs/>
          <w:lang w:val="mi-NZ"/>
        </w:rPr>
        <w:tab/>
      </w:r>
      <w:r>
        <w:rPr>
          <w:i/>
          <w:iCs/>
          <w:lang w:val="mi-NZ"/>
        </w:rPr>
        <w:tab/>
        <w:t>provided, and, for some, these injuries have had lifelong co</w:t>
      </w:r>
      <w:r>
        <w:rPr>
          <w:i/>
          <w:iCs/>
          <w:lang w:val="mi-NZ"/>
        </w:rPr>
        <w:t xml:space="preserve">nsequences, for </w:t>
      </w:r>
      <w:r>
        <w:rPr>
          <w:i/>
          <w:iCs/>
          <w:lang w:val="mi-NZ"/>
        </w:rPr>
        <w:tab/>
      </w:r>
      <w:r>
        <w:rPr>
          <w:i/>
          <w:iCs/>
          <w:lang w:val="mi-NZ"/>
        </w:rPr>
        <w:tab/>
        <w:t xml:space="preserve">example from impaired brain functioning, memory loss, and other </w:t>
      </w:r>
      <w:r>
        <w:rPr>
          <w:i/>
          <w:iCs/>
          <w:lang w:val="mi-NZ"/>
        </w:rPr>
        <w:tab/>
      </w:r>
      <w:r>
        <w:rPr>
          <w:i/>
          <w:iCs/>
          <w:lang w:val="mi-NZ"/>
        </w:rPr>
        <w:tab/>
      </w:r>
      <w:r>
        <w:rPr>
          <w:i/>
          <w:iCs/>
          <w:lang w:val="mi-NZ"/>
        </w:rPr>
        <w:tab/>
      </w:r>
      <w:r>
        <w:rPr>
          <w:i/>
          <w:iCs/>
          <w:lang w:val="mi-NZ"/>
        </w:rPr>
        <w:tab/>
        <w:t xml:space="preserve">consequences of traumatic brain injury. Many survivors also developed </w:t>
      </w:r>
      <w:r>
        <w:rPr>
          <w:i/>
          <w:iCs/>
          <w:lang w:val="mi-NZ"/>
        </w:rPr>
        <w:tab/>
      </w:r>
      <w:r>
        <w:rPr>
          <w:i/>
          <w:iCs/>
          <w:lang w:val="mi-NZ"/>
        </w:rPr>
        <w:tab/>
      </w:r>
      <w:r>
        <w:rPr>
          <w:i/>
          <w:iCs/>
          <w:lang w:val="mi-NZ"/>
        </w:rPr>
        <w:tab/>
        <w:t xml:space="preserve">longer-term medical conditions associated with trauma and abuse, including </w:t>
      </w:r>
      <w:r>
        <w:rPr>
          <w:i/>
          <w:iCs/>
          <w:lang w:val="mi-NZ"/>
        </w:rPr>
        <w:tab/>
      </w:r>
      <w:r>
        <w:rPr>
          <w:i/>
          <w:iCs/>
          <w:lang w:val="mi-NZ"/>
        </w:rPr>
        <w:tab/>
        <w:t>cardiovascular probl</w:t>
      </w:r>
      <w:r>
        <w:rPr>
          <w:i/>
          <w:iCs/>
          <w:lang w:val="mi-NZ"/>
        </w:rPr>
        <w:t xml:space="preserve">ems, diabetes, malnourishment, sexually transmitted </w:t>
      </w:r>
      <w:r>
        <w:rPr>
          <w:i/>
          <w:iCs/>
          <w:lang w:val="mi-NZ"/>
        </w:rPr>
        <w:tab/>
      </w:r>
      <w:r>
        <w:rPr>
          <w:i/>
          <w:iCs/>
          <w:lang w:val="mi-NZ"/>
        </w:rPr>
        <w:tab/>
      </w:r>
      <w:r>
        <w:rPr>
          <w:i/>
          <w:iCs/>
          <w:lang w:val="mi-NZ"/>
        </w:rPr>
        <w:tab/>
        <w:t>diseases, chronic pain, and incontinence.</w:t>
      </w:r>
      <w:r>
        <w:rPr>
          <w:rStyle w:val="FootnoteReference"/>
          <w:i/>
          <w:iCs/>
          <w:lang w:val="mi-NZ"/>
        </w:rPr>
        <w:footnoteReference w:id="10"/>
      </w:r>
    </w:p>
    <w:p w:rsidR="007374E3" w:rsidRDefault="007374E3">
      <w:pPr>
        <w:pStyle w:val="ListParagraph"/>
        <w:rPr>
          <w:color w:val="000000"/>
          <w:lang w:val="mi-NZ"/>
        </w:rPr>
      </w:pP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en-NZ"/>
        </w:rPr>
        <w:t>In its report on Lake Alice the Royal Commission found that Committee Against Torture’s redress finding applies to all survivors:</w:t>
      </w:r>
    </w:p>
    <w:p w:rsidR="007374E3" w:rsidRDefault="007374E3">
      <w:pPr>
        <w:pStyle w:val="ListParagraph"/>
        <w:ind w:left="927"/>
        <w:rPr>
          <w:color w:val="000000"/>
          <w:lang w:val="en-NZ"/>
        </w:rPr>
      </w:pPr>
    </w:p>
    <w:p w:rsidR="007374E3" w:rsidRDefault="00DE1821">
      <w:pPr>
        <w:pStyle w:val="ListParagraph"/>
      </w:pPr>
      <w:r>
        <w:rPr>
          <w:color w:val="000000"/>
          <w:lang w:val="en-NZ"/>
        </w:rPr>
        <w:tab/>
      </w:r>
      <w:r>
        <w:rPr>
          <w:i/>
          <w:iCs/>
          <w:color w:val="000000"/>
          <w:lang w:val="en-NZ"/>
        </w:rPr>
        <w:t xml:space="preserve">987. </w:t>
      </w:r>
      <w:r>
        <w:rPr>
          <w:i/>
          <w:iCs/>
          <w:color w:val="000000"/>
          <w:lang w:val="mi-NZ"/>
        </w:rPr>
        <w:t>Redress payments [i</w:t>
      </w:r>
      <w:r>
        <w:rPr>
          <w:i/>
          <w:iCs/>
          <w:color w:val="000000"/>
          <w:lang w:val="mi-NZ"/>
        </w:rPr>
        <w:t xml:space="preserve">n the early 2000s] came without acknowledgment of </w:t>
      </w:r>
      <w:r>
        <w:rPr>
          <w:i/>
          <w:iCs/>
          <w:color w:val="000000"/>
          <w:lang w:val="mi-NZ"/>
        </w:rPr>
        <w:tab/>
        <w:t xml:space="preserve">liability. The size of those payments was determined through a negotiation </w:t>
      </w:r>
      <w:r>
        <w:rPr>
          <w:i/>
          <w:iCs/>
          <w:color w:val="000000"/>
          <w:lang w:val="mi-NZ"/>
        </w:rPr>
        <w:tab/>
        <w:t xml:space="preserve">process into which the survivors had limited input. The Crown was able to </w:t>
      </w:r>
      <w:r>
        <w:rPr>
          <w:i/>
          <w:iCs/>
          <w:color w:val="000000"/>
          <w:lang w:val="mi-NZ"/>
        </w:rPr>
        <w:tab/>
      </w:r>
      <w:r>
        <w:rPr>
          <w:i/>
          <w:iCs/>
          <w:color w:val="000000"/>
          <w:lang w:val="mi-NZ"/>
        </w:rPr>
        <w:tab/>
        <w:t>negotiate in the knowledge it had the financial resou</w:t>
      </w:r>
      <w:r>
        <w:rPr>
          <w:i/>
          <w:iCs/>
          <w:color w:val="000000"/>
          <w:lang w:val="mi-NZ"/>
        </w:rPr>
        <w:t xml:space="preserve">rces to fight on if no </w:t>
      </w:r>
      <w:r>
        <w:rPr>
          <w:i/>
          <w:iCs/>
          <w:color w:val="000000"/>
          <w:lang w:val="mi-NZ"/>
        </w:rPr>
        <w:tab/>
      </w:r>
      <w:r>
        <w:rPr>
          <w:i/>
          <w:iCs/>
          <w:color w:val="000000"/>
          <w:lang w:val="mi-NZ"/>
        </w:rPr>
        <w:tab/>
        <w:t xml:space="preserve">resolution was reached. Survivors had no such comfort. They faced significant </w:t>
      </w:r>
      <w:r>
        <w:rPr>
          <w:i/>
          <w:iCs/>
          <w:color w:val="000000"/>
          <w:lang w:val="mi-NZ"/>
        </w:rPr>
        <w:tab/>
        <w:t xml:space="preserve">technical legal defences, and the law firm acting for them carried most of the </w:t>
      </w:r>
      <w:r>
        <w:rPr>
          <w:i/>
          <w:iCs/>
          <w:color w:val="000000"/>
          <w:lang w:val="mi-NZ"/>
        </w:rPr>
        <w:tab/>
        <w:t xml:space="preserve">financial cost of pursing their claims for six years. </w:t>
      </w:r>
      <w:r>
        <w:rPr>
          <w:b/>
          <w:bCs/>
          <w:i/>
          <w:iCs/>
          <w:color w:val="000000"/>
          <w:lang w:val="mi-NZ"/>
        </w:rPr>
        <w:t xml:space="preserve">In our view, the </w:t>
      </w:r>
      <w:r>
        <w:rPr>
          <w:b/>
          <w:bCs/>
          <w:i/>
          <w:iCs/>
          <w:color w:val="000000"/>
          <w:lang w:val="mi-NZ"/>
        </w:rPr>
        <w:tab/>
      </w:r>
      <w:r>
        <w:rPr>
          <w:b/>
          <w:bCs/>
          <w:i/>
          <w:iCs/>
          <w:color w:val="000000"/>
          <w:lang w:val="mi-NZ"/>
        </w:rPr>
        <w:tab/>
      </w:r>
      <w:r>
        <w:rPr>
          <w:b/>
          <w:bCs/>
          <w:i/>
          <w:iCs/>
          <w:color w:val="000000"/>
          <w:lang w:val="mi-NZ"/>
        </w:rPr>
        <w:tab/>
        <w:t xml:space="preserve">committee’s findings in relation to Mr Zentveld and Mr Richards apply to all </w:t>
      </w:r>
      <w:r>
        <w:rPr>
          <w:b/>
          <w:bCs/>
          <w:i/>
          <w:iCs/>
          <w:color w:val="000000"/>
          <w:lang w:val="mi-NZ"/>
        </w:rPr>
        <w:tab/>
        <w:t>survivors of the unit</w:t>
      </w:r>
      <w:r>
        <w:rPr>
          <w:i/>
          <w:iCs/>
          <w:color w:val="000000"/>
          <w:lang w:val="mi-NZ"/>
        </w:rPr>
        <w:t>.</w:t>
      </w:r>
      <w:r>
        <w:rPr>
          <w:rStyle w:val="FootnoteReference"/>
          <w:i/>
          <w:iCs/>
          <w:color w:val="000000"/>
          <w:lang w:val="mi-NZ"/>
        </w:rPr>
        <w:footnoteReference w:id="11"/>
      </w:r>
      <w:r>
        <w:rPr>
          <w:i/>
          <w:iCs/>
          <w:color w:val="000000"/>
          <w:lang w:val="mi-NZ"/>
        </w:rPr>
        <w:t xml:space="preserve">   </w:t>
      </w:r>
      <w:r>
        <w:rPr>
          <w:i/>
          <w:iCs/>
          <w:color w:val="000000"/>
          <w:lang w:val="mi-NZ"/>
        </w:rPr>
        <w:tab/>
        <w:t xml:space="preserve">(Beautiful Children </w:t>
      </w:r>
      <w:r>
        <w:rPr>
          <w:i/>
          <w:iCs/>
          <w:color w:val="000000"/>
          <w:lang w:val="en-NZ"/>
        </w:rPr>
        <w:t>p 334)</w:t>
      </w:r>
    </w:p>
    <w:p w:rsidR="007374E3" w:rsidRDefault="007374E3">
      <w:pPr>
        <w:pStyle w:val="ListParagraph"/>
        <w:rPr>
          <w:i/>
          <w:iCs/>
          <w:color w:val="000000"/>
          <w:lang w:val="en-NZ"/>
        </w:rPr>
      </w:pPr>
    </w:p>
    <w:p w:rsidR="007374E3" w:rsidRDefault="007374E3">
      <w:pPr>
        <w:pStyle w:val="ListParagraph"/>
        <w:rPr>
          <w:i/>
          <w:iCs/>
          <w:color w:val="000000"/>
          <w:lang w:val="en-NZ"/>
        </w:rPr>
      </w:pPr>
    </w:p>
    <w:p w:rsidR="007374E3" w:rsidRDefault="00DE1821">
      <w:pPr>
        <w:pStyle w:val="ListParagraph"/>
        <w:numPr>
          <w:ilvl w:val="0"/>
          <w:numId w:val="1"/>
        </w:numPr>
      </w:pPr>
      <w:r>
        <w:rPr>
          <w:color w:val="000000"/>
          <w:lang w:val="mi-NZ"/>
        </w:rPr>
        <w:t>In fairness to the survivors of Lake Alice, the New Zealand State Party should provide redress and compensatory steps im</w:t>
      </w:r>
      <w:r>
        <w:rPr>
          <w:color w:val="000000"/>
          <w:lang w:val="mi-NZ"/>
        </w:rPr>
        <w:t>mediately under the recommendations from the UNCAT.</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Having discussed the issue of redress with several Lake Alice survivors there is a consensus that they would like to live comfortably for their remaining years. Many require medical assistance and suppor</w:t>
      </w:r>
      <w:r>
        <w:rPr>
          <w:color w:val="000000"/>
          <w:lang w:val="mi-NZ"/>
        </w:rPr>
        <w:t xml:space="preserve">t due to disabilities and they would like access to those services to help them in their advancing years. </w:t>
      </w:r>
    </w:p>
    <w:p w:rsidR="007374E3" w:rsidRDefault="007374E3">
      <w:pPr>
        <w:pStyle w:val="ListParagraph"/>
        <w:ind w:left="927"/>
        <w:rPr>
          <w:color w:val="000000"/>
          <w:lang w:val="mi-NZ"/>
        </w:rPr>
      </w:pPr>
    </w:p>
    <w:p w:rsidR="007374E3" w:rsidRDefault="00DE1821">
      <w:pPr>
        <w:pStyle w:val="ListParagraph"/>
        <w:numPr>
          <w:ilvl w:val="0"/>
          <w:numId w:val="1"/>
        </w:numPr>
      </w:pPr>
      <w:r>
        <w:rPr>
          <w:color w:val="000000"/>
          <w:lang w:val="mi-NZ"/>
        </w:rPr>
        <w:t>One illustrative example is Terry McLure, a survivor of Lake Alice, who testified at the Royal Commission hearing into Lake Alice as “Mr AA.” He tal</w:t>
      </w:r>
      <w:r>
        <w:rPr>
          <w:color w:val="000000"/>
          <w:lang w:val="mi-NZ"/>
        </w:rPr>
        <w:t xml:space="preserve">ked about his life after he was institutionalised as a child, sexually and physically abused and then placed in the Lake Alice Child and Adolescent Unit. He suffers from memory loss from the electroshocks and other physical abuse he endured.  </w:t>
      </w:r>
    </w:p>
    <w:p w:rsidR="007374E3" w:rsidRDefault="00DE1821">
      <w:pPr>
        <w:pStyle w:val="ListParagraph"/>
        <w:ind w:left="927"/>
        <w:rPr>
          <w:color w:val="000000"/>
          <w:lang w:val="mi-NZ"/>
        </w:rPr>
      </w:pPr>
      <w:r>
        <w:rPr>
          <w:color w:val="000000"/>
          <w:lang w:val="mi-NZ"/>
        </w:rPr>
        <w:tab/>
      </w:r>
      <w:r>
        <w:rPr>
          <w:color w:val="000000"/>
          <w:lang w:val="mi-NZ"/>
        </w:rPr>
        <w:tab/>
      </w:r>
      <w:r>
        <w:rPr>
          <w:color w:val="000000"/>
          <w:lang w:val="mi-NZ"/>
        </w:rPr>
        <w:tab/>
      </w:r>
      <w:r>
        <w:rPr>
          <w:color w:val="000000"/>
          <w:lang w:val="mi-NZ"/>
        </w:rPr>
        <w:tab/>
      </w:r>
      <w:r>
        <w:rPr>
          <w:color w:val="000000"/>
          <w:lang w:val="mi-NZ"/>
        </w:rPr>
        <w:tab/>
        <w:t>11</w:t>
      </w:r>
    </w:p>
    <w:p w:rsidR="007374E3" w:rsidRDefault="007374E3">
      <w:pPr>
        <w:pStyle w:val="ListParagraph"/>
        <w:ind w:left="927"/>
        <w:rPr>
          <w:color w:val="000000"/>
          <w:lang w:val="mi-NZ"/>
        </w:rPr>
      </w:pPr>
    </w:p>
    <w:p w:rsidR="007374E3" w:rsidRDefault="00DE1821">
      <w:pPr>
        <w:pStyle w:val="ListParagraph"/>
        <w:ind w:left="1440"/>
        <w:rPr>
          <w:i/>
          <w:iCs/>
        </w:rPr>
      </w:pPr>
      <w:r>
        <w:rPr>
          <w:i/>
          <w:iCs/>
          <w:color w:val="000000"/>
          <w:lang w:val="mi-NZ"/>
        </w:rPr>
        <w:t xml:space="preserve">I </w:t>
      </w:r>
      <w:r>
        <w:rPr>
          <w:i/>
          <w:iCs/>
          <w:color w:val="000000"/>
          <w:lang w:val="mi-NZ"/>
        </w:rPr>
        <w:t>have no material, family or emotional support going into old age. I have no savings as I have rarely worked and been in jail so much. My health is a poor state. I have only 4 teeth left and it is difficult to eat. I have a debt with Social Welfare for havi</w:t>
      </w:r>
      <w:r>
        <w:rPr>
          <w:i/>
          <w:iCs/>
          <w:color w:val="000000"/>
          <w:lang w:val="mi-NZ"/>
        </w:rPr>
        <w:t>ng to get bonds so I could move into places. I don't sleep – I haven't for years. I snap awake with the memories of incidents in my childhood while in state care. I am on heart medication for arrythmia. I need hip replacements. I have PTSD and have intrusi</w:t>
      </w:r>
      <w:r>
        <w:rPr>
          <w:i/>
          <w:iCs/>
          <w:color w:val="000000"/>
          <w:lang w:val="mi-NZ"/>
        </w:rPr>
        <w:t>ve memories all the time. I have anxiety about my uncertain future. I am trying my best not to go back to prison. There is so much pressure living on the outside, such as paying bills, being older and unable to get a job.</w:t>
      </w:r>
    </w:p>
    <w:p w:rsidR="007374E3" w:rsidRDefault="007374E3">
      <w:pPr>
        <w:pStyle w:val="ListParagraph"/>
        <w:ind w:left="927"/>
        <w:rPr>
          <w:color w:val="000000"/>
          <w:lang w:val="mi-NZ"/>
        </w:rPr>
      </w:pPr>
    </w:p>
    <w:p w:rsidR="007374E3" w:rsidRDefault="00DE1821">
      <w:pPr>
        <w:pStyle w:val="ListParagraph"/>
        <w:numPr>
          <w:ilvl w:val="0"/>
          <w:numId w:val="2"/>
        </w:numPr>
      </w:pPr>
      <w:r>
        <w:rPr>
          <w:color w:val="000000"/>
          <w:lang w:val="mi-NZ"/>
        </w:rPr>
        <w:t xml:space="preserve">Terry recently found that he has </w:t>
      </w:r>
      <w:r>
        <w:rPr>
          <w:color w:val="000000"/>
          <w:lang w:val="mi-NZ"/>
        </w:rPr>
        <w:t xml:space="preserve">a severe form of arthritis in his arm and shoulder. He has been told this condition cannot be reversed and will advance to his spine in the ensuing years, leaving him virtually cripple. </w:t>
      </w:r>
    </w:p>
    <w:p w:rsidR="007374E3" w:rsidRDefault="007374E3">
      <w:pPr>
        <w:pStyle w:val="ListParagraph"/>
        <w:ind w:left="927"/>
        <w:rPr>
          <w:color w:val="000000"/>
          <w:lang w:val="mi-NZ"/>
        </w:rPr>
      </w:pPr>
    </w:p>
    <w:p w:rsidR="007374E3" w:rsidRDefault="00DE1821">
      <w:pPr>
        <w:pStyle w:val="ListParagraph"/>
        <w:numPr>
          <w:ilvl w:val="0"/>
          <w:numId w:val="2"/>
        </w:numPr>
      </w:pPr>
      <w:r>
        <w:rPr>
          <w:color w:val="000000"/>
          <w:lang w:val="mi-NZ"/>
        </w:rPr>
        <w:t>Terry is not alone among Lake Alice survivors, in fact his plight is</w:t>
      </w:r>
      <w:r>
        <w:rPr>
          <w:color w:val="000000"/>
          <w:lang w:val="mi-NZ"/>
        </w:rPr>
        <w:t xml:space="preserve"> shared by many Terry should also have a place to live and free access to the health services he needs at this time of his life and throughout his remaining years. Mobility will be an issue and he should be provided free access to transport when needed. </w:t>
      </w:r>
    </w:p>
    <w:p w:rsidR="007374E3" w:rsidRDefault="007374E3">
      <w:pPr>
        <w:pStyle w:val="ListParagraph"/>
        <w:rPr>
          <w:color w:val="000000"/>
          <w:lang w:val="mi-NZ"/>
        </w:rPr>
      </w:pPr>
    </w:p>
    <w:p w:rsidR="007374E3" w:rsidRDefault="00DE1821">
      <w:pPr>
        <w:pStyle w:val="ListParagraph"/>
      </w:pPr>
      <w:r>
        <w:rPr>
          <w:color w:val="000000"/>
          <w:lang w:val="mi-NZ"/>
        </w:rPr>
        <w:t>Recommendations</w:t>
      </w:r>
    </w:p>
    <w:p w:rsidR="007374E3" w:rsidRDefault="007374E3">
      <w:pPr>
        <w:pStyle w:val="ListParagraph"/>
        <w:rPr>
          <w:color w:val="000000"/>
          <w:lang w:val="mi-NZ"/>
        </w:rPr>
      </w:pPr>
    </w:p>
    <w:p w:rsidR="007374E3" w:rsidRDefault="00DE1821">
      <w:pPr>
        <w:pStyle w:val="ListParagraph"/>
        <w:numPr>
          <w:ilvl w:val="0"/>
          <w:numId w:val="2"/>
        </w:numPr>
      </w:pPr>
      <w:r>
        <w:rPr>
          <w:color w:val="000000"/>
          <w:lang w:val="mi-NZ"/>
        </w:rPr>
        <w:t xml:space="preserve">That the Committee urges the State Party to provide full redress to all of the Lake Alice survivors as they are victims of torture and ill treatment, and to provide redress to the families of those survivors who have died. </w:t>
      </w:r>
    </w:p>
    <w:p w:rsidR="007374E3" w:rsidRDefault="007374E3">
      <w:pPr>
        <w:pStyle w:val="ListParagraph"/>
        <w:ind w:left="927"/>
        <w:rPr>
          <w:color w:val="000000"/>
          <w:lang w:val="mi-NZ"/>
        </w:rPr>
      </w:pPr>
    </w:p>
    <w:p w:rsidR="007374E3" w:rsidRDefault="00DE1821">
      <w:pPr>
        <w:pStyle w:val="ListParagraph"/>
        <w:numPr>
          <w:ilvl w:val="0"/>
          <w:numId w:val="2"/>
        </w:numPr>
      </w:pPr>
      <w:r>
        <w:rPr>
          <w:color w:val="000000"/>
          <w:lang w:val="mi-NZ"/>
        </w:rPr>
        <w:t>That the State</w:t>
      </w:r>
      <w:r>
        <w:rPr>
          <w:color w:val="000000"/>
          <w:lang w:val="mi-NZ"/>
        </w:rPr>
        <w:t xml:space="preserve"> Party, New Zealand, removes its reservation on </w:t>
      </w:r>
      <w:r>
        <w:rPr>
          <w:color w:val="000000"/>
          <w:lang w:val="en-NZ"/>
        </w:rPr>
        <w:t>a</w:t>
      </w:r>
      <w:r>
        <w:rPr>
          <w:color w:val="000000"/>
          <w:lang w:val="mi-NZ"/>
        </w:rPr>
        <w:t>rticle 14 and shall ensure in its legal system that the victim of an act of torture obtains redress and has an enforceable right to fair and adequate compensation under the Convention Against Torture, includ</w:t>
      </w:r>
      <w:r>
        <w:rPr>
          <w:color w:val="000000"/>
          <w:lang w:val="mi-NZ"/>
        </w:rPr>
        <w:t>ing the means for as full rehabilitation as possible. In the event of the death of the victim as a result of an act of torture, his dependants shall be entitled to compensation.</w:t>
      </w:r>
    </w:p>
    <w:p w:rsidR="007374E3" w:rsidRDefault="007374E3">
      <w:pPr>
        <w:pStyle w:val="ListParagraph"/>
        <w:ind w:left="927"/>
        <w:rPr>
          <w:color w:val="000000"/>
          <w:lang w:val="mi-NZ"/>
        </w:rPr>
      </w:pPr>
    </w:p>
    <w:p w:rsidR="007374E3" w:rsidRDefault="007374E3">
      <w:pPr>
        <w:pStyle w:val="ListParagraph"/>
        <w:rPr>
          <w:color w:val="000000"/>
          <w:lang w:val="mi-NZ"/>
        </w:rPr>
      </w:pPr>
    </w:p>
    <w:p w:rsidR="007374E3" w:rsidRDefault="00DE1821">
      <w:pPr>
        <w:pStyle w:val="Heading2"/>
      </w:pPr>
      <w:r>
        <w:rPr>
          <w:rFonts w:ascii="Calibri" w:hAnsi="Calibri"/>
          <w:b/>
          <w:bCs/>
          <w:color w:val="000000"/>
        </w:rPr>
        <w:t>Publicity 11 (c) of UN Committee Against Torture Zentfeld decision  - Making</w:t>
      </w:r>
      <w:r>
        <w:rPr>
          <w:rFonts w:ascii="Calibri" w:hAnsi="Calibri"/>
          <w:b/>
          <w:bCs/>
          <w:color w:val="000000"/>
        </w:rPr>
        <w:t xml:space="preserve"> the UNCAT decision widely known</w:t>
      </w:r>
    </w:p>
    <w:p w:rsidR="007374E3" w:rsidRDefault="007374E3"/>
    <w:p w:rsidR="007374E3" w:rsidRDefault="00DE1821">
      <w:pPr>
        <w:pStyle w:val="Heading3"/>
        <w:rPr>
          <w:rFonts w:ascii="Calibri" w:hAnsi="Calibri"/>
          <w:color w:val="000000"/>
        </w:rPr>
      </w:pPr>
      <w:r>
        <w:rPr>
          <w:rFonts w:ascii="Calibri" w:hAnsi="Calibri"/>
          <w:color w:val="000000"/>
        </w:rPr>
        <w:t xml:space="preserve">State Party, New Zealand, minimised publicity </w:t>
      </w:r>
    </w:p>
    <w:p w:rsidR="007374E3" w:rsidRDefault="007374E3">
      <w:pPr>
        <w:rPr>
          <w:b/>
          <w:bCs/>
        </w:rPr>
      </w:pPr>
    </w:p>
    <w:p w:rsidR="007374E3" w:rsidRDefault="00DE1821">
      <w:pPr>
        <w:pStyle w:val="ListParagraph"/>
        <w:numPr>
          <w:ilvl w:val="0"/>
          <w:numId w:val="2"/>
        </w:numPr>
      </w:pPr>
      <w:r>
        <w:t>The government’s response regarding making the Committee’s decision widely known was minimal.</w:t>
      </w:r>
    </w:p>
    <w:p w:rsidR="007374E3" w:rsidRDefault="007374E3">
      <w:pPr>
        <w:pStyle w:val="ListParagraph"/>
        <w:ind w:left="927"/>
      </w:pPr>
    </w:p>
    <w:p w:rsidR="007374E3" w:rsidRDefault="00DE1821">
      <w:pPr>
        <w:pStyle w:val="ListParagraph"/>
        <w:numPr>
          <w:ilvl w:val="0"/>
          <w:numId w:val="2"/>
        </w:numPr>
      </w:pPr>
      <w:r>
        <w:t>The decision is on the Ministry of Justice website but is difficult to find unl</w:t>
      </w:r>
      <w:r>
        <w:t xml:space="preserve">ess one enters the right search terms. </w:t>
      </w:r>
    </w:p>
    <w:p w:rsidR="007374E3" w:rsidRDefault="007374E3">
      <w:pPr>
        <w:pStyle w:val="ListParagraph"/>
      </w:pPr>
    </w:p>
    <w:p w:rsidR="007374E3" w:rsidRDefault="00DE1821">
      <w:pPr>
        <w:pStyle w:val="ListParagraph"/>
      </w:pPr>
      <w:r>
        <w:tab/>
      </w:r>
      <w:r>
        <w:tab/>
      </w:r>
      <w:r>
        <w:tab/>
      </w:r>
      <w:r>
        <w:tab/>
      </w:r>
      <w:r>
        <w:tab/>
        <w:t>12</w:t>
      </w:r>
    </w:p>
    <w:p w:rsidR="007374E3" w:rsidRDefault="007374E3">
      <w:pPr>
        <w:pStyle w:val="ListParagraph"/>
        <w:ind w:left="927"/>
        <w:rPr>
          <w:rStyle w:val="Hyperlink1"/>
        </w:rPr>
      </w:pPr>
    </w:p>
    <w:p w:rsidR="007374E3" w:rsidRDefault="00DE1821">
      <w:pPr>
        <w:pStyle w:val="ListParagraph"/>
        <w:ind w:left="927"/>
      </w:pPr>
      <w:r>
        <w:rPr>
          <w:rStyle w:val="Hyperlink1"/>
        </w:rPr>
        <w:t>https://www.justice.govt.nz/justice-sector-policy/constitutional-issues-and-human-rights/human-rights/international-human-rights/cat/</w:t>
      </w:r>
    </w:p>
    <w:p w:rsidR="007374E3" w:rsidRDefault="007374E3">
      <w:pPr>
        <w:rPr>
          <w:rStyle w:val="Hyperlink1"/>
        </w:rPr>
      </w:pPr>
    </w:p>
    <w:p w:rsidR="007374E3" w:rsidRDefault="00DE1821">
      <w:pPr>
        <w:pStyle w:val="ListParagraph"/>
        <w:numPr>
          <w:ilvl w:val="0"/>
          <w:numId w:val="2"/>
        </w:numPr>
      </w:pPr>
      <w:r>
        <w:t>The link on the Ministry of Foreign Affairs and Trade is also obscure a</w:t>
      </w:r>
      <w:r>
        <w:t>nd could hardly be considered making the UNCAT decision broadly known:</w:t>
      </w:r>
    </w:p>
    <w:p w:rsidR="007374E3" w:rsidRDefault="00DE1821">
      <w:pPr>
        <w:pStyle w:val="ListParagraph"/>
        <w:ind w:left="927"/>
      </w:pPr>
      <w:hyperlink r:id="rId13" w:anchor="search:TGFrZSBBbGljZQ" w:history="1">
        <w:r>
          <w:rPr>
            <w:rStyle w:val="Hyperlink1"/>
          </w:rPr>
          <w:t>https://www.mfat.govt.nz/en/peace-rights-and-security/human-rights/?m</w:t>
        </w:r>
        <w:r>
          <w:rPr>
            <w:rStyle w:val="Hyperlink1"/>
          </w:rPr>
          <w:t>=763837#search:TGFrZSBBbGljZQ</w:t>
        </w:r>
      </w:hyperlink>
      <w:r>
        <w:t>==</w:t>
      </w:r>
    </w:p>
    <w:p w:rsidR="007374E3" w:rsidRDefault="007374E3"/>
    <w:p w:rsidR="007374E3" w:rsidRDefault="00DE1821">
      <w:pPr>
        <w:pStyle w:val="ListParagraph"/>
        <w:numPr>
          <w:ilvl w:val="0"/>
          <w:numId w:val="2"/>
        </w:numPr>
      </w:pPr>
      <w:r>
        <w:t xml:space="preserve">The Zentveld and Richards decisions are linked on the NZ Police website: </w:t>
      </w:r>
      <w:r>
        <w:rPr>
          <w:rStyle w:val="Hyperlink1"/>
        </w:rPr>
        <w:t>https://www.police.govt.nz/about-us/investigations-and-reviews/commissions-inquiry/royal-commission-inquiry-historical-abuse</w:t>
      </w:r>
      <w:r>
        <w:rPr>
          <w:rStyle w:val="Hyperlink1"/>
          <w:lang w:val="en-NZ"/>
        </w:rPr>
        <w:t xml:space="preserve"> </w:t>
      </w:r>
      <w:r>
        <w:t>This is the only offic</w:t>
      </w:r>
      <w:r>
        <w:t xml:space="preserve">ial agency to link both decisions. </w:t>
      </w:r>
    </w:p>
    <w:p w:rsidR="007374E3" w:rsidRDefault="007374E3"/>
    <w:p w:rsidR="007374E3" w:rsidRDefault="00DE1821">
      <w:pPr>
        <w:pStyle w:val="ListParagraph"/>
        <w:numPr>
          <w:ilvl w:val="0"/>
          <w:numId w:val="2"/>
        </w:numPr>
      </w:pPr>
      <w:r>
        <w:t>The Ministry of Justice has a link to the Richards decision on their website:</w:t>
      </w:r>
      <w:hyperlink r:id="rId14">
        <w:r>
          <w:t xml:space="preserve"> </w:t>
        </w:r>
      </w:hyperlink>
      <w:hyperlink r:id="rId15">
        <w:r>
          <w:rPr>
            <w:rStyle w:val="Hyperlink1"/>
          </w:rPr>
          <w:t>https://www.justice.govt.nz/justice-sector-policy/constitutional-issues-and-human-rights/human-rights/international-human-rights/cat/</w:t>
        </w:r>
      </w:hyperlink>
    </w:p>
    <w:p w:rsidR="007374E3" w:rsidRDefault="007374E3"/>
    <w:p w:rsidR="007374E3" w:rsidRDefault="00DE1821">
      <w:pPr>
        <w:pStyle w:val="ListParagraph"/>
        <w:numPr>
          <w:ilvl w:val="0"/>
          <w:numId w:val="2"/>
        </w:numPr>
      </w:pPr>
      <w:r>
        <w:t>The Human Rights Commission published the Zentveld decision on their website:</w:t>
      </w:r>
    </w:p>
    <w:p w:rsidR="007374E3" w:rsidRDefault="00DE1821">
      <w:pPr>
        <w:pStyle w:val="ListParagraph"/>
        <w:ind w:left="927"/>
      </w:pPr>
      <w:hyperlink r:id="rId16">
        <w:r>
          <w:rPr>
            <w:rStyle w:val="Hyperlink1"/>
          </w:rPr>
          <w:t>https://tikatangata.org.nz/news/anniversary-of-united-nations-committee-against-torture-decision</w:t>
        </w:r>
      </w:hyperlink>
    </w:p>
    <w:p w:rsidR="007374E3" w:rsidRDefault="007374E3"/>
    <w:p w:rsidR="007374E3" w:rsidRDefault="00DE1821">
      <w:pPr>
        <w:pStyle w:val="ListParagraph"/>
        <w:numPr>
          <w:ilvl w:val="0"/>
          <w:numId w:val="2"/>
        </w:numPr>
      </w:pPr>
      <w:r>
        <w:t>There is nothing on the Ministry of Health w</w:t>
      </w:r>
      <w:r>
        <w:t>ebsite concerning the two UNCAT decisions which is concerning given the Ministry’s involvement through its mental health division and the Ministry’s efforts to downplay and cover up the serious nature of the abuse of children in the Lake Alice Child and Ad</w:t>
      </w:r>
      <w:r>
        <w:t xml:space="preserve">olescent Psychiatric Unit. </w:t>
      </w:r>
    </w:p>
    <w:p w:rsidR="007374E3" w:rsidRDefault="007374E3"/>
    <w:p w:rsidR="007374E3" w:rsidRDefault="00DE1821">
      <w:pPr>
        <w:pStyle w:val="ListParagraph"/>
        <w:numPr>
          <w:ilvl w:val="0"/>
          <w:numId w:val="2"/>
        </w:numPr>
      </w:pPr>
      <w:r>
        <w:t xml:space="preserve">Nor is there any reference to it under Oranga Tamariki Care and Protection of Children—the current ministry name that once was Social Welfare who had custody of a large number of the children who were in Lake Alice.  </w:t>
      </w:r>
    </w:p>
    <w:p w:rsidR="007374E3" w:rsidRDefault="007374E3"/>
    <w:p w:rsidR="007374E3" w:rsidRDefault="00DE1821">
      <w:pPr>
        <w:pStyle w:val="ListParagraph"/>
        <w:numPr>
          <w:ilvl w:val="0"/>
          <w:numId w:val="2"/>
        </w:numPr>
      </w:pPr>
      <w:r>
        <w:t>There ha</w:t>
      </w:r>
      <w:r>
        <w:t xml:space="preserve">s been some media on the Zentveld and Richards decisions but this was mostly generated by the two complainants and CCHR NZ. The NZ government made no effort to make these decisions widely known through media. </w:t>
      </w:r>
    </w:p>
    <w:p w:rsidR="007374E3" w:rsidRDefault="007374E3"/>
    <w:p w:rsidR="007374E3" w:rsidRDefault="00DE1821">
      <w:pPr>
        <w:pStyle w:val="Heading3"/>
        <w:rPr>
          <w:rFonts w:ascii="Calibri" w:hAnsi="Calibri"/>
          <w:color w:val="000000"/>
        </w:rPr>
      </w:pPr>
      <w:r>
        <w:rPr>
          <w:rFonts w:ascii="Calibri" w:hAnsi="Calibri"/>
          <w:color w:val="000000"/>
        </w:rPr>
        <w:t>Recommendations:</w:t>
      </w:r>
    </w:p>
    <w:p w:rsidR="007374E3" w:rsidRDefault="007374E3"/>
    <w:p w:rsidR="007374E3" w:rsidRDefault="00DE1821">
      <w:pPr>
        <w:pStyle w:val="ListParagraph"/>
        <w:numPr>
          <w:ilvl w:val="0"/>
          <w:numId w:val="2"/>
        </w:numPr>
      </w:pPr>
      <w:r>
        <w:t>The New Zealand State makes</w:t>
      </w:r>
      <w:r>
        <w:t xml:space="preserve"> the two UNCAT decisions concerning Zentveld and Richards widely known so as to prevent similar violations of the Convention Against Torture in the future. </w:t>
      </w:r>
    </w:p>
    <w:p w:rsidR="007374E3" w:rsidRDefault="007374E3">
      <w:pPr>
        <w:pStyle w:val="ListParagraph"/>
        <w:ind w:left="927"/>
      </w:pPr>
    </w:p>
    <w:p w:rsidR="007374E3" w:rsidRDefault="00DE1821">
      <w:pPr>
        <w:pStyle w:val="ListParagraph"/>
        <w:numPr>
          <w:ilvl w:val="0"/>
          <w:numId w:val="2"/>
        </w:numPr>
      </w:pPr>
      <w:r>
        <w:t>The New Zealand State should ensure the Medical and Nursing Councils, the Psychologist Board and R</w:t>
      </w:r>
      <w:r>
        <w:t xml:space="preserve">oyal Australian and New Zealand College of Psychiatrists inform their members of the two UNCAT decisions concerning Lake Alice. This is in line with Point 11 (c) 'with a view to preventing similar violations of the convention </w:t>
      </w:r>
    </w:p>
    <w:p w:rsidR="007374E3" w:rsidRDefault="00DE1821">
      <w:pPr>
        <w:pStyle w:val="ListParagraph"/>
        <w:ind w:left="4527"/>
      </w:pPr>
      <w:r>
        <w:t>13</w:t>
      </w:r>
    </w:p>
    <w:p w:rsidR="007374E3" w:rsidRDefault="007374E3">
      <w:pPr>
        <w:pStyle w:val="ListParagraph"/>
        <w:ind w:left="927"/>
      </w:pPr>
    </w:p>
    <w:p w:rsidR="007374E3" w:rsidRDefault="00DE1821">
      <w:pPr>
        <w:pStyle w:val="ListParagraph"/>
        <w:numPr>
          <w:ilvl w:val="0"/>
          <w:numId w:val="2"/>
        </w:numPr>
      </w:pPr>
      <w:r>
        <w:t>in the future.' Each of t</w:t>
      </w:r>
      <w:r>
        <w:t xml:space="preserve">hese professional bodies have a disciplinary role and have never taken any action concerning the psychiatrist, the nurses and psychologists who were staff at the Lake Alice Child and Adolescent Unit. </w:t>
      </w:r>
    </w:p>
    <w:p w:rsidR="007374E3" w:rsidRDefault="007374E3">
      <w:pPr>
        <w:pStyle w:val="ListParagraph"/>
        <w:ind w:left="1647"/>
      </w:pPr>
    </w:p>
    <w:p w:rsidR="007374E3" w:rsidRDefault="00DE1821">
      <w:pPr>
        <w:pStyle w:val="ListParagraph"/>
        <w:numPr>
          <w:ilvl w:val="0"/>
          <w:numId w:val="2"/>
        </w:numPr>
      </w:pPr>
      <w:r>
        <w:t>The UNCAT decisions should also be made widely known a</w:t>
      </w:r>
      <w:r>
        <w:t xml:space="preserve">mong Ministry of Health executives, District Inspectors and mental health staff. These decisions should also be made widely known throughout the social workers and staff of Oranga Tamariki (Child Welfare). </w:t>
      </w:r>
    </w:p>
    <w:p w:rsidR="007374E3" w:rsidRDefault="007374E3">
      <w:pPr>
        <w:pStyle w:val="ListParagraph"/>
        <w:ind w:left="927"/>
      </w:pPr>
    </w:p>
    <w:p w:rsidR="007374E3" w:rsidRDefault="007374E3"/>
    <w:p w:rsidR="007374E3" w:rsidRDefault="00DE1821">
      <w:pPr>
        <w:pStyle w:val="Heading2"/>
        <w:rPr>
          <w:rFonts w:ascii="Calibri" w:hAnsi="Calibri"/>
          <w:b/>
          <w:bCs/>
          <w:color w:val="000000"/>
        </w:rPr>
      </w:pPr>
      <w:r>
        <w:rPr>
          <w:rFonts w:ascii="Calibri" w:hAnsi="Calibri"/>
          <w:b/>
          <w:bCs/>
          <w:color w:val="000000"/>
        </w:rPr>
        <w:t>New police investigations</w:t>
      </w:r>
    </w:p>
    <w:p w:rsidR="007374E3" w:rsidRDefault="007374E3"/>
    <w:p w:rsidR="007374E3" w:rsidRDefault="00DE1821">
      <w:pPr>
        <w:pStyle w:val="ListParagraph"/>
        <w:numPr>
          <w:ilvl w:val="0"/>
          <w:numId w:val="2"/>
        </w:numPr>
      </w:pPr>
      <w:r>
        <w:t>In the early part of</w:t>
      </w:r>
      <w:r>
        <w:t xml:space="preserve"> 2023, a group of Lake Alice survivors and CCHR NZ filed new police complaints. Upon reading the Royal Commission’s report on Lake Alice, both the survivors and CCHR NZ saw the high-level cover up of the torturous abuse of children at Lake Alice. The new  </w:t>
      </w:r>
      <w:r>
        <w:t>complaints to the police named a number of officials in government as well as health agencies who were involved in some capacity in the evaluation of Lake Alice files and chose not to pass the information to the police, even though it was noted that the ca</w:t>
      </w:r>
      <w:r>
        <w:t xml:space="preserve">se files showed evidence of criminal wrong doing. </w:t>
      </w:r>
    </w:p>
    <w:p w:rsidR="007374E3" w:rsidRDefault="007374E3">
      <w:pPr>
        <w:pStyle w:val="ListParagraph"/>
        <w:ind w:left="927"/>
      </w:pPr>
    </w:p>
    <w:p w:rsidR="007374E3" w:rsidRDefault="00DE1821">
      <w:pPr>
        <w:pStyle w:val="ListParagraph"/>
        <w:numPr>
          <w:ilvl w:val="0"/>
          <w:numId w:val="2"/>
        </w:numPr>
      </w:pPr>
      <w:r>
        <w:t>New Zealand enacted its Crimes of Torture Act in 1989. The Lake Alice survivors were starting to come forward from the mid-1990s onward and the State had a legal obligation to regard this legislation in l</w:t>
      </w:r>
      <w:r>
        <w:t>ight of the accusations that were coming forward. Section 3 (2) (c) of this legislation states:</w:t>
      </w:r>
    </w:p>
    <w:p w:rsidR="007374E3" w:rsidRDefault="007374E3">
      <w:pPr>
        <w:pStyle w:val="ListParagraph"/>
        <w:ind w:left="927"/>
      </w:pPr>
    </w:p>
    <w:p w:rsidR="007374E3" w:rsidRDefault="00DE1821">
      <w:r>
        <w:t xml:space="preserve">       </w:t>
      </w:r>
      <w:r>
        <w:rPr>
          <w:i/>
          <w:iCs/>
        </w:rPr>
        <w:t xml:space="preserve">              </w:t>
      </w:r>
      <w:r>
        <w:rPr>
          <w:i/>
          <w:iCs/>
        </w:rPr>
        <w:tab/>
        <w:t xml:space="preserve">  3 Acts of torture</w:t>
      </w:r>
    </w:p>
    <w:p w:rsidR="007374E3" w:rsidRDefault="00DE1821">
      <w:pPr>
        <w:rPr>
          <w:i/>
          <w:iCs/>
        </w:rPr>
      </w:pPr>
      <w:r>
        <w:rPr>
          <w:i/>
          <w:iCs/>
        </w:rPr>
        <w:tab/>
      </w:r>
      <w:r>
        <w:rPr>
          <w:i/>
          <w:iCs/>
        </w:rPr>
        <w:tab/>
        <w:t xml:space="preserve">(1) Every person is liable upon conviction to imprisonment for a term not </w:t>
      </w:r>
      <w:r>
        <w:rPr>
          <w:i/>
          <w:iCs/>
        </w:rPr>
        <w:tab/>
      </w:r>
      <w:r>
        <w:rPr>
          <w:i/>
          <w:iCs/>
        </w:rPr>
        <w:tab/>
      </w:r>
      <w:r>
        <w:rPr>
          <w:i/>
          <w:iCs/>
        </w:rPr>
        <w:tab/>
      </w:r>
      <w:r>
        <w:rPr>
          <w:i/>
          <w:iCs/>
        </w:rPr>
        <w:t xml:space="preserve">exceeding 14 years who, being a person to whom this section applies or </w:t>
      </w:r>
      <w:r>
        <w:rPr>
          <w:i/>
          <w:iCs/>
        </w:rPr>
        <w:tab/>
      </w:r>
      <w:r>
        <w:rPr>
          <w:i/>
          <w:iCs/>
        </w:rPr>
        <w:tab/>
      </w:r>
      <w:r>
        <w:rPr>
          <w:i/>
          <w:iCs/>
        </w:rPr>
        <w:tab/>
        <w:t xml:space="preserve">acting at the instigation or with the consent or acquiescence of such a person, </w:t>
      </w:r>
      <w:r>
        <w:rPr>
          <w:i/>
          <w:iCs/>
        </w:rPr>
        <w:tab/>
      </w:r>
      <w:r>
        <w:rPr>
          <w:i/>
          <w:iCs/>
        </w:rPr>
        <w:tab/>
        <w:t xml:space="preserve">whether in or </w:t>
      </w:r>
      <w:r>
        <w:rPr>
          <w:i/>
          <w:iCs/>
        </w:rPr>
        <w:tab/>
        <w:t>outside New Zealand,—</w:t>
      </w:r>
    </w:p>
    <w:p w:rsidR="007374E3" w:rsidRDefault="00DE1821">
      <w:pPr>
        <w:rPr>
          <w:i/>
          <w:iCs/>
        </w:rPr>
      </w:pPr>
      <w:r>
        <w:rPr>
          <w:i/>
          <w:iCs/>
        </w:rPr>
        <w:t xml:space="preserve">                           (a) commits an act of torture; or</w:t>
      </w:r>
    </w:p>
    <w:p w:rsidR="007374E3" w:rsidRDefault="00DE1821">
      <w:pPr>
        <w:rPr>
          <w:i/>
          <w:iCs/>
        </w:rPr>
      </w:pPr>
      <w:r>
        <w:rPr>
          <w:i/>
          <w:iCs/>
        </w:rPr>
        <w:t xml:space="preserve">  </w:t>
      </w:r>
      <w:r>
        <w:rPr>
          <w:i/>
          <w:iCs/>
        </w:rPr>
        <w:t xml:space="preserve">                         (b) does or omits an act for the purpose of aiding any person to commit an </w:t>
      </w:r>
      <w:r>
        <w:rPr>
          <w:i/>
          <w:iCs/>
        </w:rPr>
        <w:tab/>
      </w:r>
      <w:r>
        <w:rPr>
          <w:i/>
          <w:iCs/>
        </w:rPr>
        <w:tab/>
        <w:t xml:space="preserve">      act of torture; or</w:t>
      </w:r>
    </w:p>
    <w:p w:rsidR="007374E3" w:rsidRDefault="00DE1821">
      <w:pPr>
        <w:rPr>
          <w:i/>
          <w:iCs/>
        </w:rPr>
      </w:pPr>
      <w:r>
        <w:rPr>
          <w:i/>
          <w:iCs/>
        </w:rPr>
        <w:t xml:space="preserve">                           (c) abets any person in the commission of an act of torture; or</w:t>
      </w:r>
    </w:p>
    <w:p w:rsidR="007374E3" w:rsidRDefault="00DE1821">
      <w:pPr>
        <w:rPr>
          <w:i/>
          <w:iCs/>
        </w:rPr>
      </w:pPr>
      <w:r>
        <w:rPr>
          <w:i/>
          <w:iCs/>
        </w:rPr>
        <w:t xml:space="preserve">                           (d) incites</w:t>
      </w:r>
      <w:r>
        <w:rPr>
          <w:i/>
          <w:iCs/>
        </w:rPr>
        <w:t>, counsels, or procures any person to commit an act of torture.</w:t>
      </w:r>
    </w:p>
    <w:p w:rsidR="007374E3" w:rsidRDefault="00DE1821">
      <w:pPr>
        <w:rPr>
          <w:i/>
          <w:iCs/>
        </w:rPr>
      </w:pPr>
      <w:r>
        <w:rPr>
          <w:i/>
          <w:iCs/>
        </w:rPr>
        <w:tab/>
      </w:r>
      <w:r>
        <w:rPr>
          <w:i/>
          <w:iCs/>
        </w:rPr>
        <w:tab/>
        <w:t xml:space="preserve">(2) Every person is liable upon conviction to imprisonment for a term not </w:t>
      </w:r>
      <w:r>
        <w:rPr>
          <w:i/>
          <w:iCs/>
        </w:rPr>
        <w:tab/>
      </w:r>
      <w:r>
        <w:rPr>
          <w:i/>
          <w:iCs/>
        </w:rPr>
        <w:tab/>
      </w:r>
      <w:r>
        <w:rPr>
          <w:i/>
          <w:iCs/>
        </w:rPr>
        <w:tab/>
        <w:t xml:space="preserve">exceeding 10 years who, being a person to whom this section applies or </w:t>
      </w:r>
      <w:r>
        <w:rPr>
          <w:i/>
          <w:iCs/>
        </w:rPr>
        <w:tab/>
      </w:r>
      <w:r>
        <w:rPr>
          <w:i/>
          <w:iCs/>
        </w:rPr>
        <w:tab/>
      </w:r>
      <w:r>
        <w:rPr>
          <w:i/>
          <w:iCs/>
        </w:rPr>
        <w:tab/>
        <w:t>acting at the instigation or with the c</w:t>
      </w:r>
      <w:r>
        <w:rPr>
          <w:i/>
          <w:iCs/>
        </w:rPr>
        <w:t xml:space="preserve">onsent or acquiescence of such a person, </w:t>
      </w:r>
      <w:r>
        <w:rPr>
          <w:i/>
          <w:iCs/>
        </w:rPr>
        <w:tab/>
      </w:r>
      <w:r>
        <w:rPr>
          <w:i/>
          <w:iCs/>
        </w:rPr>
        <w:tab/>
        <w:t>whether in or outside New Zealand,—</w:t>
      </w:r>
    </w:p>
    <w:p w:rsidR="007374E3" w:rsidRDefault="00DE1821">
      <w:pPr>
        <w:rPr>
          <w:i/>
          <w:iCs/>
        </w:rPr>
      </w:pPr>
      <w:r>
        <w:rPr>
          <w:i/>
          <w:iCs/>
        </w:rPr>
        <w:t xml:space="preserve">                           (a) attempts to commit an act of torture; or</w:t>
      </w:r>
    </w:p>
    <w:p w:rsidR="007374E3" w:rsidRDefault="00DE1821">
      <w:pPr>
        <w:rPr>
          <w:i/>
          <w:iCs/>
        </w:rPr>
      </w:pPr>
      <w:r>
        <w:rPr>
          <w:i/>
          <w:iCs/>
        </w:rPr>
        <w:t xml:space="preserve">                           (b) conspires with any other person to commit an act of torture; or</w:t>
      </w:r>
    </w:p>
    <w:p w:rsidR="007374E3" w:rsidRDefault="00DE1821">
      <w:pPr>
        <w:rPr>
          <w:i/>
          <w:iCs/>
        </w:rPr>
      </w:pPr>
      <w:r>
        <w:rPr>
          <w:i/>
          <w:iCs/>
        </w:rPr>
        <w:t xml:space="preserve">          </w:t>
      </w:r>
      <w:r>
        <w:rPr>
          <w:i/>
          <w:iCs/>
        </w:rPr>
        <w:t xml:space="preserve">                 (c) is an accessory after the fact to an act of torture.</w:t>
      </w:r>
    </w:p>
    <w:p w:rsidR="007374E3" w:rsidRDefault="00DE1821">
      <w:pPr>
        <w:rPr>
          <w:i/>
          <w:iCs/>
        </w:rPr>
      </w:pPr>
      <w:r>
        <w:rPr>
          <w:i/>
          <w:iCs/>
        </w:rPr>
        <w:tab/>
      </w:r>
      <w:r>
        <w:rPr>
          <w:i/>
          <w:iCs/>
        </w:rPr>
        <w:tab/>
      </w:r>
    </w:p>
    <w:p w:rsidR="007374E3" w:rsidRDefault="007374E3">
      <w:pPr>
        <w:rPr>
          <w:i/>
          <w:iCs/>
        </w:rPr>
      </w:pPr>
    </w:p>
    <w:p w:rsidR="007374E3" w:rsidRDefault="00DE1821">
      <w:pPr>
        <w:rPr>
          <w:i/>
          <w:iCs/>
        </w:rPr>
      </w:pPr>
      <w:r>
        <w:rPr>
          <w:i/>
          <w:iCs/>
        </w:rPr>
        <w:tab/>
      </w:r>
      <w:r>
        <w:rPr>
          <w:i/>
          <w:iCs/>
        </w:rPr>
        <w:tab/>
      </w:r>
      <w:r>
        <w:rPr>
          <w:i/>
          <w:iCs/>
        </w:rPr>
        <w:tab/>
      </w:r>
      <w:r>
        <w:rPr>
          <w:i/>
          <w:iCs/>
        </w:rPr>
        <w:tab/>
      </w:r>
      <w:r>
        <w:rPr>
          <w:i/>
          <w:iCs/>
        </w:rPr>
        <w:tab/>
      </w:r>
      <w:r>
        <w:rPr>
          <w:i/>
          <w:iCs/>
        </w:rPr>
        <w:tab/>
      </w:r>
      <w:r>
        <w:t>14</w:t>
      </w:r>
    </w:p>
    <w:p w:rsidR="007374E3" w:rsidRDefault="007374E3">
      <w:pPr>
        <w:rPr>
          <w:i/>
          <w:iCs/>
        </w:rPr>
      </w:pPr>
    </w:p>
    <w:p w:rsidR="007374E3" w:rsidRDefault="00DE1821">
      <w:pPr>
        <w:rPr>
          <w:i/>
          <w:iCs/>
        </w:rPr>
      </w:pPr>
      <w:r>
        <w:rPr>
          <w:i/>
          <w:iCs/>
        </w:rPr>
        <w:tab/>
      </w:r>
      <w:r>
        <w:rPr>
          <w:i/>
          <w:iCs/>
        </w:rPr>
        <w:tab/>
        <w:t xml:space="preserve">(3) This section applies to any person who is a public official or who is acting </w:t>
      </w:r>
      <w:r>
        <w:rPr>
          <w:i/>
          <w:iCs/>
        </w:rPr>
        <w:tab/>
      </w:r>
      <w:r>
        <w:rPr>
          <w:i/>
          <w:iCs/>
        </w:rPr>
        <w:tab/>
        <w:t>in an official capacity.</w:t>
      </w:r>
      <w:r>
        <w:rPr>
          <w:rStyle w:val="FootnoteReference"/>
          <w:i/>
          <w:iCs/>
        </w:rPr>
        <w:footnoteReference w:id="12"/>
      </w:r>
    </w:p>
    <w:p w:rsidR="007374E3" w:rsidRDefault="007374E3">
      <w:pPr>
        <w:rPr>
          <w:lang w:val="en-US"/>
        </w:rPr>
      </w:pPr>
    </w:p>
    <w:p w:rsidR="007374E3" w:rsidRDefault="007374E3"/>
    <w:p w:rsidR="007374E3" w:rsidRDefault="00DE1821">
      <w:pPr>
        <w:pStyle w:val="ListParagraph"/>
        <w:numPr>
          <w:ilvl w:val="0"/>
          <w:numId w:val="2"/>
        </w:numPr>
      </w:pPr>
      <w:r>
        <w:t xml:space="preserve">From what we understand, the police are treating this seriously. </w:t>
      </w:r>
    </w:p>
    <w:p w:rsidR="007374E3" w:rsidRDefault="007374E3">
      <w:pPr>
        <w:pStyle w:val="ListParagraph"/>
        <w:ind w:left="927"/>
      </w:pPr>
    </w:p>
    <w:p w:rsidR="007374E3" w:rsidRDefault="007374E3"/>
    <w:p w:rsidR="007374E3" w:rsidRDefault="00DE1821">
      <w:pPr>
        <w:pStyle w:val="Heading3"/>
        <w:rPr>
          <w:color w:val="000000"/>
        </w:rPr>
      </w:pPr>
      <w:r>
        <w:rPr>
          <w:color w:val="000000"/>
        </w:rPr>
        <w:t>Recommendation</w:t>
      </w:r>
    </w:p>
    <w:p w:rsidR="007374E3" w:rsidRDefault="007374E3">
      <w:pPr>
        <w:rPr>
          <w:b/>
          <w:bCs/>
        </w:rPr>
      </w:pPr>
    </w:p>
    <w:p w:rsidR="007374E3" w:rsidRDefault="00DE1821">
      <w:pPr>
        <w:pStyle w:val="ListParagraph"/>
        <w:numPr>
          <w:ilvl w:val="0"/>
          <w:numId w:val="2"/>
        </w:numPr>
      </w:pPr>
      <w:r>
        <w:t xml:space="preserve">That the Committee supports the new police investigation into alleged accessories to an act of torture after the fact. </w:t>
      </w:r>
    </w:p>
    <w:p w:rsidR="007374E3" w:rsidRDefault="007374E3">
      <w:pPr>
        <w:pStyle w:val="ListParagraph"/>
        <w:ind w:left="927"/>
      </w:pPr>
    </w:p>
    <w:p w:rsidR="007374E3" w:rsidRDefault="007374E3">
      <w:pPr>
        <w:pStyle w:val="ListParagraph"/>
        <w:ind w:left="927"/>
      </w:pPr>
    </w:p>
    <w:p w:rsidR="007374E3" w:rsidRDefault="007374E3"/>
    <w:p w:rsidR="007374E3" w:rsidRDefault="00DE1821">
      <w:pPr>
        <w:rPr>
          <w:b/>
          <w:bCs/>
        </w:rPr>
      </w:pPr>
      <w:r>
        <w:rPr>
          <w:b/>
          <w:bCs/>
        </w:rPr>
        <w:t>Contemporary issues</w:t>
      </w:r>
    </w:p>
    <w:p w:rsidR="007374E3" w:rsidRDefault="00DE1821">
      <w:pPr>
        <w:rPr>
          <w:b/>
          <w:bCs/>
        </w:rPr>
      </w:pPr>
      <w:r>
        <w:rPr>
          <w:b/>
          <w:bCs/>
        </w:rPr>
        <w:t xml:space="preserve">Article 11 </w:t>
      </w:r>
    </w:p>
    <w:p w:rsidR="007374E3" w:rsidRDefault="007374E3">
      <w:pPr>
        <w:pStyle w:val="ListParagraph"/>
      </w:pPr>
    </w:p>
    <w:p w:rsidR="007374E3" w:rsidRDefault="00DE1821">
      <w:pPr>
        <w:pStyle w:val="ListParagraph"/>
        <w:numPr>
          <w:ilvl w:val="0"/>
          <w:numId w:val="2"/>
        </w:numPr>
      </w:pPr>
      <w:r>
        <w:rPr>
          <w:lang w:val="en-NZ"/>
        </w:rPr>
        <w:t xml:space="preserve">In 2018 the State Party held an inquiry into mental health. One of the </w:t>
      </w:r>
    </w:p>
    <w:p w:rsidR="007374E3" w:rsidRDefault="00DE1821">
      <w:pPr>
        <w:pStyle w:val="ListParagraph"/>
        <w:ind w:left="927"/>
      </w:pPr>
      <w:hyperlink r:id="rId17">
        <w:r>
          <w:rPr>
            <w:rStyle w:val="Hyperlink1"/>
            <w:lang w:val="en-NZ"/>
          </w:rPr>
          <w:t>recommendations</w:t>
        </w:r>
      </w:hyperlink>
      <w:r>
        <w:rPr>
          <w:lang w:val="en-NZ"/>
        </w:rPr>
        <w:t xml:space="preserve"> to come out of the inquiry was to:  </w:t>
      </w:r>
    </w:p>
    <w:p w:rsidR="007374E3" w:rsidRDefault="007374E3">
      <w:pPr>
        <w:pStyle w:val="ListParagraph"/>
      </w:pPr>
    </w:p>
    <w:p w:rsidR="007374E3" w:rsidRDefault="00DE1821">
      <w:pPr>
        <w:pStyle w:val="ListParagraph"/>
      </w:pPr>
      <w:r>
        <w:tab/>
      </w:r>
      <w:r>
        <w:rPr>
          <w:i/>
          <w:iCs/>
          <w:lang w:val="en-NZ"/>
        </w:rPr>
        <w:t xml:space="preserve">Repeal </w:t>
      </w:r>
      <w:r>
        <w:rPr>
          <w:i/>
          <w:iCs/>
          <w:lang w:val="en-NZ"/>
        </w:rPr>
        <w:t xml:space="preserve">and replace the Mental Health (Compulsory Assessment and </w:t>
      </w:r>
      <w:r>
        <w:rPr>
          <w:i/>
          <w:iCs/>
          <w:lang w:val="en-NZ"/>
        </w:rPr>
        <w:tab/>
      </w:r>
      <w:r>
        <w:rPr>
          <w:i/>
          <w:iCs/>
          <w:lang w:val="en-NZ"/>
        </w:rPr>
        <w:tab/>
        <w:t xml:space="preserve">Treatment) Act 1992 so that it reflects a human rights-based approach, </w:t>
      </w:r>
      <w:r>
        <w:rPr>
          <w:i/>
          <w:iCs/>
          <w:lang w:val="en-NZ"/>
        </w:rPr>
        <w:tab/>
      </w:r>
      <w:r>
        <w:rPr>
          <w:i/>
          <w:iCs/>
          <w:lang w:val="en-NZ"/>
        </w:rPr>
        <w:tab/>
        <w:t xml:space="preserve">promotes supported decision </w:t>
      </w:r>
      <w:r>
        <w:rPr>
          <w:i/>
          <w:iCs/>
          <w:lang w:val="en-NZ"/>
        </w:rPr>
        <w:tab/>
        <w:t xml:space="preserve">making, aligns with the recovery and wellbeing </w:t>
      </w:r>
      <w:r>
        <w:rPr>
          <w:i/>
          <w:iCs/>
          <w:lang w:val="en-NZ"/>
        </w:rPr>
        <w:tab/>
        <w:t>model of mental health, and provides measures t</w:t>
      </w:r>
      <w:r>
        <w:rPr>
          <w:i/>
          <w:iCs/>
          <w:lang w:val="en-NZ"/>
        </w:rPr>
        <w:t xml:space="preserve">o minimise compulsory or </w:t>
      </w:r>
      <w:r>
        <w:rPr>
          <w:i/>
          <w:iCs/>
          <w:lang w:val="en-NZ"/>
        </w:rPr>
        <w:tab/>
        <w:t>coercive treatment.</w:t>
      </w:r>
      <w:r>
        <w:rPr>
          <w:rStyle w:val="FootnoteReference"/>
          <w:i/>
          <w:iCs/>
          <w:lang w:val="en-NZ"/>
        </w:rPr>
        <w:footnoteReference w:id="13"/>
      </w:r>
    </w:p>
    <w:p w:rsidR="007374E3" w:rsidRDefault="007374E3">
      <w:pPr>
        <w:pStyle w:val="ListParagraph"/>
      </w:pPr>
    </w:p>
    <w:p w:rsidR="007374E3" w:rsidRDefault="00DE1821">
      <w:pPr>
        <w:pStyle w:val="ListParagraph"/>
        <w:numPr>
          <w:ilvl w:val="0"/>
          <w:numId w:val="2"/>
        </w:numPr>
      </w:pPr>
      <w:r>
        <w:rPr>
          <w:lang w:val="en-NZ"/>
        </w:rPr>
        <w:t xml:space="preserve">This recommendation was in alignment with the Committee on the Rights of Persons with Disabilities, as were several of the other recommendations of the inquiry.  </w:t>
      </w:r>
    </w:p>
    <w:p w:rsidR="007374E3" w:rsidRDefault="007374E3">
      <w:pPr>
        <w:pStyle w:val="ListParagraph"/>
        <w:ind w:left="927"/>
        <w:rPr>
          <w:lang w:val="en-NZ"/>
        </w:rPr>
      </w:pPr>
    </w:p>
    <w:p w:rsidR="007374E3" w:rsidRDefault="00DE1821">
      <w:pPr>
        <w:pStyle w:val="ListParagraph"/>
        <w:numPr>
          <w:ilvl w:val="0"/>
          <w:numId w:val="2"/>
        </w:numPr>
      </w:pPr>
      <w:r>
        <w:rPr>
          <w:rStyle w:val="Hyperlink1"/>
          <w:color w:val="000000"/>
          <w:u w:val="none"/>
          <w:lang w:val="en-NZ"/>
        </w:rPr>
        <w:t xml:space="preserve">In 2014 the CRPD clearly stated that: </w:t>
      </w:r>
    </w:p>
    <w:p w:rsidR="007374E3" w:rsidRDefault="007374E3">
      <w:pPr>
        <w:pStyle w:val="ListParagraph"/>
        <w:ind w:left="927"/>
        <w:rPr>
          <w:rStyle w:val="Hyperlink1"/>
          <w:color w:val="000000"/>
          <w:u w:val="none"/>
          <w:lang w:val="en-NZ"/>
        </w:rPr>
      </w:pPr>
    </w:p>
    <w:p w:rsidR="007374E3" w:rsidRDefault="00DE1821">
      <w:pPr>
        <w:pStyle w:val="ListParagraph"/>
        <w:ind w:left="1440"/>
      </w:pPr>
      <w:r>
        <w:rPr>
          <w:rStyle w:val="Hyperlink1"/>
          <w:i/>
          <w:iCs/>
          <w:color w:val="000000"/>
          <w:u w:val="none"/>
          <w:lang w:val="en-NZ"/>
        </w:rPr>
        <w:t>Forc</w:t>
      </w:r>
      <w:r>
        <w:rPr>
          <w:rStyle w:val="Hyperlink1"/>
          <w:i/>
          <w:iCs/>
          <w:color w:val="000000"/>
          <w:u w:val="none"/>
          <w:lang w:val="en-NZ"/>
        </w:rPr>
        <w:t>ed treatment is a particular problem for persons with psychosocial, intellectual and other cognitive disabilities. States parties must abolish policies and legislative provisions that allow or perpetrate forced treatment, as it is an ongoing violation foun</w:t>
      </w:r>
      <w:r>
        <w:rPr>
          <w:rStyle w:val="Hyperlink1"/>
          <w:i/>
          <w:iCs/>
          <w:color w:val="000000"/>
          <w:u w:val="none"/>
          <w:lang w:val="en-NZ"/>
        </w:rPr>
        <w:t>d in mental health laws across the globe, despite empirical evidence indicating its lack of effectiveness and the views of people using mental health systems who have experienced deep pain and trauma as a result of forced treatment. The Committee recommend</w:t>
      </w:r>
      <w:r>
        <w:rPr>
          <w:rStyle w:val="Hyperlink1"/>
          <w:i/>
          <w:iCs/>
          <w:color w:val="000000"/>
          <w:u w:val="none"/>
          <w:lang w:val="en-NZ"/>
        </w:rPr>
        <w:t xml:space="preserve">s that States parties ensure that decisions relating to a person’s physical or mental </w:t>
      </w:r>
    </w:p>
    <w:p w:rsidR="007374E3" w:rsidRDefault="00DE1821">
      <w:pPr>
        <w:pStyle w:val="ListParagraph"/>
        <w:ind w:left="1440"/>
      </w:pPr>
      <w:r>
        <w:rPr>
          <w:rStyle w:val="Hyperlink1"/>
          <w:i/>
          <w:iCs/>
          <w:color w:val="000000"/>
          <w:u w:val="none"/>
          <w:lang w:val="en-NZ"/>
        </w:rPr>
        <w:tab/>
      </w:r>
      <w:r>
        <w:rPr>
          <w:rStyle w:val="Hyperlink1"/>
          <w:i/>
          <w:iCs/>
          <w:color w:val="000000"/>
          <w:u w:val="none"/>
          <w:lang w:val="en-NZ"/>
        </w:rPr>
        <w:tab/>
      </w:r>
      <w:r>
        <w:rPr>
          <w:rStyle w:val="Hyperlink1"/>
          <w:i/>
          <w:iCs/>
          <w:color w:val="000000"/>
          <w:u w:val="none"/>
          <w:lang w:val="en-NZ"/>
        </w:rPr>
        <w:tab/>
      </w:r>
      <w:r>
        <w:rPr>
          <w:rStyle w:val="Hyperlink1"/>
          <w:i/>
          <w:iCs/>
          <w:color w:val="000000"/>
          <w:u w:val="none"/>
          <w:lang w:val="en-NZ"/>
        </w:rPr>
        <w:tab/>
      </w:r>
      <w:r>
        <w:rPr>
          <w:rStyle w:val="Hyperlink1"/>
          <w:color w:val="000000"/>
          <w:u w:val="none"/>
          <w:lang w:val="en-NZ"/>
        </w:rPr>
        <w:t>15</w:t>
      </w:r>
    </w:p>
    <w:p w:rsidR="007374E3" w:rsidRDefault="007374E3">
      <w:pPr>
        <w:pStyle w:val="ListParagraph"/>
        <w:ind w:left="1440"/>
        <w:rPr>
          <w:rStyle w:val="Hyperlink1"/>
          <w:i/>
          <w:iCs/>
          <w:color w:val="000000"/>
          <w:u w:val="none"/>
          <w:lang w:val="en-NZ"/>
        </w:rPr>
      </w:pPr>
    </w:p>
    <w:p w:rsidR="007374E3" w:rsidRDefault="00DE1821">
      <w:pPr>
        <w:pStyle w:val="ListParagraph"/>
        <w:ind w:left="1440"/>
      </w:pPr>
      <w:r>
        <w:rPr>
          <w:rStyle w:val="Hyperlink1"/>
          <w:i/>
          <w:iCs/>
          <w:color w:val="000000"/>
          <w:u w:val="none"/>
          <w:lang w:val="en-NZ"/>
        </w:rPr>
        <w:t>integrity can only be taken with the free and informed consent of the person concerned.</w:t>
      </w:r>
      <w:r>
        <w:rPr>
          <w:rStyle w:val="FootnoteReference"/>
          <w:i/>
          <w:iCs/>
          <w:color w:val="000000"/>
          <w:lang w:val="en-NZ"/>
        </w:rPr>
        <w:footnoteReference w:id="14"/>
      </w:r>
    </w:p>
    <w:p w:rsidR="007374E3" w:rsidRDefault="007374E3">
      <w:pPr>
        <w:pStyle w:val="ListParagraph"/>
        <w:ind w:left="927"/>
        <w:rPr>
          <w:rStyle w:val="Hyperlink1"/>
          <w:color w:val="000000"/>
          <w:u w:val="none"/>
          <w:lang w:val="en-NZ"/>
        </w:rPr>
      </w:pPr>
    </w:p>
    <w:p w:rsidR="007374E3" w:rsidRDefault="00DE1821">
      <w:pPr>
        <w:pStyle w:val="ListParagraph"/>
        <w:numPr>
          <w:ilvl w:val="0"/>
          <w:numId w:val="2"/>
        </w:numPr>
      </w:pPr>
      <w:r>
        <w:rPr>
          <w:rStyle w:val="Hyperlink1"/>
          <w:color w:val="000000"/>
          <w:u w:val="none"/>
          <w:lang w:val="en-NZ"/>
        </w:rPr>
        <w:t xml:space="preserve">While the review of mental health law is still in progress, five years </w:t>
      </w:r>
      <w:r>
        <w:rPr>
          <w:rStyle w:val="Hyperlink1"/>
          <w:color w:val="000000"/>
          <w:u w:val="none"/>
          <w:lang w:val="en-NZ"/>
        </w:rPr>
        <w:t>after this recommendation compulsory treatment under New Zealand’s mental health law has been increasing. This is according to the latest statistics released in the</w:t>
      </w:r>
      <w:r>
        <w:rPr>
          <w:rStyle w:val="Hyperlink1"/>
          <w:i/>
          <w:iCs/>
          <w:color w:val="000000"/>
          <w:u w:val="none"/>
          <w:lang w:val="en-NZ"/>
        </w:rPr>
        <w:t xml:space="preserve"> Office of the Director of Mental Health and Addiction Services Regulatory Report 1 July 202</w:t>
      </w:r>
      <w:r>
        <w:rPr>
          <w:rStyle w:val="Hyperlink1"/>
          <w:i/>
          <w:iCs/>
          <w:color w:val="000000"/>
          <w:u w:val="none"/>
          <w:lang w:val="en-NZ"/>
        </w:rPr>
        <w:t>0 to 30 June 2021.</w:t>
      </w:r>
      <w:r>
        <w:rPr>
          <w:rStyle w:val="FootnoteReference"/>
          <w:i/>
          <w:iCs/>
          <w:color w:val="000000"/>
          <w:lang w:val="en-NZ"/>
        </w:rPr>
        <w:footnoteReference w:id="15"/>
      </w:r>
      <w:r>
        <w:rPr>
          <w:rStyle w:val="Hyperlink1"/>
          <w:i/>
          <w:iCs/>
          <w:color w:val="000000"/>
          <w:u w:val="none"/>
          <w:lang w:val="en-NZ"/>
        </w:rPr>
        <w:t xml:space="preserve"> </w:t>
      </w:r>
      <w:r>
        <w:rPr>
          <w:rStyle w:val="Hyperlink1"/>
          <w:color w:val="000000"/>
          <w:u w:val="none"/>
          <w:lang w:val="en-NZ"/>
        </w:rPr>
        <w:t>(p 4 [pdf 14]) It indicates a lack of responsibility and action by NZ authorities as well as the New Zealand branch of the Royal Australian and New Zealand College of Psychiatrists (RANZCP) to take effective and expeditious action to en</w:t>
      </w:r>
      <w:r>
        <w:rPr>
          <w:rStyle w:val="Hyperlink1"/>
          <w:color w:val="000000"/>
          <w:u w:val="none"/>
          <w:lang w:val="en-NZ"/>
        </w:rPr>
        <w:t>d coercive psychiatric practices, such as those that posed a threat to patients at Lake Alice and other institutions.</w:t>
      </w:r>
    </w:p>
    <w:p w:rsidR="007374E3" w:rsidRDefault="007374E3">
      <w:pPr>
        <w:pStyle w:val="ListParagraph"/>
        <w:ind w:left="927"/>
        <w:rPr>
          <w:rStyle w:val="Hyperlink1"/>
          <w:color w:val="000000"/>
          <w:u w:val="none"/>
        </w:rPr>
      </w:pPr>
    </w:p>
    <w:p w:rsidR="007374E3" w:rsidRDefault="00DE1821">
      <w:pPr>
        <w:pStyle w:val="ListParagraph"/>
        <w:numPr>
          <w:ilvl w:val="0"/>
          <w:numId w:val="2"/>
        </w:numPr>
        <w:rPr>
          <w:b/>
          <w:bCs/>
        </w:rPr>
      </w:pPr>
      <w:r>
        <w:rPr>
          <w:rStyle w:val="Strong"/>
          <w:b w:val="0"/>
          <w:bCs w:val="0"/>
        </w:rPr>
        <w:t>In June 2022, the RANZCP “Statement on the Royal Commission of Inquiry into Abuse in Care – New Zealand” posted on their website hinted o</w:t>
      </w:r>
      <w:r>
        <w:rPr>
          <w:rStyle w:val="Strong"/>
          <w:b w:val="0"/>
          <w:bCs w:val="0"/>
        </w:rPr>
        <w:t>f an apology to the Lake Alice survivors.  However, the strongest comment the group conveyed to the victims was: “The College expresses its regret for the pain, suffering and loss. We are deeply sorry.”</w:t>
      </w:r>
      <w:r>
        <w:t xml:space="preserve"> It noted that survivors had been “receiving psychiatr</w:t>
      </w:r>
      <w:r>
        <w:t>ic ‘treatments’ that were ineffective, harmful, unethical and traumatizing.”</w:t>
      </w:r>
      <w:r>
        <w:rPr>
          <w:rStyle w:val="FootnoteCharacters"/>
          <w:color w:val="000000"/>
          <w:lang w:val="en-NZ"/>
        </w:rPr>
        <w:t xml:space="preserve"> </w:t>
      </w:r>
      <w:r>
        <w:rPr>
          <w:rStyle w:val="FootnoteReference"/>
          <w:color w:val="000000"/>
          <w:lang w:val="en-NZ"/>
        </w:rPr>
        <w:footnoteReference w:id="16"/>
      </w:r>
      <w:r>
        <w:rPr>
          <w:color w:val="000000"/>
          <w:lang w:val="en-NZ"/>
        </w:rPr>
        <w:t xml:space="preserve"> </w:t>
      </w:r>
      <w:r>
        <w:rPr>
          <w:rStyle w:val="Strong"/>
          <w:b w:val="0"/>
          <w:bCs w:val="0"/>
        </w:rPr>
        <w:t>Lake Alice survivor Leoni McInroe responded that she was “sickened and insulted” by the College’s statement: “The ‘footnote apologies’ offered up in their news releases to the c</w:t>
      </w:r>
      <w:r>
        <w:rPr>
          <w:rStyle w:val="Strong"/>
          <w:b w:val="0"/>
          <w:bCs w:val="0"/>
        </w:rPr>
        <w:t>hildren of Lake Alice continue to diminish and minimize the voices, the stories, the harrowing experiences the children of Lake Alice were subjected to. It is utterly shameful,”</w:t>
      </w:r>
      <w:r>
        <w:t xml:space="preserve"> she said. Leoni added how the college refused to be “authentically transparent</w:t>
      </w:r>
      <w:r>
        <w:t>, honest about their shepherding Dr. Leeks to his grave, protecting him from the accountability of the enormous trauma and harm he has caused.”.</w:t>
      </w:r>
      <w:r>
        <w:rPr>
          <w:rStyle w:val="FootnoteReference"/>
        </w:rPr>
        <w:footnoteReference w:id="17"/>
      </w:r>
    </w:p>
    <w:p w:rsidR="007374E3" w:rsidRDefault="007374E3">
      <w:pPr>
        <w:pStyle w:val="ListParagraph"/>
        <w:rPr>
          <w:b/>
          <w:bCs/>
        </w:rPr>
      </w:pPr>
    </w:p>
    <w:p w:rsidR="007374E3" w:rsidRDefault="007374E3">
      <w:pPr>
        <w:pStyle w:val="ListParagraph"/>
        <w:ind w:left="927"/>
        <w:rPr>
          <w:b/>
          <w:bCs/>
        </w:rPr>
      </w:pPr>
    </w:p>
    <w:p w:rsidR="007374E3" w:rsidRDefault="007374E3">
      <w:pPr>
        <w:pStyle w:val="ListParagraph"/>
        <w:ind w:left="927"/>
        <w:rPr>
          <w:b/>
          <w:bCs/>
        </w:rPr>
      </w:pPr>
    </w:p>
    <w:p w:rsidR="007374E3" w:rsidRDefault="007374E3">
      <w:pPr>
        <w:pStyle w:val="ListParagraph"/>
        <w:ind w:left="927"/>
        <w:rPr>
          <w:b/>
          <w:bCs/>
        </w:rPr>
      </w:pPr>
    </w:p>
    <w:p w:rsidR="007374E3" w:rsidRDefault="00DE1821">
      <w:pPr>
        <w:pStyle w:val="ListParagraph"/>
        <w:ind w:left="4527"/>
        <w:rPr>
          <w:b/>
          <w:bCs/>
        </w:rPr>
      </w:pPr>
      <w:r>
        <w:rPr>
          <w:rStyle w:val="Strong"/>
          <w:b w:val="0"/>
          <w:bCs w:val="0"/>
        </w:rPr>
        <w:t>16</w:t>
      </w:r>
    </w:p>
    <w:p w:rsidR="007374E3" w:rsidRDefault="007374E3">
      <w:pPr>
        <w:pStyle w:val="ListParagraph"/>
        <w:ind w:left="927"/>
        <w:rPr>
          <w:b/>
          <w:bCs/>
        </w:rPr>
      </w:pPr>
    </w:p>
    <w:p w:rsidR="007374E3" w:rsidRDefault="00DE1821">
      <w:pPr>
        <w:pStyle w:val="ListParagraph"/>
        <w:numPr>
          <w:ilvl w:val="0"/>
          <w:numId w:val="2"/>
        </w:numPr>
        <w:rPr>
          <w:b/>
          <w:bCs/>
        </w:rPr>
      </w:pPr>
      <w:r>
        <w:rPr>
          <w:rStyle w:val="Strong"/>
          <w:b w:val="0"/>
          <w:bCs w:val="0"/>
        </w:rPr>
        <w:t>Malcolm Richards dismissed the apology as a “weak, pathetic waste of words.</w:t>
      </w:r>
      <w:r>
        <w:rPr>
          <w:b/>
        </w:rPr>
        <w:t>”</w:t>
      </w:r>
      <w:r>
        <w:t xml:space="preserve"> Paul Zentveld pointed out</w:t>
      </w:r>
      <w:r>
        <w:t xml:space="preserve"> that the college isn’t off the hook regarding accountability.</w:t>
      </w:r>
      <w:r>
        <w:rPr>
          <w:rStyle w:val="FootnoteReference"/>
        </w:rPr>
        <w:footnoteReference w:id="18"/>
      </w:r>
    </w:p>
    <w:p w:rsidR="007374E3" w:rsidRDefault="007374E3">
      <w:pPr>
        <w:pStyle w:val="ListParagraph"/>
        <w:ind w:left="927"/>
        <w:rPr>
          <w:rStyle w:val="Hyperlink1"/>
          <w:b/>
          <w:bCs/>
          <w:color w:val="auto"/>
          <w:u w:val="none"/>
        </w:rPr>
      </w:pPr>
    </w:p>
    <w:p w:rsidR="007374E3" w:rsidRDefault="00DE1821">
      <w:pPr>
        <w:pStyle w:val="ListParagraph"/>
        <w:numPr>
          <w:ilvl w:val="0"/>
          <w:numId w:val="2"/>
        </w:numPr>
      </w:pPr>
      <w:r>
        <w:t>In June 2022, New Zealand police confirmed they had identified 136 former patients of the Lake Alice hospital who had received electroshock without anaesthetic as punishment.</w:t>
      </w:r>
      <w:r>
        <w:rPr>
          <w:rStyle w:val="FootnoteReference"/>
        </w:rPr>
        <w:footnoteReference w:id="19"/>
      </w:r>
      <w:r>
        <w:t xml:space="preserve">  Thirty-one of the 136 boys tortured, according to police records, are now dead! They’ll never see justice. This would be sufficient grounds in itself to ensure protections against future use of electroshock treatment under contemporary law.</w:t>
      </w:r>
    </w:p>
    <w:p w:rsidR="007374E3" w:rsidRDefault="007374E3">
      <w:pPr>
        <w:pStyle w:val="ListParagraph"/>
        <w:ind w:left="927"/>
        <w:rPr>
          <w:rStyle w:val="Hyperlink1"/>
          <w:color w:val="000000"/>
          <w:u w:val="none"/>
        </w:rPr>
      </w:pPr>
    </w:p>
    <w:p w:rsidR="007374E3" w:rsidRDefault="00DE1821">
      <w:pPr>
        <w:pStyle w:val="ListParagraph"/>
        <w:numPr>
          <w:ilvl w:val="0"/>
          <w:numId w:val="2"/>
        </w:numPr>
      </w:pPr>
      <w:r>
        <w:t>In 2013, the</w:t>
      </w:r>
      <w:r>
        <w:t xml:space="preserve"> UN Special Rapporteur on Torture called for a ban on forced treatment such as “psychosurgery, electroshock and mind-altering drugs such as neuroleptics, [and] the use of restraint and solitary confinement, for both long- and short-term application.” The S</w:t>
      </w:r>
      <w:r>
        <w:t>pecial Rapporteur further urged the promotion of “accountability for torture and ill-treatment in health-care settings by identifying laws, policies and practices that lead to abuse; and enable national preventive mechanisms to systematically monitor, rece</w:t>
      </w:r>
      <w:r>
        <w:t xml:space="preserve">ive complaints and initiate prosecutions. </w:t>
      </w:r>
      <w:r>
        <w:rPr>
          <w:rStyle w:val="FootnoteReference"/>
        </w:rPr>
        <w:footnoteReference w:id="20"/>
      </w:r>
    </w:p>
    <w:p w:rsidR="007374E3" w:rsidRDefault="007374E3">
      <w:pPr>
        <w:pStyle w:val="ListParagraph"/>
        <w:ind w:left="927"/>
      </w:pPr>
    </w:p>
    <w:p w:rsidR="007374E3" w:rsidRDefault="00DE1821">
      <w:pPr>
        <w:pStyle w:val="ListParagraph"/>
        <w:ind w:left="927"/>
      </w:pPr>
      <w:r>
        <w:t xml:space="preserve">When the United Nations Charter was drafted in 1945, New Zealand was one of the countries that successfully lobbied for human rights to be included. It played a prominent role in the drafting of the </w:t>
      </w:r>
      <w:r>
        <w:rPr>
          <w:rStyle w:val="Emphasis"/>
        </w:rPr>
        <w:t>Universal De</w:t>
      </w:r>
      <w:r>
        <w:rPr>
          <w:rStyle w:val="Emphasis"/>
        </w:rPr>
        <w:t>claration of Human Rights</w:t>
      </w:r>
      <w:r>
        <w:t>, which includes Article 5 that no one should be subjected to “torture and other cruel, inhuman or degrading treatment or punishment.</w:t>
      </w:r>
    </w:p>
    <w:p w:rsidR="007374E3" w:rsidRDefault="007374E3">
      <w:pPr>
        <w:pStyle w:val="ListParagraph"/>
        <w:ind w:left="927"/>
      </w:pPr>
    </w:p>
    <w:p w:rsidR="007374E3" w:rsidRDefault="00DE1821">
      <w:pPr>
        <w:pStyle w:val="ListParagraph"/>
        <w:numPr>
          <w:ilvl w:val="0"/>
          <w:numId w:val="2"/>
        </w:numPr>
      </w:pPr>
      <w:r>
        <w:t>For years, the United Nations Human Rights Council and other agency reports have called for ment</w:t>
      </w:r>
      <w:r>
        <w:t>al health reforms to align with the Convention on the Rights of Persons with Disabilities (CRPD), as detailed in the February-April 2022 Annual Report of the UN High Commissioner for Human Rights.</w:t>
      </w:r>
      <w:r>
        <w:rPr>
          <w:rStyle w:val="FootnoteReference"/>
        </w:rPr>
        <w:footnoteReference w:id="21"/>
      </w:r>
    </w:p>
    <w:p w:rsidR="007374E3" w:rsidRDefault="00DE1821">
      <w:pPr>
        <w:pStyle w:val="ListParagraph"/>
      </w:pPr>
      <w:r>
        <w:tab/>
      </w:r>
      <w:r>
        <w:tab/>
      </w:r>
      <w:r>
        <w:tab/>
      </w:r>
      <w:r>
        <w:tab/>
      </w:r>
      <w:r>
        <w:tab/>
        <w:t>17</w:t>
      </w:r>
    </w:p>
    <w:p w:rsidR="007374E3" w:rsidRDefault="007374E3">
      <w:pPr>
        <w:pStyle w:val="ListParagraph"/>
      </w:pPr>
    </w:p>
    <w:p w:rsidR="007374E3" w:rsidRDefault="00DE1821">
      <w:pPr>
        <w:pStyle w:val="ListParagraph"/>
        <w:numPr>
          <w:ilvl w:val="0"/>
          <w:numId w:val="2"/>
        </w:numPr>
        <w:suppressAutoHyphens w:val="0"/>
        <w:spacing w:beforeAutospacing="1" w:afterAutospacing="1"/>
        <w:rPr>
          <w:rFonts w:ascii="Calibri" w:hAnsi="Calibri"/>
        </w:rPr>
      </w:pPr>
      <w:r>
        <w:rPr>
          <w:rFonts w:eastAsia="Times New Roman" w:cs="Times New Roman"/>
          <w:lang w:val="en-US"/>
        </w:rPr>
        <w:t xml:space="preserve">The High Commissioner’s report, which reinforced </w:t>
      </w:r>
      <w:r>
        <w:rPr>
          <w:rFonts w:eastAsia="Times New Roman" w:cs="Times New Roman"/>
          <w:lang w:val="en-US"/>
        </w:rPr>
        <w:t>similar reports in 2017 and 2018, primarily stated that:</w:t>
      </w:r>
    </w:p>
    <w:p w:rsidR="007374E3" w:rsidRDefault="007374E3">
      <w:pPr>
        <w:pStyle w:val="ListParagraph"/>
        <w:suppressAutoHyphens w:val="0"/>
        <w:spacing w:beforeAutospacing="1" w:afterAutospacing="1"/>
        <w:rPr>
          <w:rFonts w:eastAsia="Times New Roman" w:cs="Times New Roman"/>
          <w:lang w:val="en-US"/>
        </w:rPr>
      </w:pPr>
    </w:p>
    <w:p w:rsidR="007374E3" w:rsidRDefault="00DE1821">
      <w:pPr>
        <w:pStyle w:val="ListParagraph"/>
        <w:suppressAutoHyphens w:val="0"/>
        <w:spacing w:beforeAutospacing="1" w:afterAutospacing="1"/>
        <w:rPr>
          <w:rFonts w:ascii="Calibri" w:hAnsi="Calibri"/>
        </w:rPr>
      </w:pPr>
      <w:r>
        <w:rPr>
          <w:rFonts w:eastAsia="Times New Roman" w:cs="Times New Roman"/>
          <w:lang w:val="en-US"/>
        </w:rPr>
        <w:tab/>
      </w:r>
      <w:r>
        <w:rPr>
          <w:rFonts w:eastAsia="Times New Roman" w:cs="Times New Roman"/>
          <w:i/>
          <w:iCs/>
          <w:lang w:val="en-US"/>
        </w:rPr>
        <w:t xml:space="preserve">Provisions on forced mental health institutionalization and treatment should </w:t>
      </w:r>
      <w:r>
        <w:rPr>
          <w:rFonts w:eastAsia="Times New Roman" w:cs="Times New Roman"/>
          <w:i/>
          <w:iCs/>
          <w:lang w:val="en-US"/>
        </w:rPr>
        <w:tab/>
        <w:t xml:space="preserve">be repealed to be replaced with rights-based and decision-making mental </w:t>
      </w:r>
      <w:r>
        <w:rPr>
          <w:rFonts w:eastAsia="Times New Roman" w:cs="Times New Roman"/>
          <w:i/>
          <w:iCs/>
          <w:lang w:val="en-US"/>
        </w:rPr>
        <w:tab/>
        <w:t>health services in the community.</w:t>
      </w:r>
    </w:p>
    <w:p w:rsidR="007374E3" w:rsidRDefault="007374E3">
      <w:pPr>
        <w:pStyle w:val="ListParagraph"/>
        <w:suppressAutoHyphens w:val="0"/>
        <w:spacing w:beforeAutospacing="1" w:afterAutospacing="1"/>
        <w:rPr>
          <w:rFonts w:eastAsia="Times New Roman" w:cs="Times New Roman"/>
          <w:lang w:val="en-US"/>
        </w:rPr>
      </w:pPr>
    </w:p>
    <w:p w:rsidR="007374E3" w:rsidRDefault="00DE1821">
      <w:pPr>
        <w:pStyle w:val="ListParagraph"/>
        <w:suppressAutoHyphens w:val="0"/>
        <w:spacing w:beforeAutospacing="1" w:afterAutospacing="1"/>
        <w:rPr>
          <w:rFonts w:ascii="Calibri" w:hAnsi="Calibri"/>
        </w:rPr>
      </w:pPr>
      <w:r>
        <w:rPr>
          <w:rFonts w:eastAsia="Times New Roman" w:cs="Times New Roman"/>
          <w:i/>
          <w:iCs/>
          <w:lang w:val="en-US"/>
        </w:rPr>
        <w:tab/>
        <w:t xml:space="preserve">There is </w:t>
      </w:r>
      <w:r>
        <w:rPr>
          <w:rFonts w:eastAsia="Times New Roman" w:cs="Times New Roman"/>
          <w:i/>
          <w:iCs/>
          <w:lang w:val="en-US"/>
        </w:rPr>
        <w:t>an over reliance on mental health drugs, which are a “significant ob</w:t>
      </w:r>
      <w:r>
        <w:rPr>
          <w:rFonts w:eastAsia="Times New Roman" w:cs="Times New Roman"/>
          <w:i/>
          <w:iCs/>
          <w:lang w:val="en-US"/>
        </w:rPr>
        <w:tab/>
        <w:t>stacle to the realization of the right to health.</w:t>
      </w:r>
      <w:r>
        <w:rPr>
          <w:rStyle w:val="FootnoteReference"/>
          <w:rFonts w:eastAsia="Times New Roman" w:cs="Times New Roman"/>
          <w:lang w:val="en-US"/>
        </w:rPr>
        <w:footnoteReference w:id="22"/>
      </w:r>
    </w:p>
    <w:p w:rsidR="007374E3" w:rsidRDefault="007374E3">
      <w:pPr>
        <w:pStyle w:val="ListParagraph"/>
        <w:suppressAutoHyphens w:val="0"/>
        <w:spacing w:beforeAutospacing="1" w:afterAutospacing="1"/>
        <w:ind w:left="927"/>
        <w:rPr>
          <w:rFonts w:eastAsia="Times New Roman" w:cs="Times New Roman"/>
          <w:lang w:val="en-US"/>
        </w:rPr>
      </w:pPr>
    </w:p>
    <w:p w:rsidR="007374E3" w:rsidRDefault="00DE1821">
      <w:pPr>
        <w:pStyle w:val="ListParagraph"/>
        <w:numPr>
          <w:ilvl w:val="0"/>
          <w:numId w:val="2"/>
        </w:numPr>
        <w:suppressAutoHyphens w:val="0"/>
        <w:spacing w:beforeAutospacing="1" w:afterAutospacing="1"/>
      </w:pPr>
      <w:r>
        <w:t>In November 2020, the CRPD reported that the use of forced treatment, seclusion and various methods of restraint should be prohibited a</w:t>
      </w:r>
      <w:r>
        <w:t>s torture and other cruel, inhuman or degrading treatment or punishment of persons with disabilities.</w:t>
      </w:r>
      <w:r>
        <w:rPr>
          <w:rStyle w:val="FootnoteReference"/>
        </w:rPr>
        <w:footnoteReference w:id="23"/>
      </w:r>
    </w:p>
    <w:p w:rsidR="007374E3" w:rsidRDefault="007374E3">
      <w:pPr>
        <w:pStyle w:val="ListParagraph"/>
        <w:ind w:left="927"/>
        <w:rPr>
          <w:rStyle w:val="Hyperlink1"/>
          <w:color w:val="000000"/>
          <w:u w:val="none"/>
          <w:lang w:val="en-US"/>
        </w:rPr>
      </w:pPr>
    </w:p>
    <w:p w:rsidR="007374E3" w:rsidRDefault="00DE1821">
      <w:pPr>
        <w:pStyle w:val="ListParagraph"/>
        <w:numPr>
          <w:ilvl w:val="0"/>
          <w:numId w:val="2"/>
        </w:numPr>
      </w:pPr>
      <w:r>
        <w:t>In 2021, the World Health Organization “Guidance on Community Mental Health Services: Promoting Person-Centered and Rights-Based Approaches” also condem</w:t>
      </w:r>
      <w:r>
        <w:t>ned coercive psychiatric practices and noted that countries must ensure that “informed consent” is in place and that “the right to refuse admission and treatment is also respected.”</w:t>
      </w:r>
      <w:r>
        <w:rPr>
          <w:rStyle w:val="FootnoteReference"/>
        </w:rPr>
        <w:footnoteReference w:id="24"/>
      </w:r>
    </w:p>
    <w:p w:rsidR="007374E3" w:rsidRDefault="007374E3">
      <w:pPr>
        <w:pStyle w:val="ListParagraph"/>
        <w:ind w:left="927"/>
      </w:pPr>
    </w:p>
    <w:p w:rsidR="007374E3" w:rsidRDefault="00DE1821">
      <w:pPr>
        <w:pStyle w:val="ListParagraph"/>
        <w:numPr>
          <w:ilvl w:val="0"/>
          <w:numId w:val="2"/>
        </w:numPr>
      </w:pPr>
      <w:r>
        <w:rPr>
          <w:rStyle w:val="Strong"/>
          <w:b w:val="0"/>
          <w:bCs w:val="0"/>
        </w:rPr>
        <w:t>NZ Law Professor Kris Gledhill says that in international law, torture i</w:t>
      </w:r>
      <w:r>
        <w:rPr>
          <w:rStyle w:val="Strong"/>
          <w:b w:val="0"/>
          <w:bCs w:val="0"/>
        </w:rPr>
        <w:t>s one of the most serious crimes. “There is an international justice element to this… One of the very few rights that is absolute is that torture or cruel, inhuman or degrading treatment or punishment is never permitted.”</w:t>
      </w:r>
      <w:r>
        <w:rPr>
          <w:rStyle w:val="FootnoteReference"/>
        </w:rPr>
        <w:footnoteReference w:id="25"/>
      </w:r>
    </w:p>
    <w:p w:rsidR="007374E3" w:rsidRDefault="007374E3">
      <w:pPr>
        <w:pStyle w:val="ListParagraph"/>
        <w:ind w:left="927"/>
      </w:pPr>
    </w:p>
    <w:p w:rsidR="007374E3" w:rsidRDefault="00DE1821">
      <w:pPr>
        <w:pStyle w:val="ListParagraph"/>
        <w:numPr>
          <w:ilvl w:val="0"/>
          <w:numId w:val="2"/>
        </w:numPr>
      </w:pPr>
      <w:r>
        <w:rPr>
          <w:rStyle w:val="Hyperlink1"/>
          <w:color w:val="000000"/>
          <w:u w:val="none"/>
          <w:lang w:val="en-NZ"/>
        </w:rPr>
        <w:t>Yet, despite such abuse and tort</w:t>
      </w:r>
      <w:r>
        <w:rPr>
          <w:rStyle w:val="Hyperlink1"/>
          <w:color w:val="000000"/>
          <w:u w:val="none"/>
          <w:lang w:val="en-NZ"/>
        </w:rPr>
        <w:t>ure now recognised in NZ,  on an average day in 2014 it was recorded that 3,841 people were subject to community Compulsory Treatment Orders (CTOs) and 619 were subject to inpatient CTOs.</w:t>
      </w:r>
      <w:r>
        <w:rPr>
          <w:rStyle w:val="FootnoteReference"/>
          <w:color w:val="000000"/>
          <w:lang w:val="en-NZ"/>
        </w:rPr>
        <w:footnoteReference w:id="26"/>
      </w:r>
      <w:r>
        <w:rPr>
          <w:rStyle w:val="Hyperlink1"/>
          <w:color w:val="000000"/>
          <w:u w:val="none"/>
          <w:lang w:val="en-NZ"/>
        </w:rPr>
        <w:t xml:space="preserve">  (At the time of </w:t>
      </w:r>
    </w:p>
    <w:p w:rsidR="007374E3" w:rsidRDefault="00DE1821">
      <w:pPr>
        <w:pStyle w:val="ListParagraph"/>
        <w:ind w:left="4527"/>
      </w:pPr>
      <w:r>
        <w:rPr>
          <w:rStyle w:val="Hyperlink1"/>
          <w:color w:val="000000"/>
          <w:u w:val="none"/>
          <w:lang w:val="en-NZ"/>
        </w:rPr>
        <w:t>18</w:t>
      </w:r>
    </w:p>
    <w:p w:rsidR="007374E3" w:rsidRDefault="007374E3">
      <w:pPr>
        <w:pStyle w:val="ListParagraph"/>
        <w:ind w:left="927"/>
        <w:rPr>
          <w:rStyle w:val="Hyperlink1"/>
          <w:color w:val="000000"/>
          <w:u w:val="none"/>
          <w:lang w:val="en-NZ"/>
        </w:rPr>
      </w:pPr>
    </w:p>
    <w:p w:rsidR="007374E3" w:rsidRDefault="00DE1821">
      <w:pPr>
        <w:pStyle w:val="ListParagraph"/>
        <w:ind w:left="927"/>
      </w:pPr>
      <w:r>
        <w:rPr>
          <w:rStyle w:val="Hyperlink1"/>
          <w:color w:val="000000"/>
          <w:u w:val="none"/>
          <w:lang w:val="en-NZ"/>
        </w:rPr>
        <w:t>writing this submission it is unknown whether</w:t>
      </w:r>
      <w:r>
        <w:rPr>
          <w:rStyle w:val="Hyperlink1"/>
          <w:color w:val="000000"/>
          <w:u w:val="none"/>
          <w:lang w:val="en-NZ"/>
        </w:rPr>
        <w:t xml:space="preserve"> any those forcibly treated had legal representation to combat these orders.)</w:t>
      </w:r>
    </w:p>
    <w:p w:rsidR="007374E3" w:rsidRDefault="007374E3">
      <w:pPr>
        <w:pStyle w:val="ListParagraph"/>
        <w:ind w:left="927"/>
        <w:rPr>
          <w:rStyle w:val="Hyperlink1"/>
          <w:color w:val="000000"/>
          <w:u w:val="none"/>
        </w:rPr>
      </w:pPr>
    </w:p>
    <w:p w:rsidR="007374E3" w:rsidRDefault="00DE1821">
      <w:pPr>
        <w:pStyle w:val="ListParagraph"/>
        <w:numPr>
          <w:ilvl w:val="0"/>
          <w:numId w:val="2"/>
        </w:numPr>
      </w:pPr>
      <w:r>
        <w:rPr>
          <w:rStyle w:val="Hyperlink1"/>
          <w:color w:val="000000"/>
          <w:u w:val="none"/>
          <w:lang w:val="en-NZ"/>
        </w:rPr>
        <w:t>By 2021 this increased to 4,608 people subject to community CTOs and 673 were subject to inpatient CTOs.</w:t>
      </w:r>
      <w:r>
        <w:rPr>
          <w:rStyle w:val="FootnoteReference"/>
          <w:color w:val="000000"/>
          <w:lang w:val="en-NZ"/>
        </w:rPr>
        <w:footnoteReference w:id="27"/>
      </w:r>
      <w:r>
        <w:rPr>
          <w:rStyle w:val="Hyperlink1"/>
          <w:color w:val="000000"/>
          <w:u w:val="none"/>
          <w:lang w:val="en-NZ"/>
        </w:rPr>
        <w:t xml:space="preserve"> </w:t>
      </w:r>
    </w:p>
    <w:p w:rsidR="007374E3" w:rsidRDefault="007374E3">
      <w:pPr>
        <w:pStyle w:val="ListParagraph"/>
      </w:pPr>
    </w:p>
    <w:p w:rsidR="007374E3" w:rsidRDefault="00DE1821">
      <w:pPr>
        <w:pStyle w:val="ListParagraph"/>
        <w:numPr>
          <w:ilvl w:val="0"/>
          <w:numId w:val="2"/>
        </w:numPr>
      </w:pPr>
      <w:r>
        <w:rPr>
          <w:lang w:val="en-NZ"/>
        </w:rPr>
        <w:t>Of considerable concern is the disproportionate number of Maori and P</w:t>
      </w:r>
      <w:r>
        <w:rPr>
          <w:lang w:val="en-NZ"/>
        </w:rPr>
        <w:t>acific  peoples under compulsory treatment orders as shown on page 10 [pdf 20] of the Mental Health report. Maori have been making up almost a third of the numbers receiving compulsory treatment and at a rate of over four times over other ethnicities—despi</w:t>
      </w:r>
      <w:r>
        <w:rPr>
          <w:lang w:val="en-NZ"/>
        </w:rPr>
        <w:t>te Maori representing 17 per cent of the total population—and  Pacific peoples at double the rate of other ethnicities.</w:t>
      </w:r>
      <w:r>
        <w:rPr>
          <w:rStyle w:val="FootnoteReference"/>
          <w:lang w:val="en-NZ"/>
        </w:rPr>
        <w:footnoteReference w:id="28"/>
      </w:r>
      <w:r>
        <w:rPr>
          <w:lang w:val="en-NZ"/>
        </w:rPr>
        <w:t xml:space="preserve"> </w:t>
      </w:r>
    </w:p>
    <w:p w:rsidR="007374E3" w:rsidRDefault="007374E3">
      <w:pPr>
        <w:pStyle w:val="ListParagraph"/>
        <w:ind w:left="927"/>
      </w:pPr>
    </w:p>
    <w:p w:rsidR="007374E3" w:rsidRDefault="00DE1821">
      <w:pPr>
        <w:pStyle w:val="ListParagraph"/>
        <w:numPr>
          <w:ilvl w:val="0"/>
          <w:numId w:val="2"/>
        </w:numPr>
      </w:pPr>
      <w:r>
        <w:rPr>
          <w:lang w:val="en-NZ"/>
        </w:rPr>
        <w:t>Maori and Pacific people under compulsory treatment orders are then disproportionately subjected to seclusion. (p 34 [pdf 44]). Maori</w:t>
      </w:r>
      <w:r>
        <w:rPr>
          <w:lang w:val="en-NZ"/>
        </w:rPr>
        <w:t xml:space="preserve"> made up 51.5 per cent of special patients (those who have been charged with committing crimes).</w:t>
      </w:r>
      <w:r>
        <w:rPr>
          <w:rStyle w:val="FootnoteReference"/>
          <w:lang w:val="en-NZ"/>
        </w:rPr>
        <w:footnoteReference w:id="29"/>
      </w:r>
      <w:r>
        <w:rPr>
          <w:lang w:val="en-NZ"/>
        </w:rPr>
        <w:t xml:space="preserve"> </w:t>
      </w:r>
    </w:p>
    <w:p w:rsidR="007374E3" w:rsidRDefault="007374E3">
      <w:pPr>
        <w:pStyle w:val="ListParagraph"/>
      </w:pPr>
    </w:p>
    <w:p w:rsidR="007374E3" w:rsidRDefault="00DE1821">
      <w:pPr>
        <w:pStyle w:val="ListParagraph"/>
        <w:numPr>
          <w:ilvl w:val="0"/>
          <w:numId w:val="2"/>
        </w:numPr>
      </w:pPr>
      <w:r>
        <w:rPr>
          <w:lang w:val="en-NZ"/>
        </w:rPr>
        <w:t>These contemporary figures of over representation of Maori and Pacific people in mental health also mirror the proportions of Maori and Pacific children who</w:t>
      </w:r>
      <w:r>
        <w:rPr>
          <w:lang w:val="en-NZ"/>
        </w:rPr>
        <w:t xml:space="preserve"> were in the Lake Alice Child and Adolescent Psychiatric Unit in the 1970s as well as other psychiatric facilities and care homes as documented by the Royal Commission into Abuse in Care in their Lake Alice report:</w:t>
      </w:r>
    </w:p>
    <w:p w:rsidR="007374E3" w:rsidRDefault="007374E3">
      <w:pPr>
        <w:pStyle w:val="ListParagraph"/>
        <w:ind w:left="927"/>
      </w:pPr>
    </w:p>
    <w:p w:rsidR="007374E3" w:rsidRDefault="00DE1821">
      <w:pPr>
        <w:ind w:left="1647"/>
      </w:pPr>
      <w:r>
        <w:rPr>
          <w:i/>
          <w:iCs/>
        </w:rPr>
        <w:t xml:space="preserve">580. Research the Crown commissioned in </w:t>
      </w:r>
      <w:r>
        <w:rPr>
          <w:i/>
          <w:iCs/>
        </w:rPr>
        <w:t>response to our inquiry concluded young Māori were more likely to be brought to the attention of the State, more likely to be criminalised, more likely to be taken into State care, more likely to be placed in a harsher environment, and less likely to recei</w:t>
      </w:r>
      <w:r>
        <w:rPr>
          <w:i/>
          <w:iCs/>
        </w:rPr>
        <w:t xml:space="preserve">ve intensive support while in care than their Pākehā counterparts. For the children and young people at Lake Alice, racism would have further strengthened the rationale of State intervention and institutionalisation at Lake Alice. </w:t>
      </w:r>
    </w:p>
    <w:p w:rsidR="007374E3" w:rsidRDefault="007374E3">
      <w:pPr>
        <w:ind w:left="1647"/>
        <w:rPr>
          <w:i/>
          <w:iCs/>
        </w:rPr>
      </w:pPr>
    </w:p>
    <w:p w:rsidR="007374E3" w:rsidRDefault="00DE1821">
      <w:pPr>
        <w:ind w:left="1647"/>
      </w:pPr>
      <w:r>
        <w:rPr>
          <w:i/>
          <w:iCs/>
        </w:rPr>
        <w:t xml:space="preserve">581. The Ministry of </w:t>
      </w:r>
      <w:r>
        <w:rPr>
          <w:i/>
          <w:iCs/>
        </w:rPr>
        <w:t>Health has acknowledged that institutional racism has</w:t>
      </w:r>
    </w:p>
    <w:p w:rsidR="007374E3" w:rsidRDefault="00DE1821">
      <w:pPr>
        <w:ind w:left="1647"/>
        <w:rPr>
          <w:rFonts w:cstheme="minorHAnsi"/>
          <w:i/>
          <w:iCs/>
        </w:rPr>
      </w:pPr>
      <w:r>
        <w:rPr>
          <w:i/>
          <w:iCs/>
        </w:rPr>
        <w:t>contributed to the tūkino</w:t>
      </w:r>
      <w:r>
        <w:rPr>
          <w:i/>
          <w:iCs/>
          <w:lang w:val="en-NZ"/>
        </w:rPr>
        <w:t xml:space="preserve"> [ill treatment] </w:t>
      </w:r>
      <w:r>
        <w:rPr>
          <w:i/>
          <w:iCs/>
        </w:rPr>
        <w:t>of Māori within psychiatric settings. Sy</w:t>
      </w:r>
      <w:r>
        <w:rPr>
          <w:rFonts w:cstheme="minorHAnsi"/>
          <w:i/>
          <w:iCs/>
        </w:rPr>
        <w:t>stemic racism within Lake Alice, at both institutional and interpersonal levels, enabled the tūkino survivors experience</w:t>
      </w:r>
      <w:r>
        <w:rPr>
          <w:rFonts w:cstheme="minorHAnsi"/>
          <w:i/>
          <w:iCs/>
        </w:rPr>
        <w:t>d. Institutional and interpersonal racism led to Pacific children and young people being admitted to the unit and affected how they were treated while there. Cultural neglect was significant for Pacific survivors too. We heard Pacific survivors experienced</w:t>
      </w:r>
      <w:r>
        <w:rPr>
          <w:rFonts w:cstheme="minorHAnsi"/>
          <w:i/>
          <w:iCs/>
        </w:rPr>
        <w:t xml:space="preserve"> both immediate and ongoing impacts on their </w:t>
      </w:r>
    </w:p>
    <w:p w:rsidR="007374E3" w:rsidRDefault="007374E3">
      <w:pPr>
        <w:ind w:left="1647"/>
        <w:rPr>
          <w:rFonts w:cstheme="minorHAnsi"/>
          <w:i/>
          <w:iCs/>
        </w:rPr>
      </w:pPr>
    </w:p>
    <w:p w:rsidR="007374E3" w:rsidRDefault="00DE1821">
      <w:pPr>
        <w:ind w:left="1647"/>
        <w:rPr>
          <w:rFonts w:cstheme="minorHAnsi"/>
          <w:i/>
          <w:iCs/>
        </w:rPr>
      </w:pPr>
      <w:r>
        <w:rPr>
          <w:rFonts w:cstheme="minorHAnsi"/>
          <w:i/>
          <w:iCs/>
        </w:rPr>
        <w:tab/>
      </w:r>
      <w:r>
        <w:rPr>
          <w:rFonts w:cstheme="minorHAnsi"/>
          <w:i/>
          <w:iCs/>
        </w:rPr>
        <w:tab/>
      </w:r>
      <w:r>
        <w:rPr>
          <w:rFonts w:cstheme="minorHAnsi"/>
          <w:i/>
          <w:iCs/>
        </w:rPr>
        <w:tab/>
      </w:r>
      <w:r>
        <w:rPr>
          <w:rFonts w:cstheme="minorHAnsi"/>
          <w:i/>
          <w:iCs/>
        </w:rPr>
        <w:tab/>
      </w:r>
      <w:r>
        <w:rPr>
          <w:rFonts w:cstheme="minorHAnsi"/>
        </w:rPr>
        <w:t>19</w:t>
      </w:r>
    </w:p>
    <w:p w:rsidR="007374E3" w:rsidRDefault="007374E3">
      <w:pPr>
        <w:ind w:left="1647"/>
        <w:rPr>
          <w:rFonts w:cstheme="minorHAnsi"/>
          <w:i/>
          <w:iCs/>
        </w:rPr>
      </w:pPr>
    </w:p>
    <w:p w:rsidR="007374E3" w:rsidRDefault="00DE1821">
      <w:pPr>
        <w:ind w:left="1647"/>
        <w:rPr>
          <w:rFonts w:cstheme="minorHAnsi"/>
          <w:i/>
          <w:iCs/>
        </w:rPr>
      </w:pPr>
      <w:r>
        <w:rPr>
          <w:rFonts w:cstheme="minorHAnsi"/>
          <w:i/>
          <w:iCs/>
        </w:rPr>
        <w:t>connection to aiga or family, language, personal and cultural identity, and sense of belonging.</w:t>
      </w:r>
      <w:r>
        <w:rPr>
          <w:rStyle w:val="FootnoteReference"/>
          <w:rFonts w:cstheme="minorHAnsi"/>
          <w:i/>
          <w:iCs/>
        </w:rPr>
        <w:footnoteReference w:id="30"/>
      </w:r>
    </w:p>
    <w:p w:rsidR="007374E3" w:rsidRDefault="00DE1821">
      <w:pPr>
        <w:ind w:left="927"/>
        <w:rPr>
          <w:rFonts w:cstheme="minorHAnsi"/>
          <w:i/>
          <w:iCs/>
          <w:lang w:val="en-NZ"/>
        </w:rPr>
      </w:pPr>
      <w:r>
        <w:rPr>
          <w:rFonts w:cstheme="minorHAnsi"/>
          <w:i/>
          <w:iCs/>
          <w:lang w:val="en-NZ"/>
        </w:rPr>
        <w:tab/>
      </w:r>
    </w:p>
    <w:p w:rsidR="007374E3" w:rsidRDefault="007374E3">
      <w:pPr>
        <w:pStyle w:val="ListParagraph"/>
        <w:ind w:left="927"/>
      </w:pPr>
    </w:p>
    <w:p w:rsidR="007374E3" w:rsidRDefault="00DE1821">
      <w:pPr>
        <w:pStyle w:val="ListParagraph"/>
        <w:numPr>
          <w:ilvl w:val="0"/>
          <w:numId w:val="2"/>
        </w:numPr>
      </w:pPr>
      <w:r>
        <w:rPr>
          <w:rFonts w:cstheme="minorHAnsi"/>
          <w:lang w:val="en-NZ"/>
        </w:rPr>
        <w:t xml:space="preserve">When applications are made for the compulsory treatment orders to the Family Court (which doubles as </w:t>
      </w:r>
      <w:r>
        <w:rPr>
          <w:rFonts w:cstheme="minorHAnsi"/>
          <w:lang w:val="en-NZ"/>
        </w:rPr>
        <w:t>the Mental Health Court) none are dismissed and only a small number were withdrawn.</w:t>
      </w:r>
      <w:r>
        <w:rPr>
          <w:rStyle w:val="FootnoteReference"/>
          <w:rFonts w:cstheme="minorHAnsi"/>
          <w:lang w:val="en-NZ"/>
        </w:rPr>
        <w:footnoteReference w:id="31"/>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 xml:space="preserve">Electro-Convulsive Treatment (ECT) is still used by psychiatrists in New Zealand, including forcibly. In the 2020-2021 figures released by the Director General of Mental </w:t>
      </w:r>
      <w:r>
        <w:rPr>
          <w:rFonts w:cstheme="minorHAnsi"/>
        </w:rPr>
        <w:t>Health show a total of 259 people were given 3,043 shock treatments.</w:t>
      </w:r>
      <w:r>
        <w:rPr>
          <w:rStyle w:val="FootnoteReference"/>
          <w:rFonts w:cstheme="minorHAnsi"/>
        </w:rPr>
        <w:footnoteReference w:id="32"/>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 xml:space="preserve"> In the 2020/2021 year there were 98 people subjected to 1,191 ECT treatments without their consent—they were deemed to lack capacity. The report stated an additional 4 people refused t</w:t>
      </w:r>
      <w:r>
        <w:rPr>
          <w:rFonts w:cstheme="minorHAnsi"/>
        </w:rPr>
        <w:t>he treatment and they were given 18 treatments.</w:t>
      </w:r>
      <w:r>
        <w:rPr>
          <w:rStyle w:val="FootnoteReference"/>
          <w:rFonts w:cstheme="minorHAnsi"/>
        </w:rPr>
        <w:footnoteReference w:id="33"/>
      </w:r>
      <w:r>
        <w:rPr>
          <w:rFonts w:cstheme="minorHAnsi"/>
        </w:rPr>
        <w:t xml:space="preserve">  </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These figures have been consistent over previous years with similar numbers of people being electroshocked without consent. In the 2020 figures there were 232 people who received ECT with a total of 2,633 shock treatments administered. In the same year 108</w:t>
      </w:r>
      <w:r>
        <w:rPr>
          <w:rFonts w:cstheme="minorHAnsi"/>
        </w:rPr>
        <w:t xml:space="preserve"> people were given 1,189 ECT treatments without consent. In the 2019 year there were 92 people given 874 non-consensual treatments. </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These figures of ECT use and non-consensual ECT remain steady and show no real decrease and, as such, no effort on the par</w:t>
      </w:r>
      <w:r>
        <w:rPr>
          <w:rFonts w:cstheme="minorHAnsi"/>
        </w:rPr>
        <w:t xml:space="preserve">t of psychiatrists and the government to comply with UN recommendations to prohibit forced ECT as torture. </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 xml:space="preserve">In the year between July 2020 and June 2021 there were 227 adverse events reported to the Health Quality and Safety Commission (HQSC). This figure </w:t>
      </w:r>
      <w:r>
        <w:rPr>
          <w:rFonts w:cstheme="minorHAnsi"/>
        </w:rPr>
        <w:t>was broken down to 184 suspected suicides; 30 serious self-harm; 10 serious adverse behaviour and 3 restraint injuries. In the previous reported figures for 2020 it was 211 adverse events.</w:t>
      </w:r>
      <w:r>
        <w:rPr>
          <w:rStyle w:val="FootnoteReference"/>
          <w:rFonts w:cstheme="minorHAnsi"/>
        </w:rPr>
        <w:footnoteReference w:id="34"/>
      </w:r>
      <w:r>
        <w:rPr>
          <w:rFonts w:cstheme="minorHAnsi"/>
        </w:rPr>
        <w:t xml:space="preserve"> </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lang w:val="en-NZ"/>
        </w:rPr>
        <w:t xml:space="preserve">In addition to the above, a new trend has emerged over the past </w:t>
      </w:r>
      <w:r>
        <w:rPr>
          <w:rFonts w:cstheme="minorHAnsi"/>
          <w:lang w:val="en-NZ"/>
        </w:rPr>
        <w:t>few years where people under compulsory treatment orders have been taken off their CTOs while their treating psychiatrist insists they remain on their medication, and . threatening  that should they stop taking the drugs they would be placed back under a c</w:t>
      </w:r>
      <w:r>
        <w:rPr>
          <w:rFonts w:cstheme="minorHAnsi"/>
          <w:lang w:val="en-NZ"/>
        </w:rPr>
        <w:t xml:space="preserve">ompulsory treatment order. This coercion and treatment by threat of force is just a substitute for compulsory treatment. This violates the WHO </w:t>
      </w:r>
    </w:p>
    <w:p w:rsidR="007374E3" w:rsidRDefault="00DE1821">
      <w:pPr>
        <w:pStyle w:val="ListParagraph"/>
        <w:ind w:left="0"/>
        <w:rPr>
          <w:rFonts w:cstheme="minorHAnsi"/>
        </w:rPr>
      </w:pPr>
      <w:r>
        <w:rPr>
          <w:rFonts w:cstheme="minorHAnsi"/>
          <w:lang w:val="en-NZ"/>
        </w:rPr>
        <w:t xml:space="preserve">                                </w:t>
      </w:r>
      <w:r>
        <w:rPr>
          <w:rFonts w:cstheme="minorHAnsi"/>
          <w:lang w:val="en-NZ"/>
        </w:rPr>
        <w:tab/>
      </w:r>
      <w:r>
        <w:rPr>
          <w:rFonts w:cstheme="minorHAnsi"/>
          <w:lang w:val="en-NZ"/>
        </w:rPr>
        <w:tab/>
      </w:r>
      <w:r>
        <w:rPr>
          <w:rFonts w:cstheme="minorHAnsi"/>
          <w:lang w:val="en-NZ"/>
        </w:rPr>
        <w:tab/>
      </w:r>
      <w:r>
        <w:rPr>
          <w:rFonts w:cstheme="minorHAnsi"/>
          <w:lang w:val="en-NZ"/>
        </w:rPr>
        <w:tab/>
        <w:t>20</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lang w:val="en-NZ"/>
        </w:rPr>
        <w:t>guidelines for people having the right to refuse medication and for gove</w:t>
      </w:r>
      <w:r>
        <w:rPr>
          <w:rFonts w:cstheme="minorHAnsi"/>
          <w:lang w:val="en-NZ"/>
        </w:rPr>
        <w:t>rnment services to be available to help a patient to withdraw safely from any psychotropic drug (under medical supervision to minimize serious withdrawal side effects.)</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T</w:t>
      </w:r>
      <w:r>
        <w:rPr>
          <w:rFonts w:eastAsia="Times New Roman" w:cstheme="minorHAnsi"/>
          <w:lang w:val="en-US"/>
        </w:rPr>
        <w:t>he Royal Commission in Lake Alice report correctly recognized patients were subjected</w:t>
      </w:r>
      <w:r>
        <w:rPr>
          <w:rFonts w:eastAsia="Times New Roman" w:cstheme="minorHAnsi"/>
          <w:lang w:val="en-US"/>
        </w:rPr>
        <w:t xml:space="preserve"> to torture. N</w:t>
      </w:r>
      <w:r>
        <w:rPr>
          <w:rFonts w:cstheme="minorHAnsi"/>
        </w:rPr>
        <w:t xml:space="preserve">ew Zealand Solicitor-General Una Jagose’s evidence to the Commission was that the “treatment” given to children </w:t>
      </w:r>
      <w:r>
        <w:rPr>
          <w:rFonts w:cstheme="minorHAnsi"/>
          <w:i/>
          <w:iCs/>
        </w:rPr>
        <w:t xml:space="preserve">met the legal definition of torture. </w:t>
      </w:r>
      <w:r>
        <w:rPr>
          <w:rFonts w:cstheme="minorHAnsi"/>
        </w:rPr>
        <w:t xml:space="preserve"> </w:t>
      </w:r>
      <w:r>
        <w:rPr>
          <w:rFonts w:eastAsia="Times New Roman" w:cstheme="minorHAnsi"/>
          <w:lang w:val="en-US"/>
        </w:rPr>
        <w:t>Jagose said that torture has three elements:</w:t>
      </w:r>
    </w:p>
    <w:p w:rsidR="007374E3" w:rsidRDefault="007374E3">
      <w:pPr>
        <w:pStyle w:val="ListParagraph"/>
        <w:rPr>
          <w:rFonts w:cstheme="minorHAnsi"/>
        </w:rPr>
      </w:pPr>
    </w:p>
    <w:p w:rsidR="007374E3" w:rsidRDefault="00DE1821">
      <w:pPr>
        <w:pStyle w:val="ListParagraph"/>
        <w:rPr>
          <w:rFonts w:cstheme="minorHAnsi"/>
        </w:rPr>
      </w:pPr>
      <w:r>
        <w:rPr>
          <w:rFonts w:eastAsia="Times New Roman" w:cstheme="minorHAnsi"/>
          <w:lang w:val="en-US"/>
        </w:rPr>
        <w:tab/>
        <w:t>(1) the infliction of severe pain and sufferi</w:t>
      </w:r>
      <w:r>
        <w:rPr>
          <w:rFonts w:eastAsia="Times New Roman" w:cstheme="minorHAnsi"/>
          <w:lang w:val="en-US"/>
        </w:rPr>
        <w:t>ng,</w:t>
      </w:r>
    </w:p>
    <w:p w:rsidR="007374E3" w:rsidRDefault="00DE1821">
      <w:pPr>
        <w:suppressAutoHyphens w:val="0"/>
        <w:spacing w:beforeAutospacing="1" w:afterAutospacing="1"/>
        <w:ind w:left="720" w:firstLine="720"/>
        <w:rPr>
          <w:rFonts w:eastAsia="Times New Roman" w:cstheme="minorHAnsi"/>
          <w:lang w:val="en-US"/>
        </w:rPr>
      </w:pPr>
      <w:r>
        <w:rPr>
          <w:rFonts w:eastAsia="Times New Roman" w:cstheme="minorHAnsi"/>
          <w:lang w:val="en-US"/>
        </w:rPr>
        <w:t>(2) by a person acting on behalf of the State,</w:t>
      </w:r>
    </w:p>
    <w:p w:rsidR="007374E3" w:rsidRDefault="00DE1821">
      <w:pPr>
        <w:pStyle w:val="ListParagraph"/>
        <w:rPr>
          <w:rFonts w:cstheme="minorHAnsi"/>
        </w:rPr>
      </w:pPr>
      <w:r>
        <w:rPr>
          <w:rFonts w:eastAsia="Times New Roman" w:cstheme="minorHAnsi"/>
          <w:lang w:val="en-US"/>
        </w:rPr>
        <w:tab/>
        <w:t xml:space="preserve">(3) for the purpose of punishment. She said she had no doubt or question </w:t>
      </w:r>
      <w:r>
        <w:rPr>
          <w:rFonts w:eastAsia="Times New Roman" w:cstheme="minorHAnsi"/>
          <w:lang w:val="en-US"/>
        </w:rPr>
        <w:tab/>
        <w:t xml:space="preserve">that the first two elements had been met at the Government-run </w:t>
      </w:r>
      <w:r>
        <w:rPr>
          <w:rFonts w:eastAsia="Times New Roman" w:cstheme="minorHAnsi"/>
          <w:lang w:val="en-US"/>
        </w:rPr>
        <w:tab/>
        <w:t>institution.</w:t>
      </w:r>
      <w:r>
        <w:rPr>
          <w:rStyle w:val="FootnoteReference"/>
          <w:rFonts w:eastAsia="Times New Roman" w:cstheme="minorHAnsi"/>
          <w:lang w:val="en-US"/>
        </w:rPr>
        <w:footnoteReference w:id="35"/>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eastAsia="Times New Roman" w:cstheme="minorHAnsi"/>
          <w:lang w:val="en-US"/>
        </w:rPr>
        <w:t xml:space="preserve"> </w:t>
      </w:r>
      <w:r>
        <w:rPr>
          <w:rFonts w:eastAsia="Times New Roman" w:cstheme="minorHAnsi"/>
          <w:lang w:val="en-US"/>
        </w:rPr>
        <w:t xml:space="preserve">As an immediate measure, the government could have implemented an immediate amendment to the Mental Health Act prohibiting forced electroshock and other psychiatric or psychological treatments.  </w:t>
      </w:r>
    </w:p>
    <w:p w:rsidR="007374E3" w:rsidRDefault="007374E3">
      <w:pPr>
        <w:pStyle w:val="ListParagraph"/>
        <w:ind w:left="927"/>
        <w:rPr>
          <w:rFonts w:cstheme="minorHAnsi"/>
        </w:rPr>
      </w:pPr>
    </w:p>
    <w:p w:rsidR="007374E3" w:rsidRDefault="00DE1821">
      <w:pPr>
        <w:pStyle w:val="ListParagraph"/>
        <w:ind w:left="927"/>
        <w:rPr>
          <w:rFonts w:cstheme="minorHAnsi"/>
        </w:rPr>
      </w:pPr>
      <w:r>
        <w:rPr>
          <w:rFonts w:eastAsia="Times New Roman" w:cstheme="minorHAnsi"/>
          <w:lang w:val="en-US"/>
        </w:rPr>
        <w:t xml:space="preserve"> In CCHR’s closing remarks to the Royal Commission Inquiry,</w:t>
      </w:r>
      <w:r>
        <w:rPr>
          <w:rFonts w:eastAsia="Times New Roman" w:cstheme="minorHAnsi"/>
          <w:lang w:val="en-US"/>
        </w:rPr>
        <w:t xml:space="preserve"> it stated: “Certainly, the rights of psychiatric patients were virtually unheard of until CCHR and ACORD [A</w:t>
      </w:r>
      <w:r>
        <w:rPr>
          <w:rFonts w:cstheme="minorHAnsi"/>
        </w:rPr>
        <w:t xml:space="preserve">uckland Committee on Racism and Discrimination] </w:t>
      </w:r>
      <w:r>
        <w:rPr>
          <w:rFonts w:eastAsia="Times New Roman" w:cstheme="minorHAnsi"/>
          <w:lang w:val="en-US"/>
        </w:rPr>
        <w:t>came along exposing electric shocking of children at Lake Alice…The failure to address Lake Alice pa</w:t>
      </w:r>
      <w:r>
        <w:rPr>
          <w:rFonts w:eastAsia="Times New Roman" w:cstheme="minorHAnsi"/>
          <w:lang w:val="en-US"/>
        </w:rPr>
        <w:t>tient concerns for nearly half a century shows the stakes for failing to report child abuse must be made much higher—i.e. criminal penalties for failing to do so.”</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 xml:space="preserve">A 1986 United Nations Special Rapporteur report on “Principles, Guidelines  and Protection </w:t>
      </w:r>
      <w:r>
        <w:rPr>
          <w:rFonts w:cstheme="minorHAnsi"/>
        </w:rPr>
        <w:t>of Persons Detained on Grounds of Mental Ill-Health or Suffering from Mental Disorder,” noted:</w:t>
      </w:r>
    </w:p>
    <w:p w:rsidR="007374E3" w:rsidRDefault="007374E3">
      <w:pPr>
        <w:pStyle w:val="ListParagraph"/>
        <w:ind w:left="927"/>
        <w:rPr>
          <w:rFonts w:cstheme="minorHAnsi"/>
        </w:rPr>
      </w:pPr>
    </w:p>
    <w:p w:rsidR="007374E3" w:rsidRDefault="00DE1821">
      <w:pPr>
        <w:pStyle w:val="ListParagraph"/>
        <w:ind w:left="1647"/>
        <w:rPr>
          <w:i/>
          <w:iCs/>
        </w:rPr>
      </w:pPr>
      <w:r>
        <w:rPr>
          <w:rFonts w:cstheme="minorHAnsi"/>
          <w:i/>
          <w:iCs/>
        </w:rPr>
        <w:t>The main task of CCHR has been to achieve reform in the field of mental health and the preservation of the rights of individuals under the Universal Declaration</w:t>
      </w:r>
      <w:r>
        <w:rPr>
          <w:rFonts w:cstheme="minorHAnsi"/>
          <w:i/>
          <w:iCs/>
        </w:rPr>
        <w:t xml:space="preserve"> of Human Rights. CCHR has been responsible for many great reforms. [Laws throughout the world] which would otherwise have inhibited even more the rights of patients or would have given psychiatry the power to commit minority groups and individuals against</w:t>
      </w:r>
      <w:r>
        <w:rPr>
          <w:rFonts w:cstheme="minorHAnsi"/>
          <w:i/>
          <w:iCs/>
        </w:rPr>
        <w:t xml:space="preserve"> their will, have been defeated by the actions of CCHR.</w:t>
      </w:r>
      <w:r>
        <w:rPr>
          <w:rStyle w:val="FootnoteReference"/>
          <w:rFonts w:cstheme="minorHAnsi"/>
          <w:i/>
          <w:iCs/>
        </w:rPr>
        <w:footnoteReference w:id="36"/>
      </w:r>
      <w:r>
        <w:rPr>
          <w:rFonts w:cstheme="minorHAnsi"/>
          <w:i/>
          <w:iCs/>
        </w:rPr>
        <w:t xml:space="preserve">   </w:t>
      </w:r>
    </w:p>
    <w:p w:rsidR="007374E3" w:rsidRDefault="00DE1821">
      <w:pPr>
        <w:pStyle w:val="ListParagraph"/>
        <w:ind w:left="927"/>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t>21</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In this light, CCHR continues to make recommendation for legislative protections in New Zealand.</w:t>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 xml:space="preserve">The Royal Commission report on Lake Alice lays out those who refused to act or who acted inadequately:  </w:t>
      </w:r>
    </w:p>
    <w:p w:rsidR="007374E3" w:rsidRDefault="007374E3">
      <w:pPr>
        <w:pStyle w:val="ListParagraph"/>
        <w:ind w:left="927"/>
        <w:rPr>
          <w:rFonts w:cstheme="minorHAnsi"/>
        </w:rPr>
      </w:pPr>
    </w:p>
    <w:p w:rsidR="007374E3" w:rsidRDefault="00DE1821">
      <w:pPr>
        <w:pStyle w:val="ListParagraph"/>
        <w:ind w:left="1647"/>
        <w:rPr>
          <w:i/>
          <w:iCs/>
        </w:rPr>
      </w:pPr>
      <w:r>
        <w:rPr>
          <w:rFonts w:cstheme="minorHAnsi"/>
          <w:i/>
          <w:iCs/>
        </w:rPr>
        <w:t>The institutions and entities called upon to act included the Ombudsman, a commission of inquiry, NZ Police, the Medical Association, the Medical Coun</w:t>
      </w:r>
      <w:r>
        <w:rPr>
          <w:rFonts w:cstheme="minorHAnsi"/>
          <w:i/>
          <w:iCs/>
        </w:rPr>
        <w:t>cil, the New Zealand branch of the Royal Australian and New Zealand College of Psychiatrists, the Department of Health, the Department of Education, the Department of Social Welfare, Cabinet, Crown Law, the Health and Disability Commissioner and ACC. Despi</w:t>
      </w:r>
      <w:r>
        <w:rPr>
          <w:rFonts w:cstheme="minorHAnsi"/>
          <w:i/>
          <w:iCs/>
        </w:rPr>
        <w:t xml:space="preserve">te all these attempts, the perpetrators were not held to account and survivors did not receive adequate redress, or puretumu torowhānui [redress in its holistic comprehensive form]. </w:t>
      </w:r>
      <w:r>
        <w:rPr>
          <w:rStyle w:val="FootnoteReference"/>
          <w:rFonts w:cstheme="minorHAnsi"/>
          <w:i/>
          <w:iCs/>
        </w:rPr>
        <w:footnoteReference w:id="37"/>
      </w:r>
    </w:p>
    <w:p w:rsidR="007374E3" w:rsidRDefault="007374E3">
      <w:pPr>
        <w:pStyle w:val="ListParagraph"/>
        <w:ind w:left="927"/>
        <w:rPr>
          <w:rFonts w:cstheme="minorHAnsi"/>
        </w:rPr>
      </w:pPr>
    </w:p>
    <w:p w:rsidR="007374E3" w:rsidRDefault="00DE1821">
      <w:pPr>
        <w:pStyle w:val="ListParagraph"/>
        <w:numPr>
          <w:ilvl w:val="0"/>
          <w:numId w:val="2"/>
        </w:numPr>
        <w:rPr>
          <w:rFonts w:cstheme="minorHAnsi"/>
        </w:rPr>
      </w:pPr>
      <w:r>
        <w:rPr>
          <w:rFonts w:cstheme="minorHAnsi"/>
        </w:rPr>
        <w:t xml:space="preserve"> That accountability includes changing laws such as the Mental Health A</w:t>
      </w:r>
      <w:r>
        <w:rPr>
          <w:rFonts w:cstheme="minorHAnsi"/>
        </w:rPr>
        <w:t>ct to include defining what constitutes torture in a legal sense and criminal and other penalties for violating this, as well as prohibiting coercive psychiatric practices. The country is still waiting.</w:t>
      </w:r>
    </w:p>
    <w:p w:rsidR="007374E3" w:rsidRDefault="007374E3">
      <w:pPr>
        <w:pStyle w:val="ListParagraph"/>
        <w:ind w:left="927"/>
        <w:rPr>
          <w:rFonts w:cstheme="minorHAnsi"/>
        </w:rPr>
      </w:pPr>
    </w:p>
    <w:p w:rsidR="007374E3" w:rsidRDefault="007374E3">
      <w:pPr>
        <w:pStyle w:val="ListParagraph"/>
        <w:ind w:left="927"/>
        <w:rPr>
          <w:rFonts w:cstheme="minorHAnsi"/>
        </w:rPr>
      </w:pPr>
    </w:p>
    <w:p w:rsidR="007374E3" w:rsidRDefault="007374E3">
      <w:pPr>
        <w:pStyle w:val="ListParagraph"/>
        <w:ind w:left="927"/>
        <w:rPr>
          <w:rFonts w:cstheme="minorHAnsi"/>
        </w:rPr>
      </w:pPr>
    </w:p>
    <w:p w:rsidR="007374E3" w:rsidRDefault="007374E3">
      <w:pPr>
        <w:pStyle w:val="ListParagraph"/>
        <w:ind w:left="927"/>
        <w:rPr>
          <w:rFonts w:cstheme="minorHAnsi"/>
        </w:rPr>
      </w:pPr>
    </w:p>
    <w:p w:rsidR="007374E3" w:rsidRDefault="007374E3">
      <w:pPr>
        <w:pStyle w:val="ListParagraph"/>
        <w:ind w:left="927"/>
        <w:rPr>
          <w:rFonts w:cstheme="minorHAnsi"/>
        </w:rPr>
      </w:pPr>
    </w:p>
    <w:p w:rsidR="007374E3" w:rsidRDefault="007374E3">
      <w:pPr>
        <w:pStyle w:val="ListParagraph"/>
        <w:ind w:left="927"/>
        <w:rPr>
          <w:rFonts w:cstheme="minorHAnsi"/>
        </w:rPr>
      </w:pPr>
    </w:p>
    <w:p w:rsidR="007374E3" w:rsidRDefault="00DE1821">
      <w:pPr>
        <w:pStyle w:val="ListParagraph"/>
        <w:ind w:left="0"/>
        <w:rPr>
          <w:rFonts w:cstheme="minorHAnsi"/>
        </w:rPr>
      </w:pPr>
      <w:r>
        <w:rPr>
          <w:rFonts w:cstheme="minorHAnsi"/>
        </w:rPr>
        <w:t>Recommendation</w:t>
      </w:r>
    </w:p>
    <w:p w:rsidR="007374E3" w:rsidRDefault="007374E3">
      <w:pPr>
        <w:pStyle w:val="ListParagraph"/>
        <w:ind w:left="0"/>
        <w:rPr>
          <w:rFonts w:cstheme="minorHAnsi"/>
        </w:rPr>
      </w:pPr>
    </w:p>
    <w:p w:rsidR="007374E3" w:rsidRDefault="00DE1821">
      <w:pPr>
        <w:pStyle w:val="ListParagraph"/>
        <w:numPr>
          <w:ilvl w:val="0"/>
          <w:numId w:val="2"/>
        </w:numPr>
        <w:rPr>
          <w:rFonts w:cstheme="minorHAnsi"/>
        </w:rPr>
      </w:pPr>
      <w:r>
        <w:rPr>
          <w:rFonts w:cstheme="minorHAnsi"/>
        </w:rPr>
        <w:t>The Committee urges the New Zea</w:t>
      </w:r>
      <w:r>
        <w:rPr>
          <w:rFonts w:cstheme="minorHAnsi"/>
        </w:rPr>
        <w:t>land State to commit to eliminating coercive and compulsory psychiatric practices condoned in law, the resolution of which would include the prohibition of forced treatment, including psychotropic drugs without informed consent, electroshock, psychosurgery</w:t>
      </w:r>
      <w:r>
        <w:rPr>
          <w:rFonts w:cstheme="minorHAnsi"/>
        </w:rPr>
        <w:t xml:space="preserve"> and the use of mechanical and chemical restraints.</w:t>
      </w: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DE1821">
      <w:pPr>
        <w:pStyle w:val="ListParagraph"/>
      </w:pPr>
      <w:r>
        <w:rPr>
          <w:lang w:val="en-NZ"/>
        </w:rPr>
        <w:tab/>
      </w:r>
      <w:r>
        <w:rPr>
          <w:lang w:val="en-NZ"/>
        </w:rPr>
        <w:tab/>
      </w:r>
      <w:r>
        <w:rPr>
          <w:lang w:val="en-NZ"/>
        </w:rPr>
        <w:tab/>
      </w:r>
      <w:r>
        <w:rPr>
          <w:lang w:val="en-NZ"/>
        </w:rPr>
        <w:tab/>
      </w:r>
      <w:r>
        <w:rPr>
          <w:lang w:val="en-NZ"/>
        </w:rPr>
        <w:tab/>
        <w:t>22</w:t>
      </w:r>
    </w:p>
    <w:p w:rsidR="007374E3" w:rsidRDefault="007374E3">
      <w:pPr>
        <w:pStyle w:val="ListParagraph"/>
        <w:rPr>
          <w:lang w:val="en-NZ"/>
        </w:rPr>
      </w:pPr>
    </w:p>
    <w:p w:rsidR="007374E3" w:rsidRDefault="00DE1821">
      <w:pPr>
        <w:pStyle w:val="ListParagraph"/>
      </w:pPr>
      <w:r>
        <w:rPr>
          <w:lang w:val="en-NZ"/>
        </w:rPr>
        <w:t>Attached:</w:t>
      </w:r>
    </w:p>
    <w:p w:rsidR="007374E3" w:rsidRDefault="00DE1821">
      <w:pPr>
        <w:pStyle w:val="ListParagraph"/>
        <w:rPr>
          <w:i/>
          <w:iCs/>
        </w:rPr>
      </w:pPr>
      <w:r>
        <w:rPr>
          <w:i/>
          <w:iCs/>
          <w:lang w:val="en-NZ"/>
        </w:rPr>
        <w:t>Beautiful Children Lake Alice Report</w:t>
      </w:r>
    </w:p>
    <w:p w:rsidR="007374E3" w:rsidRDefault="00DE1821">
      <w:pPr>
        <w:pStyle w:val="ListParagraph"/>
      </w:pPr>
      <w:r>
        <w:rPr>
          <w:i/>
          <w:iCs/>
          <w:lang w:val="en-NZ"/>
        </w:rPr>
        <w:t>Mental Health and Addiction Services Regulatory Report 2020-2021</w:t>
      </w:r>
    </w:p>
    <w:p w:rsidR="007374E3" w:rsidRDefault="00DE1821">
      <w:pPr>
        <w:pStyle w:val="FootnoteText"/>
      </w:pPr>
      <w:r>
        <w:rPr>
          <w:i/>
          <w:iCs/>
          <w:sz w:val="24"/>
          <w:szCs w:val="24"/>
          <w:lang w:val="en-NZ"/>
        </w:rPr>
        <w:tab/>
      </w:r>
      <w:r>
        <w:rPr>
          <w:i/>
          <w:iCs/>
          <w:sz w:val="24"/>
          <w:szCs w:val="24"/>
          <w:lang w:val="en-NZ"/>
        </w:rPr>
        <w:t xml:space="preserve">       Letter from Hon David Parker, Attorney-General, to Malcolm Richards, dated 3 Nov    </w:t>
      </w:r>
      <w:r>
        <w:rPr>
          <w:i/>
          <w:iCs/>
          <w:sz w:val="24"/>
          <w:szCs w:val="24"/>
          <w:lang w:val="en-NZ"/>
        </w:rPr>
        <w:tab/>
        <w:t>2022</w:t>
      </w:r>
      <w:r>
        <w:rPr>
          <w:i/>
          <w:iCs/>
          <w:lang w:val="en-NZ"/>
        </w:rPr>
        <w:t xml:space="preserve"> </w:t>
      </w:r>
    </w:p>
    <w:p w:rsidR="007374E3" w:rsidRDefault="00DE1821">
      <w:pPr>
        <w:pStyle w:val="FootnoteText"/>
        <w:rPr>
          <w:sz w:val="24"/>
          <w:szCs w:val="24"/>
          <w:lang w:val="en-NZ"/>
        </w:rPr>
      </w:pPr>
      <w:r>
        <w:rPr>
          <w:sz w:val="24"/>
          <w:szCs w:val="24"/>
          <w:lang w:val="en-NZ"/>
        </w:rPr>
        <w:tab/>
      </w:r>
      <w:r>
        <w:rPr>
          <w:sz w:val="24"/>
          <w:szCs w:val="24"/>
          <w:lang w:val="en-NZ"/>
        </w:rPr>
        <w:tab/>
        <w:t xml:space="preserve">Letter from Hon Andrew Little, Minister for the Public Service, to Malcolm Richards, </w:t>
      </w:r>
      <w:r>
        <w:rPr>
          <w:sz w:val="24"/>
          <w:szCs w:val="24"/>
          <w:lang w:val="en-NZ"/>
        </w:rPr>
        <w:tab/>
        <w:t>undated, created 15 May 2023</w:t>
      </w: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p w:rsidR="007374E3" w:rsidRDefault="00DE1821">
      <w:pPr>
        <w:pStyle w:val="ListParagraph"/>
        <w:jc w:val="center"/>
      </w:pPr>
      <w:r>
        <w:rPr>
          <w:lang w:val="en-NZ"/>
        </w:rPr>
        <w:t xml:space="preserve">   </w:t>
      </w:r>
      <w:r>
        <w:rPr>
          <w:b/>
          <w:bCs/>
          <w:lang w:val="en-NZ"/>
        </w:rPr>
        <w:t xml:space="preserve">Citizens </w:t>
      </w:r>
      <w:r>
        <w:rPr>
          <w:b/>
          <w:bCs/>
          <w:lang w:val="en-NZ"/>
        </w:rPr>
        <w:t>Commission on Human Rights New Zealand</w:t>
      </w:r>
    </w:p>
    <w:p w:rsidR="007374E3" w:rsidRDefault="00DE1821">
      <w:pPr>
        <w:pStyle w:val="ListParagraph"/>
        <w:jc w:val="center"/>
        <w:rPr>
          <w:b/>
          <w:bCs/>
        </w:rPr>
      </w:pPr>
      <w:r>
        <w:rPr>
          <w:b/>
          <w:bCs/>
          <w:lang w:val="en-NZ"/>
        </w:rPr>
        <w:t xml:space="preserve">PO Box 163086 Lynfield Post Shop     Lynfield            Auckland 1443       New Zealand </w:t>
      </w:r>
    </w:p>
    <w:p w:rsidR="007374E3" w:rsidRDefault="00DE1821">
      <w:pPr>
        <w:pStyle w:val="ListParagraph"/>
        <w:jc w:val="center"/>
        <w:rPr>
          <w:b/>
          <w:bCs/>
        </w:rPr>
      </w:pPr>
      <w:r>
        <w:rPr>
          <w:b/>
          <w:bCs/>
          <w:lang w:val="en-NZ"/>
        </w:rPr>
        <w:t xml:space="preserve">                ph +6421855437                  info@cchr.org.nz</w:t>
      </w:r>
      <w:r>
        <w:rPr>
          <w:b/>
          <w:bCs/>
          <w:lang w:val="en-NZ"/>
        </w:rPr>
        <w:tab/>
        <w:t xml:space="preserve">      </w:t>
      </w:r>
    </w:p>
    <w:p w:rsidR="007374E3" w:rsidRDefault="007374E3">
      <w:pPr>
        <w:pStyle w:val="ListParagraph"/>
        <w:rPr>
          <w:lang w:val="en-NZ"/>
        </w:rPr>
      </w:pPr>
    </w:p>
    <w:p w:rsidR="007374E3" w:rsidRDefault="007374E3">
      <w:pPr>
        <w:pStyle w:val="ListParagraph"/>
        <w:rPr>
          <w:lang w:val="en-NZ"/>
        </w:rPr>
      </w:pPr>
    </w:p>
    <w:p w:rsidR="007374E3" w:rsidRDefault="007374E3">
      <w:pPr>
        <w:pStyle w:val="ListParagraph"/>
        <w:rPr>
          <w:lang w:val="en-NZ"/>
        </w:rPr>
      </w:pPr>
    </w:p>
    <w:sectPr w:rsidR="007374E3">
      <w:pgSz w:w="11906" w:h="16838"/>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1821">
      <w:r>
        <w:separator/>
      </w:r>
    </w:p>
  </w:endnote>
  <w:endnote w:type="continuationSeparator" w:id="0">
    <w:p w:rsidR="00000000" w:rsidRDefault="00DE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4E3" w:rsidRDefault="00DE1821">
      <w:pPr>
        <w:rPr>
          <w:sz w:val="12"/>
        </w:rPr>
      </w:pPr>
      <w:r>
        <w:separator/>
      </w:r>
    </w:p>
  </w:footnote>
  <w:footnote w:type="continuationSeparator" w:id="0">
    <w:p w:rsidR="007374E3" w:rsidRDefault="00DE1821">
      <w:pPr>
        <w:rPr>
          <w:sz w:val="12"/>
        </w:rPr>
      </w:pPr>
      <w:r>
        <w:continuationSeparator/>
      </w:r>
    </w:p>
  </w:footnote>
  <w:footnote w:id="1">
    <w:p w:rsidR="007374E3" w:rsidRDefault="00DE1821">
      <w:pPr>
        <w:pStyle w:val="FootnoteText"/>
      </w:pPr>
      <w:r>
        <w:rPr>
          <w:rStyle w:val="FootnoteCharacters"/>
        </w:rPr>
        <w:footnoteRef/>
      </w:r>
      <w:r>
        <w:tab/>
        <w:t>Committee against Torture Decision adopted by the Committee under article 22 of the</w:t>
      </w:r>
    </w:p>
    <w:p w:rsidR="007374E3" w:rsidRDefault="00DE1821">
      <w:pPr>
        <w:pStyle w:val="FootnoteText"/>
      </w:pPr>
      <w:r>
        <w:tab/>
        <w:t xml:space="preserve">Convention concerning communication No. 852/2017 </w:t>
      </w:r>
      <w:r>
        <w:rPr>
          <w:rStyle w:val="Hyperlink"/>
        </w:rPr>
        <w:t>https://tbinternet.ohchr.org/_layouts/15/treatybodyexternal/Download.aspx?symbolno=CAT%2FC%2F68%2FD%2F852%2F2017&amp;Lang=en</w:t>
      </w:r>
    </w:p>
    <w:p w:rsidR="007374E3" w:rsidRDefault="007374E3">
      <w:pPr>
        <w:pStyle w:val="FootnoteText"/>
      </w:pPr>
    </w:p>
  </w:footnote>
  <w:footnote w:id="2">
    <w:p w:rsidR="007374E3" w:rsidRDefault="00DE1821">
      <w:pPr>
        <w:pStyle w:val="FootnoteText"/>
      </w:pPr>
      <w:r>
        <w:rPr>
          <w:rStyle w:val="FootnoteCharacters"/>
        </w:rPr>
        <w:footnoteRef/>
      </w:r>
      <w:r>
        <w:tab/>
        <w:t>Ibid</w:t>
      </w:r>
    </w:p>
  </w:footnote>
  <w:footnote w:id="3">
    <w:p w:rsidR="007374E3" w:rsidRDefault="00DE1821">
      <w:pPr>
        <w:pStyle w:val="FootnoteText"/>
      </w:pPr>
      <w:r>
        <w:rPr>
          <w:rStyle w:val="FootnoteCharacters"/>
        </w:rPr>
        <w:footnoteRef/>
      </w:r>
      <w:r>
        <w:tab/>
        <w:t xml:space="preserve"> “Report on the Complaint of Mr. and Mrs. Rangitaawa in Connection with Their Son, Kenneth, Against the Department of Health </w:t>
      </w:r>
      <w:r>
        <w:t>and the Departments of Social Welfare,” Office of the Ombudsman, Guy Powles, Chief Ombudsman, 5 Apr. 1977, point 74.4; “Report of the Commission of Inquiry into the Case of A Niuean Boy,” 18 Mar. 1977, p. 24</w:t>
      </w:r>
    </w:p>
    <w:p w:rsidR="007374E3" w:rsidRDefault="007374E3">
      <w:pPr>
        <w:pStyle w:val="FootnoteText"/>
        <w:rPr>
          <w:lang w:val="en-US"/>
        </w:rPr>
      </w:pPr>
    </w:p>
  </w:footnote>
  <w:footnote w:id="4">
    <w:p w:rsidR="007374E3" w:rsidRDefault="00DE1821">
      <w:pPr>
        <w:pStyle w:val="FootnoteText"/>
      </w:pPr>
      <w:r>
        <w:rPr>
          <w:rStyle w:val="FootnoteCharacters"/>
        </w:rPr>
        <w:footnoteRef/>
      </w:r>
      <w:r>
        <w:tab/>
        <w:t xml:space="preserve"> David Williams, “Long read: The shameful his</w:t>
      </w:r>
      <w:r>
        <w:t xml:space="preserve">tory of Lake Alice investigations,” </w:t>
      </w:r>
      <w:r>
        <w:rPr>
          <w:rStyle w:val="Emphasis"/>
        </w:rPr>
        <w:t>Newsroom</w:t>
      </w:r>
      <w:r>
        <w:t xml:space="preserve">, 9 Dec. 2021, </w:t>
      </w:r>
      <w:hyperlink r:id="rId1">
        <w:r>
          <w:rPr>
            <w:rStyle w:val="Hyperlink"/>
          </w:rPr>
          <w:t>https://www.newsroom.co.nz/news/long-read-the-long-shameful-history-of-lake-alice</w:t>
        </w:r>
        <w:r>
          <w:rPr>
            <w:rStyle w:val="Hyperlink"/>
          </w:rPr>
          <w:t>-investigations</w:t>
        </w:r>
      </w:hyperlink>
    </w:p>
    <w:p w:rsidR="007374E3" w:rsidRDefault="007374E3">
      <w:pPr>
        <w:pStyle w:val="FootnoteText"/>
        <w:rPr>
          <w:lang w:val="en-US"/>
        </w:rPr>
      </w:pPr>
    </w:p>
  </w:footnote>
  <w:footnote w:id="5">
    <w:p w:rsidR="007374E3" w:rsidRDefault="00DE1821">
      <w:pPr>
        <w:pStyle w:val="FootnoteText"/>
        <w:rPr>
          <w:lang w:val="en-US"/>
        </w:rPr>
      </w:pPr>
      <w:r>
        <w:rPr>
          <w:rStyle w:val="FootnoteCharacters"/>
        </w:rPr>
        <w:footnoteRef/>
      </w:r>
      <w:r>
        <w:tab/>
        <w:t xml:space="preserve"> Ibid</w:t>
      </w:r>
    </w:p>
  </w:footnote>
  <w:footnote w:id="6">
    <w:p w:rsidR="007374E3" w:rsidRDefault="00DE1821">
      <w:pPr>
        <w:pStyle w:val="FootnoteText"/>
      </w:pPr>
      <w:r>
        <w:rPr>
          <w:rStyle w:val="FootnoteCharacters"/>
        </w:rPr>
        <w:footnoteRef/>
      </w:r>
      <w:r>
        <w:tab/>
        <w:t>Beautiful Children Te Uiui o te Manga Tamariki me te Rangatahi ki Lake Alice Inquiry into the Lake Alice Child and Adolescent Unit, December 2022</w:t>
      </w:r>
    </w:p>
  </w:footnote>
  <w:footnote w:id="7">
    <w:p w:rsidR="007374E3" w:rsidRDefault="00DE1821">
      <w:pPr>
        <w:pStyle w:val="FootnoteText"/>
      </w:pPr>
      <w:r>
        <w:rPr>
          <w:rStyle w:val="FootnoteCharacters"/>
        </w:rPr>
        <w:footnoteRef/>
      </w:r>
      <w:r>
        <w:tab/>
        <w:t xml:space="preserve">Malcolm Richards, Lake Alice survivor, who also filed a successful case with </w:t>
      </w:r>
      <w:r>
        <w:t>UNCAT in 2019</w:t>
      </w:r>
    </w:p>
    <w:p w:rsidR="007374E3" w:rsidRDefault="00DE1821">
      <w:pPr>
        <w:pStyle w:val="FootnoteText"/>
      </w:pPr>
      <w:r>
        <w:t xml:space="preserve">       </w:t>
      </w:r>
      <w:r>
        <w:rPr>
          <w:rStyle w:val="Hyperlink"/>
        </w:rPr>
        <w:t>https://tbinternet.ohchr.org/_layouts/15/treatybodyexternal/Download.aspx?symbolno=CAT%2FC%2F73%2FD%2F934%2F2019&amp;Lang=en</w:t>
      </w:r>
    </w:p>
    <w:p w:rsidR="007374E3" w:rsidRDefault="007374E3">
      <w:pPr>
        <w:pStyle w:val="FootnoteText"/>
      </w:pPr>
    </w:p>
  </w:footnote>
  <w:footnote w:id="8">
    <w:p w:rsidR="007374E3" w:rsidRDefault="00DE1821">
      <w:pPr>
        <w:pStyle w:val="FootnoteText"/>
      </w:pPr>
      <w:r>
        <w:rPr>
          <w:rStyle w:val="FootnoteCharacters"/>
        </w:rPr>
        <w:footnoteRef/>
      </w:r>
      <w:r>
        <w:tab/>
        <w:t>Letter from Hon David Parker, Attorney-General, to Malcolm Richards, dated 3 Nov 2022 (attached)</w:t>
      </w:r>
    </w:p>
  </w:footnote>
  <w:footnote w:id="9">
    <w:p w:rsidR="007374E3" w:rsidRDefault="00DE1821">
      <w:pPr>
        <w:pStyle w:val="FootnoteText"/>
      </w:pPr>
      <w:r>
        <w:rPr>
          <w:rStyle w:val="FootnoteCharacters"/>
        </w:rPr>
        <w:footnoteRef/>
      </w:r>
      <w:r>
        <w:tab/>
        <w:t xml:space="preserve">Letter from </w:t>
      </w:r>
      <w:r>
        <w:t>Hon Andrew Little, Minister for the Public Service, to Malcolm Richards, undated, created 15 May 2023 (attached)</w:t>
      </w:r>
    </w:p>
  </w:footnote>
  <w:footnote w:id="10">
    <w:p w:rsidR="007374E3" w:rsidRDefault="00DE1821">
      <w:pPr>
        <w:pStyle w:val="FootnoteText"/>
      </w:pPr>
      <w:r>
        <w:rPr>
          <w:rStyle w:val="FootnoteCharacters"/>
        </w:rPr>
        <w:footnoteRef/>
      </w:r>
      <w:r>
        <w:rPr>
          <w:lang w:val="es-ES"/>
        </w:rPr>
        <w:tab/>
        <w:t xml:space="preserve">He Purapura Ora, he Māra Tipu. </w:t>
      </w:r>
      <w:r>
        <w:t xml:space="preserve">From Redress to Puretumu Torowhānui </w:t>
      </w:r>
      <w:r>
        <w:rPr>
          <w:rStyle w:val="Hyperlink1"/>
        </w:rPr>
        <w:t>https://www.abuseincare.org.nz/our-progress/reports/from-redress-to-puretu</w:t>
      </w:r>
      <w:r>
        <w:rPr>
          <w:rStyle w:val="Hyperlink1"/>
        </w:rPr>
        <w:t>mu/</w:t>
      </w:r>
    </w:p>
    <w:p w:rsidR="007374E3" w:rsidRDefault="007374E3">
      <w:pPr>
        <w:pStyle w:val="FootnoteText"/>
      </w:pPr>
    </w:p>
  </w:footnote>
  <w:footnote w:id="11">
    <w:p w:rsidR="007374E3" w:rsidRDefault="00DE1821">
      <w:pPr>
        <w:pStyle w:val="FootnoteText"/>
      </w:pPr>
      <w:r>
        <w:rPr>
          <w:rStyle w:val="FootnoteCharacters"/>
        </w:rPr>
        <w:footnoteRef/>
      </w:r>
      <w:r>
        <w:tab/>
        <w:t xml:space="preserve">Inquiry into the Lake Alice Child and Adolescent Unit/Te Uiui o te Manga Tamariki me te Rangatahi ki Lake Alice </w:t>
      </w:r>
      <w:r>
        <w:rPr>
          <w:rStyle w:val="Hyperlink1"/>
        </w:rPr>
        <w:t>https://www.abuseincare.org.nz/our-progress/reports/inquiry-into-the-lake-alice-child-and-adolescent-unit/</w:t>
      </w:r>
    </w:p>
    <w:p w:rsidR="007374E3" w:rsidRDefault="007374E3">
      <w:pPr>
        <w:pStyle w:val="FootnoteText"/>
      </w:pPr>
    </w:p>
  </w:footnote>
  <w:footnote w:id="12">
    <w:p w:rsidR="007374E3" w:rsidRDefault="00DE1821">
      <w:pPr>
        <w:pStyle w:val="FootnoteText"/>
      </w:pPr>
      <w:r>
        <w:rPr>
          <w:rStyle w:val="FootnoteCharacters"/>
        </w:rPr>
        <w:footnoteRef/>
      </w:r>
      <w:r>
        <w:tab/>
        <w:t xml:space="preserve">Crimes of Torture Act 1989 </w:t>
      </w:r>
      <w:r>
        <w:rPr>
          <w:rStyle w:val="Hyperlink1"/>
        </w:rPr>
        <w:t>https://www.legislation.govt.nz/act/public/1989/0106/latest/DLM192846.html</w:t>
      </w:r>
    </w:p>
    <w:p w:rsidR="007374E3" w:rsidRDefault="007374E3">
      <w:pPr>
        <w:pStyle w:val="FootnoteText"/>
      </w:pPr>
    </w:p>
  </w:footnote>
  <w:footnote w:id="13">
    <w:p w:rsidR="007374E3" w:rsidRDefault="00DE1821">
      <w:pPr>
        <w:pStyle w:val="FootnoteText"/>
      </w:pPr>
      <w:r>
        <w:rPr>
          <w:rStyle w:val="FootnoteCharacters"/>
        </w:rPr>
        <w:footnoteRef/>
      </w:r>
      <w:r>
        <w:tab/>
        <w:t xml:space="preserve">He Ara Oranga: Report of the Government Inquiry into Mental Health and Addiction 2018 </w:t>
      </w:r>
      <w:hyperlink r:id="rId2">
        <w:r>
          <w:rPr>
            <w:rStyle w:val="Hyperlink1"/>
          </w:rPr>
          <w:t>https:</w:t>
        </w:r>
        <w:r>
          <w:rPr>
            <w:rStyle w:val="Hyperlink1"/>
          </w:rPr>
          <w:t>//mentalhealth.inquiry.govt.nz/inquiry-report/he-ara-oranga/</w:t>
        </w:r>
      </w:hyperlink>
    </w:p>
    <w:p w:rsidR="007374E3" w:rsidRDefault="007374E3">
      <w:pPr>
        <w:pStyle w:val="FootnoteText"/>
      </w:pPr>
    </w:p>
  </w:footnote>
  <w:footnote w:id="14">
    <w:p w:rsidR="007374E3" w:rsidRDefault="00DE1821">
      <w:pPr>
        <w:pStyle w:val="FootnoteText"/>
      </w:pPr>
      <w:r>
        <w:rPr>
          <w:rStyle w:val="FootnoteCharacters"/>
        </w:rPr>
        <w:footnoteRef/>
      </w:r>
      <w:r>
        <w:tab/>
        <w:t>Committee on the Rights of Persons with Disabilities Eleventh session 31 March–11 April 2014 General comment No. 1 (2014) Article 12: Equal recognition before the law. (p 11)</w:t>
      </w:r>
    </w:p>
    <w:p w:rsidR="007374E3" w:rsidRDefault="00DE1821">
      <w:pPr>
        <w:pStyle w:val="FootnoteText"/>
      </w:pPr>
      <w:r>
        <w:t xml:space="preserve">       </w:t>
      </w:r>
    </w:p>
  </w:footnote>
  <w:footnote w:id="15">
    <w:p w:rsidR="007374E3" w:rsidRDefault="00DE1821">
      <w:pPr>
        <w:pStyle w:val="FootnoteText"/>
      </w:pPr>
      <w:r>
        <w:rPr>
          <w:rStyle w:val="FootnoteCharacters"/>
        </w:rPr>
        <w:footnoteRef/>
      </w:r>
      <w:r>
        <w:tab/>
        <w:t>Ministr</w:t>
      </w:r>
      <w:r>
        <w:t xml:space="preserve">y of Health. 2022. Office of the Director of Mental Health and Addiction Services: Regulatory Report 1 July 2020 to 30 June 2021. Wellington: Ministry of Health. </w:t>
      </w:r>
      <w:r>
        <w:rPr>
          <w:rStyle w:val="Hyperlink1"/>
        </w:rPr>
        <w:t>https://www.health.govt.nz/system/files/documents/publications/odmhas-regulatory-report-sep22.</w:t>
      </w:r>
      <w:r>
        <w:rPr>
          <w:rStyle w:val="Hyperlink1"/>
        </w:rPr>
        <w:t>pdf</w:t>
      </w:r>
    </w:p>
    <w:p w:rsidR="007374E3" w:rsidRDefault="00DE1821">
      <w:pPr>
        <w:pStyle w:val="FootnoteText"/>
      </w:pPr>
      <w:r>
        <w:t xml:space="preserve">        (p 4 [pdf 14])</w:t>
      </w:r>
    </w:p>
    <w:p w:rsidR="007374E3" w:rsidRDefault="007374E3">
      <w:pPr>
        <w:pStyle w:val="FootnoteText"/>
      </w:pPr>
    </w:p>
  </w:footnote>
  <w:footnote w:id="16">
    <w:p w:rsidR="007374E3" w:rsidRDefault="00DE1821">
      <w:pPr>
        <w:pStyle w:val="FootnoteText"/>
      </w:pPr>
      <w:r>
        <w:rPr>
          <w:rStyle w:val="FootnoteCharacters"/>
        </w:rPr>
        <w:footnoteRef/>
      </w:r>
      <w:r>
        <w:tab/>
        <w:t xml:space="preserve"> “Statement on the Royal Commission of Inquiry into Abuse in Care – New Zealand,” RANZCP, 18 June 2022, </w:t>
      </w:r>
      <w:hyperlink r:id="rId3">
        <w:r>
          <w:rPr>
            <w:rStyle w:val="Hyperlink"/>
          </w:rPr>
          <w:t>https://www.ra</w:t>
        </w:r>
        <w:r>
          <w:rPr>
            <w:rStyle w:val="Hyperlink"/>
          </w:rPr>
          <w:t>nzcp.org/news-policy/news/statement-royal-commission-of-inquiry-state-care</w:t>
        </w:r>
      </w:hyperlink>
    </w:p>
    <w:p w:rsidR="007374E3" w:rsidRDefault="007374E3">
      <w:pPr>
        <w:pStyle w:val="FootnoteText"/>
      </w:pPr>
    </w:p>
  </w:footnote>
  <w:footnote w:id="17">
    <w:p w:rsidR="007374E3" w:rsidRDefault="00DE1821">
      <w:pPr>
        <w:pStyle w:val="NormalWeb"/>
        <w:rPr>
          <w:rFonts w:asciiTheme="minorHAnsi" w:eastAsia="Times New Roman" w:hAnsiTheme="minorHAnsi" w:cstheme="minorHAnsi"/>
          <w:sz w:val="20"/>
          <w:szCs w:val="20"/>
          <w:lang w:val="en-US"/>
        </w:rPr>
      </w:pPr>
      <w:r>
        <w:rPr>
          <w:rStyle w:val="FootnoteCharacters"/>
        </w:rPr>
        <w:footnoteRef/>
      </w:r>
      <w:r>
        <w:t xml:space="preserve"> </w:t>
      </w:r>
      <w:r>
        <w:rPr>
          <w:rFonts w:asciiTheme="minorHAnsi" w:eastAsia="Times New Roman" w:hAnsiTheme="minorHAnsi" w:cstheme="minorHAnsi"/>
          <w:sz w:val="20"/>
          <w:szCs w:val="20"/>
          <w:lang w:val="en-US"/>
        </w:rPr>
        <w:t xml:space="preserve">David Williams, “A statement designed to heal causes more hurt: </w:t>
      </w:r>
      <w:r>
        <w:rPr>
          <w:rFonts w:asciiTheme="minorHAnsi" w:eastAsia="Times New Roman" w:hAnsiTheme="minorHAnsi" w:cstheme="minorHAnsi"/>
          <w:i/>
          <w:iCs/>
          <w:sz w:val="20"/>
          <w:szCs w:val="20"/>
          <w:lang w:val="en-US"/>
        </w:rPr>
        <w:t xml:space="preserve">A psychiatric body makes a belated and bungled apology over child torture in the 1970s,” Newsroom, </w:t>
      </w:r>
      <w:r>
        <w:rPr>
          <w:rFonts w:asciiTheme="minorHAnsi" w:eastAsia="Times New Roman" w:hAnsiTheme="minorHAnsi" w:cstheme="minorHAnsi"/>
          <w:sz w:val="20"/>
          <w:szCs w:val="20"/>
          <w:lang w:val="en-US"/>
        </w:rPr>
        <w:t xml:space="preserve">6 July 2022, </w:t>
      </w:r>
      <w:r>
        <w:rPr>
          <w:rStyle w:val="Hyperlink"/>
          <w:rFonts w:asciiTheme="minorHAnsi" w:eastAsia="Times New Roman" w:hAnsiTheme="minorHAnsi" w:cstheme="minorHAnsi"/>
          <w:sz w:val="20"/>
          <w:szCs w:val="20"/>
          <w:lang w:val="en-US"/>
        </w:rPr>
        <w:t>https://www.newsroom.co.nz/statement-designed-to-heal-causes-more-hurt</w:t>
      </w:r>
    </w:p>
    <w:p w:rsidR="007374E3" w:rsidRDefault="007374E3">
      <w:pPr>
        <w:pStyle w:val="NormalWeb"/>
        <w:rPr>
          <w:rFonts w:asciiTheme="minorHAnsi" w:eastAsia="Times New Roman" w:hAnsiTheme="minorHAnsi" w:cstheme="minorHAnsi"/>
          <w:sz w:val="20"/>
          <w:szCs w:val="20"/>
          <w:lang w:val="en-US"/>
        </w:rPr>
      </w:pPr>
    </w:p>
    <w:p w:rsidR="007374E3" w:rsidRDefault="007374E3">
      <w:pPr>
        <w:pStyle w:val="FootnoteText"/>
        <w:rPr>
          <w:rFonts w:cstheme="minorHAnsi"/>
          <w:lang w:val="en-US"/>
        </w:rPr>
      </w:pPr>
    </w:p>
  </w:footnote>
  <w:footnote w:id="18">
    <w:p w:rsidR="007374E3" w:rsidRDefault="00DE1821">
      <w:pPr>
        <w:pStyle w:val="NormalWeb"/>
        <w:rPr>
          <w:rFonts w:asciiTheme="minorHAnsi" w:eastAsia="Times New Roman" w:hAnsiTheme="minorHAnsi" w:cstheme="minorHAnsi"/>
          <w:sz w:val="20"/>
          <w:szCs w:val="20"/>
          <w:lang w:val="en-US"/>
        </w:rPr>
      </w:pPr>
      <w:r>
        <w:rPr>
          <w:rStyle w:val="FootnoteCharacters"/>
        </w:rPr>
        <w:footnoteRef/>
      </w:r>
      <w:r>
        <w:t xml:space="preserve"> </w:t>
      </w:r>
      <w:r>
        <w:rPr>
          <w:rFonts w:asciiTheme="minorHAnsi" w:eastAsia="Times New Roman" w:hAnsiTheme="minorHAnsi" w:cstheme="minorHAnsi"/>
          <w:sz w:val="20"/>
          <w:szCs w:val="20"/>
          <w:lang w:val="en-US"/>
        </w:rPr>
        <w:t>Ibid</w:t>
      </w:r>
    </w:p>
    <w:p w:rsidR="007374E3" w:rsidRDefault="007374E3">
      <w:pPr>
        <w:pStyle w:val="FootnoteText"/>
        <w:rPr>
          <w:lang w:val="en-US"/>
        </w:rPr>
      </w:pPr>
    </w:p>
  </w:footnote>
  <w:footnote w:id="19">
    <w:p w:rsidR="007374E3" w:rsidRDefault="00DE1821">
      <w:pPr>
        <w:pStyle w:val="FootnoteText"/>
      </w:pPr>
      <w:r>
        <w:rPr>
          <w:rStyle w:val="FootnoteCharacters"/>
        </w:rPr>
        <w:footnoteRef/>
      </w:r>
      <w:r>
        <w:tab/>
        <w:t xml:space="preserve">  “More than 130 children and teens wrongly given electric shocks at Lake Alice,” Radio NZ, 26 June 2022, </w:t>
      </w:r>
      <w:hyperlink r:id="rId4">
        <w:r>
          <w:rPr>
            <w:rStyle w:val="Hyperlink"/>
          </w:rPr>
          <w:t>https://www.rnz.co.nz/news/national/469784/more-than-130-children-and-teens-wrongly-given-electric-shocks-at-lake-alice</w:t>
        </w:r>
      </w:hyperlink>
    </w:p>
    <w:p w:rsidR="007374E3" w:rsidRDefault="007374E3">
      <w:pPr>
        <w:pStyle w:val="FootnoteText"/>
        <w:ind w:left="0" w:firstLine="0"/>
      </w:pPr>
    </w:p>
  </w:footnote>
  <w:footnote w:id="20">
    <w:p w:rsidR="007374E3" w:rsidRDefault="00DE1821">
      <w:pPr>
        <w:pStyle w:val="FootnoteText"/>
      </w:pPr>
      <w:r>
        <w:rPr>
          <w:rStyle w:val="FootnoteCharacters"/>
        </w:rPr>
        <w:footnoteRef/>
      </w:r>
      <w:r>
        <w:tab/>
        <w:t xml:space="preserve">    “</w:t>
      </w:r>
      <w:r>
        <w:t xml:space="preserve">Report of the Special Rapporteur on torture and other cruel, inhuman or degrading treatment or punishment, Juan E. Méndez,” UN Human Rights Council, 1 Feb.2013, </w:t>
      </w:r>
      <w:hyperlink r:id="rId5">
        <w:r>
          <w:rPr>
            <w:rStyle w:val="Hyperlink"/>
          </w:rPr>
          <w:t>http://www.ohchr.org/Documents/HRBodies/HRCouncil/RegularSession/Session22/A.HRC.22.53_English.pdf</w:t>
        </w:r>
      </w:hyperlink>
    </w:p>
    <w:p w:rsidR="007374E3" w:rsidRDefault="007374E3">
      <w:pPr>
        <w:pStyle w:val="FootnoteText"/>
      </w:pPr>
    </w:p>
  </w:footnote>
  <w:footnote w:id="21">
    <w:p w:rsidR="007374E3" w:rsidRDefault="00DE1821">
      <w:pPr>
        <w:pStyle w:val="FootnoteText"/>
      </w:pPr>
      <w:r>
        <w:rPr>
          <w:rStyle w:val="FootnoteCharacters"/>
        </w:rPr>
        <w:footnoteRef/>
      </w:r>
      <w:r>
        <w:tab/>
        <w:t>Annual report of the UN High Commissioner for Human Rights and reports of the Office of the High Commissioner and the Secretary-Gen</w:t>
      </w:r>
      <w:r>
        <w:t>eral, 49th session, Human Rights Council, “Summary of the outcome of the consultation on ways to harmonize laws, policies and practices relating to mental health with the norms of the Convention on the Rights of Persons with Disabilities and on how to impl</w:t>
      </w:r>
      <w:r>
        <w:t>ement them,” 28 Feb.–1 Apr. 2022</w:t>
      </w:r>
    </w:p>
    <w:p w:rsidR="007374E3" w:rsidRDefault="007374E3">
      <w:pPr>
        <w:pStyle w:val="FootnoteText"/>
        <w:rPr>
          <w:lang w:val="en-US"/>
        </w:rPr>
      </w:pPr>
    </w:p>
  </w:footnote>
  <w:footnote w:id="22">
    <w:p w:rsidR="007374E3" w:rsidRDefault="00DE1821">
      <w:pPr>
        <w:pStyle w:val="FootnoteText"/>
      </w:pPr>
      <w:r>
        <w:rPr>
          <w:rStyle w:val="FootnoteCharacters"/>
        </w:rPr>
        <w:footnoteRef/>
      </w:r>
      <w:r>
        <w:tab/>
        <w:t xml:space="preserve"> Annual report of the UN High Commissioner for Human Rights, 28 February–1 April 2022; Report of the UN High Commissioner for Human Rights, Mental Health and Human Rights, 31 Jan. 2017 (A/HRC/34/32)</w:t>
      </w:r>
    </w:p>
    <w:p w:rsidR="007374E3" w:rsidRDefault="007374E3">
      <w:pPr>
        <w:pStyle w:val="FootnoteText"/>
        <w:rPr>
          <w:lang w:val="en-US"/>
        </w:rPr>
      </w:pPr>
    </w:p>
  </w:footnote>
  <w:footnote w:id="23">
    <w:p w:rsidR="007374E3" w:rsidRDefault="00DE1821">
      <w:pPr>
        <w:pStyle w:val="FootnoteText"/>
      </w:pPr>
      <w:r>
        <w:rPr>
          <w:rStyle w:val="FootnoteCharacters"/>
        </w:rPr>
        <w:footnoteRef/>
      </w:r>
      <w:r>
        <w:tab/>
        <w:t>“Third Party Inter</w:t>
      </w:r>
      <w:r>
        <w:t xml:space="preserve">vention in relation to the European Court of Human Rights’ Advisory Opinion on Oviedo Convention,” Nov. 2020, </w:t>
      </w:r>
      <w:hyperlink r:id="rId6">
        <w:r>
          <w:rPr>
            <w:rStyle w:val="Hyperlink"/>
          </w:rPr>
          <w:t>http://www.infocop.es/pdf/Advis</w:t>
        </w:r>
        <w:r>
          <w:rPr>
            <w:rStyle w:val="Hyperlink"/>
          </w:rPr>
          <w:t>ory-opinion-Oviedo-Convention-Third-party-intervention-Final.pdf</w:t>
        </w:r>
      </w:hyperlink>
    </w:p>
    <w:p w:rsidR="007374E3" w:rsidRDefault="007374E3">
      <w:pPr>
        <w:pStyle w:val="FootnoteText"/>
        <w:rPr>
          <w:lang w:val="en-US"/>
        </w:rPr>
      </w:pPr>
    </w:p>
  </w:footnote>
  <w:footnote w:id="24">
    <w:p w:rsidR="007374E3" w:rsidRDefault="00DE1821">
      <w:pPr>
        <w:pStyle w:val="FootnoteText"/>
      </w:pPr>
      <w:r>
        <w:rPr>
          <w:rStyle w:val="FootnoteCharacters"/>
        </w:rPr>
        <w:footnoteRef/>
      </w:r>
      <w:r>
        <w:tab/>
        <w:t xml:space="preserve"> “Guidance on Community Mental Health Services: Promoting Person-Centered and Rights-Based Approaches,” World Health Organization, 10 June 2021, https://www.who.int/publications/i/item/978</w:t>
      </w:r>
      <w:r>
        <w:t>9240025707 (to download report)</w:t>
      </w:r>
    </w:p>
    <w:p w:rsidR="007374E3" w:rsidRDefault="007374E3">
      <w:pPr>
        <w:pStyle w:val="FootnoteText"/>
        <w:rPr>
          <w:lang w:val="en-US"/>
        </w:rPr>
      </w:pPr>
    </w:p>
  </w:footnote>
  <w:footnote w:id="25">
    <w:p w:rsidR="007374E3" w:rsidRDefault="00DE1821">
      <w:pPr>
        <w:pStyle w:val="FootnoteText"/>
        <w:rPr>
          <w:rStyle w:val="Emphasis"/>
        </w:rPr>
      </w:pPr>
      <w:r>
        <w:rPr>
          <w:rStyle w:val="FootnoteCharacters"/>
        </w:rPr>
        <w:footnoteRef/>
      </w:r>
      <w:r>
        <w:tab/>
        <w:t xml:space="preserve"> Aaron Smale, “Crown Law blocks the police in rare, costly legal standoff: </w:t>
      </w:r>
      <w:r>
        <w:rPr>
          <w:rStyle w:val="Emphasis"/>
        </w:rPr>
        <w:t xml:space="preserve">Exclusive: Did the Government’s legal agency withhold evidence of the rape, torture and abuse of children from police investigations. Aaron Smale </w:t>
      </w:r>
      <w:r>
        <w:rPr>
          <w:rStyle w:val="Emphasis"/>
        </w:rPr>
        <w:t xml:space="preserve">unravels an extraordinary paper trail,” Newsroom, </w:t>
      </w:r>
      <w:r>
        <w:t xml:space="preserve">2 Sept. 2022, </w:t>
      </w:r>
      <w:hyperlink r:id="rId7">
        <w:r>
          <w:rPr>
            <w:rStyle w:val="Hyperlink"/>
          </w:rPr>
          <w:t>https://www.newsroom.co.nz/crown-law-vs-the-police</w:t>
        </w:r>
      </w:hyperlink>
    </w:p>
    <w:p w:rsidR="007374E3" w:rsidRDefault="007374E3">
      <w:pPr>
        <w:pStyle w:val="FootnoteText"/>
        <w:rPr>
          <w:lang w:val="en-US"/>
        </w:rPr>
      </w:pPr>
    </w:p>
  </w:footnote>
  <w:footnote w:id="26">
    <w:p w:rsidR="007374E3" w:rsidRDefault="00DE1821">
      <w:pPr>
        <w:pStyle w:val="FootnoteText"/>
      </w:pPr>
      <w:r>
        <w:rPr>
          <w:rStyle w:val="FootnoteCharacters"/>
        </w:rPr>
        <w:footnoteRef/>
      </w:r>
      <w:r>
        <w:tab/>
      </w:r>
      <w:r>
        <w:t xml:space="preserve">Ministry of Health. 2015. Office of the Director of Mental Health Annual Report 2014. Wellington: Ministry of Health. </w:t>
      </w:r>
      <w:hyperlink r:id="rId8">
        <w:r>
          <w:rPr>
            <w:rStyle w:val="Hyperlink1"/>
          </w:rPr>
          <w:t>h</w:t>
        </w:r>
        <w:r>
          <w:rPr>
            <w:rStyle w:val="Hyperlink1"/>
          </w:rPr>
          <w:t>ttps://www.health.govt.nz/system/files/documents/publications/director-of-mental-health-annual-report-2014-dec15.pdf</w:t>
        </w:r>
      </w:hyperlink>
      <w:r>
        <w:t xml:space="preserve">  (p26 [pdf 36])</w:t>
      </w:r>
    </w:p>
    <w:p w:rsidR="007374E3" w:rsidRDefault="007374E3">
      <w:pPr>
        <w:pStyle w:val="FootnoteText"/>
      </w:pPr>
    </w:p>
  </w:footnote>
  <w:footnote w:id="27">
    <w:p w:rsidR="007374E3" w:rsidRDefault="00DE1821">
      <w:pPr>
        <w:pStyle w:val="FootnoteText"/>
      </w:pPr>
      <w:r>
        <w:rPr>
          <w:rStyle w:val="FootnoteCharacters"/>
        </w:rPr>
        <w:footnoteRef/>
      </w:r>
      <w:r>
        <w:tab/>
        <w:t xml:space="preserve">Ministry of Health. 2022. Office of the Director of Mental Health and Addiction Services: Regulatory Report 1 July 2020 </w:t>
      </w:r>
      <w:r>
        <w:t>to 30 June 2021. Wellington: Ministry of Health. (p3 [pdf13])</w:t>
      </w:r>
    </w:p>
  </w:footnote>
  <w:footnote w:id="28">
    <w:p w:rsidR="007374E3" w:rsidRDefault="00DE1821">
      <w:pPr>
        <w:pStyle w:val="FootnoteText"/>
      </w:pPr>
      <w:r>
        <w:rPr>
          <w:rStyle w:val="FootnoteCharacters"/>
        </w:rPr>
        <w:footnoteRef/>
      </w:r>
      <w:r>
        <w:tab/>
        <w:t>Ibid (p 12 [pdf 22])</w:t>
      </w:r>
    </w:p>
  </w:footnote>
  <w:footnote w:id="29">
    <w:p w:rsidR="007374E3" w:rsidRDefault="00DE1821">
      <w:pPr>
        <w:pStyle w:val="FootnoteText"/>
      </w:pPr>
      <w:r>
        <w:rPr>
          <w:rStyle w:val="FootnoteCharacters"/>
        </w:rPr>
        <w:footnoteRef/>
      </w:r>
      <w:r>
        <w:tab/>
        <w:t>Ibid (p 45 [pdf 55])</w:t>
      </w:r>
    </w:p>
  </w:footnote>
  <w:footnote w:id="30">
    <w:p w:rsidR="007374E3" w:rsidRDefault="00DE1821">
      <w:pPr>
        <w:pStyle w:val="FootnoteText"/>
      </w:pPr>
      <w:r>
        <w:rPr>
          <w:rStyle w:val="FootnoteCharacters"/>
        </w:rPr>
        <w:footnoteRef/>
      </w:r>
      <w:r>
        <w:tab/>
        <w:t>Inquiry into the Lake Alice Child and Adolescent Unit/Te Uiui o te Manga Tamariki me te Rangatahi ki Lake Alice (p 222)</w:t>
      </w:r>
    </w:p>
  </w:footnote>
  <w:footnote w:id="31">
    <w:p w:rsidR="007374E3" w:rsidRDefault="00DE1821">
      <w:pPr>
        <w:pStyle w:val="FootnoteText"/>
      </w:pPr>
      <w:r>
        <w:rPr>
          <w:rStyle w:val="FootnoteCharacters"/>
        </w:rPr>
        <w:footnoteRef/>
      </w:r>
      <w:r>
        <w:tab/>
        <w:t>Ministry of Health. 2022</w:t>
      </w:r>
      <w:r>
        <w:t>. Office of the Director of Mental Health and Addiction Services: Regulatory Report 1 July 2020 to 30 June 2021. Wellington: Ministry of Health. (p 3 [13 pdf])</w:t>
      </w:r>
    </w:p>
  </w:footnote>
  <w:footnote w:id="32">
    <w:p w:rsidR="007374E3" w:rsidRDefault="00DE1821">
      <w:pPr>
        <w:pStyle w:val="FootnoteText"/>
      </w:pPr>
      <w:r>
        <w:rPr>
          <w:rStyle w:val="FootnoteCharacters"/>
        </w:rPr>
        <w:footnoteRef/>
      </w:r>
      <w:r>
        <w:tab/>
        <w:t>Ibid (</w:t>
      </w:r>
      <w:r>
        <w:rPr>
          <w:lang w:val="en-NZ"/>
        </w:rPr>
        <w:t>p 52 [62 pdf])</w:t>
      </w:r>
    </w:p>
  </w:footnote>
  <w:footnote w:id="33">
    <w:p w:rsidR="007374E3" w:rsidRDefault="00DE1821">
      <w:pPr>
        <w:pStyle w:val="FootnoteText"/>
      </w:pPr>
      <w:r>
        <w:rPr>
          <w:rStyle w:val="FootnoteCharacters"/>
        </w:rPr>
        <w:footnoteRef/>
      </w:r>
      <w:r>
        <w:tab/>
        <w:t>Ibid (</w:t>
      </w:r>
      <w:r>
        <w:rPr>
          <w:lang w:val="en-NZ"/>
        </w:rPr>
        <w:t>p 57 [67 pdf])</w:t>
      </w:r>
    </w:p>
  </w:footnote>
  <w:footnote w:id="34">
    <w:p w:rsidR="007374E3" w:rsidRDefault="00DE1821">
      <w:pPr>
        <w:pStyle w:val="FootnoteText"/>
      </w:pPr>
      <w:r>
        <w:rPr>
          <w:rStyle w:val="FootnoteCharacters"/>
        </w:rPr>
        <w:footnoteRef/>
      </w:r>
      <w:r>
        <w:tab/>
        <w:t>Ministry of Health. 2022. Office of the Director</w:t>
      </w:r>
      <w:r>
        <w:t xml:space="preserve"> of Mental Health and Addiction Services: Regulatory Report 1 July 2020 to 30 June 2021. Wellington: Ministry of Health. (p 49 [p59 pdf])</w:t>
      </w:r>
    </w:p>
  </w:footnote>
  <w:footnote w:id="35">
    <w:p w:rsidR="007374E3" w:rsidRDefault="00DE1821">
      <w:pPr>
        <w:pStyle w:val="FootnoteText"/>
        <w:rPr>
          <w:lang w:val="en-US"/>
        </w:rPr>
      </w:pPr>
      <w:r>
        <w:rPr>
          <w:rStyle w:val="FootnoteCharacters"/>
        </w:rPr>
        <w:footnoteRef/>
      </w:r>
      <w:r>
        <w:tab/>
        <w:t xml:space="preserve">Ric Stevens, “Royal Commission of Inquiry into state care finds Lake Alice children were tortured,” </w:t>
      </w:r>
      <w:r>
        <w:rPr>
          <w:rStyle w:val="Emphasis"/>
        </w:rPr>
        <w:t>NZ Herald</w:t>
      </w:r>
      <w:r>
        <w:t>, 14 De</w:t>
      </w:r>
      <w:r>
        <w:t xml:space="preserve">c. 2022, </w:t>
      </w:r>
      <w:hyperlink r:id="rId9">
        <w:r>
          <w:rPr>
            <w:rStyle w:val="Hyperlink"/>
          </w:rPr>
          <w:t>https://www.nzherald.co.nz/nz/royal-commission-of-inquiry-into-state-care-finds-lake-a</w:t>
        </w:r>
        <w:r>
          <w:rPr>
            <w:rStyle w:val="Hyperlink"/>
          </w:rPr>
          <w:t>lice-children-were-tortured/ZB3EVQL765ATLMDKSX6XHSTXEA/</w:t>
        </w:r>
      </w:hyperlink>
    </w:p>
  </w:footnote>
  <w:footnote w:id="36">
    <w:p w:rsidR="007374E3" w:rsidRDefault="00DE1821">
      <w:pPr>
        <w:suppressAutoHyphens w:val="0"/>
        <w:spacing w:beforeAutospacing="1" w:afterAutospacing="1"/>
        <w:rPr>
          <w:rFonts w:eastAsia="Times New Roman" w:cstheme="minorHAnsi"/>
          <w:sz w:val="20"/>
          <w:szCs w:val="20"/>
          <w:lang w:val="en-US"/>
        </w:rPr>
      </w:pPr>
      <w:r>
        <w:rPr>
          <w:rStyle w:val="FootnoteCharacters"/>
        </w:rPr>
        <w:footnoteRef/>
      </w:r>
      <w:r>
        <w:rPr>
          <w:rFonts w:cstheme="minorHAnsi"/>
          <w:sz w:val="20"/>
          <w:szCs w:val="20"/>
        </w:rPr>
        <w:t xml:space="preserve">  </w:t>
      </w:r>
      <w:r>
        <w:rPr>
          <w:rFonts w:cstheme="minorHAnsi"/>
          <w:sz w:val="20"/>
          <w:szCs w:val="20"/>
        </w:rPr>
        <w:tab/>
        <w:t xml:space="preserve">Erica-Irene Daes, Special Rapporteur of the UN Sub-Commission on Prevention and Discrimination and                       </w:t>
      </w:r>
      <w:r>
        <w:rPr>
          <w:rFonts w:cstheme="minorHAnsi"/>
          <w:sz w:val="20"/>
          <w:szCs w:val="20"/>
        </w:rPr>
        <w:tab/>
        <w:t>Protection of Minorities,  “Principles, Guidelines  and Protection of Pers</w:t>
      </w:r>
      <w:r>
        <w:rPr>
          <w:rFonts w:cstheme="minorHAnsi"/>
          <w:sz w:val="20"/>
          <w:szCs w:val="20"/>
        </w:rPr>
        <w:t xml:space="preserve">ons Detained on Grounds of </w:t>
      </w:r>
      <w:r>
        <w:rPr>
          <w:rFonts w:cstheme="minorHAnsi"/>
          <w:sz w:val="20"/>
          <w:szCs w:val="20"/>
        </w:rPr>
        <w:tab/>
        <w:t>Mental Ill-Health or Suffering from Mental Disorder,” 1986. P. 17</w:t>
      </w:r>
    </w:p>
    <w:p w:rsidR="007374E3" w:rsidRDefault="007374E3">
      <w:pPr>
        <w:pStyle w:val="FootnoteText"/>
      </w:pPr>
    </w:p>
  </w:footnote>
  <w:footnote w:id="37">
    <w:p w:rsidR="007374E3" w:rsidRDefault="00DE1821">
      <w:pPr>
        <w:pStyle w:val="FootnoteText"/>
      </w:pPr>
      <w:r>
        <w:rPr>
          <w:rStyle w:val="FootnoteCharacters"/>
        </w:rPr>
        <w:footnoteRef/>
      </w:r>
      <w:r>
        <w:tab/>
        <w:t>Beautiful Children Inquiry into the Lake Alice Child and Adolescent Unit/Te Uiui o te Manga Tamariki me te Rangatahi ki Lake Alice p30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67E0B"/>
    <w:multiLevelType w:val="multilevel"/>
    <w:tmpl w:val="776CDDAC"/>
    <w:lvl w:ilvl="0">
      <w:start w:val="1"/>
      <w:numFmt w:val="decimal"/>
      <w:lvlText w:val="%1."/>
      <w:lvlJc w:val="left"/>
      <w:pPr>
        <w:tabs>
          <w:tab w:val="num" w:pos="0"/>
        </w:tabs>
        <w:ind w:left="927" w:hanging="360"/>
      </w:pPr>
      <w:rPr>
        <w:i w:val="0"/>
        <w:iCs w:val="0"/>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340" w:hanging="360"/>
      </w:pPr>
      <w:rPr>
        <w:color w:val="000000"/>
      </w:rPr>
    </w:lvl>
    <w:lvl w:ilvl="3">
      <w:start w:val="1"/>
      <w:numFmt w:val="decimal"/>
      <w:lvlText w:val="(%4)"/>
      <w:lvlJc w:val="left"/>
      <w:pPr>
        <w:tabs>
          <w:tab w:val="num" w:pos="0"/>
        </w:tabs>
        <w:ind w:left="2880" w:hanging="360"/>
      </w:pPr>
      <w:rPr>
        <w:color w:val="00000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7800FD"/>
    <w:multiLevelType w:val="multilevel"/>
    <w:tmpl w:val="1166E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BEF2AED"/>
    <w:multiLevelType w:val="multilevel"/>
    <w:tmpl w:val="1FAA1C9A"/>
    <w:lvl w:ilvl="0">
      <w:start w:val="28"/>
      <w:numFmt w:val="decimal"/>
      <w:lvlText w:val="%1."/>
      <w:lvlJc w:val="left"/>
      <w:pPr>
        <w:tabs>
          <w:tab w:val="num" w:pos="0"/>
        </w:tabs>
        <w:ind w:left="927" w:hanging="360"/>
      </w:pPr>
      <w:rPr>
        <w:b w:val="0"/>
        <w:bCs w:val="0"/>
        <w:color w:val="000000"/>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4E3"/>
    <w:rsid w:val="007374E3"/>
    <w:rsid w:val="00DE182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755848-8462-418D-80FB-AE7EAB15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4"/>
        <w:lang w:val="en-GB"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2">
    <w:name w:val="heading 2"/>
    <w:basedOn w:val="Normal"/>
    <w:next w:val="Normal"/>
    <w:link w:val="Heading2Char"/>
    <w:uiPriority w:val="9"/>
    <w:unhideWhenUsed/>
    <w:qFormat/>
    <w:rsid w:val="006569B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41C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93B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link1">
    <w:name w:val="Hyperlink1"/>
    <w:basedOn w:val="DefaultParagraphFont"/>
    <w:uiPriority w:val="99"/>
    <w:unhideWhenUsed/>
    <w:qFormat/>
    <w:rsid w:val="00156413"/>
    <w:rPr>
      <w:color w:val="0563C1" w:themeColor="hyperlink"/>
      <w:u w:val="single"/>
    </w:rPr>
  </w:style>
  <w:style w:type="character" w:customStyle="1" w:styleId="EndnoteTextChar">
    <w:name w:val="Endnote Text Char"/>
    <w:basedOn w:val="DefaultParagraphFont"/>
    <w:link w:val="EndnoteText"/>
    <w:uiPriority w:val="99"/>
    <w:semiHidden/>
    <w:qFormat/>
    <w:rsid w:val="0060272A"/>
    <w:rPr>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Heading2Char">
    <w:name w:val="Heading 2 Char"/>
    <w:basedOn w:val="DefaultParagraphFont"/>
    <w:link w:val="Heading2"/>
    <w:uiPriority w:val="9"/>
    <w:qFormat/>
    <w:rsid w:val="006569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qFormat/>
    <w:rsid w:val="00DD41C0"/>
    <w:rPr>
      <w:rFonts w:asciiTheme="majorHAnsi" w:eastAsiaTheme="majorEastAsia" w:hAnsiTheme="majorHAnsi" w:cstheme="majorBidi"/>
      <w:color w:val="1F3763" w:themeColor="accent1" w:themeShade="7F"/>
      <w:sz w:val="24"/>
    </w:rPr>
  </w:style>
  <w:style w:type="character" w:customStyle="1" w:styleId="UnresolvedMention">
    <w:name w:val="Unresolved Mention"/>
    <w:basedOn w:val="DefaultParagraphFont"/>
    <w:uiPriority w:val="99"/>
    <w:qFormat/>
    <w:rsid w:val="00156413"/>
    <w:rPr>
      <w:color w:val="605E5C"/>
      <w:shd w:val="clear" w:color="auto" w:fill="E1DFDD"/>
    </w:rPr>
  </w:style>
  <w:style w:type="character" w:customStyle="1" w:styleId="Heading4Char">
    <w:name w:val="Heading 4 Char"/>
    <w:basedOn w:val="DefaultParagraphFont"/>
    <w:link w:val="Heading4"/>
    <w:uiPriority w:val="9"/>
    <w:qFormat/>
    <w:rsid w:val="00C93BC2"/>
    <w:rPr>
      <w:rFonts w:asciiTheme="majorHAnsi" w:eastAsiaTheme="majorEastAsia" w:hAnsiTheme="majorHAnsi" w:cstheme="majorBidi"/>
      <w:i/>
      <w:iCs/>
      <w:color w:val="2F5496" w:themeColor="accent1" w:themeShade="BF"/>
      <w:sz w:val="24"/>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styleId="FollowedHyperlink">
    <w:name w:val="FollowedHyperlink"/>
    <w:rPr>
      <w:color w:val="800000"/>
      <w:u w:val="single"/>
    </w:rPr>
  </w:style>
  <w:style w:type="character" w:styleId="Hyperlink">
    <w:name w:val="Hyperlink"/>
    <w:basedOn w:val="DefaultParagraphFont"/>
    <w:uiPriority w:val="99"/>
    <w:unhideWhenUsed/>
    <w:rsid w:val="00334469"/>
    <w:rPr>
      <w:color w:val="0563C1" w:themeColor="hyperlink"/>
      <w:u w:val="single"/>
    </w:rPr>
  </w:style>
  <w:style w:type="character" w:styleId="Strong">
    <w:name w:val="Strong"/>
    <w:basedOn w:val="DefaultParagraphFont"/>
    <w:uiPriority w:val="22"/>
    <w:qFormat/>
    <w:rsid w:val="00125713"/>
    <w:rPr>
      <w:b/>
      <w:bCs/>
    </w:rPr>
  </w:style>
  <w:style w:type="character" w:styleId="Emphasis">
    <w:name w:val="Emphasis"/>
    <w:basedOn w:val="DefaultParagraphFont"/>
    <w:uiPriority w:val="20"/>
    <w:qFormat/>
    <w:rsid w:val="003B6E60"/>
    <w:rPr>
      <w:i/>
      <w:iCs/>
    </w:rPr>
  </w:style>
  <w:style w:type="character" w:customStyle="1" w:styleId="FootnoteTextChar">
    <w:name w:val="Footnote Text Char"/>
    <w:basedOn w:val="DefaultParagraphFont"/>
    <w:link w:val="FootnoteText"/>
    <w:qFormat/>
    <w:rsid w:val="007F1AA0"/>
    <w:rPr>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Revision">
    <w:name w:val="Revision"/>
    <w:uiPriority w:val="99"/>
    <w:semiHidden/>
    <w:qFormat/>
    <w:rsid w:val="00293EB4"/>
    <w:rPr>
      <w:sz w:val="24"/>
    </w:rPr>
  </w:style>
  <w:style w:type="paragraph" w:styleId="ListParagraph">
    <w:name w:val="List Paragraph"/>
    <w:basedOn w:val="Normal"/>
    <w:uiPriority w:val="34"/>
    <w:qFormat/>
    <w:rsid w:val="00AB6ECA"/>
    <w:pPr>
      <w:ind w:left="720"/>
      <w:contextualSpacing/>
    </w:pPr>
  </w:style>
  <w:style w:type="paragraph" w:styleId="EndnoteText">
    <w:name w:val="endnote text"/>
    <w:basedOn w:val="Normal"/>
    <w:link w:val="EndnoteTextChar"/>
    <w:uiPriority w:val="99"/>
    <w:semiHidden/>
    <w:unhideWhenUsed/>
    <w:rsid w:val="0060272A"/>
    <w:rPr>
      <w:sz w:val="20"/>
      <w:szCs w:val="20"/>
    </w:rPr>
  </w:style>
  <w:style w:type="paragraph" w:styleId="NormalWeb">
    <w:name w:val="Normal (Web)"/>
    <w:basedOn w:val="Normal"/>
    <w:uiPriority w:val="99"/>
    <w:unhideWhenUsed/>
    <w:qFormat/>
    <w:rsid w:val="00156413"/>
    <w:rPr>
      <w:rFonts w:ascii="Times New Roman" w:hAnsi="Times New Roman" w:cs="Times New Roman"/>
    </w:rPr>
  </w:style>
  <w:style w:type="paragraph" w:styleId="FootnoteText">
    <w:name w:val="footnote text"/>
    <w:basedOn w:val="Normal"/>
    <w:link w:val="FootnoteTextChar"/>
    <w:pPr>
      <w:suppressLineNumbers/>
      <w:ind w:left="340" w:hanging="3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fat.govt.nz/en/peace-rights-and-security/human-rights/?m=76383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buseincare.org.nz/our-progress/reports/from-redress-to-puretumu/from-redress-to-puretumu-4/1-1-introduction-2/1-1-introduction-7/" TargetMode="External"/><Relationship Id="rId17" Type="http://schemas.openxmlformats.org/officeDocument/2006/relationships/hyperlink" Target="https://mentalhealth.inquiry.govt.nz/inquiry-report/he-ara-oranga/chapter-11-mental-health-act-reform/" TargetMode="External"/><Relationship Id="rId2" Type="http://schemas.openxmlformats.org/officeDocument/2006/relationships/numbering" Target="numbering.xml"/><Relationship Id="rId16" Type="http://schemas.openxmlformats.org/officeDocument/2006/relationships/hyperlink" Target="https://tikatangata.org.nz/news/anniversary-of-united-nations-committee-against-torture-deci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useincare.org.nz/our-progress/reports/inquiry-into-the-lake-alice-child-and-adolescent-unit/" TargetMode="External"/><Relationship Id="rId5" Type="http://schemas.openxmlformats.org/officeDocument/2006/relationships/webSettings" Target="webSettings.xml"/><Relationship Id="rId15" Type="http://schemas.openxmlformats.org/officeDocument/2006/relationships/hyperlink" Target="https://www.justice.govt.nz/justice-sector-policy/constitutional-issues-and-human-rights/human-rights/international-human-rights/cat/" TargetMode="External"/><Relationship Id="rId10" Type="http://schemas.openxmlformats.org/officeDocument/2006/relationships/hyperlink" Target="https://www.abuseincare.org.nz/our-inquiri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hchr-cat@un.org" TargetMode="External"/><Relationship Id="rId14" Type="http://schemas.openxmlformats.org/officeDocument/2006/relationships/hyperlink" Target="https://www.justice.govt.nz/justice-sector-policy/constitutional-issues-and-human-rights/human-rights/international-human-rights/ca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health.govt.nz/system/files/documents/publications/director-of-mental-health-annual-report-2014-dec15.pdf" TargetMode="External"/><Relationship Id="rId3" Type="http://schemas.openxmlformats.org/officeDocument/2006/relationships/hyperlink" Target="https://www.ranzcp.org/news-policy/news/statement-royal-commission-of-inquiry-state-care" TargetMode="External"/><Relationship Id="rId7" Type="http://schemas.openxmlformats.org/officeDocument/2006/relationships/hyperlink" Target="https://www.newsroom.co.nz/crown-law-vs-the-police" TargetMode="External"/><Relationship Id="rId2" Type="http://schemas.openxmlformats.org/officeDocument/2006/relationships/hyperlink" Target="https://mentalhealth.inquiry.govt.nz/inquiry-report/he-ara-oranga/" TargetMode="External"/><Relationship Id="rId1" Type="http://schemas.openxmlformats.org/officeDocument/2006/relationships/hyperlink" Target="https://www.newsroom.co.nz/news/long-read-the-long-shameful-history-of-lake-alice-investigations" TargetMode="External"/><Relationship Id="rId6" Type="http://schemas.openxmlformats.org/officeDocument/2006/relationships/hyperlink" Target="http://www.infocop.es/pdf/Advisory-opinion-Oviedo-Convention-Third-party-intervention-Final.pdf" TargetMode="External"/><Relationship Id="rId5" Type="http://schemas.openxmlformats.org/officeDocument/2006/relationships/hyperlink" Target="http://www.ohchr.org/Documents/HRBodies/HRCouncil/RegularSession/Session22/A.HRC.22.53_English.pdf" TargetMode="External"/><Relationship Id="rId4" Type="http://schemas.openxmlformats.org/officeDocument/2006/relationships/hyperlink" Target="https://www.rnz.co.nz/news/national/469784/more-than-130-children-and-teens-wrongly-given-electric-shocks-at-lake-alice" TargetMode="External"/><Relationship Id="rId9" Type="http://schemas.openxmlformats.org/officeDocument/2006/relationships/hyperlink" Target="https://www.nzherald.co.nz/nz/royal-commission-of-inquiry-into-state-care-finds-lake-alice-children-were-tortured/ZB3EVQL765ATLMDKSX6XHSTX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2A629-75BE-47E2-9263-60AB0832F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7055</Words>
  <Characters>40220</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Smale</dc:creator>
  <dc:description/>
  <cp:lastModifiedBy>Youssef Hamdan</cp:lastModifiedBy>
  <cp:revision>2</cp:revision>
  <dcterms:created xsi:type="dcterms:W3CDTF">2023-06-13T10:10:00Z</dcterms:created>
  <dcterms:modified xsi:type="dcterms:W3CDTF">2023-06-13T10:10:00Z</dcterms:modified>
  <dc:language>en-NZ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