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5FAB0E4"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Start w:id="1" w:name="_Toc463295398"/>
      <w:bookmarkEnd w:id="0"/>
      <w:r w:rsidRPr="00306025">
        <w:rPr>
          <w:rFonts w:ascii="Arial Black" w:eastAsia="ColossalisBold" w:hAnsi="Arial Black" w:cs="Arial"/>
          <w:b/>
          <w:bCs/>
          <w:color w:val="5E175E"/>
          <w:spacing w:val="18"/>
          <w:w w:val="97"/>
          <w:kern w:val="60"/>
          <w:sz w:val="63"/>
          <w:szCs w:val="63"/>
          <w:lang w:val="en-GB"/>
        </w:rPr>
        <w:t>Intersex Genital Mutilation</w:t>
      </w:r>
    </w:p>
    <w:p w14:paraId="6D60F244"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20"/>
          <w:w w:val="103"/>
          <w:sz w:val="42"/>
          <w:szCs w:val="42"/>
          <w:lang w:val="en-GB"/>
        </w:rPr>
      </w:pPr>
      <w:r w:rsidRPr="00306025">
        <w:rPr>
          <w:rFonts w:ascii="Arial Black" w:eastAsia="ColossalisBold" w:hAnsi="Arial Black" w:cs="Arial"/>
          <w:b/>
          <w:bCs/>
          <w:color w:val="5E175E"/>
          <w:spacing w:val="20"/>
          <w:w w:val="103"/>
          <w:sz w:val="42"/>
          <w:szCs w:val="42"/>
          <w:lang w:val="en-GB"/>
        </w:rPr>
        <w:t xml:space="preserve">Human Rights </w:t>
      </w:r>
      <w:r w:rsidRPr="00306025">
        <w:rPr>
          <w:rFonts w:ascii="Arial Black" w:eastAsia="ColossalisBold" w:hAnsi="Arial Black" w:cs="Arial"/>
          <w:b/>
          <w:bCs/>
          <w:color w:val="5E175E"/>
          <w:spacing w:val="20"/>
          <w:w w:val="103"/>
          <w:kern w:val="44"/>
          <w:sz w:val="42"/>
          <w:szCs w:val="42"/>
          <w:lang w:val="en-GB"/>
        </w:rPr>
        <w:t>Violations</w:t>
      </w:r>
      <w:r w:rsidRPr="00306025">
        <w:rPr>
          <w:rFonts w:ascii="Arial Black" w:eastAsia="ColossalisBold" w:hAnsi="Arial Black" w:cs="Arial"/>
          <w:b/>
          <w:bCs/>
          <w:color w:val="5E175E"/>
          <w:spacing w:val="20"/>
          <w:w w:val="103"/>
          <w:sz w:val="42"/>
          <w:szCs w:val="42"/>
          <w:lang w:val="en-GB"/>
        </w:rPr>
        <w:t xml:space="preserve"> </w:t>
      </w:r>
      <w:proofErr w:type="gramStart"/>
      <w:r w:rsidRPr="00306025">
        <w:rPr>
          <w:rFonts w:ascii="Arial Black" w:eastAsia="ColossalisBold" w:hAnsi="Arial Black" w:cs="Arial"/>
          <w:b/>
          <w:bCs/>
          <w:color w:val="5E175E"/>
          <w:spacing w:val="20"/>
          <w:w w:val="103"/>
          <w:sz w:val="42"/>
          <w:szCs w:val="42"/>
          <w:lang w:val="en-GB"/>
        </w:rPr>
        <w:t>Of</w:t>
      </w:r>
      <w:proofErr w:type="gramEnd"/>
      <w:r w:rsidRPr="00306025">
        <w:rPr>
          <w:rFonts w:ascii="Arial Black" w:eastAsia="ColossalisBold" w:hAnsi="Arial Black" w:cs="Arial"/>
          <w:b/>
          <w:bCs/>
          <w:color w:val="5E175E"/>
          <w:spacing w:val="20"/>
          <w:w w:val="103"/>
          <w:sz w:val="42"/>
          <w:szCs w:val="42"/>
          <w:lang w:val="en-GB"/>
        </w:rPr>
        <w:t xml:space="preserve"> Children</w:t>
      </w:r>
    </w:p>
    <w:p w14:paraId="3B3B19EF" w14:textId="77777777" w:rsidR="00BF1A67" w:rsidRPr="00306025" w:rsidRDefault="00BF1A67" w:rsidP="00BF1A67">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306025">
        <w:rPr>
          <w:rFonts w:ascii="Arial Black" w:eastAsia="ColossalisBold" w:hAnsi="Arial Black" w:cs="Arial"/>
          <w:b/>
          <w:bCs/>
          <w:color w:val="5E175E"/>
          <w:spacing w:val="20"/>
          <w:w w:val="98"/>
          <w:kern w:val="44"/>
          <w:sz w:val="38"/>
          <w:szCs w:val="38"/>
          <w:lang w:val="en-GB"/>
        </w:rPr>
        <w:t xml:space="preserve">With Variations </w:t>
      </w:r>
      <w:proofErr w:type="gramStart"/>
      <w:r w:rsidRPr="00306025">
        <w:rPr>
          <w:rFonts w:ascii="Arial Black" w:eastAsia="ColossalisBold" w:hAnsi="Arial Black" w:cs="Arial"/>
          <w:b/>
          <w:bCs/>
          <w:color w:val="5E175E"/>
          <w:spacing w:val="20"/>
          <w:w w:val="98"/>
          <w:kern w:val="44"/>
          <w:sz w:val="38"/>
          <w:szCs w:val="38"/>
          <w:lang w:val="en-GB"/>
        </w:rPr>
        <w:t>Of</w:t>
      </w:r>
      <w:proofErr w:type="gramEnd"/>
      <w:r w:rsidRPr="00306025">
        <w:rPr>
          <w:rFonts w:ascii="Arial Black" w:eastAsia="ColossalisBold" w:hAnsi="Arial Black" w:cs="Arial"/>
          <w:b/>
          <w:bCs/>
          <w:color w:val="5E175E"/>
          <w:spacing w:val="20"/>
          <w:w w:val="98"/>
          <w:kern w:val="44"/>
          <w:sz w:val="38"/>
          <w:szCs w:val="38"/>
          <w:lang w:val="en-GB"/>
        </w:rPr>
        <w:t xml:space="preserve"> Reproductive Anatomy</w:t>
      </w:r>
      <w:bookmarkStart w:id="2" w:name="_GoBack"/>
      <w:bookmarkEnd w:id="2"/>
    </w:p>
    <w:p w14:paraId="655EA9C8"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7BA45431" w14:textId="2B6EDC23"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6A3EC346"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04D64ECB" w14:textId="77777777" w:rsidR="00BF1A67" w:rsidRPr="00306025" w:rsidRDefault="00BF1A67" w:rsidP="00BF1A67">
      <w:pPr>
        <w:pStyle w:val="EinfacherAbsatz"/>
        <w:spacing w:line="240" w:lineRule="auto"/>
        <w:jc w:val="center"/>
        <w:rPr>
          <w:rFonts w:eastAsia="ColossalisBold" w:cs="Arial"/>
          <w:b/>
          <w:bCs/>
          <w:color w:val="5E175E"/>
          <w:spacing w:val="11"/>
          <w:w w:val="95"/>
          <w:sz w:val="30"/>
          <w:szCs w:val="30"/>
          <w:lang w:val="en-GB"/>
        </w:rPr>
      </w:pPr>
      <w:r w:rsidRPr="00306025">
        <w:rPr>
          <w:rFonts w:ascii="Times New Roman" w:hAnsi="Times New Roman" w:cs="Times New Roman"/>
          <w:b/>
          <w:noProof/>
          <w:color w:val="5E175E"/>
          <w:spacing w:val="11"/>
          <w:w w:val="95"/>
          <w:sz w:val="30"/>
          <w:szCs w:val="30"/>
          <w:lang w:val="de-CH" w:eastAsia="de-CH" w:bidi="ar-SA"/>
        </w:rPr>
        <w:drawing>
          <wp:inline distT="0" distB="0" distL="0" distR="0" wp14:anchorId="56E2E447" wp14:editId="595C6004">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2C99669D"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1402569A"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38C102F3" w14:textId="77777777" w:rsidR="00BF1A67" w:rsidRPr="00850B88" w:rsidRDefault="00BF1A67" w:rsidP="00BF1A67">
      <w:pPr>
        <w:pStyle w:val="EinfacherAbsatz"/>
        <w:spacing w:line="240" w:lineRule="auto"/>
        <w:rPr>
          <w:rFonts w:eastAsia="ColossalisBold" w:cs="Arial"/>
          <w:b/>
          <w:bCs/>
          <w:color w:val="5E175E"/>
          <w:spacing w:val="11"/>
          <w:w w:val="95"/>
          <w:sz w:val="30"/>
          <w:szCs w:val="30"/>
          <w:lang w:val="en-GB"/>
        </w:rPr>
      </w:pPr>
    </w:p>
    <w:p w14:paraId="6B32F59C" w14:textId="3A73E163" w:rsidR="00850B88" w:rsidRPr="00F40F1C" w:rsidRDefault="00850B88" w:rsidP="00850B88">
      <w:pPr>
        <w:pStyle w:val="EinfacherAbsatz"/>
        <w:spacing w:line="240" w:lineRule="auto"/>
        <w:rPr>
          <w:rFonts w:ascii="Arial Black" w:eastAsia="ColossalisBold" w:hAnsi="Arial Black" w:cs="Arial"/>
          <w:b/>
          <w:bCs/>
          <w:color w:val="5E175E"/>
          <w:spacing w:val="11"/>
          <w:w w:val="95"/>
          <w:sz w:val="40"/>
          <w:szCs w:val="40"/>
          <w:lang w:val="en-GB"/>
        </w:rPr>
      </w:pPr>
      <w:r w:rsidRPr="00F40F1C">
        <w:rPr>
          <w:rFonts w:ascii="Arial Black" w:eastAsia="ColossalisBold" w:hAnsi="Arial Black" w:cs="Arial"/>
          <w:b/>
          <w:bCs/>
          <w:color w:val="5E175E"/>
          <w:spacing w:val="11"/>
          <w:w w:val="95"/>
          <w:sz w:val="40"/>
          <w:szCs w:val="40"/>
          <w:lang w:val="en-GB"/>
        </w:rPr>
        <w:t>NGO Report (for Session)</w:t>
      </w:r>
    </w:p>
    <w:p w14:paraId="1D05481A" w14:textId="77777777" w:rsidR="00850B88" w:rsidRPr="00F40F1C" w:rsidRDefault="00850B88" w:rsidP="00850B88">
      <w:pPr>
        <w:pStyle w:val="EinfacherAbsatz"/>
        <w:spacing w:line="240" w:lineRule="auto"/>
        <w:rPr>
          <w:rFonts w:ascii="Arial Black" w:eastAsia="ColossalisBold" w:hAnsi="Arial Black" w:cs="Arial"/>
          <w:b/>
          <w:bCs/>
          <w:color w:val="5E175E"/>
          <w:w w:val="85"/>
          <w:kern w:val="34"/>
          <w:sz w:val="36"/>
          <w:szCs w:val="36"/>
          <w:lang w:val="en-GB"/>
        </w:rPr>
      </w:pPr>
      <w:r w:rsidRPr="00F40F1C">
        <w:rPr>
          <w:rFonts w:ascii="Arial Black" w:eastAsia="ColossalisBold" w:hAnsi="Arial Black" w:cs="Arial"/>
          <w:b/>
          <w:bCs/>
          <w:color w:val="5E175E"/>
          <w:w w:val="85"/>
          <w:kern w:val="34"/>
          <w:sz w:val="36"/>
          <w:szCs w:val="36"/>
          <w:lang w:val="en-GB"/>
        </w:rPr>
        <w:t>to the 2</w:t>
      </w:r>
      <w:r w:rsidRPr="00F40F1C">
        <w:rPr>
          <w:rFonts w:ascii="Arial Black" w:eastAsia="ColossalisBold" w:hAnsi="Arial Black" w:cs="Arial"/>
          <w:b/>
          <w:bCs/>
          <w:color w:val="5E175E"/>
          <w:w w:val="85"/>
          <w:kern w:val="34"/>
          <w:sz w:val="36"/>
          <w:szCs w:val="36"/>
          <w:vertAlign w:val="superscript"/>
          <w:lang w:val="en-GB"/>
        </w:rPr>
        <w:t>nd</w:t>
      </w:r>
      <w:r w:rsidRPr="00F40F1C">
        <w:rPr>
          <w:rFonts w:ascii="Arial Black" w:eastAsia="ColossalisBold" w:hAnsi="Arial Black" w:cs="Arial"/>
          <w:b/>
          <w:bCs/>
          <w:color w:val="5E175E"/>
          <w:w w:val="85"/>
          <w:kern w:val="34"/>
          <w:sz w:val="36"/>
          <w:szCs w:val="36"/>
          <w:lang w:val="en-GB"/>
        </w:rPr>
        <w:t xml:space="preserve"> and 3</w:t>
      </w:r>
      <w:r w:rsidRPr="00F40F1C">
        <w:rPr>
          <w:rFonts w:ascii="Arial Black" w:eastAsia="ColossalisBold" w:hAnsi="Arial Black" w:cs="Arial"/>
          <w:b/>
          <w:bCs/>
          <w:color w:val="5E175E"/>
          <w:w w:val="85"/>
          <w:kern w:val="34"/>
          <w:sz w:val="36"/>
          <w:szCs w:val="36"/>
          <w:vertAlign w:val="superscript"/>
          <w:lang w:val="en-GB"/>
        </w:rPr>
        <w:t>rd</w:t>
      </w:r>
      <w:r w:rsidRPr="00F40F1C">
        <w:rPr>
          <w:rFonts w:ascii="Arial Black" w:eastAsia="ColossalisBold" w:hAnsi="Arial Black" w:cs="Arial"/>
          <w:b/>
          <w:bCs/>
          <w:color w:val="5E175E"/>
          <w:w w:val="85"/>
          <w:kern w:val="34"/>
          <w:sz w:val="36"/>
          <w:szCs w:val="36"/>
          <w:lang w:val="en-GB"/>
        </w:rPr>
        <w:t xml:space="preserve"> Periodic Report of </w:t>
      </w:r>
      <w:r w:rsidRPr="00F40F1C">
        <w:rPr>
          <w:rFonts w:ascii="Arial Black" w:eastAsia="ColossalisBold" w:hAnsi="Arial Black" w:cs="Arial"/>
          <w:b/>
          <w:bCs/>
          <w:color w:val="5E175E"/>
          <w:w w:val="95"/>
          <w:kern w:val="34"/>
          <w:sz w:val="36"/>
          <w:szCs w:val="36"/>
          <w:lang w:val="en-GB"/>
        </w:rPr>
        <w:t>Germany</w:t>
      </w:r>
      <w:r w:rsidRPr="00F40F1C">
        <w:rPr>
          <w:rFonts w:ascii="Arial Black" w:eastAsia="ColossalisBold" w:hAnsi="Arial Black" w:cs="Arial"/>
          <w:b/>
          <w:bCs/>
          <w:color w:val="5E175E"/>
          <w:w w:val="85"/>
          <w:kern w:val="34"/>
          <w:sz w:val="36"/>
          <w:szCs w:val="36"/>
          <w:lang w:val="en-GB"/>
        </w:rPr>
        <w:t xml:space="preserve"> on the</w:t>
      </w:r>
    </w:p>
    <w:p w14:paraId="6EABCC9B" w14:textId="77777777" w:rsidR="00850B88" w:rsidRPr="00F40F1C" w:rsidRDefault="00850B88" w:rsidP="00850B88">
      <w:pPr>
        <w:pStyle w:val="EinfacherAbsatz"/>
        <w:spacing w:line="240" w:lineRule="auto"/>
        <w:rPr>
          <w:rFonts w:ascii="Arial Black" w:eastAsia="ColossalisBold" w:hAnsi="Arial Black" w:cs="Arial"/>
          <w:b/>
          <w:bCs/>
          <w:color w:val="5E175E"/>
          <w:spacing w:val="11"/>
          <w:w w:val="81"/>
          <w:sz w:val="36"/>
          <w:szCs w:val="36"/>
          <w:lang w:val="en-GB"/>
        </w:rPr>
      </w:pPr>
      <w:r w:rsidRPr="00F40F1C">
        <w:rPr>
          <w:rFonts w:ascii="Arial Black" w:eastAsia="ColossalisBold" w:hAnsi="Arial Black" w:cs="Arial"/>
          <w:b/>
          <w:bCs/>
          <w:color w:val="5E175E"/>
          <w:spacing w:val="6"/>
          <w:w w:val="81"/>
          <w:kern w:val="36"/>
          <w:sz w:val="36"/>
          <w:szCs w:val="36"/>
          <w:lang w:val="en-GB"/>
        </w:rPr>
        <w:t xml:space="preserve">Convention on </w:t>
      </w:r>
      <w:r w:rsidRPr="00F40F1C">
        <w:rPr>
          <w:rFonts w:ascii="Arial Black" w:eastAsia="ColossalisBold" w:hAnsi="Arial Black" w:cs="Arial"/>
          <w:b/>
          <w:bCs/>
          <w:color w:val="5E175E"/>
          <w:spacing w:val="7"/>
          <w:w w:val="81"/>
          <w:kern w:val="36"/>
          <w:sz w:val="36"/>
          <w:szCs w:val="36"/>
          <w:lang w:val="en-GB"/>
        </w:rPr>
        <w:t>the</w:t>
      </w:r>
      <w:r w:rsidRPr="00F40F1C">
        <w:rPr>
          <w:rFonts w:ascii="Arial Black" w:eastAsia="ColossalisBold" w:hAnsi="Arial Black" w:cs="Arial"/>
          <w:b/>
          <w:bCs/>
          <w:color w:val="5E175E"/>
          <w:spacing w:val="6"/>
          <w:w w:val="81"/>
          <w:kern w:val="36"/>
          <w:sz w:val="36"/>
          <w:szCs w:val="36"/>
          <w:lang w:val="en-GB"/>
        </w:rPr>
        <w:t xml:space="preserve"> Rights of Persons with Disabilities</w:t>
      </w:r>
    </w:p>
    <w:p w14:paraId="5F9AF62C" w14:textId="3C0B40BA" w:rsidR="00BF1A67" w:rsidRPr="00F40F1C" w:rsidRDefault="00850B88" w:rsidP="00850B88">
      <w:pPr>
        <w:pStyle w:val="EinfacherAbsatz"/>
        <w:spacing w:line="240" w:lineRule="auto"/>
        <w:rPr>
          <w:rFonts w:ascii="Arial Black" w:eastAsia="ColossalisBold" w:hAnsi="Arial Black" w:cs="Arial"/>
          <w:bCs/>
          <w:color w:val="5E175E"/>
          <w:spacing w:val="4"/>
          <w:w w:val="92"/>
          <w:kern w:val="36"/>
          <w:sz w:val="36"/>
          <w:szCs w:val="36"/>
          <w:lang w:val="en-GB"/>
        </w:rPr>
      </w:pPr>
      <w:r w:rsidRPr="00F40F1C">
        <w:rPr>
          <w:rFonts w:ascii="Arial Black" w:eastAsia="ColossalisBold" w:hAnsi="Arial Black" w:cs="Arial"/>
          <w:b/>
          <w:bCs/>
          <w:color w:val="5E175E"/>
          <w:spacing w:val="11"/>
          <w:w w:val="95"/>
          <w:sz w:val="36"/>
          <w:szCs w:val="36"/>
          <w:lang w:val="en-GB"/>
        </w:rPr>
        <w:t>(CRPD)</w:t>
      </w:r>
      <w:r w:rsidR="00BF1A67" w:rsidRPr="00F40F1C">
        <w:rPr>
          <w:rFonts w:ascii="Arial Black" w:eastAsia="ColossalisBold" w:hAnsi="Arial Black" w:cs="Arial"/>
          <w:bCs/>
          <w:color w:val="5E175E"/>
          <w:spacing w:val="4"/>
          <w:w w:val="92"/>
          <w:kern w:val="36"/>
          <w:sz w:val="36"/>
          <w:szCs w:val="36"/>
          <w:lang w:val="en-GB"/>
        </w:rPr>
        <w:br w:type="page"/>
      </w:r>
    </w:p>
    <w:p w14:paraId="1B80CFBB" w14:textId="77777777" w:rsidR="000D3ABD" w:rsidRPr="00306025" w:rsidRDefault="000D3ABD" w:rsidP="000D3ABD">
      <w:pPr>
        <w:pStyle w:val="EinfacherAbsatz"/>
        <w:pageBreakBefore/>
        <w:rPr>
          <w:rFonts w:cs="Times New Roman"/>
          <w:lang w:val="en-GB"/>
        </w:rPr>
      </w:pPr>
      <w:r w:rsidRPr="00306025">
        <w:rPr>
          <w:rFonts w:cs="Arial"/>
          <w:b/>
          <w:sz w:val="28"/>
          <w:szCs w:val="28"/>
          <w:lang w:val="en-GB"/>
        </w:rPr>
        <w:lastRenderedPageBreak/>
        <w:t>Compiled by:</w:t>
      </w:r>
    </w:p>
    <w:p w14:paraId="37ADEFEF" w14:textId="77777777" w:rsidR="000D3ABD" w:rsidRPr="00306025" w:rsidRDefault="000D3ABD" w:rsidP="000D3ABD">
      <w:pPr>
        <w:pStyle w:val="absatzschattenbericht"/>
        <w:rPr>
          <w:lang w:val="en-GB"/>
        </w:rPr>
      </w:pPr>
    </w:p>
    <w:p w14:paraId="26DA63BD" w14:textId="77777777" w:rsidR="000D3ABD" w:rsidRPr="00306025" w:rsidRDefault="000D3ABD" w:rsidP="000D3ABD">
      <w:pPr>
        <w:pStyle w:val="absatzschattenbericht"/>
        <w:rPr>
          <w:lang w:val="en-GB"/>
        </w:rPr>
      </w:pPr>
    </w:p>
    <w:p w14:paraId="2331212E" w14:textId="77777777" w:rsidR="000D3ABD" w:rsidRPr="00306025" w:rsidRDefault="000D3ABD" w:rsidP="000D3ABD">
      <w:pPr>
        <w:pStyle w:val="absatzschattenbericht"/>
        <w:spacing w:after="170"/>
        <w:rPr>
          <w:rFonts w:cs="Times New Roman"/>
          <w:lang w:val="en-GB"/>
        </w:rPr>
      </w:pPr>
      <w:r w:rsidRPr="00306025">
        <w:rPr>
          <w:rFonts w:eastAsia="Baskerville-Bold" w:cs="Times New Roman"/>
          <w:b/>
          <w:bCs/>
          <w:lang w:val="en-GB"/>
        </w:rPr>
        <w:t>StopIGM.org / Zwischengeschlecht.org</w:t>
      </w:r>
      <w:r w:rsidRPr="00306025">
        <w:rPr>
          <w:rFonts w:cs="Times New Roman"/>
          <w:lang w:val="en-GB"/>
        </w:rPr>
        <w:t xml:space="preserve"> (International Intersex Human Rights NGO)</w:t>
      </w:r>
    </w:p>
    <w:p w14:paraId="2ED29B2F" w14:textId="77777777" w:rsidR="000D3ABD" w:rsidRPr="00306025" w:rsidRDefault="000D3ABD" w:rsidP="000D3ABD">
      <w:pPr>
        <w:pStyle w:val="absatzschattenbericht"/>
        <w:spacing w:after="170"/>
        <w:rPr>
          <w:rFonts w:eastAsia="Baskerville-Italic" w:cs="Times New Roman"/>
          <w:i/>
          <w:iCs/>
          <w:lang w:val="en-GB"/>
        </w:rPr>
      </w:pPr>
      <w:r w:rsidRPr="00306025">
        <w:rPr>
          <w:rFonts w:cs="Times New Roman"/>
          <w:lang w:val="en-GB"/>
        </w:rPr>
        <w:t>Markus Bauer, Daniela Truffer</w:t>
      </w:r>
    </w:p>
    <w:p w14:paraId="609819C3" w14:textId="77777777" w:rsidR="000D3ABD" w:rsidRPr="00F76145" w:rsidRDefault="000D3ABD" w:rsidP="000D3ABD">
      <w:pPr>
        <w:pStyle w:val="absatzschattenbericht"/>
        <w:spacing w:after="0"/>
        <w:rPr>
          <w:rFonts w:eastAsia="Baskerville-Italic" w:cs="Times New Roman"/>
          <w:i/>
          <w:iCs/>
          <w:lang w:val="de-CH"/>
        </w:rPr>
      </w:pPr>
      <w:r w:rsidRPr="00F76145">
        <w:rPr>
          <w:rFonts w:eastAsia="Baskerville-Italic" w:cs="Times New Roman"/>
          <w:i/>
          <w:iCs/>
          <w:lang w:val="de-CH"/>
        </w:rPr>
        <w:t>Zwischengeschlecht.org</w:t>
      </w:r>
    </w:p>
    <w:p w14:paraId="462136D0" w14:textId="50661154" w:rsidR="000D3ABD" w:rsidRPr="00F76145" w:rsidRDefault="000D3ABD" w:rsidP="000D3ABD">
      <w:pPr>
        <w:pStyle w:val="absatzschattenbericht"/>
        <w:spacing w:after="0"/>
        <w:rPr>
          <w:rFonts w:eastAsia="Baskerville-Italic" w:cs="Times New Roman"/>
          <w:i/>
          <w:iCs/>
          <w:lang w:val="de-CH"/>
        </w:rPr>
      </w:pPr>
      <w:proofErr w:type="spellStart"/>
      <w:r w:rsidRPr="00F76145">
        <w:rPr>
          <w:rFonts w:eastAsia="Baskerville-Italic" w:cs="Times New Roman"/>
          <w:i/>
          <w:iCs/>
          <w:lang w:val="de-CH"/>
        </w:rPr>
        <w:t>P.O.Box</w:t>
      </w:r>
      <w:proofErr w:type="spellEnd"/>
      <w:r w:rsidRPr="00F76145">
        <w:rPr>
          <w:rFonts w:eastAsia="Baskerville-Italic" w:cs="Times New Roman"/>
          <w:i/>
          <w:iCs/>
          <w:lang w:val="de-CH"/>
        </w:rPr>
        <w:t xml:space="preserve"> </w:t>
      </w:r>
      <w:r w:rsidR="00D205B4" w:rsidRPr="00F76145">
        <w:rPr>
          <w:rFonts w:eastAsia="Baskerville-Italic" w:cs="Times New Roman"/>
          <w:i/>
          <w:iCs/>
          <w:lang w:val="de-CH"/>
        </w:rPr>
        <w:t>1318</w:t>
      </w:r>
    </w:p>
    <w:p w14:paraId="0340B5C3" w14:textId="77777777" w:rsidR="000D3ABD" w:rsidRPr="00F76145" w:rsidRDefault="000D3ABD" w:rsidP="000D3ABD">
      <w:pPr>
        <w:pStyle w:val="absatzschattenbericht"/>
        <w:spacing w:after="170"/>
        <w:rPr>
          <w:rFonts w:eastAsia="Baskerville-Italic" w:cs="Times New Roman"/>
          <w:i/>
          <w:iCs/>
          <w:lang w:val="de-CH"/>
        </w:rPr>
      </w:pPr>
      <w:r w:rsidRPr="00F76145">
        <w:rPr>
          <w:rFonts w:eastAsia="Baskerville-Italic" w:cs="Times New Roman"/>
          <w:i/>
          <w:iCs/>
          <w:lang w:val="de-CH"/>
        </w:rPr>
        <w:t xml:space="preserve">CH-8031 </w:t>
      </w:r>
      <w:proofErr w:type="spellStart"/>
      <w:r w:rsidRPr="00F76145">
        <w:rPr>
          <w:rFonts w:eastAsia="Baskerville-Italic" w:cs="Times New Roman"/>
          <w:i/>
          <w:iCs/>
          <w:lang w:val="de-CH"/>
        </w:rPr>
        <w:t>Zurich</w:t>
      </w:r>
      <w:proofErr w:type="spellEnd"/>
    </w:p>
    <w:p w14:paraId="6489B867" w14:textId="77777777" w:rsidR="000D3ABD" w:rsidRPr="00F76145" w:rsidRDefault="000D3ABD" w:rsidP="000D3ABD">
      <w:pPr>
        <w:pStyle w:val="absatzschattenbericht"/>
        <w:spacing w:after="0"/>
        <w:rPr>
          <w:rStyle w:val="url"/>
          <w:rFonts w:eastAsia="Baskerville-Italic" w:cs="Times New Roman"/>
          <w:i/>
          <w:iCs/>
          <w:lang w:val="de-CH"/>
        </w:rPr>
      </w:pPr>
      <w:r w:rsidRPr="00F76145">
        <w:rPr>
          <w:rFonts w:eastAsia="Baskerville-Italic" w:cs="Times New Roman"/>
          <w:i/>
          <w:iCs/>
          <w:lang w:val="de-CH"/>
        </w:rPr>
        <w:t>info_at_zwischengeschlecht.org</w:t>
      </w:r>
    </w:p>
    <w:p w14:paraId="12743AF6" w14:textId="62E3217B" w:rsidR="000D3ABD" w:rsidRPr="00F76145" w:rsidRDefault="0059324E" w:rsidP="000D3ABD">
      <w:pPr>
        <w:pStyle w:val="absatzschattenbericht"/>
        <w:spacing w:after="0"/>
        <w:rPr>
          <w:rStyle w:val="url"/>
          <w:rFonts w:eastAsia="Baskerville-Italic" w:cs="Times New Roman"/>
          <w:i/>
          <w:iCs/>
          <w:lang w:val="de-CH"/>
        </w:rPr>
      </w:pPr>
      <w:hyperlink r:id="rId10" w:history="1">
        <w:r w:rsidR="00BD02F9" w:rsidRPr="00F76145">
          <w:rPr>
            <w:rStyle w:val="Hyperlink"/>
            <w:rFonts w:eastAsia="Baskerville-Italic" w:cs="Times New Roman"/>
            <w:i/>
            <w:iCs/>
            <w:lang w:val="de-CH"/>
          </w:rPr>
          <w:t>https://Zwischengeschlecht.org/</w:t>
        </w:r>
      </w:hyperlink>
      <w:r w:rsidR="000D3ABD" w:rsidRPr="00F76145">
        <w:rPr>
          <w:rStyle w:val="url"/>
          <w:rFonts w:eastAsia="Baskerville-Italic" w:cs="Times New Roman"/>
          <w:i/>
          <w:iCs/>
          <w:lang w:val="de-CH"/>
        </w:rPr>
        <w:t xml:space="preserve"> </w:t>
      </w:r>
    </w:p>
    <w:p w14:paraId="1006BD4C" w14:textId="38C2D38C" w:rsidR="000D3ABD" w:rsidRPr="00F76145" w:rsidRDefault="0059324E" w:rsidP="000D3ABD">
      <w:pPr>
        <w:pStyle w:val="absatzschattenbericht"/>
        <w:spacing w:after="0"/>
        <w:rPr>
          <w:rFonts w:cs="Times New Roman"/>
          <w:i/>
          <w:lang w:val="de-CH"/>
        </w:rPr>
      </w:pPr>
      <w:hyperlink r:id="rId11" w:history="1">
        <w:r w:rsidR="00BD02F9" w:rsidRPr="00F76145">
          <w:rPr>
            <w:rStyle w:val="Hyperlink"/>
            <w:rFonts w:cs="Times New Roman"/>
            <w:i/>
            <w:lang w:val="de-CH"/>
          </w:rPr>
          <w:t>https://StopIGM.org</w:t>
        </w:r>
      </w:hyperlink>
      <w:r w:rsidR="00505EB6" w:rsidRPr="00F76145">
        <w:rPr>
          <w:rFonts w:cs="Times New Roman"/>
          <w:i/>
          <w:lang w:val="de-CH"/>
        </w:rPr>
        <w:t xml:space="preserve"> </w:t>
      </w:r>
    </w:p>
    <w:p w14:paraId="6D98BC7C" w14:textId="77777777" w:rsidR="000D3ABD" w:rsidRPr="00F76145" w:rsidRDefault="000D3ABD" w:rsidP="000D3ABD">
      <w:pPr>
        <w:pStyle w:val="absatzschattenbericht"/>
        <w:rPr>
          <w:lang w:val="de-CH"/>
        </w:rPr>
      </w:pPr>
    </w:p>
    <w:p w14:paraId="1783E3E0" w14:textId="77777777" w:rsidR="000D3ABD" w:rsidRPr="00F76145" w:rsidRDefault="000D3ABD" w:rsidP="000D3ABD">
      <w:pPr>
        <w:pStyle w:val="absatzschattenbericht"/>
        <w:rPr>
          <w:lang w:val="de-CH"/>
        </w:rPr>
      </w:pPr>
    </w:p>
    <w:p w14:paraId="39C9C18C" w14:textId="77777777" w:rsidR="000D3ABD" w:rsidRPr="00F76145" w:rsidRDefault="000D3ABD" w:rsidP="000D3ABD">
      <w:pPr>
        <w:pStyle w:val="absatzschattenbericht"/>
        <w:rPr>
          <w:lang w:val="de-CH"/>
        </w:rPr>
      </w:pPr>
    </w:p>
    <w:p w14:paraId="0C12E20B" w14:textId="77777777" w:rsidR="000D3ABD" w:rsidRPr="00F76145" w:rsidRDefault="000D3ABD" w:rsidP="000D3ABD">
      <w:pPr>
        <w:pStyle w:val="absatzschattenbericht"/>
        <w:rPr>
          <w:lang w:val="de-CH"/>
        </w:rPr>
      </w:pPr>
    </w:p>
    <w:p w14:paraId="4B766CBA" w14:textId="77777777" w:rsidR="000D3ABD" w:rsidRPr="00F76145" w:rsidRDefault="000D3ABD" w:rsidP="000D3ABD">
      <w:pPr>
        <w:pStyle w:val="absatzschattenbericht"/>
        <w:rPr>
          <w:lang w:val="de-CH"/>
        </w:rPr>
      </w:pPr>
    </w:p>
    <w:p w14:paraId="19360645" w14:textId="77777777" w:rsidR="000D3ABD" w:rsidRPr="00F76145" w:rsidRDefault="000D3ABD" w:rsidP="000D3ABD">
      <w:pPr>
        <w:pStyle w:val="absatzschattenbericht"/>
        <w:rPr>
          <w:lang w:val="de-CH"/>
        </w:rPr>
      </w:pPr>
    </w:p>
    <w:p w14:paraId="489B51B8" w14:textId="77777777" w:rsidR="000D3ABD" w:rsidRPr="00F76145" w:rsidRDefault="000D3ABD" w:rsidP="000D3ABD">
      <w:pPr>
        <w:pStyle w:val="absatzschattenbericht"/>
        <w:rPr>
          <w:lang w:val="de-CH"/>
        </w:rPr>
      </w:pPr>
    </w:p>
    <w:p w14:paraId="23C7EC51" w14:textId="369D650F" w:rsidR="0025110F" w:rsidRPr="00306025" w:rsidRDefault="00F047D1" w:rsidP="0025110F">
      <w:pPr>
        <w:pStyle w:val="absatzschattenbericht"/>
        <w:rPr>
          <w:b/>
          <w:lang w:val="en-GB"/>
        </w:rPr>
      </w:pPr>
      <w:r w:rsidRPr="00306025">
        <w:rPr>
          <w:b/>
          <w:lang w:val="en-GB"/>
        </w:rPr>
        <w:t xml:space="preserve">August </w:t>
      </w:r>
      <w:r w:rsidR="00850B88">
        <w:rPr>
          <w:b/>
          <w:lang w:val="en-GB"/>
        </w:rPr>
        <w:t>2023</w:t>
      </w:r>
    </w:p>
    <w:p w14:paraId="47C1942D" w14:textId="77777777" w:rsidR="0025110F" w:rsidRPr="00306025" w:rsidRDefault="0025110F" w:rsidP="0025110F">
      <w:pPr>
        <w:pStyle w:val="absatzschattenbericht"/>
        <w:rPr>
          <w:lang w:val="en-GB"/>
        </w:rPr>
      </w:pPr>
    </w:p>
    <w:p w14:paraId="685E5764" w14:textId="77777777" w:rsidR="0025110F" w:rsidRPr="00306025" w:rsidRDefault="0025110F" w:rsidP="0025110F">
      <w:pPr>
        <w:pStyle w:val="absatzschattenbericht"/>
        <w:rPr>
          <w:lang w:val="en-GB"/>
        </w:rPr>
      </w:pPr>
    </w:p>
    <w:p w14:paraId="064B7764" w14:textId="77777777" w:rsidR="0025110F" w:rsidRPr="00306025" w:rsidRDefault="0025110F" w:rsidP="0025110F">
      <w:pPr>
        <w:pStyle w:val="absatzschattenbericht"/>
        <w:rPr>
          <w:lang w:val="en-GB"/>
        </w:rPr>
      </w:pPr>
    </w:p>
    <w:p w14:paraId="7B74771C" w14:textId="77777777" w:rsidR="00FA2B4C" w:rsidRPr="003225FF" w:rsidRDefault="00FA2B4C" w:rsidP="00FA2B4C">
      <w:pPr>
        <w:pStyle w:val="absatzschattenbericht"/>
        <w:spacing w:after="0"/>
        <w:rPr>
          <w:rFonts w:eastAsia="ArialMT" w:cs="Times New Roman"/>
          <w:lang w:val="en-GB"/>
        </w:rPr>
      </w:pPr>
      <w:r w:rsidRPr="003225FF">
        <w:rPr>
          <w:rFonts w:eastAsia="Arial-BoldMT" w:cs="Times New Roman"/>
          <w:b/>
          <w:bCs/>
          <w:lang w:val="en-GB"/>
        </w:rPr>
        <w:t>This NGO Report online:</w:t>
      </w:r>
    </w:p>
    <w:p w14:paraId="3E0A5972" w14:textId="20503D81" w:rsidR="00FA2B4C" w:rsidRPr="003225FF" w:rsidRDefault="00FA2B4C" w:rsidP="00FA2B4C">
      <w:pPr>
        <w:pStyle w:val="absatzschattenbericht"/>
        <w:spacing w:after="0"/>
        <w:jc w:val="left"/>
        <w:rPr>
          <w:rFonts w:cs="Times New Roman"/>
          <w:lang w:val="de-CH"/>
        </w:rPr>
      </w:pPr>
      <w:r w:rsidRPr="003225FF">
        <w:rPr>
          <w:rFonts w:cs="Times New Roman"/>
          <w:b/>
          <w:bCs/>
          <w:lang w:val="de-CH"/>
        </w:rPr>
        <w:t xml:space="preserve">DOCX: </w:t>
      </w:r>
      <w:hyperlink r:id="rId12" w:history="1">
        <w:r w:rsidRPr="00B97E1B">
          <w:rPr>
            <w:rStyle w:val="Hyperlink"/>
            <w:rFonts w:cs="Times New Roman"/>
            <w:sz w:val="22"/>
            <w:szCs w:val="22"/>
            <w:lang w:val="de-CH"/>
          </w:rPr>
          <w:t>https://intersex.shadowreport.org/public/2023-CRPD-Germany-NGO-Intersex-StopIGM.docx</w:t>
        </w:r>
      </w:hyperlink>
      <w:r>
        <w:rPr>
          <w:rFonts w:cs="Times New Roman"/>
          <w:sz w:val="22"/>
          <w:szCs w:val="22"/>
          <w:lang w:val="de-CH"/>
        </w:rPr>
        <w:t xml:space="preserve"> </w:t>
      </w:r>
    </w:p>
    <w:p w14:paraId="2E163006" w14:textId="4AEE4175" w:rsidR="00FA2B4C" w:rsidRPr="003225FF" w:rsidRDefault="00FA2B4C" w:rsidP="00FA2B4C">
      <w:pPr>
        <w:pStyle w:val="absatzschattenbericht"/>
        <w:spacing w:after="0"/>
        <w:jc w:val="left"/>
        <w:rPr>
          <w:rFonts w:cs="Times New Roman"/>
          <w:lang w:val="de-CH"/>
        </w:rPr>
      </w:pPr>
      <w:r w:rsidRPr="003225FF">
        <w:rPr>
          <w:rFonts w:cs="Times New Roman"/>
          <w:b/>
          <w:bCs/>
          <w:lang w:val="de-CH"/>
        </w:rPr>
        <w:t xml:space="preserve">PDF: </w:t>
      </w:r>
      <w:hyperlink r:id="rId13" w:history="1">
        <w:r w:rsidRPr="00A67D79">
          <w:rPr>
            <w:rStyle w:val="Hyperlink"/>
            <w:rFonts w:cs="Times New Roman"/>
            <w:sz w:val="22"/>
            <w:szCs w:val="22"/>
            <w:lang w:val="de-CH"/>
          </w:rPr>
          <w:t>https://intersex.shadowreport.org/public/2023-CRPD-Germany-NGO-Intersex-StopIGM.pdf</w:t>
        </w:r>
      </w:hyperlink>
      <w:r>
        <w:rPr>
          <w:rFonts w:cs="Times New Roman"/>
          <w:sz w:val="20"/>
          <w:szCs w:val="20"/>
          <w:lang w:val="de-CH"/>
        </w:rPr>
        <w:t xml:space="preserve"> </w:t>
      </w:r>
    </w:p>
    <w:p w14:paraId="0B614842" w14:textId="77777777" w:rsidR="00FA2B4C" w:rsidRPr="00A912FF" w:rsidRDefault="00FA2B4C" w:rsidP="00FA2B4C">
      <w:pPr>
        <w:pStyle w:val="absatzschattenbericht"/>
        <w:rPr>
          <w:lang w:val="de-CH"/>
        </w:rPr>
      </w:pPr>
    </w:p>
    <w:p w14:paraId="2E1DC406" w14:textId="77777777" w:rsidR="00FA2B4C" w:rsidRPr="00A912FF" w:rsidRDefault="00FA2B4C" w:rsidP="00FA2B4C">
      <w:pPr>
        <w:pStyle w:val="absatzschattenbericht"/>
        <w:rPr>
          <w:lang w:val="de-CH"/>
        </w:rPr>
      </w:pPr>
    </w:p>
    <w:p w14:paraId="46F5EEEC" w14:textId="77777777" w:rsidR="00FA2B4C" w:rsidRPr="00A912FF" w:rsidRDefault="00FA2B4C" w:rsidP="00FA2B4C">
      <w:pPr>
        <w:pStyle w:val="absatzschattenbericht"/>
        <w:rPr>
          <w:lang w:val="de-CH"/>
        </w:rPr>
      </w:pPr>
    </w:p>
    <w:p w14:paraId="5CB714D2" w14:textId="77777777" w:rsidR="0025110F" w:rsidRPr="00306025" w:rsidRDefault="0025110F" w:rsidP="0025110F">
      <w:pPr>
        <w:pStyle w:val="KeinAbsatzformat"/>
        <w:jc w:val="center"/>
        <w:rPr>
          <w:rFonts w:ascii="Times New Roman" w:eastAsia="Arial-BoldMT" w:hAnsi="Times New Roman" w:cs="Times New Roman"/>
          <w:b/>
          <w:spacing w:val="6"/>
          <w:sz w:val="28"/>
          <w:szCs w:val="28"/>
          <w:lang w:val="en-GB" w:eastAsia="de-DE" w:bidi="ar-SA"/>
        </w:rPr>
      </w:pPr>
      <w:r w:rsidRPr="00306025">
        <w:rPr>
          <w:rFonts w:ascii="Times New Roman" w:eastAsia="Arial-BoldMT" w:hAnsi="Times New Roman" w:cs="Times New Roman"/>
          <w:b/>
          <w:noProof/>
          <w:spacing w:val="6"/>
          <w:sz w:val="28"/>
          <w:szCs w:val="28"/>
          <w:lang w:val="de-CH" w:eastAsia="de-CH" w:bidi="ar-SA"/>
        </w:rPr>
        <w:drawing>
          <wp:inline distT="0" distB="0" distL="0" distR="0" wp14:anchorId="76A6A8B5" wp14:editId="72A32196">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77688CB3" w14:textId="1FF8B86D" w:rsidR="00533EF3" w:rsidRPr="00306025" w:rsidRDefault="00533EF3" w:rsidP="0025110F">
      <w:pPr>
        <w:pStyle w:val="absatzschattenbericht"/>
        <w:rPr>
          <w:rFonts w:cs="Times New Roman"/>
          <w:b/>
          <w:spacing w:val="6"/>
          <w:sz w:val="28"/>
          <w:szCs w:val="28"/>
          <w:lang w:val="en-GB" w:eastAsia="de-DE" w:bidi="ar-SA"/>
        </w:rPr>
      </w:pPr>
      <w:r w:rsidRPr="00306025">
        <w:rPr>
          <w:rFonts w:cs="Arial"/>
          <w:b/>
          <w:bCs/>
          <w:color w:val="5E175E"/>
          <w:spacing w:val="11"/>
          <w:w w:val="95"/>
          <w:sz w:val="26"/>
          <w:szCs w:val="26"/>
          <w:lang w:val="en-GB"/>
        </w:rPr>
        <w:br w:type="page"/>
      </w:r>
    </w:p>
    <w:p w14:paraId="349DE2DA" w14:textId="77777777" w:rsidR="0048154A" w:rsidRPr="00306025" w:rsidRDefault="0048154A" w:rsidP="0048154A">
      <w:pPr>
        <w:pStyle w:val="Title1"/>
        <w:rPr>
          <w:rFonts w:eastAsia="Baskerville-SemiBold" w:cs="Baskerville-SemiBold"/>
          <w:color w:val="auto"/>
        </w:rPr>
      </w:pPr>
      <w:bookmarkStart w:id="3" w:name="_Toc517743085"/>
      <w:bookmarkStart w:id="4" w:name="_Toc141803613"/>
      <w:r w:rsidRPr="00306025">
        <w:lastRenderedPageBreak/>
        <w:t>Executive Summary</w:t>
      </w:r>
      <w:bookmarkEnd w:id="3"/>
      <w:bookmarkEnd w:id="4"/>
    </w:p>
    <w:p w14:paraId="0D1903FA" w14:textId="3D6BADBE" w:rsidR="00CE0529" w:rsidRPr="00CE0529" w:rsidRDefault="00CE0529" w:rsidP="00CE0529">
      <w:pPr>
        <w:pStyle w:val="absatzschattenbericht"/>
      </w:pPr>
      <w:r w:rsidRPr="00CE0529">
        <w:rPr>
          <w:b/>
          <w:bCs/>
        </w:rPr>
        <w:t>Despite a new 2021 “Law on the Protection of Children with Variants of Sex Development”, all typical forms of IGM practices are still widespread in Germany today</w:t>
      </w:r>
      <w:r w:rsidRPr="00CE0529">
        <w:t xml:space="preserve">, facilitated and paid for by the State party via the public health care system, and </w:t>
      </w:r>
      <w:r w:rsidRPr="00CE0529">
        <w:rPr>
          <w:b/>
          <w:bCs/>
        </w:rPr>
        <w:t>practiced with impunity</w:t>
      </w:r>
      <w:r w:rsidRPr="00CE0529">
        <w:t xml:space="preserve">. Latest available statistics indicate about </w:t>
      </w:r>
      <w:r w:rsidRPr="00CE0529">
        <w:rPr>
          <w:b/>
          <w:bCs/>
        </w:rPr>
        <w:t>1,900 involuntary, non-urgent interventions annually</w:t>
      </w:r>
      <w:r w:rsidRPr="00CE0529">
        <w:t xml:space="preserve">. Survivors of IGM continue to be </w:t>
      </w:r>
      <w:r w:rsidRPr="00CE0529">
        <w:rPr>
          <w:b/>
          <w:bCs/>
        </w:rPr>
        <w:t>denied access to justice and reparations</w:t>
      </w:r>
      <w:r w:rsidRPr="00CE0529">
        <w:t xml:space="preserve"> due to lack of effective legal prohibition and the </w:t>
      </w:r>
      <w:r w:rsidRPr="00CE0529">
        <w:rPr>
          <w:b/>
          <w:bCs/>
        </w:rPr>
        <w:t>statutes of limitations</w:t>
      </w:r>
      <w:r w:rsidRPr="00CE0529">
        <w:t>.</w:t>
      </w:r>
    </w:p>
    <w:p w14:paraId="15BF0D84" w14:textId="7D231236" w:rsidR="008F0709" w:rsidRPr="008B785C" w:rsidRDefault="008F0709" w:rsidP="008F0709">
      <w:pPr>
        <w:pStyle w:val="absatzschattenbericht"/>
        <w:spacing w:after="91"/>
        <w:rPr>
          <w:color w:val="auto"/>
        </w:rPr>
      </w:pPr>
      <w:r w:rsidRPr="008B785C">
        <w:rPr>
          <w:rFonts w:eastAsia="Baskerville-SemiBold" w:cs="Baskerville-SemiBold"/>
          <w:b/>
          <w:bCs/>
          <w:color w:val="auto"/>
        </w:rPr>
        <w:t xml:space="preserve">Germany </w:t>
      </w:r>
      <w:r w:rsidRPr="008B785C">
        <w:rPr>
          <w:rFonts w:eastAsia="Baskerville-SemiBold" w:cs="Baskerville-SemiBold"/>
          <w:bCs/>
          <w:color w:val="auto"/>
        </w:rPr>
        <w:t xml:space="preserve">is </w:t>
      </w:r>
      <w:r w:rsidR="00DE5486" w:rsidRPr="008B785C">
        <w:rPr>
          <w:rFonts w:eastAsia="Baskerville-SemiBold" w:cs="Baskerville-SemiBold"/>
          <w:bCs/>
          <w:color w:val="auto"/>
        </w:rPr>
        <w:t xml:space="preserve">thus </w:t>
      </w:r>
      <w:r w:rsidRPr="008B785C">
        <w:rPr>
          <w:rFonts w:eastAsia="Baskerville-SemiBold" w:cs="Baskerville-SemiBold"/>
          <w:bCs/>
          <w:color w:val="auto"/>
        </w:rPr>
        <w:t>in</w:t>
      </w:r>
      <w:r w:rsidRPr="008B785C">
        <w:rPr>
          <w:rFonts w:eastAsia="Baskerville-SemiBold" w:cs="Baskerville-SemiBold"/>
          <w:b/>
          <w:bCs/>
          <w:color w:val="auto"/>
        </w:rPr>
        <w:t xml:space="preserve"> breach of its obligations</w:t>
      </w:r>
      <w:r w:rsidRPr="008B785C">
        <w:rPr>
          <w:color w:val="auto"/>
        </w:rPr>
        <w:t xml:space="preserve"> to </w:t>
      </w:r>
      <w:r w:rsidRPr="008B785C">
        <w:rPr>
          <w:rFonts w:eastAsia="Baskerville-Bold" w:cs="Baskerville-Bold"/>
          <w:b/>
          <w:bCs/>
          <w:color w:val="auto"/>
        </w:rPr>
        <w:t>(a) take effective legislative, administrative, judicial or other measures to prevent involuntary, non-urgent genital surgery and other harmful medical treatment of intersex children</w:t>
      </w:r>
      <w:r w:rsidRPr="008B785C">
        <w:rPr>
          <w:color w:val="auto"/>
        </w:rPr>
        <w:t xml:space="preserve">, </w:t>
      </w:r>
      <w:r w:rsidRPr="008B785C">
        <w:rPr>
          <w:rFonts w:eastAsia="Baskerville-Bold" w:cs="Baskerville-Bold"/>
          <w:b/>
          <w:bCs/>
          <w:color w:val="auto"/>
        </w:rPr>
        <w:t>(b) to ensure access to justice, redress, compensation and rehabilitation for victims</w:t>
      </w:r>
      <w:r w:rsidRPr="008B785C">
        <w:rPr>
          <w:color w:val="auto"/>
        </w:rPr>
        <w:t xml:space="preserve">, and </w:t>
      </w:r>
      <w:r w:rsidRPr="008B785C">
        <w:rPr>
          <w:b/>
          <w:color w:val="auto"/>
        </w:rPr>
        <w:t>c) to provide families with intersex children with adequate psychosocial and peer support</w:t>
      </w:r>
      <w:r w:rsidRPr="008B785C">
        <w:rPr>
          <w:color w:val="auto"/>
        </w:rPr>
        <w:t xml:space="preserve"> (art. 17).</w:t>
      </w:r>
    </w:p>
    <w:p w14:paraId="0E5349E3" w14:textId="23A2D217" w:rsidR="00A05B52" w:rsidRPr="008F0709" w:rsidRDefault="008F0709" w:rsidP="00507B42">
      <w:pPr>
        <w:pStyle w:val="absatzschattenbericht"/>
        <w:spacing w:after="91"/>
        <w:rPr>
          <w:color w:val="auto"/>
          <w:w w:val="90"/>
        </w:rPr>
      </w:pPr>
      <w:r w:rsidRPr="008B785C">
        <w:rPr>
          <w:b/>
          <w:bCs/>
          <w:color w:val="auto"/>
          <w:kern w:val="24"/>
        </w:rPr>
        <w:t>This Committee, as well as CAT</w:t>
      </w:r>
      <w:r w:rsidR="00863334" w:rsidRPr="008B785C">
        <w:rPr>
          <w:color w:val="auto"/>
          <w:kern w:val="24"/>
        </w:rPr>
        <w:t xml:space="preserve">, </w:t>
      </w:r>
      <w:r w:rsidRPr="008B785C">
        <w:rPr>
          <w:b/>
          <w:color w:val="auto"/>
          <w:kern w:val="24"/>
        </w:rPr>
        <w:t>CEDAW</w:t>
      </w:r>
      <w:r w:rsidR="00065A15" w:rsidRPr="008B785C">
        <w:rPr>
          <w:color w:val="auto"/>
          <w:kern w:val="24"/>
        </w:rPr>
        <w:t xml:space="preserve">, </w:t>
      </w:r>
      <w:r w:rsidR="00065A15" w:rsidRPr="008B785C">
        <w:rPr>
          <w:b/>
          <w:bCs/>
          <w:color w:val="auto"/>
          <w:kern w:val="24"/>
        </w:rPr>
        <w:t xml:space="preserve">CCPR </w:t>
      </w:r>
      <w:r w:rsidR="00065A15" w:rsidRPr="008B785C">
        <w:rPr>
          <w:color w:val="auto"/>
          <w:kern w:val="24"/>
        </w:rPr>
        <w:t xml:space="preserve">and </w:t>
      </w:r>
      <w:r w:rsidR="00863334" w:rsidRPr="008B785C">
        <w:rPr>
          <w:b/>
          <w:bCs/>
          <w:color w:val="auto"/>
          <w:kern w:val="24"/>
        </w:rPr>
        <w:t xml:space="preserve">CRC </w:t>
      </w:r>
      <w:r w:rsidRPr="008B785C">
        <w:rPr>
          <w:color w:val="auto"/>
          <w:kern w:val="24"/>
        </w:rPr>
        <w:t xml:space="preserve">have already considered </w:t>
      </w:r>
      <w:r w:rsidRPr="008B785C">
        <w:rPr>
          <w:b/>
          <w:color w:val="auto"/>
          <w:kern w:val="24"/>
        </w:rPr>
        <w:t>IGM in Germany</w:t>
      </w:r>
      <w:r w:rsidRPr="008B785C">
        <w:rPr>
          <w:color w:val="auto"/>
          <w:kern w:val="24"/>
        </w:rPr>
        <w:t xml:space="preserve"> as constituting at least</w:t>
      </w:r>
      <w:r w:rsidRPr="008B785C">
        <w:rPr>
          <w:b/>
          <w:color w:val="auto"/>
          <w:kern w:val="24"/>
        </w:rPr>
        <w:t xml:space="preserve"> violation of the integrity of the perso</w:t>
      </w:r>
      <w:r w:rsidR="00624EB4" w:rsidRPr="008B785C">
        <w:rPr>
          <w:b/>
          <w:color w:val="auto"/>
          <w:kern w:val="24"/>
        </w:rPr>
        <w:t>n</w:t>
      </w:r>
      <w:r w:rsidRPr="008B785C">
        <w:rPr>
          <w:color w:val="auto"/>
          <w:kern w:val="24"/>
        </w:rPr>
        <w:t>,</w:t>
      </w:r>
      <w:r w:rsidRPr="008B785C">
        <w:rPr>
          <w:color w:val="auto"/>
          <w:w w:val="90"/>
          <w:kern w:val="24"/>
        </w:rPr>
        <w:t xml:space="preserve"> </w:t>
      </w:r>
      <w:r w:rsidR="00624EB4" w:rsidRPr="008B785C">
        <w:rPr>
          <w:b/>
          <w:bCs/>
          <w:color w:val="auto"/>
          <w:kern w:val="24"/>
        </w:rPr>
        <w:t>inhuman treatment</w:t>
      </w:r>
      <w:r w:rsidRPr="008B785C">
        <w:rPr>
          <w:color w:val="auto"/>
          <w:kern w:val="24"/>
        </w:rPr>
        <w:t xml:space="preserve"> and a </w:t>
      </w:r>
      <w:r w:rsidRPr="008B785C">
        <w:rPr>
          <w:b/>
          <w:color w:val="auto"/>
          <w:kern w:val="24"/>
        </w:rPr>
        <w:t>harmful practice</w:t>
      </w:r>
      <w:r w:rsidRPr="008B785C">
        <w:rPr>
          <w:color w:val="auto"/>
          <w:kern w:val="24"/>
        </w:rPr>
        <w:t xml:space="preserve">. Nonetheless, to this day the </w:t>
      </w:r>
      <w:r w:rsidRPr="008B785C">
        <w:rPr>
          <w:b/>
          <w:color w:val="auto"/>
          <w:kern w:val="24"/>
        </w:rPr>
        <w:t>German Government fails to act</w:t>
      </w:r>
      <w:r w:rsidRPr="008B785C">
        <w:rPr>
          <w:color w:val="auto"/>
          <w:kern w:val="24"/>
        </w:rPr>
        <w:t>.</w:t>
      </w:r>
    </w:p>
    <w:p w14:paraId="70BF6CED" w14:textId="0D1D0A2F" w:rsidR="00150CC4" w:rsidRPr="00306025" w:rsidRDefault="00150CC4" w:rsidP="00150CC4">
      <w:pPr>
        <w:pStyle w:val="absatzschattenbericht"/>
        <w:spacing w:after="80" w:line="264" w:lineRule="auto"/>
        <w:rPr>
          <w:rFonts w:cs="Times New Roman"/>
          <w:color w:val="auto"/>
          <w:lang w:val="en-GB"/>
        </w:rPr>
      </w:pPr>
      <w:r w:rsidRPr="001726E4">
        <w:rPr>
          <w:rFonts w:cs="Times New Roman"/>
          <w:color w:val="auto"/>
          <w:lang w:val="en-GB"/>
        </w:rPr>
        <w:t xml:space="preserve">In total, UN treaty bodies </w:t>
      </w:r>
      <w:r w:rsidR="001726E4" w:rsidRPr="001726E4">
        <w:rPr>
          <w:rFonts w:cs="Times New Roman"/>
          <w:b/>
          <w:bCs/>
          <w:color w:val="auto"/>
          <w:lang w:val="en-GB"/>
        </w:rPr>
        <w:t>CRPD</w:t>
      </w:r>
      <w:r w:rsidR="001726E4" w:rsidRPr="001726E4">
        <w:rPr>
          <w:rFonts w:cs="Times New Roman"/>
          <w:color w:val="auto"/>
          <w:lang w:val="en-GB"/>
        </w:rPr>
        <w:t xml:space="preserve">, </w:t>
      </w:r>
      <w:r w:rsidRPr="001726E4">
        <w:rPr>
          <w:rFonts w:cs="Times New Roman"/>
          <w:b/>
          <w:bCs/>
          <w:color w:val="auto"/>
          <w:lang w:val="en-GB"/>
        </w:rPr>
        <w:t>CRC</w:t>
      </w:r>
      <w:r w:rsidRPr="001726E4">
        <w:rPr>
          <w:rFonts w:cs="Times New Roman"/>
          <w:b/>
          <w:color w:val="auto"/>
          <w:lang w:val="en-GB"/>
        </w:rPr>
        <w:t xml:space="preserve">, CEDAW, CAT </w:t>
      </w:r>
      <w:r w:rsidR="001726E4" w:rsidRPr="001726E4">
        <w:rPr>
          <w:rFonts w:cs="Times New Roman"/>
          <w:bCs/>
          <w:color w:val="auto"/>
          <w:lang w:val="en-GB"/>
        </w:rPr>
        <w:t xml:space="preserve">and </w:t>
      </w:r>
      <w:r w:rsidRPr="001726E4">
        <w:rPr>
          <w:rFonts w:cs="Times New Roman"/>
          <w:b/>
          <w:color w:val="auto"/>
          <w:lang w:val="en-GB"/>
        </w:rPr>
        <w:t xml:space="preserve">CCPR </w:t>
      </w:r>
      <w:r w:rsidRPr="001726E4">
        <w:rPr>
          <w:rFonts w:cs="Times New Roman"/>
          <w:color w:val="auto"/>
          <w:lang w:val="en-GB"/>
        </w:rPr>
        <w:t xml:space="preserve">have so far issued </w:t>
      </w:r>
      <w:r w:rsidR="00FE5B28" w:rsidRPr="001726E4">
        <w:rPr>
          <w:rFonts w:cs="Times New Roman"/>
          <w:b/>
          <w:bCs/>
          <w:color w:val="auto"/>
          <w:lang w:val="en-GB"/>
        </w:rPr>
        <w:t>8</w:t>
      </w:r>
      <w:r w:rsidR="00A173CF">
        <w:rPr>
          <w:rFonts w:cs="Times New Roman"/>
          <w:b/>
          <w:bCs/>
          <w:color w:val="auto"/>
          <w:lang w:val="en-GB"/>
        </w:rPr>
        <w:t>3</w:t>
      </w:r>
      <w:r w:rsidRPr="001726E4">
        <w:rPr>
          <w:rFonts w:cs="Times New Roman"/>
          <w:b/>
          <w:bCs/>
          <w:color w:val="auto"/>
          <w:lang w:val="en-GB"/>
        </w:rPr>
        <w:t xml:space="preserve"> Concluding Observations </w:t>
      </w:r>
      <w:r w:rsidRPr="001726E4">
        <w:rPr>
          <w:rFonts w:cs="Times New Roman"/>
          <w:color w:val="auto"/>
          <w:lang w:val="en-GB"/>
        </w:rPr>
        <w:t>recognising</w:t>
      </w:r>
      <w:r w:rsidRPr="001726E4">
        <w:rPr>
          <w:rFonts w:cs="Times New Roman"/>
          <w:b/>
          <w:bCs/>
          <w:color w:val="auto"/>
          <w:lang w:val="en-GB"/>
        </w:rPr>
        <w:t xml:space="preserve"> IGM </w:t>
      </w:r>
      <w:r w:rsidRPr="001726E4">
        <w:rPr>
          <w:rFonts w:cs="Times New Roman"/>
          <w:color w:val="auto"/>
          <w:lang w:val="en-GB"/>
        </w:rPr>
        <w:t>as a</w:t>
      </w:r>
      <w:r w:rsidRPr="001726E4">
        <w:rPr>
          <w:rFonts w:cs="Times New Roman"/>
          <w:b/>
          <w:bCs/>
          <w:color w:val="auto"/>
          <w:lang w:val="en-GB"/>
        </w:rPr>
        <w:t xml:space="preserve"> serious violation of non-</w:t>
      </w:r>
      <w:proofErr w:type="spellStart"/>
      <w:r w:rsidRPr="001726E4">
        <w:rPr>
          <w:rFonts w:cs="Times New Roman"/>
          <w:b/>
          <w:bCs/>
          <w:color w:val="auto"/>
          <w:lang w:val="en-GB"/>
        </w:rPr>
        <w:t>derogable</w:t>
      </w:r>
      <w:proofErr w:type="spellEnd"/>
      <w:r w:rsidRPr="001726E4">
        <w:rPr>
          <w:rFonts w:cs="Times New Roman"/>
          <w:b/>
          <w:bCs/>
          <w:color w:val="auto"/>
          <w:lang w:val="en-GB"/>
        </w:rPr>
        <w:t xml:space="preserve"> human rights</w:t>
      </w:r>
      <w:r w:rsidRPr="001726E4">
        <w:rPr>
          <w:rFonts w:cs="Times New Roman"/>
          <w:color w:val="auto"/>
          <w:lang w:val="en-GB"/>
        </w:rPr>
        <w:t xml:space="preserve">, typically obliging State parties to </w:t>
      </w:r>
      <w:r w:rsidRPr="001726E4">
        <w:rPr>
          <w:rFonts w:cs="Times New Roman"/>
          <w:b/>
          <w:color w:val="auto"/>
          <w:lang w:val="en-GB"/>
        </w:rPr>
        <w:t>enact legislation</w:t>
      </w:r>
      <w:r w:rsidRPr="001726E4">
        <w:rPr>
          <w:rFonts w:cs="Times New Roman"/>
          <w:color w:val="auto"/>
          <w:lang w:val="en-GB"/>
        </w:rPr>
        <w:t xml:space="preserve"> to </w:t>
      </w:r>
      <w:r w:rsidRPr="001726E4">
        <w:rPr>
          <w:rFonts w:cs="Times New Roman"/>
          <w:b/>
          <w:bCs/>
          <w:color w:val="auto"/>
          <w:lang w:val="en-GB"/>
        </w:rPr>
        <w:t>(a)</w:t>
      </w:r>
      <w:r w:rsidRPr="001726E4">
        <w:rPr>
          <w:rFonts w:cs="Times New Roman"/>
          <w:color w:val="auto"/>
          <w:lang w:val="en-GB"/>
        </w:rPr>
        <w:t xml:space="preserve"> end the practice and </w:t>
      </w:r>
      <w:r w:rsidRPr="001726E4">
        <w:rPr>
          <w:rFonts w:cs="Times New Roman"/>
          <w:b/>
          <w:bCs/>
          <w:color w:val="auto"/>
          <w:lang w:val="en-GB"/>
        </w:rPr>
        <w:t>(b)</w:t>
      </w:r>
      <w:r w:rsidRPr="001726E4">
        <w:rPr>
          <w:rFonts w:cs="Times New Roman"/>
          <w:color w:val="auto"/>
          <w:lang w:val="en-GB"/>
        </w:rPr>
        <w:t xml:space="preserve"> ensure redress and compensation, plus </w:t>
      </w:r>
      <w:r w:rsidRPr="001726E4">
        <w:rPr>
          <w:rFonts w:cs="Times New Roman"/>
          <w:b/>
          <w:bCs/>
          <w:color w:val="auto"/>
          <w:lang w:val="en-GB"/>
        </w:rPr>
        <w:t>(c)</w:t>
      </w:r>
      <w:r w:rsidRPr="001726E4">
        <w:rPr>
          <w:rFonts w:cs="Times New Roman"/>
          <w:color w:val="auto"/>
          <w:lang w:val="en-GB"/>
        </w:rPr>
        <w:t xml:space="preserve"> access to free counselling. Also, the UN</w:t>
      </w:r>
      <w:r w:rsidRPr="001726E4">
        <w:rPr>
          <w:rFonts w:cs="Times New Roman"/>
          <w:color w:val="auto"/>
          <w:kern w:val="24"/>
          <w:lang w:val="en-GB"/>
        </w:rPr>
        <w:t> </w:t>
      </w:r>
      <w:r w:rsidRPr="001726E4">
        <w:rPr>
          <w:rFonts w:cs="Times New Roman"/>
          <w:color w:val="auto"/>
          <w:lang w:val="en-GB"/>
        </w:rPr>
        <w:t>Special Rapporteurs on Torture (</w:t>
      </w:r>
      <w:r w:rsidRPr="001726E4">
        <w:rPr>
          <w:rStyle w:val="verweis"/>
          <w:rFonts w:ascii="Times New Roman" w:hAnsi="Times New Roman" w:cs="Times New Roman"/>
          <w:color w:val="auto"/>
        </w:rPr>
        <w:t>SRT</w:t>
      </w:r>
      <w:r w:rsidRPr="001726E4">
        <w:rPr>
          <w:rFonts w:cs="Times New Roman"/>
          <w:color w:val="auto"/>
          <w:lang w:val="en-GB"/>
        </w:rPr>
        <w:t>) and on Health (</w:t>
      </w:r>
      <w:r w:rsidRPr="001726E4">
        <w:rPr>
          <w:rStyle w:val="verweis"/>
          <w:rFonts w:ascii="Times New Roman" w:hAnsi="Times New Roman" w:cs="Times New Roman"/>
          <w:color w:val="auto"/>
        </w:rPr>
        <w:t>SRH</w:t>
      </w:r>
      <w:r w:rsidRPr="001726E4">
        <w:rPr>
          <w:rFonts w:cs="Times New Roman"/>
          <w:color w:val="auto"/>
          <w:lang w:val="en-GB"/>
        </w:rPr>
        <w:t>), the UN High Commissioner for Human Rights (</w:t>
      </w:r>
      <w:r w:rsidRPr="001726E4">
        <w:rPr>
          <w:rStyle w:val="verweis"/>
          <w:rFonts w:ascii="Times New Roman" w:hAnsi="Times New Roman" w:cs="Times New Roman"/>
          <w:color w:val="auto"/>
        </w:rPr>
        <w:t>UNHCHR</w:t>
      </w:r>
      <w:r w:rsidRPr="001726E4">
        <w:rPr>
          <w:rFonts w:cs="Times New Roman"/>
          <w:color w:val="auto"/>
          <w:lang w:val="en-GB"/>
        </w:rPr>
        <w:t>), the World Health Organisation (</w:t>
      </w:r>
      <w:r w:rsidRPr="001726E4">
        <w:rPr>
          <w:rStyle w:val="verweis"/>
          <w:rFonts w:ascii="Times New Roman" w:hAnsi="Times New Roman" w:cs="Times New Roman"/>
          <w:color w:val="auto"/>
        </w:rPr>
        <w:t>WHO</w:t>
      </w:r>
      <w:r w:rsidRPr="001726E4">
        <w:rPr>
          <w:rFonts w:cs="Times New Roman"/>
          <w:color w:val="auto"/>
          <w:lang w:val="en-GB"/>
        </w:rPr>
        <w:t xml:space="preserve">), </w:t>
      </w:r>
      <w:r w:rsidRPr="001726E4">
        <w:rPr>
          <w:rFonts w:cs="Times New Roman"/>
          <w:lang w:val="en-GB"/>
        </w:rPr>
        <w:t>the Inter-American Commission on Human Rights (</w:t>
      </w:r>
      <w:r w:rsidRPr="001726E4">
        <w:rPr>
          <w:rFonts w:cs="Times New Roman"/>
          <w:b/>
          <w:lang w:val="en-GB"/>
        </w:rPr>
        <w:t>IACHR</w:t>
      </w:r>
      <w:r w:rsidRPr="001726E4">
        <w:rPr>
          <w:rFonts w:cs="Times New Roman"/>
          <w:lang w:val="en-GB"/>
        </w:rPr>
        <w:t>), the African Commission on Human and Peoples’ Rights (</w:t>
      </w:r>
      <w:r w:rsidRPr="001726E4">
        <w:rPr>
          <w:rFonts w:cs="Times New Roman"/>
          <w:b/>
          <w:lang w:val="en-GB"/>
        </w:rPr>
        <w:t>ACHPR</w:t>
      </w:r>
      <w:r w:rsidRPr="001726E4">
        <w:rPr>
          <w:rFonts w:cs="Times New Roman"/>
          <w:lang w:val="en-GB"/>
        </w:rPr>
        <w:t>)</w:t>
      </w:r>
      <w:r w:rsidRPr="001726E4">
        <w:rPr>
          <w:rFonts w:cs="Times New Roman"/>
          <w:color w:val="auto"/>
          <w:lang w:val="en-GB"/>
        </w:rPr>
        <w:t xml:space="preserve"> and the Council of Europe </w:t>
      </w:r>
      <w:r w:rsidRPr="001726E4">
        <w:rPr>
          <w:rFonts w:cs="Times New Roman"/>
          <w:color w:val="auto"/>
          <w:w w:val="97"/>
          <w:kern w:val="24"/>
          <w:lang w:val="en-GB"/>
        </w:rPr>
        <w:t>(</w:t>
      </w:r>
      <w:r w:rsidRPr="001726E4">
        <w:rPr>
          <w:rStyle w:val="verweis"/>
          <w:rFonts w:ascii="Times New Roman" w:hAnsi="Times New Roman" w:cs="Times New Roman"/>
          <w:color w:val="auto"/>
          <w:w w:val="97"/>
          <w:kern w:val="24"/>
        </w:rPr>
        <w:t>COE</w:t>
      </w:r>
      <w:r w:rsidRPr="001726E4">
        <w:rPr>
          <w:rFonts w:cs="Times New Roman"/>
          <w:color w:val="auto"/>
          <w:w w:val="97"/>
          <w:kern w:val="24"/>
          <w:lang w:val="en-GB"/>
        </w:rPr>
        <w:t>)</w:t>
      </w:r>
      <w:r w:rsidRPr="001726E4">
        <w:rPr>
          <w:rFonts w:cs="Times New Roman"/>
          <w:color w:val="auto"/>
          <w:lang w:val="en-GB"/>
        </w:rPr>
        <w:t xml:space="preserve"> recognise IGM as a </w:t>
      </w:r>
      <w:r w:rsidRPr="001726E4">
        <w:rPr>
          <w:rFonts w:eastAsia="Baskerville-SemiBold" w:cs="Times New Roman"/>
          <w:b/>
          <w:color w:val="auto"/>
          <w:lang w:val="en-GB"/>
        </w:rPr>
        <w:t>serious violation of non-</w:t>
      </w:r>
      <w:proofErr w:type="spellStart"/>
      <w:r w:rsidRPr="001726E4">
        <w:rPr>
          <w:rFonts w:eastAsia="Baskerville-SemiBold" w:cs="Times New Roman"/>
          <w:b/>
          <w:color w:val="auto"/>
          <w:lang w:val="en-GB"/>
        </w:rPr>
        <w:t>derogable</w:t>
      </w:r>
      <w:proofErr w:type="spellEnd"/>
      <w:r w:rsidRPr="001726E4">
        <w:rPr>
          <w:rFonts w:eastAsia="Baskerville-SemiBold" w:cs="Times New Roman"/>
          <w:b/>
          <w:color w:val="auto"/>
          <w:lang w:val="en-GB"/>
        </w:rPr>
        <w:t xml:space="preserve"> human rights</w:t>
      </w:r>
      <w:r w:rsidRPr="001726E4">
        <w:rPr>
          <w:rFonts w:cs="Times New Roman"/>
          <w:b/>
          <w:color w:val="auto"/>
          <w:lang w:val="en-GB"/>
        </w:rPr>
        <w:t>.</w:t>
      </w:r>
    </w:p>
    <w:p w14:paraId="7AC2A3AD" w14:textId="6880C444" w:rsidR="00150CC4" w:rsidRPr="009C57E3" w:rsidRDefault="00150CC4" w:rsidP="00150CC4">
      <w:pPr>
        <w:pStyle w:val="absatzschattenbericht"/>
        <w:spacing w:after="80" w:line="264" w:lineRule="auto"/>
        <w:rPr>
          <w:rFonts w:cs="Times New Roman"/>
          <w:lang w:val="en-GB"/>
        </w:rPr>
      </w:pPr>
      <w:r w:rsidRPr="009C57E3">
        <w:rPr>
          <w:rFonts w:eastAsia="Baskerville-Bold" w:cs="Times New Roman"/>
          <w:b/>
          <w:bCs/>
          <w:lang w:val="en-GB"/>
        </w:rPr>
        <w:t>Intersex people</w:t>
      </w:r>
      <w:r w:rsidRPr="009C57E3">
        <w:rPr>
          <w:rFonts w:cs="Times New Roman"/>
          <w:lang w:val="en-GB"/>
        </w:rPr>
        <w:t xml:space="preserve"> are born with </w:t>
      </w:r>
      <w:r w:rsidRPr="009C57E3">
        <w:rPr>
          <w:rFonts w:eastAsia="Baskerville-Bold" w:cs="Times New Roman"/>
          <w:b/>
          <w:bCs/>
          <w:lang w:val="en-GB"/>
        </w:rPr>
        <w:t>Variations of Reproductive Anatomy</w:t>
      </w:r>
      <w:r w:rsidRPr="009C57E3">
        <w:rPr>
          <w:rFonts w:cs="Times New Roman"/>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9C57E3">
        <w:rPr>
          <w:rFonts w:eastAsia="Baskerville-Bold" w:cs="Times New Roman"/>
          <w:b/>
          <w:bCs/>
          <w:lang w:val="en-GB"/>
        </w:rPr>
        <w:t>Intersex Genital Mutilations</w:t>
      </w:r>
      <w:r w:rsidRPr="009C57E3">
        <w:rPr>
          <w:rFonts w:cs="Times New Roman"/>
          <w:lang w:val="en-GB"/>
        </w:rPr>
        <w:t>, which present a distinct and unique issue constituting significant human rights violations.</w:t>
      </w:r>
    </w:p>
    <w:p w14:paraId="180E0D20" w14:textId="42FF92A0" w:rsidR="00150CC4" w:rsidRPr="00306025" w:rsidRDefault="00150CC4" w:rsidP="00150CC4">
      <w:pPr>
        <w:pStyle w:val="absatzschattenbericht"/>
        <w:spacing w:after="80" w:line="264" w:lineRule="auto"/>
        <w:rPr>
          <w:lang w:val="en-GB"/>
        </w:rPr>
      </w:pPr>
      <w:r w:rsidRPr="00306025">
        <w:rPr>
          <w:b/>
          <w:lang w:val="en-GB"/>
        </w:rPr>
        <w:t>IGM practices</w:t>
      </w:r>
      <w:r w:rsidRPr="00306025">
        <w:rPr>
          <w:lang w:val="en-GB"/>
        </w:rPr>
        <w:t xml:space="preserve"> include </w:t>
      </w:r>
      <w:r w:rsidRPr="00306025">
        <w:rPr>
          <w:b/>
          <w:lang w:val="en-GB"/>
        </w:rPr>
        <w:t>non-consensual, medically unnecessary, irreversible, cosmetic genital surgeries, and/or other harmful medical procedures</w:t>
      </w:r>
      <w:r w:rsidRPr="00306025">
        <w:rPr>
          <w:lang w:val="en-GB"/>
        </w:rPr>
        <w:t xml:space="preserve"> that would not be considered for “normal” children, without evidence of benefit for the children concerned.</w:t>
      </w:r>
      <w:r w:rsidRPr="00306025">
        <w:rPr>
          <w:rFonts w:eastAsia="Baskerville-SemiBold" w:cs="Baskerville-SemiBold"/>
          <w:lang w:val="en-GB"/>
        </w:rPr>
        <w:t xml:space="preserve"> </w:t>
      </w:r>
      <w:r w:rsidRPr="00306025">
        <w:rPr>
          <w:b/>
          <w:lang w:val="en-GB"/>
        </w:rPr>
        <w:t>Typical forms of IGM</w:t>
      </w:r>
      <w:r w:rsidRPr="00306025">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6E1A400A" w14:textId="77777777" w:rsidR="00150CC4" w:rsidRPr="00306025" w:rsidRDefault="00150CC4" w:rsidP="00150CC4">
      <w:pPr>
        <w:pStyle w:val="absatzschattenbericht"/>
        <w:spacing w:after="80" w:line="264" w:lineRule="auto"/>
        <w:rPr>
          <w:rFonts w:eastAsia="Baskerville-Bold" w:cs="Baskerville-Bold"/>
          <w:b/>
          <w:bCs/>
          <w:lang w:val="en-GB"/>
        </w:rPr>
      </w:pPr>
      <w:r w:rsidRPr="00306025">
        <w:rPr>
          <w:lang w:val="en-GB"/>
        </w:rPr>
        <w:t xml:space="preserve">IGM practices cause known </w:t>
      </w:r>
      <w:r w:rsidRPr="00306025">
        <w:rPr>
          <w:rFonts w:eastAsia="Baskerville-Bold" w:cs="Baskerville-Bold"/>
          <w:b/>
          <w:bCs/>
          <w:lang w:val="en-GB"/>
        </w:rPr>
        <w:t>lifelong severe physical and mental pain and suffering</w:t>
      </w:r>
      <w:r w:rsidRPr="00306025">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017C16A" w14:textId="67B0E0BB" w:rsidR="00150CC4" w:rsidRPr="00306025" w:rsidRDefault="004D6EB8" w:rsidP="00150CC4">
      <w:pPr>
        <w:pStyle w:val="absatzschattenbericht"/>
        <w:spacing w:after="80" w:line="264" w:lineRule="auto"/>
        <w:rPr>
          <w:rFonts w:eastAsia="Baskerville-Bold" w:cs="Baskerville-Bold"/>
          <w:b/>
          <w:bCs/>
          <w:lang w:val="en-GB"/>
        </w:rPr>
      </w:pPr>
      <w:r w:rsidRPr="00D42159">
        <w:rPr>
          <w:lang w:val="en-GB"/>
        </w:rPr>
        <w:t xml:space="preserve">For </w:t>
      </w:r>
      <w:r w:rsidRPr="00D42159">
        <w:rPr>
          <w:b/>
          <w:bCs/>
          <w:lang w:val="en-GB"/>
        </w:rPr>
        <w:t>30 years</w:t>
      </w:r>
      <w:r w:rsidR="00150CC4" w:rsidRPr="00D42159">
        <w:rPr>
          <w:lang w:val="en-GB"/>
        </w:rPr>
        <w:t xml:space="preserve">, intersex people have denounced IGM as </w:t>
      </w:r>
      <w:r w:rsidR="00150CC4" w:rsidRPr="00D42159">
        <w:rPr>
          <w:b/>
          <w:lang w:val="en-GB"/>
        </w:rPr>
        <w:t>harmful</w:t>
      </w:r>
      <w:r w:rsidR="00150CC4" w:rsidRPr="00D42159">
        <w:rPr>
          <w:lang w:val="en-GB"/>
        </w:rPr>
        <w:t xml:space="preserve"> and </w:t>
      </w:r>
      <w:r w:rsidR="00150CC4" w:rsidRPr="00D42159">
        <w:rPr>
          <w:b/>
          <w:lang w:val="en-GB"/>
        </w:rPr>
        <w:t>traumatising</w:t>
      </w:r>
      <w:r w:rsidR="00150CC4" w:rsidRPr="00D42159">
        <w:rPr>
          <w:lang w:val="en-GB"/>
        </w:rPr>
        <w:t xml:space="preserve">, as western </w:t>
      </w:r>
      <w:r w:rsidR="00150CC4" w:rsidRPr="00D42159">
        <w:rPr>
          <w:b/>
          <w:lang w:val="en-GB"/>
        </w:rPr>
        <w:t>genital</w:t>
      </w:r>
      <w:r w:rsidR="00150CC4" w:rsidRPr="00D42159">
        <w:rPr>
          <w:lang w:val="en-GB"/>
        </w:rPr>
        <w:t xml:space="preserve"> </w:t>
      </w:r>
      <w:r w:rsidR="00150CC4" w:rsidRPr="00D42159">
        <w:rPr>
          <w:b/>
          <w:lang w:val="en-GB"/>
        </w:rPr>
        <w:t>mutilation</w:t>
      </w:r>
      <w:r w:rsidR="00150CC4" w:rsidRPr="00D42159">
        <w:rPr>
          <w:lang w:val="en-GB"/>
        </w:rPr>
        <w:t xml:space="preserve">, as </w:t>
      </w:r>
      <w:r w:rsidR="00150CC4" w:rsidRPr="00D42159">
        <w:rPr>
          <w:b/>
          <w:lang w:val="en-GB"/>
        </w:rPr>
        <w:t>child sexual abuse</w:t>
      </w:r>
      <w:r w:rsidR="00150CC4" w:rsidRPr="00D42159">
        <w:rPr>
          <w:lang w:val="en-GB"/>
        </w:rPr>
        <w:t xml:space="preserve"> and </w:t>
      </w:r>
      <w:r w:rsidR="00150CC4" w:rsidRPr="00D42159">
        <w:rPr>
          <w:b/>
          <w:lang w:val="en-GB"/>
        </w:rPr>
        <w:t>torture</w:t>
      </w:r>
      <w:r w:rsidR="00150CC4" w:rsidRPr="00D42159">
        <w:rPr>
          <w:lang w:val="en-GB"/>
        </w:rPr>
        <w:t xml:space="preserve">, and called for </w:t>
      </w:r>
      <w:r w:rsidR="00150CC4" w:rsidRPr="00D42159">
        <w:rPr>
          <w:b/>
          <w:lang w:val="en-GB"/>
        </w:rPr>
        <w:t>remedies</w:t>
      </w:r>
      <w:r w:rsidR="00150CC4" w:rsidRPr="00D42159">
        <w:rPr>
          <w:lang w:val="en-GB"/>
        </w:rPr>
        <w:t>.</w:t>
      </w:r>
    </w:p>
    <w:p w14:paraId="41DE7E44" w14:textId="524189C4" w:rsidR="00CB41FA" w:rsidRPr="00306025" w:rsidRDefault="00150CC4" w:rsidP="00156EC7">
      <w:pPr>
        <w:pStyle w:val="absatzschattenbericht"/>
        <w:spacing w:after="60" w:line="276" w:lineRule="auto"/>
        <w:rPr>
          <w:b/>
          <w:bCs/>
          <w:color w:val="auto"/>
          <w:spacing w:val="0"/>
          <w:lang w:val="en-GB"/>
        </w:rPr>
      </w:pPr>
      <w:r w:rsidRPr="00306025">
        <w:rPr>
          <w:lang w:val="en-GB"/>
        </w:rPr>
        <w:t xml:space="preserve">This </w:t>
      </w:r>
      <w:r w:rsidRPr="00306025">
        <w:rPr>
          <w:b/>
          <w:lang w:val="en-GB"/>
        </w:rPr>
        <w:t xml:space="preserve">Thematic NGO Report </w:t>
      </w:r>
      <w:r w:rsidRPr="00306025">
        <w:rPr>
          <w:lang w:val="en-GB"/>
        </w:rPr>
        <w:t xml:space="preserve">was compiled by the international intersex NGO </w:t>
      </w:r>
      <w:r w:rsidRPr="00306025">
        <w:rPr>
          <w:b/>
          <w:lang w:val="en-GB"/>
        </w:rPr>
        <w:t xml:space="preserve">Zwischengeschlecht.org / StopIGM.org. </w:t>
      </w:r>
      <w:r w:rsidRPr="00306025">
        <w:rPr>
          <w:color w:val="auto"/>
          <w:spacing w:val="0"/>
          <w:lang w:val="en-GB"/>
        </w:rPr>
        <w:t xml:space="preserve">It contains </w:t>
      </w:r>
      <w:r w:rsidRPr="00306025">
        <w:rPr>
          <w:b/>
          <w:bCs/>
          <w:color w:val="auto"/>
          <w:spacing w:val="0"/>
          <w:lang w:val="en-GB"/>
        </w:rPr>
        <w:t xml:space="preserve">Suggested Recommendations (p. </w:t>
      </w:r>
      <w:r w:rsidR="00DA20F1">
        <w:rPr>
          <w:b/>
          <w:bCs/>
          <w:color w:val="auto"/>
          <w:spacing w:val="0"/>
          <w:lang w:val="en-GB"/>
        </w:rPr>
        <w:t>21</w:t>
      </w:r>
      <w:r w:rsidRPr="00306025">
        <w:rPr>
          <w:b/>
          <w:bCs/>
          <w:color w:val="auto"/>
          <w:spacing w:val="0"/>
          <w:lang w:val="en-GB"/>
        </w:rPr>
        <w:t>).</w:t>
      </w:r>
      <w:r w:rsidR="00CB41FA" w:rsidRPr="00306025">
        <w:rPr>
          <w:b/>
          <w:bCs/>
          <w:lang w:val="en-GB"/>
        </w:rPr>
        <w:br w:type="page"/>
      </w:r>
    </w:p>
    <w:p w14:paraId="0A9A64A4" w14:textId="6C08E444" w:rsidR="00850B88" w:rsidRPr="008521EA" w:rsidRDefault="00850B88" w:rsidP="00850B88">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lastRenderedPageBreak/>
        <w:t xml:space="preserve">NGO Report (for </w:t>
      </w:r>
      <w:r>
        <w:rPr>
          <w:rFonts w:cs="Arial"/>
          <w:b/>
          <w:bCs/>
          <w:color w:val="5E175E"/>
          <w:spacing w:val="11"/>
          <w:w w:val="95"/>
          <w:sz w:val="26"/>
          <w:szCs w:val="26"/>
          <w:lang w:val="en-GB"/>
        </w:rPr>
        <w:t>Session</w:t>
      </w:r>
      <w:r w:rsidRPr="008521EA">
        <w:rPr>
          <w:rFonts w:cs="Arial"/>
          <w:b/>
          <w:bCs/>
          <w:color w:val="5E175E"/>
          <w:spacing w:val="11"/>
          <w:w w:val="95"/>
          <w:sz w:val="26"/>
          <w:szCs w:val="26"/>
          <w:lang w:val="en-GB"/>
        </w:rPr>
        <w:t>) to the 2</w:t>
      </w:r>
      <w:r w:rsidRPr="008521EA">
        <w:rPr>
          <w:rFonts w:cs="Arial"/>
          <w:b/>
          <w:bCs/>
          <w:color w:val="5E175E"/>
          <w:spacing w:val="11"/>
          <w:w w:val="95"/>
          <w:sz w:val="26"/>
          <w:szCs w:val="26"/>
          <w:vertAlign w:val="superscript"/>
          <w:lang w:val="en-GB"/>
        </w:rPr>
        <w:t>nd</w:t>
      </w:r>
      <w:r w:rsidRPr="008521EA">
        <w:rPr>
          <w:rFonts w:cs="Arial"/>
          <w:b/>
          <w:bCs/>
          <w:color w:val="5E175E"/>
          <w:spacing w:val="11"/>
          <w:w w:val="95"/>
          <w:sz w:val="26"/>
          <w:szCs w:val="26"/>
          <w:lang w:val="en-GB"/>
        </w:rPr>
        <w:t xml:space="preserve"> and 3</w:t>
      </w:r>
      <w:r w:rsidRPr="008521EA">
        <w:rPr>
          <w:rFonts w:cs="Arial"/>
          <w:b/>
          <w:bCs/>
          <w:color w:val="5E175E"/>
          <w:spacing w:val="11"/>
          <w:w w:val="95"/>
          <w:sz w:val="26"/>
          <w:szCs w:val="26"/>
          <w:vertAlign w:val="superscript"/>
          <w:lang w:val="en-GB"/>
        </w:rPr>
        <w:t>rd</w:t>
      </w:r>
      <w:r w:rsidRPr="008521EA">
        <w:rPr>
          <w:rFonts w:cs="Arial"/>
          <w:b/>
          <w:bCs/>
          <w:color w:val="5E175E"/>
          <w:spacing w:val="11"/>
          <w:w w:val="95"/>
          <w:sz w:val="26"/>
          <w:szCs w:val="26"/>
          <w:lang w:val="en-GB"/>
        </w:rPr>
        <w:t xml:space="preserve"> Periodic Report of Germany</w:t>
      </w:r>
    </w:p>
    <w:p w14:paraId="60139A9A" w14:textId="77777777" w:rsidR="00850B88" w:rsidRPr="008521EA" w:rsidRDefault="00850B88" w:rsidP="00850B88">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on the Convention on the Rights of Persons with Disabilities</w:t>
      </w:r>
      <w:r>
        <w:rPr>
          <w:rFonts w:cs="Arial"/>
          <w:b/>
          <w:bCs/>
          <w:color w:val="5E175E"/>
          <w:spacing w:val="11"/>
          <w:w w:val="95"/>
          <w:sz w:val="26"/>
          <w:szCs w:val="26"/>
          <w:lang w:val="en-GB"/>
        </w:rPr>
        <w:t xml:space="preserve"> </w:t>
      </w:r>
      <w:r w:rsidRPr="008521EA">
        <w:rPr>
          <w:rFonts w:cs="Arial"/>
          <w:b/>
          <w:bCs/>
          <w:color w:val="5E175E"/>
          <w:spacing w:val="11"/>
          <w:w w:val="95"/>
          <w:sz w:val="26"/>
          <w:szCs w:val="26"/>
          <w:lang w:val="en-GB"/>
        </w:rPr>
        <w:t>(CRPD)</w:t>
      </w:r>
    </w:p>
    <w:p w14:paraId="2C403C86" w14:textId="77777777" w:rsidR="00CB41FA" w:rsidRPr="004C33F9" w:rsidRDefault="00CB41FA" w:rsidP="003F1832">
      <w:pPr>
        <w:pStyle w:val="EinfacherAbsatz"/>
        <w:rPr>
          <w:rFonts w:eastAsia="ColossalisBold" w:cs="Arial"/>
          <w:b/>
          <w:bCs/>
          <w:color w:val="5E175E"/>
          <w:spacing w:val="11"/>
          <w:w w:val="95"/>
          <w:sz w:val="20"/>
          <w:szCs w:val="20"/>
          <w:lang w:val="en-GB"/>
        </w:rPr>
      </w:pPr>
    </w:p>
    <w:p w14:paraId="375E9DAC" w14:textId="77777777" w:rsidR="00CB41FA" w:rsidRPr="00306025" w:rsidRDefault="00CB41FA" w:rsidP="00CB41FA">
      <w:pPr>
        <w:pStyle w:val="EinfacherAbsatz"/>
        <w:jc w:val="center"/>
        <w:rPr>
          <w:rFonts w:eastAsia="ColossalisBold" w:cs="Arial"/>
          <w:b/>
          <w:bCs/>
          <w:color w:val="5E175E"/>
          <w:spacing w:val="11"/>
          <w:w w:val="95"/>
          <w:sz w:val="30"/>
          <w:szCs w:val="30"/>
          <w:lang w:val="en-GB"/>
        </w:rPr>
      </w:pPr>
      <w:r w:rsidRPr="00306025">
        <w:rPr>
          <w:rFonts w:eastAsia="ColossalisBold" w:cs="Arial"/>
          <w:b/>
          <w:bCs/>
          <w:color w:val="5E175E"/>
          <w:spacing w:val="11"/>
          <w:w w:val="95"/>
          <w:sz w:val="30"/>
          <w:szCs w:val="30"/>
          <w:lang w:val="en-GB"/>
        </w:rPr>
        <w:t>Table of Contents</w:t>
      </w:r>
    </w:p>
    <w:p w14:paraId="293EF065" w14:textId="77777777" w:rsidR="00CB41FA" w:rsidRPr="00306025" w:rsidRDefault="00CB41FA" w:rsidP="003F1832">
      <w:pPr>
        <w:pStyle w:val="EinfacherAbsatz"/>
        <w:rPr>
          <w:rFonts w:eastAsia="ColossalisBold" w:cs="Arial"/>
          <w:b/>
          <w:bCs/>
          <w:color w:val="5E175E"/>
          <w:spacing w:val="11"/>
          <w:w w:val="95"/>
          <w:lang w:val="en-GB"/>
        </w:rPr>
      </w:pPr>
    </w:p>
    <w:p w14:paraId="6E992A21" w14:textId="404A02C1" w:rsidR="00CB41FA" w:rsidRPr="00306025" w:rsidRDefault="00DA20F1" w:rsidP="00CB41FA">
      <w:pPr>
        <w:pStyle w:val="EinfacherAbsatz"/>
        <w:jc w:val="center"/>
        <w:rPr>
          <w:rFonts w:ascii="Times New Roman" w:eastAsia="ColossalisBold" w:hAnsi="Times New Roman" w:cs="Times New Roman"/>
          <w:b/>
          <w:bCs/>
          <w:color w:val="5E175E"/>
          <w:spacing w:val="11"/>
          <w:kern w:val="40"/>
          <w:sz w:val="40"/>
          <w:szCs w:val="40"/>
          <w:lang w:val="en-GB"/>
        </w:rPr>
      </w:pPr>
      <w:r>
        <w:rPr>
          <w:rFonts w:ascii="Times New Roman" w:eastAsia="ColossalisBold" w:hAnsi="Times New Roman" w:cs="Times New Roman"/>
          <w:b/>
          <w:bCs/>
          <w:color w:val="5E175E"/>
          <w:spacing w:val="11"/>
          <w:kern w:val="40"/>
          <w:sz w:val="40"/>
          <w:szCs w:val="40"/>
          <w:lang w:val="en-GB"/>
        </w:rPr>
        <w:t>IGM Practices in Germany</w:t>
      </w:r>
    </w:p>
    <w:p w14:paraId="1BAC4869" w14:textId="77777777" w:rsidR="0088181F" w:rsidRPr="004C33F9" w:rsidRDefault="0088181F" w:rsidP="0088181F">
      <w:pPr>
        <w:pStyle w:val="EinfacherAbsatz"/>
        <w:rPr>
          <w:rFonts w:eastAsia="ColossalisBold" w:cs="Arial"/>
          <w:b/>
          <w:bCs/>
          <w:color w:val="5E175E"/>
          <w:spacing w:val="11"/>
          <w:w w:val="95"/>
          <w:sz w:val="20"/>
          <w:szCs w:val="20"/>
          <w:lang w:val="en-GB"/>
        </w:rPr>
      </w:pPr>
    </w:p>
    <w:p w14:paraId="4FEABAB8" w14:textId="3ADA6AC9" w:rsidR="008C7FC1" w:rsidRPr="008C7FC1" w:rsidRDefault="00D50FB2">
      <w:pPr>
        <w:pStyle w:val="Verzeichnis1"/>
        <w:tabs>
          <w:tab w:val="right" w:leader="dot" w:pos="9628"/>
        </w:tabs>
        <w:rPr>
          <w:rFonts w:ascii="Times New Roman" w:eastAsiaTheme="minorEastAsia" w:hAnsi="Times New Roman" w:cs="Times New Roman"/>
          <w:b w:val="0"/>
          <w:noProof/>
          <w:kern w:val="0"/>
          <w:sz w:val="28"/>
          <w:szCs w:val="28"/>
          <w:lang w:val="de-CH" w:bidi="ar-SA"/>
        </w:rPr>
      </w:pPr>
      <w:r w:rsidRPr="008C7FC1">
        <w:rPr>
          <w:rFonts w:ascii="Times New Roman" w:hAnsi="Times New Roman" w:cs="Times New Roman"/>
          <w:b w:val="0"/>
        </w:rPr>
        <w:fldChar w:fldCharType="begin"/>
      </w:r>
      <w:r w:rsidRPr="008C7FC1">
        <w:rPr>
          <w:rFonts w:ascii="Times New Roman" w:hAnsi="Times New Roman" w:cs="Times New Roman"/>
          <w:b w:val="0"/>
        </w:rPr>
        <w:instrText xml:space="preserve"> TOC \h \z \t "Title 1;1;Title 2;2;Title 3;3" </w:instrText>
      </w:r>
      <w:r w:rsidRPr="008C7FC1">
        <w:rPr>
          <w:rFonts w:ascii="Times New Roman" w:hAnsi="Times New Roman" w:cs="Times New Roman"/>
          <w:b w:val="0"/>
        </w:rPr>
        <w:fldChar w:fldCharType="separate"/>
      </w:r>
      <w:hyperlink w:anchor="_Toc141803613" w:history="1">
        <w:r w:rsidR="008C7FC1" w:rsidRPr="008C7FC1">
          <w:rPr>
            <w:rStyle w:val="Hyperlink"/>
            <w:rFonts w:ascii="Times New Roman" w:hAnsi="Times New Roman" w:cs="Times New Roman"/>
            <w:noProof/>
            <w:sz w:val="28"/>
            <w:szCs w:val="28"/>
          </w:rPr>
          <w:t>Executive Summary</w:t>
        </w:r>
        <w:r w:rsidR="008C7FC1" w:rsidRPr="008C7FC1">
          <w:rPr>
            <w:rFonts w:ascii="Times New Roman" w:hAnsi="Times New Roman" w:cs="Times New Roman"/>
            <w:noProof/>
            <w:webHidden/>
            <w:sz w:val="28"/>
            <w:szCs w:val="28"/>
          </w:rPr>
          <w:tab/>
        </w:r>
        <w:r w:rsidR="008C7FC1" w:rsidRPr="008C7FC1">
          <w:rPr>
            <w:rFonts w:ascii="Times New Roman" w:hAnsi="Times New Roman" w:cs="Times New Roman"/>
            <w:noProof/>
            <w:webHidden/>
            <w:sz w:val="28"/>
            <w:szCs w:val="28"/>
          </w:rPr>
          <w:fldChar w:fldCharType="begin"/>
        </w:r>
        <w:r w:rsidR="008C7FC1" w:rsidRPr="008C7FC1">
          <w:rPr>
            <w:rFonts w:ascii="Times New Roman" w:hAnsi="Times New Roman" w:cs="Times New Roman"/>
            <w:noProof/>
            <w:webHidden/>
            <w:sz w:val="28"/>
            <w:szCs w:val="28"/>
          </w:rPr>
          <w:instrText xml:space="preserve"> PAGEREF _Toc141803613 \h </w:instrText>
        </w:r>
        <w:r w:rsidR="008C7FC1" w:rsidRPr="008C7FC1">
          <w:rPr>
            <w:rFonts w:ascii="Times New Roman" w:hAnsi="Times New Roman" w:cs="Times New Roman"/>
            <w:noProof/>
            <w:webHidden/>
            <w:sz w:val="28"/>
            <w:szCs w:val="28"/>
          </w:rPr>
        </w:r>
        <w:r w:rsidR="008C7FC1" w:rsidRPr="008C7FC1">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3</w:t>
        </w:r>
        <w:r w:rsidR="008C7FC1" w:rsidRPr="008C7FC1">
          <w:rPr>
            <w:rFonts w:ascii="Times New Roman" w:hAnsi="Times New Roman" w:cs="Times New Roman"/>
            <w:noProof/>
            <w:webHidden/>
            <w:sz w:val="28"/>
            <w:szCs w:val="28"/>
          </w:rPr>
          <w:fldChar w:fldCharType="end"/>
        </w:r>
      </w:hyperlink>
    </w:p>
    <w:p w14:paraId="7B0A069F" w14:textId="09F04CAF" w:rsidR="008C7FC1" w:rsidRPr="008C7FC1" w:rsidRDefault="0059324E">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803614" w:history="1">
        <w:r w:rsidR="008C7FC1" w:rsidRPr="008C7FC1">
          <w:rPr>
            <w:rStyle w:val="Hyperlink"/>
            <w:rFonts w:ascii="Times New Roman" w:hAnsi="Times New Roman" w:cs="Times New Roman"/>
            <w:noProof/>
            <w:sz w:val="28"/>
            <w:szCs w:val="28"/>
          </w:rPr>
          <w:t>A.  Introduction</w:t>
        </w:r>
        <w:r w:rsidR="008C7FC1" w:rsidRPr="008C7FC1">
          <w:rPr>
            <w:rFonts w:ascii="Times New Roman" w:hAnsi="Times New Roman" w:cs="Times New Roman"/>
            <w:noProof/>
            <w:webHidden/>
            <w:sz w:val="28"/>
            <w:szCs w:val="28"/>
          </w:rPr>
          <w:tab/>
        </w:r>
        <w:r w:rsidR="008C7FC1" w:rsidRPr="008C7FC1">
          <w:rPr>
            <w:rFonts w:ascii="Times New Roman" w:hAnsi="Times New Roman" w:cs="Times New Roman"/>
            <w:noProof/>
            <w:webHidden/>
            <w:sz w:val="28"/>
            <w:szCs w:val="28"/>
          </w:rPr>
          <w:fldChar w:fldCharType="begin"/>
        </w:r>
        <w:r w:rsidR="008C7FC1" w:rsidRPr="008C7FC1">
          <w:rPr>
            <w:rFonts w:ascii="Times New Roman" w:hAnsi="Times New Roman" w:cs="Times New Roman"/>
            <w:noProof/>
            <w:webHidden/>
            <w:sz w:val="28"/>
            <w:szCs w:val="28"/>
          </w:rPr>
          <w:instrText xml:space="preserve"> PAGEREF _Toc141803614 \h </w:instrText>
        </w:r>
        <w:r w:rsidR="008C7FC1" w:rsidRPr="008C7FC1">
          <w:rPr>
            <w:rFonts w:ascii="Times New Roman" w:hAnsi="Times New Roman" w:cs="Times New Roman"/>
            <w:noProof/>
            <w:webHidden/>
            <w:sz w:val="28"/>
            <w:szCs w:val="28"/>
          </w:rPr>
        </w:r>
        <w:r w:rsidR="008C7FC1" w:rsidRPr="008C7FC1">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5</w:t>
        </w:r>
        <w:r w:rsidR="008C7FC1" w:rsidRPr="008C7FC1">
          <w:rPr>
            <w:rFonts w:ascii="Times New Roman" w:hAnsi="Times New Roman" w:cs="Times New Roman"/>
            <w:noProof/>
            <w:webHidden/>
            <w:sz w:val="28"/>
            <w:szCs w:val="28"/>
          </w:rPr>
          <w:fldChar w:fldCharType="end"/>
        </w:r>
      </w:hyperlink>
    </w:p>
    <w:p w14:paraId="4AAD038A" w14:textId="0E40A6A4"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15" w:history="1">
        <w:r w:rsidR="008C7FC1" w:rsidRPr="00573553">
          <w:rPr>
            <w:rStyle w:val="Hyperlink"/>
            <w:rFonts w:ascii="Times New Roman" w:hAnsi="Times New Roman" w:cs="Times New Roman"/>
            <w:noProof/>
            <w:sz w:val="24"/>
            <w:szCs w:val="24"/>
          </w:rPr>
          <w:t>1.  Intersex, IGM and Human Rights in Germany</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_Toc141803615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5</w:t>
        </w:r>
        <w:r w:rsidR="008C7FC1" w:rsidRPr="00573553">
          <w:rPr>
            <w:rFonts w:ascii="Times New Roman" w:hAnsi="Times New Roman" w:cs="Times New Roman"/>
            <w:noProof/>
            <w:webHidden/>
            <w:sz w:val="24"/>
            <w:szCs w:val="24"/>
          </w:rPr>
          <w:fldChar w:fldCharType="end"/>
        </w:r>
      </w:hyperlink>
    </w:p>
    <w:p w14:paraId="6A6D8FAF" w14:textId="5B8F9BAB"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16" w:history="1">
        <w:r w:rsidR="008C7FC1" w:rsidRPr="00573553">
          <w:rPr>
            <w:rStyle w:val="Hyperlink"/>
            <w:rFonts w:ascii="Times New Roman" w:hAnsi="Times New Roman" w:cs="Times New Roman"/>
            <w:noProof/>
            <w:sz w:val="24"/>
            <w:szCs w:val="24"/>
          </w:rPr>
          <w:t>2.  About the Rapporteurs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_Toc141803616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5</w:t>
        </w:r>
        <w:r w:rsidR="008C7FC1" w:rsidRPr="00573553">
          <w:rPr>
            <w:rFonts w:ascii="Times New Roman" w:hAnsi="Times New Roman" w:cs="Times New Roman"/>
            <w:noProof/>
            <w:webHidden/>
            <w:sz w:val="24"/>
            <w:szCs w:val="24"/>
          </w:rPr>
          <w:fldChar w:fldCharType="end"/>
        </w:r>
      </w:hyperlink>
    </w:p>
    <w:p w14:paraId="082E2284" w14:textId="2EF8CFB0"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17" w:history="1">
        <w:r w:rsidR="008C7FC1" w:rsidRPr="00573553">
          <w:rPr>
            <w:rStyle w:val="Hyperlink"/>
            <w:rFonts w:ascii="Times New Roman" w:hAnsi="Times New Roman" w:cs="Times New Roman"/>
            <w:noProof/>
            <w:sz w:val="24"/>
            <w:szCs w:val="24"/>
          </w:rPr>
          <w:t>3.  Methodology</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_Toc141803617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6</w:t>
        </w:r>
        <w:r w:rsidR="008C7FC1" w:rsidRPr="00573553">
          <w:rPr>
            <w:rFonts w:ascii="Times New Roman" w:hAnsi="Times New Roman" w:cs="Times New Roman"/>
            <w:noProof/>
            <w:webHidden/>
            <w:sz w:val="24"/>
            <w:szCs w:val="24"/>
          </w:rPr>
          <w:fldChar w:fldCharType="end"/>
        </w:r>
      </w:hyperlink>
    </w:p>
    <w:p w14:paraId="6CEED1AE" w14:textId="3B3F9E5A" w:rsidR="008C7FC1" w:rsidRPr="008C7FC1" w:rsidRDefault="0059324E">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803618" w:history="1">
        <w:r w:rsidR="008C7FC1" w:rsidRPr="008C7FC1">
          <w:rPr>
            <w:rStyle w:val="Hyperlink"/>
            <w:rFonts w:ascii="Times New Roman" w:hAnsi="Times New Roman" w:cs="Times New Roman"/>
            <w:noProof/>
            <w:kern w:val="28"/>
            <w:sz w:val="28"/>
            <w:szCs w:val="28"/>
          </w:rPr>
          <w:t>B.  Precedents: Concluding Observations, LOIPR, State Party Report</w:t>
        </w:r>
        <w:r w:rsidR="008C7FC1" w:rsidRPr="008C7FC1">
          <w:rPr>
            <w:rFonts w:ascii="Times New Roman" w:hAnsi="Times New Roman" w:cs="Times New Roman"/>
            <w:noProof/>
            <w:webHidden/>
            <w:sz w:val="28"/>
            <w:szCs w:val="28"/>
          </w:rPr>
          <w:tab/>
        </w:r>
        <w:r w:rsidR="008C7FC1" w:rsidRPr="008C7FC1">
          <w:rPr>
            <w:rFonts w:ascii="Times New Roman" w:hAnsi="Times New Roman" w:cs="Times New Roman"/>
            <w:noProof/>
            <w:webHidden/>
            <w:sz w:val="28"/>
            <w:szCs w:val="28"/>
          </w:rPr>
          <w:fldChar w:fldCharType="begin"/>
        </w:r>
        <w:r w:rsidR="008C7FC1" w:rsidRPr="008C7FC1">
          <w:rPr>
            <w:rFonts w:ascii="Times New Roman" w:hAnsi="Times New Roman" w:cs="Times New Roman"/>
            <w:noProof/>
            <w:webHidden/>
            <w:sz w:val="28"/>
            <w:szCs w:val="28"/>
          </w:rPr>
          <w:instrText xml:space="preserve"> PAGEREF _Toc141803618 \h </w:instrText>
        </w:r>
        <w:r w:rsidR="008C7FC1" w:rsidRPr="008C7FC1">
          <w:rPr>
            <w:rFonts w:ascii="Times New Roman" w:hAnsi="Times New Roman" w:cs="Times New Roman"/>
            <w:noProof/>
            <w:webHidden/>
            <w:sz w:val="28"/>
            <w:szCs w:val="28"/>
          </w:rPr>
        </w:r>
        <w:r w:rsidR="008C7FC1" w:rsidRPr="008C7FC1">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7</w:t>
        </w:r>
        <w:r w:rsidR="008C7FC1" w:rsidRPr="008C7FC1">
          <w:rPr>
            <w:rFonts w:ascii="Times New Roman" w:hAnsi="Times New Roman" w:cs="Times New Roman"/>
            <w:noProof/>
            <w:webHidden/>
            <w:sz w:val="28"/>
            <w:szCs w:val="28"/>
          </w:rPr>
          <w:fldChar w:fldCharType="end"/>
        </w:r>
      </w:hyperlink>
    </w:p>
    <w:p w14:paraId="20EEF51A" w14:textId="545450D4"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19" w:history="1">
        <w:r w:rsidR="008C7FC1" w:rsidRPr="00573553">
          <w:rPr>
            <w:rStyle w:val="Hyperlink"/>
            <w:rFonts w:ascii="Times New Roman" w:hAnsi="Times New Roman" w:cs="Times New Roman"/>
            <w:noProof/>
            <w:sz w:val="24"/>
            <w:szCs w:val="24"/>
          </w:rPr>
          <w:t>1.  Previous Concluding Observations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_Toc141803619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7</w:t>
        </w:r>
        <w:r w:rsidR="008C7FC1" w:rsidRPr="00573553">
          <w:rPr>
            <w:rFonts w:ascii="Times New Roman" w:hAnsi="Times New Roman" w:cs="Times New Roman"/>
            <w:noProof/>
            <w:webHidden/>
            <w:sz w:val="24"/>
            <w:szCs w:val="24"/>
          </w:rPr>
          <w:fldChar w:fldCharType="end"/>
        </w:r>
      </w:hyperlink>
    </w:p>
    <w:p w14:paraId="0A3DA7B6" w14:textId="066B1FCA"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0" w:history="1">
        <w:r w:rsidR="008C7FC1" w:rsidRPr="00573553">
          <w:rPr>
            <w:rStyle w:val="Hyperlink"/>
            <w:rFonts w:ascii="Times New Roman" w:hAnsi="Times New Roman" w:cs="Times New Roman"/>
            <w:noProof/>
            <w:sz w:val="24"/>
            <w:szCs w:val="24"/>
          </w:rPr>
          <w:t>a) Inhuman Treatment: CAT 2011, CAT/C/DEU/CO/5, para 20</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_Toc141803620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7</w:t>
        </w:r>
        <w:r w:rsidR="008C7FC1" w:rsidRPr="00573553">
          <w:rPr>
            <w:rFonts w:ascii="Times New Roman" w:hAnsi="Times New Roman" w:cs="Times New Roman"/>
            <w:noProof/>
            <w:webHidden/>
            <w:sz w:val="24"/>
            <w:szCs w:val="24"/>
          </w:rPr>
          <w:fldChar w:fldCharType="end"/>
        </w:r>
      </w:hyperlink>
    </w:p>
    <w:p w14:paraId="7A57AC9B" w14:textId="5074B50D"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1" w:history="1">
        <w:r w:rsidR="008C7FC1" w:rsidRPr="00573553">
          <w:rPr>
            <w:rStyle w:val="Hyperlink"/>
            <w:rFonts w:ascii="Times New Roman" w:hAnsi="Times New Roman" w:cs="Times New Roman"/>
            <w:noProof/>
            <w:sz w:val="24"/>
            <w:szCs w:val="24"/>
          </w:rPr>
          <w:t>b) Integrity of the Person: CRPD 2015, CRPD/C/DEU/CO/1, paras 37-38</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_Toc141803621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7</w:t>
        </w:r>
        <w:r w:rsidR="008C7FC1" w:rsidRPr="00573553">
          <w:rPr>
            <w:rFonts w:ascii="Times New Roman" w:hAnsi="Times New Roman" w:cs="Times New Roman"/>
            <w:noProof/>
            <w:webHidden/>
            <w:sz w:val="24"/>
            <w:szCs w:val="24"/>
          </w:rPr>
          <w:fldChar w:fldCharType="end"/>
        </w:r>
      </w:hyperlink>
    </w:p>
    <w:p w14:paraId="1085BF0E" w14:textId="0445BE81"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2" w:history="1">
        <w:r w:rsidR="008C7FC1" w:rsidRPr="00573553">
          <w:rPr>
            <w:rStyle w:val="Hyperlink"/>
            <w:rFonts w:ascii="Times New Roman" w:hAnsi="Times New Roman" w:cs="Times New Roman"/>
            <w:noProof/>
            <w:sz w:val="24"/>
            <w:szCs w:val="24"/>
          </w:rPr>
          <w:t>c) Harmful Practices: CEDAW 2017, CEDAW/C/DEU/CO/7-8, paras 23-24</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_Toc141803622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8</w:t>
        </w:r>
        <w:r w:rsidR="008C7FC1" w:rsidRPr="00573553">
          <w:rPr>
            <w:rFonts w:ascii="Times New Roman" w:hAnsi="Times New Roman" w:cs="Times New Roman"/>
            <w:noProof/>
            <w:webHidden/>
            <w:sz w:val="24"/>
            <w:szCs w:val="24"/>
          </w:rPr>
          <w:fldChar w:fldCharType="end"/>
        </w:r>
      </w:hyperlink>
    </w:p>
    <w:p w14:paraId="75FF4297" w14:textId="2EDC68D5"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3" w:history="1">
        <w:r w:rsidR="008C7FC1" w:rsidRPr="00573553">
          <w:rPr>
            <w:rStyle w:val="Hyperlink"/>
            <w:rFonts w:ascii="Times New Roman" w:hAnsi="Times New Roman" w:cs="Times New Roman"/>
            <w:noProof/>
            <w:sz w:val="24"/>
            <w:szCs w:val="24"/>
          </w:rPr>
          <w:t>d) Inhuman Treatment: CCPR 2021, CCPR/C/DEU/CO/7, paras 20-21</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_Toc141803623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9</w:t>
        </w:r>
        <w:r w:rsidR="008C7FC1" w:rsidRPr="00573553">
          <w:rPr>
            <w:rFonts w:ascii="Times New Roman" w:hAnsi="Times New Roman" w:cs="Times New Roman"/>
            <w:noProof/>
            <w:webHidden/>
            <w:sz w:val="24"/>
            <w:szCs w:val="24"/>
          </w:rPr>
          <w:fldChar w:fldCharType="end"/>
        </w:r>
      </w:hyperlink>
    </w:p>
    <w:p w14:paraId="5CAA9822" w14:textId="4703FBF0"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4" w:history="1">
        <w:r w:rsidR="008C7FC1" w:rsidRPr="00573553">
          <w:rPr>
            <w:rStyle w:val="Hyperlink"/>
            <w:rFonts w:ascii="Times New Roman" w:hAnsi="Times New Roman" w:cs="Times New Roman"/>
            <w:noProof/>
            <w:sz w:val="24"/>
            <w:szCs w:val="24"/>
          </w:rPr>
          <w:t>e) Harmful Practices: CRC 2022, CRC/C/DEU/CO/5-6, para 24(c))</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_Toc141803624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9</w:t>
        </w:r>
        <w:r w:rsidR="008C7FC1" w:rsidRPr="00573553">
          <w:rPr>
            <w:rFonts w:ascii="Times New Roman" w:hAnsi="Times New Roman" w:cs="Times New Roman"/>
            <w:noProof/>
            <w:webHidden/>
            <w:sz w:val="24"/>
            <w:szCs w:val="24"/>
          </w:rPr>
          <w:fldChar w:fldCharType="end"/>
        </w:r>
      </w:hyperlink>
    </w:p>
    <w:p w14:paraId="179B452B" w14:textId="34C3119F"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25" w:history="1">
        <w:r w:rsidR="008C7FC1" w:rsidRPr="00573553">
          <w:rPr>
            <w:rStyle w:val="Hyperlink"/>
            <w:rFonts w:ascii="Times New Roman" w:hAnsi="Times New Roman" w:cs="Times New Roman"/>
            <w:noProof/>
            <w:sz w:val="24"/>
            <w:szCs w:val="24"/>
          </w:rPr>
          <w:t>2.  Current 2nd and 3rd CRPD Cycle: LOIPR and State Party Report</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_Toc141803625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9</w:t>
        </w:r>
        <w:r w:rsidR="008C7FC1" w:rsidRPr="00573553">
          <w:rPr>
            <w:rFonts w:ascii="Times New Roman" w:hAnsi="Times New Roman" w:cs="Times New Roman"/>
            <w:noProof/>
            <w:webHidden/>
            <w:sz w:val="24"/>
            <w:szCs w:val="24"/>
          </w:rPr>
          <w:fldChar w:fldCharType="end"/>
        </w:r>
      </w:hyperlink>
    </w:p>
    <w:p w14:paraId="3AB93CEA" w14:textId="74ED6FA4"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6" w:history="1">
        <w:r w:rsidR="008C7FC1" w:rsidRPr="00573553">
          <w:rPr>
            <w:rStyle w:val="Hyperlink"/>
            <w:rFonts w:ascii="Times New Roman" w:hAnsi="Times New Roman" w:cs="Times New Roman"/>
            <w:noProof/>
            <w:sz w:val="24"/>
            <w:szCs w:val="24"/>
            <w:lang w:val="fr-CH"/>
          </w:rPr>
          <w:t>a) 2018 List of Issues (LOIPR) (CRPD/C/DEU/QPR/2-3, para 16(b))</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_Toc141803626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9</w:t>
        </w:r>
        <w:r w:rsidR="008C7FC1" w:rsidRPr="00573553">
          <w:rPr>
            <w:rFonts w:ascii="Times New Roman" w:hAnsi="Times New Roman" w:cs="Times New Roman"/>
            <w:noProof/>
            <w:webHidden/>
            <w:sz w:val="24"/>
            <w:szCs w:val="24"/>
          </w:rPr>
          <w:fldChar w:fldCharType="end"/>
        </w:r>
      </w:hyperlink>
    </w:p>
    <w:p w14:paraId="6F62C2FC" w14:textId="5645A1A3"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27" w:history="1">
        <w:r w:rsidR="008C7FC1" w:rsidRPr="00573553">
          <w:rPr>
            <w:rStyle w:val="Hyperlink"/>
            <w:rFonts w:ascii="Times New Roman" w:hAnsi="Times New Roman" w:cs="Times New Roman"/>
            <w:noProof/>
            <w:sz w:val="24"/>
            <w:szCs w:val="24"/>
          </w:rPr>
          <w:t>b) 2019 State Party Report under LOIPR (CRPD/C/DEU/2-3, para 162)</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_Toc141803627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10</w:t>
        </w:r>
        <w:r w:rsidR="008C7FC1" w:rsidRPr="00573553">
          <w:rPr>
            <w:rFonts w:ascii="Times New Roman" w:hAnsi="Times New Roman" w:cs="Times New Roman"/>
            <w:noProof/>
            <w:webHidden/>
            <w:sz w:val="24"/>
            <w:szCs w:val="24"/>
          </w:rPr>
          <w:fldChar w:fldCharType="end"/>
        </w:r>
      </w:hyperlink>
    </w:p>
    <w:p w14:paraId="3ADF1F8E" w14:textId="74EC081A" w:rsidR="008C7FC1" w:rsidRPr="007B0DDF" w:rsidRDefault="0059324E">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803628" w:history="1">
        <w:r w:rsidR="008C7FC1" w:rsidRPr="007B0DDF">
          <w:rPr>
            <w:rStyle w:val="Hyperlink"/>
            <w:rFonts w:ascii="Times New Roman" w:hAnsi="Times New Roman" w:cs="Times New Roman"/>
            <w:noProof/>
            <w:sz w:val="28"/>
            <w:szCs w:val="28"/>
          </w:rPr>
          <w:t>C.  IGM in Germany: State-sponsored and pervasive, Gov fails to act</w:t>
        </w:r>
        <w:r w:rsidR="008C7FC1" w:rsidRPr="007B0DDF">
          <w:rPr>
            <w:rFonts w:ascii="Times New Roman" w:hAnsi="Times New Roman" w:cs="Times New Roman"/>
            <w:noProof/>
            <w:webHidden/>
            <w:sz w:val="28"/>
            <w:szCs w:val="28"/>
          </w:rPr>
          <w:tab/>
        </w:r>
        <w:r w:rsidR="008C7FC1" w:rsidRPr="007B0DDF">
          <w:rPr>
            <w:rFonts w:ascii="Times New Roman" w:hAnsi="Times New Roman" w:cs="Times New Roman"/>
            <w:noProof/>
            <w:webHidden/>
            <w:sz w:val="28"/>
            <w:szCs w:val="28"/>
          </w:rPr>
          <w:fldChar w:fldCharType="begin"/>
        </w:r>
        <w:r w:rsidR="008C7FC1" w:rsidRPr="007B0DDF">
          <w:rPr>
            <w:rFonts w:ascii="Times New Roman" w:hAnsi="Times New Roman" w:cs="Times New Roman"/>
            <w:noProof/>
            <w:webHidden/>
            <w:sz w:val="28"/>
            <w:szCs w:val="28"/>
          </w:rPr>
          <w:instrText xml:space="preserve"> PAGEREF _Toc141803628 \h </w:instrText>
        </w:r>
        <w:r w:rsidR="008C7FC1" w:rsidRPr="007B0DDF">
          <w:rPr>
            <w:rFonts w:ascii="Times New Roman" w:hAnsi="Times New Roman" w:cs="Times New Roman"/>
            <w:noProof/>
            <w:webHidden/>
            <w:sz w:val="28"/>
            <w:szCs w:val="28"/>
          </w:rPr>
        </w:r>
        <w:r w:rsidR="008C7FC1" w:rsidRPr="007B0DDF">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11</w:t>
        </w:r>
        <w:r w:rsidR="008C7FC1" w:rsidRPr="007B0DDF">
          <w:rPr>
            <w:rFonts w:ascii="Times New Roman" w:hAnsi="Times New Roman" w:cs="Times New Roman"/>
            <w:noProof/>
            <w:webHidden/>
            <w:sz w:val="28"/>
            <w:szCs w:val="28"/>
          </w:rPr>
          <w:fldChar w:fldCharType="end"/>
        </w:r>
      </w:hyperlink>
    </w:p>
    <w:p w14:paraId="1CCA548B" w14:textId="58145C52"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29" w:history="1">
        <w:r w:rsidR="008C7FC1" w:rsidRPr="00573553">
          <w:rPr>
            <w:rStyle w:val="Hyperlink"/>
            <w:rFonts w:ascii="Times New Roman" w:hAnsi="Times New Roman" w:cs="Times New Roman"/>
            <w:noProof/>
            <w:sz w:val="24"/>
            <w:szCs w:val="24"/>
          </w:rPr>
          <w:t xml:space="preserve">1.  Germany’s commitment to </w:t>
        </w:r>
        <w:r w:rsidR="008C7FC1" w:rsidRPr="00573553">
          <w:rPr>
            <w:rStyle w:val="Hyperlink"/>
            <w:rFonts w:ascii="Times New Roman" w:hAnsi="Times New Roman" w:cs="Times New Roman"/>
            <w:i/>
            <w:noProof/>
            <w:sz w:val="24"/>
            <w:szCs w:val="24"/>
          </w:rPr>
          <w:t>“protect intersex children”</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_Toc141803629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11</w:t>
        </w:r>
        <w:r w:rsidR="008C7FC1" w:rsidRPr="00573553">
          <w:rPr>
            <w:rFonts w:ascii="Times New Roman" w:hAnsi="Times New Roman" w:cs="Times New Roman"/>
            <w:noProof/>
            <w:webHidden/>
            <w:sz w:val="24"/>
            <w:szCs w:val="24"/>
          </w:rPr>
          <w:fldChar w:fldCharType="end"/>
        </w:r>
      </w:hyperlink>
    </w:p>
    <w:p w14:paraId="191A16B0" w14:textId="3562C6ED"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30" w:history="1">
        <w:r w:rsidR="008C7FC1" w:rsidRPr="00573553">
          <w:rPr>
            <w:rStyle w:val="Hyperlink"/>
            <w:rFonts w:ascii="Times New Roman" w:hAnsi="Times New Roman" w:cs="Times New Roman"/>
            <w:noProof/>
            <w:sz w:val="24"/>
            <w:szCs w:val="24"/>
          </w:rPr>
          <w:t>a) UNHRC45 Statement, 01.10.2020</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_Toc141803630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11</w:t>
        </w:r>
        <w:r w:rsidR="008C7FC1" w:rsidRPr="00573553">
          <w:rPr>
            <w:rFonts w:ascii="Times New Roman" w:hAnsi="Times New Roman" w:cs="Times New Roman"/>
            <w:noProof/>
            <w:webHidden/>
            <w:sz w:val="24"/>
            <w:szCs w:val="24"/>
          </w:rPr>
          <w:fldChar w:fldCharType="end"/>
        </w:r>
      </w:hyperlink>
    </w:p>
    <w:p w14:paraId="18E52EA3" w14:textId="3A1A3265"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31" w:history="1">
        <w:r w:rsidR="008C7FC1" w:rsidRPr="00573553">
          <w:rPr>
            <w:rStyle w:val="Hyperlink"/>
            <w:rFonts w:ascii="Times New Roman" w:hAnsi="Times New Roman" w:cs="Times New Roman"/>
            <w:noProof/>
            <w:sz w:val="24"/>
            <w:szCs w:val="24"/>
          </w:rPr>
          <w:t>b) UNHRC48 Statement, 04.10.2021</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_Toc141803631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11</w:t>
        </w:r>
        <w:r w:rsidR="008C7FC1" w:rsidRPr="00573553">
          <w:rPr>
            <w:rFonts w:ascii="Times New Roman" w:hAnsi="Times New Roman" w:cs="Times New Roman"/>
            <w:noProof/>
            <w:webHidden/>
            <w:sz w:val="24"/>
            <w:szCs w:val="24"/>
          </w:rPr>
          <w:fldChar w:fldCharType="end"/>
        </w:r>
      </w:hyperlink>
    </w:p>
    <w:p w14:paraId="2B3AEEBF" w14:textId="2E95AD3B"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2" w:history="1">
        <w:r w:rsidR="008C7FC1" w:rsidRPr="00573553">
          <w:rPr>
            <w:rStyle w:val="Hyperlink"/>
            <w:rFonts w:ascii="Times New Roman" w:hAnsi="Times New Roman" w:cs="Times New Roman"/>
            <w:noProof/>
            <w:sz w:val="24"/>
            <w:szCs w:val="24"/>
          </w:rPr>
          <w:t>2.  IGM practices in Germany: Still pervasive, no effective protections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_Toc141803632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11</w:t>
        </w:r>
        <w:r w:rsidR="008C7FC1" w:rsidRPr="00573553">
          <w:rPr>
            <w:rFonts w:ascii="Times New Roman" w:hAnsi="Times New Roman" w:cs="Times New Roman"/>
            <w:noProof/>
            <w:webHidden/>
            <w:sz w:val="24"/>
            <w:szCs w:val="24"/>
          </w:rPr>
          <w:fldChar w:fldCharType="end"/>
        </w:r>
      </w:hyperlink>
    </w:p>
    <w:p w14:paraId="0EE5CC76" w14:textId="07975622"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3" w:history="1">
        <w:r w:rsidR="008C7FC1" w:rsidRPr="00573553">
          <w:rPr>
            <w:rStyle w:val="Hyperlink"/>
            <w:rFonts w:ascii="Times New Roman" w:hAnsi="Times New Roman" w:cs="Times New Roman"/>
            <w:noProof/>
            <w:sz w:val="24"/>
            <w:szCs w:val="24"/>
          </w:rPr>
          <w:t>3.  2019 Follow-up study on IGM underlines persisting practice</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_Toc141803633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12</w:t>
        </w:r>
        <w:r w:rsidR="008C7FC1" w:rsidRPr="00573553">
          <w:rPr>
            <w:rFonts w:ascii="Times New Roman" w:hAnsi="Times New Roman" w:cs="Times New Roman"/>
            <w:noProof/>
            <w:webHidden/>
            <w:sz w:val="24"/>
            <w:szCs w:val="24"/>
          </w:rPr>
          <w:fldChar w:fldCharType="end"/>
        </w:r>
      </w:hyperlink>
    </w:p>
    <w:p w14:paraId="20E191C0" w14:textId="3BC717F9"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4" w:history="1">
        <w:r w:rsidR="008C7FC1" w:rsidRPr="00573553">
          <w:rPr>
            <w:rStyle w:val="Hyperlink"/>
            <w:rFonts w:ascii="Times New Roman" w:hAnsi="Times New Roman" w:cs="Times New Roman"/>
            <w:noProof/>
            <w:sz w:val="24"/>
            <w:szCs w:val="24"/>
          </w:rPr>
          <w:t>4.  Insufficient 2021 Law introducing § 1631e BGB aimed at prohibiting IGM</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_Toc141803634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13</w:t>
        </w:r>
        <w:r w:rsidR="008C7FC1" w:rsidRPr="00573553">
          <w:rPr>
            <w:rFonts w:ascii="Times New Roman" w:hAnsi="Times New Roman" w:cs="Times New Roman"/>
            <w:noProof/>
            <w:webHidden/>
            <w:sz w:val="24"/>
            <w:szCs w:val="24"/>
          </w:rPr>
          <w:fldChar w:fldCharType="end"/>
        </w:r>
      </w:hyperlink>
    </w:p>
    <w:p w14:paraId="08A14626" w14:textId="78AFE47C"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5" w:history="1">
        <w:r w:rsidR="008C7FC1" w:rsidRPr="00573553">
          <w:rPr>
            <w:rStyle w:val="Hyperlink"/>
            <w:rFonts w:ascii="Times New Roman" w:hAnsi="Times New Roman" w:cs="Times New Roman"/>
            <w:noProof/>
            <w:sz w:val="24"/>
            <w:szCs w:val="24"/>
          </w:rPr>
          <w:t>5.  Medical guidelines prescribing IGM practices remain in force</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_Toc141803635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15</w:t>
        </w:r>
        <w:r w:rsidR="008C7FC1" w:rsidRPr="00573553">
          <w:rPr>
            <w:rFonts w:ascii="Times New Roman" w:hAnsi="Times New Roman" w:cs="Times New Roman"/>
            <w:noProof/>
            <w:webHidden/>
            <w:sz w:val="24"/>
            <w:szCs w:val="24"/>
          </w:rPr>
          <w:fldChar w:fldCharType="end"/>
        </w:r>
      </w:hyperlink>
    </w:p>
    <w:p w14:paraId="2E0CD9A7" w14:textId="41094350"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6" w:history="1">
        <w:r w:rsidR="008C7FC1" w:rsidRPr="00573553">
          <w:rPr>
            <w:rStyle w:val="Hyperlink"/>
            <w:rFonts w:ascii="Times New Roman" w:hAnsi="Times New Roman" w:cs="Times New Roman"/>
            <w:noProof/>
            <w:sz w:val="24"/>
            <w:szCs w:val="24"/>
          </w:rPr>
          <w:t>6.  Statutes of limitations and lack of effective prohibition</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_Toc141803636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15</w:t>
        </w:r>
        <w:r w:rsidR="008C7FC1" w:rsidRPr="00573553">
          <w:rPr>
            <w:rFonts w:ascii="Times New Roman" w:hAnsi="Times New Roman" w:cs="Times New Roman"/>
            <w:noProof/>
            <w:webHidden/>
            <w:sz w:val="24"/>
            <w:szCs w:val="24"/>
          </w:rPr>
          <w:fldChar w:fldCharType="end"/>
        </w:r>
      </w:hyperlink>
    </w:p>
    <w:p w14:paraId="3E0697D6" w14:textId="7D4DB052" w:rsidR="008C7FC1" w:rsidRPr="00573553" w:rsidRDefault="0059324E">
      <w:pPr>
        <w:pStyle w:val="Verzeichnis2"/>
        <w:tabs>
          <w:tab w:val="right" w:leader="dot" w:pos="9628"/>
        </w:tabs>
        <w:rPr>
          <w:rFonts w:ascii="Times New Roman" w:eastAsiaTheme="minorEastAsia" w:hAnsi="Times New Roman" w:cs="Times New Roman"/>
          <w:b w:val="0"/>
          <w:noProof/>
          <w:kern w:val="0"/>
          <w:sz w:val="24"/>
          <w:szCs w:val="24"/>
          <w:lang w:val="de-CH" w:bidi="ar-SA"/>
        </w:rPr>
      </w:pPr>
      <w:hyperlink w:anchor="_Toc141803637" w:history="1">
        <w:r w:rsidR="008C7FC1" w:rsidRPr="00573553">
          <w:rPr>
            <w:rStyle w:val="Hyperlink"/>
            <w:rFonts w:ascii="Times New Roman" w:hAnsi="Times New Roman" w:cs="Times New Roman"/>
            <w:noProof/>
            <w:sz w:val="24"/>
            <w:szCs w:val="24"/>
          </w:rPr>
          <w:t>7.  IGM Practices: Known German Case Law (updated)</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_Toc141803637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16</w:t>
        </w:r>
        <w:r w:rsidR="008C7FC1" w:rsidRPr="00573553">
          <w:rPr>
            <w:rFonts w:ascii="Times New Roman" w:hAnsi="Times New Roman" w:cs="Times New Roman"/>
            <w:noProof/>
            <w:webHidden/>
            <w:sz w:val="24"/>
            <w:szCs w:val="24"/>
          </w:rPr>
          <w:fldChar w:fldCharType="end"/>
        </w:r>
      </w:hyperlink>
    </w:p>
    <w:p w14:paraId="1DFBC11D" w14:textId="3BE5EF9F"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38" w:history="1">
        <w:r w:rsidR="008C7FC1" w:rsidRPr="00573553">
          <w:rPr>
            <w:rStyle w:val="Hyperlink"/>
            <w:rFonts w:ascii="Times New Roman" w:hAnsi="Times New Roman" w:cs="Times New Roman"/>
            <w:noProof/>
            <w:sz w:val="24"/>
            <w:szCs w:val="24"/>
          </w:rPr>
          <w:t>a) Criminal Law: 0 cases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_Toc141803638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16</w:t>
        </w:r>
        <w:r w:rsidR="008C7FC1" w:rsidRPr="00573553">
          <w:rPr>
            <w:rFonts w:ascii="Times New Roman" w:hAnsi="Times New Roman" w:cs="Times New Roman"/>
            <w:noProof/>
            <w:webHidden/>
            <w:sz w:val="24"/>
            <w:szCs w:val="24"/>
          </w:rPr>
          <w:fldChar w:fldCharType="end"/>
        </w:r>
      </w:hyperlink>
    </w:p>
    <w:p w14:paraId="5E2C3D3D" w14:textId="68D845A2"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39" w:history="1">
        <w:r w:rsidR="008C7FC1" w:rsidRPr="00573553">
          <w:rPr>
            <w:rStyle w:val="Hyperlink"/>
            <w:rFonts w:ascii="Times New Roman" w:hAnsi="Times New Roman" w:cs="Times New Roman"/>
            <w:noProof/>
            <w:sz w:val="24"/>
            <w:szCs w:val="24"/>
          </w:rPr>
          <w:t>b) Civil Law: 1 successful adult case, 2 adult settlements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_Toc141803639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17</w:t>
        </w:r>
        <w:r w:rsidR="008C7FC1" w:rsidRPr="00573553">
          <w:rPr>
            <w:rFonts w:ascii="Times New Roman" w:hAnsi="Times New Roman" w:cs="Times New Roman"/>
            <w:noProof/>
            <w:webHidden/>
            <w:sz w:val="24"/>
            <w:szCs w:val="24"/>
          </w:rPr>
          <w:fldChar w:fldCharType="end"/>
        </w:r>
      </w:hyperlink>
    </w:p>
    <w:p w14:paraId="623646D8" w14:textId="7B769B91"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40" w:history="1">
        <w:r w:rsidR="008C7FC1" w:rsidRPr="00573553">
          <w:rPr>
            <w:rStyle w:val="Hyperlink"/>
            <w:rFonts w:ascii="Times New Roman" w:hAnsi="Times New Roman" w:cs="Times New Roman"/>
            <w:noProof/>
            <w:sz w:val="24"/>
            <w:szCs w:val="24"/>
          </w:rPr>
          <w:t>c) Victim’s Compensation Law (OEG): 4 failed Cases</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_Toc141803640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18</w:t>
        </w:r>
        <w:r w:rsidR="008C7FC1" w:rsidRPr="00573553">
          <w:rPr>
            <w:rFonts w:ascii="Times New Roman" w:hAnsi="Times New Roman" w:cs="Times New Roman"/>
            <w:noProof/>
            <w:webHidden/>
            <w:sz w:val="24"/>
            <w:szCs w:val="24"/>
          </w:rPr>
          <w:fldChar w:fldCharType="end"/>
        </w:r>
      </w:hyperlink>
    </w:p>
    <w:p w14:paraId="5748A5B5" w14:textId="19E31E2B" w:rsidR="008C7FC1" w:rsidRPr="00573553"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41" w:history="1">
        <w:r w:rsidR="008C7FC1" w:rsidRPr="00573553">
          <w:rPr>
            <w:rStyle w:val="Hyperlink"/>
            <w:rFonts w:ascii="Times New Roman" w:hAnsi="Times New Roman" w:cs="Times New Roman"/>
            <w:noProof/>
            <w:sz w:val="24"/>
            <w:szCs w:val="24"/>
          </w:rPr>
          <w:t>d) Compensation Fund</w:t>
        </w:r>
        <w:r w:rsidR="008C7FC1" w:rsidRPr="00573553">
          <w:rPr>
            <w:rFonts w:ascii="Times New Roman" w:hAnsi="Times New Roman" w:cs="Times New Roman"/>
            <w:noProof/>
            <w:webHidden/>
            <w:sz w:val="24"/>
            <w:szCs w:val="24"/>
          </w:rPr>
          <w:tab/>
        </w:r>
        <w:r w:rsidR="008C7FC1" w:rsidRPr="00573553">
          <w:rPr>
            <w:rFonts w:ascii="Times New Roman" w:hAnsi="Times New Roman" w:cs="Times New Roman"/>
            <w:noProof/>
            <w:webHidden/>
            <w:sz w:val="24"/>
            <w:szCs w:val="24"/>
          </w:rPr>
          <w:fldChar w:fldCharType="begin"/>
        </w:r>
        <w:r w:rsidR="008C7FC1" w:rsidRPr="00573553">
          <w:rPr>
            <w:rFonts w:ascii="Times New Roman" w:hAnsi="Times New Roman" w:cs="Times New Roman"/>
            <w:noProof/>
            <w:webHidden/>
            <w:sz w:val="24"/>
            <w:szCs w:val="24"/>
          </w:rPr>
          <w:instrText xml:space="preserve"> PAGEREF _Toc141803641 \h </w:instrText>
        </w:r>
        <w:r w:rsidR="008C7FC1" w:rsidRPr="00573553">
          <w:rPr>
            <w:rFonts w:ascii="Times New Roman" w:hAnsi="Times New Roman" w:cs="Times New Roman"/>
            <w:noProof/>
            <w:webHidden/>
            <w:sz w:val="24"/>
            <w:szCs w:val="24"/>
          </w:rPr>
        </w:r>
        <w:r w:rsidR="008C7FC1" w:rsidRPr="00573553">
          <w:rPr>
            <w:rFonts w:ascii="Times New Roman" w:hAnsi="Times New Roman" w:cs="Times New Roman"/>
            <w:noProof/>
            <w:webHidden/>
            <w:sz w:val="24"/>
            <w:szCs w:val="24"/>
          </w:rPr>
          <w:fldChar w:fldCharType="separate"/>
        </w:r>
        <w:r w:rsidR="00DA20F1">
          <w:rPr>
            <w:rFonts w:ascii="Times New Roman" w:hAnsi="Times New Roman" w:cs="Times New Roman"/>
            <w:noProof/>
            <w:webHidden/>
            <w:sz w:val="24"/>
            <w:szCs w:val="24"/>
          </w:rPr>
          <w:t>20</w:t>
        </w:r>
        <w:r w:rsidR="008C7FC1" w:rsidRPr="00573553">
          <w:rPr>
            <w:rFonts w:ascii="Times New Roman" w:hAnsi="Times New Roman" w:cs="Times New Roman"/>
            <w:noProof/>
            <w:webHidden/>
            <w:sz w:val="24"/>
            <w:szCs w:val="24"/>
          </w:rPr>
          <w:fldChar w:fldCharType="end"/>
        </w:r>
      </w:hyperlink>
    </w:p>
    <w:p w14:paraId="1909F769" w14:textId="014A0FA3" w:rsidR="008C7FC1" w:rsidRPr="007B0DDF" w:rsidRDefault="0059324E">
      <w:pPr>
        <w:pStyle w:val="Verzeichnis1"/>
        <w:tabs>
          <w:tab w:val="right" w:leader="dot" w:pos="9628"/>
        </w:tabs>
        <w:rPr>
          <w:rFonts w:ascii="Times New Roman" w:eastAsiaTheme="minorEastAsia" w:hAnsi="Times New Roman" w:cs="Times New Roman"/>
          <w:b w:val="0"/>
          <w:noProof/>
          <w:kern w:val="0"/>
          <w:sz w:val="36"/>
          <w:szCs w:val="36"/>
          <w:lang w:val="de-CH" w:bidi="ar-SA"/>
        </w:rPr>
      </w:pPr>
      <w:hyperlink w:anchor="_Toc141803642" w:history="1">
        <w:r w:rsidR="008C7FC1" w:rsidRPr="007B0DDF">
          <w:rPr>
            <w:rStyle w:val="Hyperlink"/>
            <w:rFonts w:ascii="Times New Roman" w:hAnsi="Times New Roman" w:cs="Times New Roman"/>
            <w:noProof/>
            <w:sz w:val="36"/>
            <w:szCs w:val="36"/>
          </w:rPr>
          <w:t>D.  Suggested Recommendations</w:t>
        </w:r>
        <w:r w:rsidR="008C7FC1" w:rsidRPr="007B0DDF">
          <w:rPr>
            <w:rFonts w:ascii="Times New Roman" w:hAnsi="Times New Roman" w:cs="Times New Roman"/>
            <w:noProof/>
            <w:webHidden/>
            <w:sz w:val="36"/>
            <w:szCs w:val="36"/>
          </w:rPr>
          <w:tab/>
        </w:r>
        <w:r w:rsidR="008C7FC1" w:rsidRPr="007B0DDF">
          <w:rPr>
            <w:rFonts w:ascii="Times New Roman" w:hAnsi="Times New Roman" w:cs="Times New Roman"/>
            <w:noProof/>
            <w:webHidden/>
            <w:sz w:val="36"/>
            <w:szCs w:val="36"/>
          </w:rPr>
          <w:fldChar w:fldCharType="begin"/>
        </w:r>
        <w:r w:rsidR="008C7FC1" w:rsidRPr="007B0DDF">
          <w:rPr>
            <w:rFonts w:ascii="Times New Roman" w:hAnsi="Times New Roman" w:cs="Times New Roman"/>
            <w:noProof/>
            <w:webHidden/>
            <w:sz w:val="36"/>
            <w:szCs w:val="36"/>
          </w:rPr>
          <w:instrText xml:space="preserve"> PAGEREF _Toc141803642 \h </w:instrText>
        </w:r>
        <w:r w:rsidR="008C7FC1" w:rsidRPr="007B0DDF">
          <w:rPr>
            <w:rFonts w:ascii="Times New Roman" w:hAnsi="Times New Roman" w:cs="Times New Roman"/>
            <w:noProof/>
            <w:webHidden/>
            <w:sz w:val="36"/>
            <w:szCs w:val="36"/>
          </w:rPr>
        </w:r>
        <w:r w:rsidR="008C7FC1" w:rsidRPr="007B0DDF">
          <w:rPr>
            <w:rFonts w:ascii="Times New Roman" w:hAnsi="Times New Roman" w:cs="Times New Roman"/>
            <w:noProof/>
            <w:webHidden/>
            <w:sz w:val="36"/>
            <w:szCs w:val="36"/>
          </w:rPr>
          <w:fldChar w:fldCharType="separate"/>
        </w:r>
        <w:r w:rsidR="00DA20F1">
          <w:rPr>
            <w:rFonts w:ascii="Times New Roman" w:hAnsi="Times New Roman" w:cs="Times New Roman"/>
            <w:noProof/>
            <w:webHidden/>
            <w:sz w:val="36"/>
            <w:szCs w:val="36"/>
          </w:rPr>
          <w:t>21</w:t>
        </w:r>
        <w:r w:rsidR="008C7FC1" w:rsidRPr="007B0DDF">
          <w:rPr>
            <w:rFonts w:ascii="Times New Roman" w:hAnsi="Times New Roman" w:cs="Times New Roman"/>
            <w:noProof/>
            <w:webHidden/>
            <w:sz w:val="36"/>
            <w:szCs w:val="36"/>
          </w:rPr>
          <w:fldChar w:fldCharType="end"/>
        </w:r>
      </w:hyperlink>
    </w:p>
    <w:p w14:paraId="2E6524C7" w14:textId="53BA7443" w:rsidR="008C7FC1" w:rsidRPr="007B0DDF" w:rsidRDefault="0059324E">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803643" w:history="1">
        <w:r w:rsidR="008C7FC1" w:rsidRPr="007B0DDF">
          <w:rPr>
            <w:rStyle w:val="Hyperlink"/>
            <w:rFonts w:ascii="Times New Roman" w:hAnsi="Times New Roman" w:cs="Times New Roman"/>
            <w:noProof/>
            <w:sz w:val="28"/>
            <w:szCs w:val="28"/>
          </w:rPr>
          <w:t>Annexe 1 – Intersex as “Invalidity”: Historical Medical Examples</w:t>
        </w:r>
        <w:r w:rsidR="008C7FC1" w:rsidRPr="007B0DDF">
          <w:rPr>
            <w:rFonts w:ascii="Times New Roman" w:hAnsi="Times New Roman" w:cs="Times New Roman"/>
            <w:noProof/>
            <w:webHidden/>
            <w:sz w:val="28"/>
            <w:szCs w:val="28"/>
          </w:rPr>
          <w:tab/>
        </w:r>
        <w:r w:rsidR="008C7FC1" w:rsidRPr="007B0DDF">
          <w:rPr>
            <w:rFonts w:ascii="Times New Roman" w:hAnsi="Times New Roman" w:cs="Times New Roman"/>
            <w:noProof/>
            <w:webHidden/>
            <w:sz w:val="28"/>
            <w:szCs w:val="28"/>
          </w:rPr>
          <w:fldChar w:fldCharType="begin"/>
        </w:r>
        <w:r w:rsidR="008C7FC1" w:rsidRPr="007B0DDF">
          <w:rPr>
            <w:rFonts w:ascii="Times New Roman" w:hAnsi="Times New Roman" w:cs="Times New Roman"/>
            <w:noProof/>
            <w:webHidden/>
            <w:sz w:val="28"/>
            <w:szCs w:val="28"/>
          </w:rPr>
          <w:instrText xml:space="preserve"> PAGEREF _Toc141803643 \h </w:instrText>
        </w:r>
        <w:r w:rsidR="008C7FC1" w:rsidRPr="007B0DDF">
          <w:rPr>
            <w:rFonts w:ascii="Times New Roman" w:hAnsi="Times New Roman" w:cs="Times New Roman"/>
            <w:noProof/>
            <w:webHidden/>
            <w:sz w:val="28"/>
            <w:szCs w:val="28"/>
          </w:rPr>
        </w:r>
        <w:r w:rsidR="008C7FC1" w:rsidRPr="007B0DDF">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22</w:t>
        </w:r>
        <w:r w:rsidR="008C7FC1" w:rsidRPr="007B0DDF">
          <w:rPr>
            <w:rFonts w:ascii="Times New Roman" w:hAnsi="Times New Roman" w:cs="Times New Roman"/>
            <w:noProof/>
            <w:webHidden/>
            <w:sz w:val="28"/>
            <w:szCs w:val="28"/>
          </w:rPr>
          <w:fldChar w:fldCharType="end"/>
        </w:r>
      </w:hyperlink>
    </w:p>
    <w:p w14:paraId="7940B185" w14:textId="76FB242A" w:rsidR="008C7FC1" w:rsidRPr="00573553" w:rsidRDefault="0059324E">
      <w:pPr>
        <w:pStyle w:val="Verzeichnis3"/>
        <w:tabs>
          <w:tab w:val="right" w:leader="dot" w:pos="9628"/>
        </w:tabs>
        <w:rPr>
          <w:rFonts w:ascii="Times New Roman" w:eastAsiaTheme="minorEastAsia" w:hAnsi="Times New Roman" w:cs="Times New Roman"/>
          <w:noProof/>
          <w:kern w:val="0"/>
          <w:lang w:val="de-CH" w:bidi="ar-SA"/>
        </w:rPr>
      </w:pPr>
      <w:hyperlink w:anchor="_Toc141803644" w:history="1">
        <w:r w:rsidR="008C7FC1" w:rsidRPr="00573553">
          <w:rPr>
            <w:rStyle w:val="Hyperlink"/>
            <w:rFonts w:ascii="Times New Roman" w:hAnsi="Times New Roman" w:cs="Times New Roman"/>
            <w:noProof/>
          </w:rPr>
          <w:t>1916–1950s: “Intersex = bastardisation” caused by “racial mixing”</w:t>
        </w:r>
        <w:r w:rsidR="008C7FC1" w:rsidRPr="00573553">
          <w:rPr>
            <w:rFonts w:ascii="Times New Roman" w:hAnsi="Times New Roman" w:cs="Times New Roman"/>
            <w:noProof/>
            <w:webHidden/>
          </w:rPr>
          <w:tab/>
        </w:r>
        <w:r w:rsidR="008C7FC1" w:rsidRPr="00573553">
          <w:rPr>
            <w:rFonts w:ascii="Times New Roman" w:hAnsi="Times New Roman" w:cs="Times New Roman"/>
            <w:noProof/>
            <w:webHidden/>
          </w:rPr>
          <w:fldChar w:fldCharType="begin"/>
        </w:r>
        <w:r w:rsidR="008C7FC1" w:rsidRPr="00573553">
          <w:rPr>
            <w:rFonts w:ascii="Times New Roman" w:hAnsi="Times New Roman" w:cs="Times New Roman"/>
            <w:noProof/>
            <w:webHidden/>
          </w:rPr>
          <w:instrText xml:space="preserve"> PAGEREF _Toc141803644 \h </w:instrText>
        </w:r>
        <w:r w:rsidR="008C7FC1" w:rsidRPr="00573553">
          <w:rPr>
            <w:rFonts w:ascii="Times New Roman" w:hAnsi="Times New Roman" w:cs="Times New Roman"/>
            <w:noProof/>
            <w:webHidden/>
          </w:rPr>
        </w:r>
        <w:r w:rsidR="008C7FC1" w:rsidRPr="00573553">
          <w:rPr>
            <w:rFonts w:ascii="Times New Roman" w:hAnsi="Times New Roman" w:cs="Times New Roman"/>
            <w:noProof/>
            <w:webHidden/>
          </w:rPr>
          <w:fldChar w:fldCharType="separate"/>
        </w:r>
        <w:r w:rsidR="00DA20F1">
          <w:rPr>
            <w:rFonts w:ascii="Times New Roman" w:hAnsi="Times New Roman" w:cs="Times New Roman"/>
            <w:noProof/>
            <w:webHidden/>
          </w:rPr>
          <w:t>22</w:t>
        </w:r>
        <w:r w:rsidR="008C7FC1" w:rsidRPr="00573553">
          <w:rPr>
            <w:rFonts w:ascii="Times New Roman" w:hAnsi="Times New Roman" w:cs="Times New Roman"/>
            <w:noProof/>
            <w:webHidden/>
          </w:rPr>
          <w:fldChar w:fldCharType="end"/>
        </w:r>
      </w:hyperlink>
    </w:p>
    <w:p w14:paraId="41E7233E" w14:textId="7F36EC81" w:rsidR="008C7FC1" w:rsidRPr="00573553" w:rsidRDefault="0059324E">
      <w:pPr>
        <w:pStyle w:val="Verzeichnis3"/>
        <w:tabs>
          <w:tab w:val="right" w:leader="dot" w:pos="9628"/>
        </w:tabs>
        <w:rPr>
          <w:rFonts w:ascii="Times New Roman" w:eastAsiaTheme="minorEastAsia" w:hAnsi="Times New Roman" w:cs="Times New Roman"/>
          <w:noProof/>
          <w:kern w:val="0"/>
          <w:lang w:val="de-CH" w:bidi="ar-SA"/>
        </w:rPr>
      </w:pPr>
      <w:hyperlink w:anchor="_Toc141803645" w:history="1">
        <w:r w:rsidR="008C7FC1" w:rsidRPr="00573553">
          <w:rPr>
            <w:rStyle w:val="Hyperlink"/>
            <w:rFonts w:ascii="Times New Roman" w:hAnsi="Times New Roman" w:cs="Times New Roman"/>
            <w:noProof/>
          </w:rPr>
          <w:t>Baltimore and Zurich 1950: Start of systematic “genital corrections”</w:t>
        </w:r>
        <w:r w:rsidR="008C7FC1" w:rsidRPr="00573553">
          <w:rPr>
            <w:rFonts w:ascii="Times New Roman" w:hAnsi="Times New Roman" w:cs="Times New Roman"/>
            <w:noProof/>
            <w:webHidden/>
          </w:rPr>
          <w:tab/>
        </w:r>
        <w:r w:rsidR="008C7FC1" w:rsidRPr="00573553">
          <w:rPr>
            <w:rFonts w:ascii="Times New Roman" w:hAnsi="Times New Roman" w:cs="Times New Roman"/>
            <w:noProof/>
            <w:webHidden/>
          </w:rPr>
          <w:fldChar w:fldCharType="begin"/>
        </w:r>
        <w:r w:rsidR="008C7FC1" w:rsidRPr="00573553">
          <w:rPr>
            <w:rFonts w:ascii="Times New Roman" w:hAnsi="Times New Roman" w:cs="Times New Roman"/>
            <w:noProof/>
            <w:webHidden/>
          </w:rPr>
          <w:instrText xml:space="preserve"> PAGEREF _Toc141803645 \h </w:instrText>
        </w:r>
        <w:r w:rsidR="008C7FC1" w:rsidRPr="00573553">
          <w:rPr>
            <w:rFonts w:ascii="Times New Roman" w:hAnsi="Times New Roman" w:cs="Times New Roman"/>
            <w:noProof/>
            <w:webHidden/>
          </w:rPr>
        </w:r>
        <w:r w:rsidR="008C7FC1" w:rsidRPr="00573553">
          <w:rPr>
            <w:rFonts w:ascii="Times New Roman" w:hAnsi="Times New Roman" w:cs="Times New Roman"/>
            <w:noProof/>
            <w:webHidden/>
          </w:rPr>
          <w:fldChar w:fldCharType="separate"/>
        </w:r>
        <w:r w:rsidR="00DA20F1">
          <w:rPr>
            <w:rFonts w:ascii="Times New Roman" w:hAnsi="Times New Roman" w:cs="Times New Roman"/>
            <w:noProof/>
            <w:webHidden/>
          </w:rPr>
          <w:t>23</w:t>
        </w:r>
        <w:r w:rsidR="008C7FC1" w:rsidRPr="00573553">
          <w:rPr>
            <w:rFonts w:ascii="Times New Roman" w:hAnsi="Times New Roman" w:cs="Times New Roman"/>
            <w:noProof/>
            <w:webHidden/>
          </w:rPr>
          <w:fldChar w:fldCharType="end"/>
        </w:r>
      </w:hyperlink>
    </w:p>
    <w:p w14:paraId="5B3FD8F7" w14:textId="2CC53C93" w:rsidR="008C7FC1" w:rsidRPr="007B0DDF" w:rsidRDefault="0059324E">
      <w:pPr>
        <w:pStyle w:val="Verzeichnis1"/>
        <w:tabs>
          <w:tab w:val="right" w:leader="dot" w:pos="9628"/>
        </w:tabs>
        <w:rPr>
          <w:rFonts w:ascii="Times New Roman" w:eastAsiaTheme="minorEastAsia" w:hAnsi="Times New Roman" w:cs="Times New Roman"/>
          <w:b w:val="0"/>
          <w:noProof/>
          <w:kern w:val="0"/>
          <w:sz w:val="28"/>
          <w:szCs w:val="28"/>
          <w:lang w:val="de-CH" w:bidi="ar-SA"/>
        </w:rPr>
      </w:pPr>
      <w:hyperlink w:anchor="_Toc141803646" w:history="1">
        <w:r w:rsidR="008C7FC1" w:rsidRPr="007B0DDF">
          <w:rPr>
            <w:rStyle w:val="Hyperlink"/>
            <w:rFonts w:ascii="Times New Roman" w:hAnsi="Times New Roman" w:cs="Times New Roman"/>
            <w:noProof/>
            <w:sz w:val="28"/>
            <w:szCs w:val="28"/>
          </w:rPr>
          <w:t>Annexe 2 – “IGM in Medical Textbooks: Current Practice”</w:t>
        </w:r>
        <w:r w:rsidR="008C7FC1" w:rsidRPr="007B0DDF">
          <w:rPr>
            <w:rFonts w:ascii="Times New Roman" w:hAnsi="Times New Roman" w:cs="Times New Roman"/>
            <w:noProof/>
            <w:webHidden/>
            <w:sz w:val="28"/>
            <w:szCs w:val="28"/>
          </w:rPr>
          <w:tab/>
        </w:r>
        <w:r w:rsidR="008C7FC1" w:rsidRPr="007B0DDF">
          <w:rPr>
            <w:rFonts w:ascii="Times New Roman" w:hAnsi="Times New Roman" w:cs="Times New Roman"/>
            <w:noProof/>
            <w:webHidden/>
            <w:sz w:val="28"/>
            <w:szCs w:val="28"/>
          </w:rPr>
          <w:fldChar w:fldCharType="begin"/>
        </w:r>
        <w:r w:rsidR="008C7FC1" w:rsidRPr="007B0DDF">
          <w:rPr>
            <w:rFonts w:ascii="Times New Roman" w:hAnsi="Times New Roman" w:cs="Times New Roman"/>
            <w:noProof/>
            <w:webHidden/>
            <w:sz w:val="28"/>
            <w:szCs w:val="28"/>
          </w:rPr>
          <w:instrText xml:space="preserve"> PAGEREF _Toc141803646 \h </w:instrText>
        </w:r>
        <w:r w:rsidR="008C7FC1" w:rsidRPr="007B0DDF">
          <w:rPr>
            <w:rFonts w:ascii="Times New Roman" w:hAnsi="Times New Roman" w:cs="Times New Roman"/>
            <w:noProof/>
            <w:webHidden/>
            <w:sz w:val="28"/>
            <w:szCs w:val="28"/>
          </w:rPr>
        </w:r>
        <w:r w:rsidR="008C7FC1" w:rsidRPr="007B0DDF">
          <w:rPr>
            <w:rFonts w:ascii="Times New Roman" w:hAnsi="Times New Roman" w:cs="Times New Roman"/>
            <w:noProof/>
            <w:webHidden/>
            <w:sz w:val="28"/>
            <w:szCs w:val="28"/>
          </w:rPr>
          <w:fldChar w:fldCharType="separate"/>
        </w:r>
        <w:r w:rsidR="00DA20F1">
          <w:rPr>
            <w:rFonts w:ascii="Times New Roman" w:hAnsi="Times New Roman" w:cs="Times New Roman"/>
            <w:noProof/>
            <w:webHidden/>
            <w:sz w:val="28"/>
            <w:szCs w:val="28"/>
          </w:rPr>
          <w:t>24</w:t>
        </w:r>
        <w:r w:rsidR="008C7FC1" w:rsidRPr="007B0DDF">
          <w:rPr>
            <w:rFonts w:ascii="Times New Roman" w:hAnsi="Times New Roman" w:cs="Times New Roman"/>
            <w:noProof/>
            <w:webHidden/>
            <w:sz w:val="28"/>
            <w:szCs w:val="28"/>
          </w:rPr>
          <w:fldChar w:fldCharType="end"/>
        </w:r>
      </w:hyperlink>
    </w:p>
    <w:p w14:paraId="3B735499" w14:textId="517CE3AE" w:rsidR="008C7FC1" w:rsidRPr="008C7FC1"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47" w:history="1">
        <w:r w:rsidR="008C7FC1" w:rsidRPr="008C7FC1">
          <w:rPr>
            <w:rStyle w:val="Hyperlink"/>
            <w:rFonts w:ascii="Times New Roman" w:hAnsi="Times New Roman" w:cs="Times New Roman"/>
            <w:noProof/>
          </w:rPr>
          <w:t>IGM 1 – “Masculinising Surgery”: “Hypospadias Repair”</w:t>
        </w:r>
        <w:r w:rsidR="008C7FC1" w:rsidRPr="008C7FC1">
          <w:rPr>
            <w:rFonts w:ascii="Times New Roman" w:hAnsi="Times New Roman" w:cs="Times New Roman"/>
            <w:noProof/>
            <w:webHidden/>
          </w:rPr>
          <w:tab/>
        </w:r>
        <w:r w:rsidR="008C7FC1" w:rsidRPr="008C7FC1">
          <w:rPr>
            <w:rFonts w:ascii="Times New Roman" w:hAnsi="Times New Roman" w:cs="Times New Roman"/>
            <w:noProof/>
            <w:webHidden/>
          </w:rPr>
          <w:fldChar w:fldCharType="begin"/>
        </w:r>
        <w:r w:rsidR="008C7FC1" w:rsidRPr="008C7FC1">
          <w:rPr>
            <w:rFonts w:ascii="Times New Roman" w:hAnsi="Times New Roman" w:cs="Times New Roman"/>
            <w:noProof/>
            <w:webHidden/>
          </w:rPr>
          <w:instrText xml:space="preserve"> PAGEREF _Toc141803647 \h </w:instrText>
        </w:r>
        <w:r w:rsidR="008C7FC1" w:rsidRPr="008C7FC1">
          <w:rPr>
            <w:rFonts w:ascii="Times New Roman" w:hAnsi="Times New Roman" w:cs="Times New Roman"/>
            <w:noProof/>
            <w:webHidden/>
          </w:rPr>
        </w:r>
        <w:r w:rsidR="008C7FC1" w:rsidRPr="008C7FC1">
          <w:rPr>
            <w:rFonts w:ascii="Times New Roman" w:hAnsi="Times New Roman" w:cs="Times New Roman"/>
            <w:noProof/>
            <w:webHidden/>
          </w:rPr>
          <w:fldChar w:fldCharType="separate"/>
        </w:r>
        <w:r w:rsidR="00DA20F1">
          <w:rPr>
            <w:rFonts w:ascii="Times New Roman" w:hAnsi="Times New Roman" w:cs="Times New Roman"/>
            <w:noProof/>
            <w:webHidden/>
          </w:rPr>
          <w:t>24</w:t>
        </w:r>
        <w:r w:rsidR="008C7FC1" w:rsidRPr="008C7FC1">
          <w:rPr>
            <w:rFonts w:ascii="Times New Roman" w:hAnsi="Times New Roman" w:cs="Times New Roman"/>
            <w:noProof/>
            <w:webHidden/>
          </w:rPr>
          <w:fldChar w:fldCharType="end"/>
        </w:r>
      </w:hyperlink>
    </w:p>
    <w:p w14:paraId="52813564" w14:textId="03A5CEC6" w:rsidR="008C7FC1" w:rsidRPr="008C7FC1"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48" w:history="1">
        <w:r w:rsidR="008C7FC1" w:rsidRPr="008C7FC1">
          <w:rPr>
            <w:rStyle w:val="Hyperlink"/>
            <w:rFonts w:ascii="Times New Roman" w:hAnsi="Times New Roman" w:cs="Times New Roman"/>
            <w:noProof/>
          </w:rPr>
          <w:t>IGM 2 – “Feminising Surgery”: “Clitoral Reduction”, “Vaginoplasty”</w:t>
        </w:r>
        <w:r w:rsidR="008C7FC1" w:rsidRPr="008C7FC1">
          <w:rPr>
            <w:rFonts w:ascii="Times New Roman" w:hAnsi="Times New Roman" w:cs="Times New Roman"/>
            <w:noProof/>
            <w:webHidden/>
          </w:rPr>
          <w:tab/>
        </w:r>
        <w:r w:rsidR="008C7FC1" w:rsidRPr="008C7FC1">
          <w:rPr>
            <w:rFonts w:ascii="Times New Roman" w:hAnsi="Times New Roman" w:cs="Times New Roman"/>
            <w:noProof/>
            <w:webHidden/>
          </w:rPr>
          <w:fldChar w:fldCharType="begin"/>
        </w:r>
        <w:r w:rsidR="008C7FC1" w:rsidRPr="008C7FC1">
          <w:rPr>
            <w:rFonts w:ascii="Times New Roman" w:hAnsi="Times New Roman" w:cs="Times New Roman"/>
            <w:noProof/>
            <w:webHidden/>
          </w:rPr>
          <w:instrText xml:space="preserve"> PAGEREF _Toc141803648 \h </w:instrText>
        </w:r>
        <w:r w:rsidR="008C7FC1" w:rsidRPr="008C7FC1">
          <w:rPr>
            <w:rFonts w:ascii="Times New Roman" w:hAnsi="Times New Roman" w:cs="Times New Roman"/>
            <w:noProof/>
            <w:webHidden/>
          </w:rPr>
        </w:r>
        <w:r w:rsidR="008C7FC1" w:rsidRPr="008C7FC1">
          <w:rPr>
            <w:rFonts w:ascii="Times New Roman" w:hAnsi="Times New Roman" w:cs="Times New Roman"/>
            <w:noProof/>
            <w:webHidden/>
          </w:rPr>
          <w:fldChar w:fldCharType="separate"/>
        </w:r>
        <w:r w:rsidR="00DA20F1">
          <w:rPr>
            <w:rFonts w:ascii="Times New Roman" w:hAnsi="Times New Roman" w:cs="Times New Roman"/>
            <w:noProof/>
            <w:webHidden/>
          </w:rPr>
          <w:t>26</w:t>
        </w:r>
        <w:r w:rsidR="008C7FC1" w:rsidRPr="008C7FC1">
          <w:rPr>
            <w:rFonts w:ascii="Times New Roman" w:hAnsi="Times New Roman" w:cs="Times New Roman"/>
            <w:noProof/>
            <w:webHidden/>
          </w:rPr>
          <w:fldChar w:fldCharType="end"/>
        </w:r>
      </w:hyperlink>
    </w:p>
    <w:p w14:paraId="41EA25EE" w14:textId="55177015" w:rsidR="008C7FC1" w:rsidRPr="008C7FC1" w:rsidRDefault="0059324E">
      <w:pPr>
        <w:pStyle w:val="Verzeichnis3"/>
        <w:tabs>
          <w:tab w:val="right" w:leader="dot" w:pos="9628"/>
        </w:tabs>
        <w:rPr>
          <w:rFonts w:ascii="Times New Roman" w:eastAsiaTheme="minorEastAsia" w:hAnsi="Times New Roman" w:cs="Times New Roman"/>
          <w:noProof/>
          <w:kern w:val="0"/>
          <w:sz w:val="24"/>
          <w:szCs w:val="24"/>
          <w:lang w:val="de-CH" w:bidi="ar-SA"/>
        </w:rPr>
      </w:pPr>
      <w:hyperlink w:anchor="_Toc141803649" w:history="1">
        <w:r w:rsidR="008C7FC1" w:rsidRPr="008C7FC1">
          <w:rPr>
            <w:rStyle w:val="Hyperlink"/>
            <w:rFonts w:ascii="Times New Roman" w:hAnsi="Times New Roman" w:cs="Times New Roman"/>
            <w:noProof/>
          </w:rPr>
          <w:t>IGM 3 – Sterilising Surgery: Castration / “Gonadectomy” / Hysterectomy</w:t>
        </w:r>
        <w:r w:rsidR="008C7FC1" w:rsidRPr="008C7FC1">
          <w:rPr>
            <w:rFonts w:ascii="Times New Roman" w:hAnsi="Times New Roman" w:cs="Times New Roman"/>
            <w:noProof/>
            <w:webHidden/>
          </w:rPr>
          <w:tab/>
        </w:r>
        <w:r w:rsidR="008C7FC1" w:rsidRPr="008C7FC1">
          <w:rPr>
            <w:rFonts w:ascii="Times New Roman" w:hAnsi="Times New Roman" w:cs="Times New Roman"/>
            <w:noProof/>
            <w:webHidden/>
          </w:rPr>
          <w:fldChar w:fldCharType="begin"/>
        </w:r>
        <w:r w:rsidR="008C7FC1" w:rsidRPr="008C7FC1">
          <w:rPr>
            <w:rFonts w:ascii="Times New Roman" w:hAnsi="Times New Roman" w:cs="Times New Roman"/>
            <w:noProof/>
            <w:webHidden/>
          </w:rPr>
          <w:instrText xml:space="preserve"> PAGEREF _Toc141803649 \h </w:instrText>
        </w:r>
        <w:r w:rsidR="008C7FC1" w:rsidRPr="008C7FC1">
          <w:rPr>
            <w:rFonts w:ascii="Times New Roman" w:hAnsi="Times New Roman" w:cs="Times New Roman"/>
            <w:noProof/>
            <w:webHidden/>
          </w:rPr>
        </w:r>
        <w:r w:rsidR="008C7FC1" w:rsidRPr="008C7FC1">
          <w:rPr>
            <w:rFonts w:ascii="Times New Roman" w:hAnsi="Times New Roman" w:cs="Times New Roman"/>
            <w:noProof/>
            <w:webHidden/>
          </w:rPr>
          <w:fldChar w:fldCharType="separate"/>
        </w:r>
        <w:r w:rsidR="00DA20F1">
          <w:rPr>
            <w:rFonts w:ascii="Times New Roman" w:hAnsi="Times New Roman" w:cs="Times New Roman"/>
            <w:noProof/>
            <w:webHidden/>
          </w:rPr>
          <w:t>28</w:t>
        </w:r>
        <w:r w:rsidR="008C7FC1" w:rsidRPr="008C7FC1">
          <w:rPr>
            <w:rFonts w:ascii="Times New Roman" w:hAnsi="Times New Roman" w:cs="Times New Roman"/>
            <w:noProof/>
            <w:webHidden/>
          </w:rPr>
          <w:fldChar w:fldCharType="end"/>
        </w:r>
      </w:hyperlink>
    </w:p>
    <w:p w14:paraId="4EBDE4D1" w14:textId="3BD79EAB" w:rsidR="008C7FC1" w:rsidRPr="00A912FF" w:rsidRDefault="007B0DDF">
      <w:pPr>
        <w:pStyle w:val="Verzeichnis2"/>
        <w:tabs>
          <w:tab w:val="right" w:leader="dot" w:pos="9628"/>
        </w:tabs>
        <w:rPr>
          <w:rFonts w:ascii="Times New Roman" w:eastAsiaTheme="minorEastAsia" w:hAnsi="Times New Roman" w:cs="Times New Roman"/>
          <w:b w:val="0"/>
          <w:noProof/>
          <w:kern w:val="0"/>
          <w:sz w:val="24"/>
          <w:szCs w:val="24"/>
          <w:lang w:val="en-US" w:bidi="ar-SA"/>
        </w:rPr>
      </w:pPr>
      <w:r>
        <w:rPr>
          <w:rStyle w:val="Hyperlink"/>
          <w:rFonts w:ascii="Times New Roman" w:hAnsi="Times New Roman" w:cs="Times New Roman"/>
          <w:noProof/>
          <w:u w:val="none"/>
        </w:rPr>
        <w:t xml:space="preserve">    </w:t>
      </w:r>
      <w:hyperlink w:anchor="_Toc141803650" w:history="1">
        <w:r w:rsidR="008C7FC1" w:rsidRPr="008C7FC1">
          <w:rPr>
            <w:rStyle w:val="Hyperlink"/>
            <w:rFonts w:ascii="Times New Roman" w:hAnsi="Times New Roman" w:cs="Times New Roman"/>
            <w:noProof/>
          </w:rPr>
          <w:t>“Bad results” / “Gonadectomy, Feminising Genitoplasty”</w:t>
        </w:r>
        <w:r w:rsidR="008C7FC1" w:rsidRPr="008C7FC1">
          <w:rPr>
            <w:rFonts w:ascii="Times New Roman" w:hAnsi="Times New Roman" w:cs="Times New Roman"/>
            <w:noProof/>
            <w:webHidden/>
          </w:rPr>
          <w:tab/>
        </w:r>
        <w:r w:rsidR="008C7FC1" w:rsidRPr="008C7FC1">
          <w:rPr>
            <w:rFonts w:ascii="Times New Roman" w:hAnsi="Times New Roman" w:cs="Times New Roman"/>
            <w:noProof/>
            <w:webHidden/>
          </w:rPr>
          <w:fldChar w:fldCharType="begin"/>
        </w:r>
        <w:r w:rsidR="008C7FC1" w:rsidRPr="008C7FC1">
          <w:rPr>
            <w:rFonts w:ascii="Times New Roman" w:hAnsi="Times New Roman" w:cs="Times New Roman"/>
            <w:noProof/>
            <w:webHidden/>
          </w:rPr>
          <w:instrText xml:space="preserve"> PAGEREF _Toc141803650 \h </w:instrText>
        </w:r>
        <w:r w:rsidR="008C7FC1" w:rsidRPr="008C7FC1">
          <w:rPr>
            <w:rFonts w:ascii="Times New Roman" w:hAnsi="Times New Roman" w:cs="Times New Roman"/>
            <w:noProof/>
            <w:webHidden/>
          </w:rPr>
        </w:r>
        <w:r w:rsidR="008C7FC1" w:rsidRPr="008C7FC1">
          <w:rPr>
            <w:rFonts w:ascii="Times New Roman" w:hAnsi="Times New Roman" w:cs="Times New Roman"/>
            <w:noProof/>
            <w:webHidden/>
          </w:rPr>
          <w:fldChar w:fldCharType="separate"/>
        </w:r>
        <w:r w:rsidR="00DA20F1">
          <w:rPr>
            <w:rFonts w:ascii="Times New Roman" w:hAnsi="Times New Roman" w:cs="Times New Roman"/>
            <w:noProof/>
            <w:webHidden/>
          </w:rPr>
          <w:t>30</w:t>
        </w:r>
        <w:r w:rsidR="008C7FC1" w:rsidRPr="008C7FC1">
          <w:rPr>
            <w:rFonts w:ascii="Times New Roman" w:hAnsi="Times New Roman" w:cs="Times New Roman"/>
            <w:noProof/>
            <w:webHidden/>
          </w:rPr>
          <w:fldChar w:fldCharType="end"/>
        </w:r>
      </w:hyperlink>
    </w:p>
    <w:p w14:paraId="66438B68" w14:textId="65FFF918" w:rsidR="008C6F0A" w:rsidRPr="00766AF2" w:rsidRDefault="00D50FB2" w:rsidP="008C6F0A">
      <w:pPr>
        <w:pStyle w:val="absatzschattenbericht"/>
        <w:rPr>
          <w:rFonts w:cs="Times New Roman"/>
          <w:w w:val="95"/>
          <w:lang w:val="en-GB"/>
        </w:rPr>
      </w:pPr>
      <w:r w:rsidRPr="008C7FC1">
        <w:rPr>
          <w:rFonts w:cs="Times New Roman"/>
          <w:lang w:val="en-GB"/>
        </w:rPr>
        <w:fldChar w:fldCharType="end"/>
      </w:r>
    </w:p>
    <w:p w14:paraId="4987B1F4" w14:textId="77777777" w:rsidR="008F4969" w:rsidRPr="00306025" w:rsidRDefault="002A050E" w:rsidP="008F4969">
      <w:pPr>
        <w:pStyle w:val="Title1"/>
        <w:rPr>
          <w:rFonts w:eastAsia="Baskerville" w:cs="Times New Roman"/>
          <w:spacing w:val="2"/>
        </w:rPr>
      </w:pPr>
      <w:bookmarkStart w:id="5" w:name="_Toc486307289"/>
      <w:bookmarkStart w:id="6" w:name="_Toc378801634"/>
      <w:bookmarkStart w:id="7" w:name="_Toc505019180"/>
      <w:bookmarkStart w:id="8" w:name="_Toc141803614"/>
      <w:r w:rsidRPr="00306025">
        <w:lastRenderedPageBreak/>
        <w:t xml:space="preserve">A.  </w:t>
      </w:r>
      <w:r w:rsidR="008F4969" w:rsidRPr="00306025">
        <w:t>Introduction</w:t>
      </w:r>
      <w:bookmarkEnd w:id="1"/>
      <w:bookmarkEnd w:id="5"/>
      <w:bookmarkEnd w:id="6"/>
      <w:bookmarkEnd w:id="7"/>
      <w:bookmarkEnd w:id="8"/>
    </w:p>
    <w:p w14:paraId="6AC672EE" w14:textId="77777777" w:rsidR="00C10E30" w:rsidRPr="00306025" w:rsidRDefault="00C10E30" w:rsidP="00BC2F43">
      <w:pPr>
        <w:pStyle w:val="Title2"/>
      </w:pPr>
      <w:bookmarkStart w:id="9" w:name="_Toc453620703"/>
      <w:bookmarkStart w:id="10" w:name="_Toc463295399"/>
      <w:bookmarkStart w:id="11" w:name="_Toc472718949"/>
      <w:bookmarkStart w:id="12" w:name="_Toc520833557"/>
    </w:p>
    <w:p w14:paraId="680C9358" w14:textId="08E5965F" w:rsidR="00BC2F43" w:rsidRPr="00306025" w:rsidRDefault="00BC2F43" w:rsidP="00BC2F43">
      <w:pPr>
        <w:pStyle w:val="Title2"/>
        <w:rPr>
          <w:rFonts w:eastAsia="Baskerville"/>
          <w:szCs w:val="24"/>
        </w:rPr>
      </w:pPr>
      <w:bookmarkStart w:id="13" w:name="_Toc141803615"/>
      <w:r w:rsidRPr="00306025">
        <w:t xml:space="preserve">1.  </w:t>
      </w:r>
      <w:bookmarkEnd w:id="9"/>
      <w:bookmarkEnd w:id="10"/>
      <w:bookmarkEnd w:id="11"/>
      <w:r w:rsidRPr="00306025">
        <w:t>Intersex, IGM and Human Rights in Germany</w:t>
      </w:r>
      <w:bookmarkEnd w:id="12"/>
      <w:bookmarkEnd w:id="13"/>
    </w:p>
    <w:p w14:paraId="2B564D57" w14:textId="133767BA" w:rsidR="005F2D92" w:rsidRDefault="00BC2F43" w:rsidP="00BC2F43">
      <w:pPr>
        <w:pStyle w:val="absatzschattenbericht"/>
        <w:rPr>
          <w:rFonts w:eastAsia="Baskerville-SemiBold"/>
          <w:lang w:val="en-GB"/>
        </w:rPr>
      </w:pPr>
      <w:r w:rsidRPr="00545E7D">
        <w:rPr>
          <w:lang w:val="en-GB"/>
        </w:rPr>
        <w:t xml:space="preserve">Germany has been reviewed by </w:t>
      </w:r>
      <w:r w:rsidRPr="00545E7D">
        <w:rPr>
          <w:b/>
          <w:lang w:val="en-GB"/>
        </w:rPr>
        <w:t>CAT</w:t>
      </w:r>
      <w:r w:rsidRPr="00545E7D">
        <w:rPr>
          <w:lang w:val="en-GB"/>
        </w:rPr>
        <w:t xml:space="preserve"> (2011), </w:t>
      </w:r>
      <w:r w:rsidRPr="00545E7D">
        <w:rPr>
          <w:b/>
          <w:lang w:val="en-GB"/>
        </w:rPr>
        <w:t>CRPD</w:t>
      </w:r>
      <w:r w:rsidRPr="00545E7D">
        <w:rPr>
          <w:lang w:val="en-GB"/>
        </w:rPr>
        <w:t xml:space="preserve"> (2015)</w:t>
      </w:r>
      <w:r w:rsidR="006170B4" w:rsidRPr="00545E7D">
        <w:rPr>
          <w:lang w:val="en-GB"/>
        </w:rPr>
        <w:t>,</w:t>
      </w:r>
      <w:r w:rsidRPr="00545E7D">
        <w:rPr>
          <w:lang w:val="en-GB"/>
        </w:rPr>
        <w:t xml:space="preserve"> </w:t>
      </w:r>
      <w:r w:rsidRPr="00545E7D">
        <w:rPr>
          <w:b/>
          <w:lang w:val="en-GB"/>
        </w:rPr>
        <w:t>CEDAW</w:t>
      </w:r>
      <w:r w:rsidRPr="00545E7D">
        <w:rPr>
          <w:lang w:val="en-GB"/>
        </w:rPr>
        <w:t xml:space="preserve"> (2017)</w:t>
      </w:r>
      <w:r w:rsidR="0081405D" w:rsidRPr="00545E7D">
        <w:rPr>
          <w:lang w:val="en-GB"/>
        </w:rPr>
        <w:t xml:space="preserve">, </w:t>
      </w:r>
      <w:r w:rsidR="006170B4" w:rsidRPr="00545E7D">
        <w:rPr>
          <w:b/>
          <w:bCs/>
          <w:lang w:val="en-GB"/>
        </w:rPr>
        <w:t xml:space="preserve">CCPR </w:t>
      </w:r>
      <w:r w:rsidR="006170B4" w:rsidRPr="00545E7D">
        <w:rPr>
          <w:lang w:val="en-GB"/>
        </w:rPr>
        <w:t>(2021)</w:t>
      </w:r>
      <w:r w:rsidRPr="00545E7D">
        <w:rPr>
          <w:lang w:val="en-GB"/>
        </w:rPr>
        <w:t xml:space="preserve"> </w:t>
      </w:r>
      <w:r w:rsidR="0081405D" w:rsidRPr="00545E7D">
        <w:rPr>
          <w:lang w:val="en-GB"/>
        </w:rPr>
        <w:t xml:space="preserve">and </w:t>
      </w:r>
      <w:r w:rsidR="0081405D" w:rsidRPr="00545E7D">
        <w:rPr>
          <w:b/>
          <w:bCs/>
          <w:lang w:val="en-GB"/>
        </w:rPr>
        <w:t xml:space="preserve">CRC </w:t>
      </w:r>
      <w:r w:rsidR="0081405D" w:rsidRPr="00545E7D">
        <w:rPr>
          <w:lang w:val="en-GB"/>
        </w:rPr>
        <w:t>(</w:t>
      </w:r>
      <w:r w:rsidR="00C661CC" w:rsidRPr="00545E7D">
        <w:rPr>
          <w:lang w:val="en-GB"/>
        </w:rPr>
        <w:t>2022</w:t>
      </w:r>
      <w:r w:rsidR="0081405D" w:rsidRPr="00545E7D">
        <w:rPr>
          <w:lang w:val="en-GB"/>
        </w:rPr>
        <w:t xml:space="preserve">) </w:t>
      </w:r>
      <w:r w:rsidR="005F2D92" w:rsidRPr="00545E7D">
        <w:rPr>
          <w:lang w:val="en-GB"/>
        </w:rPr>
        <w:t xml:space="preserve">with </w:t>
      </w:r>
      <w:r w:rsidRPr="00545E7D">
        <w:rPr>
          <w:lang w:val="en-GB"/>
        </w:rPr>
        <w:t xml:space="preserve">all </w:t>
      </w:r>
      <w:r w:rsidR="005F2D92" w:rsidRPr="00545E7D">
        <w:rPr>
          <w:lang w:val="en-GB"/>
        </w:rPr>
        <w:t xml:space="preserve">Committees </w:t>
      </w:r>
      <w:r w:rsidRPr="00545E7D">
        <w:rPr>
          <w:b/>
          <w:lang w:val="en-GB"/>
        </w:rPr>
        <w:t>recognising</w:t>
      </w:r>
      <w:r w:rsidRPr="00545E7D">
        <w:rPr>
          <w:lang w:val="en-GB"/>
        </w:rPr>
        <w:t xml:space="preserve"> IGM in G</w:t>
      </w:r>
      <w:r w:rsidR="005F2D92" w:rsidRPr="00545E7D">
        <w:rPr>
          <w:lang w:val="en-GB"/>
        </w:rPr>
        <w:t>ermany as constituting</w:t>
      </w:r>
      <w:r w:rsidR="00D5238C" w:rsidRPr="00545E7D">
        <w:rPr>
          <w:lang w:val="en-GB"/>
        </w:rPr>
        <w:t xml:space="preserve"> a </w:t>
      </w:r>
      <w:r w:rsidR="00D5238C" w:rsidRPr="00545E7D">
        <w:rPr>
          <w:b/>
          <w:bCs/>
          <w:lang w:val="en-GB"/>
        </w:rPr>
        <w:t>harmful practice</w:t>
      </w:r>
      <w:r w:rsidR="00D5238C" w:rsidRPr="00545E7D">
        <w:rPr>
          <w:lang w:val="en-GB"/>
        </w:rPr>
        <w:t>,</w:t>
      </w:r>
      <w:r w:rsidR="005F2D92" w:rsidRPr="00545E7D">
        <w:rPr>
          <w:lang w:val="en-GB"/>
        </w:rPr>
        <w:t xml:space="preserve"> </w:t>
      </w:r>
      <w:r w:rsidR="005F2D92" w:rsidRPr="00545E7D">
        <w:rPr>
          <w:b/>
          <w:lang w:val="en-GB"/>
        </w:rPr>
        <w:t xml:space="preserve">cruel, </w:t>
      </w:r>
      <w:r w:rsidR="005F2D92" w:rsidRPr="00545E7D">
        <w:rPr>
          <w:rFonts w:eastAsia="Baskerville-SemiBold"/>
          <w:b/>
          <w:lang w:val="en-GB"/>
        </w:rPr>
        <w:t xml:space="preserve">inhuman or degrading </w:t>
      </w:r>
      <w:r w:rsidRPr="00545E7D">
        <w:rPr>
          <w:rFonts w:eastAsia="Baskerville-SemiBold"/>
          <w:b/>
          <w:lang w:val="en-GB"/>
        </w:rPr>
        <w:t>treatment or torture</w:t>
      </w:r>
      <w:r w:rsidRPr="00545E7D">
        <w:rPr>
          <w:rFonts w:eastAsia="Baskerville-SemiBold"/>
          <w:lang w:val="en-GB"/>
        </w:rPr>
        <w:t>, a</w:t>
      </w:r>
      <w:r w:rsidR="00D5238C" w:rsidRPr="00545E7D">
        <w:rPr>
          <w:rFonts w:eastAsia="Baskerville-SemiBold"/>
          <w:lang w:val="en-GB"/>
        </w:rPr>
        <w:t>nd a</w:t>
      </w:r>
      <w:r w:rsidRPr="00545E7D">
        <w:rPr>
          <w:rFonts w:eastAsia="Baskerville-SemiBold"/>
          <w:lang w:val="en-GB"/>
        </w:rPr>
        <w:t xml:space="preserve"> </w:t>
      </w:r>
      <w:r w:rsidRPr="00545E7D">
        <w:rPr>
          <w:rFonts w:eastAsia="Baskerville-SemiBold"/>
          <w:b/>
          <w:lang w:val="en-GB"/>
        </w:rPr>
        <w:t>violation of integrity</w:t>
      </w:r>
      <w:r w:rsidRPr="00545E7D">
        <w:rPr>
          <w:rFonts w:eastAsia="Baskerville-SemiBold"/>
          <w:lang w:val="en-GB"/>
        </w:rPr>
        <w:t xml:space="preserve"> </w:t>
      </w:r>
      <w:r w:rsidR="005F2D92" w:rsidRPr="00545E7D">
        <w:rPr>
          <w:rFonts w:eastAsia="Baskerville-SemiBold"/>
          <w:lang w:val="en-GB"/>
        </w:rPr>
        <w:t>respectively.</w:t>
      </w:r>
    </w:p>
    <w:p w14:paraId="4F930517" w14:textId="257F6C17" w:rsidR="00656981" w:rsidRDefault="00656981" w:rsidP="00BC2F43">
      <w:pPr>
        <w:pStyle w:val="absatzschattenbericht"/>
        <w:rPr>
          <w:rFonts w:eastAsia="Baskerville-SemiBold"/>
          <w:lang w:val="en-GB"/>
        </w:rPr>
      </w:pPr>
      <w:r w:rsidRPr="00656981">
        <w:rPr>
          <w:lang w:val="en-GB"/>
        </w:rPr>
        <w:t xml:space="preserve">IGM practices were mentioned in the </w:t>
      </w:r>
      <w:r w:rsidRPr="00656981">
        <w:rPr>
          <w:b/>
          <w:bCs/>
          <w:lang w:val="en-GB"/>
        </w:rPr>
        <w:t>LOIPR</w:t>
      </w:r>
      <w:r w:rsidRPr="00656981">
        <w:rPr>
          <w:lang w:val="en-GB"/>
        </w:rPr>
        <w:t xml:space="preserve"> (para 16). In its </w:t>
      </w:r>
      <w:r w:rsidRPr="00656981">
        <w:rPr>
          <w:b/>
          <w:bCs/>
          <w:lang w:val="en-GB"/>
        </w:rPr>
        <w:t xml:space="preserve">State Party Report </w:t>
      </w:r>
      <w:r w:rsidR="00B126FF">
        <w:rPr>
          <w:lang w:val="en-GB"/>
        </w:rPr>
        <w:t xml:space="preserve">(para 162) </w:t>
      </w:r>
      <w:r w:rsidRPr="00656981">
        <w:rPr>
          <w:lang w:val="en-GB"/>
        </w:rPr>
        <w:t xml:space="preserve">the German Government referred to the then upcoming Draft Law eventually resulting in the </w:t>
      </w:r>
      <w:r w:rsidRPr="00656981">
        <w:rPr>
          <w:rFonts w:eastAsia="Baskerville-SemiBold" w:cs="Baskerville-SemiBold"/>
          <w:b/>
          <w:bCs/>
          <w:color w:val="auto"/>
          <w:lang w:val="en-GB"/>
        </w:rPr>
        <w:t xml:space="preserve">2021 “Law on the Protection of Children with Variants of Sex Development” </w:t>
      </w:r>
      <w:r w:rsidRPr="00656981">
        <w:rPr>
          <w:lang w:val="en-GB"/>
        </w:rPr>
        <w:t xml:space="preserve">introducing </w:t>
      </w:r>
      <w:r w:rsidRPr="00656981">
        <w:rPr>
          <w:b/>
          <w:bCs/>
          <w:lang w:val="en-GB"/>
        </w:rPr>
        <w:t>§ 1631e BGB</w:t>
      </w:r>
      <w:r w:rsidRPr="00656981">
        <w:rPr>
          <w:lang w:val="en-GB"/>
        </w:rPr>
        <w:t xml:space="preserve"> aimed at prohibiting IGM</w:t>
      </w:r>
      <w:r>
        <w:rPr>
          <w:lang w:val="en-GB"/>
        </w:rPr>
        <w:t xml:space="preserve">, which, however, </w:t>
      </w:r>
      <w:r w:rsidRPr="00B126FF">
        <w:rPr>
          <w:b/>
          <w:bCs/>
          <w:lang w:val="en-GB"/>
        </w:rPr>
        <w:t>fails to adequately protect</w:t>
      </w:r>
      <w:r>
        <w:rPr>
          <w:lang w:val="en-GB"/>
        </w:rPr>
        <w:t xml:space="preserve"> intersex children from IGM practices</w:t>
      </w:r>
      <w:r w:rsidR="00B126FF">
        <w:rPr>
          <w:lang w:val="en-GB"/>
        </w:rPr>
        <w:t xml:space="preserve"> (see below, p. </w:t>
      </w:r>
      <w:r w:rsidR="00DA20F1">
        <w:rPr>
          <w:lang w:val="en-GB"/>
        </w:rPr>
        <w:t>13-15</w:t>
      </w:r>
      <w:r w:rsidR="00B126FF">
        <w:rPr>
          <w:lang w:val="en-GB"/>
        </w:rPr>
        <w:t>).</w:t>
      </w:r>
    </w:p>
    <w:p w14:paraId="1449906B" w14:textId="7DA54364" w:rsidR="00E73ADB" w:rsidRDefault="00BC2F43" w:rsidP="008F4969">
      <w:pPr>
        <w:pStyle w:val="absatzschattenbericht"/>
        <w:rPr>
          <w:lang w:val="en-GB"/>
        </w:rPr>
      </w:pPr>
      <w:r w:rsidRPr="00B126FF">
        <w:rPr>
          <w:lang w:val="en-GB"/>
        </w:rPr>
        <w:t xml:space="preserve">Nonetheless, </w:t>
      </w:r>
      <w:r w:rsidRPr="00B126FF">
        <w:rPr>
          <w:b/>
          <w:lang w:val="en-GB"/>
        </w:rPr>
        <w:t>Germany continues to deny</w:t>
      </w:r>
      <w:r w:rsidRPr="00B126FF">
        <w:rPr>
          <w:lang w:val="en-GB"/>
        </w:rPr>
        <w:t xml:space="preserve"> </w:t>
      </w:r>
      <w:r w:rsidR="005F2D92" w:rsidRPr="00B126FF">
        <w:rPr>
          <w:lang w:val="en-GB"/>
        </w:rPr>
        <w:t>the serious nature of the violations constituted by IGM practices</w:t>
      </w:r>
      <w:r w:rsidRPr="00B126FF">
        <w:rPr>
          <w:lang w:val="en-GB"/>
        </w:rPr>
        <w:t xml:space="preserve">, and </w:t>
      </w:r>
      <w:r w:rsidRPr="00B126FF">
        <w:rPr>
          <w:b/>
          <w:lang w:val="en-GB"/>
        </w:rPr>
        <w:t xml:space="preserve">refuses to </w:t>
      </w:r>
      <w:r w:rsidR="00432DD1" w:rsidRPr="00B126FF">
        <w:rPr>
          <w:b/>
          <w:lang w:val="en-GB"/>
        </w:rPr>
        <w:t>take effective legislative, administrative, judicial or other measures</w:t>
      </w:r>
      <w:r w:rsidRPr="00B126FF">
        <w:rPr>
          <w:lang w:val="en-GB"/>
        </w:rPr>
        <w:t xml:space="preserve">, including </w:t>
      </w:r>
      <w:r w:rsidR="00432DD1" w:rsidRPr="00B126FF">
        <w:rPr>
          <w:lang w:val="en-GB"/>
        </w:rPr>
        <w:t>prohibition</w:t>
      </w:r>
      <w:r w:rsidR="00900719" w:rsidRPr="00B126FF">
        <w:rPr>
          <w:lang w:val="en-GB"/>
        </w:rPr>
        <w:t xml:space="preserve"> under Criminal Law</w:t>
      </w:r>
      <w:r w:rsidRPr="00B126FF">
        <w:rPr>
          <w:lang w:val="en-GB"/>
        </w:rPr>
        <w:t xml:space="preserve">, to protect intersex children from </w:t>
      </w:r>
      <w:r w:rsidR="00617B69" w:rsidRPr="00B126FF">
        <w:rPr>
          <w:lang w:val="en-GB"/>
        </w:rPr>
        <w:t>cruel, inhuman or degrading treatment</w:t>
      </w:r>
      <w:r w:rsidR="00B126FF" w:rsidRPr="00B126FF">
        <w:rPr>
          <w:lang w:val="en-GB"/>
        </w:rPr>
        <w:t xml:space="preserve"> and harmful practices</w:t>
      </w:r>
      <w:r w:rsidR="004D45DA">
        <w:rPr>
          <w:lang w:val="en-GB"/>
        </w:rPr>
        <w:t xml:space="preserve">, despite public criticism by intersex advocates and even Government appointed legal, human rights and other experts (see below, p. </w:t>
      </w:r>
      <w:r w:rsidR="00715663">
        <w:rPr>
          <w:lang w:val="en-GB"/>
        </w:rPr>
        <w:t>14</w:t>
      </w:r>
      <w:r w:rsidR="004D45DA">
        <w:rPr>
          <w:lang w:val="en-GB"/>
        </w:rPr>
        <w:t>).</w:t>
      </w:r>
    </w:p>
    <w:p w14:paraId="48816291" w14:textId="6D9A3633" w:rsidR="00406CF1" w:rsidRDefault="00BC2F43" w:rsidP="008F4969">
      <w:pPr>
        <w:pStyle w:val="absatzschattenbericht"/>
        <w:rPr>
          <w:lang w:val="en-GB"/>
        </w:rPr>
      </w:pPr>
      <w:r w:rsidRPr="004D45DA">
        <w:rPr>
          <w:lang w:val="en-GB"/>
        </w:rPr>
        <w:t xml:space="preserve">This NGO Report demonstrates that the </w:t>
      </w:r>
      <w:r w:rsidR="00AD41F7" w:rsidRPr="004D45DA">
        <w:rPr>
          <w:lang w:val="en-GB"/>
        </w:rPr>
        <w:t>persisting</w:t>
      </w:r>
      <w:r w:rsidRPr="004D45DA">
        <w:rPr>
          <w:lang w:val="en-GB"/>
        </w:rPr>
        <w:t xml:space="preserve"> </w:t>
      </w:r>
      <w:r w:rsidRPr="004D45DA">
        <w:rPr>
          <w:rFonts w:eastAsia="Baskerville-SemiBold"/>
          <w:b/>
          <w:bCs/>
          <w:lang w:val="en-GB"/>
        </w:rPr>
        <w:t>harmful medical practice on intersex persons in Germany</w:t>
      </w:r>
      <w:r w:rsidRPr="004D45DA">
        <w:rPr>
          <w:rFonts w:eastAsia="Baskerville-SemiBold"/>
          <w:lang w:val="en-GB"/>
        </w:rPr>
        <w:t xml:space="preserve"> – advocated, facilitated and </w:t>
      </w:r>
      <w:r w:rsidRPr="004D45DA">
        <w:rPr>
          <w:rFonts w:eastAsia="Baskerville-SemiBold"/>
          <w:b/>
          <w:lang w:val="en-GB"/>
        </w:rPr>
        <w:t>paid for by the State party</w:t>
      </w:r>
      <w:r w:rsidR="00AD41F7" w:rsidRPr="004D45DA">
        <w:rPr>
          <w:rFonts w:eastAsia="Baskerville-SemiBold"/>
          <w:bCs/>
          <w:lang w:val="en-GB"/>
        </w:rPr>
        <w:t xml:space="preserve">, and practiced with </w:t>
      </w:r>
      <w:r w:rsidR="00AD41F7" w:rsidRPr="004D45DA">
        <w:rPr>
          <w:rFonts w:eastAsia="Baskerville-SemiBold"/>
          <w:b/>
          <w:lang w:val="en-GB"/>
        </w:rPr>
        <w:t>impunity</w:t>
      </w:r>
      <w:r w:rsidRPr="004D45DA">
        <w:rPr>
          <w:rFonts w:eastAsia="Baskerville-SemiBold"/>
          <w:lang w:val="en-GB"/>
        </w:rPr>
        <w:t xml:space="preserve"> –</w:t>
      </w:r>
      <w:r w:rsidR="005F2D92" w:rsidRPr="004D45DA">
        <w:rPr>
          <w:rFonts w:eastAsia="Baskerville-SemiBold"/>
          <w:lang w:val="en-GB"/>
        </w:rPr>
        <w:t xml:space="preserve">, </w:t>
      </w:r>
      <w:r w:rsidR="00320578" w:rsidRPr="004D45DA">
        <w:rPr>
          <w:rFonts w:eastAsia="Baskerville-SemiBold"/>
          <w:lang w:val="en-GB"/>
        </w:rPr>
        <w:t xml:space="preserve">as well as the </w:t>
      </w:r>
      <w:r w:rsidR="0084319C" w:rsidRPr="004D45DA">
        <w:rPr>
          <w:rFonts w:eastAsia="Baskerville-SemiBold"/>
          <w:lang w:val="en-GB"/>
        </w:rPr>
        <w:t xml:space="preserve">ongoing </w:t>
      </w:r>
      <w:r w:rsidR="0084319C" w:rsidRPr="004D45DA">
        <w:rPr>
          <w:rFonts w:eastAsia="Baskerville-SemiBold"/>
          <w:b/>
          <w:bCs/>
          <w:lang w:val="en-GB"/>
        </w:rPr>
        <w:t>denial of access to justice and reparations</w:t>
      </w:r>
      <w:r w:rsidR="00FA7F3E" w:rsidRPr="004D45DA">
        <w:rPr>
          <w:rFonts w:eastAsia="Baskerville-SemiBold"/>
          <w:lang w:val="en-GB"/>
        </w:rPr>
        <w:t xml:space="preserve"> for IGM survivors, </w:t>
      </w:r>
      <w:r w:rsidR="005F2D92" w:rsidRPr="004D45DA">
        <w:rPr>
          <w:rFonts w:eastAsia="Baskerville-SemiBold"/>
          <w:lang w:val="en-GB"/>
        </w:rPr>
        <w:t>constitute</w:t>
      </w:r>
      <w:r w:rsidRPr="004D45DA">
        <w:rPr>
          <w:lang w:val="en-GB"/>
        </w:rPr>
        <w:t xml:space="preserve"> </w:t>
      </w:r>
      <w:r w:rsidRPr="004D45DA">
        <w:rPr>
          <w:b/>
          <w:lang w:val="en-GB"/>
        </w:rPr>
        <w:t>serious breach</w:t>
      </w:r>
      <w:r w:rsidR="005F2D92" w:rsidRPr="004D45DA">
        <w:rPr>
          <w:b/>
          <w:lang w:val="en-GB"/>
        </w:rPr>
        <w:t>es</w:t>
      </w:r>
      <w:r w:rsidRPr="004D45DA">
        <w:rPr>
          <w:lang w:val="en-GB"/>
        </w:rPr>
        <w:t xml:space="preserve"> of Germany’s obligations under the </w:t>
      </w:r>
      <w:r w:rsidR="00832C19" w:rsidRPr="004D45DA">
        <w:rPr>
          <w:lang w:val="en-GB"/>
        </w:rPr>
        <w:t>Convention</w:t>
      </w:r>
      <w:r w:rsidR="00AD41F7" w:rsidRPr="004D45DA">
        <w:rPr>
          <w:lang w:val="en-GB"/>
        </w:rPr>
        <w:t>.</w:t>
      </w:r>
    </w:p>
    <w:p w14:paraId="18D62803" w14:textId="77777777" w:rsidR="00C10E30" w:rsidRPr="004D45DA" w:rsidRDefault="00C10E30" w:rsidP="008F4969">
      <w:pPr>
        <w:pStyle w:val="absatzschattenbericht"/>
        <w:rPr>
          <w:rFonts w:eastAsia="Arial"/>
          <w:b/>
          <w:bCs/>
          <w:iCs/>
          <w:sz w:val="23"/>
          <w:szCs w:val="23"/>
          <w:lang w:val="en-GB"/>
        </w:rPr>
      </w:pPr>
    </w:p>
    <w:p w14:paraId="3A4C4101" w14:textId="6F2CC294" w:rsidR="008F4969" w:rsidRPr="00306025" w:rsidRDefault="00E714A1" w:rsidP="008F4969">
      <w:pPr>
        <w:pStyle w:val="Title2"/>
        <w:rPr>
          <w:rFonts w:eastAsia="Baskerville-SemiBold"/>
          <w:szCs w:val="24"/>
        </w:rPr>
      </w:pPr>
      <w:bookmarkStart w:id="14" w:name="_Toc453620704"/>
      <w:bookmarkStart w:id="15" w:name="_Toc463295400"/>
      <w:bookmarkStart w:id="16" w:name="_Toc486307291"/>
      <w:bookmarkStart w:id="17" w:name="_Toc378801636"/>
      <w:bookmarkStart w:id="18" w:name="_Toc505019182"/>
      <w:bookmarkStart w:id="19" w:name="_Toc141803616"/>
      <w:r w:rsidRPr="00306025">
        <w:t xml:space="preserve">2.  </w:t>
      </w:r>
      <w:r w:rsidR="008F4969" w:rsidRPr="00306025">
        <w:t>About the Rapporteurs</w:t>
      </w:r>
      <w:bookmarkEnd w:id="14"/>
      <w:bookmarkEnd w:id="15"/>
      <w:bookmarkEnd w:id="16"/>
      <w:bookmarkEnd w:id="17"/>
      <w:bookmarkEnd w:id="18"/>
      <w:bookmarkEnd w:id="19"/>
    </w:p>
    <w:p w14:paraId="15EC9610" w14:textId="49571953" w:rsidR="00A96DFB" w:rsidRPr="00306025" w:rsidRDefault="00A96DFB" w:rsidP="00A96DFB">
      <w:pPr>
        <w:pStyle w:val="absatzschattenbericht"/>
        <w:rPr>
          <w:i/>
          <w:lang w:val="en-GB"/>
        </w:rPr>
      </w:pPr>
      <w:bookmarkStart w:id="20" w:name="_Toc453620705"/>
      <w:bookmarkStart w:id="21" w:name="_Toc463295401"/>
      <w:bookmarkStart w:id="22" w:name="_Toc486307292"/>
      <w:bookmarkStart w:id="23" w:name="_Toc378801637"/>
      <w:bookmarkStart w:id="24" w:name="_Toc505019183"/>
      <w:r w:rsidRPr="00306025">
        <w:rPr>
          <w:rFonts w:eastAsia="Baskerville-SemiBold"/>
          <w:lang w:val="en-GB"/>
        </w:rPr>
        <w:t xml:space="preserve">This NGO report </w:t>
      </w:r>
      <w:r w:rsidRPr="00306025">
        <w:rPr>
          <w:lang w:val="en-GB"/>
        </w:rPr>
        <w:t>has been prepared by the international intersex NGO</w:t>
      </w:r>
      <w:r w:rsidR="00E71D3B" w:rsidRPr="00E71D3B">
        <w:t xml:space="preserve"> </w:t>
      </w:r>
      <w:r w:rsidR="00E71D3B" w:rsidRPr="00E71D3B">
        <w:rPr>
          <w:i/>
          <w:iCs/>
          <w:lang w:val="en-GB"/>
        </w:rPr>
        <w:t>StopIGM.org / Zwischengeschlecht.org</w:t>
      </w:r>
      <w:r w:rsidRPr="00306025">
        <w:rPr>
          <w:lang w:val="en-GB"/>
        </w:rPr>
        <w:t>:</w:t>
      </w:r>
    </w:p>
    <w:p w14:paraId="4E5E870C" w14:textId="33C386A3" w:rsidR="00411DBE" w:rsidRPr="0041315B" w:rsidRDefault="00411DBE" w:rsidP="00C10E30">
      <w:pPr>
        <w:pStyle w:val="absatzschattenbericht"/>
        <w:numPr>
          <w:ilvl w:val="0"/>
          <w:numId w:val="17"/>
        </w:numPr>
        <w:ind w:left="567" w:hanging="357"/>
        <w:rPr>
          <w:rFonts w:cs="Times New Roman"/>
          <w:lang w:val="en-GB"/>
        </w:rPr>
      </w:pPr>
      <w:r w:rsidRPr="0041315B">
        <w:rPr>
          <w:rFonts w:eastAsia="Baskerville-SemiBold" w:cs="Times New Roman"/>
          <w:b/>
          <w:bCs/>
          <w:lang w:val="en-GB"/>
        </w:rPr>
        <w:t>StopIGM.org / Zwischengeschlecht.org</w:t>
      </w:r>
      <w:r w:rsidRPr="0041315B">
        <w:rPr>
          <w:rFonts w:cs="Times New Roman"/>
          <w:lang w:val="en-GB"/>
        </w:rPr>
        <w:t xml:space="preserve"> is an international intersex human rights NGO based in Switzerland, working to end IGM practices and other human rights violations perpetrated on intersex people, according to its motto,</w:t>
      </w:r>
      <w:r w:rsidR="003F07ED" w:rsidRPr="0041315B">
        <w:t xml:space="preserve"> </w:t>
      </w:r>
      <w:r w:rsidR="003F07ED" w:rsidRPr="0041315B">
        <w:rPr>
          <w:rFonts w:cs="Times New Roman"/>
          <w:i/>
          <w:iCs/>
          <w:lang w:val="en-GB"/>
        </w:rPr>
        <w:t>“Human Rights for Hermaphrodites, too!”</w:t>
      </w:r>
      <w:r w:rsidR="003F07ED" w:rsidRPr="0041315B">
        <w:rPr>
          <w:rFonts w:cs="Times New Roman"/>
          <w:lang w:val="en-GB"/>
        </w:rPr>
        <w:t xml:space="preserve"> </w:t>
      </w:r>
      <w:r w:rsidRPr="0041315B">
        <w:rPr>
          <w:rStyle w:val="Funotenzeichen"/>
          <w:rFonts w:cs="Times New Roman"/>
          <w:lang w:val="en-GB"/>
        </w:rPr>
        <w:footnoteReference w:id="1"/>
      </w:r>
      <w:r w:rsidRPr="0041315B">
        <w:rPr>
          <w:rFonts w:cs="Times New Roman"/>
          <w:lang w:val="en-GB"/>
        </w:rPr>
        <w:t xml:space="preserve"> According to its charter,</w:t>
      </w:r>
      <w:r w:rsidRPr="0041315B">
        <w:rPr>
          <w:rStyle w:val="Funotenzeichen"/>
          <w:rFonts w:cs="Times New Roman"/>
          <w:lang w:val="en-GB"/>
        </w:rPr>
        <w:footnoteReference w:id="2"/>
      </w:r>
      <w:r w:rsidRPr="0041315B">
        <w:rPr>
          <w:rFonts w:cs="Times New Roman"/>
          <w:lang w:val="en-GB"/>
        </w:rPr>
        <w:t xml:space="preserve"> StopIGM.org works to support persons concerned seeking redress and justice and regularly reports to relevant UN treaty bodies, often in collaboration with local intersex </w:t>
      </w:r>
      <w:r w:rsidR="00543935" w:rsidRPr="0041315B">
        <w:rPr>
          <w:rFonts w:cs="Times New Roman"/>
          <w:lang w:val="en-GB"/>
        </w:rPr>
        <w:t>advocates</w:t>
      </w:r>
      <w:r w:rsidRPr="0041315B">
        <w:rPr>
          <w:rFonts w:cs="Times New Roman"/>
          <w:lang w:val="en-GB"/>
        </w:rPr>
        <w:t xml:space="preserve"> and </w:t>
      </w:r>
      <w:r w:rsidR="00543935" w:rsidRPr="0041315B">
        <w:rPr>
          <w:rFonts w:cs="Times New Roman"/>
          <w:lang w:val="en-GB"/>
        </w:rPr>
        <w:t>NGOs</w:t>
      </w:r>
      <w:r w:rsidRPr="0041315B">
        <w:rPr>
          <w:rFonts w:cs="Times New Roman"/>
          <w:lang w:val="en-GB"/>
        </w:rPr>
        <w:t>,</w:t>
      </w:r>
      <w:r w:rsidRPr="0041315B">
        <w:rPr>
          <w:rStyle w:val="Funotenzeichen"/>
          <w:rFonts w:cs="Times New Roman"/>
          <w:lang w:val="en-GB"/>
        </w:rPr>
        <w:footnoteReference w:id="3"/>
      </w:r>
      <w:r w:rsidRPr="0041315B">
        <w:rPr>
          <w:rFonts w:cs="Times New Roman"/>
          <w:lang w:val="en-GB"/>
        </w:rPr>
        <w:t xml:space="preserve"> substantially contributing to the so far </w:t>
      </w:r>
      <w:r w:rsidR="00B91063">
        <w:rPr>
          <w:rFonts w:cs="Times New Roman"/>
          <w:lang w:val="en-GB"/>
        </w:rPr>
        <w:t>83</w:t>
      </w:r>
      <w:r w:rsidRPr="0041315B">
        <w:rPr>
          <w:rFonts w:cs="Times New Roman"/>
          <w:lang w:val="en-GB"/>
        </w:rPr>
        <w:t xml:space="preserve"> Treaty body Concluding Observations recognising IGM as a serious human rights violation.</w:t>
      </w:r>
      <w:r w:rsidRPr="0041315B">
        <w:rPr>
          <w:rStyle w:val="Funotenzeichen"/>
          <w:rFonts w:cs="Times New Roman"/>
          <w:lang w:val="en-GB"/>
        </w:rPr>
        <w:footnoteReference w:id="4"/>
      </w:r>
      <w:r w:rsidRPr="0041315B">
        <w:rPr>
          <w:rFonts w:cs="Times New Roman"/>
          <w:lang w:val="en-GB"/>
        </w:rPr>
        <w:t xml:space="preserve"> </w:t>
      </w:r>
    </w:p>
    <w:p w14:paraId="11A2AC3E" w14:textId="1CDC49CE" w:rsidR="00254E14" w:rsidRDefault="00A96DFB" w:rsidP="00C10E30">
      <w:pPr>
        <w:pStyle w:val="absatzschattenbericht"/>
        <w:ind w:left="567"/>
        <w:rPr>
          <w:lang w:val="en-GB"/>
        </w:rPr>
      </w:pPr>
      <w:r w:rsidRPr="00150322">
        <w:rPr>
          <w:b/>
          <w:lang w:val="en-GB"/>
        </w:rPr>
        <w:t xml:space="preserve">StopIGM.org </w:t>
      </w:r>
      <w:r w:rsidR="004D1D5F" w:rsidRPr="00150322">
        <w:rPr>
          <w:b/>
          <w:lang w:val="en-GB"/>
        </w:rPr>
        <w:t xml:space="preserve">includes members from Germany and </w:t>
      </w:r>
      <w:r w:rsidRPr="00150322">
        <w:rPr>
          <w:b/>
          <w:lang w:val="en-GB"/>
        </w:rPr>
        <w:t>has been active in Germany since 2007,</w:t>
      </w:r>
      <w:r w:rsidRPr="00150322">
        <w:rPr>
          <w:lang w:val="en-GB"/>
        </w:rPr>
        <w:t xml:space="preserve"> supporting intersex persons suing IGM perpetrators, publicly confronting individual perpetrators and hospitals, documenting the ongoing practice, </w:t>
      </w:r>
      <w:r w:rsidR="00A813A8" w:rsidRPr="00150322">
        <w:rPr>
          <w:lang w:val="en-GB"/>
        </w:rPr>
        <w:t xml:space="preserve">raising awareness in the media, </w:t>
      </w:r>
      <w:r w:rsidRPr="00150322">
        <w:rPr>
          <w:lang w:val="en-GB"/>
        </w:rPr>
        <w:t xml:space="preserve">collaborating with members of parliament on parliamentary questions on the federal </w:t>
      </w:r>
      <w:r w:rsidRPr="00150322">
        <w:rPr>
          <w:lang w:val="en-GB"/>
        </w:rPr>
        <w:lastRenderedPageBreak/>
        <w:t xml:space="preserve">and on the Länder level, and testifying before the German National Ethics Council, calling for effective remedies to end the practice, and previously reported on IGM in Germany to </w:t>
      </w:r>
      <w:r w:rsidR="00254E14" w:rsidRPr="00150322">
        <w:rPr>
          <w:lang w:val="en-GB"/>
        </w:rPr>
        <w:t>CAT, CRPD, CEDAW, CCPR and CRC</w:t>
      </w:r>
      <w:r w:rsidR="00545E7D" w:rsidRPr="00150322">
        <w:rPr>
          <w:lang w:val="en-GB"/>
        </w:rPr>
        <w:t>.</w:t>
      </w:r>
    </w:p>
    <w:p w14:paraId="3704A6D7" w14:textId="35E49E46" w:rsidR="00406CF1" w:rsidRPr="00306025" w:rsidRDefault="00A96DFB" w:rsidP="00C10E30">
      <w:pPr>
        <w:pStyle w:val="absatzschattenbericht"/>
        <w:ind w:left="567"/>
        <w:rPr>
          <w:lang w:val="en-GB"/>
        </w:rPr>
      </w:pPr>
      <w:r w:rsidRPr="00306025">
        <w:rPr>
          <w:lang w:val="en-GB"/>
        </w:rPr>
        <w:t xml:space="preserve">In personal capacity co-founder Daniela Truffer is also a member of the German intersex self-help group XY-Women, serving as a first </w:t>
      </w:r>
      <w:proofErr w:type="spellStart"/>
      <w:r w:rsidRPr="00306025">
        <w:rPr>
          <w:lang w:val="en-GB"/>
        </w:rPr>
        <w:t>contacter</w:t>
      </w:r>
      <w:proofErr w:type="spellEnd"/>
      <w:r w:rsidRPr="00306025">
        <w:rPr>
          <w:lang w:val="en-GB"/>
        </w:rPr>
        <w:t xml:space="preserve"> for 7 years, and of the German Association of Intersex People, serving as chair when it first submitted a thematic report to a UN Treaty body, leading to the first ever recommendations on intersex in 2009.</w:t>
      </w:r>
    </w:p>
    <w:p w14:paraId="535E2F74" w14:textId="233193F7" w:rsidR="008F4969" w:rsidRPr="00306025" w:rsidRDefault="00E714A1" w:rsidP="008F4969">
      <w:pPr>
        <w:pStyle w:val="Title2"/>
        <w:rPr>
          <w:rFonts w:eastAsia="Baskerville"/>
          <w:szCs w:val="24"/>
        </w:rPr>
      </w:pPr>
      <w:bookmarkStart w:id="25" w:name="_Toc141803617"/>
      <w:r w:rsidRPr="00306025">
        <w:t xml:space="preserve">3.  </w:t>
      </w:r>
      <w:r w:rsidR="008F4969" w:rsidRPr="00306025">
        <w:t>Methodology</w:t>
      </w:r>
      <w:bookmarkEnd w:id="20"/>
      <w:bookmarkEnd w:id="21"/>
      <w:bookmarkEnd w:id="22"/>
      <w:bookmarkEnd w:id="23"/>
      <w:bookmarkEnd w:id="24"/>
      <w:bookmarkEnd w:id="25"/>
    </w:p>
    <w:p w14:paraId="7DD74858" w14:textId="01E48E31" w:rsidR="001C5480" w:rsidRDefault="00E043AE" w:rsidP="00E043AE">
      <w:pPr>
        <w:pStyle w:val="absatzschattenbericht"/>
        <w:rPr>
          <w:lang w:val="en-GB"/>
        </w:rPr>
      </w:pPr>
      <w:r w:rsidRPr="00545E7D">
        <w:rPr>
          <w:lang w:val="en-GB"/>
        </w:rPr>
        <w:t xml:space="preserve">This thematic NGO report is an update to the </w:t>
      </w:r>
      <w:r w:rsidR="002F598D" w:rsidRPr="00545E7D">
        <w:rPr>
          <w:b/>
          <w:bCs/>
          <w:lang w:val="en-GB"/>
        </w:rPr>
        <w:t>2018</w:t>
      </w:r>
      <w:r w:rsidR="001C5480" w:rsidRPr="00545E7D">
        <w:rPr>
          <w:b/>
          <w:bCs/>
          <w:lang w:val="en-GB"/>
        </w:rPr>
        <w:t xml:space="preserve"> </w:t>
      </w:r>
      <w:r w:rsidR="002F598D" w:rsidRPr="00545E7D">
        <w:rPr>
          <w:b/>
          <w:bCs/>
          <w:lang w:val="en-GB"/>
        </w:rPr>
        <w:t>CRPD</w:t>
      </w:r>
      <w:r w:rsidR="001C5480" w:rsidRPr="00545E7D">
        <w:rPr>
          <w:b/>
          <w:bCs/>
          <w:lang w:val="en-GB"/>
        </w:rPr>
        <w:t xml:space="preserve"> NGO Report for </w:t>
      </w:r>
      <w:r w:rsidR="002F598D" w:rsidRPr="00545E7D">
        <w:rPr>
          <w:b/>
          <w:bCs/>
          <w:lang w:val="en-GB"/>
        </w:rPr>
        <w:t>LOIPR</w:t>
      </w:r>
      <w:r w:rsidR="00AA2A01" w:rsidRPr="00545E7D">
        <w:rPr>
          <w:lang w:val="en-GB"/>
        </w:rPr>
        <w:t>.</w:t>
      </w:r>
      <w:r w:rsidRPr="00545E7D">
        <w:rPr>
          <w:rStyle w:val="Funotenzeichen"/>
          <w:bCs/>
          <w:lang w:val="en-GB"/>
        </w:rPr>
        <w:footnoteReference w:id="5"/>
      </w:r>
      <w:r w:rsidRPr="00545E7D">
        <w:rPr>
          <w:lang w:val="en-GB"/>
        </w:rPr>
        <w:t xml:space="preserve"> </w:t>
      </w:r>
      <w:r w:rsidR="00AA2A01" w:rsidRPr="00545E7D">
        <w:rPr>
          <w:lang w:val="en-GB"/>
        </w:rPr>
        <w:t xml:space="preserve">It is </w:t>
      </w:r>
      <w:r w:rsidR="00591171" w:rsidRPr="00545E7D">
        <w:rPr>
          <w:lang w:val="en-GB"/>
        </w:rPr>
        <w:t xml:space="preserve">based on the </w:t>
      </w:r>
      <w:r w:rsidR="002F598D" w:rsidRPr="00545E7D">
        <w:rPr>
          <w:b/>
          <w:bCs/>
          <w:lang w:val="en-GB"/>
        </w:rPr>
        <w:t>2022</w:t>
      </w:r>
      <w:r w:rsidR="00591171" w:rsidRPr="00545E7D">
        <w:rPr>
          <w:b/>
          <w:bCs/>
          <w:lang w:val="en-GB"/>
        </w:rPr>
        <w:t xml:space="preserve"> </w:t>
      </w:r>
      <w:r w:rsidR="002F598D" w:rsidRPr="00545E7D">
        <w:rPr>
          <w:b/>
          <w:bCs/>
          <w:lang w:val="en-GB"/>
        </w:rPr>
        <w:t>CRC</w:t>
      </w:r>
      <w:r w:rsidR="00591171" w:rsidRPr="00545E7D">
        <w:rPr>
          <w:b/>
          <w:bCs/>
          <w:lang w:val="en-GB"/>
        </w:rPr>
        <w:t xml:space="preserve"> NGO Report for Session</w:t>
      </w:r>
      <w:r w:rsidR="00591171" w:rsidRPr="00545E7D">
        <w:rPr>
          <w:lang w:val="en-GB"/>
        </w:rPr>
        <w:t>.</w:t>
      </w:r>
      <w:r w:rsidRPr="00545E7D">
        <w:rPr>
          <w:rStyle w:val="Funotenzeichen"/>
          <w:bCs/>
          <w:lang w:val="en-GB"/>
        </w:rPr>
        <w:footnoteReference w:id="6"/>
      </w:r>
    </w:p>
    <w:p w14:paraId="2ED7F697" w14:textId="30669F35" w:rsidR="00E22861" w:rsidRDefault="00E22861" w:rsidP="00E043AE">
      <w:pPr>
        <w:pStyle w:val="absatzschattenbericht"/>
        <w:rPr>
          <w:lang w:val="en-GB"/>
        </w:rPr>
      </w:pPr>
    </w:p>
    <w:p w14:paraId="5986EE45" w14:textId="637A8619" w:rsidR="002A050E" w:rsidRPr="00306025" w:rsidRDefault="002A050E" w:rsidP="00667C40">
      <w:pPr>
        <w:pStyle w:val="Title1"/>
        <w:rPr>
          <w:iCs w:val="0"/>
          <w:kern w:val="28"/>
        </w:rPr>
      </w:pPr>
      <w:bookmarkStart w:id="26" w:name="_Toc141803618"/>
      <w:bookmarkStart w:id="27" w:name="_Toc486307293"/>
      <w:bookmarkStart w:id="28" w:name="_Toc378801638"/>
      <w:bookmarkStart w:id="29" w:name="_Toc505019184"/>
      <w:r w:rsidRPr="00BA0E11">
        <w:rPr>
          <w:iCs w:val="0"/>
          <w:kern w:val="28"/>
        </w:rPr>
        <w:lastRenderedPageBreak/>
        <w:t>B.  Precedents</w:t>
      </w:r>
      <w:r w:rsidR="00C02084" w:rsidRPr="00BA0E11">
        <w:rPr>
          <w:iCs w:val="0"/>
          <w:kern w:val="28"/>
        </w:rPr>
        <w:t>: Concl</w:t>
      </w:r>
      <w:r w:rsidR="00ED45A9">
        <w:rPr>
          <w:iCs w:val="0"/>
          <w:kern w:val="28"/>
        </w:rPr>
        <w:t>uding Observations</w:t>
      </w:r>
      <w:r w:rsidR="00C02084" w:rsidRPr="00BA0E11">
        <w:rPr>
          <w:iCs w:val="0"/>
          <w:kern w:val="28"/>
        </w:rPr>
        <w:t xml:space="preserve">, LOIPR, </w:t>
      </w:r>
      <w:r w:rsidR="00CE282B">
        <w:rPr>
          <w:iCs w:val="0"/>
          <w:kern w:val="28"/>
        </w:rPr>
        <w:t>State Party Report</w:t>
      </w:r>
      <w:bookmarkEnd w:id="26"/>
    </w:p>
    <w:p w14:paraId="42BFC659" w14:textId="77777777" w:rsidR="00C02084" w:rsidRDefault="00D66718" w:rsidP="00D66718">
      <w:pPr>
        <w:pStyle w:val="Title2"/>
      </w:pPr>
      <w:bookmarkStart w:id="30" w:name="_Toc141803619"/>
      <w:r w:rsidRPr="00306025">
        <w:t xml:space="preserve">1.  </w:t>
      </w:r>
      <w:r w:rsidR="00C02084">
        <w:t>Previous Concluding Observations</w:t>
      </w:r>
      <w:bookmarkEnd w:id="30"/>
    </w:p>
    <w:p w14:paraId="304D7661" w14:textId="670ED7E8" w:rsidR="006B6510" w:rsidRPr="00306025" w:rsidRDefault="006B6510" w:rsidP="00C02084">
      <w:pPr>
        <w:pStyle w:val="Title3"/>
        <w:rPr>
          <w:rFonts w:eastAsia="Baskerville-SemiBold" w:cs="Baskerville-SemiBold"/>
          <w:color w:val="auto"/>
        </w:rPr>
      </w:pPr>
      <w:bookmarkStart w:id="31" w:name="_Toc141803620"/>
      <w:r>
        <w:t xml:space="preserve">a) </w:t>
      </w:r>
      <w:r w:rsidR="00C157B3">
        <w:t xml:space="preserve">Inhuman Treatment: </w:t>
      </w:r>
      <w:r>
        <w:t xml:space="preserve">CAT 2011, </w:t>
      </w:r>
      <w:r w:rsidRPr="00306025">
        <w:t>CAT/C/DEU/CO/5, para 20</w:t>
      </w:r>
      <w:bookmarkEnd w:id="31"/>
    </w:p>
    <w:p w14:paraId="49DA2F9E" w14:textId="2AB95D11" w:rsidR="00D66718" w:rsidRPr="00306025" w:rsidRDefault="00D66718" w:rsidP="00D66718">
      <w:pPr>
        <w:pStyle w:val="absatzschattenbericht"/>
        <w:rPr>
          <w:b/>
          <w:bCs/>
          <w:i/>
          <w:lang w:val="en-GB"/>
        </w:rPr>
      </w:pPr>
      <w:r w:rsidRPr="00306025">
        <w:rPr>
          <w:b/>
          <w:bCs/>
          <w:i/>
          <w:lang w:val="en-GB"/>
        </w:rPr>
        <w:t>Intersex people</w:t>
      </w:r>
    </w:p>
    <w:p w14:paraId="04CBAED2" w14:textId="7EDCF181" w:rsidR="00D66718" w:rsidRPr="00306025" w:rsidRDefault="00D66718" w:rsidP="00D66718">
      <w:pPr>
        <w:pStyle w:val="absatzschattenbericht"/>
        <w:rPr>
          <w:i/>
          <w:lang w:val="en-GB"/>
        </w:rPr>
      </w:pPr>
      <w:r w:rsidRPr="00306025">
        <w:rPr>
          <w:i/>
          <w:lang w:val="en-GB"/>
        </w:rPr>
        <w:t>20.</w:t>
      </w:r>
      <w:r w:rsidRPr="00306025">
        <w:rPr>
          <w:i/>
          <w:lang w:val="en-GB"/>
        </w:rPr>
        <w:tab/>
        <w:t>The Committee takes note of the information received during the dialogue that the Ethical Council has undertaken to review the reported practices of routine surgical alterations in children born with sexual organs that are not readily categorized as male or female, also called intersex persons, with a view to evaluating and possibly changing current practice. However, the Committee remains concerned at cases where gonads have been removed and cosmetic surgeries on reproductive organs have been performed that entail lifelong hormonal medication, without effective, informed consent of the concerned individuals or their legal guardians, where neither investigation, nor measures of redress have been introduced. The Committee remains further concerned at the lack of legal provisions providing redress and compensation in such cases (arts. 2, 10, 12, 14 and 16).</w:t>
      </w:r>
    </w:p>
    <w:p w14:paraId="14FE59AD" w14:textId="77777777" w:rsidR="00D66718" w:rsidRPr="00306025" w:rsidRDefault="00D66718" w:rsidP="00D66718">
      <w:pPr>
        <w:pStyle w:val="absatzschattenbericht"/>
        <w:rPr>
          <w:b/>
          <w:bCs/>
          <w:i/>
          <w:lang w:val="en-GB"/>
        </w:rPr>
      </w:pPr>
      <w:r w:rsidRPr="00306025">
        <w:rPr>
          <w:b/>
          <w:bCs/>
          <w:i/>
          <w:lang w:val="en-GB"/>
        </w:rPr>
        <w:t>The Committee recommends that the State party:</w:t>
      </w:r>
    </w:p>
    <w:p w14:paraId="7CC2FBD7" w14:textId="0C831E19" w:rsidR="00D66718" w:rsidRPr="00306025" w:rsidRDefault="00D66718" w:rsidP="00D66718">
      <w:pPr>
        <w:pStyle w:val="absatzschattenbericht"/>
        <w:ind w:firstLine="709"/>
        <w:rPr>
          <w:b/>
          <w:bCs/>
          <w:i/>
          <w:lang w:val="en-GB"/>
        </w:rPr>
      </w:pPr>
      <w:r w:rsidRPr="00306025">
        <w:rPr>
          <w:b/>
          <w:bCs/>
          <w:i/>
          <w:lang w:val="en-GB"/>
        </w:rPr>
        <w:t>(a)</w:t>
      </w:r>
      <w:r w:rsidRPr="00306025">
        <w:rPr>
          <w:b/>
          <w:bCs/>
          <w:i/>
          <w:lang w:val="en-GB"/>
        </w:rPr>
        <w:tab/>
        <w:t>Ensure the effective application of legal and medical standards following the best practices of granting informed consent to medical and surgical treatment of intersex people, including full information, orally and in writing, on the suggested treatment, its justification and alternatives;</w:t>
      </w:r>
    </w:p>
    <w:p w14:paraId="5F445792" w14:textId="1E0B96EE" w:rsidR="00D66718" w:rsidRPr="00306025" w:rsidRDefault="00D66718" w:rsidP="00D66718">
      <w:pPr>
        <w:pStyle w:val="absatzschattenbericht"/>
        <w:ind w:firstLine="709"/>
        <w:rPr>
          <w:b/>
          <w:bCs/>
          <w:i/>
          <w:lang w:val="en-GB"/>
        </w:rPr>
      </w:pPr>
      <w:r w:rsidRPr="00306025">
        <w:rPr>
          <w:b/>
          <w:bCs/>
          <w:i/>
          <w:lang w:val="en-GB"/>
        </w:rPr>
        <w:t>(b)</w:t>
      </w:r>
      <w:r w:rsidRPr="00306025">
        <w:rPr>
          <w:b/>
          <w:bCs/>
          <w:i/>
          <w:lang w:val="en-GB"/>
        </w:rPr>
        <w:tab/>
        <w:t>Undertake investigation of incidents of surgical and other medical treatment of intersex people without effective consent and adopt legal provisions in order to provide redress to the victims of such treatment, including adequate compensation;</w:t>
      </w:r>
    </w:p>
    <w:p w14:paraId="5BE06E9A" w14:textId="647C07F9" w:rsidR="00D66718" w:rsidRPr="00306025" w:rsidRDefault="00D66718" w:rsidP="00D66718">
      <w:pPr>
        <w:pStyle w:val="absatzschattenbericht"/>
        <w:ind w:firstLine="709"/>
        <w:rPr>
          <w:b/>
          <w:bCs/>
          <w:i/>
          <w:lang w:val="en-GB"/>
        </w:rPr>
      </w:pPr>
      <w:r w:rsidRPr="00306025">
        <w:rPr>
          <w:b/>
          <w:bCs/>
          <w:i/>
          <w:lang w:val="en-GB"/>
        </w:rPr>
        <w:t>(c)</w:t>
      </w:r>
      <w:r w:rsidRPr="00306025">
        <w:rPr>
          <w:b/>
          <w:bCs/>
          <w:i/>
          <w:lang w:val="en-GB"/>
        </w:rPr>
        <w:tab/>
        <w:t>Educate and train medical and psychological professionals on the range of sexual, and related biological and physical, diversity; and</w:t>
      </w:r>
    </w:p>
    <w:p w14:paraId="7D70C650" w14:textId="3B6C9512" w:rsidR="004F4303" w:rsidRPr="00306025" w:rsidRDefault="00D66718" w:rsidP="00D66718">
      <w:pPr>
        <w:pStyle w:val="absatzschattenbericht"/>
        <w:ind w:firstLine="709"/>
        <w:rPr>
          <w:b/>
          <w:bCs/>
          <w:i/>
          <w:lang w:val="en-GB"/>
        </w:rPr>
      </w:pPr>
      <w:r w:rsidRPr="00306025">
        <w:rPr>
          <w:b/>
          <w:bCs/>
          <w:i/>
          <w:lang w:val="en-GB"/>
        </w:rPr>
        <w:t>(d)</w:t>
      </w:r>
      <w:r w:rsidRPr="00306025">
        <w:rPr>
          <w:b/>
          <w:bCs/>
          <w:i/>
          <w:lang w:val="en-GB"/>
        </w:rPr>
        <w:tab/>
        <w:t>Properly inform patients and their parents of the consequences of unnecessary surgical and other medical interventions for intersex people.</w:t>
      </w:r>
    </w:p>
    <w:p w14:paraId="52D1C10B" w14:textId="77777777" w:rsidR="009C57E3" w:rsidRPr="00306025" w:rsidRDefault="009C57E3" w:rsidP="004F4303">
      <w:pPr>
        <w:pStyle w:val="absatzschattenbericht"/>
        <w:rPr>
          <w:i/>
          <w:lang w:val="en-GB"/>
        </w:rPr>
      </w:pPr>
    </w:p>
    <w:p w14:paraId="5CB3AF56" w14:textId="619693D8" w:rsidR="006B6510" w:rsidRPr="00306025" w:rsidRDefault="006B6510" w:rsidP="00C02084">
      <w:pPr>
        <w:pStyle w:val="Title3"/>
        <w:rPr>
          <w:rFonts w:eastAsia="Baskerville-SemiBold" w:cs="Baskerville-SemiBold"/>
          <w:color w:val="auto"/>
        </w:rPr>
      </w:pPr>
      <w:bookmarkStart w:id="32" w:name="_Toc141803621"/>
      <w:r>
        <w:t xml:space="preserve">b) </w:t>
      </w:r>
      <w:r w:rsidR="00C157B3">
        <w:t xml:space="preserve">Integrity of the Person: </w:t>
      </w:r>
      <w:r>
        <w:t xml:space="preserve">CRPD 2015, </w:t>
      </w:r>
      <w:r w:rsidRPr="00DD1FA9">
        <w:t>CRPD/C/DEU/CO/1, paras 37-38</w:t>
      </w:r>
      <w:bookmarkEnd w:id="32"/>
    </w:p>
    <w:p w14:paraId="67E77738" w14:textId="24341BC3" w:rsidR="00D66718" w:rsidRPr="00306025" w:rsidRDefault="00D66718" w:rsidP="00D66718">
      <w:pPr>
        <w:pStyle w:val="absatzschattenbericht"/>
        <w:rPr>
          <w:b/>
          <w:bCs/>
          <w:i/>
          <w:lang w:val="en-GB"/>
        </w:rPr>
      </w:pPr>
      <w:r w:rsidRPr="00306025">
        <w:rPr>
          <w:b/>
          <w:bCs/>
          <w:i/>
          <w:lang w:val="en-GB"/>
        </w:rPr>
        <w:t>Protecting the integrity of the person (art. 17)</w:t>
      </w:r>
    </w:p>
    <w:p w14:paraId="5F033348" w14:textId="4B53A08E" w:rsidR="00D66718" w:rsidRPr="00306025" w:rsidRDefault="00D66718" w:rsidP="00D66718">
      <w:pPr>
        <w:pStyle w:val="absatzschattenbericht"/>
        <w:rPr>
          <w:i/>
          <w:lang w:val="en-GB"/>
        </w:rPr>
      </w:pPr>
      <w:r w:rsidRPr="00306025">
        <w:rPr>
          <w:i/>
          <w:lang w:val="en-GB"/>
        </w:rPr>
        <w:t>37.</w:t>
      </w:r>
      <w:r w:rsidRPr="00306025">
        <w:rPr>
          <w:i/>
          <w:lang w:val="en-GB"/>
        </w:rPr>
        <w:tab/>
        <w:t>The Committee is concerned about: (a) the use of compulsory and involuntary treatment, in particular for persons with psychosocial disabilities in institutions and older persons in residential care; (b) the lack of data on involuntary placement and treatment; (c) the practice of carrying out forced sterilization and coercive abortions on adults with disabilities on the basis of substituted consent; and (d) the lack of implementation of the 2011 recommendations of the Committee against Torture (see CAT/C/DEU/CO/5, para. 20) regarding upholding the bodily integrity of intersex children.</w:t>
      </w:r>
    </w:p>
    <w:p w14:paraId="18D32EF8" w14:textId="46E75EA7" w:rsidR="00D66718" w:rsidRPr="00306025" w:rsidRDefault="00D66718" w:rsidP="00D66718">
      <w:pPr>
        <w:pStyle w:val="absatzschattenbericht"/>
        <w:rPr>
          <w:b/>
          <w:bCs/>
          <w:i/>
          <w:lang w:val="en-GB"/>
        </w:rPr>
      </w:pPr>
      <w:r w:rsidRPr="00306025">
        <w:rPr>
          <w:b/>
          <w:bCs/>
          <w:i/>
          <w:lang w:val="en-GB"/>
        </w:rPr>
        <w:t>38.</w:t>
      </w:r>
      <w:r w:rsidRPr="00306025">
        <w:rPr>
          <w:b/>
          <w:bCs/>
          <w:i/>
          <w:lang w:val="en-GB"/>
        </w:rPr>
        <w:tab/>
        <w:t>The Committee recommends that the State party take the measures, including of a legislative nature, necessary to:</w:t>
      </w:r>
    </w:p>
    <w:p w14:paraId="78BDA373" w14:textId="34A1C15E" w:rsidR="00D66718" w:rsidRPr="00306025" w:rsidRDefault="00D66718" w:rsidP="00D66718">
      <w:pPr>
        <w:pStyle w:val="absatzschattenbericht"/>
        <w:ind w:firstLine="709"/>
        <w:rPr>
          <w:b/>
          <w:bCs/>
          <w:i/>
          <w:lang w:val="en-GB"/>
        </w:rPr>
      </w:pPr>
      <w:r w:rsidRPr="00306025">
        <w:rPr>
          <w:i/>
          <w:lang w:val="en-GB"/>
        </w:rPr>
        <w:t>(a)</w:t>
      </w:r>
      <w:r w:rsidRPr="00306025">
        <w:rPr>
          <w:i/>
          <w:lang w:val="en-GB"/>
        </w:rPr>
        <w:tab/>
      </w:r>
      <w:r w:rsidRPr="00306025">
        <w:rPr>
          <w:b/>
          <w:bCs/>
          <w:i/>
          <w:lang w:val="en-GB"/>
        </w:rPr>
        <w:t xml:space="preserve">Repeal section 1905 of the German Civil Code and explicitly prohibit in law </w:t>
      </w:r>
      <w:r w:rsidRPr="00306025">
        <w:rPr>
          <w:b/>
          <w:bCs/>
          <w:i/>
          <w:lang w:val="en-GB"/>
        </w:rPr>
        <w:lastRenderedPageBreak/>
        <w:t>sterilization without the full and informed consent of the individual concerned, eliminating all exceptions, including those based upon substituted consent or court approval;</w:t>
      </w:r>
    </w:p>
    <w:p w14:paraId="1E347E4C" w14:textId="2D444201" w:rsidR="00D66718" w:rsidRPr="00306025" w:rsidRDefault="00D66718" w:rsidP="00D66718">
      <w:pPr>
        <w:pStyle w:val="absatzschattenbericht"/>
        <w:ind w:firstLine="709"/>
        <w:rPr>
          <w:b/>
          <w:bCs/>
          <w:i/>
          <w:lang w:val="en-GB"/>
        </w:rPr>
      </w:pPr>
      <w:r w:rsidRPr="00306025">
        <w:rPr>
          <w:i/>
          <w:lang w:val="en-GB"/>
        </w:rPr>
        <w:t>(b)</w:t>
      </w:r>
      <w:r w:rsidRPr="00306025">
        <w:rPr>
          <w:i/>
          <w:lang w:val="en-GB"/>
        </w:rPr>
        <w:tab/>
      </w:r>
      <w:r w:rsidRPr="00306025">
        <w:rPr>
          <w:b/>
          <w:bCs/>
          <w:i/>
          <w:lang w:val="en-GB"/>
        </w:rPr>
        <w:t>Ensure that all psychiatric treatments and services are always delivered with the free and informed consent of the individual concerned;</w:t>
      </w:r>
    </w:p>
    <w:p w14:paraId="5EDDE57A" w14:textId="05A7620A" w:rsidR="00D66718" w:rsidRPr="00306025" w:rsidRDefault="00D66718" w:rsidP="00D66718">
      <w:pPr>
        <w:pStyle w:val="absatzschattenbericht"/>
        <w:ind w:firstLine="709"/>
        <w:rPr>
          <w:b/>
          <w:bCs/>
          <w:i/>
          <w:lang w:val="en-GB"/>
        </w:rPr>
      </w:pPr>
      <w:r w:rsidRPr="00306025">
        <w:rPr>
          <w:i/>
          <w:lang w:val="en-GB"/>
        </w:rPr>
        <w:t>(c)</w:t>
      </w:r>
      <w:r w:rsidRPr="00306025">
        <w:rPr>
          <w:i/>
          <w:lang w:val="en-GB"/>
        </w:rPr>
        <w:tab/>
      </w:r>
      <w:r w:rsidRPr="00306025">
        <w:rPr>
          <w:b/>
          <w:bCs/>
          <w:i/>
          <w:lang w:val="en-GB"/>
        </w:rPr>
        <w:t xml:space="preserve">Investigate human rights violations in psychiatric and older persons care settings in all </w:t>
      </w:r>
      <w:proofErr w:type="spellStart"/>
      <w:r w:rsidRPr="00306025">
        <w:rPr>
          <w:b/>
          <w:bCs/>
          <w:i/>
          <w:lang w:val="en-GB"/>
        </w:rPr>
        <w:t>Länder</w:t>
      </w:r>
      <w:proofErr w:type="spellEnd"/>
      <w:r w:rsidRPr="00306025">
        <w:rPr>
          <w:b/>
          <w:bCs/>
          <w:i/>
          <w:lang w:val="en-GB"/>
        </w:rPr>
        <w:t>;</w:t>
      </w:r>
    </w:p>
    <w:p w14:paraId="19B1932B" w14:textId="2B160DEB" w:rsidR="004F4303" w:rsidRPr="00306025" w:rsidRDefault="00D66718" w:rsidP="00D66718">
      <w:pPr>
        <w:pStyle w:val="absatzschattenbericht"/>
        <w:ind w:firstLine="709"/>
        <w:rPr>
          <w:b/>
          <w:bCs/>
          <w:i/>
          <w:lang w:val="en-GB"/>
        </w:rPr>
      </w:pPr>
      <w:r w:rsidRPr="00306025">
        <w:rPr>
          <w:i/>
          <w:lang w:val="en-GB"/>
        </w:rPr>
        <w:t>(d)</w:t>
      </w:r>
      <w:r w:rsidRPr="00306025">
        <w:rPr>
          <w:i/>
          <w:lang w:val="en-GB"/>
        </w:rPr>
        <w:tab/>
      </w:r>
      <w:r w:rsidRPr="00306025">
        <w:rPr>
          <w:b/>
          <w:bCs/>
          <w:i/>
          <w:lang w:val="en-GB"/>
        </w:rPr>
        <w:t>Implement all the recommendations of the Committee against Torture (ibid.) relevant to intersex children.</w:t>
      </w:r>
    </w:p>
    <w:p w14:paraId="4C6795B0" w14:textId="77777777" w:rsidR="004F4303" w:rsidRPr="00306025" w:rsidRDefault="004F4303" w:rsidP="004F4303">
      <w:pPr>
        <w:pStyle w:val="absatzschattenbericht"/>
        <w:rPr>
          <w:i/>
          <w:lang w:val="en-GB"/>
        </w:rPr>
      </w:pPr>
    </w:p>
    <w:p w14:paraId="6ACF9B55" w14:textId="46420262" w:rsidR="006B6510" w:rsidRPr="00306025" w:rsidRDefault="006B6510" w:rsidP="00C02084">
      <w:pPr>
        <w:pStyle w:val="Title3"/>
        <w:rPr>
          <w:rFonts w:eastAsia="Baskerville-SemiBold" w:cs="Baskerville-SemiBold"/>
          <w:color w:val="auto"/>
        </w:rPr>
      </w:pPr>
      <w:bookmarkStart w:id="33" w:name="_Toc141803622"/>
      <w:r>
        <w:t xml:space="preserve">c) </w:t>
      </w:r>
      <w:r w:rsidR="00C157B3">
        <w:t xml:space="preserve">Harmful Practices: </w:t>
      </w:r>
      <w:r>
        <w:t xml:space="preserve">CEDAW 2017, </w:t>
      </w:r>
      <w:r w:rsidRPr="00DA4213">
        <w:t>CEDAW/C/DEU/CO/7-8, paras 23-24</w:t>
      </w:r>
      <w:bookmarkEnd w:id="33"/>
    </w:p>
    <w:p w14:paraId="3E43D39E" w14:textId="7E19BF5C" w:rsidR="00D66718" w:rsidRPr="00306025" w:rsidRDefault="00D66718" w:rsidP="00D66718">
      <w:pPr>
        <w:pStyle w:val="absatzschattenbericht"/>
        <w:rPr>
          <w:b/>
          <w:bCs/>
          <w:i/>
          <w:lang w:val="en-GB"/>
        </w:rPr>
      </w:pPr>
      <w:r w:rsidRPr="00306025">
        <w:rPr>
          <w:b/>
          <w:bCs/>
          <w:i/>
          <w:lang w:val="en-GB"/>
        </w:rPr>
        <w:t>Harmful practices</w:t>
      </w:r>
    </w:p>
    <w:p w14:paraId="48045A07" w14:textId="77777777" w:rsidR="009D1AA9" w:rsidRPr="00306025" w:rsidRDefault="00D66718" w:rsidP="00D66718">
      <w:pPr>
        <w:pStyle w:val="absatzschattenbericht"/>
        <w:rPr>
          <w:i/>
          <w:lang w:val="en-GB"/>
        </w:rPr>
      </w:pPr>
      <w:r w:rsidRPr="00306025">
        <w:rPr>
          <w:i/>
          <w:lang w:val="en-GB"/>
        </w:rPr>
        <w:t>23.</w:t>
      </w:r>
      <w:r w:rsidRPr="00306025">
        <w:rPr>
          <w:i/>
          <w:lang w:val="en-GB"/>
        </w:rPr>
        <w:tab/>
        <w:t>The Committee welcomes the adoption of legislative and other measures to combat harmful practices, including the forty-seventh Criminal Law Amendment Act (2013) prohibiting female genital mutilation and the establishment of an inter- ministerial working group on intersexuality/transsexuality. Nevertheless, the Committee is concerned about:</w:t>
      </w:r>
    </w:p>
    <w:p w14:paraId="4B1A3AE6" w14:textId="7BCECFBC" w:rsidR="00D66718" w:rsidRPr="00306025" w:rsidRDefault="00766801" w:rsidP="00D5104C">
      <w:pPr>
        <w:pStyle w:val="absatzschattenbericht"/>
        <w:ind w:firstLine="709"/>
        <w:rPr>
          <w:i/>
          <w:lang w:val="en-GB"/>
        </w:rPr>
      </w:pPr>
      <w:r w:rsidRPr="00306025">
        <w:rPr>
          <w:i/>
          <w:lang w:val="en-GB"/>
        </w:rPr>
        <w:t>[…]</w:t>
      </w:r>
    </w:p>
    <w:p w14:paraId="36824910" w14:textId="2763BBF4" w:rsidR="00D66718" w:rsidRPr="00306025" w:rsidRDefault="00D66718" w:rsidP="00D66718">
      <w:pPr>
        <w:pStyle w:val="absatzschattenbericht"/>
        <w:ind w:firstLine="709"/>
        <w:rPr>
          <w:i/>
          <w:lang w:val="en-GB"/>
        </w:rPr>
      </w:pPr>
      <w:r w:rsidRPr="00306025">
        <w:rPr>
          <w:i/>
          <w:lang w:val="en-GB"/>
        </w:rPr>
        <w:t>(d)</w:t>
      </w:r>
      <w:r w:rsidRPr="00306025">
        <w:rPr>
          <w:i/>
          <w:lang w:val="en-GB"/>
        </w:rPr>
        <w:tab/>
        <w:t>The lack of clear legislative provisions prohibiting the performance of unnecessary medical procedures on infants and children of indeterminate sex until they reach an age at which they are able to provide their free, prior and informed consent;</w:t>
      </w:r>
    </w:p>
    <w:p w14:paraId="3F39B032" w14:textId="7442BCD9" w:rsidR="00D66718" w:rsidRPr="00306025" w:rsidRDefault="00D66718" w:rsidP="00D66718">
      <w:pPr>
        <w:pStyle w:val="absatzschattenbericht"/>
        <w:ind w:firstLine="709"/>
        <w:rPr>
          <w:i/>
          <w:lang w:val="en-GB"/>
        </w:rPr>
      </w:pPr>
      <w:r w:rsidRPr="00306025">
        <w:rPr>
          <w:i/>
          <w:lang w:val="en-GB"/>
        </w:rPr>
        <w:t>(e)</w:t>
      </w:r>
      <w:r w:rsidRPr="00306025">
        <w:rPr>
          <w:i/>
          <w:lang w:val="en-GB"/>
        </w:rPr>
        <w:tab/>
        <w:t>Inadequate support and the lack of effective remedies for intersex persons who have undergone medically unnecessary surgical procedures at a very early age, often with irreversible consequences, resulting in long-term physical and psychological suffering.</w:t>
      </w:r>
    </w:p>
    <w:p w14:paraId="539B8B63" w14:textId="0B721947" w:rsidR="00FF6B17" w:rsidRPr="00306025" w:rsidRDefault="00D66718" w:rsidP="00D66718">
      <w:pPr>
        <w:pStyle w:val="absatzschattenbericht"/>
        <w:rPr>
          <w:b/>
          <w:bCs/>
          <w:i/>
          <w:lang w:val="en-GB"/>
        </w:rPr>
      </w:pPr>
      <w:r w:rsidRPr="00306025">
        <w:rPr>
          <w:b/>
          <w:bCs/>
          <w:i/>
          <w:lang w:val="en-GB"/>
        </w:rPr>
        <w:t>24.</w:t>
      </w:r>
      <w:r w:rsidR="00D5104C">
        <w:rPr>
          <w:b/>
          <w:bCs/>
          <w:i/>
          <w:lang w:val="en-GB"/>
        </w:rPr>
        <w:tab/>
      </w:r>
      <w:r w:rsidRPr="00306025">
        <w:rPr>
          <w:b/>
          <w:bCs/>
          <w:i/>
          <w:lang w:val="en-GB"/>
        </w:rPr>
        <w:t>In the light of joint general recommendation No. 31 of the Committee on the Elimination of Discrimination against Women/general comment No. 18 of the Committee on the Rights of the Child (2014) on harmful practices, the Committee recommends that the State party:</w:t>
      </w:r>
    </w:p>
    <w:p w14:paraId="23294FA6" w14:textId="6E126AE3" w:rsidR="00D66718" w:rsidRPr="00306025" w:rsidRDefault="00766801" w:rsidP="00D5104C">
      <w:pPr>
        <w:pStyle w:val="absatzschattenbericht"/>
        <w:ind w:firstLine="709"/>
        <w:rPr>
          <w:b/>
          <w:bCs/>
          <w:i/>
          <w:lang w:val="en-GB"/>
        </w:rPr>
      </w:pPr>
      <w:r w:rsidRPr="00306025">
        <w:rPr>
          <w:b/>
          <w:bCs/>
          <w:i/>
          <w:lang w:val="en-GB"/>
        </w:rPr>
        <w:t>[…]</w:t>
      </w:r>
    </w:p>
    <w:p w14:paraId="2DB66528" w14:textId="0E42A655" w:rsidR="00D66718" w:rsidRPr="00306025" w:rsidRDefault="00D66718" w:rsidP="00D66718">
      <w:pPr>
        <w:pStyle w:val="absatzschattenbericht"/>
        <w:ind w:firstLine="709"/>
        <w:rPr>
          <w:b/>
          <w:bCs/>
          <w:i/>
          <w:lang w:val="en-GB"/>
        </w:rPr>
      </w:pPr>
      <w:r w:rsidRPr="00306025">
        <w:rPr>
          <w:i/>
          <w:lang w:val="en-GB"/>
        </w:rPr>
        <w:t>(d)</w:t>
      </w:r>
      <w:r w:rsidRPr="00306025">
        <w:rPr>
          <w:b/>
          <w:bCs/>
          <w:i/>
          <w:lang w:val="en-GB"/>
        </w:rPr>
        <w:tab/>
        <w:t>Adopt clear legislative provisions explicitly prohibiting the performance of unnecessary surgical or other medical treatment on intersex children until they reach an age at which they can provide their free, prior and informed consent; provide the families of intersex children with adequate counselling and support; and ensure that the German Medical Association provides information to medical professionals on the legal prohibition of unnecessary surgical or other medical interventions for intersex children;</w:t>
      </w:r>
    </w:p>
    <w:p w14:paraId="0836D34A" w14:textId="580E6CF0" w:rsidR="0051244A" w:rsidRDefault="00D66718" w:rsidP="00D66718">
      <w:pPr>
        <w:pStyle w:val="absatzschattenbericht"/>
        <w:ind w:firstLine="709"/>
        <w:rPr>
          <w:b/>
          <w:bCs/>
          <w:i/>
          <w:lang w:val="en-GB"/>
        </w:rPr>
      </w:pPr>
      <w:r w:rsidRPr="00306025">
        <w:rPr>
          <w:i/>
          <w:lang w:val="en-GB"/>
        </w:rPr>
        <w:t>(e)</w:t>
      </w:r>
      <w:r w:rsidRPr="00306025">
        <w:rPr>
          <w:i/>
          <w:lang w:val="en-GB"/>
        </w:rPr>
        <w:tab/>
      </w:r>
      <w:r w:rsidRPr="00306025">
        <w:rPr>
          <w:b/>
          <w:bCs/>
          <w:i/>
          <w:lang w:val="en-GB"/>
        </w:rPr>
        <w:t>Ensure the effective access to justice, including by amending the statute of limitations, of intersex persons who have undergone unnecessary surgical or other medical treatment without their free, prior and informed consent; and consider the proposal of the German Ethics Council to establish a State compensation fund.</w:t>
      </w:r>
    </w:p>
    <w:p w14:paraId="3C7620E3" w14:textId="77777777" w:rsidR="0051244A" w:rsidRDefault="0051244A">
      <w:pPr>
        <w:widowControl/>
        <w:suppressAutoHyphens w:val="0"/>
        <w:textAlignment w:val="auto"/>
        <w:rPr>
          <w:rFonts w:eastAsia="Baskerville" w:cs="Baskerville"/>
          <w:b/>
          <w:bCs/>
          <w:i/>
          <w:color w:val="000000"/>
          <w:spacing w:val="2"/>
        </w:rPr>
      </w:pPr>
      <w:r>
        <w:rPr>
          <w:b/>
          <w:bCs/>
          <w:i/>
        </w:rPr>
        <w:br w:type="page"/>
      </w:r>
    </w:p>
    <w:p w14:paraId="512127DC" w14:textId="468C6BAC" w:rsidR="006B6510" w:rsidRPr="00306025" w:rsidRDefault="006B6510" w:rsidP="00C02084">
      <w:pPr>
        <w:pStyle w:val="Title3"/>
      </w:pPr>
      <w:bookmarkStart w:id="34" w:name="_Toc141803623"/>
      <w:r>
        <w:lastRenderedPageBreak/>
        <w:t xml:space="preserve">d) </w:t>
      </w:r>
      <w:r w:rsidR="00C157B3">
        <w:t xml:space="preserve">Inhuman Treatment: </w:t>
      </w:r>
      <w:r>
        <w:t xml:space="preserve">CCPR 2021, </w:t>
      </w:r>
      <w:r w:rsidRPr="00DD1FA9">
        <w:t>CCPR/C/DEU/CO/7, paras 20-21</w:t>
      </w:r>
      <w:bookmarkEnd w:id="34"/>
    </w:p>
    <w:p w14:paraId="23E4D3B4" w14:textId="7B0A292B" w:rsidR="00A14981" w:rsidRPr="00306025" w:rsidRDefault="00A14981" w:rsidP="00A14981">
      <w:pPr>
        <w:pStyle w:val="absatzschattenbericht"/>
        <w:rPr>
          <w:b/>
          <w:bCs/>
          <w:i/>
          <w:lang w:val="en-GB"/>
        </w:rPr>
      </w:pPr>
      <w:r w:rsidRPr="00306025">
        <w:rPr>
          <w:b/>
          <w:bCs/>
          <w:i/>
          <w:lang w:val="en-GB"/>
        </w:rPr>
        <w:t>Intersex persons</w:t>
      </w:r>
    </w:p>
    <w:p w14:paraId="1C9A67F3" w14:textId="6582DB71" w:rsidR="00A14981" w:rsidRPr="00306025" w:rsidRDefault="00A14981" w:rsidP="00A14981">
      <w:pPr>
        <w:pStyle w:val="absatzschattenbericht"/>
        <w:rPr>
          <w:i/>
          <w:lang w:val="en-GB"/>
        </w:rPr>
      </w:pPr>
      <w:r w:rsidRPr="00306025">
        <w:rPr>
          <w:i/>
          <w:lang w:val="en-GB"/>
        </w:rPr>
        <w:t>20.</w:t>
      </w:r>
      <w:r w:rsidRPr="00306025">
        <w:rPr>
          <w:i/>
          <w:lang w:val="en-GB"/>
        </w:rPr>
        <w:tab/>
        <w:t>The Committee is concerned about reports that intersex children have sometimes been subjected to invasive, medically unnecessary and irreversible medical procedures aimed at assigning them a sex. It is also concerned that such actions are often based on a stereotyped vision of gender roles, involve humiliating and painful procedures and are carried out before the affected persons are of an age to give their free and informed consent. It is further concerned that victims of such practices face significant barriers to accessing remedies, despite suffering lasting physical and psychological harm, including owing to statutes of limitations impeding child victims from seeking redress when they are adults, difficulties accessing health records and compensation not being available. The Committee commends the State party for introducing the Law on the Protection of Children with Variations in Sex Development in 2021. It nevertheless remains concerned by reports that the Law does not specifically restrict all problematic practices, establish criminal liability or effectively address all barriers to access to remedies for victims (arts. 2–3, 7, 17, 24 and 26).</w:t>
      </w:r>
    </w:p>
    <w:p w14:paraId="4AAA0EB4" w14:textId="77777777" w:rsidR="00A14981" w:rsidRPr="00306025" w:rsidRDefault="00A14981" w:rsidP="00A14981">
      <w:pPr>
        <w:pStyle w:val="absatzschattenbericht"/>
        <w:rPr>
          <w:b/>
          <w:bCs/>
          <w:i/>
          <w:lang w:val="en-GB"/>
        </w:rPr>
      </w:pPr>
      <w:r w:rsidRPr="00306025">
        <w:rPr>
          <w:i/>
          <w:lang w:val="en-GB"/>
        </w:rPr>
        <w:t>21.</w:t>
      </w:r>
      <w:r w:rsidRPr="00306025">
        <w:rPr>
          <w:b/>
          <w:bCs/>
          <w:i/>
          <w:lang w:val="en-GB"/>
        </w:rPr>
        <w:tab/>
        <w:t>The State party should take all steps necessary to ensure that all acts relating to the assignment of a sex to intersex children performed without their free and informed consent are specifically prohibited, except in cases where such interventions are absolutely necessary for medical reasons and the best interests of the child have been duly taken into account. This should include the consideration of amendments to the Law on the Protection of Children with Variations in Sex Development of 2021 within the five-year period allocated for its review, if necessary. The State party should also ensure that all victims have access to remedies, including through a revision of the application of statutes of limitation for violations in childhood, taking steps to ensure that all victims have access to their health records and considering the establishment of a dedicated compensation fund.</w:t>
      </w:r>
    </w:p>
    <w:p w14:paraId="323B8F21" w14:textId="46BD27C9" w:rsidR="002872BE" w:rsidRDefault="002872BE" w:rsidP="00A82CF9">
      <w:pPr>
        <w:pStyle w:val="absatzschattenbericht"/>
        <w:rPr>
          <w:i/>
          <w:lang w:val="en-GB"/>
        </w:rPr>
      </w:pPr>
    </w:p>
    <w:p w14:paraId="24F40C7E" w14:textId="03EEF27C" w:rsidR="006B6510" w:rsidRPr="00A67D79" w:rsidRDefault="006B6510" w:rsidP="00C02084">
      <w:pPr>
        <w:pStyle w:val="Title3"/>
      </w:pPr>
      <w:bookmarkStart w:id="35" w:name="_Toc141803624"/>
      <w:r>
        <w:t xml:space="preserve">e) </w:t>
      </w:r>
      <w:r w:rsidR="00C157B3">
        <w:t xml:space="preserve">Harmful Practices: </w:t>
      </w:r>
      <w:r>
        <w:t xml:space="preserve">CRC 2022, </w:t>
      </w:r>
      <w:r w:rsidRPr="00A67D79">
        <w:t>CRC/C/DEU/CO/5-6, para 24(c))</w:t>
      </w:r>
      <w:bookmarkEnd w:id="35"/>
    </w:p>
    <w:p w14:paraId="13EDEA30" w14:textId="77777777" w:rsidR="00AC0B07" w:rsidRPr="00A67D79" w:rsidRDefault="00AC0B07" w:rsidP="00AC0B07">
      <w:pPr>
        <w:pStyle w:val="absatzschattenbericht"/>
        <w:rPr>
          <w:b/>
          <w:bCs/>
          <w:i/>
          <w:lang w:val="en-GB"/>
        </w:rPr>
      </w:pPr>
      <w:r w:rsidRPr="00A67D79">
        <w:rPr>
          <w:b/>
          <w:bCs/>
          <w:i/>
          <w:lang w:val="en-GB"/>
        </w:rPr>
        <w:t>Harmful practices</w:t>
      </w:r>
    </w:p>
    <w:p w14:paraId="4AF800D4" w14:textId="6A0A1484" w:rsidR="00AC0B07" w:rsidRPr="00A67D79" w:rsidRDefault="00AC0B07" w:rsidP="00732D7E">
      <w:pPr>
        <w:pStyle w:val="absatzschattenbericht"/>
        <w:rPr>
          <w:b/>
          <w:bCs/>
          <w:i/>
          <w:lang w:val="en-GB"/>
        </w:rPr>
      </w:pPr>
      <w:r w:rsidRPr="00A67D79">
        <w:rPr>
          <w:i/>
          <w:lang w:val="en-GB"/>
        </w:rPr>
        <w:t>24.</w:t>
      </w:r>
      <w:r w:rsidRPr="00A67D79">
        <w:rPr>
          <w:i/>
          <w:lang w:val="en-GB"/>
        </w:rPr>
        <w:tab/>
      </w:r>
      <w:r w:rsidRPr="00A67D79">
        <w:rPr>
          <w:b/>
          <w:bCs/>
          <w:i/>
          <w:lang w:val="en-GB"/>
        </w:rPr>
        <w:t>Recalling joint general recommendation No. 31 of CEDAW/general comment No. 18 of CRC on harmful practices, the Committee recommends that the State party:</w:t>
      </w:r>
      <w:r w:rsidR="00732D7E">
        <w:rPr>
          <w:b/>
          <w:bCs/>
          <w:i/>
          <w:lang w:val="en-GB"/>
        </w:rPr>
        <w:t xml:space="preserve"> </w:t>
      </w:r>
      <w:r w:rsidRPr="00A67D79">
        <w:rPr>
          <w:b/>
          <w:bCs/>
          <w:i/>
          <w:lang w:val="en-GB"/>
        </w:rPr>
        <w:t>[…]</w:t>
      </w:r>
    </w:p>
    <w:p w14:paraId="38747A6C" w14:textId="520C6E3F" w:rsidR="00AC0B07" w:rsidRPr="00A67D79" w:rsidRDefault="00AC0B07" w:rsidP="00AC0B07">
      <w:pPr>
        <w:pStyle w:val="absatzschattenbericht"/>
        <w:rPr>
          <w:b/>
          <w:bCs/>
          <w:i/>
          <w:lang w:val="en-GB"/>
        </w:rPr>
      </w:pPr>
      <w:r w:rsidRPr="00A67D79">
        <w:rPr>
          <w:i/>
          <w:lang w:val="en-GB"/>
        </w:rPr>
        <w:tab/>
        <w:t>(c)</w:t>
      </w:r>
      <w:r w:rsidRPr="00A67D79">
        <w:rPr>
          <w:i/>
          <w:lang w:val="en-GB"/>
        </w:rPr>
        <w:tab/>
      </w:r>
      <w:r w:rsidRPr="00A67D79">
        <w:rPr>
          <w:b/>
          <w:bCs/>
          <w:i/>
          <w:lang w:val="en-GB"/>
        </w:rPr>
        <w:t>Enforce the Act on the Protection of Children with Variants of Sex Development, and establish procedural safeguards and accountability mechanisms for medical doctors.</w:t>
      </w:r>
    </w:p>
    <w:p w14:paraId="41EE4227" w14:textId="77777777" w:rsidR="00AC0B07" w:rsidRPr="00A67D79" w:rsidRDefault="00AC0B07" w:rsidP="00AC0B07">
      <w:pPr>
        <w:pStyle w:val="absatzschattenbericht"/>
        <w:rPr>
          <w:i/>
          <w:lang w:val="en-GB"/>
        </w:rPr>
      </w:pPr>
    </w:p>
    <w:p w14:paraId="5B810704" w14:textId="26E108B5" w:rsidR="00C02084" w:rsidRPr="00A67D79" w:rsidRDefault="00C02084" w:rsidP="00C02084">
      <w:pPr>
        <w:pStyle w:val="Title2"/>
      </w:pPr>
      <w:bookmarkStart w:id="36" w:name="_Toc141803625"/>
      <w:r w:rsidRPr="004D6EB8">
        <w:t xml:space="preserve">2.  Current </w:t>
      </w:r>
      <w:r w:rsidR="00217144" w:rsidRPr="004D6EB8">
        <w:t xml:space="preserve">2nd and 3rd </w:t>
      </w:r>
      <w:r w:rsidRPr="004D6EB8">
        <w:t xml:space="preserve">CRPD Cycle: LOIPR and </w:t>
      </w:r>
      <w:r w:rsidR="00CE282B" w:rsidRPr="004D6EB8">
        <w:t>State Party Report</w:t>
      </w:r>
      <w:bookmarkEnd w:id="36"/>
    </w:p>
    <w:p w14:paraId="397045B3" w14:textId="3FAB98D6" w:rsidR="00BC79E1" w:rsidRPr="00A912FF" w:rsidRDefault="00C02084" w:rsidP="00C02084">
      <w:pPr>
        <w:pStyle w:val="Title3"/>
        <w:rPr>
          <w:rFonts w:eastAsia="Baskerville-SemiBold" w:cs="Baskerville-SemiBold"/>
          <w:color w:val="auto"/>
          <w:lang w:val="en-US"/>
        </w:rPr>
      </w:pPr>
      <w:bookmarkStart w:id="37" w:name="_Toc141803626"/>
      <w:r w:rsidRPr="00A912FF">
        <w:rPr>
          <w:lang w:val="en-US"/>
        </w:rPr>
        <w:t xml:space="preserve">a) </w:t>
      </w:r>
      <w:r w:rsidR="009B6C21" w:rsidRPr="00A912FF">
        <w:rPr>
          <w:lang w:val="en-US"/>
        </w:rPr>
        <w:t>2018</w:t>
      </w:r>
      <w:r w:rsidR="00BC79E1" w:rsidRPr="00A912FF">
        <w:rPr>
          <w:lang w:val="en-US"/>
        </w:rPr>
        <w:t xml:space="preserve"> List of Issues (LOI</w:t>
      </w:r>
      <w:r w:rsidR="009B5FD1" w:rsidRPr="00A912FF">
        <w:rPr>
          <w:lang w:val="en-US"/>
        </w:rPr>
        <w:t>PR</w:t>
      </w:r>
      <w:r w:rsidR="00BC79E1" w:rsidRPr="00A912FF">
        <w:rPr>
          <w:lang w:val="en-US"/>
        </w:rPr>
        <w:t>) (</w:t>
      </w:r>
      <w:r w:rsidR="009B6C21" w:rsidRPr="00A912FF">
        <w:rPr>
          <w:lang w:val="en-US"/>
        </w:rPr>
        <w:t>CRPD/C/DEU/QPR/2-3, para 16(b)</w:t>
      </w:r>
      <w:r w:rsidR="00BC79E1" w:rsidRPr="00A912FF">
        <w:rPr>
          <w:lang w:val="en-US"/>
        </w:rPr>
        <w:t>)</w:t>
      </w:r>
      <w:bookmarkEnd w:id="37"/>
    </w:p>
    <w:p w14:paraId="44C2264E" w14:textId="77777777" w:rsidR="009B6C21" w:rsidRPr="00A67D79" w:rsidRDefault="009B6C21" w:rsidP="009B6C21">
      <w:pPr>
        <w:pStyle w:val="absatzschattenbericht"/>
        <w:rPr>
          <w:b/>
          <w:bCs/>
          <w:i/>
          <w:lang w:val="en-GB"/>
        </w:rPr>
      </w:pPr>
      <w:r w:rsidRPr="00A67D79">
        <w:rPr>
          <w:b/>
          <w:bCs/>
          <w:i/>
          <w:lang w:val="en-GB"/>
        </w:rPr>
        <w:t>Protecting the integrity of the person (art. 17)</w:t>
      </w:r>
    </w:p>
    <w:p w14:paraId="728D4F08" w14:textId="4E804337" w:rsidR="00D5104C" w:rsidRPr="00A67D79" w:rsidRDefault="009B6C21" w:rsidP="00732D7E">
      <w:pPr>
        <w:pStyle w:val="absatzschattenbericht"/>
        <w:rPr>
          <w:i/>
          <w:lang w:val="en-GB"/>
        </w:rPr>
      </w:pPr>
      <w:r w:rsidRPr="00A67D79">
        <w:rPr>
          <w:i/>
          <w:lang w:val="en-GB"/>
        </w:rPr>
        <w:t>16.</w:t>
      </w:r>
      <w:r w:rsidRPr="00A67D79">
        <w:rPr>
          <w:i/>
          <w:lang w:val="en-GB"/>
        </w:rPr>
        <w:tab/>
        <w:t>Please inform the Committee about:</w:t>
      </w:r>
      <w:r w:rsidR="00732D7E">
        <w:rPr>
          <w:i/>
          <w:lang w:val="en-GB"/>
        </w:rPr>
        <w:t xml:space="preserve"> </w:t>
      </w:r>
      <w:r w:rsidR="00D5104C">
        <w:rPr>
          <w:i/>
          <w:lang w:val="en-GB"/>
        </w:rPr>
        <w:t>[...]</w:t>
      </w:r>
    </w:p>
    <w:p w14:paraId="610228CB" w14:textId="623A9A7A" w:rsidR="009B6C21" w:rsidRDefault="009B6C21" w:rsidP="009B6C21">
      <w:pPr>
        <w:pStyle w:val="absatzschattenbericht"/>
        <w:rPr>
          <w:i/>
          <w:lang w:val="en-GB"/>
        </w:rPr>
      </w:pPr>
      <w:r w:rsidRPr="00A67D79">
        <w:rPr>
          <w:i/>
          <w:lang w:val="en-GB"/>
        </w:rPr>
        <w:tab/>
        <w:t>(b)</w:t>
      </w:r>
      <w:r w:rsidRPr="00A67D79">
        <w:rPr>
          <w:i/>
          <w:lang w:val="en-GB"/>
        </w:rPr>
        <w:tab/>
        <w:t>Initiatives to implement its recommendations relating to intersex children (CRPD/C/DEU/CO/1, para. 38 (d)).</w:t>
      </w:r>
    </w:p>
    <w:p w14:paraId="5CE02DF0" w14:textId="229D4F44" w:rsidR="00A149DB" w:rsidRPr="00A67D79" w:rsidRDefault="00C02084" w:rsidP="00C02084">
      <w:pPr>
        <w:pStyle w:val="Title3"/>
        <w:rPr>
          <w:rFonts w:eastAsia="Baskerville-SemiBold" w:cs="Baskerville-SemiBold"/>
          <w:color w:val="auto"/>
        </w:rPr>
      </w:pPr>
      <w:bookmarkStart w:id="38" w:name="_Toc141803627"/>
      <w:r w:rsidRPr="00CE282B">
        <w:lastRenderedPageBreak/>
        <w:t xml:space="preserve">b) </w:t>
      </w:r>
      <w:r w:rsidR="00A73C27">
        <w:t>2019</w:t>
      </w:r>
      <w:r w:rsidR="00A67D79" w:rsidRPr="00CE282B">
        <w:t xml:space="preserve"> </w:t>
      </w:r>
      <w:r w:rsidR="00C65689">
        <w:t xml:space="preserve">State Party Report </w:t>
      </w:r>
      <w:r w:rsidR="004D0AE4">
        <w:t xml:space="preserve">under </w:t>
      </w:r>
      <w:r w:rsidR="00A149DB" w:rsidRPr="00CE282B">
        <w:t>LOI</w:t>
      </w:r>
      <w:r w:rsidR="006661BF" w:rsidRPr="00CE282B">
        <w:t>PR</w:t>
      </w:r>
      <w:r w:rsidR="00A149DB" w:rsidRPr="00CE282B">
        <w:t xml:space="preserve"> (</w:t>
      </w:r>
      <w:r w:rsidR="009B6C21" w:rsidRPr="00CE282B">
        <w:t>CRPD/C/DEU/2-3</w:t>
      </w:r>
      <w:r w:rsidR="005B5683" w:rsidRPr="00CE282B">
        <w:t>, para 16</w:t>
      </w:r>
      <w:r w:rsidR="0094025C" w:rsidRPr="00CE282B">
        <w:t>2</w:t>
      </w:r>
      <w:r w:rsidR="00A149DB" w:rsidRPr="00CE282B">
        <w:t>)</w:t>
      </w:r>
      <w:bookmarkEnd w:id="38"/>
    </w:p>
    <w:p w14:paraId="78E22388" w14:textId="77777777" w:rsidR="009B6C21" w:rsidRPr="00A67D79" w:rsidRDefault="009B6C21" w:rsidP="009B6C21">
      <w:pPr>
        <w:pStyle w:val="absatzschattenbericht"/>
        <w:rPr>
          <w:b/>
          <w:bCs/>
          <w:i/>
          <w:lang w:val="en-GB"/>
        </w:rPr>
      </w:pPr>
      <w:bookmarkStart w:id="39" w:name="_Toc486307296"/>
      <w:bookmarkEnd w:id="27"/>
      <w:bookmarkEnd w:id="28"/>
      <w:bookmarkEnd w:id="29"/>
      <w:r w:rsidRPr="00A67D79">
        <w:rPr>
          <w:b/>
          <w:bCs/>
          <w:i/>
          <w:lang w:val="en-GB"/>
        </w:rPr>
        <w:t>Paragraph 16 (b)</w:t>
      </w:r>
    </w:p>
    <w:p w14:paraId="167A0369" w14:textId="77777777" w:rsidR="009B6C21" w:rsidRPr="009B6C21" w:rsidRDefault="009B6C21" w:rsidP="009B6C21">
      <w:pPr>
        <w:pStyle w:val="absatzschattenbericht"/>
        <w:rPr>
          <w:i/>
          <w:lang w:val="en-GB"/>
        </w:rPr>
      </w:pPr>
      <w:r w:rsidRPr="00A67D79">
        <w:rPr>
          <w:i/>
          <w:lang w:val="en-GB"/>
        </w:rPr>
        <w:t>162.</w:t>
      </w:r>
      <w:r w:rsidRPr="00A67D79">
        <w:rPr>
          <w:i/>
          <w:lang w:val="en-GB"/>
        </w:rPr>
        <w:tab/>
        <w:t>Germany is working on a provision to protect children with variations in physical sex characteristics against gender confirmation. A law is to clarify that gender confirmation surgery on children is only permitted to avert risks to life or health. The details on the form a legislative provision should take were discussed at an interdisciplinary conference with individuals concerned and experts from various disciplines. A legislative draft will be presented shortly.</w:t>
      </w:r>
    </w:p>
    <w:p w14:paraId="33298E41" w14:textId="77777777" w:rsidR="007A7962" w:rsidRPr="00A912FF" w:rsidRDefault="007A7962">
      <w:pPr>
        <w:widowControl/>
        <w:suppressAutoHyphens w:val="0"/>
        <w:textAlignment w:val="auto"/>
        <w:rPr>
          <w:rFonts w:ascii="Arial" w:eastAsia="Helvetica-Bold" w:hAnsi="Arial" w:cs="Arial"/>
          <w:b/>
          <w:bCs/>
          <w:iCs/>
          <w:color w:val="5E175E"/>
          <w:spacing w:val="2"/>
          <w:szCs w:val="28"/>
          <w:lang w:val="en-US"/>
        </w:rPr>
      </w:pPr>
      <w:r w:rsidRPr="00A912FF">
        <w:rPr>
          <w:lang w:val="en-US"/>
        </w:rPr>
        <w:br w:type="page"/>
      </w:r>
    </w:p>
    <w:p w14:paraId="6EE124E3" w14:textId="210E752B" w:rsidR="006A0510" w:rsidRPr="00306025" w:rsidRDefault="00260F1A" w:rsidP="006A0510">
      <w:pPr>
        <w:pStyle w:val="Title1"/>
      </w:pPr>
      <w:bookmarkStart w:id="40" w:name="_Toc520833566"/>
      <w:bookmarkStart w:id="41" w:name="_Toc141803628"/>
      <w:bookmarkStart w:id="42" w:name="_Toc532733092"/>
      <w:bookmarkStart w:id="43" w:name="_Toc516530609"/>
      <w:bookmarkEnd w:id="39"/>
      <w:r w:rsidRPr="00306025">
        <w:lastRenderedPageBreak/>
        <w:t>C</w:t>
      </w:r>
      <w:r w:rsidR="006A0510" w:rsidRPr="00306025">
        <w:t>.  IGM in Germany: State-sponsored and pervasive, Gov fails to act</w:t>
      </w:r>
      <w:bookmarkEnd w:id="40"/>
      <w:bookmarkEnd w:id="41"/>
    </w:p>
    <w:p w14:paraId="67AEF6B1" w14:textId="280810A7" w:rsidR="003D776A" w:rsidRDefault="003D776A" w:rsidP="003D776A">
      <w:pPr>
        <w:pStyle w:val="Title2"/>
      </w:pPr>
      <w:bookmarkStart w:id="44" w:name="_Toc516594088"/>
      <w:bookmarkStart w:id="45" w:name="_Toc101000890"/>
      <w:bookmarkStart w:id="46" w:name="_Toc141803629"/>
      <w:bookmarkStart w:id="47" w:name="_Toc453620708"/>
      <w:bookmarkStart w:id="48" w:name="_Toc520833567"/>
      <w:r>
        <w:t>1.</w:t>
      </w:r>
      <w:r w:rsidRPr="008C73F5">
        <w:t xml:space="preserve"> </w:t>
      </w:r>
      <w:r>
        <w:t xml:space="preserve"> </w:t>
      </w:r>
      <w:bookmarkEnd w:id="44"/>
      <w:r>
        <w:t xml:space="preserve">Germany’s commitment to </w:t>
      </w:r>
      <w:r w:rsidR="00B90C69" w:rsidRPr="008A46FF">
        <w:rPr>
          <w:i/>
          <w:iCs w:val="0"/>
        </w:rPr>
        <w:t>“protect</w:t>
      </w:r>
      <w:r w:rsidRPr="008A46FF">
        <w:rPr>
          <w:i/>
          <w:iCs w:val="0"/>
        </w:rPr>
        <w:t xml:space="preserve"> intersex children</w:t>
      </w:r>
      <w:r w:rsidR="00B90C69" w:rsidRPr="008A46FF">
        <w:rPr>
          <w:i/>
          <w:iCs w:val="0"/>
        </w:rPr>
        <w:t xml:space="preserve"> from </w:t>
      </w:r>
      <w:r w:rsidR="001B6C00" w:rsidRPr="008A46FF">
        <w:rPr>
          <w:i/>
          <w:iCs w:val="0"/>
        </w:rPr>
        <w:t xml:space="preserve">violence and </w:t>
      </w:r>
      <w:r w:rsidR="00B90C69" w:rsidRPr="008A46FF">
        <w:rPr>
          <w:i/>
          <w:iCs w:val="0"/>
        </w:rPr>
        <w:t>harmful practices”</w:t>
      </w:r>
      <w:r>
        <w:t xml:space="preserve">, </w:t>
      </w:r>
      <w:r w:rsidR="008F1AB2" w:rsidRPr="008A46FF">
        <w:rPr>
          <w:i/>
          <w:iCs w:val="0"/>
        </w:rPr>
        <w:t>“investigate abuses”</w:t>
      </w:r>
      <w:r w:rsidR="008F1AB2">
        <w:t xml:space="preserve">, </w:t>
      </w:r>
      <w:r w:rsidR="00B90C69" w:rsidRPr="008A46FF">
        <w:rPr>
          <w:i/>
          <w:iCs w:val="0"/>
        </w:rPr>
        <w:t>“</w:t>
      </w:r>
      <w:r w:rsidRPr="008A46FF">
        <w:rPr>
          <w:i/>
          <w:iCs w:val="0"/>
        </w:rPr>
        <w:t>ensure accountability</w:t>
      </w:r>
      <w:r w:rsidR="00B90C69" w:rsidRPr="008A46FF">
        <w:rPr>
          <w:i/>
          <w:iCs w:val="0"/>
        </w:rPr>
        <w:t>”</w:t>
      </w:r>
      <w:r>
        <w:t xml:space="preserve"> and </w:t>
      </w:r>
      <w:r w:rsidR="00B90C69" w:rsidRPr="008A46FF">
        <w:rPr>
          <w:i/>
          <w:iCs w:val="0"/>
        </w:rPr>
        <w:t>“</w:t>
      </w:r>
      <w:r w:rsidRPr="008A46FF">
        <w:rPr>
          <w:i/>
          <w:iCs w:val="0"/>
        </w:rPr>
        <w:t xml:space="preserve">access to </w:t>
      </w:r>
      <w:bookmarkEnd w:id="45"/>
      <w:r w:rsidR="001B6C00" w:rsidRPr="008A46FF">
        <w:rPr>
          <w:i/>
          <w:iCs w:val="0"/>
        </w:rPr>
        <w:t>remedy</w:t>
      </w:r>
      <w:r w:rsidR="00B90C69" w:rsidRPr="008A46FF">
        <w:rPr>
          <w:i/>
          <w:iCs w:val="0"/>
        </w:rPr>
        <w:t>”</w:t>
      </w:r>
      <w:bookmarkEnd w:id="46"/>
    </w:p>
    <w:p w14:paraId="3E3AE301" w14:textId="77777777" w:rsidR="003D776A" w:rsidRPr="003360D3" w:rsidRDefault="003D776A" w:rsidP="003D776A">
      <w:pPr>
        <w:pStyle w:val="Title3"/>
      </w:pPr>
      <w:bookmarkStart w:id="49" w:name="_Toc101000891"/>
      <w:bookmarkStart w:id="50" w:name="_Toc141803630"/>
      <w:r>
        <w:t>a) UNHRC45 Statement, 01.10.2020</w:t>
      </w:r>
      <w:bookmarkEnd w:id="49"/>
      <w:bookmarkEnd w:id="50"/>
    </w:p>
    <w:p w14:paraId="5D2EA54F" w14:textId="3AC50171" w:rsidR="006D03A3" w:rsidRPr="00434254" w:rsidRDefault="003D776A" w:rsidP="00A418B1">
      <w:pPr>
        <w:pStyle w:val="absatzschattenbericht"/>
        <w:rPr>
          <w:bCs/>
          <w:lang w:val="en-GB"/>
        </w:rPr>
      </w:pPr>
      <w:r w:rsidRPr="00A418B1">
        <w:rPr>
          <w:bCs/>
          <w:lang w:val="en-GB"/>
        </w:rPr>
        <w:t xml:space="preserve">On occasion of the </w:t>
      </w:r>
      <w:r w:rsidRPr="00A418B1">
        <w:rPr>
          <w:b/>
          <w:lang w:val="en-GB"/>
        </w:rPr>
        <w:t>45</w:t>
      </w:r>
      <w:r w:rsidRPr="00A418B1">
        <w:rPr>
          <w:b/>
          <w:vertAlign w:val="superscript"/>
          <w:lang w:val="en-GB"/>
        </w:rPr>
        <w:t>th</w:t>
      </w:r>
      <w:r w:rsidRPr="00A418B1">
        <w:rPr>
          <w:b/>
          <w:lang w:val="en-GB"/>
        </w:rPr>
        <w:t xml:space="preserve"> Session of the Human Rights Council</w:t>
      </w:r>
      <w:r w:rsidRPr="00A418B1">
        <w:rPr>
          <w:bCs/>
          <w:lang w:val="en-GB"/>
        </w:rPr>
        <w:t xml:space="preserve"> the </w:t>
      </w:r>
      <w:r w:rsidRPr="00A418B1">
        <w:rPr>
          <w:b/>
          <w:lang w:val="en-GB"/>
        </w:rPr>
        <w:t>State party</w:t>
      </w:r>
      <w:r w:rsidRPr="00A418B1">
        <w:rPr>
          <w:bCs/>
          <w:lang w:val="en-GB"/>
        </w:rPr>
        <w:t xml:space="preserve"> supported a public statement calling to </w:t>
      </w:r>
      <w:r w:rsidRPr="00A418B1">
        <w:rPr>
          <w:b/>
          <w:i/>
          <w:iCs/>
          <w:lang w:val="en-GB"/>
        </w:rPr>
        <w:t>“protect […] intersex adults and children</w:t>
      </w:r>
      <w:r w:rsidRPr="00A418B1">
        <w:rPr>
          <w:bCs/>
          <w:i/>
          <w:iCs/>
          <w:lang w:val="en-GB"/>
        </w:rPr>
        <w:t xml:space="preserve"> […] so that they live free </w:t>
      </w:r>
      <w:r w:rsidRPr="00A418B1">
        <w:rPr>
          <w:b/>
          <w:i/>
          <w:iCs/>
          <w:lang w:val="en-GB"/>
        </w:rPr>
        <w:t>from violence and harmful practices</w:t>
      </w:r>
      <w:r w:rsidRPr="00A418B1">
        <w:rPr>
          <w:bCs/>
          <w:i/>
          <w:iCs/>
          <w:lang w:val="en-GB"/>
        </w:rPr>
        <w:t xml:space="preserve">. Governments should </w:t>
      </w:r>
      <w:r w:rsidRPr="00A418B1">
        <w:rPr>
          <w:b/>
          <w:i/>
          <w:iCs/>
          <w:lang w:val="en-GB"/>
        </w:rPr>
        <w:t>investigate human rights violations and abuses</w:t>
      </w:r>
      <w:r w:rsidRPr="00A418B1">
        <w:rPr>
          <w:bCs/>
          <w:i/>
          <w:iCs/>
          <w:lang w:val="en-GB"/>
        </w:rPr>
        <w:t xml:space="preserve"> against intersex people, </w:t>
      </w:r>
      <w:r w:rsidRPr="00A418B1">
        <w:rPr>
          <w:b/>
          <w:i/>
          <w:iCs/>
          <w:lang w:val="en-GB"/>
        </w:rPr>
        <w:t>ensure accountability</w:t>
      </w:r>
      <w:r w:rsidRPr="00A418B1">
        <w:rPr>
          <w:bCs/>
          <w:i/>
          <w:iCs/>
          <w:lang w:val="en-GB"/>
        </w:rPr>
        <w:t xml:space="preserve">, […] and </w:t>
      </w:r>
      <w:r w:rsidRPr="00A418B1">
        <w:rPr>
          <w:b/>
          <w:i/>
          <w:iCs/>
          <w:lang w:val="en-GB"/>
        </w:rPr>
        <w:t>provide victims with access to remedy.”</w:t>
      </w:r>
      <w:r w:rsidRPr="00A418B1">
        <w:rPr>
          <w:bCs/>
          <w:lang w:val="en-GB"/>
        </w:rPr>
        <w:t xml:space="preserve"> </w:t>
      </w:r>
      <w:r w:rsidRPr="00A418B1">
        <w:rPr>
          <w:rStyle w:val="Funotenanker"/>
          <w:lang w:val="en-GB"/>
        </w:rPr>
        <w:footnoteReference w:id="7"/>
      </w:r>
    </w:p>
    <w:p w14:paraId="30353624" w14:textId="77777777" w:rsidR="003D776A" w:rsidRPr="003360D3" w:rsidRDefault="003D776A" w:rsidP="003D776A">
      <w:pPr>
        <w:pStyle w:val="Title3"/>
      </w:pPr>
      <w:bookmarkStart w:id="51" w:name="_Toc101000892"/>
      <w:bookmarkStart w:id="52" w:name="_Toc141803631"/>
      <w:r>
        <w:t>b) UNHRC48 Statement, 04.10.2021</w:t>
      </w:r>
      <w:bookmarkEnd w:id="51"/>
      <w:bookmarkEnd w:id="52"/>
    </w:p>
    <w:p w14:paraId="046ACF82" w14:textId="77777777" w:rsidR="003D776A" w:rsidRDefault="003D776A" w:rsidP="003D776A">
      <w:pPr>
        <w:pStyle w:val="absatzschattenbericht"/>
        <w:rPr>
          <w:bCs/>
          <w:lang w:val="en-GB"/>
        </w:rPr>
      </w:pPr>
      <w:r>
        <w:rPr>
          <w:bCs/>
          <w:lang w:val="en-GB"/>
        </w:rPr>
        <w:t xml:space="preserve">On occasion of the </w:t>
      </w:r>
      <w:r w:rsidRPr="00B53BFD">
        <w:rPr>
          <w:b/>
          <w:lang w:val="en-GB"/>
        </w:rPr>
        <w:t>4</w:t>
      </w:r>
      <w:r>
        <w:rPr>
          <w:b/>
          <w:lang w:val="en-GB"/>
        </w:rPr>
        <w:t>8</w:t>
      </w:r>
      <w:r w:rsidRPr="00B53BFD">
        <w:rPr>
          <w:b/>
          <w:vertAlign w:val="superscript"/>
          <w:lang w:val="en-GB"/>
        </w:rPr>
        <w:t>th</w:t>
      </w:r>
      <w:r w:rsidRPr="00B53BFD">
        <w:rPr>
          <w:b/>
          <w:lang w:val="en-GB"/>
        </w:rPr>
        <w:t xml:space="preserve"> Session of the Human Rights Council</w:t>
      </w:r>
      <w:r>
        <w:rPr>
          <w:bCs/>
          <w:lang w:val="en-GB"/>
        </w:rPr>
        <w:t xml:space="preserve"> </w:t>
      </w:r>
      <w:r w:rsidRPr="00537F21">
        <w:rPr>
          <w:bCs/>
          <w:lang w:val="en-GB"/>
        </w:rPr>
        <w:t xml:space="preserve">the </w:t>
      </w:r>
      <w:r w:rsidRPr="00537F21">
        <w:rPr>
          <w:b/>
          <w:lang w:val="en-GB"/>
        </w:rPr>
        <w:t>State party</w:t>
      </w:r>
      <w:r w:rsidRPr="00537F21">
        <w:rPr>
          <w:bCs/>
          <w:lang w:val="en-GB"/>
        </w:rPr>
        <w:t xml:space="preserve"> </w:t>
      </w:r>
      <w:r>
        <w:rPr>
          <w:bCs/>
          <w:lang w:val="en-GB"/>
        </w:rPr>
        <w:t xml:space="preserve">supported a public follow-up </w:t>
      </w:r>
      <w:r w:rsidRPr="00537F21">
        <w:rPr>
          <w:bCs/>
          <w:lang w:val="en-GB"/>
        </w:rPr>
        <w:t xml:space="preserve">statement </w:t>
      </w:r>
      <w:r>
        <w:rPr>
          <w:bCs/>
          <w:lang w:val="en-GB"/>
        </w:rPr>
        <w:t>reiterating the call to end harmful practices and ensure access to justice:</w:t>
      </w:r>
    </w:p>
    <w:p w14:paraId="5203342A" w14:textId="77777777" w:rsidR="008F1AB2" w:rsidRPr="00C02170" w:rsidRDefault="008F1AB2" w:rsidP="008F1AB2">
      <w:pPr>
        <w:pStyle w:val="absatzschattenbericht"/>
        <w:ind w:left="284"/>
        <w:rPr>
          <w:rFonts w:eastAsia="Baskerville-SemiBold" w:cs="Baskerville-SemiBold"/>
          <w:bCs/>
          <w:i/>
          <w:iCs/>
        </w:rPr>
      </w:pPr>
      <w:r w:rsidRPr="00C02170">
        <w:rPr>
          <w:rFonts w:eastAsia="Baskerville-SemiBold" w:cs="Baskerville-SemiBold"/>
          <w:bCs/>
          <w:i/>
          <w:iCs/>
        </w:rPr>
        <w:t xml:space="preserve">“Intersex persons also need to be protected from </w:t>
      </w:r>
      <w:r w:rsidRPr="00C02170">
        <w:rPr>
          <w:rFonts w:eastAsia="Baskerville-SemiBold" w:cs="Baskerville-SemiBold"/>
          <w:b/>
          <w:bCs/>
          <w:i/>
          <w:iCs/>
        </w:rPr>
        <w:t>violence</w:t>
      </w:r>
      <w:r w:rsidRPr="00C02170">
        <w:rPr>
          <w:rFonts w:eastAsia="Baskerville-SemiBold" w:cs="Baskerville-SemiBold"/>
          <w:bCs/>
          <w:i/>
          <w:iCs/>
        </w:rPr>
        <w:t xml:space="preserve"> and States must </w:t>
      </w:r>
      <w:r w:rsidRPr="00081695">
        <w:rPr>
          <w:rFonts w:eastAsia="Baskerville-SemiBold" w:cs="Baskerville-SemiBold"/>
          <w:b/>
          <w:i/>
          <w:iCs/>
        </w:rPr>
        <w:t>ensure accountability</w:t>
      </w:r>
      <w:r w:rsidRPr="00C02170">
        <w:rPr>
          <w:rFonts w:eastAsia="Baskerville-SemiBold" w:cs="Baskerville-SemiBold"/>
          <w:bCs/>
          <w:i/>
          <w:iCs/>
        </w:rPr>
        <w:t xml:space="preserve"> for these acts. […]</w:t>
      </w:r>
    </w:p>
    <w:p w14:paraId="5FF50E44" w14:textId="77777777" w:rsidR="008F1AB2" w:rsidRPr="00C02170" w:rsidRDefault="008F1AB2" w:rsidP="008F1AB2">
      <w:pPr>
        <w:pStyle w:val="absatzschattenbericht"/>
        <w:ind w:left="284"/>
        <w:rPr>
          <w:rFonts w:eastAsia="Baskerville-SemiBold" w:cs="Baskerville-SemiBold"/>
          <w:bCs/>
          <w:i/>
          <w:iCs/>
        </w:rPr>
      </w:pPr>
      <w:r w:rsidRPr="00C02170">
        <w:rPr>
          <w:rFonts w:eastAsia="Baskerville-SemiBold" w:cs="Baskerville-SemiBold"/>
          <w:bCs/>
          <w:i/>
          <w:iCs/>
        </w:rPr>
        <w:t xml:space="preserve">Furthermore, there is also a need to take measures to protect the </w:t>
      </w:r>
      <w:r w:rsidRPr="00C02170">
        <w:rPr>
          <w:rFonts w:eastAsia="Baskerville-SemiBold" w:cs="Baskerville-SemiBold"/>
          <w:b/>
          <w:bCs/>
          <w:i/>
          <w:iCs/>
        </w:rPr>
        <w:t>autonomy</w:t>
      </w:r>
      <w:r w:rsidRPr="00C02170">
        <w:rPr>
          <w:rFonts w:eastAsia="Baskerville-SemiBold" w:cs="Baskerville-SemiBold"/>
          <w:bCs/>
          <w:i/>
          <w:iCs/>
        </w:rPr>
        <w:t xml:space="preserve"> of intersex children and adults and their rights to health and to </w:t>
      </w:r>
      <w:r w:rsidRPr="00081695">
        <w:rPr>
          <w:rFonts w:eastAsia="Baskerville-SemiBold" w:cs="Baskerville-SemiBold"/>
          <w:b/>
          <w:i/>
          <w:iCs/>
        </w:rPr>
        <w:t>physical and mental integrity</w:t>
      </w:r>
      <w:r w:rsidRPr="00C02170">
        <w:rPr>
          <w:rFonts w:eastAsia="Baskerville-SemiBold" w:cs="Baskerville-SemiBold"/>
          <w:bCs/>
          <w:i/>
          <w:iCs/>
        </w:rPr>
        <w:t xml:space="preserve"> so that they live </w:t>
      </w:r>
      <w:r w:rsidRPr="00081695">
        <w:rPr>
          <w:rFonts w:eastAsia="Baskerville-SemiBold" w:cs="Baskerville-SemiBold"/>
          <w:b/>
          <w:i/>
          <w:iCs/>
        </w:rPr>
        <w:t>free from violence and harmful practices</w:t>
      </w:r>
      <w:r w:rsidRPr="00C02170">
        <w:rPr>
          <w:rFonts w:eastAsia="Baskerville-SemiBold" w:cs="Baskerville-SemiBold"/>
          <w:bCs/>
          <w:i/>
          <w:iCs/>
        </w:rPr>
        <w:t xml:space="preserve">. Medically unnecessary surgeries, hormonal treatments and other invasive or irreversible non-vital medical procedures without their free, prior, full and informed consent are </w:t>
      </w:r>
      <w:r w:rsidRPr="00B90C69">
        <w:rPr>
          <w:rFonts w:eastAsia="Baskerville-SemiBold" w:cs="Baskerville-SemiBold"/>
          <w:b/>
          <w:i/>
          <w:iCs/>
        </w:rPr>
        <w:t>harmful to the full enjoyment of the human rights</w:t>
      </w:r>
      <w:r w:rsidRPr="00C02170">
        <w:rPr>
          <w:rFonts w:eastAsia="Baskerville-SemiBold" w:cs="Baskerville-SemiBold"/>
          <w:bCs/>
          <w:i/>
          <w:iCs/>
        </w:rPr>
        <w:t xml:space="preserve"> of intersex persons. </w:t>
      </w:r>
    </w:p>
    <w:p w14:paraId="34300FE5" w14:textId="77777777" w:rsidR="003D776A" w:rsidRDefault="003D776A" w:rsidP="003D776A">
      <w:pPr>
        <w:pStyle w:val="absatzschattenbericht"/>
        <w:ind w:left="284"/>
        <w:rPr>
          <w:rFonts w:eastAsia="Baskerville-SemiBold" w:cs="Baskerville-SemiBold"/>
          <w:bCs/>
          <w:i/>
          <w:iCs/>
        </w:rPr>
      </w:pPr>
      <w:r w:rsidRPr="00C02170">
        <w:rPr>
          <w:rFonts w:eastAsia="Baskerville-SemiBold" w:cs="Baskerville-SemiBold"/>
          <w:bCs/>
          <w:i/>
          <w:iCs/>
        </w:rPr>
        <w:t xml:space="preserve">We call on all member states to take measures to combat violence and discrimination against intersex persons, develop policies in close consultations with those affected, </w:t>
      </w:r>
      <w:r w:rsidRPr="00434254">
        <w:rPr>
          <w:rFonts w:eastAsia="Baskerville-SemiBold" w:cs="Baskerville-SemiBold"/>
          <w:b/>
          <w:i/>
          <w:iCs/>
        </w:rPr>
        <w:t>ensure accountability</w:t>
      </w:r>
      <w:r w:rsidRPr="00C02170">
        <w:rPr>
          <w:rFonts w:eastAsia="Baskerville-SemiBold" w:cs="Baskerville-SemiBold"/>
          <w:bCs/>
          <w:i/>
          <w:iCs/>
        </w:rPr>
        <w:t xml:space="preserve">, reverse discriminatory laws and </w:t>
      </w:r>
      <w:r w:rsidRPr="00434254">
        <w:rPr>
          <w:rFonts w:eastAsia="Baskerville-SemiBold" w:cs="Baskerville-SemiBold"/>
          <w:b/>
          <w:i/>
          <w:iCs/>
        </w:rPr>
        <w:t>provide victims with access to remedy</w:t>
      </w:r>
      <w:r w:rsidRPr="00C02170">
        <w:rPr>
          <w:rFonts w:eastAsia="Baskerville-SemiBold" w:cs="Baskerville-SemiBold"/>
          <w:bCs/>
          <w:i/>
          <w:iCs/>
        </w:rPr>
        <w:t xml:space="preserve">.” </w:t>
      </w:r>
      <w:r w:rsidRPr="00537F21">
        <w:rPr>
          <w:rStyle w:val="Funotenanker"/>
          <w:lang w:val="en-GB"/>
        </w:rPr>
        <w:footnoteReference w:id="8"/>
      </w:r>
    </w:p>
    <w:p w14:paraId="4E5108EF" w14:textId="240436E5" w:rsidR="006A0510" w:rsidRPr="00306025" w:rsidRDefault="00B64D30" w:rsidP="006A0510">
      <w:pPr>
        <w:pStyle w:val="Title2"/>
        <w:rPr>
          <w:color w:val="800000"/>
        </w:rPr>
      </w:pPr>
      <w:bookmarkStart w:id="53" w:name="_Toc141803632"/>
      <w:r>
        <w:t>2</w:t>
      </w:r>
      <w:r w:rsidR="006A0510" w:rsidRPr="00306025">
        <w:t xml:space="preserve">.  IGM practices in Germany: </w:t>
      </w:r>
      <w:bookmarkEnd w:id="47"/>
      <w:bookmarkEnd w:id="48"/>
      <w:r w:rsidR="00D254FF" w:rsidRPr="00306025">
        <w:t>Still pervasive, no effective protections</w:t>
      </w:r>
      <w:bookmarkEnd w:id="53"/>
    </w:p>
    <w:p w14:paraId="15D08507" w14:textId="67F5F98D" w:rsidR="006A0510" w:rsidRPr="00306025" w:rsidRDefault="00DE0500" w:rsidP="002A2E70">
      <w:pPr>
        <w:pStyle w:val="absatzschattenbericht"/>
        <w:rPr>
          <w:lang w:val="en-GB"/>
        </w:rPr>
      </w:pPr>
      <w:r>
        <w:rPr>
          <w:lang w:val="en-GB"/>
        </w:rPr>
        <w:t>Nonetheless, in</w:t>
      </w:r>
      <w:r w:rsidR="006A0510" w:rsidRPr="00306025">
        <w:rPr>
          <w:lang w:val="en-GB"/>
        </w:rPr>
        <w:t xml:space="preserve"> </w:t>
      </w:r>
      <w:r w:rsidR="006A0510" w:rsidRPr="00306025">
        <w:rPr>
          <w:rFonts w:eastAsia="Baskerville-SemiBold"/>
          <w:b/>
          <w:bCs/>
          <w:lang w:val="en-GB"/>
        </w:rPr>
        <w:t>Germany</w:t>
      </w:r>
      <w:r w:rsidR="00B62682" w:rsidRPr="00306025">
        <w:rPr>
          <w:rFonts w:eastAsia="Baskerville-SemiBold"/>
          <w:lang w:val="en-GB"/>
        </w:rPr>
        <w:t>, as well as</w:t>
      </w:r>
      <w:r w:rsidR="006A0510" w:rsidRPr="00306025">
        <w:rPr>
          <w:lang w:val="en-GB"/>
        </w:rPr>
        <w:t xml:space="preserve"> in many more State parties,</w:t>
      </w:r>
      <w:r w:rsidR="006A0510" w:rsidRPr="00306025">
        <w:rPr>
          <w:rStyle w:val="Funotenzeichen"/>
          <w:lang w:val="en-GB"/>
        </w:rPr>
        <w:footnoteReference w:id="9"/>
      </w:r>
      <w:r w:rsidR="006A0510" w:rsidRPr="00306025">
        <w:rPr>
          <w:lang w:val="en-GB"/>
        </w:rPr>
        <w:t xml:space="preserve"> there are</w:t>
      </w:r>
    </w:p>
    <w:p w14:paraId="7B8C2CF7" w14:textId="77777777" w:rsidR="006A0510" w:rsidRPr="00306025" w:rsidRDefault="006A0510" w:rsidP="002A2E70">
      <w:pPr>
        <w:pStyle w:val="absatzschattenbericht"/>
        <w:numPr>
          <w:ilvl w:val="0"/>
          <w:numId w:val="25"/>
        </w:numPr>
        <w:ind w:left="714" w:hanging="357"/>
        <w:rPr>
          <w:b/>
          <w:iCs/>
          <w:lang w:val="en-GB"/>
        </w:rPr>
      </w:pPr>
      <w:r w:rsidRPr="00306025">
        <w:rPr>
          <w:rFonts w:eastAsia="Baskerville-Bold"/>
          <w:b/>
          <w:bCs/>
          <w:lang w:val="en-GB"/>
        </w:rPr>
        <w:t>no effective legal or other protections</w:t>
      </w:r>
      <w:r w:rsidRPr="00306025">
        <w:rPr>
          <w:lang w:val="en-GB"/>
        </w:rPr>
        <w:t xml:space="preserve"> in place to ensure the rights of intersex children to physical and mental integrity, autonomy and self-determination, and </w:t>
      </w:r>
      <w:r w:rsidRPr="00306025">
        <w:rPr>
          <w:b/>
          <w:lang w:val="en-GB"/>
        </w:rPr>
        <w:t>to prevent</w:t>
      </w:r>
      <w:r w:rsidRPr="00306025">
        <w:rPr>
          <w:iCs/>
          <w:lang w:val="en-GB"/>
        </w:rPr>
        <w:t xml:space="preserve"> </w:t>
      </w:r>
      <w:r w:rsidRPr="00306025">
        <w:rPr>
          <w:b/>
          <w:iCs/>
          <w:lang w:val="en-GB"/>
        </w:rPr>
        <w:t>IGM</w:t>
      </w:r>
    </w:p>
    <w:p w14:paraId="4BA5EE40" w14:textId="22A20178" w:rsidR="006A0510" w:rsidRPr="00306025" w:rsidRDefault="006A0510" w:rsidP="002A2E70">
      <w:pPr>
        <w:pStyle w:val="absatzschattenbericht"/>
        <w:numPr>
          <w:ilvl w:val="0"/>
          <w:numId w:val="25"/>
        </w:numPr>
        <w:ind w:left="714" w:hanging="357"/>
        <w:rPr>
          <w:iCs/>
          <w:lang w:val="en-GB"/>
        </w:rPr>
      </w:pPr>
      <w:r w:rsidRPr="00306025">
        <w:rPr>
          <w:b/>
          <w:lang w:val="en-GB"/>
        </w:rPr>
        <w:t>no measures</w:t>
      </w:r>
      <w:r w:rsidRPr="00306025">
        <w:rPr>
          <w:lang w:val="en-GB"/>
        </w:rPr>
        <w:t xml:space="preserve"> in place to ensure </w:t>
      </w:r>
      <w:r w:rsidRPr="00306025">
        <w:rPr>
          <w:b/>
          <w:lang w:val="en-GB"/>
        </w:rPr>
        <w:t>systematic data collection and monitoring</w:t>
      </w:r>
      <w:r w:rsidRPr="00306025">
        <w:rPr>
          <w:lang w:val="en-GB"/>
        </w:rPr>
        <w:t xml:space="preserve"> of IGM</w:t>
      </w:r>
    </w:p>
    <w:p w14:paraId="37B1E418" w14:textId="77777777" w:rsidR="006A0510" w:rsidRPr="00306025" w:rsidRDefault="006A0510" w:rsidP="002A2E70">
      <w:pPr>
        <w:pStyle w:val="absatzschattenbericht"/>
        <w:numPr>
          <w:ilvl w:val="0"/>
          <w:numId w:val="25"/>
        </w:numPr>
        <w:ind w:left="714" w:hanging="357"/>
        <w:rPr>
          <w:lang w:val="en-GB"/>
        </w:rPr>
      </w:pPr>
      <w:r w:rsidRPr="00306025">
        <w:rPr>
          <w:b/>
          <w:lang w:val="en-GB"/>
        </w:rPr>
        <w:t>no legal or other measures</w:t>
      </w:r>
      <w:r w:rsidRPr="00306025">
        <w:rPr>
          <w:lang w:val="en-GB"/>
        </w:rPr>
        <w:t xml:space="preserve"> in place to ensure the </w:t>
      </w:r>
      <w:r w:rsidRPr="00306025">
        <w:rPr>
          <w:b/>
          <w:lang w:val="en-GB"/>
        </w:rPr>
        <w:t>accountability</w:t>
      </w:r>
      <w:r w:rsidRPr="00306025">
        <w:rPr>
          <w:lang w:val="en-GB"/>
        </w:rPr>
        <w:t xml:space="preserve"> of IGM perpetrators</w:t>
      </w:r>
    </w:p>
    <w:p w14:paraId="3E883433" w14:textId="3C1F14C3" w:rsidR="006A0510" w:rsidRPr="00306025" w:rsidRDefault="006A0510" w:rsidP="002A2E70">
      <w:pPr>
        <w:pStyle w:val="absatzschattenbericht"/>
        <w:numPr>
          <w:ilvl w:val="0"/>
          <w:numId w:val="25"/>
        </w:numPr>
        <w:rPr>
          <w:lang w:val="en-GB"/>
        </w:rPr>
      </w:pPr>
      <w:r w:rsidRPr="00306025">
        <w:rPr>
          <w:b/>
          <w:lang w:val="en-GB"/>
        </w:rPr>
        <w:t>no legal or other measures</w:t>
      </w:r>
      <w:r w:rsidRPr="00306025">
        <w:rPr>
          <w:lang w:val="en-GB"/>
        </w:rPr>
        <w:t xml:space="preserve"> in place to ensure </w:t>
      </w:r>
      <w:r w:rsidRPr="00306025">
        <w:rPr>
          <w:b/>
          <w:lang w:val="en-GB"/>
        </w:rPr>
        <w:t>access to redress and justice</w:t>
      </w:r>
      <w:r w:rsidRPr="00306025">
        <w:rPr>
          <w:lang w:val="en-GB"/>
        </w:rPr>
        <w:t xml:space="preserve"> for adult IGM survivors</w:t>
      </w:r>
    </w:p>
    <w:p w14:paraId="0A476D4F" w14:textId="6F1E1E12" w:rsidR="006A0510" w:rsidRPr="00306025" w:rsidRDefault="00DA5343" w:rsidP="002A2E70">
      <w:pPr>
        <w:pStyle w:val="absatzschattenbericht"/>
        <w:rPr>
          <w:lang w:val="en-GB"/>
        </w:rPr>
      </w:pPr>
      <w:r w:rsidRPr="00306025">
        <w:rPr>
          <w:lang w:val="en-GB"/>
        </w:rPr>
        <w:lastRenderedPageBreak/>
        <w:t xml:space="preserve">Despite adopting a new Law aimed at </w:t>
      </w:r>
      <w:r w:rsidR="007951A2" w:rsidRPr="00306025">
        <w:rPr>
          <w:lang w:val="en-GB"/>
        </w:rPr>
        <w:t>prohibiting IGM practices</w:t>
      </w:r>
      <w:r w:rsidR="00D254FF" w:rsidRPr="00306025">
        <w:rPr>
          <w:lang w:val="en-GB"/>
        </w:rPr>
        <w:t xml:space="preserve"> which entered in force on 12</w:t>
      </w:r>
      <w:r w:rsidR="00C563EE" w:rsidRPr="00306025">
        <w:rPr>
          <w:lang w:val="en-GB"/>
        </w:rPr>
        <w:t> </w:t>
      </w:r>
      <w:r w:rsidR="00D254FF" w:rsidRPr="00306025">
        <w:rPr>
          <w:lang w:val="en-GB"/>
        </w:rPr>
        <w:t>May 2021</w:t>
      </w:r>
      <w:r w:rsidR="006F49C9" w:rsidRPr="00306025">
        <w:rPr>
          <w:lang w:val="en-GB"/>
        </w:rPr>
        <w:t>, to</w:t>
      </w:r>
      <w:r w:rsidR="006A0510" w:rsidRPr="00306025">
        <w:rPr>
          <w:lang w:val="en-GB"/>
        </w:rPr>
        <w:t xml:space="preserve"> this day the </w:t>
      </w:r>
      <w:r w:rsidR="006A0510" w:rsidRPr="00306025">
        <w:rPr>
          <w:rFonts w:eastAsia="Baskerville-Bold"/>
          <w:b/>
          <w:bCs/>
          <w:lang w:val="en-GB"/>
        </w:rPr>
        <w:t>German government</w:t>
      </w:r>
      <w:r w:rsidR="006A0510" w:rsidRPr="00306025">
        <w:rPr>
          <w:lang w:val="en-GB"/>
        </w:rPr>
        <w:t xml:space="preserve"> </w:t>
      </w:r>
      <w:r w:rsidR="006A0510" w:rsidRPr="00306025">
        <w:rPr>
          <w:b/>
          <w:lang w:val="en-GB"/>
        </w:rPr>
        <w:t>refuses</w:t>
      </w:r>
      <w:r w:rsidR="006A0510" w:rsidRPr="00306025">
        <w:rPr>
          <w:lang w:val="en-GB"/>
        </w:rPr>
        <w:t xml:space="preserve"> </w:t>
      </w:r>
      <w:r w:rsidR="006A0510" w:rsidRPr="00306025">
        <w:rPr>
          <w:rFonts w:eastAsia="Baskerville-SemiBold"/>
          <w:bCs/>
          <w:lang w:val="en-GB"/>
        </w:rPr>
        <w:t xml:space="preserve">to </w:t>
      </w:r>
      <w:r w:rsidR="006A0510" w:rsidRPr="00306025">
        <w:rPr>
          <w:rFonts w:eastAsia="Baskerville-SemiBoldItalic"/>
          <w:bCs/>
          <w:i/>
          <w:iCs/>
          <w:lang w:val="en-GB"/>
        </w:rPr>
        <w:t>“take effective legislative, administrative, judicial or other measures”</w:t>
      </w:r>
      <w:r w:rsidR="006A0510" w:rsidRPr="00306025">
        <w:rPr>
          <w:lang w:val="en-GB"/>
        </w:rPr>
        <w:t xml:space="preserve"> to protect intersex children</w:t>
      </w:r>
      <w:r w:rsidR="00CB2C74" w:rsidRPr="00306025">
        <w:rPr>
          <w:lang w:val="en-GB"/>
        </w:rPr>
        <w:t xml:space="preserve">, </w:t>
      </w:r>
      <w:r w:rsidR="00CB2C74" w:rsidRPr="00306025">
        <w:rPr>
          <w:b/>
          <w:bCs/>
          <w:lang w:val="en-GB"/>
        </w:rPr>
        <w:t>denying survivors of IGM practices access to justice and redress</w:t>
      </w:r>
      <w:r w:rsidR="00B62682" w:rsidRPr="00306025">
        <w:rPr>
          <w:b/>
          <w:bCs/>
          <w:lang w:val="en-GB"/>
        </w:rPr>
        <w:t>.</w:t>
      </w:r>
    </w:p>
    <w:p w14:paraId="7519F01F" w14:textId="6F199E05" w:rsidR="00F93F7A" w:rsidRPr="00306025" w:rsidRDefault="006409D0" w:rsidP="00F93F7A">
      <w:pPr>
        <w:pStyle w:val="Title2"/>
      </w:pPr>
      <w:bookmarkStart w:id="54" w:name="_Toc62412826"/>
      <w:bookmarkStart w:id="55" w:name="_Toc141803633"/>
      <w:r>
        <w:t>3</w:t>
      </w:r>
      <w:r w:rsidR="00F93F7A" w:rsidRPr="00306025">
        <w:t xml:space="preserve">.  </w:t>
      </w:r>
      <w:bookmarkEnd w:id="54"/>
      <w:r w:rsidR="00FE2C1B" w:rsidRPr="00306025">
        <w:t>2019 Follow-up study on IGM underlines persisting practice</w:t>
      </w:r>
      <w:bookmarkEnd w:id="55"/>
    </w:p>
    <w:p w14:paraId="32331907" w14:textId="73315C21" w:rsidR="007F1377" w:rsidRPr="00306025" w:rsidRDefault="007F1377" w:rsidP="007F1377">
      <w:pPr>
        <w:pStyle w:val="absatzschattenbericht"/>
        <w:rPr>
          <w:lang w:val="en-GB"/>
        </w:rPr>
      </w:pPr>
      <w:r w:rsidRPr="00A73C27">
        <w:rPr>
          <w:lang w:val="en-GB"/>
        </w:rPr>
        <w:t xml:space="preserve">In 2016, two studies using </w:t>
      </w:r>
      <w:r w:rsidRPr="00A73C27">
        <w:rPr>
          <w:b/>
          <w:bCs/>
          <w:lang w:val="en-GB"/>
        </w:rPr>
        <w:t xml:space="preserve">partial data from the “Diagnosis Related Groups (DRG)” </w:t>
      </w:r>
      <w:r w:rsidRPr="00A73C27">
        <w:rPr>
          <w:lang w:val="en-GB"/>
        </w:rPr>
        <w:t xml:space="preserve">of intersex surgeries in German hospitals financed by the Public Health System reported </w:t>
      </w:r>
      <w:r w:rsidRPr="00A73C27">
        <w:rPr>
          <w:b/>
          <w:bCs/>
          <w:lang w:val="en-GB"/>
        </w:rPr>
        <w:t>on average 1,700 IGM procedures every year</w:t>
      </w:r>
      <w:r w:rsidRPr="00A73C27">
        <w:rPr>
          <w:lang w:val="en-GB"/>
        </w:rPr>
        <w:t xml:space="preserve"> (see </w:t>
      </w:r>
      <w:r w:rsidR="001475B9" w:rsidRPr="00A73C27">
        <w:rPr>
          <w:lang w:val="en-GB"/>
        </w:rPr>
        <w:t>our</w:t>
      </w:r>
      <w:r w:rsidRPr="00A73C27">
        <w:rPr>
          <w:lang w:val="en-GB"/>
        </w:rPr>
        <w:t xml:space="preserve"> </w:t>
      </w:r>
      <w:r w:rsidR="00841E52" w:rsidRPr="00A73C27">
        <w:rPr>
          <w:lang w:val="en-GB"/>
        </w:rPr>
        <w:t>2018</w:t>
      </w:r>
      <w:r w:rsidRPr="00A73C27">
        <w:rPr>
          <w:lang w:val="en-GB"/>
        </w:rPr>
        <w:t xml:space="preserve"> NGO Report for </w:t>
      </w:r>
      <w:r w:rsidR="00841E52" w:rsidRPr="00A73C27">
        <w:rPr>
          <w:lang w:val="en-GB"/>
        </w:rPr>
        <w:t>LOIPR</w:t>
      </w:r>
      <w:r w:rsidRPr="00A73C27">
        <w:rPr>
          <w:lang w:val="en-GB"/>
        </w:rPr>
        <w:t xml:space="preserve">, p. </w:t>
      </w:r>
      <w:r w:rsidR="001475B9" w:rsidRPr="00A73C27">
        <w:rPr>
          <w:lang w:val="en-GB"/>
        </w:rPr>
        <w:t>1</w:t>
      </w:r>
      <w:r w:rsidR="00841E52" w:rsidRPr="00A73C27">
        <w:rPr>
          <w:lang w:val="en-GB"/>
        </w:rPr>
        <w:t>3</w:t>
      </w:r>
      <w:r w:rsidR="00081C6A" w:rsidRPr="00A73C27">
        <w:rPr>
          <w:lang w:val="en-GB"/>
        </w:rPr>
        <w:t>-14</w:t>
      </w:r>
      <w:r w:rsidR="00841E52" w:rsidRPr="00A73C27">
        <w:rPr>
          <w:lang w:val="en-GB"/>
        </w:rPr>
        <w:t>, 21</w:t>
      </w:r>
      <w:r w:rsidR="00A73C27" w:rsidRPr="00A73C27">
        <w:rPr>
          <w:lang w:val="en-GB"/>
        </w:rPr>
        <w:t>-24</w:t>
      </w:r>
      <w:r w:rsidRPr="00A73C27">
        <w:rPr>
          <w:lang w:val="en-GB"/>
        </w:rPr>
        <w:t>)</w:t>
      </w:r>
      <w:r w:rsidR="001475B9" w:rsidRPr="00A73C27">
        <w:rPr>
          <w:lang w:val="en-GB"/>
        </w:rPr>
        <w:t>.</w:t>
      </w:r>
    </w:p>
    <w:p w14:paraId="7F1DC0EE" w14:textId="477C9E80" w:rsidR="00F93F7A" w:rsidRPr="00306025" w:rsidRDefault="00A73C27" w:rsidP="00F93F7A">
      <w:pPr>
        <w:pStyle w:val="absatzschattenbericht"/>
        <w:rPr>
          <w:lang w:val="en-GB"/>
        </w:rPr>
      </w:pPr>
      <w:r>
        <w:rPr>
          <w:lang w:val="en-GB"/>
        </w:rPr>
        <w:t xml:space="preserve">A </w:t>
      </w:r>
      <w:r w:rsidR="00E03BEA" w:rsidRPr="00EC099C">
        <w:rPr>
          <w:lang w:val="en-GB"/>
        </w:rPr>
        <w:t>new</w:t>
      </w:r>
      <w:r w:rsidR="00F93F7A" w:rsidRPr="00EC099C">
        <w:rPr>
          <w:lang w:val="en-GB"/>
        </w:rPr>
        <w:t xml:space="preserve"> </w:t>
      </w:r>
      <w:r w:rsidR="00F93F7A" w:rsidRPr="00EC099C">
        <w:rPr>
          <w:b/>
          <w:bCs/>
          <w:lang w:val="en-GB"/>
        </w:rPr>
        <w:t>2019 “Follow-up study” on IGM practices</w:t>
      </w:r>
      <w:r w:rsidR="00F93F7A" w:rsidRPr="00EC099C">
        <w:rPr>
          <w:rStyle w:val="Funotenzeichen"/>
          <w:lang w:val="en-GB"/>
        </w:rPr>
        <w:footnoteReference w:id="10"/>
      </w:r>
      <w:r w:rsidR="00F93F7A" w:rsidRPr="00EC099C">
        <w:rPr>
          <w:b/>
          <w:bCs/>
          <w:lang w:val="en-GB"/>
        </w:rPr>
        <w:t xml:space="preserve"> </w:t>
      </w:r>
      <w:r w:rsidR="00F93F7A" w:rsidRPr="00EC099C">
        <w:rPr>
          <w:lang w:val="en-GB"/>
        </w:rPr>
        <w:t xml:space="preserve">commissioned by the Federal Government </w:t>
      </w:r>
      <w:r w:rsidR="007F1377" w:rsidRPr="00EC099C">
        <w:rPr>
          <w:lang w:val="en-GB"/>
        </w:rPr>
        <w:t xml:space="preserve">again </w:t>
      </w:r>
      <w:r w:rsidR="00F93F7A" w:rsidRPr="00EC099C">
        <w:rPr>
          <w:lang w:val="en-GB"/>
        </w:rPr>
        <w:t>using partial data from the “Diagnosis Related Groups (DRG)” report</w:t>
      </w:r>
      <w:r w:rsidR="007F1377" w:rsidRPr="00EC099C">
        <w:rPr>
          <w:lang w:val="en-GB"/>
        </w:rPr>
        <w:t>ed</w:t>
      </w:r>
      <w:r w:rsidR="00F93F7A" w:rsidRPr="00EC099C">
        <w:rPr>
          <w:lang w:val="en-GB"/>
        </w:rPr>
        <w:t xml:space="preserve"> on average </w:t>
      </w:r>
      <w:r w:rsidR="00F93F7A" w:rsidRPr="00EC099C">
        <w:rPr>
          <w:b/>
          <w:bCs/>
          <w:lang w:val="en-GB"/>
        </w:rPr>
        <w:t xml:space="preserve">almost 1,900 “masculinising” and “feminising” surgeries every year on </w:t>
      </w:r>
      <w:r w:rsidR="00E03BEA" w:rsidRPr="00EC099C">
        <w:rPr>
          <w:b/>
          <w:bCs/>
          <w:lang w:val="en-GB"/>
        </w:rPr>
        <w:t xml:space="preserve">intersex </w:t>
      </w:r>
      <w:r w:rsidR="00F93F7A" w:rsidRPr="00EC099C">
        <w:rPr>
          <w:b/>
          <w:bCs/>
          <w:lang w:val="en-GB"/>
        </w:rPr>
        <w:t>children 0-9 years</w:t>
      </w:r>
      <w:r w:rsidR="00F93F7A" w:rsidRPr="00EC099C">
        <w:rPr>
          <w:lang w:val="en-GB"/>
        </w:rPr>
        <w:t xml:space="preserve"> alone:</w:t>
      </w:r>
    </w:p>
    <w:p w14:paraId="337F6B6A" w14:textId="77777777" w:rsidR="00F93F7A" w:rsidRPr="00306025" w:rsidRDefault="00F93F7A" w:rsidP="00F93F7A">
      <w:pPr>
        <w:pStyle w:val="absatzschattenbericht"/>
        <w:jc w:val="center"/>
        <w:rPr>
          <w:lang w:val="en-GB"/>
        </w:rPr>
      </w:pPr>
      <w:r w:rsidRPr="00306025">
        <w:rPr>
          <w:noProof/>
          <w:lang w:val="de-CH" w:eastAsia="de-CH" w:bidi="ar-SA"/>
        </w:rPr>
        <w:drawing>
          <wp:inline distT="0" distB="0" distL="0" distR="0" wp14:anchorId="3663338A" wp14:editId="6B3FAECB">
            <wp:extent cx="4878000" cy="2844000"/>
            <wp:effectExtent l="0" t="0" r="0" b="1270"/>
            <wp:docPr id="18" name="Grafik 18" descr="IGM 1 - &quot;Masculinising Surgery&quot;: Hypospadias &quot;Repair&quot;&#10;&#10;Graph illustrating &quot;Masculinising&quot; IGM Surgeries on children 0-9 years from 2005 to 2016, derived from the 2019 Follow-Up Study. The curve starts at over 1700 surgeries annually in 2005, increases to almost 2000 surgeries in 2008, decreases to 1700 surgeries in 2010, and increases to over 2000 surgeries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T-Germany-Diagramm-IGM1_x.png"/>
                    <pic:cNvPicPr/>
                  </pic:nvPicPr>
                  <pic:blipFill>
                    <a:blip r:embed="rId15">
                      <a:extLst>
                        <a:ext uri="{28A0092B-C50C-407E-A947-70E740481C1C}">
                          <a14:useLocalDpi xmlns:a14="http://schemas.microsoft.com/office/drawing/2010/main" val="0"/>
                        </a:ext>
                      </a:extLst>
                    </a:blip>
                    <a:stretch>
                      <a:fillRect/>
                    </a:stretch>
                  </pic:blipFill>
                  <pic:spPr>
                    <a:xfrm>
                      <a:off x="0" y="0"/>
                      <a:ext cx="4878000" cy="2844000"/>
                    </a:xfrm>
                    <a:prstGeom prst="rect">
                      <a:avLst/>
                    </a:prstGeom>
                  </pic:spPr>
                </pic:pic>
              </a:graphicData>
            </a:graphic>
          </wp:inline>
        </w:drawing>
      </w:r>
    </w:p>
    <w:p w14:paraId="3A488C36" w14:textId="77777777" w:rsidR="00F93F7A" w:rsidRPr="00306025" w:rsidRDefault="00F93F7A" w:rsidP="00F93F7A">
      <w:pPr>
        <w:pStyle w:val="absatzschattenbericht"/>
        <w:jc w:val="center"/>
        <w:rPr>
          <w:lang w:val="en-GB"/>
        </w:rPr>
      </w:pPr>
      <w:r w:rsidRPr="00306025">
        <w:rPr>
          <w:noProof/>
          <w:lang w:val="de-CH" w:eastAsia="de-CH" w:bidi="ar-SA"/>
        </w:rPr>
        <w:drawing>
          <wp:inline distT="0" distB="0" distL="0" distR="0" wp14:anchorId="6A342352" wp14:editId="7C1601E2">
            <wp:extent cx="4878000" cy="2844000"/>
            <wp:effectExtent l="0" t="0" r="0" b="1270"/>
            <wp:docPr id="19" name="Grafik 19" descr="IGM 2 - &quot;Feminising Surgeries&quot;: Clitoris Amputation/&quot;Reduction&quot;, &quot;Vaginoplasty&quot;, &quot;Labioplasty&quot;&#10;&#10;Graph illustrating &quot;Feminising&quot; IGM Surgeries on children 0-9 years from 2005 to 2016, derived from the 2019 Follow-Up Study. The curve starts at almost 60 surgeries annually in 2005, increases to over 70 surgeries in 2008, decreases to almost 40 surgeries in 2009, and then fluctuates between under 40 and 50 surgeries, ending with over 45 surgeries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T-Germany-Diagramm-IGM2_x.png"/>
                    <pic:cNvPicPr/>
                  </pic:nvPicPr>
                  <pic:blipFill>
                    <a:blip r:embed="rId16">
                      <a:extLst>
                        <a:ext uri="{28A0092B-C50C-407E-A947-70E740481C1C}">
                          <a14:useLocalDpi xmlns:a14="http://schemas.microsoft.com/office/drawing/2010/main" val="0"/>
                        </a:ext>
                      </a:extLst>
                    </a:blip>
                    <a:stretch>
                      <a:fillRect/>
                    </a:stretch>
                  </pic:blipFill>
                  <pic:spPr>
                    <a:xfrm>
                      <a:off x="0" y="0"/>
                      <a:ext cx="4878000" cy="2844000"/>
                    </a:xfrm>
                    <a:prstGeom prst="rect">
                      <a:avLst/>
                    </a:prstGeom>
                  </pic:spPr>
                </pic:pic>
              </a:graphicData>
            </a:graphic>
          </wp:inline>
        </w:drawing>
      </w:r>
    </w:p>
    <w:p w14:paraId="0C37D122" w14:textId="77777777" w:rsidR="00F93F7A" w:rsidRPr="00306025" w:rsidRDefault="00F93F7A" w:rsidP="00F93F7A">
      <w:pPr>
        <w:pStyle w:val="absatzschattenbericht"/>
        <w:rPr>
          <w:lang w:val="en-GB"/>
        </w:rPr>
      </w:pPr>
      <w:r w:rsidRPr="00306025">
        <w:rPr>
          <w:lang w:val="en-GB"/>
        </w:rPr>
        <w:lastRenderedPageBreak/>
        <w:t xml:space="preserve">While the “Follow-up study” fails to document sterilising procedures, </w:t>
      </w:r>
      <w:r w:rsidRPr="00306025">
        <w:rPr>
          <w:b/>
          <w:bCs/>
          <w:lang w:val="en-GB"/>
        </w:rPr>
        <w:t>partial figures published by the “</w:t>
      </w:r>
      <w:proofErr w:type="spellStart"/>
      <w:r w:rsidRPr="00306025">
        <w:rPr>
          <w:b/>
          <w:bCs/>
          <w:lang w:val="en-GB"/>
        </w:rPr>
        <w:t>Statistisches</w:t>
      </w:r>
      <w:proofErr w:type="spellEnd"/>
      <w:r w:rsidRPr="00306025">
        <w:rPr>
          <w:b/>
          <w:bCs/>
          <w:lang w:val="en-GB"/>
        </w:rPr>
        <w:t xml:space="preserve"> </w:t>
      </w:r>
      <w:proofErr w:type="spellStart"/>
      <w:r w:rsidRPr="00306025">
        <w:rPr>
          <w:b/>
          <w:bCs/>
          <w:lang w:val="en-GB"/>
        </w:rPr>
        <w:t>Bundesamt</w:t>
      </w:r>
      <w:proofErr w:type="spellEnd"/>
      <w:r w:rsidRPr="00306025">
        <w:rPr>
          <w:b/>
          <w:bCs/>
          <w:lang w:val="en-GB"/>
        </w:rPr>
        <w:t xml:space="preserve"> (</w:t>
      </w:r>
      <w:proofErr w:type="spellStart"/>
      <w:r w:rsidRPr="00306025">
        <w:rPr>
          <w:b/>
          <w:bCs/>
          <w:lang w:val="en-GB"/>
        </w:rPr>
        <w:t>Destatis</w:t>
      </w:r>
      <w:proofErr w:type="spellEnd"/>
      <w:r w:rsidRPr="00306025">
        <w:rPr>
          <w:b/>
          <w:bCs/>
          <w:lang w:val="en-GB"/>
        </w:rPr>
        <w:t>)”</w:t>
      </w:r>
      <w:r w:rsidRPr="00306025">
        <w:rPr>
          <w:rStyle w:val="Funotenzeichen"/>
          <w:lang w:val="en-GB"/>
        </w:rPr>
        <w:t xml:space="preserve"> </w:t>
      </w:r>
      <w:r w:rsidRPr="00306025">
        <w:rPr>
          <w:rStyle w:val="Funotenzeichen"/>
          <w:lang w:val="en-GB"/>
        </w:rPr>
        <w:footnoteReference w:id="11"/>
      </w:r>
      <w:r w:rsidRPr="00306025">
        <w:rPr>
          <w:lang w:val="en-GB"/>
        </w:rPr>
        <w:t xml:space="preserve"> show that also </w:t>
      </w:r>
      <w:r w:rsidRPr="00306025">
        <w:rPr>
          <w:b/>
          <w:bCs/>
          <w:lang w:val="en-GB"/>
        </w:rPr>
        <w:t>IGM 3 continues</w:t>
      </w:r>
      <w:r w:rsidRPr="00306025">
        <w:rPr>
          <w:lang w:val="en-GB"/>
        </w:rPr>
        <w:t>:</w:t>
      </w:r>
    </w:p>
    <w:p w14:paraId="545EACD6" w14:textId="77777777" w:rsidR="00F93F7A" w:rsidRPr="00306025" w:rsidRDefault="00F93F7A" w:rsidP="00F93F7A">
      <w:pPr>
        <w:pStyle w:val="absatzschattenbericht"/>
        <w:jc w:val="center"/>
        <w:rPr>
          <w:lang w:val="en-GB"/>
        </w:rPr>
      </w:pPr>
      <w:r w:rsidRPr="00306025">
        <w:rPr>
          <w:noProof/>
          <w:lang w:val="de-CH" w:eastAsia="de-CH" w:bidi="ar-SA"/>
        </w:rPr>
        <w:drawing>
          <wp:inline distT="0" distB="0" distL="0" distR="0" wp14:anchorId="313B6ABE" wp14:editId="5F647D60">
            <wp:extent cx="5284800" cy="2124000"/>
            <wp:effectExtent l="0" t="0" r="0" b="0"/>
            <wp:docPr id="20" name="Grafik 20" descr="Table in German: DRG-Statistics 2016 - stationary patients in hospitals. Operations and Procedures&#10;5-622 Orchidectomy, children under 1 year of age: 1, children 1-5: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destatis-orchidektomie-weiblich-2016_xx.jpg"/>
                    <pic:cNvPicPr/>
                  </pic:nvPicPr>
                  <pic:blipFill>
                    <a:blip r:embed="rId17">
                      <a:extLst>
                        <a:ext uri="{28A0092B-C50C-407E-A947-70E740481C1C}">
                          <a14:useLocalDpi xmlns:a14="http://schemas.microsoft.com/office/drawing/2010/main" val="0"/>
                        </a:ext>
                      </a:extLst>
                    </a:blip>
                    <a:stretch>
                      <a:fillRect/>
                    </a:stretch>
                  </pic:blipFill>
                  <pic:spPr>
                    <a:xfrm>
                      <a:off x="0" y="0"/>
                      <a:ext cx="5284800" cy="2124000"/>
                    </a:xfrm>
                    <a:prstGeom prst="rect">
                      <a:avLst/>
                    </a:prstGeom>
                  </pic:spPr>
                </pic:pic>
              </a:graphicData>
            </a:graphic>
          </wp:inline>
        </w:drawing>
      </w:r>
    </w:p>
    <w:p w14:paraId="48A999E8" w14:textId="7E77F4C5" w:rsidR="00E03BEA" w:rsidRPr="00306025" w:rsidRDefault="006409D0" w:rsidP="00E03BEA">
      <w:pPr>
        <w:pStyle w:val="Title2"/>
      </w:pPr>
      <w:bookmarkStart w:id="56" w:name="_Toc141803634"/>
      <w:bookmarkStart w:id="57" w:name="_Toc62412827"/>
      <w:r>
        <w:t>4</w:t>
      </w:r>
      <w:r w:rsidR="00E03BEA" w:rsidRPr="00306025">
        <w:t xml:space="preserve">.  Insufficient </w:t>
      </w:r>
      <w:r w:rsidR="00FE2C1B" w:rsidRPr="00306025">
        <w:t>2021</w:t>
      </w:r>
      <w:r w:rsidR="00E03BEA" w:rsidRPr="00306025">
        <w:t xml:space="preserve"> Law</w:t>
      </w:r>
      <w:r w:rsidR="00FE2C1B" w:rsidRPr="00306025">
        <w:t xml:space="preserve"> introducing</w:t>
      </w:r>
      <w:r w:rsidR="00E03BEA" w:rsidRPr="00306025">
        <w:t xml:space="preserve"> § 1631e BGB aimed at prohibiting IGM</w:t>
      </w:r>
      <w:bookmarkEnd w:id="56"/>
    </w:p>
    <w:p w14:paraId="53CABC1D" w14:textId="387BB196" w:rsidR="00DF31FE" w:rsidRPr="00306025" w:rsidRDefault="008E72A9" w:rsidP="00DF31FE">
      <w:pPr>
        <w:pStyle w:val="absatzschattenbericht"/>
        <w:rPr>
          <w:b/>
          <w:lang w:val="en-GB"/>
        </w:rPr>
      </w:pPr>
      <w:r>
        <w:rPr>
          <w:bCs/>
          <w:lang w:val="en-GB"/>
        </w:rPr>
        <w:t>After</w:t>
      </w:r>
      <w:r w:rsidR="00376927" w:rsidRPr="00306025">
        <w:rPr>
          <w:bCs/>
          <w:lang w:val="en-GB"/>
        </w:rPr>
        <w:t xml:space="preserve"> 25 years of </w:t>
      </w:r>
      <w:r w:rsidR="00376927" w:rsidRPr="00306025">
        <w:rPr>
          <w:b/>
          <w:lang w:val="en-GB"/>
        </w:rPr>
        <w:t xml:space="preserve">endless </w:t>
      </w:r>
      <w:r w:rsidR="00376927" w:rsidRPr="00306025">
        <w:rPr>
          <w:b/>
          <w:i/>
          <w:iCs/>
          <w:lang w:val="en-GB"/>
        </w:rPr>
        <w:t xml:space="preserve">“discussions” </w:t>
      </w:r>
      <w:r w:rsidR="00376927" w:rsidRPr="00306025">
        <w:rPr>
          <w:b/>
          <w:lang w:val="en-GB"/>
        </w:rPr>
        <w:t xml:space="preserve">and </w:t>
      </w:r>
      <w:r w:rsidR="00376927" w:rsidRPr="00306025">
        <w:rPr>
          <w:b/>
          <w:i/>
          <w:iCs/>
          <w:lang w:val="en-GB"/>
        </w:rPr>
        <w:t xml:space="preserve">“careful examination” </w:t>
      </w:r>
      <w:r w:rsidR="00376927" w:rsidRPr="00306025">
        <w:rPr>
          <w:b/>
          <w:lang w:val="en-GB"/>
        </w:rPr>
        <w:t>without any actual consequences</w:t>
      </w:r>
      <w:r w:rsidR="00DF31FE" w:rsidRPr="00306025">
        <w:rPr>
          <w:bCs/>
          <w:lang w:val="en-GB"/>
        </w:rPr>
        <w:t>,</w:t>
      </w:r>
      <w:r w:rsidR="00B5229C" w:rsidRPr="00306025">
        <w:rPr>
          <w:bCs/>
          <w:lang w:val="en-GB"/>
        </w:rPr>
        <w:t xml:space="preserve"> the current German government has to be commended for </w:t>
      </w:r>
      <w:r w:rsidR="00B5229C" w:rsidRPr="00306025">
        <w:rPr>
          <w:b/>
          <w:lang w:val="en-GB"/>
        </w:rPr>
        <w:t xml:space="preserve">finally </w:t>
      </w:r>
      <w:r w:rsidR="005220C9" w:rsidRPr="00306025">
        <w:rPr>
          <w:b/>
          <w:lang w:val="en-GB"/>
        </w:rPr>
        <w:t xml:space="preserve">adopting a Law </w:t>
      </w:r>
      <w:r w:rsidR="005220C9" w:rsidRPr="00306025">
        <w:rPr>
          <w:bCs/>
          <w:lang w:val="en-GB"/>
        </w:rPr>
        <w:t>aimed at prohibiting IGM practices in March 2021</w:t>
      </w:r>
      <w:r w:rsidR="00B40673">
        <w:rPr>
          <w:bCs/>
          <w:lang w:val="en-GB"/>
        </w:rPr>
        <w:t xml:space="preserve"> </w:t>
      </w:r>
      <w:r w:rsidR="003728BD" w:rsidRPr="00306025">
        <w:rPr>
          <w:bCs/>
          <w:lang w:val="en-GB"/>
        </w:rPr>
        <w:t>–</w:t>
      </w:r>
      <w:r w:rsidR="00D27447" w:rsidRPr="00306025">
        <w:rPr>
          <w:bCs/>
          <w:lang w:val="en-GB"/>
        </w:rPr>
        <w:t xml:space="preserve"> </w:t>
      </w:r>
      <w:r w:rsidR="00D27447" w:rsidRPr="00111369">
        <w:rPr>
          <w:b/>
          <w:lang w:val="en-GB"/>
        </w:rPr>
        <w:t>insufficient</w:t>
      </w:r>
      <w:r w:rsidR="00D27447" w:rsidRPr="00306025">
        <w:rPr>
          <w:bCs/>
          <w:lang w:val="en-GB"/>
        </w:rPr>
        <w:t xml:space="preserve"> as it may be:</w:t>
      </w:r>
    </w:p>
    <w:p w14:paraId="2D823106" w14:textId="0DEFC816" w:rsidR="00E03BEA" w:rsidRPr="00306025" w:rsidRDefault="00E03BEA" w:rsidP="00E03BEA">
      <w:pPr>
        <w:pStyle w:val="absatzschattenbericht"/>
        <w:rPr>
          <w:bCs/>
          <w:lang w:val="en-GB"/>
        </w:rPr>
      </w:pPr>
      <w:r w:rsidRPr="00B91063">
        <w:rPr>
          <w:bCs/>
          <w:lang w:val="en-GB"/>
        </w:rPr>
        <w:t xml:space="preserve">In January 2020, the </w:t>
      </w:r>
      <w:r w:rsidRPr="00B91063">
        <w:rPr>
          <w:b/>
          <w:lang w:val="en-GB"/>
        </w:rPr>
        <w:t>Ministry of Justice and Consumer Protection (BMJV)</w:t>
      </w:r>
      <w:r w:rsidRPr="00B91063">
        <w:rPr>
          <w:bCs/>
          <w:lang w:val="en-GB"/>
        </w:rPr>
        <w:t xml:space="preserve"> presented a </w:t>
      </w:r>
      <w:r w:rsidRPr="00B91063">
        <w:rPr>
          <w:b/>
          <w:lang w:val="en-GB"/>
        </w:rPr>
        <w:t>preliminary Draft Law (</w:t>
      </w:r>
      <w:proofErr w:type="spellStart"/>
      <w:r w:rsidRPr="00B91063">
        <w:rPr>
          <w:b/>
          <w:lang w:val="en-GB"/>
        </w:rPr>
        <w:t>RefE</w:t>
      </w:r>
      <w:proofErr w:type="spellEnd"/>
      <w:r w:rsidRPr="00B91063">
        <w:rPr>
          <w:b/>
          <w:lang w:val="en-GB"/>
        </w:rPr>
        <w:t>)</w:t>
      </w:r>
      <w:r w:rsidRPr="00B91063">
        <w:rPr>
          <w:bCs/>
          <w:lang w:val="en-GB"/>
        </w:rPr>
        <w:t xml:space="preserve"> aimed at prohibiting IGM practices (</w:t>
      </w:r>
      <w:r w:rsidRPr="00B91063">
        <w:rPr>
          <w:bCs/>
          <w:i/>
          <w:iCs/>
          <w:lang w:val="en-GB"/>
        </w:rPr>
        <w:t>“Draft Law for the protection of children from sex-modifying surgical interventions”</w:t>
      </w:r>
      <w:r w:rsidRPr="00B91063">
        <w:rPr>
          <w:bCs/>
          <w:lang w:val="en-GB"/>
        </w:rPr>
        <w:t>).</w:t>
      </w:r>
      <w:r w:rsidRPr="00B91063">
        <w:rPr>
          <w:rStyle w:val="Funotenzeichen"/>
          <w:lang w:val="en-GB"/>
        </w:rPr>
        <w:footnoteReference w:id="12"/>
      </w:r>
      <w:r w:rsidR="00F70E9B" w:rsidRPr="00B91063">
        <w:rPr>
          <w:bCs/>
          <w:lang w:val="en-GB"/>
        </w:rPr>
        <w:t xml:space="preserve"> However, </w:t>
      </w:r>
      <w:r w:rsidR="00C76033" w:rsidRPr="00B91063">
        <w:rPr>
          <w:bCs/>
          <w:lang w:val="en-GB"/>
        </w:rPr>
        <w:t xml:space="preserve">it </w:t>
      </w:r>
      <w:r w:rsidR="00C76033" w:rsidRPr="00B91063">
        <w:rPr>
          <w:b/>
          <w:lang w:val="en-GB"/>
        </w:rPr>
        <w:t>failed to provide adequate protections</w:t>
      </w:r>
      <w:r w:rsidR="00C76033" w:rsidRPr="00B91063">
        <w:rPr>
          <w:bCs/>
          <w:lang w:val="en-GB"/>
        </w:rPr>
        <w:t xml:space="preserve"> for intersex children</w:t>
      </w:r>
      <w:r w:rsidRPr="00B91063">
        <w:rPr>
          <w:rStyle w:val="Funotenzeichen"/>
          <w:lang w:val="en-GB"/>
        </w:rPr>
        <w:footnoteReference w:id="13"/>
      </w:r>
      <w:r w:rsidR="001475B9" w:rsidRPr="00B91063">
        <w:rPr>
          <w:bCs/>
          <w:lang w:val="en-GB"/>
        </w:rPr>
        <w:t xml:space="preserve"> </w:t>
      </w:r>
      <w:r w:rsidR="00B40673" w:rsidRPr="00B91063">
        <w:rPr>
          <w:bCs/>
          <w:lang w:val="en-GB"/>
        </w:rPr>
        <w:t xml:space="preserve">(see also State Party Report, para </w:t>
      </w:r>
      <w:r w:rsidR="00B91063" w:rsidRPr="00B91063">
        <w:rPr>
          <w:bCs/>
          <w:lang w:val="en-GB"/>
        </w:rPr>
        <w:t>162</w:t>
      </w:r>
      <w:r w:rsidR="00B40673" w:rsidRPr="00B91063">
        <w:rPr>
          <w:bCs/>
          <w:lang w:val="en-GB"/>
        </w:rPr>
        <w:t>).</w:t>
      </w:r>
    </w:p>
    <w:p w14:paraId="769F818D" w14:textId="45BEF43D" w:rsidR="00E03BEA" w:rsidRPr="00306025" w:rsidRDefault="00E03BEA" w:rsidP="006D03A3">
      <w:pPr>
        <w:pStyle w:val="absatzschattenbericht"/>
        <w:rPr>
          <w:bCs/>
          <w:lang w:val="en-GB"/>
        </w:rPr>
      </w:pPr>
      <w:r w:rsidRPr="00306025">
        <w:rPr>
          <w:bCs/>
          <w:lang w:val="en-GB"/>
        </w:rPr>
        <w:t xml:space="preserve">In November 2020, the </w:t>
      </w:r>
      <w:r w:rsidRPr="00306025">
        <w:rPr>
          <w:b/>
          <w:lang w:val="en-GB"/>
        </w:rPr>
        <w:t>German Federal Government</w:t>
      </w:r>
      <w:r w:rsidRPr="00306025">
        <w:rPr>
          <w:bCs/>
          <w:lang w:val="en-GB"/>
        </w:rPr>
        <w:t xml:space="preserve"> presented an amended </w:t>
      </w:r>
      <w:r w:rsidRPr="00306025">
        <w:rPr>
          <w:b/>
          <w:i/>
          <w:iCs/>
          <w:lang w:val="en-GB"/>
        </w:rPr>
        <w:t>“Draft Law for the protection of children with variants of sex development”</w:t>
      </w:r>
      <w:r w:rsidRPr="00306025">
        <w:rPr>
          <w:bCs/>
          <w:lang w:val="en-GB"/>
        </w:rPr>
        <w:t xml:space="preserve"> (DS 19/24686, 25.11.2020),</w:t>
      </w:r>
      <w:r w:rsidRPr="00306025">
        <w:rPr>
          <w:rStyle w:val="Funotenzeichen"/>
          <w:lang w:val="en-GB"/>
        </w:rPr>
        <w:footnoteReference w:id="14"/>
      </w:r>
      <w:r w:rsidRPr="00306025">
        <w:rPr>
          <w:bCs/>
          <w:lang w:val="en-GB"/>
        </w:rPr>
        <w:t xml:space="preserve"> which in March 2021 was again amended by the </w:t>
      </w:r>
      <w:r w:rsidRPr="00306025">
        <w:rPr>
          <w:b/>
          <w:lang w:val="en-GB"/>
        </w:rPr>
        <w:t xml:space="preserve">Committee on Legal Affairs and Consumer Protection </w:t>
      </w:r>
      <w:r w:rsidRPr="00306025">
        <w:rPr>
          <w:bCs/>
          <w:lang w:val="en-GB"/>
        </w:rPr>
        <w:t>(DS 19/27929, 24.03.2021)</w:t>
      </w:r>
      <w:r w:rsidRPr="00306025">
        <w:rPr>
          <w:rStyle w:val="Funotenzeichen"/>
          <w:lang w:val="en-GB"/>
        </w:rPr>
        <w:footnoteReference w:id="15"/>
      </w:r>
      <w:r w:rsidRPr="00306025">
        <w:rPr>
          <w:bCs/>
          <w:lang w:val="en-GB"/>
        </w:rPr>
        <w:t xml:space="preserve"> and eventually </w:t>
      </w:r>
      <w:r w:rsidRPr="00306025">
        <w:rPr>
          <w:b/>
          <w:lang w:val="en-GB"/>
        </w:rPr>
        <w:t>adopted</w:t>
      </w:r>
      <w:r w:rsidRPr="00306025">
        <w:rPr>
          <w:bCs/>
          <w:lang w:val="en-GB"/>
        </w:rPr>
        <w:t xml:space="preserve"> by the </w:t>
      </w:r>
      <w:r w:rsidRPr="00306025">
        <w:rPr>
          <w:b/>
          <w:lang w:val="en-GB"/>
        </w:rPr>
        <w:t xml:space="preserve">German Federal Parliament (Bundestag) </w:t>
      </w:r>
      <w:r w:rsidRPr="00306025">
        <w:rPr>
          <w:bCs/>
          <w:lang w:val="en-GB"/>
        </w:rPr>
        <w:t>on 25.03.2021</w:t>
      </w:r>
      <w:r w:rsidRPr="00306025">
        <w:rPr>
          <w:rStyle w:val="Funotenzeichen"/>
          <w:lang w:val="en-GB"/>
        </w:rPr>
        <w:footnoteReference w:id="16"/>
      </w:r>
      <w:r w:rsidRPr="00306025">
        <w:rPr>
          <w:bCs/>
          <w:lang w:val="en-GB"/>
        </w:rPr>
        <w:t xml:space="preserve"> and </w:t>
      </w:r>
      <w:r w:rsidRPr="00306025">
        <w:rPr>
          <w:b/>
          <w:lang w:val="en-GB"/>
        </w:rPr>
        <w:t>published</w:t>
      </w:r>
      <w:r w:rsidRPr="00306025">
        <w:rPr>
          <w:bCs/>
          <w:lang w:val="en-GB"/>
        </w:rPr>
        <w:t xml:space="preserve"> in the Federal Law Gazette on 21.05.2021</w:t>
      </w:r>
      <w:r w:rsidR="00A47331" w:rsidRPr="00306025">
        <w:rPr>
          <w:bCs/>
          <w:lang w:val="en-GB"/>
        </w:rPr>
        <w:t xml:space="preserve"> as </w:t>
      </w:r>
      <w:r w:rsidR="00A47331" w:rsidRPr="00306025">
        <w:rPr>
          <w:b/>
          <w:lang w:val="en-GB"/>
        </w:rPr>
        <w:t>“Law on the Protection of Children with Variants of Sex Development of 12 May 2021”</w:t>
      </w:r>
      <w:r w:rsidR="00CB2C74" w:rsidRPr="00306025">
        <w:rPr>
          <w:bCs/>
          <w:lang w:val="en-GB"/>
        </w:rPr>
        <w:t>:</w:t>
      </w:r>
      <w:r w:rsidRPr="00306025">
        <w:rPr>
          <w:rStyle w:val="Funotenzeichen"/>
          <w:lang w:val="en-GB"/>
        </w:rPr>
        <w:footnoteReference w:id="17"/>
      </w:r>
    </w:p>
    <w:p w14:paraId="6039FE46" w14:textId="5A07A946" w:rsidR="00E03BEA" w:rsidRPr="00306025" w:rsidRDefault="00E03BEA" w:rsidP="00E03BEA">
      <w:pPr>
        <w:pStyle w:val="absatzschattenbericht"/>
        <w:rPr>
          <w:bCs/>
          <w:lang w:val="en-GB"/>
        </w:rPr>
      </w:pPr>
      <w:r w:rsidRPr="00306025">
        <w:rPr>
          <w:bCs/>
          <w:lang w:val="en-GB"/>
        </w:rPr>
        <w:t xml:space="preserve">Basically, this </w:t>
      </w:r>
      <w:r w:rsidRPr="00306025">
        <w:rPr>
          <w:b/>
          <w:lang w:val="en-GB"/>
        </w:rPr>
        <w:t>new Law</w:t>
      </w:r>
      <w:r w:rsidR="008A08F8" w:rsidRPr="00306025">
        <w:rPr>
          <w:bCs/>
          <w:lang w:val="en-GB"/>
        </w:rPr>
        <w:t xml:space="preserve"> introduces in </w:t>
      </w:r>
      <w:r w:rsidR="008A08F8" w:rsidRPr="00306025">
        <w:rPr>
          <w:b/>
          <w:lang w:val="en-GB"/>
        </w:rPr>
        <w:t xml:space="preserve">Art. 1 </w:t>
      </w:r>
      <w:r w:rsidR="008A08F8" w:rsidRPr="00306025">
        <w:rPr>
          <w:bCs/>
          <w:lang w:val="en-GB"/>
        </w:rPr>
        <w:t xml:space="preserve">a new </w:t>
      </w:r>
      <w:r w:rsidRPr="00306025">
        <w:rPr>
          <w:b/>
          <w:lang w:val="en-GB"/>
        </w:rPr>
        <w:t>§ 1631e</w:t>
      </w:r>
      <w:r w:rsidRPr="00306025">
        <w:rPr>
          <w:bCs/>
          <w:lang w:val="en-GB"/>
        </w:rPr>
        <w:t xml:space="preserve"> </w:t>
      </w:r>
      <w:r w:rsidR="008A08F8" w:rsidRPr="00306025">
        <w:rPr>
          <w:bCs/>
          <w:lang w:val="en-GB"/>
        </w:rPr>
        <w:t xml:space="preserve">in the </w:t>
      </w:r>
      <w:r w:rsidR="008A08F8" w:rsidRPr="00306025">
        <w:rPr>
          <w:b/>
          <w:lang w:val="en-GB"/>
        </w:rPr>
        <w:t>Civil Law (BGE)</w:t>
      </w:r>
      <w:r w:rsidR="008A08F8" w:rsidRPr="00306025">
        <w:rPr>
          <w:bCs/>
          <w:lang w:val="en-GB"/>
        </w:rPr>
        <w:t xml:space="preserve"> which </w:t>
      </w:r>
      <w:r w:rsidRPr="00306025">
        <w:rPr>
          <w:b/>
          <w:lang w:val="en-GB"/>
        </w:rPr>
        <w:t>in some cases limits parental consent</w:t>
      </w:r>
      <w:r w:rsidRPr="00306025">
        <w:rPr>
          <w:bCs/>
          <w:lang w:val="en-GB"/>
        </w:rPr>
        <w:t xml:space="preserve"> to unnecessary surgery on intersex children (§ 1631e (1)-(3)), and requires them to seek </w:t>
      </w:r>
      <w:r w:rsidRPr="00DD589C">
        <w:rPr>
          <w:b/>
          <w:lang w:val="en-GB"/>
        </w:rPr>
        <w:t>aut</w:t>
      </w:r>
      <w:r w:rsidR="00C0559C" w:rsidRPr="00DD589C">
        <w:rPr>
          <w:b/>
          <w:lang w:val="en-GB"/>
        </w:rPr>
        <w:t>h</w:t>
      </w:r>
      <w:r w:rsidRPr="00DD589C">
        <w:rPr>
          <w:b/>
          <w:lang w:val="en-GB"/>
        </w:rPr>
        <w:t>orisation</w:t>
      </w:r>
      <w:r w:rsidRPr="00306025">
        <w:rPr>
          <w:b/>
          <w:lang w:val="en-GB"/>
        </w:rPr>
        <w:t xml:space="preserve"> by the Family Court </w:t>
      </w:r>
      <w:r w:rsidRPr="00306025">
        <w:rPr>
          <w:bCs/>
          <w:lang w:val="en-GB"/>
        </w:rPr>
        <w:t>(§ 1631e (3)-(5))</w:t>
      </w:r>
      <w:r w:rsidR="00E82541">
        <w:rPr>
          <w:bCs/>
          <w:lang w:val="en-GB"/>
        </w:rPr>
        <w:t>:</w:t>
      </w:r>
    </w:p>
    <w:p w14:paraId="2BDCAD9B" w14:textId="77777777" w:rsidR="00E03BEA" w:rsidRPr="00306025" w:rsidRDefault="00E03BEA" w:rsidP="00E03BEA">
      <w:pPr>
        <w:pStyle w:val="absatzschattenbericht"/>
        <w:ind w:left="284"/>
        <w:rPr>
          <w:bCs/>
          <w:lang w:val="en-GB"/>
        </w:rPr>
      </w:pPr>
      <w:r w:rsidRPr="00306025">
        <w:rPr>
          <w:bCs/>
          <w:i/>
          <w:iCs/>
          <w:lang w:val="en-GB"/>
        </w:rPr>
        <w:t xml:space="preserve">“Parental custody does not include the right to consent to treatment of a child who is incapable of giving consent and has a variant of sex development, or to carry out such treatment oneself, which, without any further reason for the treatment being added, is carried out solely with the intention of aligning the child’s physical appearance with that of the male or female sex.” </w:t>
      </w:r>
      <w:r w:rsidRPr="00306025">
        <w:rPr>
          <w:bCs/>
          <w:lang w:val="en-GB"/>
        </w:rPr>
        <w:t>(Civil Law (BGB), § 1631e (1))</w:t>
      </w:r>
    </w:p>
    <w:p w14:paraId="4BFCD58B" w14:textId="5664BCEA" w:rsidR="00E03BEA" w:rsidRPr="00306025" w:rsidRDefault="00E03BEA" w:rsidP="00E03BEA">
      <w:pPr>
        <w:pStyle w:val="absatzschattenbericht"/>
        <w:rPr>
          <w:bCs/>
          <w:lang w:val="en-GB"/>
        </w:rPr>
      </w:pPr>
      <w:r w:rsidRPr="00306025">
        <w:rPr>
          <w:bCs/>
          <w:lang w:val="en-GB"/>
        </w:rPr>
        <w:lastRenderedPageBreak/>
        <w:t xml:space="preserve">Further, the Law obliges medical practitioners, </w:t>
      </w:r>
      <w:r w:rsidRPr="00306025">
        <w:rPr>
          <w:bCs/>
          <w:i/>
          <w:iCs/>
          <w:lang w:val="en-GB"/>
        </w:rPr>
        <w:t xml:space="preserve">“where treatment has been carried out on the internal or external sex characteristics, [to] </w:t>
      </w:r>
      <w:r w:rsidRPr="00306025">
        <w:rPr>
          <w:b/>
          <w:i/>
          <w:iCs/>
          <w:lang w:val="en-GB"/>
        </w:rPr>
        <w:t>keep the patient’s file until the day on which the person treated reaches the age of 48 years.”</w:t>
      </w:r>
      <w:r w:rsidRPr="00306025">
        <w:rPr>
          <w:bCs/>
          <w:i/>
          <w:iCs/>
          <w:lang w:val="en-GB"/>
        </w:rPr>
        <w:t xml:space="preserve"> </w:t>
      </w:r>
      <w:r w:rsidRPr="00306025">
        <w:rPr>
          <w:bCs/>
          <w:lang w:val="en-GB"/>
        </w:rPr>
        <w:t>(§ 1631e (6))</w:t>
      </w:r>
    </w:p>
    <w:p w14:paraId="71B03B57" w14:textId="3157DD18" w:rsidR="00F469E6" w:rsidRPr="00306025" w:rsidRDefault="008F0CDF" w:rsidP="00E03BEA">
      <w:pPr>
        <w:pStyle w:val="absatzschattenbericht"/>
        <w:rPr>
          <w:bCs/>
          <w:lang w:val="en-GB"/>
        </w:rPr>
      </w:pPr>
      <w:r w:rsidRPr="00306025">
        <w:rPr>
          <w:bCs/>
          <w:lang w:val="en-GB"/>
        </w:rPr>
        <w:t xml:space="preserve">Also, </w:t>
      </w:r>
      <w:r w:rsidR="00F93567" w:rsidRPr="00306025">
        <w:rPr>
          <w:bCs/>
          <w:lang w:val="en-GB"/>
        </w:rPr>
        <w:t xml:space="preserve">in </w:t>
      </w:r>
      <w:r w:rsidR="00F93567" w:rsidRPr="00306025">
        <w:rPr>
          <w:b/>
          <w:lang w:val="en-GB"/>
        </w:rPr>
        <w:t xml:space="preserve">Art. 6 on </w:t>
      </w:r>
      <w:r w:rsidR="00F93567" w:rsidRPr="00306025">
        <w:rPr>
          <w:b/>
          <w:i/>
          <w:iCs/>
          <w:lang w:val="en-GB"/>
        </w:rPr>
        <w:t>“Evaluation”</w:t>
      </w:r>
      <w:r w:rsidR="00F93567" w:rsidRPr="00306025">
        <w:rPr>
          <w:b/>
          <w:lang w:val="en-GB"/>
        </w:rPr>
        <w:t xml:space="preserve"> </w:t>
      </w:r>
      <w:r w:rsidR="00F93567" w:rsidRPr="00306025">
        <w:rPr>
          <w:bCs/>
          <w:lang w:val="en-GB"/>
        </w:rPr>
        <w:t xml:space="preserve">of the new Law </w:t>
      </w:r>
      <w:r w:rsidR="00743A04" w:rsidRPr="00306025">
        <w:rPr>
          <w:bCs/>
          <w:lang w:val="en-GB"/>
        </w:rPr>
        <w:t xml:space="preserve">stipulates a </w:t>
      </w:r>
      <w:r w:rsidR="00743A04" w:rsidRPr="00306025">
        <w:rPr>
          <w:b/>
          <w:lang w:val="en-GB"/>
        </w:rPr>
        <w:t xml:space="preserve">review and possible </w:t>
      </w:r>
      <w:r w:rsidR="00743A04" w:rsidRPr="00DD589C">
        <w:rPr>
          <w:b/>
          <w:lang w:val="en-GB"/>
        </w:rPr>
        <w:t>amendments</w:t>
      </w:r>
      <w:r w:rsidR="00743A04" w:rsidRPr="00306025">
        <w:rPr>
          <w:bCs/>
          <w:lang w:val="en-GB"/>
        </w:rPr>
        <w:t xml:space="preserve"> within </w:t>
      </w:r>
      <w:r w:rsidR="00743A04" w:rsidRPr="00306025">
        <w:rPr>
          <w:b/>
          <w:lang w:val="en-GB"/>
        </w:rPr>
        <w:t>five years:</w:t>
      </w:r>
    </w:p>
    <w:p w14:paraId="46B91EFC" w14:textId="7037E5ED" w:rsidR="00743A04" w:rsidRPr="00306025" w:rsidRDefault="00743A04" w:rsidP="00743A04">
      <w:pPr>
        <w:pStyle w:val="absatzschattenbericht"/>
        <w:ind w:left="284"/>
        <w:rPr>
          <w:bCs/>
          <w:i/>
          <w:iCs/>
          <w:lang w:val="en-GB"/>
        </w:rPr>
      </w:pPr>
      <w:r w:rsidRPr="00306025">
        <w:rPr>
          <w:bCs/>
          <w:i/>
          <w:iCs/>
          <w:lang w:val="en-GB"/>
        </w:rPr>
        <w:t>“The Federal Government shall review the effectiveness of the provisions of Articles 1 and 3 of this Act within five years of their entry into force and shall submit a report thereon to the German Bundestag.”</w:t>
      </w:r>
    </w:p>
    <w:p w14:paraId="3D992537" w14:textId="77777777" w:rsidR="00E03BEA" w:rsidRPr="00306025" w:rsidRDefault="00E03BEA" w:rsidP="00FE5C60">
      <w:pPr>
        <w:pStyle w:val="absatzschattenbericht"/>
        <w:rPr>
          <w:bCs/>
          <w:lang w:val="en-GB"/>
        </w:rPr>
      </w:pPr>
      <w:r w:rsidRPr="00306025">
        <w:rPr>
          <w:bCs/>
          <w:lang w:val="en-GB"/>
        </w:rPr>
        <w:t xml:space="preserve">However, this </w:t>
      </w:r>
      <w:r w:rsidRPr="00306025">
        <w:rPr>
          <w:b/>
          <w:lang w:val="en-GB"/>
        </w:rPr>
        <w:t>new Law</w:t>
      </w:r>
    </w:p>
    <w:p w14:paraId="37358227" w14:textId="77777777" w:rsidR="00E03BEA" w:rsidRPr="00306025" w:rsidRDefault="00E03BEA" w:rsidP="00FE5C60">
      <w:pPr>
        <w:pStyle w:val="absatzschattenbericht"/>
        <w:numPr>
          <w:ilvl w:val="0"/>
          <w:numId w:val="33"/>
        </w:numPr>
        <w:ind w:left="714" w:hanging="357"/>
        <w:rPr>
          <w:bCs/>
          <w:lang w:val="en-GB"/>
        </w:rPr>
      </w:pPr>
      <w:r w:rsidRPr="00306025">
        <w:rPr>
          <w:bCs/>
          <w:lang w:val="en-GB"/>
        </w:rPr>
        <w:t xml:space="preserve">only </w:t>
      </w:r>
      <w:r w:rsidRPr="00306025">
        <w:rPr>
          <w:b/>
          <w:lang w:val="en-GB"/>
        </w:rPr>
        <w:t>partially restricts IGM 2 and IGM 3</w:t>
      </w:r>
      <w:r w:rsidRPr="00306025">
        <w:rPr>
          <w:bCs/>
          <w:lang w:val="en-GB"/>
        </w:rPr>
        <w:t xml:space="preserve">, while in turn </w:t>
      </w:r>
      <w:r w:rsidRPr="00306025">
        <w:rPr>
          <w:b/>
          <w:lang w:val="en-GB"/>
        </w:rPr>
        <w:t>explicitly allows</w:t>
      </w:r>
      <w:r w:rsidRPr="00306025">
        <w:rPr>
          <w:bCs/>
          <w:lang w:val="en-GB"/>
        </w:rPr>
        <w:t xml:space="preserve">, among other things, the most frequent unnecessary interventions, i.e. </w:t>
      </w:r>
      <w:r w:rsidRPr="00306025">
        <w:rPr>
          <w:b/>
          <w:lang w:val="en-GB"/>
        </w:rPr>
        <w:t>IGM 1</w:t>
      </w:r>
    </w:p>
    <w:p w14:paraId="1ACEDD79" w14:textId="77777777" w:rsidR="00E03BEA" w:rsidRPr="00306025" w:rsidRDefault="00E03BEA" w:rsidP="00FE5C60">
      <w:pPr>
        <w:pStyle w:val="absatzschattenbericht"/>
        <w:numPr>
          <w:ilvl w:val="0"/>
          <w:numId w:val="33"/>
        </w:numPr>
        <w:ind w:left="714" w:hanging="357"/>
        <w:rPr>
          <w:bCs/>
          <w:lang w:val="en-GB"/>
        </w:rPr>
      </w:pPr>
      <w:r w:rsidRPr="00306025">
        <w:rPr>
          <w:bCs/>
          <w:lang w:val="en-GB"/>
        </w:rPr>
        <w:t xml:space="preserve">fails to </w:t>
      </w:r>
      <w:r w:rsidRPr="00306025">
        <w:rPr>
          <w:b/>
          <w:lang w:val="en-GB"/>
        </w:rPr>
        <w:t>criminalise or adequately sanction</w:t>
      </w:r>
      <w:r w:rsidRPr="00306025">
        <w:rPr>
          <w:bCs/>
          <w:lang w:val="en-GB"/>
        </w:rPr>
        <w:t xml:space="preserve"> IGM practices</w:t>
      </w:r>
    </w:p>
    <w:p w14:paraId="0D13337E" w14:textId="77777777" w:rsidR="00E03BEA" w:rsidRPr="00306025" w:rsidRDefault="00E03BEA" w:rsidP="00FE5C60">
      <w:pPr>
        <w:pStyle w:val="absatzschattenbericht"/>
        <w:numPr>
          <w:ilvl w:val="0"/>
          <w:numId w:val="33"/>
        </w:numPr>
        <w:ind w:left="714" w:hanging="357"/>
        <w:rPr>
          <w:bCs/>
          <w:lang w:val="en-GB"/>
        </w:rPr>
      </w:pPr>
      <w:r w:rsidRPr="00306025">
        <w:rPr>
          <w:bCs/>
          <w:lang w:val="en-GB"/>
        </w:rPr>
        <w:t xml:space="preserve">fails to address </w:t>
      </w:r>
      <w:r w:rsidRPr="00306025">
        <w:rPr>
          <w:b/>
          <w:lang w:val="en-GB"/>
        </w:rPr>
        <w:t>obstacles to access to justice and redress</w:t>
      </w:r>
      <w:r w:rsidRPr="00306025">
        <w:rPr>
          <w:bCs/>
          <w:lang w:val="en-GB"/>
        </w:rPr>
        <w:t xml:space="preserve">, namely the </w:t>
      </w:r>
      <w:r w:rsidRPr="00306025">
        <w:rPr>
          <w:b/>
          <w:lang w:val="en-GB"/>
        </w:rPr>
        <w:t>statutes of limitation</w:t>
      </w:r>
    </w:p>
    <w:p w14:paraId="252E43C0" w14:textId="44C9C469" w:rsidR="00337DA2" w:rsidRPr="00FF6F4E" w:rsidRDefault="00337DA2" w:rsidP="00FE5C60">
      <w:pPr>
        <w:pStyle w:val="absatzschattenbericht"/>
        <w:numPr>
          <w:ilvl w:val="0"/>
          <w:numId w:val="33"/>
        </w:numPr>
        <w:rPr>
          <w:bCs/>
        </w:rPr>
      </w:pPr>
      <w:r w:rsidRPr="00FF6F4E">
        <w:rPr>
          <w:bCs/>
        </w:rPr>
        <w:t xml:space="preserve">fails to implement </w:t>
      </w:r>
      <w:r w:rsidRPr="00FF6F4E">
        <w:rPr>
          <w:b/>
        </w:rPr>
        <w:t>minimal requirements</w:t>
      </w:r>
      <w:r w:rsidRPr="00FF6F4E">
        <w:rPr>
          <w:bCs/>
        </w:rPr>
        <w:t xml:space="preserve"> as stipulated in UN Conventions, </w:t>
      </w:r>
      <w:r w:rsidR="0047322E">
        <w:rPr>
          <w:bCs/>
        </w:rPr>
        <w:t xml:space="preserve">and </w:t>
      </w:r>
      <w:proofErr w:type="spellStart"/>
      <w:r w:rsidR="0047322E">
        <w:rPr>
          <w:bCs/>
        </w:rPr>
        <w:t>recognised</w:t>
      </w:r>
      <w:proofErr w:type="spellEnd"/>
      <w:r w:rsidR="0047322E">
        <w:rPr>
          <w:bCs/>
        </w:rPr>
        <w:t xml:space="preserve"> by the relevant Committees as applicable to IGM practices in previous </w:t>
      </w:r>
      <w:r w:rsidR="005A4C13">
        <w:rPr>
          <w:bCs/>
        </w:rPr>
        <w:t xml:space="preserve">State party reviews and </w:t>
      </w:r>
      <w:r w:rsidR="0047322E">
        <w:rPr>
          <w:bCs/>
        </w:rPr>
        <w:t xml:space="preserve">Concluding Observations, </w:t>
      </w:r>
      <w:r w:rsidRPr="00FF6F4E">
        <w:rPr>
          <w:bCs/>
        </w:rPr>
        <w:t xml:space="preserve">inter alia </w:t>
      </w:r>
      <w:r w:rsidR="00B40673" w:rsidRPr="00FF6F4E">
        <w:rPr>
          <w:b/>
        </w:rPr>
        <w:t xml:space="preserve">CAT art. </w:t>
      </w:r>
      <w:r w:rsidR="00FF6F4E" w:rsidRPr="00FF6F4E">
        <w:rPr>
          <w:b/>
        </w:rPr>
        <w:t xml:space="preserve">2, 10, 12, 14 </w:t>
      </w:r>
      <w:r w:rsidR="00FF6F4E" w:rsidRPr="00FF6F4E">
        <w:rPr>
          <w:bCs/>
        </w:rPr>
        <w:t xml:space="preserve">(in conjunction with </w:t>
      </w:r>
      <w:r w:rsidR="00FF6F4E" w:rsidRPr="00FF6F4E">
        <w:rPr>
          <w:b/>
        </w:rPr>
        <w:t>General Comment No. 3</w:t>
      </w:r>
      <w:r w:rsidR="00FF6F4E" w:rsidRPr="00FF6F4E">
        <w:rPr>
          <w:bCs/>
        </w:rPr>
        <w:t>),</w:t>
      </w:r>
      <w:r w:rsidR="00FF6F4E" w:rsidRPr="00FF6F4E">
        <w:rPr>
          <w:b/>
        </w:rPr>
        <w:t xml:space="preserve"> 16</w:t>
      </w:r>
      <w:r w:rsidR="00FF6F4E">
        <w:rPr>
          <w:b/>
        </w:rPr>
        <w:t xml:space="preserve"> </w:t>
      </w:r>
      <w:r w:rsidR="00FF6F4E" w:rsidRPr="00FF6F4E">
        <w:rPr>
          <w:bCs/>
        </w:rPr>
        <w:t xml:space="preserve">(in conjunction with </w:t>
      </w:r>
      <w:r w:rsidR="00FF6F4E" w:rsidRPr="00FF6F4E">
        <w:rPr>
          <w:b/>
        </w:rPr>
        <w:t xml:space="preserve">General Comment No. </w:t>
      </w:r>
      <w:r w:rsidR="00FF6F4E">
        <w:rPr>
          <w:b/>
        </w:rPr>
        <w:t>2</w:t>
      </w:r>
      <w:r w:rsidR="00FF6F4E" w:rsidRPr="00FF6F4E">
        <w:rPr>
          <w:bCs/>
        </w:rPr>
        <w:t>),</w:t>
      </w:r>
      <w:r w:rsidR="00B40673" w:rsidRPr="00FF6F4E">
        <w:rPr>
          <w:bCs/>
        </w:rPr>
        <w:t xml:space="preserve"> </w:t>
      </w:r>
      <w:r w:rsidRPr="00FF6F4E">
        <w:rPr>
          <w:b/>
        </w:rPr>
        <w:t>CRC art. 24(3)</w:t>
      </w:r>
      <w:r w:rsidRPr="00FF6F4E">
        <w:rPr>
          <w:bCs/>
        </w:rPr>
        <w:t xml:space="preserve"> </w:t>
      </w:r>
      <w:r w:rsidR="00FF6F4E">
        <w:rPr>
          <w:bCs/>
        </w:rPr>
        <w:t xml:space="preserve">and </w:t>
      </w:r>
      <w:r w:rsidR="00FF6F4E" w:rsidRPr="00FF6F4E">
        <w:rPr>
          <w:b/>
        </w:rPr>
        <w:t>CEDAW art. 5</w:t>
      </w:r>
      <w:r w:rsidR="00E66B94">
        <w:rPr>
          <w:bCs/>
        </w:rPr>
        <w:t>, both</w:t>
      </w:r>
      <w:r w:rsidR="00FF6F4E">
        <w:rPr>
          <w:bCs/>
        </w:rPr>
        <w:t xml:space="preserve"> </w:t>
      </w:r>
      <w:r w:rsidRPr="00FF6F4E">
        <w:rPr>
          <w:bCs/>
        </w:rPr>
        <w:t xml:space="preserve">in conjunction with the </w:t>
      </w:r>
      <w:r w:rsidRPr="00FF6F4E">
        <w:rPr>
          <w:b/>
          <w:bCs/>
          <w:lang w:val="en-GB"/>
        </w:rPr>
        <w:t>CRC-CEDAW Joint General Comment No. 18/31</w:t>
      </w:r>
      <w:r w:rsidRPr="00FF6F4E">
        <w:rPr>
          <w:lang w:val="en-GB"/>
        </w:rPr>
        <w:t xml:space="preserve"> on harmful practices</w:t>
      </w:r>
      <w:r w:rsidR="00E66B94">
        <w:rPr>
          <w:lang w:val="en-GB"/>
        </w:rPr>
        <w:t xml:space="preserve">, </w:t>
      </w:r>
      <w:r w:rsidR="00E66B94">
        <w:rPr>
          <w:b/>
          <w:bCs/>
          <w:lang w:val="en-GB"/>
        </w:rPr>
        <w:t xml:space="preserve">CCPR art. 2, 3, 7, 9, 17, 24, 26, </w:t>
      </w:r>
      <w:r w:rsidR="00E66B94">
        <w:rPr>
          <w:lang w:val="en-GB"/>
        </w:rPr>
        <w:t xml:space="preserve">as well as </w:t>
      </w:r>
      <w:r w:rsidR="00E66B94">
        <w:rPr>
          <w:b/>
          <w:bCs/>
          <w:lang w:val="en-GB"/>
        </w:rPr>
        <w:t>CRPD art. 10, 15, 16, 17</w:t>
      </w:r>
      <w:r w:rsidR="00E66B94">
        <w:rPr>
          <w:lang w:val="en-GB"/>
        </w:rPr>
        <w:t>.</w:t>
      </w:r>
    </w:p>
    <w:p w14:paraId="226AA04E" w14:textId="13FDC478" w:rsidR="00E03BEA" w:rsidRPr="00306025" w:rsidRDefault="00E03BEA" w:rsidP="00FE5C60">
      <w:pPr>
        <w:pStyle w:val="absatzschattenbericht"/>
        <w:rPr>
          <w:bCs/>
          <w:lang w:val="en-GB"/>
        </w:rPr>
      </w:pPr>
      <w:r w:rsidRPr="00306025">
        <w:rPr>
          <w:bCs/>
          <w:lang w:val="en-GB"/>
        </w:rPr>
        <w:t xml:space="preserve">Particularly the </w:t>
      </w:r>
      <w:r w:rsidRPr="00306025">
        <w:rPr>
          <w:b/>
          <w:lang w:val="en-GB"/>
        </w:rPr>
        <w:t>lack of criminalisation or adequate sanctions</w:t>
      </w:r>
      <w:r w:rsidRPr="00306025">
        <w:rPr>
          <w:bCs/>
          <w:lang w:val="en-GB"/>
        </w:rPr>
        <w:t xml:space="preserve"> and the </w:t>
      </w:r>
      <w:r w:rsidRPr="00306025">
        <w:rPr>
          <w:b/>
          <w:lang w:val="en-GB"/>
        </w:rPr>
        <w:t>lack of addressing the statutes of limitation</w:t>
      </w:r>
      <w:r w:rsidRPr="00306025">
        <w:rPr>
          <w:bCs/>
          <w:lang w:val="en-GB"/>
        </w:rPr>
        <w:t xml:space="preserve">, as well as the failure to establish a </w:t>
      </w:r>
      <w:r w:rsidRPr="00306025">
        <w:rPr>
          <w:b/>
          <w:lang w:val="en-GB"/>
        </w:rPr>
        <w:t xml:space="preserve">national register </w:t>
      </w:r>
      <w:r w:rsidRPr="00306025">
        <w:rPr>
          <w:bCs/>
          <w:lang w:val="en-GB"/>
        </w:rPr>
        <w:t xml:space="preserve">for relevant medical records, was also </w:t>
      </w:r>
      <w:r w:rsidRPr="00306025">
        <w:rPr>
          <w:b/>
          <w:lang w:val="en-GB"/>
        </w:rPr>
        <w:t>criticised by several experts</w:t>
      </w:r>
      <w:r w:rsidRPr="00306025">
        <w:rPr>
          <w:bCs/>
          <w:lang w:val="en-GB"/>
        </w:rPr>
        <w:t xml:space="preserve"> at a hearing by the Federal Committee on Legal Affairs and Consumer Protection on 13.01.2021.</w:t>
      </w:r>
      <w:r w:rsidRPr="00306025">
        <w:rPr>
          <w:rStyle w:val="Funotenzeichen"/>
          <w:lang w:val="en-GB"/>
        </w:rPr>
        <w:footnoteReference w:id="18"/>
      </w:r>
      <w:r w:rsidRPr="00306025">
        <w:rPr>
          <w:bCs/>
          <w:lang w:val="en-GB"/>
        </w:rPr>
        <w:t xml:space="preserve"> </w:t>
      </w:r>
      <w:r w:rsidRPr="00306025">
        <w:rPr>
          <w:rStyle w:val="Funotenzeichen"/>
          <w:lang w:val="en-GB"/>
        </w:rPr>
        <w:footnoteReference w:id="19"/>
      </w:r>
      <w:r w:rsidRPr="00306025">
        <w:rPr>
          <w:bCs/>
          <w:lang w:val="en-GB"/>
        </w:rPr>
        <w:t xml:space="preserve"> </w:t>
      </w:r>
      <w:r w:rsidRPr="00306025">
        <w:rPr>
          <w:rStyle w:val="Funotenzeichen"/>
          <w:lang w:val="en-GB"/>
        </w:rPr>
        <w:footnoteReference w:id="20"/>
      </w:r>
    </w:p>
    <w:p w14:paraId="6F9494BE" w14:textId="77777777" w:rsidR="00E03BEA" w:rsidRPr="00306025" w:rsidRDefault="00E03BEA" w:rsidP="00E03BEA">
      <w:pPr>
        <w:pStyle w:val="absatzschattenbericht"/>
        <w:rPr>
          <w:bCs/>
          <w:lang w:val="en-GB"/>
        </w:rPr>
      </w:pPr>
      <w:r w:rsidRPr="00306025">
        <w:rPr>
          <w:lang w:val="en-GB"/>
        </w:rPr>
        <w:t xml:space="preserve">After the adoption of the new Law, its </w:t>
      </w:r>
      <w:r w:rsidRPr="00306025">
        <w:rPr>
          <w:b/>
          <w:bCs/>
          <w:lang w:val="en-GB"/>
        </w:rPr>
        <w:t>shortcomings and loopholes</w:t>
      </w:r>
      <w:r w:rsidRPr="00306025">
        <w:rPr>
          <w:lang w:val="en-GB"/>
        </w:rPr>
        <w:t xml:space="preserve"> were again </w:t>
      </w:r>
      <w:r w:rsidRPr="00306025">
        <w:rPr>
          <w:b/>
          <w:bCs/>
          <w:lang w:val="en-GB"/>
        </w:rPr>
        <w:t>widely criticised</w:t>
      </w:r>
      <w:r w:rsidRPr="00306025">
        <w:rPr>
          <w:lang w:val="en-GB"/>
        </w:rPr>
        <w:t xml:space="preserve"> by </w:t>
      </w:r>
      <w:r w:rsidRPr="00306025">
        <w:rPr>
          <w:b/>
          <w:bCs/>
          <w:lang w:val="en-GB"/>
        </w:rPr>
        <w:t>intersex NGOs</w:t>
      </w:r>
      <w:r w:rsidRPr="00306025">
        <w:rPr>
          <w:rStyle w:val="Funotenzeichen"/>
          <w:lang w:val="en-GB"/>
        </w:rPr>
        <w:footnoteReference w:id="21"/>
      </w:r>
      <w:r w:rsidRPr="00306025">
        <w:rPr>
          <w:bCs/>
          <w:lang w:val="en-GB"/>
        </w:rPr>
        <w:t xml:space="preserve"> </w:t>
      </w:r>
      <w:r w:rsidRPr="00306025">
        <w:rPr>
          <w:rStyle w:val="Funotenzeichen"/>
          <w:lang w:val="en-GB"/>
        </w:rPr>
        <w:footnoteReference w:id="22"/>
      </w:r>
      <w:r w:rsidRPr="00306025">
        <w:rPr>
          <w:bCs/>
          <w:lang w:val="en-GB"/>
        </w:rPr>
        <w:t xml:space="preserve"> </w:t>
      </w:r>
      <w:r w:rsidRPr="00306025">
        <w:rPr>
          <w:rStyle w:val="Funotenzeichen"/>
          <w:lang w:val="en-GB"/>
        </w:rPr>
        <w:footnoteReference w:id="23"/>
      </w:r>
      <w:r w:rsidRPr="00306025">
        <w:rPr>
          <w:bCs/>
          <w:lang w:val="en-GB"/>
        </w:rPr>
        <w:t xml:space="preserve"> </w:t>
      </w:r>
      <w:r w:rsidRPr="00306025">
        <w:rPr>
          <w:rStyle w:val="Funotenzeichen"/>
          <w:lang w:val="en-GB"/>
        </w:rPr>
        <w:footnoteReference w:id="24"/>
      </w:r>
      <w:r w:rsidRPr="00306025">
        <w:rPr>
          <w:bCs/>
          <w:lang w:val="en-GB"/>
        </w:rPr>
        <w:t xml:space="preserve"> and </w:t>
      </w:r>
      <w:r w:rsidRPr="00306025">
        <w:rPr>
          <w:b/>
          <w:bCs/>
          <w:lang w:val="en-GB"/>
        </w:rPr>
        <w:t>legal experts</w:t>
      </w:r>
      <w:r w:rsidRPr="00306025">
        <w:rPr>
          <w:bCs/>
          <w:lang w:val="en-GB"/>
        </w:rPr>
        <w:t>.</w:t>
      </w:r>
      <w:r w:rsidRPr="00306025">
        <w:rPr>
          <w:rStyle w:val="Funotenzeichen"/>
          <w:lang w:val="en-GB"/>
        </w:rPr>
        <w:footnoteReference w:id="25"/>
      </w:r>
    </w:p>
    <w:p w14:paraId="321B3702" w14:textId="77777777" w:rsidR="00E03BEA" w:rsidRPr="00306025" w:rsidRDefault="00E03BEA" w:rsidP="00E03BEA">
      <w:pPr>
        <w:pStyle w:val="absatzschattenbericht"/>
        <w:rPr>
          <w:bCs/>
          <w:lang w:val="en-GB"/>
        </w:rPr>
      </w:pPr>
      <w:r w:rsidRPr="00306025">
        <w:rPr>
          <w:bCs/>
          <w:lang w:val="en-GB"/>
        </w:rPr>
        <w:t xml:space="preserve">The </w:t>
      </w:r>
      <w:r w:rsidRPr="00306025">
        <w:rPr>
          <w:b/>
          <w:lang w:val="en-GB"/>
        </w:rPr>
        <w:t>lack of sanctions</w:t>
      </w:r>
      <w:r w:rsidRPr="00306025">
        <w:rPr>
          <w:bCs/>
          <w:lang w:val="en-GB"/>
        </w:rPr>
        <w:t xml:space="preserve"> was also highlighted by </w:t>
      </w:r>
      <w:r w:rsidRPr="00306025">
        <w:rPr>
          <w:b/>
          <w:lang w:val="en-GB"/>
        </w:rPr>
        <w:t xml:space="preserve">doctors </w:t>
      </w:r>
      <w:r w:rsidRPr="00306025">
        <w:rPr>
          <w:bCs/>
          <w:lang w:val="en-GB"/>
        </w:rPr>
        <w:t>involved</w:t>
      </w:r>
      <w:r w:rsidRPr="00306025">
        <w:rPr>
          <w:b/>
          <w:lang w:val="en-GB"/>
        </w:rPr>
        <w:t xml:space="preserve"> </w:t>
      </w:r>
      <w:r w:rsidRPr="00306025">
        <w:rPr>
          <w:bCs/>
          <w:lang w:val="en-GB"/>
        </w:rPr>
        <w:t>in IGM practices:</w:t>
      </w:r>
      <w:r w:rsidRPr="00306025">
        <w:rPr>
          <w:rStyle w:val="Funotenzeichen"/>
          <w:lang w:val="en-GB"/>
        </w:rPr>
        <w:footnoteReference w:id="26"/>
      </w:r>
    </w:p>
    <w:p w14:paraId="591A167A" w14:textId="324901CA" w:rsidR="00E03BEA" w:rsidRPr="00306025" w:rsidRDefault="00E03BEA" w:rsidP="00E03BEA">
      <w:pPr>
        <w:pStyle w:val="absatzschattenbericht"/>
        <w:ind w:left="284"/>
        <w:rPr>
          <w:bCs/>
          <w:i/>
          <w:iCs/>
          <w:lang w:val="en-GB"/>
        </w:rPr>
      </w:pPr>
      <w:r w:rsidRPr="00306025">
        <w:rPr>
          <w:bCs/>
          <w:i/>
          <w:iCs/>
          <w:lang w:val="en-GB"/>
        </w:rPr>
        <w:t>“[…]</w:t>
      </w:r>
      <w:r w:rsidR="009F48E7" w:rsidRPr="00306025">
        <w:rPr>
          <w:bCs/>
          <w:i/>
          <w:iCs/>
          <w:lang w:val="en-GB"/>
        </w:rPr>
        <w:t xml:space="preserve"> </w:t>
      </w:r>
      <w:r w:rsidRPr="00306025">
        <w:rPr>
          <w:bCs/>
          <w:i/>
          <w:iCs/>
          <w:lang w:val="en-GB"/>
        </w:rPr>
        <w:t xml:space="preserve">Olaf </w:t>
      </w:r>
      <w:proofErr w:type="spellStart"/>
      <w:r w:rsidRPr="00306025">
        <w:rPr>
          <w:bCs/>
          <w:i/>
          <w:iCs/>
          <w:lang w:val="en-GB"/>
        </w:rPr>
        <w:t>Hiort</w:t>
      </w:r>
      <w:proofErr w:type="spellEnd"/>
      <w:r w:rsidRPr="00306025">
        <w:rPr>
          <w:bCs/>
          <w:i/>
          <w:iCs/>
          <w:lang w:val="en-GB"/>
        </w:rPr>
        <w:t xml:space="preserve"> - a professor at the University Hospital in </w:t>
      </w:r>
      <w:proofErr w:type="spellStart"/>
      <w:r w:rsidRPr="00306025">
        <w:rPr>
          <w:bCs/>
          <w:i/>
          <w:iCs/>
          <w:lang w:val="en-GB"/>
        </w:rPr>
        <w:t>Luebeck</w:t>
      </w:r>
      <w:proofErr w:type="spellEnd"/>
      <w:r w:rsidRPr="00306025">
        <w:rPr>
          <w:bCs/>
          <w:i/>
          <w:iCs/>
          <w:lang w:val="en-GB"/>
        </w:rPr>
        <w:t xml:space="preserve"> - said he hoped [the German ban] would ‘curb uncontrolled operations’.</w:t>
      </w:r>
    </w:p>
    <w:p w14:paraId="1D36D065" w14:textId="27D1B757" w:rsidR="00A17E53" w:rsidRPr="006D03A3" w:rsidRDefault="00E03BEA" w:rsidP="006D03A3">
      <w:pPr>
        <w:pStyle w:val="absatzschattenbericht"/>
        <w:ind w:left="284"/>
        <w:rPr>
          <w:bCs/>
          <w:i/>
          <w:iCs/>
          <w:lang w:val="en-GB"/>
        </w:rPr>
      </w:pPr>
      <w:r w:rsidRPr="00306025">
        <w:rPr>
          <w:bCs/>
          <w:i/>
          <w:iCs/>
          <w:lang w:val="en-GB"/>
        </w:rPr>
        <w:t xml:space="preserve">He noted, however, that while there was now a ban, </w:t>
      </w:r>
      <w:r w:rsidRPr="00306025">
        <w:rPr>
          <w:b/>
          <w:i/>
          <w:iCs/>
          <w:lang w:val="en-GB"/>
        </w:rPr>
        <w:t>‘there is no penalty’</w:t>
      </w:r>
      <w:r w:rsidRPr="00306025">
        <w:rPr>
          <w:bCs/>
          <w:i/>
          <w:iCs/>
          <w:lang w:val="en-GB"/>
        </w:rPr>
        <w:t>.”</w:t>
      </w:r>
    </w:p>
    <w:p w14:paraId="4CF465AF" w14:textId="103A074D" w:rsidR="00584B3C" w:rsidRDefault="00584B3C" w:rsidP="00584B3C">
      <w:pPr>
        <w:pStyle w:val="absatzschattenbericht"/>
        <w:rPr>
          <w:lang w:val="en-GB"/>
        </w:rPr>
      </w:pPr>
      <w:r>
        <w:rPr>
          <w:lang w:val="en-GB"/>
        </w:rPr>
        <w:lastRenderedPageBreak/>
        <w:t xml:space="preserve">Nonetheless, during the </w:t>
      </w:r>
      <w:r w:rsidRPr="000D6F40">
        <w:rPr>
          <w:b/>
          <w:bCs/>
          <w:lang w:val="en-GB"/>
        </w:rPr>
        <w:t>2021 interactive dialogue with CCPR</w:t>
      </w:r>
      <w:r>
        <w:rPr>
          <w:lang w:val="en-GB"/>
        </w:rPr>
        <w:t xml:space="preserve"> the German delegation </w:t>
      </w:r>
      <w:r w:rsidRPr="000D6F40">
        <w:rPr>
          <w:b/>
          <w:bCs/>
          <w:lang w:val="en-GB"/>
        </w:rPr>
        <w:t>counterfactually claimed:</w:t>
      </w:r>
      <w:r w:rsidRPr="00306025">
        <w:rPr>
          <w:rStyle w:val="Funotenzeichen"/>
          <w:lang w:val="en-GB"/>
        </w:rPr>
        <w:footnoteReference w:id="27"/>
      </w:r>
    </w:p>
    <w:p w14:paraId="56EDC0BE" w14:textId="77777777" w:rsidR="00584B3C" w:rsidRPr="000D6F40" w:rsidRDefault="00584B3C" w:rsidP="00111369">
      <w:pPr>
        <w:pStyle w:val="absatzschattenbericht"/>
        <w:ind w:left="284"/>
        <w:rPr>
          <w:i/>
          <w:iCs/>
          <w:lang w:val="en-GB"/>
        </w:rPr>
      </w:pPr>
      <w:r w:rsidRPr="000D6F40">
        <w:rPr>
          <w:i/>
          <w:iCs/>
          <w:lang w:val="en-GB"/>
        </w:rPr>
        <w:t xml:space="preserve">“Yes, on the question of the </w:t>
      </w:r>
      <w:r w:rsidRPr="000D6F40">
        <w:rPr>
          <w:b/>
          <w:bCs/>
          <w:i/>
          <w:iCs/>
          <w:lang w:val="en-GB"/>
        </w:rPr>
        <w:t>statute of limitations</w:t>
      </w:r>
      <w:r w:rsidRPr="000D6F40">
        <w:rPr>
          <w:i/>
          <w:iCs/>
          <w:lang w:val="en-GB"/>
        </w:rPr>
        <w:t xml:space="preserve">, I had forgotten that yesterday, that was actually discussed during the legislative process. The </w:t>
      </w:r>
      <w:r w:rsidRPr="000D6F40">
        <w:rPr>
          <w:b/>
          <w:bCs/>
          <w:i/>
          <w:iCs/>
          <w:lang w:val="en-GB"/>
        </w:rPr>
        <w:t>time limits have been extended</w:t>
      </w:r>
      <w:r w:rsidRPr="000D6F40">
        <w:rPr>
          <w:i/>
          <w:iCs/>
          <w:lang w:val="en-GB"/>
        </w:rPr>
        <w:t xml:space="preserve"> and it is now available for those affected up </w:t>
      </w:r>
      <w:r w:rsidRPr="000D6F40">
        <w:rPr>
          <w:b/>
          <w:bCs/>
          <w:i/>
          <w:iCs/>
          <w:lang w:val="en-GB"/>
        </w:rPr>
        <w:t>to the age of 48</w:t>
      </w:r>
      <w:r w:rsidRPr="000D6F40">
        <w:rPr>
          <w:i/>
          <w:iCs/>
          <w:lang w:val="en-GB"/>
        </w:rPr>
        <w:t xml:space="preserve"> to investigate or ask questions about it and to deal with it.”</w:t>
      </w:r>
    </w:p>
    <w:p w14:paraId="7A080E83" w14:textId="77777777" w:rsidR="00584B3C" w:rsidRPr="00306025" w:rsidRDefault="00584B3C" w:rsidP="00584B3C">
      <w:pPr>
        <w:pStyle w:val="absatzschattenbericht"/>
        <w:rPr>
          <w:lang w:val="en-GB"/>
        </w:rPr>
      </w:pPr>
      <w:r>
        <w:rPr>
          <w:lang w:val="en-GB"/>
        </w:rPr>
        <w:t xml:space="preserve">However, according to the Law, only </w:t>
      </w:r>
      <w:r w:rsidRPr="00BF590C">
        <w:rPr>
          <w:lang w:val="en-GB"/>
        </w:rPr>
        <w:t xml:space="preserve">the </w:t>
      </w:r>
      <w:r w:rsidRPr="002C4446">
        <w:rPr>
          <w:b/>
          <w:bCs/>
          <w:lang w:val="en-GB"/>
        </w:rPr>
        <w:t>period for keeping medical records</w:t>
      </w:r>
      <w:r w:rsidRPr="00BF590C">
        <w:rPr>
          <w:lang w:val="en-GB"/>
        </w:rPr>
        <w:t xml:space="preserve"> was extended to 48 years, but </w:t>
      </w:r>
      <w:r w:rsidRPr="002C4446">
        <w:rPr>
          <w:b/>
          <w:bCs/>
          <w:lang w:val="en-GB"/>
        </w:rPr>
        <w:t>not</w:t>
      </w:r>
      <w:r w:rsidRPr="00BF590C">
        <w:rPr>
          <w:lang w:val="en-GB"/>
        </w:rPr>
        <w:t xml:space="preserve"> the statutes of limitations.</w:t>
      </w:r>
    </w:p>
    <w:p w14:paraId="67A67976" w14:textId="6D09C962" w:rsidR="002475B3" w:rsidRPr="00584B3C" w:rsidRDefault="00584B3C" w:rsidP="00F8729E">
      <w:pPr>
        <w:pStyle w:val="absatzschattenbericht"/>
        <w:rPr>
          <w:bCs/>
          <w:lang w:val="en-GB"/>
        </w:rPr>
      </w:pPr>
      <w:r>
        <w:rPr>
          <w:bCs/>
          <w:lang w:val="en-GB"/>
        </w:rPr>
        <w:t>Accordingly</w:t>
      </w:r>
      <w:r w:rsidR="004950DA" w:rsidRPr="00704B7D">
        <w:rPr>
          <w:lang w:val="en-GB"/>
        </w:rPr>
        <w:t xml:space="preserve">, in </w:t>
      </w:r>
      <w:r w:rsidR="004950DA">
        <w:rPr>
          <w:lang w:val="en-GB"/>
        </w:rPr>
        <w:t xml:space="preserve">its </w:t>
      </w:r>
      <w:r w:rsidR="004950DA" w:rsidRPr="00704B7D">
        <w:rPr>
          <w:lang w:val="en-GB"/>
        </w:rPr>
        <w:t>2021</w:t>
      </w:r>
      <w:r w:rsidR="004950DA">
        <w:rPr>
          <w:lang w:val="en-GB"/>
        </w:rPr>
        <w:t xml:space="preserve"> Concluding Observations</w:t>
      </w:r>
      <w:r w:rsidR="004950DA" w:rsidRPr="00704B7D">
        <w:rPr>
          <w:lang w:val="en-GB"/>
        </w:rPr>
        <w:t xml:space="preserve"> </w:t>
      </w:r>
      <w:r w:rsidR="004950DA" w:rsidRPr="00704B7D">
        <w:rPr>
          <w:b/>
          <w:bCs/>
          <w:lang w:val="en-GB"/>
        </w:rPr>
        <w:t>CCPR</w:t>
      </w:r>
      <w:r w:rsidR="004950DA" w:rsidRPr="00704B7D">
        <w:rPr>
          <w:lang w:val="en-GB"/>
        </w:rPr>
        <w:t xml:space="preserve"> once more obliged Germany to </w:t>
      </w:r>
      <w:r w:rsidR="004950DA" w:rsidRPr="004950DA">
        <w:rPr>
          <w:b/>
          <w:bCs/>
          <w:i/>
          <w:iCs/>
          <w:lang w:val="en-GB"/>
        </w:rPr>
        <w:t>“</w:t>
      </w:r>
      <w:r w:rsidR="004950DA" w:rsidRPr="004950DA">
        <w:rPr>
          <w:b/>
          <w:bCs/>
          <w:i/>
          <w:lang w:val="en-GB"/>
        </w:rPr>
        <w:t>ensure that all victims have access to remedies, including through a revision of the application of statutes of limitation for violations in childhood</w:t>
      </w:r>
      <w:r w:rsidR="004950DA" w:rsidRPr="00704B7D">
        <w:rPr>
          <w:i/>
          <w:lang w:val="en-GB"/>
        </w:rPr>
        <w:t xml:space="preserve">, taking steps to ensure that all victims have access to their health records and </w:t>
      </w:r>
      <w:r w:rsidR="004950DA" w:rsidRPr="004950DA">
        <w:rPr>
          <w:i/>
          <w:lang w:val="en-GB"/>
        </w:rPr>
        <w:t>considering the establishment of a dedicated compensation fund”</w:t>
      </w:r>
      <w:r w:rsidR="004950DA" w:rsidRPr="00704B7D">
        <w:rPr>
          <w:i/>
          <w:lang w:val="en-GB"/>
        </w:rPr>
        <w:t xml:space="preserve"> </w:t>
      </w:r>
      <w:r w:rsidR="004950DA" w:rsidRPr="00704B7D">
        <w:rPr>
          <w:iCs/>
          <w:lang w:val="en-GB"/>
        </w:rPr>
        <w:t>(</w:t>
      </w:r>
      <w:r w:rsidR="004950DA" w:rsidRPr="00704B7D">
        <w:rPr>
          <w:bCs/>
          <w:lang w:val="en-GB"/>
        </w:rPr>
        <w:t>CCPR/C/DEU/CO/7, paras 20-21).</w:t>
      </w:r>
    </w:p>
    <w:p w14:paraId="18CCC8F6" w14:textId="2F73EA7C" w:rsidR="001F3497" w:rsidRPr="00306025" w:rsidRDefault="006409D0" w:rsidP="001F3497">
      <w:pPr>
        <w:pStyle w:val="Title2"/>
        <w:rPr>
          <w:rFonts w:eastAsia="Baskerville"/>
          <w:szCs w:val="24"/>
        </w:rPr>
      </w:pPr>
      <w:bookmarkStart w:id="58" w:name="_Toc141803635"/>
      <w:r>
        <w:t>5</w:t>
      </w:r>
      <w:r w:rsidR="001F3497" w:rsidRPr="00306025">
        <w:t xml:space="preserve">.  </w:t>
      </w:r>
      <w:r w:rsidR="007734C2" w:rsidRPr="00306025">
        <w:t>Medical guidelines prescribing IGM practices remain in force</w:t>
      </w:r>
      <w:bookmarkEnd w:id="58"/>
    </w:p>
    <w:p w14:paraId="401114DB" w14:textId="7B148A13" w:rsidR="002475B3" w:rsidRDefault="00A76B41" w:rsidP="002475B3">
      <w:pPr>
        <w:pStyle w:val="absatzschattenbericht"/>
        <w:rPr>
          <w:rFonts w:cs="Times New Roman"/>
          <w:i/>
          <w:iCs/>
          <w:lang w:val="en-GB"/>
        </w:rPr>
      </w:pPr>
      <w:r w:rsidRPr="001270B4">
        <w:rPr>
          <w:lang w:val="en-GB"/>
        </w:rPr>
        <w:t xml:space="preserve">Despite the new Law, </w:t>
      </w:r>
      <w:r w:rsidR="00094A9F" w:rsidRPr="001270B4">
        <w:rPr>
          <w:lang w:val="en-GB"/>
        </w:rPr>
        <w:t xml:space="preserve">the </w:t>
      </w:r>
      <w:r w:rsidR="00094A9F" w:rsidRPr="001270B4">
        <w:rPr>
          <w:b/>
          <w:bCs/>
          <w:lang w:val="en-GB"/>
        </w:rPr>
        <w:t xml:space="preserve">German Urological Association (“Deutsche </w:t>
      </w:r>
      <w:proofErr w:type="spellStart"/>
      <w:r w:rsidR="00094A9F" w:rsidRPr="001270B4">
        <w:rPr>
          <w:b/>
          <w:bCs/>
          <w:lang w:val="en-GB"/>
        </w:rPr>
        <w:t>Gesellschaft</w:t>
      </w:r>
      <w:proofErr w:type="spellEnd"/>
      <w:r w:rsidR="00094A9F" w:rsidRPr="001270B4">
        <w:rPr>
          <w:b/>
          <w:bCs/>
          <w:lang w:val="en-GB"/>
        </w:rPr>
        <w:t xml:space="preserve"> </w:t>
      </w:r>
      <w:proofErr w:type="spellStart"/>
      <w:r w:rsidR="00094A9F" w:rsidRPr="001270B4">
        <w:rPr>
          <w:b/>
          <w:bCs/>
          <w:lang w:val="en-GB"/>
        </w:rPr>
        <w:t>für</w:t>
      </w:r>
      <w:proofErr w:type="spellEnd"/>
      <w:r w:rsidR="00094A9F" w:rsidRPr="001270B4">
        <w:rPr>
          <w:b/>
          <w:bCs/>
          <w:lang w:val="en-GB"/>
        </w:rPr>
        <w:t xml:space="preserve"> </w:t>
      </w:r>
      <w:proofErr w:type="spellStart"/>
      <w:r w:rsidR="00094A9F" w:rsidRPr="001270B4">
        <w:rPr>
          <w:b/>
          <w:bCs/>
          <w:lang w:val="en-GB"/>
        </w:rPr>
        <w:t>Urologie</w:t>
      </w:r>
      <w:proofErr w:type="spellEnd"/>
      <w:r w:rsidR="00094A9F" w:rsidRPr="001270B4">
        <w:rPr>
          <w:b/>
          <w:bCs/>
          <w:lang w:val="en-GB"/>
        </w:rPr>
        <w:t xml:space="preserve"> (DGU)”)</w:t>
      </w:r>
      <w:r w:rsidR="00DD589C" w:rsidRPr="001270B4">
        <w:rPr>
          <w:lang w:val="en-GB"/>
        </w:rPr>
        <w:t xml:space="preserve"> </w:t>
      </w:r>
      <w:r w:rsidRPr="001270B4">
        <w:rPr>
          <w:lang w:val="en-GB"/>
        </w:rPr>
        <w:t>sti</w:t>
      </w:r>
      <w:r w:rsidR="008140FF" w:rsidRPr="001270B4">
        <w:rPr>
          <w:lang w:val="en-GB"/>
        </w:rPr>
        <w:t xml:space="preserve">ll </w:t>
      </w:r>
      <w:r w:rsidR="00094A9F" w:rsidRPr="001270B4">
        <w:rPr>
          <w:lang w:val="en-GB"/>
        </w:rPr>
        <w:t xml:space="preserve">endorses the </w:t>
      </w:r>
      <w:r w:rsidR="007329BD" w:rsidRPr="001270B4">
        <w:rPr>
          <w:b/>
          <w:lang w:val="en-GB"/>
        </w:rPr>
        <w:t>2023</w:t>
      </w:r>
      <w:r w:rsidR="00094A9F" w:rsidRPr="001270B4">
        <w:rPr>
          <w:b/>
          <w:lang w:val="en-GB"/>
        </w:rPr>
        <w:t xml:space="preserve"> Guidelines of the European Association of Urology (EAU)</w:t>
      </w:r>
      <w:r w:rsidR="00094A9F" w:rsidRPr="001270B4">
        <w:rPr>
          <w:bCs/>
          <w:lang w:val="en-GB"/>
        </w:rPr>
        <w:t>,</w:t>
      </w:r>
      <w:r w:rsidR="009A021E" w:rsidRPr="001270B4">
        <w:rPr>
          <w:rStyle w:val="Funotenzeichen"/>
          <w:lang w:val="en-GB"/>
        </w:rPr>
        <w:footnoteReference w:id="28"/>
      </w:r>
      <w:r w:rsidR="00094A9F" w:rsidRPr="001270B4">
        <w:rPr>
          <w:bCs/>
          <w:lang w:val="en-GB"/>
        </w:rPr>
        <w:t xml:space="preserve"> which include the current </w:t>
      </w:r>
      <w:r w:rsidR="00094A9F" w:rsidRPr="001270B4">
        <w:rPr>
          <w:b/>
          <w:lang w:val="en-GB"/>
        </w:rPr>
        <w:t xml:space="preserve">ESPU/EAU </w:t>
      </w:r>
      <w:r w:rsidR="00094A9F" w:rsidRPr="001270B4">
        <w:rPr>
          <w:b/>
          <w:i/>
          <w:lang w:val="en-GB"/>
        </w:rPr>
        <w:t xml:space="preserve">“Paediatric Urology” </w:t>
      </w:r>
      <w:r w:rsidR="00094A9F" w:rsidRPr="001270B4">
        <w:rPr>
          <w:b/>
          <w:lang w:val="en-GB"/>
        </w:rPr>
        <w:t xml:space="preserve">Guidelines </w:t>
      </w:r>
      <w:r w:rsidR="007329BD" w:rsidRPr="001270B4">
        <w:rPr>
          <w:b/>
          <w:lang w:val="en-GB"/>
        </w:rPr>
        <w:t>2023</w:t>
      </w:r>
      <w:r w:rsidR="009A021E" w:rsidRPr="001270B4">
        <w:rPr>
          <w:rStyle w:val="Funotenzeichen"/>
          <w:lang w:val="en-GB"/>
        </w:rPr>
        <w:footnoteReference w:id="29"/>
      </w:r>
      <w:r w:rsidR="00094A9F" w:rsidRPr="001270B4">
        <w:rPr>
          <w:lang w:val="en-GB"/>
        </w:rPr>
        <w:t xml:space="preserve"> of the European Society for Paediatric Urology (ESPU) and the European Association of Urology (EAU) which </w:t>
      </w:r>
      <w:r w:rsidR="00094A9F" w:rsidRPr="001270B4">
        <w:rPr>
          <w:b/>
          <w:bCs/>
          <w:lang w:val="en-GB"/>
        </w:rPr>
        <w:t>promote all forms of IGM practices</w:t>
      </w:r>
      <w:r w:rsidR="00094A9F" w:rsidRPr="001270B4">
        <w:rPr>
          <w:lang w:val="en-GB"/>
        </w:rPr>
        <w:t xml:space="preserve">, in particular </w:t>
      </w:r>
      <w:r w:rsidR="00094A9F" w:rsidRPr="001270B4">
        <w:rPr>
          <w:b/>
          <w:bCs/>
          <w:lang w:val="en-GB"/>
        </w:rPr>
        <w:t>IGM 3: “removal of testes”</w:t>
      </w:r>
      <w:r w:rsidR="00094A9F" w:rsidRPr="001270B4">
        <w:rPr>
          <w:lang w:val="en-GB"/>
        </w:rPr>
        <w:t>,</w:t>
      </w:r>
      <w:r w:rsidR="00243F3E" w:rsidRPr="001270B4">
        <w:rPr>
          <w:rStyle w:val="Funotenzeichen"/>
          <w:rFonts w:eastAsia="Times New Roman"/>
          <w:lang w:val="en-GB" w:eastAsia="hi-IN"/>
        </w:rPr>
        <w:footnoteReference w:id="30"/>
      </w:r>
      <w:r w:rsidR="00094A9F" w:rsidRPr="001270B4">
        <w:rPr>
          <w:lang w:val="en-GB"/>
        </w:rPr>
        <w:t xml:space="preserve"> </w:t>
      </w:r>
      <w:r w:rsidR="00094A9F" w:rsidRPr="001270B4">
        <w:rPr>
          <w:b/>
          <w:bCs/>
          <w:lang w:val="en-GB"/>
        </w:rPr>
        <w:t xml:space="preserve">IGM 2: </w:t>
      </w:r>
      <w:r w:rsidR="00094A9F" w:rsidRPr="001270B4">
        <w:rPr>
          <w:rFonts w:cs="Times New Roman"/>
          <w:b/>
          <w:bCs/>
          <w:lang w:val="en-GB"/>
        </w:rPr>
        <w:t>partial clitoris amputation</w:t>
      </w:r>
      <w:r w:rsidR="00094A9F" w:rsidRPr="001270B4">
        <w:rPr>
          <w:rFonts w:cs="Times New Roman"/>
          <w:lang w:val="en-GB"/>
        </w:rPr>
        <w:t xml:space="preserve"> on young children based on </w:t>
      </w:r>
      <w:r w:rsidR="00094A9F" w:rsidRPr="001270B4">
        <w:rPr>
          <w:rFonts w:cs="Times New Roman"/>
          <w:b/>
          <w:bCs/>
          <w:i/>
          <w:iCs/>
          <w:lang w:val="en-GB"/>
        </w:rPr>
        <w:t>“social and emotional conditions”</w:t>
      </w:r>
      <w:r w:rsidR="00094A9F" w:rsidRPr="001270B4">
        <w:rPr>
          <w:rFonts w:cs="Times New Roman"/>
          <w:lang w:val="en-GB"/>
        </w:rPr>
        <w:t xml:space="preserve"> and </w:t>
      </w:r>
      <w:r w:rsidR="00094A9F" w:rsidRPr="001270B4">
        <w:rPr>
          <w:rFonts w:cs="Times New Roman"/>
          <w:b/>
          <w:bCs/>
          <w:lang w:val="en-GB"/>
        </w:rPr>
        <w:t>substituted decision-making</w:t>
      </w:r>
      <w:r w:rsidR="00094A9F" w:rsidRPr="001270B4">
        <w:rPr>
          <w:rFonts w:cs="Times New Roman"/>
          <w:b/>
          <w:bCs/>
          <w:i/>
          <w:iCs/>
          <w:lang w:val="en-GB"/>
        </w:rPr>
        <w:t xml:space="preserve"> </w:t>
      </w:r>
      <w:r w:rsidR="00094A9F" w:rsidRPr="001270B4">
        <w:rPr>
          <w:rFonts w:cs="Times New Roman"/>
          <w:b/>
          <w:bCs/>
          <w:lang w:val="en-GB"/>
        </w:rPr>
        <w:t xml:space="preserve">by </w:t>
      </w:r>
      <w:r w:rsidR="00094A9F" w:rsidRPr="001270B4">
        <w:rPr>
          <w:rFonts w:cs="Times New Roman"/>
          <w:b/>
          <w:bCs/>
          <w:i/>
          <w:iCs/>
          <w:lang w:val="en-GB"/>
        </w:rPr>
        <w:t>“parents and caregivers</w:t>
      </w:r>
      <w:r w:rsidR="00094A9F" w:rsidRPr="001270B4">
        <w:rPr>
          <w:rFonts w:cs="Times New Roman"/>
          <w:i/>
          <w:iCs/>
          <w:lang w:val="en-GB"/>
        </w:rPr>
        <w:t xml:space="preserve"> implicitly act[</w:t>
      </w:r>
      <w:proofErr w:type="spellStart"/>
      <w:r w:rsidR="00094A9F" w:rsidRPr="001270B4">
        <w:rPr>
          <w:rFonts w:cs="Times New Roman"/>
          <w:i/>
          <w:iCs/>
          <w:lang w:val="en-GB"/>
        </w:rPr>
        <w:t>ing</w:t>
      </w:r>
      <w:proofErr w:type="spellEnd"/>
      <w:r w:rsidR="00094A9F" w:rsidRPr="001270B4">
        <w:rPr>
          <w:rFonts w:cs="Times New Roman"/>
          <w:i/>
          <w:iCs/>
          <w:lang w:val="en-GB"/>
        </w:rPr>
        <w:t>] in the best interest of their children”</w:t>
      </w:r>
      <w:r w:rsidR="00094A9F" w:rsidRPr="001270B4">
        <w:rPr>
          <w:rFonts w:cs="Times New Roman"/>
          <w:lang w:val="en-GB"/>
        </w:rPr>
        <w:t>,</w:t>
      </w:r>
      <w:r w:rsidR="00243F3E" w:rsidRPr="001270B4">
        <w:rPr>
          <w:rStyle w:val="Funotenzeichen"/>
          <w:rFonts w:eastAsia="Times New Roman"/>
          <w:lang w:val="en-GB" w:eastAsia="hi-IN"/>
        </w:rPr>
        <w:footnoteReference w:id="31"/>
      </w:r>
      <w:r w:rsidR="00094A9F" w:rsidRPr="001270B4">
        <w:rPr>
          <w:rFonts w:cs="Times New Roman"/>
          <w:lang w:val="en-GB"/>
        </w:rPr>
        <w:t xml:space="preserve"> and </w:t>
      </w:r>
      <w:r w:rsidR="00094A9F" w:rsidRPr="001270B4">
        <w:rPr>
          <w:rFonts w:cs="Times New Roman"/>
          <w:b/>
          <w:bCs/>
          <w:lang w:val="en-GB"/>
        </w:rPr>
        <w:t>IGM 1:</w:t>
      </w:r>
      <w:r w:rsidR="00094A9F" w:rsidRPr="001270B4">
        <w:rPr>
          <w:rFonts w:cs="Times New Roman"/>
          <w:lang w:val="en-GB"/>
        </w:rPr>
        <w:t xml:space="preserve"> </w:t>
      </w:r>
      <w:r w:rsidR="00094A9F" w:rsidRPr="001270B4">
        <w:rPr>
          <w:rFonts w:cs="Times New Roman"/>
          <w:b/>
          <w:bCs/>
          <w:i/>
          <w:iCs/>
          <w:lang w:val="en-GB"/>
        </w:rPr>
        <w:t>“The age at surgery for primary hypospadias repair is usually 6-18 (24) months.”</w:t>
      </w:r>
      <w:r w:rsidR="00094A9F" w:rsidRPr="001270B4">
        <w:rPr>
          <w:rFonts w:cs="Times New Roman"/>
          <w:i/>
          <w:iCs/>
          <w:lang w:val="en-GB"/>
        </w:rPr>
        <w:t xml:space="preserve"> </w:t>
      </w:r>
      <w:r w:rsidR="00094A9F" w:rsidRPr="001270B4">
        <w:rPr>
          <w:rStyle w:val="Funotenzeichen"/>
          <w:rFonts w:eastAsia="Times New Roman"/>
          <w:lang w:val="en-GB" w:eastAsia="hi-IN"/>
        </w:rPr>
        <w:footnoteReference w:id="32"/>
      </w:r>
    </w:p>
    <w:p w14:paraId="4B744893" w14:textId="0C0BA222" w:rsidR="00A647FB" w:rsidRPr="00306025" w:rsidRDefault="006409D0" w:rsidP="00A647FB">
      <w:pPr>
        <w:pStyle w:val="Title2"/>
        <w:rPr>
          <w:rFonts w:eastAsia="Baskerville"/>
          <w:szCs w:val="24"/>
        </w:rPr>
      </w:pPr>
      <w:bookmarkStart w:id="59" w:name="_Toc141803636"/>
      <w:r>
        <w:t>6</w:t>
      </w:r>
      <w:r w:rsidR="00A647FB" w:rsidRPr="00306025">
        <w:t xml:space="preserve">.  Statutes of </w:t>
      </w:r>
      <w:r w:rsidR="00FE2C1B" w:rsidRPr="00306025">
        <w:t>l</w:t>
      </w:r>
      <w:r w:rsidR="00A647FB" w:rsidRPr="00306025">
        <w:t xml:space="preserve">imitations and </w:t>
      </w:r>
      <w:r w:rsidR="00FE2C1B" w:rsidRPr="00306025">
        <w:t>l</w:t>
      </w:r>
      <w:r w:rsidR="00A647FB" w:rsidRPr="00306025">
        <w:t xml:space="preserve">ack of </w:t>
      </w:r>
      <w:r w:rsidR="00E03BEA" w:rsidRPr="00306025">
        <w:t>effective</w:t>
      </w:r>
      <w:r w:rsidR="00A647FB" w:rsidRPr="00306025">
        <w:t xml:space="preserve"> </w:t>
      </w:r>
      <w:r w:rsidR="00FE2C1B" w:rsidRPr="00306025">
        <w:t>p</w:t>
      </w:r>
      <w:r w:rsidR="00A647FB" w:rsidRPr="00306025">
        <w:t xml:space="preserve">rohibition: </w:t>
      </w:r>
      <w:r w:rsidR="00A647FB" w:rsidRPr="00306025">
        <w:br/>
        <w:t xml:space="preserve">     Main </w:t>
      </w:r>
      <w:r w:rsidR="00FE2C1B" w:rsidRPr="00306025">
        <w:t>o</w:t>
      </w:r>
      <w:r w:rsidR="00A647FB" w:rsidRPr="00306025">
        <w:t xml:space="preserve">bstacles preventing </w:t>
      </w:r>
      <w:r w:rsidR="00FE2C1B" w:rsidRPr="00306025">
        <w:t>a</w:t>
      </w:r>
      <w:r w:rsidR="00A647FB" w:rsidRPr="00306025">
        <w:t xml:space="preserve">ccess to </w:t>
      </w:r>
      <w:r w:rsidR="00FE2C1B" w:rsidRPr="00306025">
        <w:t>j</w:t>
      </w:r>
      <w:r w:rsidR="00A647FB" w:rsidRPr="00306025">
        <w:t xml:space="preserve">ustice for IGM </w:t>
      </w:r>
      <w:r w:rsidR="00FE2C1B" w:rsidRPr="00306025">
        <w:t>s</w:t>
      </w:r>
      <w:r w:rsidR="00A647FB" w:rsidRPr="00306025">
        <w:t>urvivors</w:t>
      </w:r>
      <w:bookmarkEnd w:id="59"/>
    </w:p>
    <w:p w14:paraId="47110B0A" w14:textId="44A861A5" w:rsidR="00A647FB" w:rsidRPr="00306025" w:rsidRDefault="00A647FB" w:rsidP="00A647FB">
      <w:pPr>
        <w:pStyle w:val="absatzschattenbericht"/>
        <w:rPr>
          <w:lang w:val="en-GB"/>
        </w:rPr>
      </w:pPr>
      <w:r w:rsidRPr="00306025">
        <w:rPr>
          <w:lang w:val="en-GB"/>
        </w:rPr>
        <w:t xml:space="preserve">Generally, the </w:t>
      </w:r>
      <w:r w:rsidRPr="00306025">
        <w:rPr>
          <w:rFonts w:eastAsia="Baskerville-SemiBold"/>
          <w:b/>
          <w:bCs/>
          <w:lang w:val="en-GB"/>
        </w:rPr>
        <w:t>statutes of limitation</w:t>
      </w:r>
      <w:r w:rsidRPr="00306025">
        <w:rPr>
          <w:lang w:val="en-GB"/>
        </w:rPr>
        <w:t xml:space="preserve"> prevent survivors of early childhood IGM Practices to call a court, because IGM survivors often </w:t>
      </w:r>
      <w:r w:rsidRPr="00306025">
        <w:rPr>
          <w:rFonts w:eastAsia="Baskerville-SemiBold"/>
          <w:lang w:val="en-GB"/>
        </w:rPr>
        <w:t>do not find out</w:t>
      </w:r>
      <w:r w:rsidRPr="00306025">
        <w:rPr>
          <w:lang w:val="en-GB"/>
        </w:rPr>
        <w:t xml:space="preserve"> about their medical history until much later in life, which in combination </w:t>
      </w:r>
      <w:r w:rsidRPr="00306025">
        <w:rPr>
          <w:b/>
          <w:lang w:val="en-GB"/>
        </w:rPr>
        <w:t>refusal of hospitals to provide access to medical records</w:t>
      </w:r>
      <w:r w:rsidRPr="00306025">
        <w:rPr>
          <w:lang w:val="en-GB"/>
        </w:rPr>
        <w:t xml:space="preserve"> and severe trauma caused by IGM Practices regularly prove to amount to a</w:t>
      </w:r>
      <w:r w:rsidR="00141DF4">
        <w:rPr>
          <w:lang w:val="en-GB"/>
        </w:rPr>
        <w:t>n</w:t>
      </w:r>
      <w:r w:rsidRPr="00306025">
        <w:rPr>
          <w:lang w:val="en-GB"/>
        </w:rPr>
        <w:t xml:space="preserve"> insurmountable obstacle.</w:t>
      </w:r>
      <w:r w:rsidRPr="00306025">
        <w:rPr>
          <w:rStyle w:val="Funotenzeichen1"/>
          <w:lang w:val="en-GB"/>
        </w:rPr>
        <w:footnoteReference w:id="33"/>
      </w:r>
    </w:p>
    <w:p w14:paraId="73E15E17" w14:textId="77777777" w:rsidR="00A647FB" w:rsidRPr="00306025" w:rsidRDefault="00A647FB" w:rsidP="00A647FB">
      <w:pPr>
        <w:pStyle w:val="absatzschattenbericht"/>
        <w:rPr>
          <w:lang w:val="en-GB"/>
        </w:rPr>
      </w:pPr>
      <w:r w:rsidRPr="00306025">
        <w:rPr>
          <w:lang w:val="en-GB"/>
        </w:rPr>
        <w:t xml:space="preserve">This is </w:t>
      </w:r>
      <w:r w:rsidRPr="00306025">
        <w:rPr>
          <w:b/>
          <w:lang w:val="en-GB"/>
        </w:rPr>
        <w:t>well-known to and publicly admitted by the Government</w:t>
      </w:r>
      <w:r w:rsidRPr="00306025">
        <w:rPr>
          <w:lang w:val="en-GB"/>
        </w:rPr>
        <w:t xml:space="preserve"> at least regarding Civil Law, referring to </w:t>
      </w:r>
      <w:r w:rsidRPr="00306025">
        <w:rPr>
          <w:i/>
          <w:lang w:val="en-GB"/>
        </w:rPr>
        <w:t>“claims”</w:t>
      </w:r>
      <w:r w:rsidRPr="00306025">
        <w:rPr>
          <w:lang w:val="en-GB"/>
        </w:rPr>
        <w:t xml:space="preserve"> of intersex advocates for </w:t>
      </w:r>
      <w:r w:rsidRPr="00306025">
        <w:rPr>
          <w:b/>
          <w:i/>
          <w:lang w:val="en-GB"/>
        </w:rPr>
        <w:t>“prolongation of limitation periods</w:t>
      </w:r>
      <w:r w:rsidRPr="00306025">
        <w:rPr>
          <w:i/>
          <w:lang w:val="en-GB"/>
        </w:rPr>
        <w:t xml:space="preserve"> for asserting </w:t>
      </w:r>
      <w:r w:rsidRPr="00306025">
        <w:rPr>
          <w:i/>
          <w:lang w:val="en-GB"/>
        </w:rPr>
        <w:lastRenderedPageBreak/>
        <w:t>civil claims under medical malpractice law”.</w:t>
      </w:r>
      <w:r w:rsidRPr="00306025">
        <w:rPr>
          <w:rStyle w:val="Funotenzeichen"/>
          <w:lang w:val="en-GB"/>
        </w:rPr>
        <w:footnoteReference w:id="34"/>
      </w:r>
    </w:p>
    <w:p w14:paraId="6B08B8E2" w14:textId="06CDECC4" w:rsidR="00E03BEA" w:rsidRPr="00306025" w:rsidRDefault="00A647FB" w:rsidP="00B06B45">
      <w:pPr>
        <w:pStyle w:val="absatzschattenbericht"/>
        <w:rPr>
          <w:lang w:val="en-GB"/>
        </w:rPr>
      </w:pPr>
      <w:r w:rsidRPr="0059196B">
        <w:rPr>
          <w:lang w:val="en-GB"/>
        </w:rPr>
        <w:t xml:space="preserve">Also the fact that the </w:t>
      </w:r>
      <w:r w:rsidRPr="0059196B">
        <w:rPr>
          <w:b/>
          <w:lang w:val="en-GB"/>
        </w:rPr>
        <w:t xml:space="preserve">lack of </w:t>
      </w:r>
      <w:r w:rsidR="00C7736F" w:rsidRPr="0059196B">
        <w:rPr>
          <w:b/>
          <w:lang w:val="en-GB"/>
        </w:rPr>
        <w:t>effective</w:t>
      </w:r>
      <w:r w:rsidRPr="0059196B">
        <w:rPr>
          <w:b/>
          <w:lang w:val="en-GB"/>
        </w:rPr>
        <w:t xml:space="preserve"> legislative prohibition of IGM</w:t>
      </w:r>
      <w:r w:rsidRPr="0059196B">
        <w:rPr>
          <w:lang w:val="en-GB"/>
        </w:rPr>
        <w:t xml:space="preserve"> practices constitutes yet another insurmountable obstacle to IGM survivors seeking redress has been </w:t>
      </w:r>
      <w:r w:rsidRPr="0059196B">
        <w:rPr>
          <w:b/>
          <w:lang w:val="en-GB"/>
        </w:rPr>
        <w:t>publicly admitted by the Federal government</w:t>
      </w:r>
      <w:r w:rsidRPr="0059196B">
        <w:rPr>
          <w:lang w:val="en-GB"/>
        </w:rPr>
        <w:t>,</w:t>
      </w:r>
      <w:r w:rsidRPr="0059196B">
        <w:rPr>
          <w:rStyle w:val="Funotenzeichen"/>
          <w:lang w:val="en-GB"/>
        </w:rPr>
        <w:footnoteReference w:id="35"/>
      </w:r>
      <w:r w:rsidRPr="0059196B">
        <w:rPr>
          <w:lang w:val="en-GB"/>
        </w:rPr>
        <w:t xml:space="preserve"> as well as by </w:t>
      </w:r>
      <w:r w:rsidRPr="0059196B">
        <w:rPr>
          <w:b/>
          <w:lang w:val="en-GB"/>
        </w:rPr>
        <w:t>various Social Courts</w:t>
      </w:r>
      <w:r w:rsidR="00C7736F" w:rsidRPr="0059196B">
        <w:rPr>
          <w:bCs/>
          <w:lang w:val="en-GB"/>
        </w:rPr>
        <w:t xml:space="preserve"> (see </w:t>
      </w:r>
      <w:r w:rsidR="0059196B">
        <w:rPr>
          <w:bCs/>
          <w:lang w:val="en-GB"/>
        </w:rPr>
        <w:t>next section</w:t>
      </w:r>
      <w:r w:rsidR="00C7736F" w:rsidRPr="0059196B">
        <w:rPr>
          <w:bCs/>
          <w:lang w:val="en-GB"/>
        </w:rPr>
        <w:t>)</w:t>
      </w:r>
      <w:r w:rsidRPr="0059196B">
        <w:rPr>
          <w:bCs/>
          <w:lang w:val="en-GB"/>
        </w:rPr>
        <w:t>.</w:t>
      </w:r>
    </w:p>
    <w:p w14:paraId="0D491F05" w14:textId="53A1ABDD" w:rsidR="00A647FB" w:rsidRPr="00306025" w:rsidRDefault="006409D0" w:rsidP="00A647FB">
      <w:pPr>
        <w:pStyle w:val="Title2"/>
      </w:pPr>
      <w:bookmarkStart w:id="60" w:name="_Toc141803637"/>
      <w:r>
        <w:t>7</w:t>
      </w:r>
      <w:r w:rsidR="00A647FB" w:rsidRPr="00306025">
        <w:t xml:space="preserve">. </w:t>
      </w:r>
      <w:r w:rsidR="002F034D" w:rsidRPr="00306025">
        <w:t xml:space="preserve"> </w:t>
      </w:r>
      <w:r w:rsidR="00A647FB" w:rsidRPr="00306025">
        <w:t xml:space="preserve">IGM Practices: Known German Case Law </w:t>
      </w:r>
      <w:r w:rsidR="001270B4">
        <w:t>(updated)</w:t>
      </w:r>
      <w:bookmarkEnd w:id="60"/>
    </w:p>
    <w:p w14:paraId="133DBBD4" w14:textId="1BAF2D27" w:rsidR="00DC1E0F" w:rsidRPr="00306025" w:rsidRDefault="00243F3E" w:rsidP="00243F3E">
      <w:pPr>
        <w:pStyle w:val="absatzschattenbericht"/>
        <w:rPr>
          <w:bCs/>
          <w:lang w:val="en-GB"/>
        </w:rPr>
      </w:pPr>
      <w:r w:rsidRPr="00243F3E">
        <w:rPr>
          <w:bCs/>
          <w:lang w:val="en-GB"/>
        </w:rPr>
        <w:t xml:space="preserve">As already mentioned in our 2020 NGO Report for LOI (p. 3), </w:t>
      </w:r>
      <w:r w:rsidR="00A647FB" w:rsidRPr="00243F3E">
        <w:rPr>
          <w:b/>
          <w:lang w:val="en-GB"/>
        </w:rPr>
        <w:t>the lack of access to justice, redress and compensation</w:t>
      </w:r>
      <w:r w:rsidR="00A647FB" w:rsidRPr="00243F3E">
        <w:rPr>
          <w:lang w:val="en-GB"/>
        </w:rPr>
        <w:t xml:space="preserve"> for survivors of IGM practices in Germany is </w:t>
      </w:r>
      <w:r w:rsidR="00A647FB" w:rsidRPr="00243F3E">
        <w:rPr>
          <w:b/>
          <w:lang w:val="en-GB"/>
        </w:rPr>
        <w:t>well known and near total</w:t>
      </w:r>
      <w:r w:rsidR="0040796D" w:rsidRPr="00243F3E">
        <w:rPr>
          <w:bCs/>
          <w:lang w:val="en-GB"/>
        </w:rPr>
        <w:t>.</w:t>
      </w:r>
      <w:r w:rsidR="007736C9" w:rsidRPr="00243F3E">
        <w:rPr>
          <w:bCs/>
          <w:lang w:val="en-GB"/>
        </w:rPr>
        <w:t xml:space="preserve"> The following updated and expanded section demonstrates </w:t>
      </w:r>
      <w:r w:rsidR="009315E4" w:rsidRPr="00243F3E">
        <w:rPr>
          <w:bCs/>
          <w:lang w:val="en-GB"/>
        </w:rPr>
        <w:t xml:space="preserve">that also in </w:t>
      </w:r>
      <w:r>
        <w:rPr>
          <w:bCs/>
          <w:lang w:val="en-GB"/>
        </w:rPr>
        <w:t>2022</w:t>
      </w:r>
      <w:r w:rsidR="009315E4" w:rsidRPr="00243F3E">
        <w:rPr>
          <w:bCs/>
          <w:lang w:val="en-GB"/>
        </w:rPr>
        <w:t xml:space="preserve"> this is still true:</w:t>
      </w:r>
    </w:p>
    <w:p w14:paraId="78C69383" w14:textId="75492BC3" w:rsidR="00A647FB" w:rsidRPr="00306025" w:rsidRDefault="00A647FB" w:rsidP="00A647FB">
      <w:pPr>
        <w:pStyle w:val="Title3"/>
      </w:pPr>
      <w:bookmarkStart w:id="61" w:name="_Toc141803638"/>
      <w:r w:rsidRPr="00306025">
        <w:t xml:space="preserve">a) Criminal Law: 0 </w:t>
      </w:r>
      <w:r w:rsidR="004170F6" w:rsidRPr="00306025">
        <w:t>c</w:t>
      </w:r>
      <w:r w:rsidRPr="00306025">
        <w:t>ases</w:t>
      </w:r>
      <w:bookmarkEnd w:id="61"/>
    </w:p>
    <w:p w14:paraId="7515F455" w14:textId="02747071" w:rsidR="00A647FB" w:rsidRPr="00306025" w:rsidRDefault="00A647FB" w:rsidP="00A647FB">
      <w:pPr>
        <w:pStyle w:val="absatzschattenbericht"/>
        <w:rPr>
          <w:b/>
          <w:lang w:val="en-GB"/>
        </w:rPr>
      </w:pPr>
      <w:r w:rsidRPr="00306025">
        <w:rPr>
          <w:b/>
          <w:lang w:val="en-GB"/>
        </w:rPr>
        <w:t xml:space="preserve">No survivor of IGM practices ever succeeded in </w:t>
      </w:r>
      <w:r w:rsidR="00DB6FF8">
        <w:rPr>
          <w:b/>
          <w:lang w:val="en-GB"/>
        </w:rPr>
        <w:t xml:space="preserve">successfully </w:t>
      </w:r>
      <w:r w:rsidRPr="00306025">
        <w:rPr>
          <w:b/>
          <w:lang w:val="en-GB"/>
        </w:rPr>
        <w:t xml:space="preserve">filing criminal charges. </w:t>
      </w:r>
    </w:p>
    <w:p w14:paraId="7111DC78" w14:textId="5759C82A" w:rsidR="003F7B03" w:rsidRDefault="00A647FB" w:rsidP="003F7B03">
      <w:pPr>
        <w:pStyle w:val="absatzschattenbericht"/>
        <w:rPr>
          <w:lang w:val="en-GB"/>
        </w:rPr>
      </w:pPr>
      <w:r w:rsidRPr="00306025">
        <w:rPr>
          <w:lang w:val="en-GB"/>
        </w:rPr>
        <w:t xml:space="preserve">In case of average early surgeries </w:t>
      </w:r>
      <w:r w:rsidRPr="00306025">
        <w:rPr>
          <w:i/>
          <w:lang w:val="en-GB"/>
        </w:rPr>
        <w:t>“in the first two years of life”,</w:t>
      </w:r>
      <w:r w:rsidRPr="00306025">
        <w:rPr>
          <w:lang w:val="en-GB"/>
        </w:rPr>
        <w:t xml:space="preserve"> all statutes of limitations have long passed before survivors come of age.</w:t>
      </w:r>
      <w:r w:rsidR="003F7B03">
        <w:rPr>
          <w:lang w:val="en-GB"/>
        </w:rPr>
        <w:t xml:space="preserve"> This is also confirmed by a practical case:</w:t>
      </w:r>
    </w:p>
    <w:p w14:paraId="29A38FC7" w14:textId="3FCCC7C2" w:rsidR="00DB6FF8" w:rsidRPr="00326CA4" w:rsidRDefault="003F7B03" w:rsidP="00326CA4">
      <w:pPr>
        <w:pStyle w:val="absatzschattenbericht"/>
        <w:rPr>
          <w:bCs/>
          <w:iCs/>
          <w:lang w:val="en-GB"/>
        </w:rPr>
      </w:pPr>
      <w:r w:rsidRPr="00A93B54">
        <w:rPr>
          <w:b/>
          <w:bCs/>
          <w:lang w:val="en-GB"/>
        </w:rPr>
        <w:t xml:space="preserve">Case 1: </w:t>
      </w:r>
      <w:r w:rsidRPr="00A93B54">
        <w:rPr>
          <w:iCs/>
          <w:lang w:val="en-GB"/>
        </w:rPr>
        <w:t>Survivor of IGM practices with acknowledged disability grade (</w:t>
      </w:r>
      <w:proofErr w:type="spellStart"/>
      <w:r w:rsidRPr="00A93B54">
        <w:rPr>
          <w:iCs/>
          <w:lang w:val="en-GB"/>
        </w:rPr>
        <w:t>GdB</w:t>
      </w:r>
      <w:proofErr w:type="spellEnd"/>
      <w:r w:rsidRPr="00A93B54">
        <w:rPr>
          <w:iCs/>
          <w:lang w:val="en-GB"/>
        </w:rPr>
        <w:t xml:space="preserve">) of 50% </w:t>
      </w:r>
      <w:r w:rsidR="00DB6FF8" w:rsidRPr="00A93B54">
        <w:rPr>
          <w:iCs/>
          <w:lang w:val="en-GB"/>
        </w:rPr>
        <w:t xml:space="preserve">and unable to work </w:t>
      </w:r>
      <w:r w:rsidRPr="00A93B54">
        <w:rPr>
          <w:iCs/>
          <w:lang w:val="en-GB"/>
        </w:rPr>
        <w:t xml:space="preserve">due to IGM. Born 1972, at age 5 the person concerned was submitted to a </w:t>
      </w:r>
      <w:r w:rsidRPr="00A93B54">
        <w:rPr>
          <w:b/>
          <w:iCs/>
          <w:lang w:val="en-GB"/>
        </w:rPr>
        <w:t>non-consensual full clitoridectomy</w:t>
      </w:r>
      <w:r w:rsidRPr="00A93B54">
        <w:rPr>
          <w:iCs/>
          <w:lang w:val="en-GB"/>
        </w:rPr>
        <w:t xml:space="preserve">, and from 1979-1983 to </w:t>
      </w:r>
      <w:r w:rsidRPr="00A93B54">
        <w:rPr>
          <w:b/>
          <w:iCs/>
          <w:lang w:val="en-GB"/>
        </w:rPr>
        <w:t xml:space="preserve">involuntary </w:t>
      </w:r>
      <w:r w:rsidRPr="00A93B54">
        <w:rPr>
          <w:b/>
          <w:bCs/>
          <w:iCs/>
          <w:lang w:val="en-GB"/>
        </w:rPr>
        <w:t>human experimentation with “</w:t>
      </w:r>
      <w:proofErr w:type="spellStart"/>
      <w:r w:rsidRPr="00A93B54">
        <w:rPr>
          <w:b/>
          <w:bCs/>
          <w:iCs/>
          <w:lang w:val="en-GB"/>
        </w:rPr>
        <w:t>Androcur</w:t>
      </w:r>
      <w:proofErr w:type="spellEnd"/>
      <w:r w:rsidRPr="00A93B54">
        <w:rPr>
          <w:b/>
          <w:bCs/>
          <w:iCs/>
          <w:lang w:val="en-GB"/>
        </w:rPr>
        <w:t xml:space="preserve">” </w:t>
      </w:r>
      <w:r w:rsidRPr="00A93B54">
        <w:rPr>
          <w:bCs/>
          <w:iCs/>
          <w:lang w:val="en-GB"/>
        </w:rPr>
        <w:t>(the risky, meanwhile discredited preparation best known for its application for “chemical castration” of sex offenders).</w:t>
      </w:r>
      <w:r w:rsidR="006E4195" w:rsidRPr="00A93B54">
        <w:rPr>
          <w:bCs/>
          <w:iCs/>
          <w:lang w:val="en-GB"/>
        </w:rPr>
        <w:t xml:space="preserve"> </w:t>
      </w:r>
      <w:r w:rsidRPr="00A93B54">
        <w:rPr>
          <w:bCs/>
          <w:iCs/>
          <w:lang w:val="en-GB"/>
        </w:rPr>
        <w:t xml:space="preserve">On 24.06.2022 </w:t>
      </w:r>
      <w:r w:rsidR="00911CA9" w:rsidRPr="00A93B54">
        <w:rPr>
          <w:bCs/>
          <w:iCs/>
          <w:lang w:val="en-GB"/>
        </w:rPr>
        <w:t xml:space="preserve">the person concerned filed a </w:t>
      </w:r>
      <w:r w:rsidR="00911CA9" w:rsidRPr="00A93B54">
        <w:rPr>
          <w:b/>
          <w:iCs/>
          <w:lang w:val="en-GB"/>
        </w:rPr>
        <w:t xml:space="preserve">criminal complaint </w:t>
      </w:r>
      <w:r w:rsidR="002A2402" w:rsidRPr="00A93B54">
        <w:rPr>
          <w:b/>
          <w:iCs/>
          <w:lang w:val="en-GB"/>
        </w:rPr>
        <w:t xml:space="preserve">on the grounds of genital mutilation </w:t>
      </w:r>
      <w:r w:rsidR="00DB6FF8" w:rsidRPr="00A93B54">
        <w:rPr>
          <w:b/>
          <w:iCs/>
          <w:lang w:val="en-GB"/>
        </w:rPr>
        <w:t>(</w:t>
      </w:r>
      <w:r w:rsidR="000D35B7">
        <w:rPr>
          <w:b/>
          <w:iCs/>
          <w:lang w:val="en-GB"/>
        </w:rPr>
        <w:t xml:space="preserve">§ </w:t>
      </w:r>
      <w:r w:rsidR="00DB6FF8" w:rsidRPr="00A93B54">
        <w:rPr>
          <w:b/>
          <w:iCs/>
          <w:lang w:val="en-GB"/>
        </w:rPr>
        <w:t xml:space="preserve">226 a) </w:t>
      </w:r>
      <w:proofErr w:type="spellStart"/>
      <w:r w:rsidR="00DB6FF8" w:rsidRPr="00A93B54">
        <w:rPr>
          <w:b/>
          <w:iCs/>
          <w:lang w:val="en-GB"/>
        </w:rPr>
        <w:t>StGB</w:t>
      </w:r>
      <w:proofErr w:type="spellEnd"/>
      <w:r w:rsidR="00DB6FF8" w:rsidRPr="00A93B54">
        <w:rPr>
          <w:b/>
          <w:iCs/>
          <w:lang w:val="en-GB"/>
        </w:rPr>
        <w:t xml:space="preserve">) </w:t>
      </w:r>
      <w:r w:rsidR="002A2402" w:rsidRPr="00A93B54">
        <w:rPr>
          <w:bCs/>
          <w:iCs/>
          <w:lang w:val="en-GB"/>
        </w:rPr>
        <w:t xml:space="preserve">against involved doctors </w:t>
      </w:r>
      <w:r w:rsidR="00911CA9" w:rsidRPr="00A93B54">
        <w:rPr>
          <w:bCs/>
          <w:iCs/>
          <w:lang w:val="en-GB"/>
        </w:rPr>
        <w:t>to the State prosecutor’s office</w:t>
      </w:r>
      <w:r w:rsidR="002A2402" w:rsidRPr="00A93B54">
        <w:rPr>
          <w:bCs/>
          <w:iCs/>
          <w:lang w:val="en-GB"/>
        </w:rPr>
        <w:t xml:space="preserve">. However, on 25.07.2022 the State prosecutor’s office </w:t>
      </w:r>
      <w:r w:rsidR="002A2402" w:rsidRPr="00A93B54">
        <w:rPr>
          <w:b/>
          <w:iCs/>
          <w:lang w:val="en-GB"/>
        </w:rPr>
        <w:t>rejected</w:t>
      </w:r>
      <w:r w:rsidR="002A2402" w:rsidRPr="00A93B54">
        <w:rPr>
          <w:bCs/>
          <w:iCs/>
          <w:lang w:val="en-GB"/>
        </w:rPr>
        <w:t xml:space="preserve"> the complaint due to </w:t>
      </w:r>
      <w:r w:rsidR="002A2402" w:rsidRPr="00A93B54">
        <w:rPr>
          <w:b/>
          <w:iCs/>
          <w:lang w:val="en-GB"/>
        </w:rPr>
        <w:t>expiration of the statutes of limitations</w:t>
      </w:r>
      <w:r w:rsidR="000D35B7" w:rsidRPr="000D35B7">
        <w:rPr>
          <w:bCs/>
          <w:iCs/>
          <w:lang w:val="en-GB"/>
        </w:rPr>
        <w:t xml:space="preserve"> and further stated that </w:t>
      </w:r>
      <w:r w:rsidR="00326CA4">
        <w:rPr>
          <w:bCs/>
          <w:iCs/>
          <w:lang w:val="en-GB"/>
        </w:rPr>
        <w:t>§</w:t>
      </w:r>
      <w:r w:rsidR="000D35B7" w:rsidRPr="000D35B7">
        <w:rPr>
          <w:bCs/>
          <w:iCs/>
          <w:lang w:val="en-GB"/>
        </w:rPr>
        <w:t xml:space="preserve"> 226 a) of the Criminal Code was not applicable in this case.</w:t>
      </w:r>
      <w:r w:rsidR="002A2402" w:rsidRPr="00A93B54">
        <w:rPr>
          <w:rStyle w:val="Funotenzeichen"/>
          <w:lang w:val="en-GB"/>
        </w:rPr>
        <w:footnoteReference w:id="36"/>
      </w:r>
    </w:p>
    <w:p w14:paraId="760326EC" w14:textId="77777777" w:rsidR="00A647FB" w:rsidRPr="00306025" w:rsidRDefault="00A647FB" w:rsidP="00A647FB">
      <w:pPr>
        <w:pStyle w:val="absatzschattenbericht"/>
        <w:rPr>
          <w:lang w:val="en-GB"/>
        </w:rPr>
      </w:pPr>
      <w:r w:rsidRPr="00306025">
        <w:rPr>
          <w:lang w:val="en-GB"/>
        </w:rPr>
        <w:t xml:space="preserve">To this day, persons concerned and their organisations in vain </w:t>
      </w:r>
      <w:r w:rsidRPr="00306025">
        <w:rPr>
          <w:b/>
          <w:lang w:val="en-GB"/>
        </w:rPr>
        <w:t>call for a legal review of the statutes of limitations in cases of IGM practices,</w:t>
      </w:r>
      <w:r w:rsidRPr="00306025">
        <w:rPr>
          <w:lang w:val="en-GB"/>
        </w:rPr>
        <w:t xml:space="preserve"> referring to current and recent legal reviews regarding </w:t>
      </w:r>
      <w:r w:rsidRPr="00306025">
        <w:rPr>
          <w:b/>
          <w:lang w:val="en-GB"/>
        </w:rPr>
        <w:t xml:space="preserve">adjournment or suspension of the statutes of limitation </w:t>
      </w:r>
      <w:r w:rsidRPr="00306025">
        <w:rPr>
          <w:lang w:val="en-GB"/>
        </w:rPr>
        <w:t xml:space="preserve">in cases of child sexual abuse (§§ 176 ff. </w:t>
      </w:r>
      <w:proofErr w:type="spellStart"/>
      <w:r w:rsidRPr="00306025">
        <w:rPr>
          <w:lang w:val="en-GB"/>
        </w:rPr>
        <w:t>StGB</w:t>
      </w:r>
      <w:proofErr w:type="spellEnd"/>
      <w:r w:rsidRPr="00306025">
        <w:rPr>
          <w:lang w:val="en-GB"/>
        </w:rPr>
        <w:t xml:space="preserve">), and female genital mutilation (§ 226a </w:t>
      </w:r>
      <w:proofErr w:type="spellStart"/>
      <w:r w:rsidRPr="00306025">
        <w:rPr>
          <w:lang w:val="en-GB"/>
        </w:rPr>
        <w:t>StGB</w:t>
      </w:r>
      <w:proofErr w:type="spellEnd"/>
      <w:r w:rsidRPr="00306025">
        <w:rPr>
          <w:lang w:val="en-GB"/>
        </w:rPr>
        <w:t xml:space="preserve">). </w:t>
      </w:r>
    </w:p>
    <w:p w14:paraId="71F92BDC" w14:textId="4884DA12" w:rsidR="00A647FB" w:rsidRPr="00306025" w:rsidRDefault="00A04FA4" w:rsidP="00A647FB">
      <w:pPr>
        <w:pStyle w:val="absatzschattenbericht"/>
        <w:rPr>
          <w:lang w:val="en-GB"/>
        </w:rPr>
      </w:pPr>
      <w:r w:rsidRPr="00306025">
        <w:rPr>
          <w:lang w:val="en-GB"/>
        </w:rPr>
        <w:t>Already in</w:t>
      </w:r>
      <w:r w:rsidR="00A647FB" w:rsidRPr="00306025">
        <w:rPr>
          <w:lang w:val="en-GB"/>
        </w:rPr>
        <w:t xml:space="preserve"> 2014, also the </w:t>
      </w:r>
      <w:r w:rsidR="00A647FB" w:rsidRPr="00306025">
        <w:rPr>
          <w:b/>
          <w:lang w:val="en-GB"/>
        </w:rPr>
        <w:t>24th Conference of Ministers for Women’s Issues and Equality (GFMK)</w:t>
      </w:r>
      <w:r w:rsidR="00A647FB" w:rsidRPr="00306025">
        <w:rPr>
          <w:lang w:val="en-GB"/>
        </w:rPr>
        <w:t xml:space="preserve"> explicitly called for a </w:t>
      </w:r>
      <w:r w:rsidR="00A647FB" w:rsidRPr="00306025">
        <w:rPr>
          <w:i/>
          <w:lang w:val="en-GB"/>
        </w:rPr>
        <w:t xml:space="preserve">“legal ban of medically unnecessary surgical and pharmacological [...] interventions on intersex minors,” </w:t>
      </w:r>
      <w:r w:rsidR="00A647FB" w:rsidRPr="00306025">
        <w:rPr>
          <w:lang w:val="en-GB"/>
        </w:rPr>
        <w:t xml:space="preserve">explicitly referring to </w:t>
      </w:r>
      <w:r w:rsidR="00A647FB" w:rsidRPr="00306025">
        <w:rPr>
          <w:b/>
          <w:lang w:val="en-GB"/>
        </w:rPr>
        <w:t xml:space="preserve">the need of intersex children for similar protection against sterilisation (§ 1631c BGB) and female genital mutilation (§ 226a </w:t>
      </w:r>
      <w:proofErr w:type="spellStart"/>
      <w:r w:rsidR="00A647FB" w:rsidRPr="00306025">
        <w:rPr>
          <w:b/>
          <w:lang w:val="en-GB"/>
        </w:rPr>
        <w:t>StGB</w:t>
      </w:r>
      <w:proofErr w:type="spellEnd"/>
      <w:r w:rsidR="00A647FB" w:rsidRPr="00306025">
        <w:rPr>
          <w:b/>
          <w:lang w:val="en-GB"/>
        </w:rPr>
        <w:t>)</w:t>
      </w:r>
      <w:r w:rsidR="00A647FB" w:rsidRPr="00306025">
        <w:rPr>
          <w:lang w:val="en-GB"/>
        </w:rPr>
        <w:t xml:space="preserve"> that other children and girls already enjoy.</w:t>
      </w:r>
      <w:r w:rsidR="00A647FB" w:rsidRPr="00306025">
        <w:rPr>
          <w:rStyle w:val="Funotenzeichen"/>
          <w:lang w:val="en-GB"/>
        </w:rPr>
        <w:footnoteReference w:id="37"/>
      </w:r>
    </w:p>
    <w:p w14:paraId="6293F8AC" w14:textId="51A5C929" w:rsidR="003F7B03" w:rsidRPr="00D211C4" w:rsidRDefault="00672ED1" w:rsidP="00D211C4">
      <w:pPr>
        <w:pStyle w:val="absatzschattenbericht"/>
        <w:rPr>
          <w:bCs/>
          <w:lang w:val="en-GB"/>
        </w:rPr>
      </w:pPr>
      <w:r w:rsidRPr="0059196B">
        <w:rPr>
          <w:lang w:val="en-GB"/>
        </w:rPr>
        <w:lastRenderedPageBreak/>
        <w:t xml:space="preserve">On occasion of the adoption of the new insufficient Law § 1631e BGB, its </w:t>
      </w:r>
      <w:r w:rsidRPr="0059196B">
        <w:rPr>
          <w:b/>
          <w:lang w:val="en-GB"/>
        </w:rPr>
        <w:t>lack of criminalisation or adequate sanctions</w:t>
      </w:r>
      <w:r w:rsidRPr="0059196B">
        <w:rPr>
          <w:bCs/>
          <w:lang w:val="en-GB"/>
        </w:rPr>
        <w:t xml:space="preserve"> and the </w:t>
      </w:r>
      <w:r w:rsidRPr="0059196B">
        <w:rPr>
          <w:b/>
          <w:lang w:val="en-GB"/>
        </w:rPr>
        <w:t>lack of addressing the statutes of limitation</w:t>
      </w:r>
      <w:r w:rsidRPr="0059196B">
        <w:rPr>
          <w:bCs/>
          <w:lang w:val="en-GB"/>
        </w:rPr>
        <w:t xml:space="preserve"> has again been </w:t>
      </w:r>
      <w:r w:rsidRPr="0059196B">
        <w:rPr>
          <w:b/>
          <w:lang w:val="en-GB"/>
        </w:rPr>
        <w:t>widely criticised</w:t>
      </w:r>
      <w:r w:rsidRPr="0059196B">
        <w:rPr>
          <w:bCs/>
          <w:lang w:val="en-GB"/>
        </w:rPr>
        <w:t xml:space="preserve"> by intersex NGOs and legal experts (see above, p. </w:t>
      </w:r>
      <w:r w:rsidR="00DA20F1">
        <w:rPr>
          <w:bCs/>
          <w:lang w:val="en-GB"/>
        </w:rPr>
        <w:t>14</w:t>
      </w:r>
      <w:r w:rsidRPr="0059196B">
        <w:rPr>
          <w:bCs/>
          <w:lang w:val="en-GB"/>
        </w:rPr>
        <w:t>)</w:t>
      </w:r>
      <w:r w:rsidR="008C443F" w:rsidRPr="0059196B">
        <w:rPr>
          <w:bCs/>
          <w:lang w:val="en-GB"/>
        </w:rPr>
        <w:t>.</w:t>
      </w:r>
    </w:p>
    <w:p w14:paraId="7F148823" w14:textId="215BC7AA" w:rsidR="00A647FB" w:rsidRPr="00306025" w:rsidRDefault="00A647FB" w:rsidP="00A647FB">
      <w:pPr>
        <w:pStyle w:val="Title3"/>
      </w:pPr>
      <w:bookmarkStart w:id="62" w:name="_Toc141803639"/>
      <w:r w:rsidRPr="00306025">
        <w:t xml:space="preserve">b) Civil Law: </w:t>
      </w:r>
      <w:r w:rsidR="008C443F" w:rsidRPr="00306025">
        <w:t>1</w:t>
      </w:r>
      <w:r w:rsidRPr="00306025">
        <w:t xml:space="preserve"> successfu</w:t>
      </w:r>
      <w:r w:rsidR="008C443F" w:rsidRPr="00306025">
        <w:t>l adult case</w:t>
      </w:r>
      <w:r w:rsidR="004170F6" w:rsidRPr="00306025">
        <w:t>, 2 adult settlements</w:t>
      </w:r>
      <w:bookmarkEnd w:id="62"/>
    </w:p>
    <w:p w14:paraId="51B7923C" w14:textId="77777777" w:rsidR="00A647FB" w:rsidRPr="00306025" w:rsidRDefault="00A647FB" w:rsidP="00A647FB">
      <w:pPr>
        <w:pStyle w:val="absatzschattenbericht"/>
        <w:rPr>
          <w:b/>
          <w:lang w:val="en-GB"/>
        </w:rPr>
      </w:pPr>
      <w:r w:rsidRPr="00306025">
        <w:rPr>
          <w:b/>
          <w:lang w:val="en-GB"/>
        </w:rPr>
        <w:t>No survivor of childhood IGM practices ever succeeded in filing civil charges.</w:t>
      </w:r>
    </w:p>
    <w:p w14:paraId="0A71FAD1" w14:textId="77777777" w:rsidR="00A647FB" w:rsidRPr="00306025" w:rsidRDefault="00A647FB" w:rsidP="00A647FB">
      <w:pPr>
        <w:pStyle w:val="absatzschattenbericht"/>
        <w:rPr>
          <w:lang w:val="en-GB"/>
        </w:rPr>
      </w:pPr>
      <w:r w:rsidRPr="00306025">
        <w:rPr>
          <w:b/>
          <w:lang w:val="en-GB"/>
        </w:rPr>
        <w:t xml:space="preserve">Only 3 survivors of IGM practices so far succeeded in filing civil charges </w:t>
      </w:r>
      <w:r w:rsidRPr="00306025">
        <w:rPr>
          <w:lang w:val="en-GB"/>
        </w:rPr>
        <w:t xml:space="preserve">– all of them only for surgeries they were submitted to as </w:t>
      </w:r>
      <w:r w:rsidRPr="00306025">
        <w:rPr>
          <w:b/>
          <w:lang w:val="en-GB"/>
        </w:rPr>
        <w:t xml:space="preserve">adults of 18 years </w:t>
      </w:r>
      <w:r w:rsidRPr="00306025">
        <w:rPr>
          <w:lang w:val="en-GB"/>
        </w:rPr>
        <w:t xml:space="preserve">or older. </w:t>
      </w:r>
    </w:p>
    <w:p w14:paraId="246E67DD" w14:textId="34BF673D" w:rsidR="00582116" w:rsidRPr="00306025" w:rsidRDefault="00A647FB" w:rsidP="00C034F4">
      <w:pPr>
        <w:pStyle w:val="absatzschattenbericht"/>
        <w:rPr>
          <w:b/>
          <w:lang w:val="en-GB"/>
        </w:rPr>
      </w:pPr>
      <w:r w:rsidRPr="00306025">
        <w:rPr>
          <w:b/>
          <w:lang w:val="en-GB"/>
        </w:rPr>
        <w:t xml:space="preserve">All other survivors of IGM practices attempting to sue so far were prevented </w:t>
      </w:r>
      <w:r w:rsidR="00582116" w:rsidRPr="00306025">
        <w:rPr>
          <w:b/>
          <w:lang w:val="en-GB"/>
        </w:rPr>
        <w:t>by the statutes of limitations.</w:t>
      </w:r>
    </w:p>
    <w:p w14:paraId="60DC081E" w14:textId="1DF33C2C" w:rsidR="00A647FB" w:rsidRPr="00306025" w:rsidRDefault="00A647FB" w:rsidP="00A647FB">
      <w:pPr>
        <w:pStyle w:val="absatzschattenbericht"/>
        <w:rPr>
          <w:i/>
          <w:lang w:val="en-GB"/>
        </w:rPr>
      </w:pPr>
      <w:r w:rsidRPr="00306025">
        <w:rPr>
          <w:lang w:val="en-GB"/>
        </w:rPr>
        <w:t>Already in 2009 during an intersex hearing of the State Parliament of Hamburg, specialised local lawye</w:t>
      </w:r>
      <w:r w:rsidR="00E53436">
        <w:rPr>
          <w:lang w:val="en-GB"/>
        </w:rPr>
        <w:t>r Dr</w:t>
      </w:r>
      <w:r w:rsidRPr="00306025">
        <w:rPr>
          <w:lang w:val="en-GB"/>
        </w:rPr>
        <w:t xml:space="preserve"> Oliver </w:t>
      </w:r>
      <w:proofErr w:type="spellStart"/>
      <w:r w:rsidRPr="00306025">
        <w:rPr>
          <w:lang w:val="en-GB"/>
        </w:rPr>
        <w:t>Tolmein</w:t>
      </w:r>
      <w:proofErr w:type="spellEnd"/>
      <w:r w:rsidRPr="00306025">
        <w:rPr>
          <w:lang w:val="en-GB"/>
        </w:rPr>
        <w:t xml:space="preserve"> stated: </w:t>
      </w:r>
      <w:r w:rsidRPr="00306025">
        <w:rPr>
          <w:i/>
          <w:lang w:val="en-GB"/>
        </w:rPr>
        <w:t xml:space="preserve">“Interestingly, </w:t>
      </w:r>
      <w:r w:rsidRPr="00306025">
        <w:rPr>
          <w:b/>
          <w:i/>
          <w:lang w:val="en-GB"/>
        </w:rPr>
        <w:t>a great many [intersex] persons come to our lawyer’s office wanting to sue their doctors for damages</w:t>
      </w:r>
      <w:r w:rsidRPr="00306025">
        <w:rPr>
          <w:i/>
          <w:lang w:val="en-GB"/>
        </w:rPr>
        <w:t xml:space="preserve"> [however, so far all were prevented by the statutes of limitations]”.</w:t>
      </w:r>
      <w:r w:rsidRPr="00306025">
        <w:rPr>
          <w:rStyle w:val="Funotenzeichen"/>
          <w:i/>
          <w:lang w:val="en-GB"/>
        </w:rPr>
        <w:footnoteReference w:id="38"/>
      </w:r>
    </w:p>
    <w:p w14:paraId="74303FE9" w14:textId="77777777" w:rsidR="00A647FB" w:rsidRPr="00306025" w:rsidRDefault="00A647FB" w:rsidP="00A647FB">
      <w:pPr>
        <w:pStyle w:val="absatzschattenbericht"/>
        <w:rPr>
          <w:lang w:val="en-GB"/>
        </w:rPr>
      </w:pPr>
      <w:r w:rsidRPr="00306025">
        <w:rPr>
          <w:b/>
          <w:lang w:val="en-GB"/>
        </w:rPr>
        <w:t xml:space="preserve">Case 1: </w:t>
      </w:r>
      <w:r w:rsidRPr="00306025">
        <w:rPr>
          <w:lang w:val="en-GB"/>
        </w:rPr>
        <w:t xml:space="preserve">The first case in Cologne 2007-2009 filed by Christiane </w:t>
      </w:r>
      <w:proofErr w:type="spellStart"/>
      <w:r w:rsidRPr="00306025">
        <w:rPr>
          <w:lang w:val="en-GB"/>
        </w:rPr>
        <w:t>Völling</w:t>
      </w:r>
      <w:proofErr w:type="spellEnd"/>
      <w:r w:rsidRPr="00306025">
        <w:rPr>
          <w:lang w:val="en-GB"/>
        </w:rPr>
        <w:t xml:space="preserve"> concerned the removal of ovaries and uterus without informed consent and resulted in a surgeon being sentenced to pay </w:t>
      </w:r>
      <w:r w:rsidRPr="00306025">
        <w:rPr>
          <w:b/>
          <w:lang w:val="en-GB"/>
        </w:rPr>
        <w:t>100’000 Euros damages</w:t>
      </w:r>
      <w:r w:rsidRPr="00306025">
        <w:rPr>
          <w:lang w:val="en-GB"/>
        </w:rPr>
        <w:t>.</w:t>
      </w:r>
      <w:r w:rsidRPr="00306025">
        <w:rPr>
          <w:rStyle w:val="Funotenzeichen"/>
          <w:lang w:val="en-GB"/>
        </w:rPr>
        <w:footnoteReference w:id="39"/>
      </w:r>
      <w:r w:rsidRPr="00306025">
        <w:rPr>
          <w:lang w:val="en-GB"/>
        </w:rPr>
        <w:t xml:space="preserve"> </w:t>
      </w:r>
      <w:r w:rsidRPr="00306025">
        <w:rPr>
          <w:rStyle w:val="Funotenzeichen"/>
          <w:lang w:val="en-GB"/>
        </w:rPr>
        <w:footnoteReference w:id="40"/>
      </w:r>
      <w:r w:rsidRPr="00306025">
        <w:rPr>
          <w:lang w:val="en-GB"/>
        </w:rPr>
        <w:t xml:space="preserve"> </w:t>
      </w:r>
      <w:r w:rsidRPr="00306025">
        <w:rPr>
          <w:rStyle w:val="Funotenzeichen"/>
          <w:lang w:val="en-GB"/>
        </w:rPr>
        <w:footnoteReference w:id="41"/>
      </w:r>
    </w:p>
    <w:p w14:paraId="7A10C5C0" w14:textId="051F3A2D" w:rsidR="00A647FB" w:rsidRPr="00306025" w:rsidRDefault="00A647FB" w:rsidP="00A647FB">
      <w:pPr>
        <w:pStyle w:val="absatzschattenbericht"/>
        <w:rPr>
          <w:lang w:val="en-GB"/>
        </w:rPr>
      </w:pPr>
      <w:r w:rsidRPr="00306025">
        <w:rPr>
          <w:b/>
          <w:lang w:val="en-GB"/>
        </w:rPr>
        <w:t xml:space="preserve">Case 2: </w:t>
      </w:r>
      <w:r w:rsidRPr="00306025">
        <w:rPr>
          <w:lang w:val="en-GB"/>
        </w:rPr>
        <w:t>Case filed 2012 in Munich.</w:t>
      </w:r>
      <w:r w:rsidRPr="00306025">
        <w:rPr>
          <w:rStyle w:val="Funotenzeichen"/>
          <w:lang w:val="en-GB"/>
        </w:rPr>
        <w:footnoteReference w:id="42"/>
      </w:r>
      <w:r w:rsidRPr="00306025">
        <w:rPr>
          <w:lang w:val="en-GB"/>
        </w:rPr>
        <w:t xml:space="preserve"> In the meantime the claimant agreed to a </w:t>
      </w:r>
      <w:r w:rsidRPr="00306025">
        <w:rPr>
          <w:b/>
          <w:lang w:val="en-GB"/>
        </w:rPr>
        <w:t>settlement</w:t>
      </w:r>
      <w:r w:rsidRPr="00306025">
        <w:rPr>
          <w:lang w:val="en-GB"/>
        </w:rPr>
        <w:t xml:space="preserve"> as the person couldn’t afford to continue a costly, lengthy </w:t>
      </w:r>
      <w:r w:rsidR="00362A53" w:rsidRPr="00306025">
        <w:rPr>
          <w:lang w:val="en-GB"/>
        </w:rPr>
        <w:t xml:space="preserve">Civil Law </w:t>
      </w:r>
      <w:r w:rsidRPr="00306025">
        <w:rPr>
          <w:lang w:val="en-GB"/>
        </w:rPr>
        <w:t>suit.</w:t>
      </w:r>
    </w:p>
    <w:p w14:paraId="707F5D8B" w14:textId="15C36EF1" w:rsidR="00A647FB" w:rsidRPr="00306025" w:rsidRDefault="00A647FB" w:rsidP="007D25FB">
      <w:pPr>
        <w:pStyle w:val="absatzschattenbericht"/>
        <w:rPr>
          <w:lang w:val="en-GB"/>
        </w:rPr>
      </w:pPr>
      <w:r w:rsidRPr="00306025">
        <w:rPr>
          <w:b/>
          <w:lang w:val="en-GB"/>
        </w:rPr>
        <w:t xml:space="preserve">Case 3: </w:t>
      </w:r>
      <w:r w:rsidRPr="00306025">
        <w:rPr>
          <w:lang w:val="en-GB"/>
        </w:rPr>
        <w:t>Case filed 2011 in Nuremberg</w:t>
      </w:r>
      <w:r w:rsidRPr="00306025">
        <w:rPr>
          <w:rStyle w:val="Funotenzeichen"/>
          <w:lang w:val="en-GB"/>
        </w:rPr>
        <w:footnoteReference w:id="43"/>
      </w:r>
      <w:r w:rsidRPr="00306025">
        <w:rPr>
          <w:lang w:val="en-GB"/>
        </w:rPr>
        <w:t xml:space="preserve"> by Michaela </w:t>
      </w:r>
      <w:proofErr w:type="spellStart"/>
      <w:r w:rsidRPr="00306025">
        <w:rPr>
          <w:lang w:val="en-GB"/>
        </w:rPr>
        <w:t>Raab</w:t>
      </w:r>
      <w:proofErr w:type="spellEnd"/>
      <w:r w:rsidRPr="00306025">
        <w:rPr>
          <w:lang w:val="en-GB"/>
        </w:rPr>
        <w:t xml:space="preserve"> concerning involuntary partial clitoris amputation and gonadectomy (castration), with a </w:t>
      </w:r>
      <w:r w:rsidRPr="00306025">
        <w:rPr>
          <w:b/>
          <w:lang w:val="en-GB"/>
        </w:rPr>
        <w:t>first instance verdict on 17.12.2015</w:t>
      </w:r>
      <w:r w:rsidRPr="00306025">
        <w:rPr>
          <w:lang w:val="en-GB"/>
        </w:rPr>
        <w:t xml:space="preserve"> sentencing the Erlangen University Clinic to </w:t>
      </w:r>
      <w:r w:rsidRPr="00306025">
        <w:rPr>
          <w:b/>
          <w:lang w:val="en-GB"/>
        </w:rPr>
        <w:t>pay damages</w:t>
      </w:r>
      <w:r w:rsidRPr="00306025">
        <w:rPr>
          <w:lang w:val="en-GB"/>
        </w:rPr>
        <w:t>.</w:t>
      </w:r>
      <w:r w:rsidRPr="00306025">
        <w:rPr>
          <w:rStyle w:val="Funotenzeichen"/>
          <w:lang w:val="en-GB"/>
        </w:rPr>
        <w:t xml:space="preserve"> </w:t>
      </w:r>
      <w:r w:rsidRPr="00306025">
        <w:rPr>
          <w:rStyle w:val="Funotenzeichen"/>
          <w:lang w:val="en-GB"/>
        </w:rPr>
        <w:footnoteReference w:id="44"/>
      </w:r>
      <w:r w:rsidRPr="00306025">
        <w:rPr>
          <w:lang w:val="en-GB"/>
        </w:rPr>
        <w:t xml:space="preserve"> </w:t>
      </w:r>
      <w:r w:rsidRPr="00306025">
        <w:rPr>
          <w:rStyle w:val="Funotenzeichen"/>
          <w:lang w:val="en-GB"/>
        </w:rPr>
        <w:footnoteReference w:id="45"/>
      </w:r>
      <w:r w:rsidRPr="00306025">
        <w:rPr>
          <w:lang w:val="en-GB"/>
        </w:rPr>
        <w:t xml:space="preserve"> After the defendants lodged an appeal, the case </w:t>
      </w:r>
      <w:r w:rsidR="00D26F7F" w:rsidRPr="00306025">
        <w:rPr>
          <w:lang w:val="en-GB"/>
        </w:rPr>
        <w:t>rested</w:t>
      </w:r>
      <w:r w:rsidR="007D25FB" w:rsidRPr="00306025">
        <w:rPr>
          <w:lang w:val="en-GB"/>
        </w:rPr>
        <w:t xml:space="preserve"> </w:t>
      </w:r>
      <w:r w:rsidR="007D25FB" w:rsidRPr="00306025">
        <w:rPr>
          <w:b/>
          <w:bCs/>
          <w:lang w:val="en-GB"/>
        </w:rPr>
        <w:t>3 years without activity</w:t>
      </w:r>
      <w:r w:rsidRPr="00306025">
        <w:rPr>
          <w:lang w:val="en-GB"/>
        </w:rPr>
        <w:t xml:space="preserve"> </w:t>
      </w:r>
      <w:r w:rsidR="007D25FB" w:rsidRPr="00306025">
        <w:rPr>
          <w:lang w:val="en-GB"/>
        </w:rPr>
        <w:t>in</w:t>
      </w:r>
      <w:r w:rsidRPr="00306025">
        <w:rPr>
          <w:lang w:val="en-GB"/>
        </w:rPr>
        <w:t xml:space="preserve"> the</w:t>
      </w:r>
      <w:r w:rsidRPr="00306025">
        <w:rPr>
          <w:b/>
          <w:lang w:val="en-GB"/>
        </w:rPr>
        <w:t xml:space="preserve"> second instance</w:t>
      </w:r>
      <w:r w:rsidRPr="00306025">
        <w:rPr>
          <w:lang w:val="en-GB"/>
        </w:rPr>
        <w:t xml:space="preserve"> at the Higher Court</w:t>
      </w:r>
      <w:r w:rsidRPr="00306025">
        <w:rPr>
          <w:b/>
          <w:lang w:val="en-GB"/>
        </w:rPr>
        <w:t xml:space="preserve"> (OLG)</w:t>
      </w:r>
      <w:r w:rsidRPr="00306025">
        <w:rPr>
          <w:lang w:val="en-GB"/>
        </w:rPr>
        <w:t>,</w:t>
      </w:r>
      <w:r w:rsidRPr="00306025">
        <w:rPr>
          <w:rStyle w:val="Funotenzeichen"/>
          <w:lang w:val="en-GB"/>
        </w:rPr>
        <w:footnoteReference w:id="46"/>
      </w:r>
      <w:r w:rsidRPr="00306025">
        <w:rPr>
          <w:lang w:val="en-GB"/>
        </w:rPr>
        <w:t xml:space="preserve"> </w:t>
      </w:r>
      <w:r w:rsidR="007D25FB" w:rsidRPr="00306025">
        <w:rPr>
          <w:lang w:val="en-GB"/>
        </w:rPr>
        <w:t>Eventually, a court date was set for</w:t>
      </w:r>
      <w:r w:rsidRPr="00306025">
        <w:rPr>
          <w:lang w:val="en-GB"/>
        </w:rPr>
        <w:t xml:space="preserve"> </w:t>
      </w:r>
      <w:r w:rsidRPr="00306025">
        <w:rPr>
          <w:b/>
          <w:lang w:val="en-GB"/>
        </w:rPr>
        <w:t>07.02.2019</w:t>
      </w:r>
      <w:r w:rsidRPr="00306025">
        <w:rPr>
          <w:lang w:val="en-GB"/>
        </w:rPr>
        <w:t xml:space="preserve"> to “appraise the facts” and “attempt a settlement”.</w:t>
      </w:r>
      <w:r w:rsidR="007D25FB" w:rsidRPr="00306025">
        <w:rPr>
          <w:lang w:val="en-GB"/>
        </w:rPr>
        <w:t xml:space="preserve"> </w:t>
      </w:r>
      <w:r w:rsidR="00A10DEF" w:rsidRPr="00306025">
        <w:rPr>
          <w:lang w:val="en-GB"/>
        </w:rPr>
        <w:t xml:space="preserve">In the end, </w:t>
      </w:r>
      <w:r w:rsidR="007C299E" w:rsidRPr="00306025">
        <w:rPr>
          <w:lang w:val="en-GB"/>
        </w:rPr>
        <w:t xml:space="preserve">Michaela </w:t>
      </w:r>
      <w:proofErr w:type="spellStart"/>
      <w:r w:rsidR="007C299E" w:rsidRPr="00306025">
        <w:rPr>
          <w:lang w:val="en-GB"/>
        </w:rPr>
        <w:t>Raab</w:t>
      </w:r>
      <w:proofErr w:type="spellEnd"/>
      <w:r w:rsidR="00857CB1" w:rsidRPr="00306025">
        <w:rPr>
          <w:lang w:val="en-GB"/>
        </w:rPr>
        <w:t xml:space="preserve">, </w:t>
      </w:r>
      <w:r w:rsidR="00857CB1" w:rsidRPr="00306025">
        <w:rPr>
          <w:b/>
          <w:bCs/>
          <w:lang w:val="en-GB"/>
        </w:rPr>
        <w:t>worn down and tire</w:t>
      </w:r>
      <w:r w:rsidR="00857CB1" w:rsidRPr="00306025">
        <w:rPr>
          <w:lang w:val="en-GB"/>
        </w:rPr>
        <w:t xml:space="preserve">d </w:t>
      </w:r>
      <w:r w:rsidR="00E44544" w:rsidRPr="00306025">
        <w:rPr>
          <w:lang w:val="en-GB"/>
        </w:rPr>
        <w:t>after 8 years of legal proceedings</w:t>
      </w:r>
      <w:r w:rsidR="00FE4F2F" w:rsidRPr="00306025">
        <w:rPr>
          <w:lang w:val="en-GB"/>
        </w:rPr>
        <w:t xml:space="preserve"> and </w:t>
      </w:r>
      <w:r w:rsidR="00362A53" w:rsidRPr="00306025">
        <w:rPr>
          <w:b/>
          <w:bCs/>
          <w:lang w:val="en-GB"/>
        </w:rPr>
        <w:t xml:space="preserve">without the </w:t>
      </w:r>
      <w:r w:rsidR="00AA04DC" w:rsidRPr="00306025">
        <w:rPr>
          <w:b/>
          <w:bCs/>
          <w:lang w:val="en-GB"/>
        </w:rPr>
        <w:t xml:space="preserve">necessary </w:t>
      </w:r>
      <w:r w:rsidR="00362A53" w:rsidRPr="00306025">
        <w:rPr>
          <w:b/>
          <w:bCs/>
          <w:lang w:val="en-GB"/>
        </w:rPr>
        <w:t>funds</w:t>
      </w:r>
      <w:r w:rsidR="00362A53" w:rsidRPr="00306025">
        <w:rPr>
          <w:lang w:val="en-GB"/>
        </w:rPr>
        <w:t xml:space="preserve"> to continue a costly, lengthy Civil Law suit</w:t>
      </w:r>
      <w:r w:rsidR="00EA7C51" w:rsidRPr="00306025">
        <w:rPr>
          <w:lang w:val="en-GB"/>
        </w:rPr>
        <w:t xml:space="preserve">, </w:t>
      </w:r>
      <w:r w:rsidR="00AA04DC" w:rsidRPr="00306025">
        <w:rPr>
          <w:lang w:val="en-GB"/>
        </w:rPr>
        <w:t>accepted a settlement of 40,000 Euros, as reported in a local newspaper:</w:t>
      </w:r>
      <w:r w:rsidR="00AA04DC" w:rsidRPr="00306025">
        <w:rPr>
          <w:rStyle w:val="Funotenzeichen"/>
          <w:lang w:val="en-GB"/>
        </w:rPr>
        <w:t xml:space="preserve"> </w:t>
      </w:r>
      <w:r w:rsidR="00AA04DC" w:rsidRPr="00306025">
        <w:rPr>
          <w:rStyle w:val="Funotenzeichen"/>
          <w:lang w:val="en-GB"/>
        </w:rPr>
        <w:footnoteReference w:id="47"/>
      </w:r>
    </w:p>
    <w:p w14:paraId="5AEE52B6" w14:textId="14421E0B" w:rsidR="00D26F7F" w:rsidRPr="00306025" w:rsidRDefault="00353B29" w:rsidP="00892EFB">
      <w:pPr>
        <w:pStyle w:val="absatzschattenbericht"/>
        <w:ind w:left="284"/>
        <w:rPr>
          <w:i/>
          <w:iCs/>
          <w:lang w:val="en-GB"/>
        </w:rPr>
      </w:pPr>
      <w:r w:rsidRPr="00306025">
        <w:rPr>
          <w:i/>
          <w:iCs/>
          <w:lang w:val="en-GB"/>
        </w:rPr>
        <w:t>“</w:t>
      </w:r>
      <w:r w:rsidR="007D25FB" w:rsidRPr="00306025">
        <w:rPr>
          <w:i/>
          <w:iCs/>
          <w:lang w:val="en-GB"/>
        </w:rPr>
        <w:t xml:space="preserve">Michaela </w:t>
      </w:r>
      <w:proofErr w:type="spellStart"/>
      <w:r w:rsidR="007D25FB" w:rsidRPr="00306025">
        <w:rPr>
          <w:i/>
          <w:iCs/>
          <w:lang w:val="en-GB"/>
        </w:rPr>
        <w:t>Raab</w:t>
      </w:r>
      <w:proofErr w:type="spellEnd"/>
      <w:r w:rsidR="007D25FB" w:rsidRPr="00306025">
        <w:rPr>
          <w:i/>
          <w:iCs/>
          <w:lang w:val="en-GB"/>
        </w:rPr>
        <w:t xml:space="preserve"> demanded 250,000 euros plus a pension through lawyer Paul </w:t>
      </w:r>
      <w:proofErr w:type="spellStart"/>
      <w:r w:rsidR="007D25FB" w:rsidRPr="00306025">
        <w:rPr>
          <w:i/>
          <w:iCs/>
          <w:lang w:val="en-GB"/>
        </w:rPr>
        <w:t>Haubrich</w:t>
      </w:r>
      <w:proofErr w:type="spellEnd"/>
      <w:r w:rsidR="007D25FB" w:rsidRPr="00306025">
        <w:rPr>
          <w:i/>
          <w:iCs/>
          <w:lang w:val="en-GB"/>
        </w:rPr>
        <w:t xml:space="preserve"> - and has now settled for 40,000 euros in a settlement before the Higher Court. The representatives of the university hospital (annual budget 2017: 769 million euros, 7586 employees, 1194 of </w:t>
      </w:r>
      <w:r w:rsidR="007D25FB" w:rsidRPr="00306025">
        <w:rPr>
          <w:i/>
          <w:iCs/>
          <w:lang w:val="en-GB"/>
        </w:rPr>
        <w:lastRenderedPageBreak/>
        <w:t xml:space="preserve">them doctors) say the insurance would not cover the period in question. More than 40,000 euros could not be financed. Theoretically, Michaela </w:t>
      </w:r>
      <w:proofErr w:type="spellStart"/>
      <w:r w:rsidR="007D25FB" w:rsidRPr="00306025">
        <w:rPr>
          <w:i/>
          <w:iCs/>
          <w:lang w:val="en-GB"/>
        </w:rPr>
        <w:t>Raab</w:t>
      </w:r>
      <w:proofErr w:type="spellEnd"/>
      <w:r w:rsidR="007D25FB" w:rsidRPr="00306025">
        <w:rPr>
          <w:i/>
          <w:iCs/>
          <w:lang w:val="en-GB"/>
        </w:rPr>
        <w:t xml:space="preserve"> is free to reject the settlement and continue to fight with the clinic. But after the OLG comes the BGH </w:t>
      </w:r>
      <w:r w:rsidRPr="00306025">
        <w:rPr>
          <w:i/>
          <w:iCs/>
          <w:lang w:val="en-GB"/>
        </w:rPr>
        <w:t xml:space="preserve">[Federal Supreme Court] </w:t>
      </w:r>
      <w:r w:rsidR="007D25FB" w:rsidRPr="00306025">
        <w:rPr>
          <w:i/>
          <w:iCs/>
          <w:lang w:val="en-GB"/>
        </w:rPr>
        <w:t xml:space="preserve">- and the financial risk of litigation is incalculable for Michaela </w:t>
      </w:r>
      <w:proofErr w:type="spellStart"/>
      <w:r w:rsidR="007D25FB" w:rsidRPr="00306025">
        <w:rPr>
          <w:i/>
          <w:iCs/>
          <w:lang w:val="en-GB"/>
        </w:rPr>
        <w:t>Raab</w:t>
      </w:r>
      <w:proofErr w:type="spellEnd"/>
      <w:r w:rsidR="007D25FB" w:rsidRPr="00306025">
        <w:rPr>
          <w:i/>
          <w:iCs/>
          <w:lang w:val="en-GB"/>
        </w:rPr>
        <w:t>.</w:t>
      </w:r>
      <w:r w:rsidRPr="00306025">
        <w:rPr>
          <w:i/>
          <w:iCs/>
          <w:lang w:val="en-GB"/>
        </w:rPr>
        <w:t>”</w:t>
      </w:r>
    </w:p>
    <w:p w14:paraId="61349501" w14:textId="0F79B6CA" w:rsidR="00A647FB" w:rsidRPr="00306025" w:rsidRDefault="00A647FB" w:rsidP="00A647FB">
      <w:pPr>
        <w:pStyle w:val="Title3"/>
      </w:pPr>
      <w:bookmarkStart w:id="63" w:name="_Toc141803640"/>
      <w:r w:rsidRPr="00306025">
        <w:t>c) Victim’s Compensation Law (OEG): 4 failed Cases</w:t>
      </w:r>
      <w:bookmarkEnd w:id="63"/>
    </w:p>
    <w:p w14:paraId="39453CC7" w14:textId="77777777" w:rsidR="00A647FB" w:rsidRPr="00306025" w:rsidRDefault="00A647FB" w:rsidP="00A647FB">
      <w:pPr>
        <w:pStyle w:val="absatzschattenbericht"/>
        <w:rPr>
          <w:lang w:val="en-GB"/>
        </w:rPr>
      </w:pPr>
      <w:r w:rsidRPr="00306025">
        <w:rPr>
          <w:lang w:val="en-GB"/>
        </w:rPr>
        <w:t>The Victims Compensation Law (</w:t>
      </w:r>
      <w:proofErr w:type="spellStart"/>
      <w:r w:rsidRPr="00306025">
        <w:rPr>
          <w:lang w:val="en-GB"/>
        </w:rPr>
        <w:t>Opferentschädigungsgesetz</w:t>
      </w:r>
      <w:proofErr w:type="spellEnd"/>
      <w:r w:rsidRPr="00306025">
        <w:rPr>
          <w:lang w:val="en-GB"/>
        </w:rPr>
        <w:t xml:space="preserve">, OEG) was introduced with the </w:t>
      </w:r>
      <w:r w:rsidRPr="00306025">
        <w:rPr>
          <w:b/>
          <w:lang w:val="en-GB"/>
        </w:rPr>
        <w:t>stated intent</w:t>
      </w:r>
      <w:r w:rsidRPr="00306025">
        <w:rPr>
          <w:lang w:val="en-GB"/>
        </w:rPr>
        <w:t xml:space="preserve"> </w:t>
      </w:r>
      <w:r w:rsidRPr="00306025">
        <w:rPr>
          <w:i/>
          <w:lang w:val="en-GB"/>
        </w:rPr>
        <w:t>“to create a financial compensation in cases of the state failing its mission to prevent crimes”.</w:t>
      </w:r>
      <w:r w:rsidRPr="00306025">
        <w:rPr>
          <w:rStyle w:val="Funotenzeichen"/>
          <w:i/>
          <w:lang w:val="en-GB"/>
        </w:rPr>
        <w:footnoteReference w:id="48"/>
      </w:r>
    </w:p>
    <w:p w14:paraId="303969F9" w14:textId="32F304EE" w:rsidR="00A647FB" w:rsidRPr="00306025" w:rsidRDefault="00A647FB" w:rsidP="00A647FB">
      <w:pPr>
        <w:pStyle w:val="absatzschattenbericht"/>
        <w:rPr>
          <w:lang w:val="en-GB"/>
        </w:rPr>
      </w:pPr>
      <w:r w:rsidRPr="00306025">
        <w:rPr>
          <w:b/>
          <w:lang w:val="en-GB"/>
        </w:rPr>
        <w:t>So far, no survivor of IGM practices succeeded in winning any compensation,</w:t>
      </w:r>
      <w:r w:rsidRPr="00306025">
        <w:rPr>
          <w:lang w:val="en-GB"/>
        </w:rPr>
        <w:t xml:space="preserve"> with the courts consistently denying compensation to IGM victims, including by explicitly stating that for the plaintiff to be eligible for compensation, </w:t>
      </w:r>
      <w:r w:rsidRPr="00306025">
        <w:rPr>
          <w:b/>
          <w:i/>
          <w:lang w:val="en-GB"/>
        </w:rPr>
        <w:t xml:space="preserve">“there would have to be laws [against IGM practices] in place. However, there aren’t.” </w:t>
      </w:r>
      <w:r w:rsidRPr="00306025">
        <w:rPr>
          <w:lang w:val="en-GB"/>
        </w:rPr>
        <w:t>(see below Case 2)</w:t>
      </w:r>
    </w:p>
    <w:p w14:paraId="3A4AC736" w14:textId="77C55551" w:rsidR="005E78E4" w:rsidRPr="00306025" w:rsidRDefault="00A647FB" w:rsidP="00392851">
      <w:pPr>
        <w:pStyle w:val="absatzschattenbericht"/>
        <w:rPr>
          <w:lang w:val="en-GB"/>
        </w:rPr>
      </w:pPr>
      <w:r w:rsidRPr="00AA17B8">
        <w:rPr>
          <w:lang w:val="en-GB"/>
        </w:rPr>
        <w:t xml:space="preserve">Another case, originally initiated in Hamburg in 2009 (!), has been </w:t>
      </w:r>
      <w:r w:rsidR="003D2ADB" w:rsidRPr="00AA17B8">
        <w:rPr>
          <w:b/>
          <w:lang w:val="en-GB"/>
        </w:rPr>
        <w:t>dragging on for 12 years</w:t>
      </w:r>
      <w:r w:rsidRPr="00AA17B8">
        <w:rPr>
          <w:lang w:val="en-GB"/>
        </w:rPr>
        <w:t>,</w:t>
      </w:r>
      <w:r w:rsidRPr="00AA17B8">
        <w:rPr>
          <w:b/>
          <w:lang w:val="en-GB"/>
        </w:rPr>
        <w:t xml:space="preserve"> </w:t>
      </w:r>
      <w:r w:rsidR="003D2ADB" w:rsidRPr="00AA17B8">
        <w:rPr>
          <w:lang w:val="en-GB"/>
        </w:rPr>
        <w:t>with court after court concluding</w:t>
      </w:r>
      <w:r w:rsidRPr="00AA17B8">
        <w:rPr>
          <w:lang w:val="en-GB"/>
        </w:rPr>
        <w:t xml:space="preserve"> that non-consensual full clitoridectomy and medical experimentation with “</w:t>
      </w:r>
      <w:proofErr w:type="spellStart"/>
      <w:r w:rsidRPr="00AA17B8">
        <w:rPr>
          <w:lang w:val="en-GB"/>
        </w:rPr>
        <w:t>Androcur</w:t>
      </w:r>
      <w:proofErr w:type="spellEnd"/>
      <w:r w:rsidRPr="00AA17B8">
        <w:rPr>
          <w:lang w:val="en-GB"/>
        </w:rPr>
        <w:t xml:space="preserve">” would constitute </w:t>
      </w:r>
      <w:r w:rsidRPr="00AA17B8">
        <w:rPr>
          <w:b/>
          <w:i/>
          <w:lang w:val="en-GB"/>
        </w:rPr>
        <w:t>“state of the art”</w:t>
      </w:r>
      <w:r w:rsidRPr="00AA17B8">
        <w:rPr>
          <w:lang w:val="en-GB"/>
        </w:rPr>
        <w:t xml:space="preserve"> </w:t>
      </w:r>
      <w:r w:rsidRPr="00AA17B8">
        <w:rPr>
          <w:b/>
          <w:lang w:val="en-GB"/>
        </w:rPr>
        <w:t>legal medical interventions</w:t>
      </w:r>
      <w:r w:rsidRPr="00AA17B8">
        <w:rPr>
          <w:lang w:val="en-GB"/>
        </w:rPr>
        <w:t xml:space="preserve"> </w:t>
      </w:r>
      <w:r w:rsidRPr="00AA17B8">
        <w:rPr>
          <w:i/>
          <w:lang w:val="en-GB"/>
        </w:rPr>
        <w:t>“</w:t>
      </w:r>
      <w:proofErr w:type="spellStart"/>
      <w:r w:rsidRPr="00AA17B8">
        <w:rPr>
          <w:b/>
          <w:i/>
          <w:lang w:val="en-GB"/>
        </w:rPr>
        <w:t>serv</w:t>
      </w:r>
      <w:proofErr w:type="spellEnd"/>
      <w:r w:rsidRPr="00AA17B8">
        <w:rPr>
          <w:b/>
          <w:i/>
          <w:lang w:val="en-GB"/>
        </w:rPr>
        <w:t>[</w:t>
      </w:r>
      <w:proofErr w:type="spellStart"/>
      <w:r w:rsidRPr="00AA17B8">
        <w:rPr>
          <w:b/>
          <w:i/>
          <w:lang w:val="en-GB"/>
        </w:rPr>
        <w:t>ing</w:t>
      </w:r>
      <w:proofErr w:type="spellEnd"/>
      <w:r w:rsidRPr="00AA17B8">
        <w:rPr>
          <w:b/>
          <w:i/>
          <w:lang w:val="en-GB"/>
        </w:rPr>
        <w:t>] the well-being of the patient”</w:t>
      </w:r>
      <w:r w:rsidRPr="00AA17B8">
        <w:rPr>
          <w:lang w:val="en-GB"/>
        </w:rPr>
        <w:t>, and that – contrary to CAT/C/DEU/CO/5, para 20; CRPD/C/DEU/CO/1, paras 37-38; CEDAW/C/DEU/CO/7-8, paras 23-24;</w:t>
      </w:r>
      <w:r w:rsidR="00243F3E" w:rsidRPr="00AA17B8">
        <w:rPr>
          <w:lang w:val="en-GB"/>
        </w:rPr>
        <w:t xml:space="preserve"> CCPR/C/DEU/CO/7, paras 20</w:t>
      </w:r>
      <w:r w:rsidR="00212E1D" w:rsidRPr="00AA17B8">
        <w:rPr>
          <w:lang w:val="en-GB"/>
        </w:rPr>
        <w:t>-</w:t>
      </w:r>
      <w:r w:rsidR="00243F3E" w:rsidRPr="00AA17B8">
        <w:rPr>
          <w:lang w:val="en-GB"/>
        </w:rPr>
        <w:t>21</w:t>
      </w:r>
      <w:r w:rsidRPr="00AA17B8">
        <w:rPr>
          <w:lang w:val="en-GB"/>
        </w:rPr>
        <w:t xml:space="preserve"> – </w:t>
      </w:r>
      <w:r w:rsidRPr="00AA17B8">
        <w:rPr>
          <w:i/>
          <w:lang w:val="en-GB"/>
        </w:rPr>
        <w:t>“[a]</w:t>
      </w:r>
      <w:proofErr w:type="spellStart"/>
      <w:r w:rsidRPr="00AA17B8">
        <w:rPr>
          <w:i/>
          <w:lang w:val="en-GB"/>
        </w:rPr>
        <w:t>lso</w:t>
      </w:r>
      <w:proofErr w:type="spellEnd"/>
      <w:r w:rsidRPr="00AA17B8">
        <w:rPr>
          <w:i/>
          <w:lang w:val="en-GB"/>
        </w:rPr>
        <w:t xml:space="preserve"> a human experiment and </w:t>
      </w:r>
      <w:r w:rsidRPr="00AA17B8">
        <w:rPr>
          <w:b/>
          <w:i/>
          <w:lang w:val="en-GB"/>
        </w:rPr>
        <w:t>torture [or CIDT] is not to be assumed”</w:t>
      </w:r>
      <w:r w:rsidR="00E20D35" w:rsidRPr="00AA17B8">
        <w:rPr>
          <w:bCs/>
          <w:iCs/>
          <w:lang w:val="en-GB"/>
        </w:rPr>
        <w:t>,</w:t>
      </w:r>
      <w:r w:rsidRPr="00AA17B8">
        <w:rPr>
          <w:bCs/>
          <w:iCs/>
          <w:lang w:val="en-GB"/>
        </w:rPr>
        <w:t xml:space="preserve"> </w:t>
      </w:r>
      <w:r w:rsidR="00392851" w:rsidRPr="00AA17B8">
        <w:rPr>
          <w:lang w:val="en-GB"/>
        </w:rPr>
        <w:t xml:space="preserve">and the right to compensation under OEG definitively </w:t>
      </w:r>
      <w:r w:rsidR="00392851" w:rsidRPr="00AA17B8">
        <w:rPr>
          <w:b/>
          <w:bCs/>
          <w:lang w:val="en-GB"/>
        </w:rPr>
        <w:t>rejected by the highest instance in 2021</w:t>
      </w:r>
      <w:r w:rsidR="00392851" w:rsidRPr="00AA17B8">
        <w:rPr>
          <w:lang w:val="en-GB"/>
        </w:rPr>
        <w:t xml:space="preserve"> </w:t>
      </w:r>
      <w:r w:rsidRPr="00AA17B8">
        <w:rPr>
          <w:lang w:val="en-GB"/>
        </w:rPr>
        <w:t>(see below Case 4).</w:t>
      </w:r>
    </w:p>
    <w:p w14:paraId="0206CC3D" w14:textId="77777777" w:rsidR="00A647FB" w:rsidRPr="00306025" w:rsidRDefault="00A647FB" w:rsidP="00A647FB">
      <w:pPr>
        <w:pStyle w:val="absatzschattenbericht"/>
        <w:rPr>
          <w:lang w:val="en-GB"/>
        </w:rPr>
      </w:pPr>
      <w:r w:rsidRPr="00306025">
        <w:rPr>
          <w:b/>
          <w:bCs/>
          <w:lang w:val="en-GB"/>
        </w:rPr>
        <w:t>Case 1:</w:t>
      </w:r>
      <w:r w:rsidRPr="00306025">
        <w:rPr>
          <w:vertAlign w:val="superscript"/>
          <w:lang w:val="en-GB"/>
        </w:rPr>
        <w:footnoteReference w:id="49"/>
      </w:r>
      <w:r w:rsidRPr="00306025">
        <w:rPr>
          <w:b/>
          <w:bCs/>
          <w:lang w:val="en-GB"/>
        </w:rPr>
        <w:t xml:space="preserve"> </w:t>
      </w:r>
      <w:r w:rsidRPr="00306025">
        <w:rPr>
          <w:lang w:val="en-GB"/>
        </w:rPr>
        <w:t>Survivor of IGM practices with acknowledged disability grade (</w:t>
      </w:r>
      <w:proofErr w:type="spellStart"/>
      <w:r w:rsidRPr="00306025">
        <w:rPr>
          <w:lang w:val="en-GB"/>
        </w:rPr>
        <w:t>GdB</w:t>
      </w:r>
      <w:proofErr w:type="spellEnd"/>
      <w:r w:rsidRPr="00306025">
        <w:rPr>
          <w:lang w:val="en-GB"/>
        </w:rPr>
        <w:t xml:space="preserve">) due to IGM, unable to work. </w:t>
      </w:r>
      <w:r w:rsidRPr="00306025">
        <w:rPr>
          <w:b/>
          <w:bCs/>
          <w:lang w:val="en-GB"/>
        </w:rPr>
        <w:t>Right to compensation denied by court</w:t>
      </w:r>
      <w:r w:rsidRPr="00306025">
        <w:rPr>
          <w:lang w:val="en-GB"/>
        </w:rPr>
        <w:t xml:space="preserve"> in 2012, on the grounds of lacking </w:t>
      </w:r>
      <w:r w:rsidRPr="00306025">
        <w:rPr>
          <w:i/>
          <w:iCs/>
          <w:lang w:val="en-GB"/>
        </w:rPr>
        <w:t>“hostile intent” (“</w:t>
      </w:r>
      <w:proofErr w:type="spellStart"/>
      <w:r w:rsidRPr="00306025">
        <w:rPr>
          <w:i/>
          <w:iCs/>
          <w:lang w:val="en-GB"/>
        </w:rPr>
        <w:t>feindselige</w:t>
      </w:r>
      <w:proofErr w:type="spellEnd"/>
      <w:r w:rsidRPr="00306025">
        <w:rPr>
          <w:i/>
          <w:iCs/>
          <w:lang w:val="en-GB"/>
        </w:rPr>
        <w:t xml:space="preserve"> </w:t>
      </w:r>
      <w:proofErr w:type="spellStart"/>
      <w:r w:rsidRPr="00306025">
        <w:rPr>
          <w:i/>
          <w:iCs/>
          <w:lang w:val="en-GB"/>
        </w:rPr>
        <w:t>Absicht</w:t>
      </w:r>
      <w:proofErr w:type="spellEnd"/>
      <w:r w:rsidRPr="00306025">
        <w:rPr>
          <w:i/>
          <w:iCs/>
          <w:lang w:val="en-GB"/>
        </w:rPr>
        <w:t>”)</w:t>
      </w:r>
      <w:r w:rsidRPr="00306025">
        <w:rPr>
          <w:lang w:val="en-GB"/>
        </w:rPr>
        <w:t xml:space="preserve"> of perpetrating doctors, referring to lack of </w:t>
      </w:r>
      <w:r w:rsidRPr="00306025">
        <w:rPr>
          <w:i/>
          <w:iCs/>
          <w:lang w:val="en-GB"/>
        </w:rPr>
        <w:t>“own financial interests of treating clinicians”</w:t>
      </w:r>
      <w:r w:rsidRPr="00306025">
        <w:rPr>
          <w:lang w:val="en-GB"/>
        </w:rPr>
        <w:t>.</w:t>
      </w:r>
      <w:r w:rsidRPr="00306025">
        <w:rPr>
          <w:vertAlign w:val="superscript"/>
          <w:lang w:val="en-GB"/>
        </w:rPr>
        <w:footnoteReference w:id="50"/>
      </w:r>
    </w:p>
    <w:p w14:paraId="59D5EDF1" w14:textId="77777777" w:rsidR="00A647FB" w:rsidRPr="00306025" w:rsidRDefault="00A647FB" w:rsidP="00A647FB">
      <w:pPr>
        <w:pStyle w:val="absatzschattenbericht"/>
        <w:rPr>
          <w:lang w:val="en-GB"/>
        </w:rPr>
      </w:pPr>
      <w:r w:rsidRPr="00306025">
        <w:rPr>
          <w:b/>
          <w:bCs/>
          <w:lang w:val="en-GB"/>
        </w:rPr>
        <w:t>Case 2:</w:t>
      </w:r>
      <w:r w:rsidRPr="00306025">
        <w:rPr>
          <w:lang w:val="en-GB"/>
        </w:rPr>
        <w:t xml:space="preserve"> Survivor of IGM practices with acknowledged disability grade (</w:t>
      </w:r>
      <w:proofErr w:type="spellStart"/>
      <w:r w:rsidRPr="00306025">
        <w:rPr>
          <w:lang w:val="en-GB"/>
        </w:rPr>
        <w:t>GdB</w:t>
      </w:r>
      <w:proofErr w:type="spellEnd"/>
      <w:r w:rsidRPr="00306025">
        <w:rPr>
          <w:lang w:val="en-GB"/>
        </w:rPr>
        <w:t xml:space="preserve">) of 80% due to IGM, unable to work. </w:t>
      </w:r>
      <w:r w:rsidRPr="00306025">
        <w:rPr>
          <w:b/>
          <w:bCs/>
          <w:lang w:val="en-GB"/>
        </w:rPr>
        <w:t>Right to compensation denied by court</w:t>
      </w:r>
      <w:r w:rsidRPr="00306025">
        <w:rPr>
          <w:lang w:val="en-GB"/>
        </w:rPr>
        <w:t xml:space="preserve"> in 2012, on the grounds of lacking </w:t>
      </w:r>
      <w:r w:rsidRPr="00306025">
        <w:rPr>
          <w:i/>
          <w:iCs/>
          <w:lang w:val="en-GB"/>
        </w:rPr>
        <w:t>“hostile intent” (“</w:t>
      </w:r>
      <w:proofErr w:type="spellStart"/>
      <w:r w:rsidRPr="00306025">
        <w:rPr>
          <w:i/>
          <w:iCs/>
          <w:lang w:val="en-GB"/>
        </w:rPr>
        <w:t>feindselige</w:t>
      </w:r>
      <w:proofErr w:type="spellEnd"/>
      <w:r w:rsidRPr="00306025">
        <w:rPr>
          <w:i/>
          <w:iCs/>
          <w:lang w:val="en-GB"/>
        </w:rPr>
        <w:t xml:space="preserve"> </w:t>
      </w:r>
      <w:proofErr w:type="spellStart"/>
      <w:r w:rsidRPr="00306025">
        <w:rPr>
          <w:i/>
          <w:iCs/>
          <w:lang w:val="en-GB"/>
        </w:rPr>
        <w:t>Absicht</w:t>
      </w:r>
      <w:proofErr w:type="spellEnd"/>
      <w:r w:rsidRPr="00306025">
        <w:rPr>
          <w:i/>
          <w:iCs/>
          <w:lang w:val="en-GB"/>
        </w:rPr>
        <w:t>”)</w:t>
      </w:r>
      <w:r w:rsidRPr="00306025">
        <w:rPr>
          <w:lang w:val="en-GB"/>
        </w:rPr>
        <w:t xml:space="preserve"> of perpetrating doctors. As mentioned above (D.2.), in addition the court explicitly stated, for the plaintiff to be eligible for compensation </w:t>
      </w:r>
      <w:r w:rsidRPr="00306025">
        <w:rPr>
          <w:b/>
          <w:bCs/>
          <w:i/>
          <w:iCs/>
          <w:lang w:val="en-GB"/>
        </w:rPr>
        <w:t>“there would have to be laws [against IGM practices] in place. However, there aren’t.”</w:t>
      </w:r>
      <w:r w:rsidRPr="00306025">
        <w:rPr>
          <w:vertAlign w:val="superscript"/>
          <w:lang w:val="en-GB"/>
        </w:rPr>
        <w:footnoteReference w:id="51"/>
      </w:r>
    </w:p>
    <w:p w14:paraId="7F160FB7" w14:textId="77777777" w:rsidR="00A647FB" w:rsidRPr="00306025" w:rsidRDefault="00A647FB" w:rsidP="00A647FB">
      <w:pPr>
        <w:pStyle w:val="absatzschattenbericht"/>
        <w:rPr>
          <w:lang w:val="en-GB"/>
        </w:rPr>
      </w:pPr>
      <w:r w:rsidRPr="00306025">
        <w:rPr>
          <w:b/>
          <w:bCs/>
          <w:lang w:val="en-GB"/>
        </w:rPr>
        <w:lastRenderedPageBreak/>
        <w:t>Case 3:</w:t>
      </w:r>
      <w:r w:rsidRPr="00306025">
        <w:rPr>
          <w:lang w:val="en-GB"/>
        </w:rPr>
        <w:t xml:space="preserve"> Survivor of IGM practices with acknowledged disability grade (</w:t>
      </w:r>
      <w:proofErr w:type="spellStart"/>
      <w:r w:rsidRPr="00306025">
        <w:rPr>
          <w:lang w:val="en-GB"/>
        </w:rPr>
        <w:t>GdB</w:t>
      </w:r>
      <w:proofErr w:type="spellEnd"/>
      <w:r w:rsidRPr="00306025">
        <w:rPr>
          <w:lang w:val="en-GB"/>
        </w:rPr>
        <w:t xml:space="preserve">) of 60% due to IGM, unable to work. </w:t>
      </w:r>
      <w:r w:rsidRPr="00306025">
        <w:rPr>
          <w:b/>
          <w:bCs/>
          <w:lang w:val="en-GB"/>
        </w:rPr>
        <w:t>Right to compensation denied by court</w:t>
      </w:r>
      <w:r w:rsidRPr="00306025">
        <w:rPr>
          <w:lang w:val="en-GB"/>
        </w:rPr>
        <w:t xml:space="preserve"> in 2014, on the grounds of lacking </w:t>
      </w:r>
      <w:r w:rsidRPr="00306025">
        <w:rPr>
          <w:i/>
          <w:iCs/>
          <w:lang w:val="en-GB"/>
        </w:rPr>
        <w:t>“hostile intent” (“</w:t>
      </w:r>
      <w:proofErr w:type="spellStart"/>
      <w:r w:rsidRPr="00306025">
        <w:rPr>
          <w:i/>
          <w:iCs/>
          <w:lang w:val="en-GB"/>
        </w:rPr>
        <w:t>feindselige</w:t>
      </w:r>
      <w:proofErr w:type="spellEnd"/>
      <w:r w:rsidRPr="00306025">
        <w:rPr>
          <w:i/>
          <w:iCs/>
          <w:lang w:val="en-GB"/>
        </w:rPr>
        <w:t xml:space="preserve"> </w:t>
      </w:r>
      <w:proofErr w:type="spellStart"/>
      <w:r w:rsidRPr="00306025">
        <w:rPr>
          <w:i/>
          <w:iCs/>
          <w:lang w:val="en-GB"/>
        </w:rPr>
        <w:t>Absicht</w:t>
      </w:r>
      <w:proofErr w:type="spellEnd"/>
      <w:r w:rsidRPr="00306025">
        <w:rPr>
          <w:i/>
          <w:iCs/>
          <w:lang w:val="en-GB"/>
        </w:rPr>
        <w:t>”)</w:t>
      </w:r>
      <w:r w:rsidRPr="00306025">
        <w:rPr>
          <w:lang w:val="en-GB"/>
        </w:rPr>
        <w:t xml:space="preserve"> of perpetrating doctors.</w:t>
      </w:r>
      <w:r w:rsidRPr="00306025">
        <w:rPr>
          <w:vertAlign w:val="superscript"/>
          <w:lang w:val="en-GB"/>
        </w:rPr>
        <w:footnoteReference w:id="52"/>
      </w:r>
    </w:p>
    <w:p w14:paraId="0C65D62C" w14:textId="21C4C1B6" w:rsidR="00A647FB" w:rsidRPr="00AA17B8" w:rsidRDefault="00A647FB" w:rsidP="00A647FB">
      <w:pPr>
        <w:pStyle w:val="absatzschattenbericht"/>
        <w:rPr>
          <w:lang w:val="en-GB"/>
        </w:rPr>
      </w:pPr>
      <w:r w:rsidRPr="00AA17B8">
        <w:rPr>
          <w:b/>
          <w:bCs/>
          <w:iCs/>
          <w:lang w:val="en-GB"/>
        </w:rPr>
        <w:t>Case 4:</w:t>
      </w:r>
      <w:r w:rsidRPr="00AA17B8">
        <w:rPr>
          <w:iCs/>
          <w:lang w:val="en-GB"/>
        </w:rPr>
        <w:t xml:space="preserve"> </w:t>
      </w:r>
      <w:r w:rsidR="00DB6FF8" w:rsidRPr="00AA17B8">
        <w:rPr>
          <w:iCs/>
          <w:lang w:val="en-GB"/>
        </w:rPr>
        <w:t>Survivor of IGM practices with acknowledged disability grade (</w:t>
      </w:r>
      <w:proofErr w:type="spellStart"/>
      <w:r w:rsidR="00DB6FF8" w:rsidRPr="00AA17B8">
        <w:rPr>
          <w:iCs/>
          <w:lang w:val="en-GB"/>
        </w:rPr>
        <w:t>GdB</w:t>
      </w:r>
      <w:proofErr w:type="spellEnd"/>
      <w:r w:rsidR="00DB6FF8" w:rsidRPr="00AA17B8">
        <w:rPr>
          <w:iCs/>
          <w:lang w:val="en-GB"/>
        </w:rPr>
        <w:t>) of 50% and unable to work due to IGM</w:t>
      </w:r>
      <w:r w:rsidRPr="00AA17B8">
        <w:rPr>
          <w:iCs/>
          <w:lang w:val="en-GB"/>
        </w:rPr>
        <w:t xml:space="preserve">. Born 1972, at age 5 the person concerned was submitted to a </w:t>
      </w:r>
      <w:r w:rsidRPr="00AA17B8">
        <w:rPr>
          <w:b/>
          <w:iCs/>
          <w:lang w:val="en-GB"/>
        </w:rPr>
        <w:t>non-consensual full clitoridectomy</w:t>
      </w:r>
      <w:r w:rsidRPr="00AA17B8">
        <w:rPr>
          <w:iCs/>
          <w:lang w:val="en-GB"/>
        </w:rPr>
        <w:t xml:space="preserve">, and from 1979-1983 to </w:t>
      </w:r>
      <w:r w:rsidRPr="00AA17B8">
        <w:rPr>
          <w:b/>
          <w:iCs/>
          <w:lang w:val="en-GB"/>
        </w:rPr>
        <w:t xml:space="preserve">involuntary </w:t>
      </w:r>
      <w:r w:rsidRPr="00AA17B8">
        <w:rPr>
          <w:b/>
          <w:bCs/>
          <w:iCs/>
          <w:lang w:val="en-GB"/>
        </w:rPr>
        <w:t>human experimentation with “</w:t>
      </w:r>
      <w:proofErr w:type="spellStart"/>
      <w:r w:rsidRPr="00AA17B8">
        <w:rPr>
          <w:b/>
          <w:bCs/>
          <w:iCs/>
          <w:lang w:val="en-GB"/>
        </w:rPr>
        <w:t>Androcur</w:t>
      </w:r>
      <w:proofErr w:type="spellEnd"/>
      <w:r w:rsidRPr="00AA17B8">
        <w:rPr>
          <w:b/>
          <w:bCs/>
          <w:iCs/>
          <w:lang w:val="en-GB"/>
        </w:rPr>
        <w:t xml:space="preserve">” </w:t>
      </w:r>
      <w:r w:rsidRPr="00AA17B8">
        <w:rPr>
          <w:bCs/>
          <w:iCs/>
          <w:lang w:val="en-GB"/>
        </w:rPr>
        <w:t xml:space="preserve">(the risky, meanwhile discredited preparation best known for its application for “chemical castration” of sex offenders). On </w:t>
      </w:r>
      <w:r w:rsidRPr="00AA17B8">
        <w:rPr>
          <w:b/>
          <w:bCs/>
          <w:iCs/>
          <w:lang w:val="en-GB"/>
        </w:rPr>
        <w:t>29.10.2009</w:t>
      </w:r>
      <w:r w:rsidRPr="00AA17B8">
        <w:rPr>
          <w:bCs/>
          <w:iCs/>
          <w:lang w:val="en-GB"/>
        </w:rPr>
        <w:t xml:space="preserve"> the person concerned first submitted an informal </w:t>
      </w:r>
      <w:r w:rsidRPr="00AA17B8">
        <w:rPr>
          <w:b/>
          <w:bCs/>
          <w:iCs/>
          <w:lang w:val="en-GB"/>
        </w:rPr>
        <w:t>application for OEG compensation</w:t>
      </w:r>
      <w:r w:rsidRPr="00AA17B8">
        <w:rPr>
          <w:bCs/>
          <w:iCs/>
          <w:lang w:val="en-GB"/>
        </w:rPr>
        <w:t xml:space="preserve">, together with the application for disability grade. On </w:t>
      </w:r>
      <w:r w:rsidRPr="00AA17B8">
        <w:rPr>
          <w:b/>
          <w:bCs/>
          <w:iCs/>
          <w:lang w:val="en-GB"/>
        </w:rPr>
        <w:t>25.06.2010</w:t>
      </w:r>
      <w:r w:rsidRPr="00AA17B8">
        <w:rPr>
          <w:bCs/>
          <w:iCs/>
          <w:lang w:val="en-GB"/>
        </w:rPr>
        <w:t xml:space="preserve"> the person followed-up with a formal application to the State Ministry for Work, Social Affairs, Family and </w:t>
      </w:r>
      <w:proofErr w:type="spellStart"/>
      <w:r w:rsidRPr="00AA17B8">
        <w:rPr>
          <w:bCs/>
          <w:iCs/>
          <w:lang w:val="en-GB"/>
        </w:rPr>
        <w:t>Intergration</w:t>
      </w:r>
      <w:proofErr w:type="spellEnd"/>
      <w:r w:rsidRPr="00AA17B8">
        <w:rPr>
          <w:bCs/>
          <w:iCs/>
          <w:lang w:val="en-GB"/>
        </w:rPr>
        <w:t xml:space="preserve"> (BASFI) Hamburg.</w:t>
      </w:r>
      <w:r w:rsidRPr="00AA17B8">
        <w:rPr>
          <w:rStyle w:val="Funotenzeichen"/>
          <w:lang w:val="en-GB"/>
        </w:rPr>
        <w:footnoteReference w:id="53"/>
      </w:r>
      <w:r w:rsidRPr="00AA17B8">
        <w:rPr>
          <w:lang w:val="en-GB"/>
        </w:rPr>
        <w:t xml:space="preserve"> On </w:t>
      </w:r>
      <w:r w:rsidRPr="00AA17B8">
        <w:rPr>
          <w:b/>
          <w:lang w:val="en-GB"/>
        </w:rPr>
        <w:t>19.03.2012</w:t>
      </w:r>
      <w:r w:rsidRPr="00AA17B8">
        <w:rPr>
          <w:lang w:val="en-GB"/>
        </w:rPr>
        <w:t xml:space="preserve"> the lawyer of the person concerned explicitly informed the State ministry of the recent </w:t>
      </w:r>
      <w:r w:rsidRPr="00AA17B8">
        <w:rPr>
          <w:b/>
          <w:lang w:val="en-GB"/>
        </w:rPr>
        <w:t>CAT Concluding Observations for Germany</w:t>
      </w:r>
      <w:r w:rsidRPr="00AA17B8">
        <w:rPr>
          <w:lang w:val="en-GB"/>
        </w:rPr>
        <w:t xml:space="preserve"> on </w:t>
      </w:r>
      <w:r w:rsidR="0027274F" w:rsidRPr="00AA17B8">
        <w:rPr>
          <w:lang w:val="en-GB"/>
        </w:rPr>
        <w:t>IGM</w:t>
      </w:r>
      <w:r w:rsidRPr="00AA17B8">
        <w:rPr>
          <w:lang w:val="en-GB"/>
        </w:rPr>
        <w:t xml:space="preserve"> (CAT/C/DEU/CO/5, para 20).</w:t>
      </w:r>
    </w:p>
    <w:p w14:paraId="39D5FEAC" w14:textId="77777777" w:rsidR="00A647FB" w:rsidRPr="00AA17B8" w:rsidRDefault="00A647FB" w:rsidP="00A647FB">
      <w:pPr>
        <w:pStyle w:val="absatzschattenbericht"/>
        <w:rPr>
          <w:lang w:val="en-GB"/>
        </w:rPr>
      </w:pPr>
      <w:r w:rsidRPr="00AA17B8">
        <w:rPr>
          <w:b/>
          <w:bCs/>
          <w:iCs/>
          <w:lang w:val="en-GB"/>
        </w:rPr>
        <w:t>Right to compensation denied by State ministry</w:t>
      </w:r>
      <w:r w:rsidRPr="00AA17B8">
        <w:rPr>
          <w:iCs/>
          <w:lang w:val="en-GB"/>
        </w:rPr>
        <w:t xml:space="preserve"> in 2013, on the grounds of lacking </w:t>
      </w:r>
      <w:r w:rsidRPr="00AA17B8">
        <w:rPr>
          <w:i/>
          <w:lang w:val="en-GB"/>
        </w:rPr>
        <w:t>“hostile intent” (“</w:t>
      </w:r>
      <w:proofErr w:type="spellStart"/>
      <w:r w:rsidRPr="00AA17B8">
        <w:rPr>
          <w:i/>
          <w:lang w:val="en-GB"/>
        </w:rPr>
        <w:t>feindselige</w:t>
      </w:r>
      <w:proofErr w:type="spellEnd"/>
      <w:r w:rsidRPr="00AA17B8">
        <w:rPr>
          <w:i/>
          <w:lang w:val="en-GB"/>
        </w:rPr>
        <w:t xml:space="preserve"> </w:t>
      </w:r>
      <w:proofErr w:type="spellStart"/>
      <w:r w:rsidRPr="00AA17B8">
        <w:rPr>
          <w:i/>
          <w:lang w:val="en-GB"/>
        </w:rPr>
        <w:t>Absicht</w:t>
      </w:r>
      <w:proofErr w:type="spellEnd"/>
      <w:r w:rsidRPr="00AA17B8">
        <w:rPr>
          <w:i/>
          <w:lang w:val="en-GB"/>
        </w:rPr>
        <w:t>”)</w:t>
      </w:r>
      <w:r w:rsidRPr="00AA17B8">
        <w:rPr>
          <w:iCs/>
          <w:lang w:val="en-GB"/>
        </w:rPr>
        <w:t xml:space="preserve">, stating the deeds in question, including </w:t>
      </w:r>
      <w:r w:rsidRPr="00AA17B8">
        <w:rPr>
          <w:b/>
          <w:bCs/>
          <w:iCs/>
          <w:lang w:val="en-GB"/>
        </w:rPr>
        <w:t xml:space="preserve">non-consensual full clitoridectomy </w:t>
      </w:r>
      <w:r w:rsidRPr="00AA17B8">
        <w:rPr>
          <w:bCs/>
          <w:iCs/>
          <w:lang w:val="en-GB"/>
        </w:rPr>
        <w:t>and</w:t>
      </w:r>
      <w:r w:rsidRPr="00AA17B8">
        <w:rPr>
          <w:b/>
          <w:bCs/>
          <w:iCs/>
          <w:lang w:val="en-GB"/>
        </w:rPr>
        <w:t xml:space="preserve"> human experimentation with “</w:t>
      </w:r>
      <w:proofErr w:type="spellStart"/>
      <w:r w:rsidRPr="00AA17B8">
        <w:rPr>
          <w:b/>
          <w:bCs/>
          <w:iCs/>
          <w:lang w:val="en-GB"/>
        </w:rPr>
        <w:t>Androcur</w:t>
      </w:r>
      <w:proofErr w:type="spellEnd"/>
      <w:r w:rsidRPr="00AA17B8">
        <w:rPr>
          <w:bCs/>
          <w:iCs/>
          <w:lang w:val="en-GB"/>
        </w:rPr>
        <w:t>,</w:t>
      </w:r>
      <w:r w:rsidRPr="00AA17B8">
        <w:rPr>
          <w:b/>
          <w:bCs/>
          <w:iCs/>
          <w:lang w:val="en-GB"/>
        </w:rPr>
        <w:t xml:space="preserve"> </w:t>
      </w:r>
      <w:r w:rsidRPr="00AA17B8">
        <w:rPr>
          <w:bCs/>
          <w:iCs/>
          <w:lang w:val="en-GB"/>
        </w:rPr>
        <w:t>would</w:t>
      </w:r>
      <w:r w:rsidRPr="00AA17B8">
        <w:rPr>
          <w:b/>
          <w:bCs/>
          <w:iCs/>
          <w:lang w:val="en-GB"/>
        </w:rPr>
        <w:t xml:space="preserve"> not constitute a punishable criminal offense.</w:t>
      </w:r>
      <w:r w:rsidRPr="00AA17B8">
        <w:rPr>
          <w:iCs/>
          <w:vertAlign w:val="superscript"/>
          <w:lang w:val="en-GB"/>
        </w:rPr>
        <w:footnoteReference w:id="54"/>
      </w:r>
      <w:r w:rsidRPr="00AA17B8">
        <w:rPr>
          <w:lang w:val="en-GB"/>
        </w:rPr>
        <w:t xml:space="preserve"> </w:t>
      </w:r>
    </w:p>
    <w:p w14:paraId="6197D829" w14:textId="77777777" w:rsidR="00A647FB" w:rsidRPr="00AA17B8" w:rsidRDefault="00A647FB" w:rsidP="00A647FB">
      <w:pPr>
        <w:pStyle w:val="absatzschattenbericht"/>
        <w:rPr>
          <w:b/>
          <w:lang w:val="en-GB"/>
        </w:rPr>
      </w:pPr>
      <w:r w:rsidRPr="00AA17B8">
        <w:rPr>
          <w:lang w:val="en-GB"/>
        </w:rPr>
        <w:t xml:space="preserve">On </w:t>
      </w:r>
      <w:r w:rsidRPr="00AA17B8">
        <w:rPr>
          <w:b/>
          <w:lang w:val="en-GB"/>
        </w:rPr>
        <w:t>02.04.2013</w:t>
      </w:r>
      <w:r w:rsidRPr="00AA17B8">
        <w:rPr>
          <w:lang w:val="en-GB"/>
        </w:rPr>
        <w:t xml:space="preserve"> the person concerned lodged an</w:t>
      </w:r>
      <w:r w:rsidRPr="00AA17B8">
        <w:rPr>
          <w:b/>
          <w:lang w:val="en-GB"/>
        </w:rPr>
        <w:t xml:space="preserve"> appeal</w:t>
      </w:r>
      <w:r w:rsidRPr="00AA17B8">
        <w:rPr>
          <w:lang w:val="en-GB"/>
        </w:rPr>
        <w:t xml:space="preserve"> at the </w:t>
      </w:r>
      <w:r w:rsidRPr="00AA17B8">
        <w:rPr>
          <w:b/>
          <w:lang w:val="en-GB"/>
        </w:rPr>
        <w:t>Social Court Hamburg</w:t>
      </w:r>
      <w:r w:rsidRPr="00AA17B8">
        <w:rPr>
          <w:lang w:val="en-GB"/>
        </w:rPr>
        <w:t>.</w:t>
      </w:r>
      <w:r w:rsidRPr="00AA17B8">
        <w:rPr>
          <w:rStyle w:val="Funotenzeichen"/>
          <w:lang w:val="en-GB"/>
        </w:rPr>
        <w:footnoteReference w:id="55"/>
      </w:r>
      <w:r w:rsidRPr="00AA17B8">
        <w:rPr>
          <w:lang w:val="en-GB"/>
        </w:rPr>
        <w:t xml:space="preserve"> There, the </w:t>
      </w:r>
      <w:r w:rsidRPr="00AA17B8">
        <w:rPr>
          <w:b/>
          <w:lang w:val="en-GB"/>
        </w:rPr>
        <w:t>case rested for over 69 months.</w:t>
      </w:r>
    </w:p>
    <w:p w14:paraId="194C8845" w14:textId="75252E15" w:rsidR="00A647FB" w:rsidRPr="00AA17B8" w:rsidRDefault="00A647FB" w:rsidP="00A647FB">
      <w:pPr>
        <w:pStyle w:val="absatzschattenbericht"/>
        <w:rPr>
          <w:b/>
          <w:lang w:val="en-GB"/>
        </w:rPr>
      </w:pPr>
      <w:r w:rsidRPr="00AA17B8">
        <w:rPr>
          <w:lang w:val="en-GB"/>
        </w:rPr>
        <w:t xml:space="preserve">On </w:t>
      </w:r>
      <w:r w:rsidRPr="00AA17B8">
        <w:rPr>
          <w:b/>
          <w:lang w:val="en-GB"/>
        </w:rPr>
        <w:t>19.12.2018</w:t>
      </w:r>
      <w:r w:rsidRPr="00AA17B8">
        <w:rPr>
          <w:lang w:val="en-GB"/>
        </w:rPr>
        <w:t xml:space="preserve"> the </w:t>
      </w:r>
      <w:r w:rsidRPr="00AA17B8">
        <w:rPr>
          <w:b/>
          <w:lang w:val="en-GB"/>
        </w:rPr>
        <w:t>Social court eventually denied compensation</w:t>
      </w:r>
      <w:r w:rsidRPr="00AA17B8">
        <w:rPr>
          <w:lang w:val="en-GB"/>
        </w:rPr>
        <w:t>,</w:t>
      </w:r>
      <w:r w:rsidRPr="00AA17B8">
        <w:rPr>
          <w:rStyle w:val="Funotenzeichen"/>
          <w:lang w:val="en-GB"/>
        </w:rPr>
        <w:footnoteReference w:id="56"/>
      </w:r>
      <w:r w:rsidRPr="00AA17B8">
        <w:rPr>
          <w:lang w:val="en-GB"/>
        </w:rPr>
        <w:t xml:space="preserve"> arguing the non-consensual full clitoridectomy and medical experimentation with “</w:t>
      </w:r>
      <w:proofErr w:type="spellStart"/>
      <w:r w:rsidRPr="00AA17B8">
        <w:rPr>
          <w:lang w:val="en-GB"/>
        </w:rPr>
        <w:t>Androcur</w:t>
      </w:r>
      <w:proofErr w:type="spellEnd"/>
      <w:r w:rsidRPr="00AA17B8">
        <w:rPr>
          <w:lang w:val="en-GB"/>
        </w:rPr>
        <w:t xml:space="preserve">” would constitute a </w:t>
      </w:r>
      <w:r w:rsidRPr="00AA17B8">
        <w:rPr>
          <w:b/>
          <w:lang w:val="en-GB"/>
        </w:rPr>
        <w:t>legal medical therapy for intersex children</w:t>
      </w:r>
      <w:r w:rsidRPr="00AA17B8">
        <w:rPr>
          <w:lang w:val="en-GB"/>
        </w:rPr>
        <w:t xml:space="preserve"> still recommended today, which would </w:t>
      </w:r>
      <w:r w:rsidRPr="00AA17B8">
        <w:rPr>
          <w:i/>
          <w:lang w:val="en-GB"/>
        </w:rPr>
        <w:t>“</w:t>
      </w:r>
      <w:r w:rsidRPr="00AA17B8">
        <w:rPr>
          <w:b/>
          <w:i/>
          <w:lang w:val="en-GB"/>
        </w:rPr>
        <w:t>serve the well-being of the patient”</w:t>
      </w:r>
      <w:r w:rsidRPr="00AA17B8">
        <w:rPr>
          <w:lang w:val="en-GB"/>
        </w:rPr>
        <w:t xml:space="preserve">, further directly </w:t>
      </w:r>
      <w:r w:rsidRPr="00AA17B8">
        <w:rPr>
          <w:b/>
          <w:lang w:val="en-GB"/>
        </w:rPr>
        <w:t xml:space="preserve">contradicting </w:t>
      </w:r>
      <w:r w:rsidR="00DD035D" w:rsidRPr="00AA17B8">
        <w:rPr>
          <w:b/>
          <w:lang w:val="en-GB"/>
        </w:rPr>
        <w:t>the</w:t>
      </w:r>
      <w:r w:rsidRPr="00AA17B8">
        <w:rPr>
          <w:b/>
          <w:lang w:val="en-GB"/>
        </w:rPr>
        <w:t xml:space="preserve"> </w:t>
      </w:r>
      <w:r w:rsidR="00DD035D" w:rsidRPr="00AA17B8">
        <w:rPr>
          <w:b/>
          <w:lang w:val="en-GB"/>
        </w:rPr>
        <w:t>CAT</w:t>
      </w:r>
      <w:r w:rsidRPr="00AA17B8">
        <w:rPr>
          <w:b/>
          <w:lang w:val="en-GB"/>
        </w:rPr>
        <w:t xml:space="preserve"> Concluding Observations</w:t>
      </w:r>
      <w:r w:rsidRPr="00AA17B8">
        <w:rPr>
          <w:lang w:val="en-GB"/>
        </w:rPr>
        <w:t xml:space="preserve"> on intersex interventions in Germany, considered as inhuman treatment under CAT arts. 2, 10, 12, 14 and 16 (CAT/C/DEU/CO/5, para 20):</w:t>
      </w:r>
    </w:p>
    <w:p w14:paraId="28147DB5" w14:textId="77777777" w:rsidR="00A647FB" w:rsidRPr="00AA17B8" w:rsidRDefault="00A647FB" w:rsidP="00A647FB">
      <w:pPr>
        <w:pStyle w:val="absatzschattenbericht"/>
        <w:ind w:left="284"/>
        <w:rPr>
          <w:lang w:val="en-GB"/>
        </w:rPr>
      </w:pPr>
      <w:r w:rsidRPr="00AA17B8">
        <w:rPr>
          <w:i/>
          <w:lang w:val="en-GB"/>
        </w:rPr>
        <w:t xml:space="preserve">“At the beginning of the 70’s of the last century an </w:t>
      </w:r>
      <w:r w:rsidRPr="00AA17B8">
        <w:rPr>
          <w:b/>
          <w:i/>
          <w:lang w:val="en-GB"/>
        </w:rPr>
        <w:t>early correction of the external genital</w:t>
      </w:r>
      <w:r w:rsidRPr="00AA17B8">
        <w:rPr>
          <w:i/>
          <w:lang w:val="en-GB"/>
        </w:rPr>
        <w:t xml:space="preserve"> at Prader stage III was recommended. </w:t>
      </w:r>
      <w:r w:rsidRPr="00AA17B8">
        <w:rPr>
          <w:b/>
          <w:i/>
          <w:lang w:val="en-GB"/>
        </w:rPr>
        <w:t>Even today, surgery in the first two years of life is recommended</w:t>
      </w:r>
      <w:r w:rsidRPr="00AA17B8">
        <w:rPr>
          <w:i/>
          <w:lang w:val="en-GB"/>
        </w:rPr>
        <w:t>. It is only since a few years that the choice of the timing of surgery has been controversially discussed in science. Since the surgery corresponds to the</w:t>
      </w:r>
      <w:r w:rsidRPr="00AA17B8">
        <w:rPr>
          <w:b/>
          <w:i/>
          <w:lang w:val="en-GB"/>
        </w:rPr>
        <w:t xml:space="preserve"> state of science</w:t>
      </w:r>
      <w:r w:rsidRPr="00AA17B8">
        <w:rPr>
          <w:i/>
          <w:lang w:val="en-GB"/>
        </w:rPr>
        <w:t xml:space="preserve">, i.e. serves the well-being of the patient, an </w:t>
      </w:r>
      <w:r w:rsidRPr="00AA17B8">
        <w:rPr>
          <w:b/>
          <w:i/>
          <w:lang w:val="en-GB"/>
        </w:rPr>
        <w:t xml:space="preserve">assault </w:t>
      </w:r>
      <w:r w:rsidRPr="00AA17B8">
        <w:rPr>
          <w:i/>
          <w:lang w:val="en-GB"/>
        </w:rPr>
        <w:t>in the sense of the OEG is not given.</w:t>
      </w:r>
      <w:r w:rsidRPr="00AA17B8">
        <w:rPr>
          <w:b/>
          <w:i/>
          <w:lang w:val="en-GB"/>
        </w:rPr>
        <w:t xml:space="preserve"> Also a human experiment and torture [or CIDT] is not to be assumed.”</w:t>
      </w:r>
      <w:r w:rsidRPr="00AA17B8">
        <w:rPr>
          <w:i/>
          <w:lang w:val="en-GB"/>
        </w:rPr>
        <w:t xml:space="preserve"> </w:t>
      </w:r>
      <w:r w:rsidRPr="00AA17B8">
        <w:rPr>
          <w:lang w:val="en-GB"/>
        </w:rPr>
        <w:t>(p. 3-4)</w:t>
      </w:r>
    </w:p>
    <w:p w14:paraId="4223BCB8" w14:textId="77777777" w:rsidR="00A647FB" w:rsidRPr="00AA17B8" w:rsidRDefault="00A647FB" w:rsidP="00A647FB">
      <w:pPr>
        <w:pStyle w:val="absatzschattenbericht"/>
        <w:rPr>
          <w:lang w:val="en-GB"/>
        </w:rPr>
      </w:pPr>
      <w:r w:rsidRPr="00AA17B8">
        <w:rPr>
          <w:lang w:val="en-GB"/>
        </w:rPr>
        <w:t xml:space="preserve">Accordingly, in its conclusion the Social Court Hamburg reiterated, the IGM practices in question would </w:t>
      </w:r>
      <w:r w:rsidRPr="00AA17B8">
        <w:rPr>
          <w:b/>
          <w:lang w:val="en-GB"/>
        </w:rPr>
        <w:t>not constitute</w:t>
      </w:r>
      <w:r w:rsidRPr="00AA17B8">
        <w:rPr>
          <w:lang w:val="en-GB"/>
        </w:rPr>
        <w:t xml:space="preserve"> </w:t>
      </w:r>
      <w:r w:rsidRPr="00AA17B8">
        <w:rPr>
          <w:i/>
          <w:lang w:val="en-GB"/>
        </w:rPr>
        <w:t>“punishable medical interventions”</w:t>
      </w:r>
      <w:r w:rsidRPr="00AA17B8">
        <w:rPr>
          <w:lang w:val="en-GB"/>
        </w:rPr>
        <w:t xml:space="preserve">, but again </w:t>
      </w:r>
      <w:r w:rsidRPr="00AA17B8">
        <w:rPr>
          <w:b/>
          <w:i/>
          <w:lang w:val="en-GB"/>
        </w:rPr>
        <w:t>“objectively […] serve [the] well-being”</w:t>
      </w:r>
      <w:r w:rsidRPr="00AA17B8">
        <w:rPr>
          <w:i/>
          <w:lang w:val="en-GB"/>
        </w:rPr>
        <w:t xml:space="preserve"> </w:t>
      </w:r>
      <w:r w:rsidRPr="00AA17B8">
        <w:rPr>
          <w:lang w:val="en-GB"/>
        </w:rPr>
        <w:t>of the person concerned:</w:t>
      </w:r>
    </w:p>
    <w:p w14:paraId="700BBE86" w14:textId="77777777" w:rsidR="00A647FB" w:rsidRPr="00AA17B8" w:rsidRDefault="00A647FB" w:rsidP="00A647FB">
      <w:pPr>
        <w:pStyle w:val="absatzschattenbericht"/>
        <w:ind w:left="284"/>
        <w:rPr>
          <w:lang w:val="en-GB"/>
        </w:rPr>
      </w:pPr>
      <w:r w:rsidRPr="00AA17B8">
        <w:rPr>
          <w:b/>
          <w:i/>
          <w:lang w:val="en-GB"/>
        </w:rPr>
        <w:t>“The plaintiff has not become a victim of violence in the sense of the OEG</w:t>
      </w:r>
      <w:r w:rsidRPr="00AA17B8">
        <w:rPr>
          <w:i/>
          <w:lang w:val="en-GB"/>
        </w:rPr>
        <w:t xml:space="preserve">, because neither </w:t>
      </w:r>
      <w:r w:rsidRPr="00AA17B8">
        <w:rPr>
          <w:i/>
          <w:lang w:val="en-GB"/>
        </w:rPr>
        <w:lastRenderedPageBreak/>
        <w:t xml:space="preserve">the surgery at the age of five nor the treatment with </w:t>
      </w:r>
      <w:proofErr w:type="spellStart"/>
      <w:r w:rsidRPr="00AA17B8">
        <w:rPr>
          <w:i/>
          <w:lang w:val="en-GB"/>
        </w:rPr>
        <w:t>Androcur</w:t>
      </w:r>
      <w:proofErr w:type="spellEnd"/>
      <w:r w:rsidRPr="00AA17B8">
        <w:rPr>
          <w:i/>
          <w:lang w:val="en-GB"/>
        </w:rPr>
        <w:t xml:space="preserve"> nor the bladder puncture are </w:t>
      </w:r>
      <w:r w:rsidRPr="00AA17B8">
        <w:rPr>
          <w:b/>
          <w:i/>
          <w:lang w:val="en-GB"/>
        </w:rPr>
        <w:t>punishable medical interventions</w:t>
      </w:r>
      <w:r w:rsidRPr="00AA17B8">
        <w:rPr>
          <w:i/>
          <w:lang w:val="en-GB"/>
        </w:rPr>
        <w:t xml:space="preserve">, which objectively, i.e. from the point of view of a reasonable third party, did not serve their well-being.” </w:t>
      </w:r>
      <w:r w:rsidRPr="00AA17B8">
        <w:rPr>
          <w:lang w:val="en-GB"/>
        </w:rPr>
        <w:t>(p. 8)</w:t>
      </w:r>
    </w:p>
    <w:p w14:paraId="248E4444" w14:textId="63586663" w:rsidR="00892EFB" w:rsidRPr="00AA17B8" w:rsidRDefault="00A647FB" w:rsidP="00EA4D66">
      <w:pPr>
        <w:pStyle w:val="absatzschattenbericht"/>
        <w:rPr>
          <w:lang w:val="en-GB"/>
        </w:rPr>
      </w:pPr>
      <w:r w:rsidRPr="00AA17B8">
        <w:rPr>
          <w:lang w:val="en-GB"/>
        </w:rPr>
        <w:t xml:space="preserve">On </w:t>
      </w:r>
      <w:r w:rsidRPr="00AA17B8">
        <w:rPr>
          <w:b/>
          <w:lang w:val="en-GB"/>
        </w:rPr>
        <w:t>21.01.2019</w:t>
      </w:r>
      <w:r w:rsidRPr="00AA17B8">
        <w:rPr>
          <w:lang w:val="en-GB"/>
        </w:rPr>
        <w:t xml:space="preserve"> the person concerned lodged an appeal against this </w:t>
      </w:r>
      <w:r w:rsidR="007C1A4E" w:rsidRPr="00AA17B8">
        <w:rPr>
          <w:lang w:val="en-GB"/>
        </w:rPr>
        <w:t>decision</w:t>
      </w:r>
      <w:r w:rsidRPr="00AA17B8">
        <w:rPr>
          <w:lang w:val="en-GB"/>
        </w:rPr>
        <w:t xml:space="preserve"> </w:t>
      </w:r>
      <w:r w:rsidR="00DA4CDE" w:rsidRPr="00AA17B8">
        <w:rPr>
          <w:lang w:val="en-GB"/>
        </w:rPr>
        <w:t>at</w:t>
      </w:r>
      <w:r w:rsidRPr="00AA17B8">
        <w:rPr>
          <w:lang w:val="en-GB"/>
        </w:rPr>
        <w:t xml:space="preserve"> the </w:t>
      </w:r>
      <w:r w:rsidRPr="00AA17B8">
        <w:rPr>
          <w:b/>
          <w:lang w:val="en-GB"/>
        </w:rPr>
        <w:t>Higher Social Court Hamburg</w:t>
      </w:r>
      <w:r w:rsidRPr="00AA17B8">
        <w:rPr>
          <w:lang w:val="en-GB"/>
        </w:rPr>
        <w:t xml:space="preserve"> (</w:t>
      </w:r>
      <w:proofErr w:type="spellStart"/>
      <w:r w:rsidRPr="00AA17B8">
        <w:rPr>
          <w:lang w:val="en-GB"/>
        </w:rPr>
        <w:t>Landessozialgericht</w:t>
      </w:r>
      <w:proofErr w:type="spellEnd"/>
      <w:r w:rsidRPr="00AA17B8">
        <w:rPr>
          <w:lang w:val="en-GB"/>
        </w:rPr>
        <w:t xml:space="preserve"> LSG Hamburg), </w:t>
      </w:r>
      <w:r w:rsidR="00D11B0F" w:rsidRPr="00AA17B8">
        <w:rPr>
          <w:lang w:val="en-GB"/>
        </w:rPr>
        <w:t xml:space="preserve">which on </w:t>
      </w:r>
      <w:r w:rsidR="00D11B0F" w:rsidRPr="00AA17B8">
        <w:rPr>
          <w:b/>
          <w:bCs/>
          <w:lang w:val="en-GB"/>
        </w:rPr>
        <w:t xml:space="preserve">13.07.2021 </w:t>
      </w:r>
      <w:r w:rsidR="004E5AEA" w:rsidRPr="00AA17B8">
        <w:rPr>
          <w:b/>
          <w:bCs/>
          <w:lang w:val="en-GB"/>
        </w:rPr>
        <w:t>rejected the appeal</w:t>
      </w:r>
      <w:r w:rsidR="00DD035D" w:rsidRPr="00AA17B8">
        <w:rPr>
          <w:lang w:val="en-GB"/>
        </w:rPr>
        <w:t>,</w:t>
      </w:r>
      <w:r w:rsidR="004E5AEA" w:rsidRPr="00AA17B8">
        <w:rPr>
          <w:rStyle w:val="Funotenzeichen"/>
          <w:lang w:val="en-GB"/>
        </w:rPr>
        <w:footnoteReference w:id="57"/>
      </w:r>
      <w:r w:rsidR="00487C93" w:rsidRPr="00AA17B8">
        <w:rPr>
          <w:lang w:val="en-GB"/>
        </w:rPr>
        <w:t xml:space="preserve"> </w:t>
      </w:r>
      <w:r w:rsidR="00A0121F" w:rsidRPr="00AA17B8">
        <w:rPr>
          <w:lang w:val="en-GB"/>
        </w:rPr>
        <w:t xml:space="preserve">again ruling the </w:t>
      </w:r>
      <w:r w:rsidR="00E91ADD" w:rsidRPr="00AA17B8">
        <w:rPr>
          <w:b/>
          <w:bCs/>
          <w:i/>
          <w:iCs/>
          <w:lang w:val="en-GB"/>
        </w:rPr>
        <w:t xml:space="preserve">“full </w:t>
      </w:r>
      <w:r w:rsidR="00A0121F" w:rsidRPr="00AA17B8">
        <w:rPr>
          <w:b/>
          <w:bCs/>
          <w:i/>
          <w:iCs/>
          <w:lang w:val="en-GB"/>
        </w:rPr>
        <w:t>clitoris amputation</w:t>
      </w:r>
      <w:r w:rsidR="00E91ADD" w:rsidRPr="00AA17B8">
        <w:rPr>
          <w:b/>
          <w:bCs/>
          <w:i/>
          <w:iCs/>
          <w:lang w:val="en-GB"/>
        </w:rPr>
        <w:t>”</w:t>
      </w:r>
      <w:r w:rsidR="00E91ADD" w:rsidRPr="00AA17B8">
        <w:rPr>
          <w:b/>
          <w:bCs/>
          <w:lang w:val="en-GB"/>
        </w:rPr>
        <w:t xml:space="preserve"> </w:t>
      </w:r>
      <w:r w:rsidR="00903B72" w:rsidRPr="00AA17B8">
        <w:rPr>
          <w:b/>
          <w:bCs/>
          <w:lang w:val="en-GB"/>
        </w:rPr>
        <w:t>(</w:t>
      </w:r>
      <w:r w:rsidR="00903B72" w:rsidRPr="00AA17B8">
        <w:rPr>
          <w:b/>
          <w:bCs/>
          <w:i/>
          <w:iCs/>
          <w:lang w:val="en-GB"/>
        </w:rPr>
        <w:t>“clitoridectomy”</w:t>
      </w:r>
      <w:r w:rsidR="00903B72" w:rsidRPr="00AA17B8">
        <w:rPr>
          <w:b/>
          <w:bCs/>
          <w:lang w:val="en-GB"/>
        </w:rPr>
        <w:t>)</w:t>
      </w:r>
      <w:r w:rsidR="00903B72" w:rsidRPr="00AA17B8">
        <w:rPr>
          <w:lang w:val="en-GB"/>
        </w:rPr>
        <w:t xml:space="preserve"> </w:t>
      </w:r>
      <w:r w:rsidR="00E91ADD" w:rsidRPr="00AA17B8">
        <w:rPr>
          <w:lang w:val="en-GB"/>
        </w:rPr>
        <w:t xml:space="preserve">would have </w:t>
      </w:r>
      <w:r w:rsidR="00E91ADD" w:rsidRPr="00AA17B8">
        <w:rPr>
          <w:b/>
          <w:bCs/>
          <w:lang w:val="en-GB"/>
        </w:rPr>
        <w:t>lacked</w:t>
      </w:r>
      <w:r w:rsidR="00A0121F" w:rsidRPr="00AA17B8">
        <w:rPr>
          <w:b/>
          <w:bCs/>
          <w:lang w:val="en-GB"/>
        </w:rPr>
        <w:t xml:space="preserve"> </w:t>
      </w:r>
      <w:r w:rsidR="00E91ADD" w:rsidRPr="00AA17B8">
        <w:rPr>
          <w:b/>
          <w:bCs/>
          <w:i/>
          <w:lang w:val="en-GB"/>
        </w:rPr>
        <w:t>“hostile intent”</w:t>
      </w:r>
      <w:r w:rsidR="00E91ADD" w:rsidRPr="00AA17B8">
        <w:rPr>
          <w:i/>
          <w:lang w:val="en-GB"/>
        </w:rPr>
        <w:t xml:space="preserve"> (“</w:t>
      </w:r>
      <w:proofErr w:type="spellStart"/>
      <w:r w:rsidR="00E91ADD" w:rsidRPr="00AA17B8">
        <w:rPr>
          <w:i/>
          <w:lang w:val="en-GB"/>
        </w:rPr>
        <w:t>feindselige</w:t>
      </w:r>
      <w:proofErr w:type="spellEnd"/>
      <w:r w:rsidR="00E91ADD" w:rsidRPr="00AA17B8">
        <w:rPr>
          <w:i/>
          <w:lang w:val="en-GB"/>
        </w:rPr>
        <w:t xml:space="preserve"> </w:t>
      </w:r>
      <w:proofErr w:type="spellStart"/>
      <w:r w:rsidR="00E91ADD" w:rsidRPr="00AA17B8">
        <w:rPr>
          <w:i/>
          <w:lang w:val="en-GB"/>
        </w:rPr>
        <w:t>Absicht</w:t>
      </w:r>
      <w:proofErr w:type="spellEnd"/>
      <w:r w:rsidR="00E91ADD" w:rsidRPr="00AA17B8">
        <w:rPr>
          <w:i/>
          <w:lang w:val="en-GB"/>
        </w:rPr>
        <w:t>”)</w:t>
      </w:r>
      <w:r w:rsidR="00E91ADD" w:rsidRPr="00AA17B8">
        <w:rPr>
          <w:iCs/>
          <w:lang w:val="en-GB"/>
        </w:rPr>
        <w:t xml:space="preserve">, </w:t>
      </w:r>
      <w:r w:rsidR="00D116DC" w:rsidRPr="00AA17B8">
        <w:rPr>
          <w:iCs/>
          <w:lang w:val="en-GB"/>
        </w:rPr>
        <w:t xml:space="preserve">would </w:t>
      </w:r>
      <w:r w:rsidR="00D116DC" w:rsidRPr="00AA17B8">
        <w:rPr>
          <w:b/>
          <w:bCs/>
          <w:iCs/>
          <w:lang w:val="en-GB"/>
        </w:rPr>
        <w:t xml:space="preserve">not constitute </w:t>
      </w:r>
      <w:r w:rsidR="000E173E" w:rsidRPr="00AA17B8">
        <w:rPr>
          <w:b/>
          <w:bCs/>
          <w:i/>
          <w:lang w:val="en-GB"/>
        </w:rPr>
        <w:t>“torture</w:t>
      </w:r>
      <w:r w:rsidR="000E173E" w:rsidRPr="00AA17B8">
        <w:rPr>
          <w:i/>
          <w:lang w:val="en-GB"/>
        </w:rPr>
        <w:t xml:space="preserve"> and other cruel, </w:t>
      </w:r>
      <w:r w:rsidR="00582116" w:rsidRPr="00AA17B8">
        <w:rPr>
          <w:i/>
          <w:lang w:val="en-GB"/>
        </w:rPr>
        <w:t>inhuman</w:t>
      </w:r>
      <w:r w:rsidR="000E173E" w:rsidRPr="00AA17B8">
        <w:rPr>
          <w:i/>
          <w:lang w:val="en-GB"/>
        </w:rPr>
        <w:t xml:space="preserve"> or degrading treatment”</w:t>
      </w:r>
      <w:r w:rsidR="00380639" w:rsidRPr="00AA17B8">
        <w:rPr>
          <w:iCs/>
          <w:lang w:val="en-GB"/>
        </w:rPr>
        <w:t xml:space="preserve">, </w:t>
      </w:r>
      <w:r w:rsidR="00EA4D66" w:rsidRPr="00AA17B8">
        <w:rPr>
          <w:iCs/>
          <w:lang w:val="en-GB"/>
        </w:rPr>
        <w:t xml:space="preserve">but would </w:t>
      </w:r>
      <w:r w:rsidR="004E2C79" w:rsidRPr="00AA17B8">
        <w:rPr>
          <w:iCs/>
          <w:lang w:val="en-GB"/>
        </w:rPr>
        <w:t xml:space="preserve">essentially </w:t>
      </w:r>
      <w:r w:rsidR="00EA4D66" w:rsidRPr="00AA17B8">
        <w:rPr>
          <w:iCs/>
          <w:lang w:val="en-GB"/>
        </w:rPr>
        <w:t xml:space="preserve">be </w:t>
      </w:r>
      <w:r w:rsidR="00EA4D66" w:rsidRPr="00AA17B8">
        <w:rPr>
          <w:b/>
          <w:bCs/>
          <w:i/>
          <w:iCs/>
          <w:lang w:val="en-GB"/>
        </w:rPr>
        <w:t>“</w:t>
      </w:r>
      <w:r w:rsidR="00807D55" w:rsidRPr="00AA17B8">
        <w:rPr>
          <w:b/>
          <w:bCs/>
          <w:i/>
          <w:iCs/>
          <w:lang w:val="en-GB"/>
        </w:rPr>
        <w:t>covered by a curative mandate of the treating doctors</w:t>
      </w:r>
      <w:r w:rsidR="00EA4D66" w:rsidRPr="00AA17B8">
        <w:rPr>
          <w:b/>
          <w:bCs/>
          <w:i/>
          <w:iCs/>
          <w:lang w:val="en-GB"/>
        </w:rPr>
        <w:t>”</w:t>
      </w:r>
      <w:r w:rsidR="0026029E" w:rsidRPr="00AA17B8">
        <w:rPr>
          <w:lang w:val="en-GB"/>
        </w:rPr>
        <w:t>.</w:t>
      </w:r>
      <w:r w:rsidR="00EA4D66" w:rsidRPr="00AA17B8">
        <w:rPr>
          <w:lang w:val="en-GB"/>
        </w:rPr>
        <w:t xml:space="preserve"> </w:t>
      </w:r>
    </w:p>
    <w:p w14:paraId="52324720" w14:textId="6790252E" w:rsidR="003457EA" w:rsidRDefault="0026029E" w:rsidP="003457EA">
      <w:pPr>
        <w:pStyle w:val="absatzschattenbericht"/>
        <w:rPr>
          <w:lang w:val="en-GB"/>
        </w:rPr>
      </w:pPr>
      <w:r w:rsidRPr="00AA17B8">
        <w:rPr>
          <w:lang w:val="en-GB"/>
        </w:rPr>
        <w:t xml:space="preserve">On </w:t>
      </w:r>
      <w:r w:rsidRPr="00AA17B8">
        <w:rPr>
          <w:b/>
          <w:bCs/>
          <w:lang w:val="en-GB"/>
        </w:rPr>
        <w:t>13.08.2021</w:t>
      </w:r>
      <w:r w:rsidRPr="00AA17B8">
        <w:rPr>
          <w:lang w:val="en-GB"/>
        </w:rPr>
        <w:t xml:space="preserve"> the person concerned therefore </w:t>
      </w:r>
      <w:r w:rsidR="001F603A" w:rsidRPr="00AA17B8">
        <w:rPr>
          <w:lang w:val="en-GB"/>
        </w:rPr>
        <w:t xml:space="preserve">lodged an appeal </w:t>
      </w:r>
      <w:r w:rsidR="00DA4CDE" w:rsidRPr="00AA17B8">
        <w:rPr>
          <w:lang w:val="en-GB"/>
        </w:rPr>
        <w:t xml:space="preserve">at the </w:t>
      </w:r>
      <w:r w:rsidR="00DA4CDE" w:rsidRPr="00AA17B8">
        <w:rPr>
          <w:b/>
          <w:bCs/>
          <w:lang w:val="en-GB"/>
        </w:rPr>
        <w:t>Federal Social Court</w:t>
      </w:r>
      <w:r w:rsidR="00684845" w:rsidRPr="00AA17B8">
        <w:rPr>
          <w:b/>
          <w:bCs/>
          <w:lang w:val="en-GB"/>
        </w:rPr>
        <w:t xml:space="preserve"> </w:t>
      </w:r>
      <w:r w:rsidR="00684845" w:rsidRPr="00AA17B8">
        <w:rPr>
          <w:lang w:val="en-GB"/>
        </w:rPr>
        <w:t>(</w:t>
      </w:r>
      <w:proofErr w:type="spellStart"/>
      <w:r w:rsidR="00684845" w:rsidRPr="00AA17B8">
        <w:rPr>
          <w:lang w:val="en-GB"/>
        </w:rPr>
        <w:t>Bundessozialgericht</w:t>
      </w:r>
      <w:proofErr w:type="spellEnd"/>
      <w:r w:rsidR="00684845" w:rsidRPr="00AA17B8">
        <w:rPr>
          <w:lang w:val="en-GB"/>
        </w:rPr>
        <w:t xml:space="preserve"> BSG)</w:t>
      </w:r>
      <w:r w:rsidR="000C50A7" w:rsidRPr="00AA17B8">
        <w:rPr>
          <w:lang w:val="en-GB"/>
        </w:rPr>
        <w:t>.</w:t>
      </w:r>
      <w:r w:rsidR="00DA4CDE" w:rsidRPr="00AA17B8">
        <w:rPr>
          <w:rStyle w:val="Funotenzeichen"/>
          <w:lang w:val="en-GB"/>
        </w:rPr>
        <w:footnoteReference w:id="58"/>
      </w:r>
      <w:r w:rsidR="00CE5BCA" w:rsidRPr="00AA17B8">
        <w:rPr>
          <w:lang w:val="en-GB"/>
        </w:rPr>
        <w:t xml:space="preserve"> </w:t>
      </w:r>
      <w:r w:rsidR="000C50A7" w:rsidRPr="00AA17B8">
        <w:rPr>
          <w:lang w:val="en-GB"/>
        </w:rPr>
        <w:t xml:space="preserve">However, in </w:t>
      </w:r>
      <w:r w:rsidR="003457EA" w:rsidRPr="00AA17B8">
        <w:rPr>
          <w:lang w:val="en-GB"/>
        </w:rPr>
        <w:t>its</w:t>
      </w:r>
      <w:r w:rsidR="000C50A7" w:rsidRPr="00AA17B8">
        <w:rPr>
          <w:lang w:val="en-GB"/>
        </w:rPr>
        <w:t xml:space="preserve"> ruling </w:t>
      </w:r>
      <w:r w:rsidR="003457EA" w:rsidRPr="00AA17B8">
        <w:rPr>
          <w:lang w:val="en-GB"/>
        </w:rPr>
        <w:t>of</w:t>
      </w:r>
      <w:r w:rsidR="000C50A7" w:rsidRPr="00AA17B8">
        <w:rPr>
          <w:lang w:val="en-GB"/>
        </w:rPr>
        <w:t xml:space="preserve"> 16.12.2021</w:t>
      </w:r>
      <w:r w:rsidR="003457EA" w:rsidRPr="00AA17B8">
        <w:rPr>
          <w:lang w:val="en-GB"/>
        </w:rPr>
        <w:t>,</w:t>
      </w:r>
      <w:r w:rsidR="000C50A7" w:rsidRPr="00AA17B8">
        <w:rPr>
          <w:lang w:val="en-GB"/>
        </w:rPr>
        <w:t xml:space="preserve"> the Federal Social Court </w:t>
      </w:r>
      <w:r w:rsidR="000C50A7" w:rsidRPr="00AA17B8">
        <w:rPr>
          <w:b/>
          <w:bCs/>
          <w:lang w:val="en-GB"/>
        </w:rPr>
        <w:t>rejected the appeal</w:t>
      </w:r>
      <w:r w:rsidR="000C50A7" w:rsidRPr="00AA17B8">
        <w:rPr>
          <w:lang w:val="en-GB"/>
        </w:rPr>
        <w:t>.</w:t>
      </w:r>
      <w:r w:rsidR="000C50A7" w:rsidRPr="00AA17B8">
        <w:rPr>
          <w:rStyle w:val="Funotenzeichen"/>
          <w:lang w:val="en-GB"/>
        </w:rPr>
        <w:footnoteReference w:id="59"/>
      </w:r>
      <w:r w:rsidR="000C50A7" w:rsidRPr="00AA17B8">
        <w:rPr>
          <w:lang w:val="en-GB"/>
        </w:rPr>
        <w:t xml:space="preserve"> Therefore, after </w:t>
      </w:r>
      <w:r w:rsidR="000C50A7" w:rsidRPr="00AA17B8">
        <w:rPr>
          <w:b/>
          <w:bCs/>
          <w:lang w:val="en-GB"/>
        </w:rPr>
        <w:t>12 years</w:t>
      </w:r>
      <w:r w:rsidR="000C50A7" w:rsidRPr="00AA17B8">
        <w:rPr>
          <w:lang w:val="en-GB"/>
        </w:rPr>
        <w:t xml:space="preserve"> of legal struggle, the right to compensation under OEG </w:t>
      </w:r>
      <w:r w:rsidR="0022725F" w:rsidRPr="00AA17B8">
        <w:rPr>
          <w:lang w:val="en-GB"/>
        </w:rPr>
        <w:t xml:space="preserve">was definitively </w:t>
      </w:r>
      <w:r w:rsidR="0022725F" w:rsidRPr="00AA17B8">
        <w:rPr>
          <w:b/>
          <w:bCs/>
          <w:lang w:val="en-GB"/>
        </w:rPr>
        <w:t>rejected by the highest instance</w:t>
      </w:r>
      <w:r w:rsidR="0022725F" w:rsidRPr="00AA17B8">
        <w:rPr>
          <w:lang w:val="en-GB"/>
        </w:rPr>
        <w:t>.</w:t>
      </w:r>
    </w:p>
    <w:p w14:paraId="456704BF" w14:textId="6A42B6D1" w:rsidR="00A647FB" w:rsidRPr="00306025" w:rsidRDefault="00A647FB" w:rsidP="00A647FB">
      <w:pPr>
        <w:pStyle w:val="absatzschattenbericht"/>
        <w:rPr>
          <w:b/>
          <w:lang w:val="en-GB"/>
        </w:rPr>
      </w:pPr>
      <w:r w:rsidRPr="000A1419">
        <w:rPr>
          <w:b/>
          <w:lang w:val="en-GB"/>
        </w:rPr>
        <w:t xml:space="preserve">This situation is clearly not in line with </w:t>
      </w:r>
      <w:r w:rsidRPr="000A1419">
        <w:rPr>
          <w:rFonts w:eastAsia="Baskerville-SemiBold"/>
          <w:b/>
          <w:lang w:val="en-GB"/>
        </w:rPr>
        <w:t>Germany’s</w:t>
      </w:r>
      <w:r w:rsidRPr="000A1419">
        <w:rPr>
          <w:b/>
          <w:lang w:val="en-GB"/>
        </w:rPr>
        <w:t xml:space="preserve"> obligations under the </w:t>
      </w:r>
      <w:r w:rsidR="00533A46" w:rsidRPr="000A1419">
        <w:rPr>
          <w:b/>
          <w:lang w:val="en-GB"/>
        </w:rPr>
        <w:t>Convention</w:t>
      </w:r>
      <w:r w:rsidRPr="000A1419">
        <w:rPr>
          <w:b/>
          <w:lang w:val="en-GB"/>
        </w:rPr>
        <w:t>.</w:t>
      </w:r>
    </w:p>
    <w:p w14:paraId="1C2DFED6" w14:textId="77777777" w:rsidR="00A647FB" w:rsidRPr="00306025" w:rsidRDefault="00A647FB" w:rsidP="00A647FB">
      <w:pPr>
        <w:pStyle w:val="Title3"/>
      </w:pPr>
      <w:bookmarkStart w:id="64" w:name="_Toc141803641"/>
      <w:r w:rsidRPr="00306025">
        <w:t>d) Compensation Fund</w:t>
      </w:r>
      <w:bookmarkEnd w:id="64"/>
    </w:p>
    <w:p w14:paraId="670D1226" w14:textId="155F8DCA" w:rsidR="007B1F89" w:rsidRPr="00306025" w:rsidRDefault="00A647FB" w:rsidP="00FB2DA2">
      <w:pPr>
        <w:pStyle w:val="absatzschattenbericht"/>
        <w:rPr>
          <w:lang w:val="en-GB"/>
        </w:rPr>
      </w:pPr>
      <w:r w:rsidRPr="00306025">
        <w:rPr>
          <w:lang w:val="en-GB"/>
        </w:rPr>
        <w:t xml:space="preserve">A longstanding demand is a </w:t>
      </w:r>
      <w:r w:rsidRPr="00306025">
        <w:rPr>
          <w:b/>
          <w:lang w:val="en-GB"/>
        </w:rPr>
        <w:t>compensation fund for IGM survivors</w:t>
      </w:r>
      <w:r w:rsidRPr="00306025">
        <w:rPr>
          <w:lang w:val="en-GB"/>
        </w:rPr>
        <w:t xml:space="preserve"> unable to pursue legal avenues, for example due to the statutes of limitations. In 2012 the </w:t>
      </w:r>
      <w:r w:rsidRPr="00306025">
        <w:rPr>
          <w:b/>
          <w:lang w:val="en-GB"/>
        </w:rPr>
        <w:t>German Ethics Council</w:t>
      </w:r>
      <w:r w:rsidRPr="00306025">
        <w:rPr>
          <w:lang w:val="en-GB"/>
        </w:rPr>
        <w:t xml:space="preserve"> recommended to </w:t>
      </w:r>
      <w:r w:rsidRPr="00306025">
        <w:rPr>
          <w:b/>
          <w:lang w:val="en-GB"/>
        </w:rPr>
        <w:t>establish a compensation fund</w:t>
      </w:r>
      <w:r w:rsidRPr="00306025">
        <w:rPr>
          <w:lang w:val="en-GB"/>
        </w:rPr>
        <w:t>.</w:t>
      </w:r>
      <w:r w:rsidRPr="00306025">
        <w:rPr>
          <w:rStyle w:val="Funotenzeichen"/>
          <w:lang w:val="en-GB"/>
        </w:rPr>
        <w:footnoteReference w:id="60"/>
      </w:r>
      <w:r w:rsidRPr="00306025">
        <w:rPr>
          <w:lang w:val="en-GB"/>
        </w:rPr>
        <w:t xml:space="preserve"> </w:t>
      </w:r>
    </w:p>
    <w:p w14:paraId="38F0D5B8" w14:textId="0DCF2D11" w:rsidR="00A647FB" w:rsidRDefault="00A647FB" w:rsidP="00A647FB">
      <w:pPr>
        <w:pStyle w:val="absatzschattenbericht"/>
        <w:rPr>
          <w:i/>
          <w:lang w:val="en-GB"/>
        </w:rPr>
      </w:pPr>
      <w:r w:rsidRPr="00306025">
        <w:rPr>
          <w:lang w:val="en-GB"/>
        </w:rPr>
        <w:t xml:space="preserve">This all is </w:t>
      </w:r>
      <w:r w:rsidRPr="00306025">
        <w:rPr>
          <w:b/>
          <w:lang w:val="en-GB"/>
        </w:rPr>
        <w:t>well-known to and publicly admitted by</w:t>
      </w:r>
      <w:r w:rsidRPr="00306025">
        <w:rPr>
          <w:lang w:val="en-GB"/>
        </w:rPr>
        <w:t xml:space="preserve"> the Government confirming </w:t>
      </w:r>
      <w:r w:rsidR="00FB2DA2">
        <w:rPr>
          <w:lang w:val="en-GB"/>
        </w:rPr>
        <w:t xml:space="preserve">already </w:t>
      </w:r>
      <w:r w:rsidRPr="00306025">
        <w:rPr>
          <w:lang w:val="en-GB"/>
        </w:rPr>
        <w:t xml:space="preserve">in 2016, </w:t>
      </w:r>
      <w:r w:rsidRPr="00306025">
        <w:rPr>
          <w:b/>
          <w:i/>
          <w:lang w:val="en-GB"/>
        </w:rPr>
        <w:t xml:space="preserve">“Other claims touch on the question of the establishment of a compensation </w:t>
      </w:r>
      <w:r w:rsidRPr="00306025">
        <w:rPr>
          <w:i/>
          <w:lang w:val="en-GB"/>
        </w:rPr>
        <w:t>fund for people who have had sex-assigning surgeries in the past”.</w:t>
      </w:r>
      <w:r w:rsidRPr="00306025">
        <w:rPr>
          <w:rStyle w:val="Funotenzeichen"/>
          <w:lang w:val="en-GB"/>
        </w:rPr>
        <w:footnoteReference w:id="61"/>
      </w:r>
    </w:p>
    <w:p w14:paraId="60009EDE" w14:textId="0E371F5D" w:rsidR="00FB2DA2" w:rsidRDefault="00FB2DA2" w:rsidP="00FB2DA2">
      <w:pPr>
        <w:pStyle w:val="absatzschattenbericht"/>
        <w:rPr>
          <w:lang w:val="en-GB"/>
        </w:rPr>
      </w:pPr>
      <w:r>
        <w:rPr>
          <w:lang w:val="en-GB"/>
        </w:rPr>
        <w:t>Also,</w:t>
      </w:r>
      <w:r w:rsidRPr="00306025">
        <w:rPr>
          <w:lang w:val="en-GB"/>
        </w:rPr>
        <w:t xml:space="preserve"> in 2017 </w:t>
      </w:r>
      <w:r w:rsidRPr="00306025">
        <w:rPr>
          <w:b/>
          <w:lang w:val="en-GB"/>
        </w:rPr>
        <w:t>CEDAW</w:t>
      </w:r>
      <w:r w:rsidRPr="00306025">
        <w:rPr>
          <w:lang w:val="en-GB"/>
        </w:rPr>
        <w:t xml:space="preserve"> explicitly obliged Germany (CEDAW/C/DEU/CO/7-8, paras 23-24) to </w:t>
      </w:r>
      <w:r w:rsidRPr="00306025">
        <w:rPr>
          <w:i/>
          <w:lang w:val="en-GB"/>
        </w:rPr>
        <w:t xml:space="preserve">“consider the proposal of the German Ethics Council to </w:t>
      </w:r>
      <w:r w:rsidRPr="00306025">
        <w:rPr>
          <w:b/>
          <w:i/>
          <w:lang w:val="en-GB"/>
        </w:rPr>
        <w:t>establish a State compensation fund”</w:t>
      </w:r>
      <w:r w:rsidRPr="00306025">
        <w:rPr>
          <w:lang w:val="en-GB"/>
        </w:rPr>
        <w:t>.</w:t>
      </w:r>
    </w:p>
    <w:p w14:paraId="73BAF877" w14:textId="2CC2B1AA" w:rsidR="00FB2DA2" w:rsidRPr="0021239D" w:rsidRDefault="00FB2DA2" w:rsidP="0021239D">
      <w:pPr>
        <w:pStyle w:val="absatzschattenbericht"/>
        <w:rPr>
          <w:bCs/>
          <w:lang w:val="en-GB"/>
        </w:rPr>
      </w:pPr>
      <w:r w:rsidRPr="00704B7D">
        <w:rPr>
          <w:lang w:val="en-GB"/>
        </w:rPr>
        <w:t xml:space="preserve">What’s more, </w:t>
      </w:r>
      <w:r w:rsidR="00434827" w:rsidRPr="00704B7D">
        <w:rPr>
          <w:lang w:val="en-GB"/>
        </w:rPr>
        <w:t xml:space="preserve">in </w:t>
      </w:r>
      <w:r w:rsidR="00780110" w:rsidRPr="00704B7D">
        <w:rPr>
          <w:lang w:val="en-GB"/>
        </w:rPr>
        <w:t xml:space="preserve">2021 </w:t>
      </w:r>
      <w:r w:rsidR="00780110" w:rsidRPr="00704B7D">
        <w:rPr>
          <w:b/>
          <w:bCs/>
          <w:lang w:val="en-GB"/>
        </w:rPr>
        <w:t>CCPR</w:t>
      </w:r>
      <w:r w:rsidR="0021239D" w:rsidRPr="00704B7D">
        <w:rPr>
          <w:lang w:val="en-GB"/>
        </w:rPr>
        <w:t xml:space="preserve"> once more obliged Germany to </w:t>
      </w:r>
      <w:r w:rsidR="0021239D" w:rsidRPr="00704B7D">
        <w:rPr>
          <w:i/>
          <w:iCs/>
          <w:lang w:val="en-GB"/>
        </w:rPr>
        <w:t>“</w:t>
      </w:r>
      <w:r w:rsidR="0021239D" w:rsidRPr="00704B7D">
        <w:rPr>
          <w:i/>
          <w:lang w:val="en-GB"/>
        </w:rPr>
        <w:t xml:space="preserve">ensure that all victims have access to remedies, including through a revision of the application of statutes of limitation for violations in childhood, taking steps to ensure that all victims have access to their health records and considering the </w:t>
      </w:r>
      <w:r w:rsidR="0021239D" w:rsidRPr="00704B7D">
        <w:rPr>
          <w:b/>
          <w:bCs/>
          <w:i/>
          <w:lang w:val="en-GB"/>
        </w:rPr>
        <w:t>establishment of a dedicated compensation fund</w:t>
      </w:r>
      <w:r w:rsidR="0021239D" w:rsidRPr="00704B7D">
        <w:rPr>
          <w:i/>
          <w:lang w:val="en-GB"/>
        </w:rPr>
        <w:t xml:space="preserve">” </w:t>
      </w:r>
      <w:r w:rsidR="0021239D" w:rsidRPr="00704B7D">
        <w:rPr>
          <w:iCs/>
          <w:lang w:val="en-GB"/>
        </w:rPr>
        <w:t>(</w:t>
      </w:r>
      <w:r w:rsidR="0021239D" w:rsidRPr="00704B7D">
        <w:rPr>
          <w:bCs/>
          <w:lang w:val="en-GB"/>
        </w:rPr>
        <w:t>CCPR/C/DEU/CO/7, paras 20-21)</w:t>
      </w:r>
      <w:r w:rsidR="00910F5A" w:rsidRPr="00704B7D">
        <w:rPr>
          <w:bCs/>
          <w:lang w:val="en-GB"/>
        </w:rPr>
        <w:t>.</w:t>
      </w:r>
    </w:p>
    <w:p w14:paraId="7DEC9D5A" w14:textId="312B5408" w:rsidR="00F93F7A" w:rsidRPr="00571726" w:rsidRDefault="00A647FB" w:rsidP="00571726">
      <w:pPr>
        <w:pStyle w:val="absatzschattenbericht"/>
        <w:rPr>
          <w:b/>
          <w:lang w:val="en-GB"/>
        </w:rPr>
      </w:pPr>
      <w:r w:rsidRPr="00306025">
        <w:rPr>
          <w:b/>
          <w:lang w:val="en-GB"/>
        </w:rPr>
        <w:t>However, to this day the Government refuses to undertake any actual steps, again ...</w:t>
      </w:r>
      <w:bookmarkEnd w:id="57"/>
      <w:r w:rsidR="00FE224B" w:rsidRPr="00306025">
        <w:br w:type="page"/>
      </w:r>
    </w:p>
    <w:p w14:paraId="433D696C" w14:textId="365486B3" w:rsidR="000C7138" w:rsidRPr="0043367A" w:rsidRDefault="00260F1A">
      <w:pPr>
        <w:pStyle w:val="Title1"/>
        <w:rPr>
          <w:rFonts w:eastAsia="Baskerville-Italic" w:cs="Baskerville-Italic"/>
          <w:sz w:val="36"/>
          <w:szCs w:val="36"/>
        </w:rPr>
      </w:pPr>
      <w:bookmarkStart w:id="65" w:name="__RefHeading___Toc472687701"/>
      <w:bookmarkStart w:id="66" w:name="_Toc486260355"/>
      <w:bookmarkStart w:id="67" w:name="_Toc486307301"/>
      <w:bookmarkStart w:id="68" w:name="_Toc378801650"/>
      <w:bookmarkStart w:id="69" w:name="_Toc505019197"/>
      <w:bookmarkStart w:id="70" w:name="_Toc141803642"/>
      <w:bookmarkEnd w:id="42"/>
      <w:bookmarkEnd w:id="43"/>
      <w:bookmarkEnd w:id="65"/>
      <w:r w:rsidRPr="0043367A">
        <w:rPr>
          <w:sz w:val="36"/>
          <w:szCs w:val="36"/>
        </w:rPr>
        <w:lastRenderedPageBreak/>
        <w:t>D</w:t>
      </w:r>
      <w:r w:rsidR="000C7138" w:rsidRPr="0043367A">
        <w:rPr>
          <w:sz w:val="36"/>
          <w:szCs w:val="36"/>
        </w:rPr>
        <w:t>.</w:t>
      </w:r>
      <w:r w:rsidR="00320DE3" w:rsidRPr="0043367A">
        <w:rPr>
          <w:sz w:val="36"/>
          <w:szCs w:val="36"/>
        </w:rPr>
        <w:t xml:space="preserve"> </w:t>
      </w:r>
      <w:bookmarkEnd w:id="66"/>
      <w:r w:rsidR="000D6C7B" w:rsidRPr="0043367A">
        <w:rPr>
          <w:sz w:val="36"/>
          <w:szCs w:val="36"/>
        </w:rPr>
        <w:t xml:space="preserve"> </w:t>
      </w:r>
      <w:r w:rsidR="00260C99" w:rsidRPr="0043367A">
        <w:rPr>
          <w:sz w:val="36"/>
          <w:szCs w:val="36"/>
        </w:rPr>
        <w:t xml:space="preserve">Suggested </w:t>
      </w:r>
      <w:r w:rsidR="00312B90" w:rsidRPr="0043367A">
        <w:rPr>
          <w:sz w:val="36"/>
          <w:szCs w:val="36"/>
        </w:rPr>
        <w:t>Recommendations</w:t>
      </w:r>
      <w:bookmarkEnd w:id="67"/>
      <w:bookmarkEnd w:id="68"/>
      <w:bookmarkEnd w:id="69"/>
      <w:bookmarkEnd w:id="70"/>
    </w:p>
    <w:p w14:paraId="26021AF8" w14:textId="77777777" w:rsidR="000C7138" w:rsidRPr="00963654" w:rsidRDefault="000C7138">
      <w:pPr>
        <w:pStyle w:val="absatzschattenbericht"/>
        <w:spacing w:after="170"/>
        <w:rPr>
          <w:rFonts w:eastAsia="Baskerville-Italic" w:cs="Baskerville-Italic"/>
          <w:highlight w:val="yellow"/>
          <w:lang w:val="en-GB"/>
        </w:rPr>
      </w:pPr>
    </w:p>
    <w:p w14:paraId="3ED2E997" w14:textId="49EF355C" w:rsidR="00621E3D" w:rsidRPr="003225FF" w:rsidRDefault="00621E3D" w:rsidP="00621E3D">
      <w:pPr>
        <w:pStyle w:val="absatzschattenbericht"/>
        <w:rPr>
          <w:b/>
          <w:i/>
          <w:iCs/>
          <w:sz w:val="28"/>
          <w:szCs w:val="28"/>
          <w:lang w:val="en-GB"/>
        </w:rPr>
      </w:pPr>
      <w:bookmarkStart w:id="71" w:name="ctl00_PlaceHolderMain_lblLinkSymbol"/>
      <w:bookmarkStart w:id="72" w:name="ctl00_PlaceHolderMain_lblLinkSymbol1"/>
      <w:bookmarkEnd w:id="71"/>
      <w:bookmarkEnd w:id="72"/>
      <w:r w:rsidRPr="003225FF">
        <w:rPr>
          <w:i/>
          <w:iCs/>
          <w:sz w:val="28"/>
          <w:szCs w:val="28"/>
          <w:lang w:val="en-GB"/>
        </w:rPr>
        <w:t xml:space="preserve">The Rapporteurs respectfully suggest that, with respect to the treatment of intersex persons in </w:t>
      </w:r>
      <w:r>
        <w:rPr>
          <w:i/>
          <w:iCs/>
          <w:sz w:val="28"/>
          <w:szCs w:val="28"/>
          <w:lang w:val="en-GB"/>
        </w:rPr>
        <w:t>Germany</w:t>
      </w:r>
      <w:r w:rsidRPr="003225FF">
        <w:rPr>
          <w:i/>
          <w:iCs/>
          <w:sz w:val="28"/>
          <w:szCs w:val="28"/>
          <w:lang w:val="en-GB"/>
        </w:rPr>
        <w:t xml:space="preserve">, the Committee includes the following measures in their recommendations to the </w:t>
      </w:r>
      <w:r>
        <w:rPr>
          <w:i/>
          <w:iCs/>
          <w:sz w:val="28"/>
          <w:szCs w:val="28"/>
          <w:lang w:val="en-GB"/>
        </w:rPr>
        <w:t>German</w:t>
      </w:r>
      <w:r w:rsidRPr="003225FF">
        <w:rPr>
          <w:i/>
          <w:iCs/>
          <w:sz w:val="28"/>
          <w:szCs w:val="28"/>
          <w:lang w:val="en-GB"/>
        </w:rPr>
        <w:t xml:space="preserve"> Government:</w:t>
      </w:r>
    </w:p>
    <w:p w14:paraId="4DE4C404" w14:textId="77777777" w:rsidR="00A47331" w:rsidRPr="00B56BF7" w:rsidRDefault="00A47331" w:rsidP="00A47331">
      <w:pPr>
        <w:pStyle w:val="absatzschattenbericht"/>
        <w:rPr>
          <w:bCs/>
          <w:sz w:val="28"/>
          <w:szCs w:val="28"/>
          <w:highlight w:val="yellow"/>
          <w:lang w:val="en-GB"/>
        </w:rPr>
      </w:pPr>
    </w:p>
    <w:p w14:paraId="5C40A904" w14:textId="77777777" w:rsidR="00A47331" w:rsidRPr="00B56BF7" w:rsidRDefault="00A47331" w:rsidP="00A47331">
      <w:pPr>
        <w:pStyle w:val="absatzschattenbericht"/>
        <w:rPr>
          <w:rFonts w:cs="Times New Roman"/>
          <w:bCs/>
          <w:sz w:val="28"/>
          <w:szCs w:val="28"/>
          <w:highlight w:val="yellow"/>
          <w:lang w:val="en-GB"/>
        </w:rPr>
      </w:pPr>
    </w:p>
    <w:p w14:paraId="53E7D174" w14:textId="77777777" w:rsidR="001270B4" w:rsidRPr="003225FF" w:rsidRDefault="001270B4" w:rsidP="001270B4">
      <w:pPr>
        <w:pStyle w:val="absatzschattenbericht"/>
        <w:rPr>
          <w:rFonts w:cs="Times New Roman"/>
          <w:b/>
          <w:bCs/>
          <w:sz w:val="28"/>
          <w:szCs w:val="28"/>
          <w:lang w:val="en-GB"/>
        </w:rPr>
      </w:pPr>
      <w:r w:rsidRPr="003225FF">
        <w:rPr>
          <w:rFonts w:cs="Times New Roman"/>
          <w:b/>
          <w:bCs/>
          <w:sz w:val="28"/>
          <w:szCs w:val="28"/>
          <w:lang w:val="en-GB"/>
        </w:rPr>
        <w:t>Intersex Genital Mutilation</w:t>
      </w:r>
    </w:p>
    <w:p w14:paraId="7F5B32B7" w14:textId="3C387672" w:rsidR="001270B4" w:rsidRPr="003225FF" w:rsidRDefault="001270B4" w:rsidP="001270B4">
      <w:pPr>
        <w:pStyle w:val="absatzschattenbericht"/>
        <w:rPr>
          <w:rFonts w:cs="Times New Roman"/>
          <w:sz w:val="28"/>
          <w:szCs w:val="28"/>
        </w:rPr>
      </w:pPr>
      <w:r w:rsidRPr="001270B4">
        <w:rPr>
          <w:rFonts w:cs="Times New Roman"/>
          <w:sz w:val="28"/>
          <w:szCs w:val="28"/>
        </w:rPr>
        <w:t>While welcoming the recent adoption of the Law on the Protection of Children with Variants of Sex Development (12 May 2021)</w:t>
      </w:r>
      <w:r>
        <w:rPr>
          <w:rFonts w:cs="Times New Roman"/>
          <w:sz w:val="28"/>
          <w:szCs w:val="28"/>
        </w:rPr>
        <w:t>, t</w:t>
      </w:r>
      <w:r w:rsidRPr="003225FF">
        <w:rPr>
          <w:rFonts w:cs="Times New Roman"/>
          <w:sz w:val="28"/>
          <w:szCs w:val="28"/>
        </w:rPr>
        <w:t xml:space="preserve">he Committee remains seriously concerned about cases of medically unnecessary and irreversible surgery and other treatment on intersex children without their informed consent, which can cause severe suffering, and the lack of </w:t>
      </w:r>
      <w:r>
        <w:rPr>
          <w:rFonts w:cs="Times New Roman"/>
          <w:sz w:val="28"/>
          <w:szCs w:val="28"/>
        </w:rPr>
        <w:t xml:space="preserve">legal protections, </w:t>
      </w:r>
      <w:r w:rsidRPr="003225FF">
        <w:rPr>
          <w:rFonts w:cs="Times New Roman"/>
          <w:sz w:val="28"/>
          <w:szCs w:val="28"/>
        </w:rPr>
        <w:t>redress and compensation in such cases.</w:t>
      </w:r>
    </w:p>
    <w:p w14:paraId="68B5A60A" w14:textId="77777777" w:rsidR="001270B4" w:rsidRPr="003225FF" w:rsidRDefault="001270B4" w:rsidP="001270B4">
      <w:pPr>
        <w:pStyle w:val="absatzschattenbericht"/>
        <w:rPr>
          <w:rFonts w:cs="Times New Roman"/>
          <w:b/>
          <w:bCs/>
          <w:sz w:val="28"/>
          <w:szCs w:val="28"/>
          <w:lang w:val="en-GB"/>
        </w:rPr>
      </w:pPr>
      <w:r w:rsidRPr="003225FF">
        <w:rPr>
          <w:rFonts w:cs="Times New Roman"/>
          <w:b/>
          <w:bCs/>
          <w:sz w:val="28"/>
          <w:szCs w:val="28"/>
          <w:lang w:val="en-GB"/>
        </w:rPr>
        <w:t>The Committee recommends that the State party</w:t>
      </w:r>
      <w:r>
        <w:rPr>
          <w:rFonts w:cs="Times New Roman"/>
          <w:b/>
          <w:bCs/>
          <w:sz w:val="28"/>
          <w:szCs w:val="28"/>
          <w:lang w:val="en-GB"/>
        </w:rPr>
        <w:t xml:space="preserve"> (Articles 15 and 17)</w:t>
      </w:r>
      <w:r w:rsidRPr="003225FF">
        <w:rPr>
          <w:rFonts w:cs="Times New Roman"/>
          <w:b/>
          <w:bCs/>
          <w:sz w:val="28"/>
          <w:szCs w:val="28"/>
          <w:lang w:val="en-GB"/>
        </w:rPr>
        <w:t>:</w:t>
      </w:r>
    </w:p>
    <w:p w14:paraId="1BAFCEBD" w14:textId="77777777" w:rsidR="001270B4" w:rsidRDefault="001270B4" w:rsidP="001270B4">
      <w:pPr>
        <w:pStyle w:val="absatzschattenbericht"/>
        <w:ind w:left="426"/>
        <w:rPr>
          <w:b/>
          <w:sz w:val="28"/>
          <w:szCs w:val="28"/>
          <w:lang w:val="en-GB"/>
        </w:rPr>
      </w:pPr>
      <w:r w:rsidRPr="009365B2">
        <w:rPr>
          <w:b/>
          <w:sz w:val="28"/>
          <w:szCs w:val="28"/>
          <w:lang w:val="en-GB"/>
        </w:rPr>
        <w:t>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w:t>
      </w:r>
      <w:r>
        <w:rPr>
          <w:b/>
          <w:sz w:val="28"/>
          <w:szCs w:val="28"/>
          <w:lang w:val="en-GB"/>
        </w:rPr>
        <w:t>.</w:t>
      </w:r>
    </w:p>
    <w:p w14:paraId="429ADADD" w14:textId="77777777" w:rsidR="001270B4" w:rsidRPr="003225FF" w:rsidRDefault="001270B4" w:rsidP="001270B4">
      <w:pPr>
        <w:pStyle w:val="absatzschattenbericht"/>
        <w:ind w:left="426"/>
        <w:rPr>
          <w:b/>
          <w:sz w:val="28"/>
          <w:szCs w:val="28"/>
          <w:lang w:val="en-GB"/>
        </w:rPr>
      </w:pPr>
      <w:r w:rsidRPr="003225FF">
        <w:rPr>
          <w:b/>
          <w:sz w:val="28"/>
          <w:szCs w:val="28"/>
          <w:lang w:val="en-GB"/>
        </w:rPr>
        <w:t>Systematically collect data on the number of irreversible surgical and other procedures that are performed on intersex children, disaggregated by age, type of intervention, and geographic location.</w:t>
      </w:r>
    </w:p>
    <w:p w14:paraId="0D37F52F" w14:textId="77777777" w:rsidR="00134F61" w:rsidRPr="003225FF" w:rsidRDefault="00134F61" w:rsidP="00134F61">
      <w:pPr>
        <w:pStyle w:val="Title1"/>
      </w:pPr>
      <w:bookmarkStart w:id="73" w:name="_Toc95769186"/>
      <w:bookmarkStart w:id="74" w:name="_Toc141803643"/>
      <w:bookmarkStart w:id="75" w:name="_Toc37887069"/>
      <w:bookmarkStart w:id="76" w:name="_Toc48428242"/>
      <w:bookmarkStart w:id="77" w:name="_Toc48509369"/>
      <w:bookmarkStart w:id="78" w:name="_Toc64836473"/>
      <w:r w:rsidRPr="003225FF">
        <w:lastRenderedPageBreak/>
        <w:t>Annexe 1 – Intersex as “Invalidity”: Historical Medical Examples</w:t>
      </w:r>
      <w:bookmarkEnd w:id="73"/>
      <w:bookmarkEnd w:id="74"/>
    </w:p>
    <w:p w14:paraId="36C5B2D0" w14:textId="77777777" w:rsidR="00134F61" w:rsidRPr="003225FF" w:rsidRDefault="00134F61" w:rsidP="00134F61">
      <w:pPr>
        <w:pStyle w:val="absatzschattenbericht"/>
        <w:rPr>
          <w:sz w:val="4"/>
          <w:szCs w:val="4"/>
        </w:rPr>
      </w:pPr>
    </w:p>
    <w:p w14:paraId="5969ABE1" w14:textId="77777777" w:rsidR="00134F61" w:rsidRPr="003225FF" w:rsidRDefault="00134F61" w:rsidP="00134F61">
      <w:pPr>
        <w:pStyle w:val="Textkrper"/>
        <w:jc w:val="center"/>
        <w:rPr>
          <w:rFonts w:ascii="Arial" w:eastAsia="ColossalisBold" w:hAnsi="Arial" w:cs="Arial"/>
          <w:color w:val="2F387F"/>
          <w:spacing w:val="2"/>
          <w:w w:val="85"/>
          <w:sz w:val="28"/>
          <w:szCs w:val="28"/>
        </w:rPr>
      </w:pPr>
      <w:r w:rsidRPr="003225FF">
        <w:rPr>
          <w:noProof/>
          <w:lang w:val="de-CH" w:eastAsia="de-CH" w:bidi="ar-SA"/>
        </w:rPr>
        <w:drawing>
          <wp:inline distT="0" distB="0" distL="0" distR="0" wp14:anchorId="2475BD6E" wp14:editId="53F0E04E">
            <wp:extent cx="4256410" cy="4482987"/>
            <wp:effectExtent l="0" t="0" r="0" b="635"/>
            <wp:docPr id="16" name="Bild 32" descr="“Figure 863. Intersex-type (schizoid)”: Photo of a naked woman standing erect with her hands folded behind the back of her head and a black bar overlayd over her eyes. Plus a text description in Ger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0463" cy="4487255"/>
                    </a:xfrm>
                    <a:prstGeom prst="rect">
                      <a:avLst/>
                    </a:prstGeom>
                    <a:solidFill>
                      <a:srgbClr val="FFFFFF"/>
                    </a:solidFill>
                    <a:ln>
                      <a:noFill/>
                    </a:ln>
                  </pic:spPr>
                </pic:pic>
              </a:graphicData>
            </a:graphic>
          </wp:inline>
        </w:drawing>
      </w:r>
    </w:p>
    <w:p w14:paraId="45F3BA2B" w14:textId="77777777" w:rsidR="00134F61" w:rsidRPr="003225FF" w:rsidRDefault="00134F61" w:rsidP="00134F61">
      <w:pPr>
        <w:pStyle w:val="Title3"/>
        <w:rPr>
          <w:rFonts w:eastAsia="Arial-BoldMT"/>
          <w:w w:val="90"/>
        </w:rPr>
      </w:pPr>
      <w:bookmarkStart w:id="79" w:name="_Toc453620782"/>
      <w:bookmarkStart w:id="80" w:name="_Toc95769187"/>
      <w:bookmarkStart w:id="81" w:name="_Toc141803644"/>
      <w:r w:rsidRPr="003225FF">
        <w:t xml:space="preserve">1916–1950s: “Intersex = bastardisation” caused by “racial mixing”; </w:t>
      </w:r>
      <w:r w:rsidRPr="003225FF">
        <w:br/>
        <w:t>racist gynaecological diagnosis “intersexual constitution”</w:t>
      </w:r>
      <w:bookmarkEnd w:id="79"/>
      <w:bookmarkEnd w:id="80"/>
      <w:bookmarkEnd w:id="81"/>
    </w:p>
    <w:p w14:paraId="3239DEE3" w14:textId="77777777" w:rsidR="00134F61" w:rsidRPr="003225FF" w:rsidRDefault="00134F61" w:rsidP="00134F61">
      <w:pPr>
        <w:pStyle w:val="Textkrper"/>
        <w:jc w:val="both"/>
        <w:rPr>
          <w:rFonts w:ascii="Arial" w:eastAsia="Arial-BoldMT" w:hAnsi="Arial" w:cs="Arial"/>
          <w:bCs/>
          <w:color w:val="000000"/>
          <w:w w:val="90"/>
          <w:kern w:val="22"/>
          <w:sz w:val="22"/>
          <w:szCs w:val="22"/>
        </w:rPr>
      </w:pPr>
      <w:r w:rsidRPr="003225FF">
        <w:rPr>
          <w:rFonts w:ascii="Arial" w:eastAsia="Arial-BoldMT" w:hAnsi="Arial" w:cs="Arial"/>
          <w:bCs/>
          <w:color w:val="000000"/>
          <w:w w:val="90"/>
          <w:kern w:val="22"/>
          <w:sz w:val="22"/>
          <w:szCs w:val="22"/>
        </w:rPr>
        <w:t xml:space="preserve">The </w:t>
      </w:r>
      <w:r w:rsidRPr="0018734F">
        <w:rPr>
          <w:rFonts w:ascii="Arial" w:eastAsia="Arial-BoldMT" w:hAnsi="Arial" w:cs="Arial"/>
          <w:b/>
          <w:color w:val="000000"/>
          <w:w w:val="90"/>
          <w:kern w:val="22"/>
          <w:sz w:val="22"/>
          <w:szCs w:val="22"/>
        </w:rPr>
        <w:t>German</w:t>
      </w:r>
      <w:r w:rsidRPr="003225FF">
        <w:rPr>
          <w:rFonts w:ascii="Arial" w:eastAsia="Arial-BoldMT" w:hAnsi="Arial" w:cs="Arial"/>
          <w:bCs/>
          <w:color w:val="000000"/>
          <w:w w:val="90"/>
          <w:kern w:val="22"/>
          <w:sz w:val="22"/>
          <w:szCs w:val="22"/>
        </w:rPr>
        <w:t xml:space="preserve"> geneticist Richard Goldschmidt (1878–1958) coined the terms </w:t>
      </w:r>
      <w:r w:rsidRPr="003225FF">
        <w:rPr>
          <w:rFonts w:ascii="Arial" w:eastAsia="Arial-BoldMT" w:hAnsi="Arial" w:cs="Arial"/>
          <w:bCs/>
          <w:i/>
          <w:color w:val="000000"/>
          <w:w w:val="90"/>
          <w:kern w:val="22"/>
          <w:sz w:val="22"/>
          <w:szCs w:val="22"/>
        </w:rPr>
        <w:t>“Intersex”</w:t>
      </w:r>
      <w:r w:rsidRPr="003225FF">
        <w:rPr>
          <w:rFonts w:ascii="Arial" w:eastAsia="Arial-BoldMT" w:hAnsi="Arial" w:cs="Arial"/>
          <w:bCs/>
          <w:color w:val="000000"/>
          <w:w w:val="90"/>
          <w:kern w:val="22"/>
          <w:sz w:val="22"/>
          <w:szCs w:val="22"/>
        </w:rPr>
        <w:t xml:space="preserve"> and </w:t>
      </w:r>
      <w:r w:rsidRPr="003225FF">
        <w:rPr>
          <w:rFonts w:ascii="Arial" w:eastAsia="Arial-BoldMT" w:hAnsi="Arial" w:cs="Arial"/>
          <w:bCs/>
          <w:i/>
          <w:color w:val="000000"/>
          <w:w w:val="90"/>
          <w:kern w:val="22"/>
          <w:sz w:val="22"/>
          <w:szCs w:val="22"/>
        </w:rPr>
        <w:t>“Intersexuality”</w:t>
      </w:r>
      <w:r w:rsidRPr="003225FF">
        <w:rPr>
          <w:rFonts w:ascii="Arial" w:eastAsia="Arial-BoldMT" w:hAnsi="Arial" w:cs="Arial"/>
          <w:bCs/>
          <w:color w:val="000000"/>
          <w:w w:val="90"/>
          <w:kern w:val="22"/>
          <w:sz w:val="22"/>
          <w:szCs w:val="22"/>
        </w:rPr>
        <w:t xml:space="preserve"> when publicising his experiments of crossbreeding </w:t>
      </w:r>
      <w:r w:rsidRPr="003225FF">
        <w:rPr>
          <w:rFonts w:ascii="Arial" w:eastAsia="Arial-BoldMT" w:hAnsi="Arial" w:cs="Arial"/>
          <w:bCs/>
          <w:i/>
          <w:color w:val="000000"/>
          <w:w w:val="90"/>
          <w:kern w:val="22"/>
          <w:sz w:val="22"/>
          <w:szCs w:val="22"/>
        </w:rPr>
        <w:t>“different geographic races”</w:t>
      </w:r>
      <w:r w:rsidRPr="003225FF">
        <w:rPr>
          <w:rFonts w:ascii="Arial" w:eastAsia="Arial-BoldMT" w:hAnsi="Arial" w:cs="Arial"/>
          <w:bCs/>
          <w:color w:val="000000"/>
          <w:w w:val="90"/>
          <w:kern w:val="22"/>
          <w:sz w:val="22"/>
          <w:szCs w:val="22"/>
        </w:rPr>
        <w:t xml:space="preserve"> of gypsy moths, claiming to be able to produce </w:t>
      </w:r>
      <w:r w:rsidRPr="003225FF">
        <w:rPr>
          <w:rFonts w:ascii="Arial" w:eastAsia="Arial-BoldMT" w:hAnsi="Arial" w:cs="Arial"/>
          <w:bCs/>
          <w:i/>
          <w:color w:val="000000"/>
          <w:w w:val="90"/>
          <w:kern w:val="22"/>
          <w:sz w:val="22"/>
          <w:szCs w:val="22"/>
        </w:rPr>
        <w:t>“hermaphroditic”</w:t>
      </w:r>
      <w:r w:rsidRPr="003225FF">
        <w:rPr>
          <w:rFonts w:ascii="Arial" w:eastAsia="Arial-BoldMT" w:hAnsi="Arial" w:cs="Arial"/>
          <w:bCs/>
          <w:color w:val="000000"/>
          <w:w w:val="90"/>
          <w:kern w:val="22"/>
          <w:sz w:val="22"/>
          <w:szCs w:val="22"/>
        </w:rPr>
        <w:t xml:space="preserve"> a.k.a. </w:t>
      </w:r>
      <w:r w:rsidRPr="003225FF">
        <w:rPr>
          <w:rFonts w:ascii="Arial" w:eastAsia="Arial-BoldMT" w:hAnsi="Arial" w:cs="Arial"/>
          <w:bCs/>
          <w:i/>
          <w:color w:val="000000"/>
          <w:w w:val="90"/>
          <w:kern w:val="22"/>
          <w:sz w:val="22"/>
          <w:szCs w:val="22"/>
        </w:rPr>
        <w:t>“intersex”</w:t>
      </w:r>
      <w:r w:rsidRPr="003225FF">
        <w:rPr>
          <w:rFonts w:ascii="Arial" w:eastAsia="Arial-BoldMT" w:hAnsi="Arial" w:cs="Arial"/>
          <w:bCs/>
          <w:color w:val="000000"/>
          <w:w w:val="90"/>
          <w:kern w:val="22"/>
          <w:sz w:val="22"/>
          <w:szCs w:val="22"/>
        </w:rPr>
        <w:t xml:space="preserve"> specimens of any grade and shape at will, and thereafter extrapolating his findings to humans. Of Jewish descent, in 1936 Goldschmidt was forced to resign as director of the “Kaiser-Wilhelm-</w:t>
      </w:r>
      <w:proofErr w:type="spellStart"/>
      <w:r w:rsidRPr="003225FF">
        <w:rPr>
          <w:rFonts w:ascii="Arial" w:eastAsia="Arial-BoldMT" w:hAnsi="Arial" w:cs="Arial"/>
          <w:bCs/>
          <w:color w:val="000000"/>
          <w:w w:val="90"/>
          <w:kern w:val="22"/>
          <w:sz w:val="22"/>
          <w:szCs w:val="22"/>
        </w:rPr>
        <w:t>Institut</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für</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Biologie</w:t>
      </w:r>
      <w:proofErr w:type="spellEnd"/>
      <w:r w:rsidRPr="003225FF">
        <w:rPr>
          <w:rFonts w:ascii="Arial" w:eastAsia="Arial-BoldMT" w:hAnsi="Arial" w:cs="Arial"/>
          <w:bCs/>
          <w:color w:val="000000"/>
          <w:w w:val="90"/>
          <w:kern w:val="22"/>
          <w:sz w:val="22"/>
          <w:szCs w:val="22"/>
        </w:rPr>
        <w:t xml:space="preserve">” in Berlin and emigrated to the United States. Despite Goldschmidt downplaying the “racial” background of his findings since the early 1930’s and later renouncing the underlying genetic theories altogether, the term “Intersex” and its “racial” implications prevailed. In 1924 the gynaecologists Paul </w:t>
      </w:r>
      <w:proofErr w:type="spellStart"/>
      <w:r w:rsidRPr="003225FF">
        <w:rPr>
          <w:rFonts w:ascii="Arial" w:eastAsia="Arial-BoldMT" w:hAnsi="Arial" w:cs="Arial"/>
          <w:bCs/>
          <w:color w:val="000000"/>
          <w:w w:val="90"/>
          <w:kern w:val="22"/>
          <w:sz w:val="22"/>
          <w:szCs w:val="22"/>
        </w:rPr>
        <w:t>Mathes</w:t>
      </w:r>
      <w:proofErr w:type="spellEnd"/>
      <w:r w:rsidRPr="003225FF">
        <w:rPr>
          <w:rFonts w:ascii="Arial" w:eastAsia="Arial-BoldMT" w:hAnsi="Arial" w:cs="Arial"/>
          <w:bCs/>
          <w:color w:val="000000"/>
          <w:w w:val="90"/>
          <w:kern w:val="22"/>
          <w:sz w:val="22"/>
          <w:szCs w:val="22"/>
        </w:rPr>
        <w:t xml:space="preserve"> (1871-1923, Austria) and Hans Guggisberg (180-1977, </w:t>
      </w:r>
      <w:r w:rsidRPr="0018734F">
        <w:rPr>
          <w:rFonts w:ascii="Arial" w:eastAsia="Arial-BoldMT" w:hAnsi="Arial" w:cs="Arial"/>
          <w:bCs/>
          <w:color w:val="000000"/>
          <w:w w:val="90"/>
          <w:kern w:val="22"/>
          <w:sz w:val="22"/>
          <w:szCs w:val="22"/>
        </w:rPr>
        <w:t>Switzerland</w:t>
      </w:r>
      <w:r w:rsidRPr="003225FF">
        <w:rPr>
          <w:rFonts w:ascii="Arial" w:eastAsia="Arial-BoldMT" w:hAnsi="Arial" w:cs="Arial"/>
          <w:bCs/>
          <w:color w:val="000000"/>
          <w:w w:val="90"/>
          <w:kern w:val="22"/>
          <w:sz w:val="22"/>
          <w:szCs w:val="22"/>
        </w:rPr>
        <w:t xml:space="preserve">) introduced the derived diagnosis </w:t>
      </w:r>
      <w:r w:rsidRPr="003225FF">
        <w:rPr>
          <w:rFonts w:ascii="Arial" w:eastAsia="Arial-BoldMT" w:hAnsi="Arial" w:cs="Arial"/>
          <w:bCs/>
          <w:i/>
          <w:color w:val="000000"/>
          <w:w w:val="90"/>
          <w:kern w:val="22"/>
          <w:sz w:val="22"/>
          <w:szCs w:val="22"/>
        </w:rPr>
        <w:t>“Intersexual Constitution”</w:t>
      </w:r>
      <w:r w:rsidRPr="003225FF">
        <w:rPr>
          <w:rFonts w:ascii="Arial" w:eastAsia="Arial-BoldMT" w:hAnsi="Arial" w:cs="Arial"/>
          <w:bCs/>
          <w:color w:val="000000"/>
          <w:w w:val="90"/>
          <w:kern w:val="22"/>
          <w:sz w:val="22"/>
          <w:szCs w:val="22"/>
        </w:rPr>
        <w:t xml:space="preserve"> into human medicine, allegedly caused by </w:t>
      </w:r>
      <w:r w:rsidRPr="003225FF">
        <w:rPr>
          <w:rFonts w:ascii="Arial" w:eastAsia="Arial-BoldMT" w:hAnsi="Arial" w:cs="Arial"/>
          <w:bCs/>
          <w:i/>
          <w:iCs/>
          <w:color w:val="000000"/>
          <w:w w:val="90"/>
          <w:kern w:val="22"/>
          <w:sz w:val="22"/>
          <w:szCs w:val="22"/>
        </w:rPr>
        <w:t>“racial mixing”</w:t>
      </w:r>
      <w:r w:rsidRPr="003225FF">
        <w:rPr>
          <w:rFonts w:ascii="Arial" w:eastAsia="Arial-BoldMT" w:hAnsi="Arial" w:cs="Arial"/>
          <w:bCs/>
          <w:color w:val="000000"/>
          <w:w w:val="90"/>
          <w:kern w:val="22"/>
          <w:sz w:val="22"/>
          <w:szCs w:val="22"/>
        </w:rPr>
        <w:t xml:space="preserve">, </w:t>
      </w:r>
      <w:r w:rsidRPr="003225FF">
        <w:rPr>
          <w:rFonts w:ascii="Arial" w:eastAsia="Arial-BoldMT" w:hAnsi="Arial" w:cs="Arial"/>
          <w:bCs/>
          <w:i/>
          <w:iCs/>
          <w:color w:val="000000"/>
          <w:w w:val="90"/>
          <w:kern w:val="22"/>
          <w:sz w:val="22"/>
          <w:szCs w:val="22"/>
        </w:rPr>
        <w:t>“most frequent in Jews”</w:t>
      </w:r>
      <w:r w:rsidRPr="003225FF">
        <w:rPr>
          <w:rFonts w:ascii="Arial" w:eastAsia="Arial-BoldMT" w:hAnsi="Arial" w:cs="Arial"/>
          <w:bCs/>
          <w:color w:val="000000"/>
          <w:w w:val="90"/>
          <w:kern w:val="22"/>
          <w:sz w:val="22"/>
          <w:szCs w:val="22"/>
        </w:rPr>
        <w:t xml:space="preserve"> and associated with </w:t>
      </w:r>
      <w:r w:rsidRPr="003225FF">
        <w:rPr>
          <w:rFonts w:ascii="Arial" w:eastAsia="Arial-BoldMT" w:hAnsi="Arial" w:cs="Arial"/>
          <w:bCs/>
          <w:i/>
          <w:color w:val="000000"/>
          <w:w w:val="90"/>
          <w:kern w:val="22"/>
          <w:sz w:val="22"/>
          <w:szCs w:val="22"/>
        </w:rPr>
        <w:t>“biological inferiority”,</w:t>
      </w:r>
      <w:r w:rsidRPr="003225FF">
        <w:rPr>
          <w:rFonts w:ascii="Arial" w:eastAsia="Arial-BoldMT" w:hAnsi="Arial" w:cs="Arial"/>
          <w:bCs/>
          <w:color w:val="000000"/>
          <w:w w:val="90"/>
          <w:kern w:val="22"/>
          <w:sz w:val="22"/>
          <w:szCs w:val="22"/>
        </w:rPr>
        <w:t xml:space="preserve"> mental illnesses (see above </w:t>
      </w:r>
      <w:r w:rsidRPr="003225FF">
        <w:rPr>
          <w:rFonts w:ascii="Arial" w:eastAsia="Arial-BoldMT" w:hAnsi="Arial" w:cs="Arial"/>
          <w:bCs/>
          <w:i/>
          <w:color w:val="000000"/>
          <w:w w:val="90"/>
          <w:kern w:val="22"/>
          <w:sz w:val="22"/>
          <w:szCs w:val="22"/>
        </w:rPr>
        <w:t>“schizoid”</w:t>
      </w:r>
      <w:r w:rsidRPr="003225FF">
        <w:rPr>
          <w:rFonts w:ascii="Arial" w:eastAsia="Arial-BoldMT" w:hAnsi="Arial" w:cs="Arial"/>
          <w:bCs/>
          <w:color w:val="000000"/>
          <w:w w:val="90"/>
          <w:kern w:val="22"/>
          <w:sz w:val="22"/>
          <w:szCs w:val="22"/>
        </w:rPr>
        <w:t xml:space="preserve">), </w:t>
      </w:r>
      <w:r w:rsidRPr="003225FF">
        <w:rPr>
          <w:rFonts w:ascii="Arial" w:eastAsia="Arial-BoldMT" w:hAnsi="Arial" w:cs="Arial"/>
          <w:bCs/>
          <w:i/>
          <w:color w:val="000000"/>
          <w:w w:val="90"/>
          <w:kern w:val="22"/>
          <w:sz w:val="22"/>
          <w:szCs w:val="22"/>
        </w:rPr>
        <w:t>“hypertrophied clitoris”</w:t>
      </w:r>
      <w:r w:rsidRPr="003225FF">
        <w:rPr>
          <w:rFonts w:ascii="Arial" w:eastAsia="Arial-BoldMT" w:hAnsi="Arial" w:cs="Arial"/>
          <w:bCs/>
          <w:color w:val="000000"/>
          <w:w w:val="90"/>
          <w:kern w:val="22"/>
          <w:sz w:val="22"/>
          <w:szCs w:val="22"/>
        </w:rPr>
        <w:t xml:space="preserve"> and a strict verdict </w:t>
      </w:r>
      <w:r w:rsidRPr="003225FF">
        <w:rPr>
          <w:rFonts w:ascii="Arial" w:eastAsia="Arial-BoldMT" w:hAnsi="Arial" w:cs="Arial"/>
          <w:bCs/>
          <w:i/>
          <w:color w:val="000000"/>
          <w:w w:val="90"/>
          <w:kern w:val="22"/>
          <w:sz w:val="22"/>
          <w:szCs w:val="22"/>
        </w:rPr>
        <w:t>“not fit for marriage.”</w:t>
      </w:r>
      <w:r w:rsidRPr="003225FF">
        <w:rPr>
          <w:rFonts w:ascii="Arial" w:eastAsia="Arial-BoldMT" w:hAnsi="Arial" w:cs="Arial"/>
          <w:bCs/>
          <w:color w:val="000000"/>
          <w:w w:val="90"/>
          <w:kern w:val="22"/>
          <w:sz w:val="22"/>
          <w:szCs w:val="22"/>
        </w:rPr>
        <w:t xml:space="preserve"> It proved particularly popular among prominent eugenicists and Nazi doctors, including Fritz Lenz, Hans </w:t>
      </w:r>
      <w:proofErr w:type="spellStart"/>
      <w:r w:rsidRPr="003225FF">
        <w:rPr>
          <w:rFonts w:ascii="Arial" w:eastAsia="Arial-BoldMT" w:hAnsi="Arial" w:cs="Arial"/>
          <w:bCs/>
          <w:color w:val="000000"/>
          <w:w w:val="90"/>
          <w:kern w:val="22"/>
          <w:sz w:val="22"/>
          <w:szCs w:val="22"/>
        </w:rPr>
        <w:t>Naujoks</w:t>
      </w:r>
      <w:proofErr w:type="spellEnd"/>
      <w:r w:rsidRPr="003225FF">
        <w:rPr>
          <w:rFonts w:ascii="Arial" w:eastAsia="Arial-BoldMT" w:hAnsi="Arial" w:cs="Arial"/>
          <w:bCs/>
          <w:color w:val="000000"/>
          <w:w w:val="90"/>
          <w:kern w:val="22"/>
          <w:sz w:val="22"/>
          <w:szCs w:val="22"/>
        </w:rPr>
        <w:t xml:space="preserve">, </w:t>
      </w:r>
      <w:proofErr w:type="spellStart"/>
      <w:r w:rsidRPr="003225FF">
        <w:rPr>
          <w:rFonts w:ascii="Arial" w:eastAsia="Arial-BoldMT" w:hAnsi="Arial" w:cs="Arial"/>
          <w:bCs/>
          <w:color w:val="000000"/>
          <w:w w:val="90"/>
          <w:kern w:val="22"/>
          <w:sz w:val="22"/>
          <w:szCs w:val="22"/>
        </w:rPr>
        <w:t>Lothar</w:t>
      </w:r>
      <w:proofErr w:type="spellEnd"/>
      <w:r w:rsidRPr="003225FF">
        <w:rPr>
          <w:rFonts w:ascii="Arial" w:eastAsia="Arial-BoldMT" w:hAnsi="Arial" w:cs="Arial"/>
          <w:bCs/>
          <w:color w:val="000000"/>
          <w:w w:val="90"/>
          <w:kern w:val="22"/>
          <w:sz w:val="22"/>
          <w:szCs w:val="22"/>
        </w:rPr>
        <w:t xml:space="preserve"> Gottlieb </w:t>
      </w:r>
      <w:proofErr w:type="spellStart"/>
      <w:r w:rsidRPr="003225FF">
        <w:rPr>
          <w:rFonts w:ascii="Arial" w:eastAsia="Arial-BoldMT" w:hAnsi="Arial" w:cs="Arial"/>
          <w:bCs/>
          <w:color w:val="000000"/>
          <w:w w:val="90"/>
          <w:kern w:val="22"/>
          <w:sz w:val="22"/>
          <w:szCs w:val="22"/>
        </w:rPr>
        <w:t>Tirala</w:t>
      </w:r>
      <w:proofErr w:type="spellEnd"/>
      <w:r w:rsidRPr="003225FF">
        <w:rPr>
          <w:rFonts w:ascii="Arial" w:eastAsia="Arial-BoldMT" w:hAnsi="Arial" w:cs="Arial"/>
          <w:bCs/>
          <w:color w:val="000000"/>
          <w:w w:val="90"/>
          <w:kern w:val="22"/>
          <w:sz w:val="22"/>
          <w:szCs w:val="22"/>
        </w:rPr>
        <w:t xml:space="preserve">, Robert Stigler, Wilhelm </w:t>
      </w:r>
      <w:proofErr w:type="spellStart"/>
      <w:r w:rsidRPr="003225FF">
        <w:rPr>
          <w:rFonts w:ascii="Arial" w:eastAsia="Arial-BoldMT" w:hAnsi="Arial" w:cs="Arial"/>
          <w:bCs/>
          <w:color w:val="000000"/>
          <w:w w:val="90"/>
          <w:kern w:val="22"/>
          <w:sz w:val="22"/>
          <w:szCs w:val="22"/>
        </w:rPr>
        <w:t>Weibel</w:t>
      </w:r>
      <w:proofErr w:type="spellEnd"/>
      <w:r w:rsidRPr="003225FF">
        <w:rPr>
          <w:rFonts w:ascii="Arial" w:eastAsia="Arial-BoldMT" w:hAnsi="Arial" w:cs="Arial"/>
          <w:bCs/>
          <w:color w:val="000000"/>
          <w:w w:val="90"/>
          <w:kern w:val="22"/>
          <w:sz w:val="22"/>
          <w:szCs w:val="22"/>
        </w:rPr>
        <w:t xml:space="preserve">, Walther </w:t>
      </w:r>
      <w:proofErr w:type="spellStart"/>
      <w:r w:rsidRPr="003225FF">
        <w:rPr>
          <w:rFonts w:ascii="Arial" w:eastAsia="Arial-BoldMT" w:hAnsi="Arial" w:cs="Arial"/>
          <w:bCs/>
          <w:color w:val="000000"/>
          <w:w w:val="90"/>
          <w:kern w:val="22"/>
          <w:sz w:val="22"/>
          <w:szCs w:val="22"/>
        </w:rPr>
        <w:t>Stoeckel</w:t>
      </w:r>
      <w:proofErr w:type="spellEnd"/>
      <w:r w:rsidRPr="003225FF">
        <w:rPr>
          <w:rFonts w:ascii="Arial" w:eastAsia="Arial-BoldMT" w:hAnsi="Arial" w:cs="Arial"/>
          <w:bCs/>
          <w:color w:val="000000"/>
          <w:w w:val="90"/>
          <w:kern w:val="22"/>
          <w:sz w:val="22"/>
          <w:szCs w:val="22"/>
        </w:rPr>
        <w:t>, and kept being used in medical publications until the 1950s.</w:t>
      </w:r>
    </w:p>
    <w:p w14:paraId="71286714" w14:textId="77777777" w:rsidR="00134F61" w:rsidRPr="00A912FF" w:rsidRDefault="00134F61" w:rsidP="00134F61">
      <w:pPr>
        <w:pStyle w:val="Textkrper"/>
        <w:spacing w:after="0"/>
        <w:rPr>
          <w:rFonts w:ascii="Arial" w:eastAsia="Arial-BoldMT" w:hAnsi="Arial" w:cs="Arial"/>
          <w:bCs/>
          <w:color w:val="000000"/>
          <w:w w:val="90"/>
          <w:kern w:val="18"/>
          <w:sz w:val="18"/>
          <w:szCs w:val="18"/>
          <w:lang w:val="de-CH"/>
        </w:rPr>
      </w:pPr>
      <w:proofErr w:type="spellStart"/>
      <w:r w:rsidRPr="00A912FF">
        <w:rPr>
          <w:rFonts w:ascii="Arial" w:eastAsia="Arial-BoldMT" w:hAnsi="Arial" w:cs="Arial"/>
          <w:b/>
          <w:bCs/>
          <w:color w:val="000000"/>
          <w:w w:val="90"/>
          <w:kern w:val="18"/>
          <w:sz w:val="18"/>
          <w:szCs w:val="18"/>
          <w:lang w:val="de-CH"/>
        </w:rPr>
        <w:t>Sources</w:t>
      </w:r>
      <w:proofErr w:type="spellEnd"/>
      <w:r w:rsidRPr="00A912FF">
        <w:rPr>
          <w:rFonts w:ascii="Arial" w:eastAsia="Arial-BoldMT" w:hAnsi="Arial" w:cs="Arial"/>
          <w:b/>
          <w:bCs/>
          <w:color w:val="000000"/>
          <w:w w:val="90"/>
          <w:kern w:val="18"/>
          <w:sz w:val="18"/>
          <w:szCs w:val="18"/>
          <w:lang w:val="de-CH"/>
        </w:rPr>
        <w:t>:</w:t>
      </w:r>
      <w:r w:rsidRPr="00A912FF">
        <w:rPr>
          <w:rFonts w:ascii="Arial" w:eastAsia="Arial-BoldMT" w:hAnsi="Arial" w:cs="Arial"/>
          <w:bCs/>
          <w:color w:val="000000"/>
          <w:w w:val="90"/>
          <w:kern w:val="18"/>
          <w:sz w:val="18"/>
          <w:szCs w:val="18"/>
          <w:lang w:val="de-CH"/>
        </w:rPr>
        <w:t xml:space="preserve"> Wilhelm Weibel: Lehrbuch der Frauenheilkunde, 7th </w:t>
      </w:r>
      <w:proofErr w:type="spellStart"/>
      <w:proofErr w:type="gramStart"/>
      <w:r w:rsidRPr="00A912FF">
        <w:rPr>
          <w:rFonts w:ascii="Arial" w:eastAsia="Arial-BoldMT" w:hAnsi="Arial" w:cs="Arial"/>
          <w:bCs/>
          <w:color w:val="000000"/>
          <w:w w:val="90"/>
          <w:kern w:val="18"/>
          <w:sz w:val="18"/>
          <w:szCs w:val="18"/>
          <w:lang w:val="de-CH"/>
        </w:rPr>
        <w:t>ed</w:t>
      </w:r>
      <w:proofErr w:type="spellEnd"/>
      <w:r w:rsidRPr="00A912FF">
        <w:rPr>
          <w:rFonts w:ascii="Arial" w:eastAsia="Arial-BoldMT" w:hAnsi="Arial" w:cs="Arial"/>
          <w:bCs/>
          <w:color w:val="000000"/>
          <w:w w:val="90"/>
          <w:kern w:val="18"/>
          <w:sz w:val="18"/>
          <w:szCs w:val="18"/>
          <w:lang w:val="de-CH"/>
        </w:rPr>
        <w:t>.,</w:t>
      </w:r>
      <w:proofErr w:type="gramEnd"/>
      <w:r w:rsidRPr="00A912FF">
        <w:rPr>
          <w:rFonts w:ascii="Arial" w:eastAsia="Arial-BoldMT" w:hAnsi="Arial" w:cs="Arial"/>
          <w:bCs/>
          <w:color w:val="000000"/>
          <w:w w:val="90"/>
          <w:kern w:val="18"/>
          <w:sz w:val="18"/>
          <w:szCs w:val="18"/>
          <w:lang w:val="de-CH"/>
        </w:rPr>
        <w:t xml:space="preserve"> Berlin/Wien 1944 p. 647 (</w:t>
      </w:r>
      <w:proofErr w:type="spellStart"/>
      <w:r w:rsidRPr="00A912FF">
        <w:rPr>
          <w:rFonts w:ascii="Arial" w:eastAsia="Arial-BoldMT" w:hAnsi="Arial" w:cs="Arial"/>
          <w:bCs/>
          <w:color w:val="000000"/>
          <w:w w:val="90"/>
          <w:kern w:val="18"/>
          <w:sz w:val="18"/>
          <w:szCs w:val="18"/>
          <w:lang w:val="de-CH"/>
        </w:rPr>
        <w:t>photo</w:t>
      </w:r>
      <w:proofErr w:type="spellEnd"/>
      <w:r w:rsidRPr="00A912FF">
        <w:rPr>
          <w:rFonts w:ascii="Arial" w:eastAsia="Arial-BoldMT" w:hAnsi="Arial" w:cs="Arial"/>
          <w:bCs/>
          <w:color w:val="000000"/>
          <w:w w:val="90"/>
          <w:kern w:val="18"/>
          <w:sz w:val="18"/>
          <w:szCs w:val="18"/>
          <w:lang w:val="de-CH"/>
        </w:rPr>
        <w:t>), 648 (</w:t>
      </w:r>
      <w:proofErr w:type="spellStart"/>
      <w:r w:rsidRPr="00A912FF">
        <w:rPr>
          <w:rFonts w:ascii="Arial" w:eastAsia="Arial-BoldMT" w:hAnsi="Arial" w:cs="Arial"/>
          <w:bCs/>
          <w:color w:val="000000"/>
          <w:w w:val="90"/>
          <w:kern w:val="18"/>
          <w:sz w:val="18"/>
          <w:szCs w:val="18"/>
          <w:lang w:val="de-CH"/>
        </w:rPr>
        <w:t>text</w:t>
      </w:r>
      <w:proofErr w:type="spellEnd"/>
      <w:r w:rsidRPr="00A912FF">
        <w:rPr>
          <w:rFonts w:ascii="Arial" w:eastAsia="Arial-BoldMT" w:hAnsi="Arial" w:cs="Arial"/>
          <w:bCs/>
          <w:color w:val="000000"/>
          <w:w w:val="90"/>
          <w:kern w:val="18"/>
          <w:sz w:val="18"/>
          <w:szCs w:val="18"/>
          <w:lang w:val="de-CH"/>
        </w:rPr>
        <w:t>).</w:t>
      </w:r>
    </w:p>
    <w:p w14:paraId="36076872" w14:textId="77777777" w:rsidR="00134F61" w:rsidRPr="00A912FF" w:rsidRDefault="00134F61" w:rsidP="00134F61">
      <w:pPr>
        <w:pStyle w:val="Textkrper"/>
        <w:spacing w:after="0"/>
        <w:rPr>
          <w:rFonts w:ascii="Arial" w:eastAsia="Arial-BoldMT" w:hAnsi="Arial" w:cs="Arial"/>
          <w:bCs/>
          <w:color w:val="000000"/>
          <w:w w:val="90"/>
          <w:kern w:val="18"/>
          <w:sz w:val="18"/>
          <w:szCs w:val="18"/>
          <w:lang w:val="de-CH"/>
        </w:rPr>
      </w:pPr>
      <w:r w:rsidRPr="00A912FF">
        <w:rPr>
          <w:rFonts w:ascii="Arial" w:eastAsia="Arial-BoldMT" w:hAnsi="Arial" w:cs="Arial"/>
          <w:bCs/>
          <w:color w:val="000000"/>
          <w:w w:val="90"/>
          <w:kern w:val="18"/>
          <w:sz w:val="18"/>
          <w:szCs w:val="18"/>
          <w:lang w:val="de-CH"/>
        </w:rPr>
        <w:t xml:space="preserve">Richard Goldschmidt: “Die biologischen Grundlagen der konträren Sexualität und des Hermaphroditismus beim Menschen”, in: Archiv </w:t>
      </w:r>
      <w:proofErr w:type="spellStart"/>
      <w:r w:rsidRPr="00A912FF">
        <w:rPr>
          <w:rFonts w:ascii="Arial" w:eastAsia="Arial-BoldMT" w:hAnsi="Arial" w:cs="Arial"/>
          <w:bCs/>
          <w:color w:val="000000"/>
          <w:w w:val="90"/>
          <w:kern w:val="18"/>
          <w:sz w:val="18"/>
          <w:szCs w:val="18"/>
          <w:lang w:val="de-CH"/>
        </w:rPr>
        <w:t>für</w:t>
      </w:r>
      <w:proofErr w:type="spellEnd"/>
      <w:r w:rsidRPr="00A912FF">
        <w:rPr>
          <w:rFonts w:ascii="Arial" w:eastAsia="Arial-BoldMT" w:hAnsi="Arial" w:cs="Arial"/>
          <w:bCs/>
          <w:color w:val="000000"/>
          <w:w w:val="90"/>
          <w:kern w:val="18"/>
          <w:sz w:val="18"/>
          <w:szCs w:val="18"/>
          <w:lang w:val="de-CH"/>
        </w:rPr>
        <w:t xml:space="preserve"> Rassen- und Gesellschaftsbiologie 12, 1916.</w:t>
      </w:r>
    </w:p>
    <w:p w14:paraId="553EB2C2" w14:textId="77777777" w:rsidR="00134F61" w:rsidRPr="003225FF" w:rsidRDefault="00134F61" w:rsidP="00134F61">
      <w:pPr>
        <w:pStyle w:val="Textkrper"/>
        <w:spacing w:after="0"/>
        <w:rPr>
          <w:rFonts w:ascii="Arial" w:eastAsia="Arial-BoldMT" w:hAnsi="Arial" w:cs="Arial"/>
          <w:bCs/>
          <w:color w:val="000000"/>
          <w:w w:val="90"/>
          <w:kern w:val="18"/>
          <w:sz w:val="18"/>
          <w:szCs w:val="18"/>
          <w:lang w:val="en-US"/>
        </w:rPr>
      </w:pPr>
      <w:r w:rsidRPr="00A912FF">
        <w:rPr>
          <w:rFonts w:ascii="Arial" w:eastAsia="Arial-BoldMT" w:hAnsi="Arial" w:cs="Arial"/>
          <w:bCs/>
          <w:color w:val="000000"/>
          <w:w w:val="90"/>
          <w:kern w:val="18"/>
          <w:sz w:val="18"/>
          <w:szCs w:val="18"/>
          <w:lang w:val="de-CH"/>
        </w:rPr>
        <w:t xml:space="preserve">Paul Mathes, Hans </w:t>
      </w:r>
      <w:proofErr w:type="spellStart"/>
      <w:r w:rsidRPr="00A912FF">
        <w:rPr>
          <w:rFonts w:ascii="Arial" w:eastAsia="Arial-BoldMT" w:hAnsi="Arial" w:cs="Arial"/>
          <w:bCs/>
          <w:color w:val="000000"/>
          <w:w w:val="90"/>
          <w:kern w:val="18"/>
          <w:sz w:val="18"/>
          <w:szCs w:val="18"/>
          <w:lang w:val="de-CH"/>
        </w:rPr>
        <w:t>Guggisberg</w:t>
      </w:r>
      <w:proofErr w:type="spellEnd"/>
      <w:r w:rsidRPr="00A912FF">
        <w:rPr>
          <w:rFonts w:ascii="Arial" w:eastAsia="Arial-BoldMT" w:hAnsi="Arial" w:cs="Arial"/>
          <w:bCs/>
          <w:color w:val="000000"/>
          <w:w w:val="90"/>
          <w:kern w:val="18"/>
          <w:sz w:val="18"/>
          <w:szCs w:val="18"/>
          <w:lang w:val="de-CH"/>
        </w:rPr>
        <w:t xml:space="preserve">: “Die Konstitutionstypen des Weibes, insbesondere der intersexuelle Typus”, in: Josef </w:t>
      </w:r>
      <w:proofErr w:type="spellStart"/>
      <w:r w:rsidRPr="00A912FF">
        <w:rPr>
          <w:rFonts w:ascii="Arial" w:eastAsia="Arial-BoldMT" w:hAnsi="Arial" w:cs="Arial"/>
          <w:bCs/>
          <w:color w:val="000000"/>
          <w:w w:val="90"/>
          <w:kern w:val="18"/>
          <w:sz w:val="18"/>
          <w:szCs w:val="18"/>
          <w:lang w:val="de-CH"/>
        </w:rPr>
        <w:t>Halban</w:t>
      </w:r>
      <w:proofErr w:type="spellEnd"/>
      <w:r w:rsidRPr="00A912FF">
        <w:rPr>
          <w:rFonts w:ascii="Arial" w:eastAsia="Arial-BoldMT" w:hAnsi="Arial" w:cs="Arial"/>
          <w:bCs/>
          <w:color w:val="000000"/>
          <w:w w:val="90"/>
          <w:kern w:val="18"/>
          <w:sz w:val="18"/>
          <w:szCs w:val="18"/>
          <w:lang w:val="de-CH"/>
        </w:rPr>
        <w:t xml:space="preserve">, Ludwig Seitz: Biologie und Pathologie des Weibes. </w:t>
      </w:r>
      <w:r w:rsidRPr="003225FF">
        <w:rPr>
          <w:rFonts w:ascii="Arial" w:eastAsia="Arial-BoldMT" w:hAnsi="Arial" w:cs="Arial"/>
          <w:bCs/>
          <w:color w:val="000000"/>
          <w:w w:val="90"/>
          <w:kern w:val="18"/>
          <w:sz w:val="18"/>
          <w:szCs w:val="18"/>
          <w:lang w:val="en-US"/>
        </w:rPr>
        <w:t>Bd.3, 1924.</w:t>
      </w:r>
    </w:p>
    <w:p w14:paraId="615C920B" w14:textId="77777777" w:rsidR="00134F61" w:rsidRPr="003225FF" w:rsidRDefault="00134F61" w:rsidP="00134F61">
      <w:pPr>
        <w:pStyle w:val="Textkrper"/>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lang w:val="en-US"/>
        </w:rPr>
        <w:t xml:space="preserve">Helga </w:t>
      </w:r>
      <w:proofErr w:type="spellStart"/>
      <w:r w:rsidRPr="003225FF">
        <w:rPr>
          <w:rFonts w:ascii="Arial" w:eastAsia="Arial-BoldMT" w:hAnsi="Arial" w:cs="Arial"/>
          <w:bCs/>
          <w:color w:val="000000"/>
          <w:w w:val="90"/>
          <w:kern w:val="18"/>
          <w:sz w:val="18"/>
          <w:szCs w:val="18"/>
          <w:lang w:val="en-US"/>
        </w:rPr>
        <w:t>Satzinger</w:t>
      </w:r>
      <w:proofErr w:type="spellEnd"/>
      <w:r w:rsidRPr="003225FF">
        <w:rPr>
          <w:rFonts w:ascii="Arial" w:eastAsia="Arial-BoldMT" w:hAnsi="Arial" w:cs="Arial"/>
          <w:bCs/>
          <w:color w:val="000000"/>
          <w:w w:val="90"/>
          <w:kern w:val="18"/>
          <w:sz w:val="18"/>
          <w:szCs w:val="18"/>
          <w:lang w:val="en-US"/>
        </w:rPr>
        <w:t>: Racial Purity, Stable Genes, and Sex Difference: Gender in the Making of Genetic Concepts by Richard Goldschmidt and Fritz Lenz, 1916 to 1936. In: Heim et al. (ed.), The Kaiser Wilhelm Society under National Socialism, 2009.</w:t>
      </w:r>
    </w:p>
    <w:p w14:paraId="375B9A78" w14:textId="77777777" w:rsidR="00134F61" w:rsidRPr="003225FF" w:rsidRDefault="00134F61" w:rsidP="00134F61">
      <w:pPr>
        <w:pStyle w:val="Textkrper"/>
        <w:spacing w:after="0"/>
        <w:jc w:val="center"/>
        <w:rPr>
          <w:rFonts w:ascii="Arial" w:eastAsia="Arial-BoldMT" w:hAnsi="Arial" w:cs="Arial"/>
          <w:bCs/>
          <w:color w:val="000000"/>
          <w:spacing w:val="2"/>
          <w:w w:val="90"/>
          <w:sz w:val="18"/>
          <w:szCs w:val="18"/>
        </w:rPr>
      </w:pPr>
      <w:r w:rsidRPr="003225FF">
        <w:rPr>
          <w:rFonts w:ascii="Arial" w:eastAsia="Arial-BoldMT" w:hAnsi="Arial" w:cs="Arial"/>
          <w:bCs/>
          <w:color w:val="000000"/>
          <w:spacing w:val="2"/>
          <w:w w:val="90"/>
          <w:sz w:val="18"/>
          <w:szCs w:val="18"/>
          <w:lang w:val="en-US"/>
        </w:rPr>
        <w:br w:type="page"/>
      </w:r>
      <w:r w:rsidRPr="003225FF">
        <w:rPr>
          <w:noProof/>
          <w:lang w:val="de-CH" w:eastAsia="de-CH" w:bidi="ar-SA"/>
        </w:rPr>
        <w:lastRenderedPageBreak/>
        <w:drawing>
          <wp:inline distT="0" distB="0" distL="0" distR="0" wp14:anchorId="5AD9E4C7" wp14:editId="742A9B54">
            <wp:extent cx="5179060" cy="7250430"/>
            <wp:effectExtent l="0" t="0" r="0" b="0"/>
            <wp:docPr id="33" name="Bild 33" descr="Photo of a standing naked child before a black wall with white scales and a black bar overlayd over her eyes, caption: “Normal age 9 yrs.” Juxtaposed with 4 similar photos of children labelled A-D and diagnosed with “Congenital adrenal hyperplasia -- Female pseudohermaphroditism”, aged 2-9 yrs., each according to captions either with “clitoris amputated” or “excised”, or “Plastic operations on hypospadic penis and scrotum”, and patient record numbers, and further general descrip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79060" cy="7250430"/>
                    </a:xfrm>
                    <a:prstGeom prst="rect">
                      <a:avLst/>
                    </a:prstGeom>
                    <a:solidFill>
                      <a:srgbClr val="FFFFFF"/>
                    </a:solidFill>
                    <a:ln>
                      <a:noFill/>
                    </a:ln>
                  </pic:spPr>
                </pic:pic>
              </a:graphicData>
            </a:graphic>
          </wp:inline>
        </w:drawing>
      </w:r>
    </w:p>
    <w:p w14:paraId="5041CBB4" w14:textId="77777777" w:rsidR="00134F61" w:rsidRPr="003225FF" w:rsidRDefault="00134F61" w:rsidP="00134F61">
      <w:pPr>
        <w:pStyle w:val="Title3"/>
        <w:rPr>
          <w:rFonts w:eastAsia="Arial-BoldMT"/>
          <w:w w:val="90"/>
        </w:rPr>
      </w:pPr>
      <w:bookmarkStart w:id="82" w:name="_Toc453620783"/>
      <w:bookmarkStart w:id="83" w:name="_Toc95769188"/>
      <w:bookmarkStart w:id="84" w:name="_Toc141803645"/>
      <w:r w:rsidRPr="003225FF">
        <w:t xml:space="preserve">Baltimore and Zurich 1950: </w:t>
      </w:r>
      <w:bookmarkEnd w:id="82"/>
      <w:r w:rsidRPr="003225FF">
        <w:t>Start of systematic “genital corrections”</w:t>
      </w:r>
      <w:bookmarkEnd w:id="83"/>
      <w:bookmarkEnd w:id="84"/>
    </w:p>
    <w:p w14:paraId="073097A1" w14:textId="77777777" w:rsidR="00134F61" w:rsidRPr="003225FF" w:rsidRDefault="00134F61" w:rsidP="00134F61">
      <w:pPr>
        <w:pStyle w:val="Textkrper"/>
        <w:jc w:val="both"/>
        <w:rPr>
          <w:rFonts w:ascii="Arial" w:eastAsia="Arial-BoldMT" w:hAnsi="Arial" w:cs="Arial"/>
          <w:b/>
          <w:bCs/>
          <w:color w:val="000000"/>
          <w:w w:val="90"/>
          <w:kern w:val="22"/>
          <w:sz w:val="22"/>
          <w:szCs w:val="22"/>
          <w:lang w:val="en-US"/>
        </w:rPr>
      </w:pPr>
      <w:r w:rsidRPr="003225FF">
        <w:rPr>
          <w:rFonts w:ascii="Arial" w:eastAsia="Arial-BoldMT" w:hAnsi="Arial" w:cs="Arial"/>
          <w:bCs/>
          <w:color w:val="000000"/>
          <w:w w:val="90"/>
          <w:kern w:val="22"/>
          <w:sz w:val="22"/>
          <w:szCs w:val="22"/>
        </w:rPr>
        <w:t xml:space="preserve">Lawson Wilkins (1894-1963), “The Father of </w:t>
      </w:r>
      <w:proofErr w:type="spellStart"/>
      <w:r w:rsidRPr="003225FF">
        <w:rPr>
          <w:rFonts w:ascii="Arial" w:eastAsia="Arial-BoldMT" w:hAnsi="Arial" w:cs="Arial"/>
          <w:bCs/>
          <w:color w:val="000000"/>
          <w:w w:val="90"/>
          <w:kern w:val="22"/>
          <w:sz w:val="22"/>
          <w:szCs w:val="22"/>
        </w:rPr>
        <w:t>Pediatric</w:t>
      </w:r>
      <w:proofErr w:type="spellEnd"/>
      <w:r w:rsidRPr="003225FF">
        <w:rPr>
          <w:rFonts w:ascii="Arial" w:eastAsia="Arial-BoldMT" w:hAnsi="Arial" w:cs="Arial"/>
          <w:bCs/>
          <w:color w:val="000000"/>
          <w:w w:val="90"/>
          <w:kern w:val="22"/>
          <w:sz w:val="22"/>
          <w:szCs w:val="22"/>
        </w:rPr>
        <w:t xml:space="preserve"> Endocrinology”, and teacher of the famous </w:t>
      </w:r>
      <w:r w:rsidRPr="0018734F">
        <w:rPr>
          <w:rFonts w:ascii="Arial" w:eastAsia="Arial-BoldMT" w:hAnsi="Arial" w:cs="Arial"/>
          <w:bCs/>
          <w:color w:val="000000"/>
          <w:w w:val="90"/>
          <w:kern w:val="22"/>
          <w:sz w:val="22"/>
          <w:szCs w:val="22"/>
        </w:rPr>
        <w:t>Swiss</w:t>
      </w:r>
      <w:r w:rsidRPr="003225FF">
        <w:rPr>
          <w:rFonts w:ascii="Arial" w:eastAsia="Arial-BoldMT" w:hAnsi="Arial" w:cs="Arial"/>
          <w:bCs/>
          <w:color w:val="000000"/>
          <w:w w:val="90"/>
          <w:kern w:val="22"/>
          <w:sz w:val="22"/>
          <w:szCs w:val="22"/>
        </w:rPr>
        <w:t xml:space="preserve"> paediatric endocrinologist Andrea Prader in 1950, who then introduced the practice in Europe, was also the “inventor” of systematic cosmetic genital surgeries on children. As Wilkins’s monograph illustrates, in 1950 at Johns Hopkins in Baltimore, any child diagnosed “not normal” was submitted to drastic “genital corrections”, either “feminising” or “masculinising”. Often the psychologist John Money gets erroneously credited as having “invented” the systematic mutilations, however, it was Wilkins (and Prader) who started systematic surgeries; Money “only” delivered a “scientific rationale” five years after the fact.</w:t>
      </w:r>
    </w:p>
    <w:p w14:paraId="6E35A9CB" w14:textId="77777777" w:rsidR="00134F61" w:rsidRPr="003225FF" w:rsidRDefault="00134F61" w:rsidP="00134F61">
      <w:pPr>
        <w:pStyle w:val="Textkrper"/>
        <w:spacing w:after="0" w:line="240" w:lineRule="auto"/>
        <w:rPr>
          <w:rFonts w:ascii="Arial" w:eastAsia="Arial-BoldMT" w:hAnsi="Arial" w:cs="Arial"/>
          <w:bCs/>
          <w:color w:val="000000"/>
          <w:w w:val="90"/>
          <w:sz w:val="18"/>
          <w:szCs w:val="18"/>
        </w:rPr>
      </w:pPr>
      <w:r w:rsidRPr="003225FF">
        <w:rPr>
          <w:rFonts w:ascii="Arial" w:eastAsia="Arial-BoldMT" w:hAnsi="Arial" w:cs="Arial"/>
          <w:b/>
          <w:bCs/>
          <w:color w:val="000000"/>
          <w:w w:val="90"/>
          <w:sz w:val="18"/>
          <w:szCs w:val="18"/>
          <w:lang w:val="en-US"/>
        </w:rPr>
        <w:t>Sources:</w:t>
      </w:r>
      <w:r w:rsidRPr="003225FF">
        <w:rPr>
          <w:rFonts w:ascii="Arial" w:eastAsia="Arial-BoldMT" w:hAnsi="Arial" w:cs="Arial"/>
          <w:bCs/>
          <w:color w:val="000000"/>
          <w:w w:val="90"/>
          <w:sz w:val="18"/>
          <w:szCs w:val="18"/>
          <w:lang w:val="en-US"/>
        </w:rPr>
        <w:t xml:space="preserve"> </w:t>
      </w:r>
      <w:r w:rsidRPr="003225FF">
        <w:rPr>
          <w:rFonts w:ascii="Arial" w:eastAsia="Arial-BoldMT" w:hAnsi="Arial" w:cs="Arial"/>
          <w:bCs/>
          <w:color w:val="000000"/>
          <w:w w:val="90"/>
          <w:sz w:val="18"/>
          <w:szCs w:val="18"/>
        </w:rPr>
        <w:t xml:space="preserve">Lawson Wilkins: </w:t>
      </w:r>
      <w:r w:rsidRPr="003225FF">
        <w:rPr>
          <w:rFonts w:ascii="Arial" w:eastAsia="Arial-BoldMT" w:hAnsi="Arial" w:cs="Arial"/>
          <w:bCs/>
          <w:i/>
          <w:iCs/>
          <w:color w:val="000000"/>
          <w:w w:val="90"/>
          <w:sz w:val="18"/>
          <w:szCs w:val="18"/>
        </w:rPr>
        <w:t>The Diagnosis and Treatment of Endocrine Disorders in Childhood and Adolescence.</w:t>
      </w:r>
      <w:r w:rsidRPr="003225FF">
        <w:rPr>
          <w:rFonts w:ascii="Arial" w:eastAsia="Arial-BoldMT" w:hAnsi="Arial" w:cs="Arial"/>
          <w:bCs/>
          <w:color w:val="000000"/>
          <w:w w:val="90"/>
          <w:sz w:val="18"/>
          <w:szCs w:val="18"/>
        </w:rPr>
        <w:t xml:space="preserve"> Springfield, 1950.</w:t>
      </w:r>
    </w:p>
    <w:p w14:paraId="1BBFB454" w14:textId="77777777" w:rsidR="00134F61" w:rsidRPr="003225FF" w:rsidRDefault="00134F61" w:rsidP="00134F61">
      <w:pPr>
        <w:pStyle w:val="Textkrper"/>
        <w:spacing w:after="0" w:line="240" w:lineRule="auto"/>
        <w:rPr>
          <w:rFonts w:ascii="Arial" w:eastAsia="Arial-BoldMT" w:hAnsi="Arial" w:cs="Arial"/>
          <w:bCs/>
          <w:color w:val="000000"/>
          <w:w w:val="90"/>
          <w:sz w:val="18"/>
          <w:szCs w:val="18"/>
        </w:rPr>
      </w:pPr>
      <w:r w:rsidRPr="003225FF">
        <w:rPr>
          <w:rFonts w:ascii="Arial" w:eastAsia="Arial-BoldMT" w:hAnsi="Arial" w:cs="Arial"/>
          <w:bCs/>
          <w:color w:val="000000"/>
          <w:w w:val="90"/>
          <w:sz w:val="18"/>
          <w:szCs w:val="18"/>
        </w:rPr>
        <w:t xml:space="preserve">Alison Redick: </w:t>
      </w:r>
      <w:r w:rsidRPr="003225FF">
        <w:rPr>
          <w:rFonts w:ascii="Arial" w:eastAsia="Arial-BoldMT" w:hAnsi="Arial" w:cs="Arial"/>
          <w:bCs/>
          <w:i/>
          <w:iCs/>
          <w:color w:val="000000"/>
          <w:w w:val="90"/>
          <w:sz w:val="18"/>
          <w:szCs w:val="18"/>
        </w:rPr>
        <w:t>American History XY: The Medical Treatment of Intersex, 1916-1955</w:t>
      </w:r>
      <w:r w:rsidRPr="003225FF">
        <w:rPr>
          <w:rFonts w:ascii="Arial" w:eastAsia="Arial-BoldMT" w:hAnsi="Arial" w:cs="Arial"/>
          <w:bCs/>
          <w:color w:val="000000"/>
          <w:w w:val="90"/>
          <w:sz w:val="18"/>
          <w:szCs w:val="18"/>
        </w:rPr>
        <w:t>, Dissertation 2004</w:t>
      </w:r>
    </w:p>
    <w:p w14:paraId="2298E2B8" w14:textId="65F9D8DD" w:rsidR="00FD51FE" w:rsidRPr="00306025" w:rsidRDefault="00FD51FE" w:rsidP="00FD51FE">
      <w:pPr>
        <w:pStyle w:val="Title1"/>
      </w:pPr>
      <w:bookmarkStart w:id="85" w:name="_Toc141803646"/>
      <w:r w:rsidRPr="00306025">
        <w:lastRenderedPageBreak/>
        <w:t>Annexe 2 – “IGM in Medical Textbooks: Current Practice”</w:t>
      </w:r>
      <w:bookmarkEnd w:id="75"/>
      <w:bookmarkEnd w:id="76"/>
      <w:bookmarkEnd w:id="77"/>
      <w:bookmarkEnd w:id="78"/>
      <w:bookmarkEnd w:id="85"/>
    </w:p>
    <w:p w14:paraId="5E3E7E84" w14:textId="77777777" w:rsidR="00FD51FE" w:rsidRPr="00306025" w:rsidRDefault="00FD51FE" w:rsidP="00FD51FE">
      <w:pPr>
        <w:pStyle w:val="Title3"/>
      </w:pPr>
      <w:bookmarkStart w:id="86" w:name="_Toc453620774"/>
      <w:bookmarkStart w:id="87" w:name="_Toc37887070"/>
      <w:bookmarkStart w:id="88" w:name="_Toc48428243"/>
      <w:bookmarkStart w:id="89" w:name="_Toc48509370"/>
      <w:bookmarkStart w:id="90" w:name="_Toc64836474"/>
      <w:bookmarkStart w:id="91" w:name="_Toc141803647"/>
      <w:r w:rsidRPr="00306025">
        <w:t>IGM 1 – “Masculinising Surgery”: “Hypospadias Repair”</w:t>
      </w:r>
      <w:bookmarkEnd w:id="86"/>
      <w:bookmarkEnd w:id="87"/>
      <w:bookmarkEnd w:id="88"/>
      <w:bookmarkEnd w:id="89"/>
      <w:bookmarkEnd w:id="90"/>
      <w:bookmarkEnd w:id="91"/>
    </w:p>
    <w:p w14:paraId="1E886758" w14:textId="77777777" w:rsidR="00FD51FE" w:rsidRPr="00306025" w:rsidRDefault="00FD51FE" w:rsidP="00FD51FE">
      <w:pPr>
        <w:autoSpaceDE w:val="0"/>
        <w:spacing w:before="120" w:after="200" w:line="288" w:lineRule="auto"/>
        <w:jc w:val="both"/>
        <w:textAlignment w:val="center"/>
        <w:rPr>
          <w:rFonts w:ascii="Arial" w:eastAsia="Arial-BoldMT" w:hAnsi="Arial" w:cs="Arial"/>
          <w:b/>
          <w:bCs/>
          <w:color w:val="000000"/>
          <w:spacing w:val="2"/>
          <w:w w:val="90"/>
          <w:kern w:val="24"/>
        </w:rPr>
      </w:pPr>
      <w:r w:rsidRPr="00306025">
        <w:rPr>
          <w:rFonts w:ascii="Arial" w:eastAsia="Arial" w:hAnsi="Arial" w:cs="Arial"/>
          <w:b/>
          <w:bCs/>
          <w:color w:val="000000"/>
          <w:spacing w:val="2"/>
          <w:w w:val="90"/>
          <w:kern w:val="24"/>
        </w:rPr>
        <w:t>“</w:t>
      </w:r>
      <w:r w:rsidRPr="00306025">
        <w:rPr>
          <w:rFonts w:ascii="Arial" w:eastAsia="Arial-BoldMT" w:hAnsi="Arial" w:cs="Arial"/>
          <w:b/>
          <w:bCs/>
          <w:color w:val="000000"/>
          <w:spacing w:val="2"/>
          <w:w w:val="90"/>
          <w:kern w:val="24"/>
        </w:rPr>
        <w:t xml:space="preserve">Hypospadias,” i.e. when the urethral opening is not on the tip of the penis, but somewhere on the underside between the tip and the scrotum, is arguably the most prevalent diagnosis for cosmetic genital surgeries. Procedures include dissection of the penis to “relocate” the urinary meatus. Very high complication rates, as well as repeated </w:t>
      </w:r>
      <w:r w:rsidRPr="00306025">
        <w:rPr>
          <w:rFonts w:ascii="Arial" w:eastAsia="Arial-BoldMT" w:hAnsi="Arial" w:cs="Arial"/>
          <w:b/>
          <w:bCs/>
          <w:i/>
          <w:color w:val="000000"/>
          <w:spacing w:val="2"/>
          <w:w w:val="90"/>
          <w:kern w:val="24"/>
        </w:rPr>
        <w:t xml:space="preserve">“redo procedures” </w:t>
      </w:r>
      <w:r w:rsidRPr="00306025">
        <w:rPr>
          <w:rFonts w:ascii="Arial" w:eastAsia="Arial-BoldMT" w:hAnsi="Arial" w:cs="Arial"/>
          <w:b/>
          <w:bCs/>
          <w:color w:val="000000"/>
          <w:spacing w:val="2"/>
          <w:w w:val="90"/>
          <w:kern w:val="24"/>
        </w:rPr>
        <w:t xml:space="preserve">— </w:t>
      </w:r>
      <w:r w:rsidRPr="00306025">
        <w:rPr>
          <w:rFonts w:ascii="Arial" w:eastAsia="Arial-BoldMT" w:hAnsi="Arial" w:cs="Arial"/>
          <w:b/>
          <w:bCs/>
          <w:i/>
          <w:color w:val="000000"/>
          <w:spacing w:val="2"/>
          <w:w w:val="90"/>
          <w:kern w:val="24"/>
        </w:rPr>
        <w:t>“5.8 operations (mean) along their lives … and still most of them are not satisfied with results!”</w:t>
      </w:r>
    </w:p>
    <w:p w14:paraId="71F16931" w14:textId="77777777" w:rsidR="00FD51FE" w:rsidRPr="00306025" w:rsidRDefault="00FD51FE" w:rsidP="00FD51FE">
      <w:pPr>
        <w:autoSpaceDE w:val="0"/>
        <w:spacing w:before="120" w:after="200" w:line="288" w:lineRule="auto"/>
        <w:jc w:val="both"/>
        <w:textAlignment w:val="center"/>
      </w:pPr>
      <w:r w:rsidRPr="00306025">
        <w:rPr>
          <w:rFonts w:ascii="Arial" w:eastAsia="Arial-BoldMT" w:hAnsi="Arial" w:cs="Arial"/>
          <w:b/>
          <w:bCs/>
          <w:color w:val="000000"/>
          <w:spacing w:val="2"/>
          <w:w w:val="90"/>
        </w:rPr>
        <w:t xml:space="preserve">Nonetheless, clinicians recommend these surgeries without medical need explicitly </w:t>
      </w:r>
      <w:r w:rsidRPr="00306025">
        <w:rPr>
          <w:rFonts w:ascii="Arial" w:eastAsia="Arial-BoldMT" w:hAnsi="Arial" w:cs="Arial"/>
          <w:b/>
          <w:bCs/>
          <w:i/>
          <w:color w:val="000000"/>
          <w:spacing w:val="2"/>
          <w:w w:val="90"/>
        </w:rPr>
        <w:t>“for psychological and aesthetic reasons.”</w:t>
      </w:r>
      <w:r w:rsidRPr="00306025">
        <w:rPr>
          <w:rFonts w:ascii="Arial" w:eastAsia="Arial-BoldMT" w:hAnsi="Arial" w:cs="Arial"/>
          <w:b/>
          <w:bCs/>
          <w:color w:val="000000"/>
          <w:spacing w:val="2"/>
          <w:w w:val="90"/>
        </w:rPr>
        <w:t xml:space="preserve"> Most hospitals advise early surgeries, usually </w:t>
      </w:r>
      <w:r w:rsidRPr="00306025">
        <w:rPr>
          <w:rFonts w:ascii="Arial" w:eastAsia="Arial-BoldMT" w:hAnsi="Arial" w:cs="Arial"/>
          <w:b/>
          <w:bCs/>
          <w:i/>
          <w:color w:val="000000"/>
          <w:spacing w:val="2"/>
          <w:w w:val="90"/>
        </w:rPr>
        <w:t xml:space="preserve">“between 12 and 24 months of age.” </w:t>
      </w:r>
      <w:r w:rsidRPr="00306025">
        <w:rPr>
          <w:rFonts w:ascii="Arial" w:eastAsia="Arial-BoldMT" w:hAnsi="Arial" w:cs="Arial"/>
          <w:b/>
          <w:bCs/>
          <w:color w:val="000000"/>
          <w:spacing w:val="2"/>
          <w:w w:val="90"/>
        </w:rPr>
        <w:t xml:space="preserve">While survivors criticise </w:t>
      </w:r>
      <w:proofErr w:type="spellStart"/>
      <w:r w:rsidRPr="00306025">
        <w:rPr>
          <w:rFonts w:ascii="Arial" w:eastAsia="Arial-BoldMT" w:hAnsi="Arial" w:cs="Arial"/>
          <w:b/>
          <w:bCs/>
          <w:color w:val="000000"/>
          <w:spacing w:val="2"/>
          <w:w w:val="90"/>
        </w:rPr>
        <w:t>a.o.</w:t>
      </w:r>
      <w:proofErr w:type="spellEnd"/>
      <w:r w:rsidRPr="00306025">
        <w:rPr>
          <w:rFonts w:ascii="Arial" w:eastAsia="Arial-BoldMT" w:hAnsi="Arial" w:cs="Arial"/>
          <w:b/>
          <w:bCs/>
          <w:color w:val="000000"/>
          <w:spacing w:val="2"/>
          <w:w w:val="90"/>
        </w:rPr>
        <w:t xml:space="preserve"> impairment or total loss of sexual sensation and painful scars, doctors still fail to provide evidence of benefit for the recipients of the surgeries.</w:t>
      </w:r>
    </w:p>
    <w:p w14:paraId="555D6EEA" w14:textId="77777777" w:rsidR="00FD51FE" w:rsidRPr="00306025" w:rsidRDefault="00FD51FE" w:rsidP="00FD51FE">
      <w:pPr>
        <w:pStyle w:val="KeinAbsatzformat"/>
        <w:spacing w:after="113"/>
        <w:jc w:val="center"/>
        <w:rPr>
          <w:rFonts w:eastAsia="Arial-BoldMT" w:cs="Arial"/>
          <w:b/>
          <w:spacing w:val="2"/>
          <w:w w:val="90"/>
          <w:lang w:val="en-GB" w:bidi="ar-SA"/>
        </w:rPr>
      </w:pPr>
      <w:r w:rsidRPr="00306025">
        <w:rPr>
          <w:rFonts w:eastAsia="Arial-BoldMT" w:cs="Arial"/>
          <w:b/>
          <w:noProof/>
          <w:spacing w:val="2"/>
          <w:w w:val="90"/>
          <w:lang w:val="de-CH" w:eastAsia="de-CH" w:bidi="ar-SA"/>
        </w:rPr>
        <w:drawing>
          <wp:inline distT="0" distB="0" distL="0" distR="0" wp14:anchorId="21E15FFE" wp14:editId="3AA01661">
            <wp:extent cx="3589020" cy="2341245"/>
            <wp:effectExtent l="0" t="0" r="0" b="0"/>
            <wp:docPr id="26" name="Bild 9" descr="Onlay island flap urethroplasty. Penis is dissec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9020" cy="2341245"/>
                    </a:xfrm>
                    <a:prstGeom prst="rect">
                      <a:avLst/>
                    </a:prstGeom>
                    <a:solidFill>
                      <a:srgbClr val="FFFFFF"/>
                    </a:solidFill>
                    <a:ln>
                      <a:noFill/>
                    </a:ln>
                  </pic:spPr>
                </pic:pic>
              </a:graphicData>
            </a:graphic>
          </wp:inline>
        </w:drawing>
      </w:r>
      <w:r w:rsidRPr="00306025">
        <w:rPr>
          <w:rFonts w:eastAsia="Arial-BoldMT" w:cs="Arial"/>
          <w:b/>
          <w:noProof/>
          <w:spacing w:val="2"/>
          <w:w w:val="90"/>
          <w:lang w:val="de-CH" w:eastAsia="de-CH" w:bidi="ar-SA"/>
        </w:rPr>
        <w:drawing>
          <wp:inline distT="0" distB="0" distL="0" distR="0" wp14:anchorId="64C5585C" wp14:editId="2459A852">
            <wp:extent cx="3597910" cy="2879725"/>
            <wp:effectExtent l="0" t="0" r="0" b="0"/>
            <wp:docPr id="10" name="Bild 10" descr="Onlay / Duckett - results, Elbakry 2001: 42% complications: 5 breakdowns (7%), 17 fistulae (23%), Urethral strictures (9%), Urethral diverticula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97910" cy="2879725"/>
                    </a:xfrm>
                    <a:prstGeom prst="rect">
                      <a:avLst/>
                    </a:prstGeom>
                    <a:solidFill>
                      <a:srgbClr val="FFFFFF"/>
                    </a:solidFill>
                    <a:ln>
                      <a:noFill/>
                    </a:ln>
                  </pic:spPr>
                </pic:pic>
              </a:graphicData>
            </a:graphic>
          </wp:inline>
        </w:drawing>
      </w:r>
    </w:p>
    <w:p w14:paraId="7C74F96C" w14:textId="77777777" w:rsidR="00FD51FE" w:rsidRPr="00306025" w:rsidRDefault="00FD51FE" w:rsidP="00FD51FE">
      <w:pPr>
        <w:pStyle w:val="KeinAbsatzformat"/>
        <w:spacing w:after="113"/>
        <w:jc w:val="center"/>
        <w:rPr>
          <w:rFonts w:eastAsia="Arial-BoldMT" w:cs="Arial"/>
          <w:b/>
          <w:bCs/>
          <w:spacing w:val="4"/>
          <w:w w:val="85"/>
          <w:sz w:val="20"/>
          <w:szCs w:val="20"/>
          <w:lang w:val="en-GB"/>
        </w:rPr>
      </w:pPr>
      <w:r w:rsidRPr="00306025">
        <w:rPr>
          <w:rFonts w:eastAsia="Arial-BoldMT" w:cs="Arial"/>
          <w:b/>
          <w:spacing w:val="2"/>
          <w:w w:val="90"/>
          <w:lang w:val="en-GB" w:bidi="ar-SA"/>
        </w:rPr>
        <w:br w:type="page"/>
      </w:r>
      <w:r w:rsidRPr="00306025">
        <w:rPr>
          <w:rFonts w:eastAsia="Arial-BoldMT" w:cs="Arial"/>
          <w:b/>
          <w:noProof/>
          <w:spacing w:val="4"/>
          <w:w w:val="85"/>
          <w:sz w:val="20"/>
          <w:szCs w:val="20"/>
          <w:lang w:val="de-CH" w:eastAsia="de-CH" w:bidi="ar-SA"/>
        </w:rPr>
        <w:lastRenderedPageBreak/>
        <w:drawing>
          <wp:inline distT="0" distB="0" distL="0" distR="0" wp14:anchorId="61AC41D4" wp14:editId="4155D7A0">
            <wp:extent cx="3597910" cy="2435860"/>
            <wp:effectExtent l="0" t="0" r="0" b="0"/>
            <wp:docPr id="11" name="Bild 11" descr="Procedures for Cripple Hypospadias: No standardized procedures. Personal experience of the surgeon. Penis with many sc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97910" cy="2435860"/>
                    </a:xfrm>
                    <a:prstGeom prst="rect">
                      <a:avLst/>
                    </a:prstGeom>
                    <a:solidFill>
                      <a:srgbClr val="FFFFFF"/>
                    </a:solidFill>
                    <a:ln>
                      <a:noFill/>
                    </a:ln>
                  </pic:spPr>
                </pic:pic>
              </a:graphicData>
            </a:graphic>
          </wp:inline>
        </w:drawing>
      </w:r>
    </w:p>
    <w:p w14:paraId="2E918C16" w14:textId="77777777" w:rsidR="00FD51FE" w:rsidRPr="00306025" w:rsidRDefault="00FD51FE" w:rsidP="00FD51FE">
      <w:pPr>
        <w:autoSpaceDE w:val="0"/>
        <w:spacing w:line="288" w:lineRule="auto"/>
        <w:jc w:val="center"/>
        <w:textAlignment w:val="center"/>
        <w:rPr>
          <w:rFonts w:ascii="Arial" w:eastAsia="Arial-BoldMT" w:hAnsi="Arial" w:cs="Arial"/>
          <w:b/>
          <w:bCs/>
          <w:color w:val="AF1D1F"/>
          <w:spacing w:val="4"/>
          <w:w w:val="85"/>
          <w:sz w:val="20"/>
          <w:szCs w:val="20"/>
        </w:rPr>
      </w:pPr>
      <w:r w:rsidRPr="00306025">
        <w:rPr>
          <w:rFonts w:ascii="Arial" w:eastAsia="Arial-BoldMT" w:hAnsi="Arial" w:cs="Arial"/>
          <w:b/>
          <w:bCs/>
          <w:color w:val="000000"/>
          <w:spacing w:val="4"/>
          <w:w w:val="85"/>
          <w:sz w:val="20"/>
          <w:szCs w:val="20"/>
        </w:rPr>
        <w:t xml:space="preserve">Official Diagnosis </w:t>
      </w:r>
      <w:r w:rsidRPr="00306025">
        <w:rPr>
          <w:rFonts w:ascii="Arial" w:eastAsia="Arial-BoldMT" w:hAnsi="Arial" w:cs="Arial"/>
          <w:b/>
          <w:bCs/>
          <w:color w:val="AF1D1F"/>
          <w:spacing w:val="4"/>
          <w:w w:val="85"/>
          <w:sz w:val="20"/>
          <w:szCs w:val="20"/>
        </w:rPr>
        <w:t>“Hypospadias Cripple”</w:t>
      </w:r>
    </w:p>
    <w:p w14:paraId="20B7F88B" w14:textId="77777777" w:rsidR="00FD51FE" w:rsidRPr="00306025" w:rsidRDefault="00FD51FE" w:rsidP="00FD51FE">
      <w:pPr>
        <w:autoSpaceDE w:val="0"/>
        <w:spacing w:line="288" w:lineRule="auto"/>
        <w:jc w:val="center"/>
        <w:textAlignment w:val="center"/>
        <w:rPr>
          <w:rFonts w:ascii="Arial" w:eastAsia="ArialMT" w:hAnsi="Arial" w:cs="Arial"/>
          <w:w w:val="85"/>
          <w:sz w:val="20"/>
          <w:szCs w:val="20"/>
        </w:rPr>
      </w:pPr>
      <w:r w:rsidRPr="00306025">
        <w:rPr>
          <w:rFonts w:ascii="Arial" w:eastAsia="Arial-BoldMT" w:hAnsi="Arial" w:cs="Arial"/>
          <w:b/>
          <w:bCs/>
          <w:color w:val="AF1D1F"/>
          <w:spacing w:val="4"/>
          <w:w w:val="85"/>
          <w:sz w:val="20"/>
          <w:szCs w:val="20"/>
        </w:rPr>
        <w:t>= made a “cripple” by repeat cosmetic surgeries</w:t>
      </w:r>
    </w:p>
    <w:p w14:paraId="4CC6AA16" w14:textId="77777777" w:rsidR="00FD51FE" w:rsidRPr="00306025" w:rsidRDefault="00FD51FE" w:rsidP="00FD51FE">
      <w:pPr>
        <w:autoSpaceDE w:val="0"/>
        <w:spacing w:line="288" w:lineRule="auto"/>
        <w:jc w:val="center"/>
        <w:textAlignment w:val="center"/>
        <w:rPr>
          <w:rFonts w:ascii="Arial" w:eastAsia="ArialMT" w:hAnsi="Arial" w:cs="Arial"/>
          <w:w w:val="85"/>
          <w:sz w:val="20"/>
          <w:szCs w:val="20"/>
        </w:rPr>
      </w:pPr>
    </w:p>
    <w:p w14:paraId="7C77F3AB" w14:textId="77777777" w:rsidR="00FD51FE" w:rsidRPr="00306025" w:rsidRDefault="00FD51FE" w:rsidP="00FD51FE">
      <w:pPr>
        <w:pStyle w:val="KeinAbsatzformat"/>
        <w:spacing w:after="113"/>
        <w:jc w:val="center"/>
        <w:rPr>
          <w:lang w:val="en-GB"/>
        </w:rPr>
      </w:pPr>
      <w:r w:rsidRPr="00306025">
        <w:rPr>
          <w:rFonts w:eastAsia="ArialMT" w:cs="Arial"/>
          <w:noProof/>
          <w:w w:val="85"/>
          <w:sz w:val="20"/>
          <w:szCs w:val="20"/>
          <w:lang w:val="de-CH" w:eastAsia="de-CH" w:bidi="ar-SA"/>
        </w:rPr>
        <w:drawing>
          <wp:inline distT="0" distB="0" distL="0" distR="0" wp14:anchorId="7726F14E" wp14:editId="0616339C">
            <wp:extent cx="3597910" cy="2392680"/>
            <wp:effectExtent l="0" t="0" r="0" b="0"/>
            <wp:docPr id="12" name="Bild 12" descr="Treatment of isolated fistulae: Dissection of Penis, excision of the fistula tract, su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7910" cy="2392680"/>
                    </a:xfrm>
                    <a:prstGeom prst="rect">
                      <a:avLst/>
                    </a:prstGeom>
                    <a:solidFill>
                      <a:srgbClr val="FFFFFF"/>
                    </a:solidFill>
                    <a:ln>
                      <a:noFill/>
                    </a:ln>
                  </pic:spPr>
                </pic:pic>
              </a:graphicData>
            </a:graphic>
          </wp:inline>
        </w:drawing>
      </w:r>
    </w:p>
    <w:p w14:paraId="20CBD39F" w14:textId="77777777" w:rsidR="00FD51FE" w:rsidRPr="00306025" w:rsidRDefault="00FD51FE" w:rsidP="00FD51FE">
      <w:pPr>
        <w:pStyle w:val="Textkrper"/>
        <w:jc w:val="center"/>
        <w:rPr>
          <w:rFonts w:ascii="Arial" w:eastAsia="ArialMT" w:hAnsi="Arial" w:cs="Arial"/>
          <w:w w:val="85"/>
          <w:sz w:val="20"/>
          <w:szCs w:val="20"/>
        </w:rPr>
      </w:pPr>
      <w:r w:rsidRPr="00306025">
        <w:rPr>
          <w:rFonts w:ascii="Arial" w:eastAsia="ArialMT" w:hAnsi="Arial" w:cs="Arial"/>
          <w:noProof/>
          <w:w w:val="85"/>
          <w:sz w:val="20"/>
          <w:szCs w:val="20"/>
          <w:lang w:val="de-CH" w:eastAsia="de-CH" w:bidi="ar-SA"/>
        </w:rPr>
        <w:drawing>
          <wp:inline distT="0" distB="0" distL="0" distR="0" wp14:anchorId="390770E6" wp14:editId="2F91AA76">
            <wp:extent cx="1504315" cy="2392680"/>
            <wp:effectExtent l="0" t="0" r="0" b="0"/>
            <wp:docPr id="7" name="Bild 13" descr="Bad cosmetic result: a child's penis with many sc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r w:rsidRPr="00306025">
        <w:rPr>
          <w:rFonts w:ascii="Arial" w:eastAsia="ArialMT" w:hAnsi="Arial" w:cs="Arial"/>
          <w:noProof/>
          <w:w w:val="85"/>
          <w:sz w:val="20"/>
          <w:szCs w:val="20"/>
          <w:lang w:val="de-CH" w:eastAsia="de-CH" w:bidi="ar-SA"/>
        </w:rPr>
        <w:drawing>
          <wp:inline distT="0" distB="0" distL="0" distR="0" wp14:anchorId="54DF3C9D" wp14:editId="32874A85">
            <wp:extent cx="1504315" cy="2392680"/>
            <wp:effectExtent l="0" t="0" r="0" b="0"/>
            <wp:docPr id="14" name="Bild 14" descr="Infection: a child's penis with fresh sutured cut and bad infec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p>
    <w:p w14:paraId="46822ED6" w14:textId="77777777" w:rsidR="00FD51FE" w:rsidRPr="00306025" w:rsidRDefault="00FD51FE" w:rsidP="00FD51FE">
      <w:pPr>
        <w:pStyle w:val="Textkrper"/>
        <w:jc w:val="center"/>
        <w:rPr>
          <w:rFonts w:ascii="Arial" w:eastAsia="Arial-BoldMT" w:hAnsi="Arial" w:cs="Arial"/>
          <w:b/>
          <w:bCs/>
          <w:w w:val="85"/>
          <w:sz w:val="20"/>
          <w:szCs w:val="20"/>
        </w:rPr>
      </w:pPr>
      <w:r w:rsidRPr="00306025">
        <w:rPr>
          <w:rFonts w:ascii="Arial" w:eastAsia="ArialMT" w:hAnsi="Arial" w:cs="Arial"/>
          <w:w w:val="85"/>
          <w:sz w:val="20"/>
          <w:szCs w:val="20"/>
        </w:rPr>
        <w:br w:type="page"/>
      </w:r>
      <w:r w:rsidRPr="00306025">
        <w:rPr>
          <w:rFonts w:ascii="Arial" w:eastAsia="ArialMT" w:hAnsi="Arial" w:cs="Arial"/>
          <w:noProof/>
          <w:w w:val="85"/>
          <w:sz w:val="20"/>
          <w:szCs w:val="20"/>
          <w:lang w:val="de-CH" w:eastAsia="de-CH" w:bidi="ar-SA"/>
        </w:rPr>
        <w:lastRenderedPageBreak/>
        <w:drawing>
          <wp:inline distT="0" distB="0" distL="0" distR="0" wp14:anchorId="1625C8CE" wp14:editId="0B8283BD">
            <wp:extent cx="3597910" cy="2068195"/>
            <wp:effectExtent l="0" t="0" r="0" b="0"/>
            <wp:docPr id="5" name="Bild 15" descr="Conclusions: Hypospadias surgery remains a surgical challenge. Long-term results are poorly reported. Psychological consequences poorly assessed. Informing parents is crucial: 50% of all hypospadias will require further surgical attention during their lif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97910" cy="2068195"/>
                    </a:xfrm>
                    <a:prstGeom prst="rect">
                      <a:avLst/>
                    </a:prstGeom>
                    <a:solidFill>
                      <a:srgbClr val="FFFFFF"/>
                    </a:solidFill>
                    <a:ln>
                      <a:noFill/>
                    </a:ln>
                  </pic:spPr>
                </pic:pic>
              </a:graphicData>
            </a:graphic>
          </wp:inline>
        </w:drawing>
      </w:r>
    </w:p>
    <w:p w14:paraId="0B4BAACD" w14:textId="77777777" w:rsidR="00FD51FE" w:rsidRPr="00F76145" w:rsidRDefault="00FD51FE" w:rsidP="00FD51FE">
      <w:pPr>
        <w:pStyle w:val="EinfacherAbsatz"/>
        <w:jc w:val="center"/>
        <w:rPr>
          <w:lang w:val="fr-CH"/>
        </w:rPr>
      </w:pPr>
      <w:r w:rsidRPr="00F76145">
        <w:rPr>
          <w:rFonts w:eastAsia="Arial-BoldMT" w:cs="Arial"/>
          <w:b/>
          <w:bCs/>
          <w:w w:val="85"/>
          <w:sz w:val="20"/>
          <w:szCs w:val="20"/>
          <w:lang w:val="fr-CH"/>
        </w:rPr>
        <w:t>Source:</w:t>
      </w:r>
      <w:r w:rsidRPr="00F76145">
        <w:rPr>
          <w:rFonts w:eastAsia="ArialMT" w:cs="Arial"/>
          <w:w w:val="85"/>
          <w:sz w:val="20"/>
          <w:szCs w:val="20"/>
          <w:lang w:val="fr-CH"/>
        </w:rPr>
        <w:t xml:space="preserve"> Pierre </w:t>
      </w:r>
      <w:proofErr w:type="spellStart"/>
      <w:r w:rsidRPr="00F76145">
        <w:rPr>
          <w:rFonts w:eastAsia="ArialMT" w:cs="Arial"/>
          <w:w w:val="85"/>
          <w:sz w:val="20"/>
          <w:szCs w:val="20"/>
          <w:lang w:val="fr-CH"/>
        </w:rPr>
        <w:t>Mouriquand</w:t>
      </w:r>
      <w:proofErr w:type="spellEnd"/>
      <w:r w:rsidRPr="00F76145">
        <w:rPr>
          <w:rFonts w:eastAsia="ArialMT" w:cs="Arial"/>
          <w:w w:val="85"/>
          <w:sz w:val="20"/>
          <w:szCs w:val="20"/>
          <w:lang w:val="fr-CH"/>
        </w:rPr>
        <w:t>: “</w:t>
      </w:r>
      <w:proofErr w:type="spellStart"/>
      <w:r w:rsidRPr="00F76145">
        <w:rPr>
          <w:rFonts w:eastAsia="ArialMT" w:cs="Arial"/>
          <w:w w:val="85"/>
          <w:sz w:val="20"/>
          <w:szCs w:val="20"/>
          <w:lang w:val="fr-CH"/>
        </w:rPr>
        <w:t>Surgery</w:t>
      </w:r>
      <w:proofErr w:type="spellEnd"/>
      <w:r w:rsidRPr="00F76145">
        <w:rPr>
          <w:rFonts w:eastAsia="ArialMT" w:cs="Arial"/>
          <w:w w:val="85"/>
          <w:sz w:val="20"/>
          <w:szCs w:val="20"/>
          <w:lang w:val="fr-CH"/>
        </w:rPr>
        <w:t xml:space="preserve"> of Hypospadias in 2006 - Techniques &amp; </w:t>
      </w:r>
      <w:proofErr w:type="spellStart"/>
      <w:r w:rsidRPr="00F76145">
        <w:rPr>
          <w:rFonts w:eastAsia="ArialMT" w:cs="Arial"/>
          <w:w w:val="85"/>
          <w:sz w:val="20"/>
          <w:szCs w:val="20"/>
          <w:lang w:val="fr-CH"/>
        </w:rPr>
        <w:t>outcomes</w:t>
      </w:r>
      <w:proofErr w:type="spellEnd"/>
      <w:r w:rsidRPr="00F76145">
        <w:rPr>
          <w:rFonts w:eastAsia="ArialMT" w:cs="Arial"/>
          <w:w w:val="85"/>
          <w:sz w:val="20"/>
          <w:szCs w:val="20"/>
          <w:lang w:val="fr-CH"/>
        </w:rPr>
        <w:t>”</w:t>
      </w:r>
    </w:p>
    <w:p w14:paraId="70E432E4" w14:textId="77777777" w:rsidR="00FD51FE" w:rsidRPr="00F76145" w:rsidRDefault="00FD51FE" w:rsidP="00FD51FE">
      <w:pPr>
        <w:pStyle w:val="Textkrper"/>
        <w:jc w:val="both"/>
        <w:rPr>
          <w:lang w:val="fr-CH"/>
        </w:rPr>
      </w:pPr>
    </w:p>
    <w:p w14:paraId="7D814C69" w14:textId="77777777" w:rsidR="00FD51FE" w:rsidRPr="00306025" w:rsidRDefault="00FD51FE" w:rsidP="00FD51FE">
      <w:pPr>
        <w:pStyle w:val="Title3"/>
      </w:pPr>
      <w:bookmarkStart w:id="92" w:name="_Toc453620775"/>
      <w:bookmarkStart w:id="93" w:name="_Toc37887071"/>
      <w:bookmarkStart w:id="94" w:name="_Toc48428244"/>
      <w:bookmarkStart w:id="95" w:name="_Toc48509371"/>
      <w:bookmarkStart w:id="96" w:name="_Toc64836475"/>
      <w:bookmarkStart w:id="97" w:name="_Toc141803648"/>
      <w:r w:rsidRPr="00306025">
        <w:t>IGM 2 – “Feminising Surgery”: “Clitoral Reduction”, “Vaginoplasty”</w:t>
      </w:r>
      <w:bookmarkEnd w:id="92"/>
      <w:bookmarkEnd w:id="93"/>
      <w:bookmarkEnd w:id="94"/>
      <w:bookmarkEnd w:id="95"/>
      <w:bookmarkEnd w:id="96"/>
      <w:bookmarkEnd w:id="97"/>
    </w:p>
    <w:p w14:paraId="645D5473" w14:textId="77777777" w:rsidR="00FD51FE" w:rsidRPr="00306025" w:rsidRDefault="00FD51FE" w:rsidP="00FD51FE">
      <w:pPr>
        <w:autoSpaceDE w:val="0"/>
        <w:spacing w:before="120" w:after="200" w:line="288" w:lineRule="auto"/>
        <w:jc w:val="both"/>
        <w:textAlignment w:val="center"/>
        <w:rPr>
          <w:rFonts w:ascii="Arial" w:eastAsia="Arial-BoldMT" w:hAnsi="Arial" w:cs="Arial"/>
          <w:b/>
          <w:bCs/>
          <w:color w:val="000000"/>
          <w:spacing w:val="2"/>
          <w:w w:val="90"/>
        </w:rPr>
      </w:pPr>
      <w:r w:rsidRPr="00306025">
        <w:rPr>
          <w:rFonts w:ascii="Arial" w:eastAsia="Arial-BoldMT" w:hAnsi="Arial" w:cs="Arial"/>
          <w:b/>
          <w:bCs/>
          <w:color w:val="000000"/>
          <w:spacing w:val="2"/>
          <w:w w:val="90"/>
        </w:rPr>
        <w:t>Partial amputation of clitoris, often in combination with surgically widening the vagina followed by painful dilation. “46</w:t>
      </w:r>
      <w:proofErr w:type="gramStart"/>
      <w:r w:rsidRPr="00306025">
        <w:rPr>
          <w:rFonts w:ascii="Arial" w:eastAsia="Arial-BoldMT" w:hAnsi="Arial" w:cs="Arial"/>
          <w:b/>
          <w:bCs/>
          <w:color w:val="000000"/>
          <w:spacing w:val="2"/>
          <w:w w:val="90"/>
        </w:rPr>
        <w:t>,XX</w:t>
      </w:r>
      <w:proofErr w:type="gramEnd"/>
      <w:r w:rsidRPr="00306025">
        <w:rPr>
          <w:rFonts w:ascii="Arial" w:eastAsia="Arial-BoldMT" w:hAnsi="Arial" w:cs="Arial"/>
          <w:b/>
          <w:bCs/>
          <w:color w:val="000000"/>
          <w:spacing w:val="2"/>
          <w:w w:val="90"/>
        </w:rPr>
        <w:t xml:space="preserve"> Congenital Adrenal Hyperplasia (CAH)” is arguably the second most prevalent diagnosis for cosmetic genital surgeries, and the most common for this type (further diagnoses include “46,XY Partial Androgen Insufficiency Syndrome (PAIS)” and “46,XY Leydig Cell Hypoplasia”).</w:t>
      </w:r>
    </w:p>
    <w:p w14:paraId="6B7DA6CD" w14:textId="77777777" w:rsidR="00FD51FE" w:rsidRPr="00306025" w:rsidRDefault="00FD51FE" w:rsidP="00FD51FE">
      <w:pPr>
        <w:autoSpaceDE w:val="0"/>
        <w:spacing w:before="120" w:after="200" w:line="288" w:lineRule="auto"/>
        <w:jc w:val="both"/>
        <w:textAlignment w:val="center"/>
      </w:pPr>
      <w:r w:rsidRPr="00306025">
        <w:rPr>
          <w:rFonts w:ascii="Arial" w:eastAsia="Arial-BoldMT" w:hAnsi="Arial" w:cs="Arial"/>
          <w:b/>
          <w:bCs/>
          <w:color w:val="000000"/>
          <w:spacing w:val="2"/>
          <w:w w:val="90"/>
        </w:rPr>
        <w:t xml:space="preserve">Despite numerous findings of impairment and loss of sexual sensation caused by these cosmetic surgeries, and lacking evidence for benefit for survivors, current guidelines nonetheless advise surgeries </w:t>
      </w:r>
      <w:r w:rsidRPr="00306025">
        <w:rPr>
          <w:rFonts w:ascii="Arial" w:eastAsia="Arial-BoldMT" w:hAnsi="Arial" w:cs="Arial"/>
          <w:b/>
          <w:bCs/>
          <w:i/>
          <w:color w:val="000000"/>
          <w:spacing w:val="2"/>
          <w:w w:val="90"/>
        </w:rPr>
        <w:t>“in the first 2 years of life”,</w:t>
      </w:r>
      <w:r w:rsidRPr="00306025">
        <w:rPr>
          <w:rFonts w:ascii="Arial" w:eastAsia="Arial-BoldMT" w:hAnsi="Arial" w:cs="Arial"/>
          <w:b/>
          <w:bCs/>
          <w:color w:val="000000"/>
          <w:spacing w:val="2"/>
          <w:w w:val="90"/>
        </w:rPr>
        <w:t xml:space="preserve"> most commonly </w:t>
      </w:r>
      <w:r w:rsidRPr="00306025">
        <w:rPr>
          <w:rFonts w:ascii="Arial" w:eastAsia="Arial-BoldMT" w:hAnsi="Arial" w:cs="Arial"/>
          <w:b/>
          <w:bCs/>
          <w:i/>
          <w:color w:val="000000"/>
          <w:spacing w:val="2"/>
          <w:w w:val="90"/>
        </w:rPr>
        <w:t xml:space="preserve">“between 6 and 12 months,” </w:t>
      </w:r>
      <w:r w:rsidRPr="00306025">
        <w:rPr>
          <w:rFonts w:ascii="Arial" w:eastAsia="Arial-BoldMT" w:hAnsi="Arial" w:cs="Arial"/>
          <w:b/>
          <w:bCs/>
          <w:color w:val="000000"/>
          <w:spacing w:val="2"/>
          <w:w w:val="90"/>
        </w:rPr>
        <w:t>and only 10.5% of surgeons recommend letting the persons concerned decide themselves later.</w:t>
      </w:r>
    </w:p>
    <w:p w14:paraId="4E74FD4F" w14:textId="77777777" w:rsidR="00FD51FE" w:rsidRPr="00306025" w:rsidRDefault="00FD51FE" w:rsidP="00FD51FE">
      <w:pPr>
        <w:autoSpaceDE w:val="0"/>
        <w:spacing w:line="288" w:lineRule="auto"/>
        <w:jc w:val="center"/>
        <w:textAlignment w:val="center"/>
        <w:rPr>
          <w:rFonts w:ascii="Arial" w:eastAsia="HelveticaNeue-Bold" w:hAnsi="Arial" w:cs="Arial"/>
          <w:b/>
          <w:bCs/>
          <w:color w:val="000000"/>
          <w:spacing w:val="4"/>
          <w:w w:val="85"/>
          <w:sz w:val="20"/>
          <w:szCs w:val="20"/>
        </w:rPr>
      </w:pPr>
      <w:r w:rsidRPr="00306025">
        <w:rPr>
          <w:rFonts w:ascii="Arial" w:eastAsia="HelveticaNeue-Bold" w:hAnsi="Arial" w:cs="Arial"/>
          <w:b/>
          <w:noProof/>
          <w:color w:val="000000"/>
          <w:spacing w:val="4"/>
          <w:w w:val="85"/>
          <w:sz w:val="20"/>
          <w:szCs w:val="20"/>
          <w:lang w:val="de-CH" w:eastAsia="de-CH" w:bidi="ar-SA"/>
        </w:rPr>
        <w:drawing>
          <wp:inline distT="0" distB="0" distL="0" distR="0" wp14:anchorId="74DBFED9" wp14:editId="36CCC50A">
            <wp:extent cx="2623820" cy="2051050"/>
            <wp:effectExtent l="0" t="0" r="0" b="0"/>
            <wp:docPr id="8" name="Bild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23820" cy="2051050"/>
                    </a:xfrm>
                    <a:prstGeom prst="rect">
                      <a:avLst/>
                    </a:prstGeom>
                    <a:solidFill>
                      <a:srgbClr val="FFFFFF"/>
                    </a:solidFill>
                    <a:ln>
                      <a:noFill/>
                    </a:ln>
                  </pic:spPr>
                </pic:pic>
              </a:graphicData>
            </a:graphic>
          </wp:inline>
        </w:drawing>
      </w:r>
      <w:r w:rsidRPr="00306025">
        <w:rPr>
          <w:rFonts w:ascii="Arial" w:eastAsia="HelveticaNeue-Bold" w:hAnsi="Arial" w:cs="Arial"/>
          <w:b/>
          <w:noProof/>
          <w:color w:val="000000"/>
          <w:spacing w:val="4"/>
          <w:w w:val="85"/>
          <w:sz w:val="20"/>
          <w:szCs w:val="20"/>
          <w:lang w:val="de-CH" w:eastAsia="de-CH" w:bidi="ar-SA"/>
        </w:rPr>
        <w:drawing>
          <wp:inline distT="0" distB="0" distL="0" distR="0" wp14:anchorId="68AFF45C" wp14:editId="413E648F">
            <wp:extent cx="2452370" cy="2298700"/>
            <wp:effectExtent l="0" t="0" r="0" b="0"/>
            <wp:docPr id="17" name="Bild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2370" cy="2298700"/>
                    </a:xfrm>
                    <a:prstGeom prst="rect">
                      <a:avLst/>
                    </a:prstGeom>
                    <a:solidFill>
                      <a:srgbClr val="FFFFFF"/>
                    </a:solidFill>
                    <a:ln>
                      <a:noFill/>
                    </a:ln>
                  </pic:spPr>
                </pic:pic>
              </a:graphicData>
            </a:graphic>
          </wp:inline>
        </w:drawing>
      </w:r>
    </w:p>
    <w:p w14:paraId="79269CD5" w14:textId="77777777" w:rsidR="00FD51FE" w:rsidRPr="00F76145" w:rsidRDefault="00FD51FE" w:rsidP="00FD51FE">
      <w:pPr>
        <w:autoSpaceDE w:val="0"/>
        <w:spacing w:line="288" w:lineRule="auto"/>
        <w:jc w:val="center"/>
        <w:textAlignment w:val="center"/>
        <w:rPr>
          <w:rFonts w:ascii="Arial" w:eastAsia="HelveticaNeue" w:hAnsi="Arial" w:cs="Arial"/>
          <w:color w:val="000000"/>
          <w:spacing w:val="4"/>
          <w:w w:val="85"/>
          <w:sz w:val="20"/>
          <w:szCs w:val="20"/>
          <w:lang w:val="de-CH"/>
        </w:rPr>
      </w:pPr>
      <w:r w:rsidRPr="00F76145">
        <w:rPr>
          <w:rFonts w:ascii="Arial" w:eastAsia="HelveticaNeue-Bold" w:hAnsi="Arial" w:cs="Arial"/>
          <w:b/>
          <w:bCs/>
          <w:color w:val="000000"/>
          <w:spacing w:val="4"/>
          <w:w w:val="85"/>
          <w:sz w:val="20"/>
          <w:szCs w:val="20"/>
          <w:lang w:val="de-CH"/>
        </w:rPr>
        <w:t>Source:</w:t>
      </w:r>
      <w:r w:rsidRPr="00F76145">
        <w:rPr>
          <w:rFonts w:ascii="Arial" w:eastAsia="HelveticaNeue" w:hAnsi="Arial" w:cs="Arial"/>
          <w:color w:val="000000"/>
          <w:spacing w:val="4"/>
          <w:w w:val="85"/>
          <w:sz w:val="20"/>
          <w:szCs w:val="20"/>
          <w:lang w:val="de-CH"/>
        </w:rPr>
        <w:t xml:space="preserve"> Christian </w:t>
      </w:r>
      <w:proofErr w:type="spellStart"/>
      <w:r w:rsidRPr="00F76145">
        <w:rPr>
          <w:rFonts w:ascii="Arial" w:eastAsia="HelveticaNeue" w:hAnsi="Arial" w:cs="Arial"/>
          <w:color w:val="000000"/>
          <w:spacing w:val="4"/>
          <w:w w:val="85"/>
          <w:sz w:val="20"/>
          <w:szCs w:val="20"/>
          <w:lang w:val="de-CH"/>
        </w:rPr>
        <w:t>Radmayr</w:t>
      </w:r>
      <w:proofErr w:type="spellEnd"/>
      <w:r w:rsidRPr="00F76145">
        <w:rPr>
          <w:rFonts w:ascii="Arial" w:eastAsia="HelveticaNeue" w:hAnsi="Arial" w:cs="Arial"/>
          <w:color w:val="000000"/>
          <w:spacing w:val="4"/>
          <w:w w:val="85"/>
          <w:sz w:val="20"/>
          <w:szCs w:val="20"/>
          <w:lang w:val="de-CH"/>
        </w:rPr>
        <w:t xml:space="preserve">: </w:t>
      </w:r>
      <w:r w:rsidRPr="00F76145">
        <w:rPr>
          <w:rFonts w:ascii="Arial" w:eastAsia="HelveticaNeue-Italic" w:hAnsi="Arial" w:cs="Arial"/>
          <w:i/>
          <w:iCs/>
          <w:color w:val="000000"/>
          <w:spacing w:val="4"/>
          <w:w w:val="85"/>
          <w:sz w:val="20"/>
          <w:szCs w:val="20"/>
          <w:lang w:val="de-CH"/>
        </w:rPr>
        <w:t>Molekulare Grundlagen und Diagnostik des Intersex</w:t>
      </w:r>
      <w:r w:rsidRPr="00F76145">
        <w:rPr>
          <w:rFonts w:ascii="Arial" w:eastAsia="HelveticaNeue" w:hAnsi="Arial" w:cs="Arial"/>
          <w:color w:val="000000"/>
          <w:spacing w:val="4"/>
          <w:w w:val="85"/>
          <w:sz w:val="20"/>
          <w:szCs w:val="20"/>
          <w:lang w:val="de-CH"/>
        </w:rPr>
        <w:t>, 2004</w:t>
      </w:r>
    </w:p>
    <w:p w14:paraId="595B8F1D"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F76145">
        <w:rPr>
          <w:rFonts w:ascii="Arial" w:eastAsia="HelveticaNeue" w:hAnsi="Arial" w:cs="Arial"/>
          <w:color w:val="000000"/>
          <w:spacing w:val="4"/>
          <w:w w:val="85"/>
          <w:sz w:val="20"/>
          <w:szCs w:val="20"/>
          <w:lang w:val="de-CH"/>
        </w:rPr>
        <w:br w:type="page"/>
      </w:r>
      <w:r w:rsidRPr="00306025">
        <w:rPr>
          <w:rFonts w:ascii="Arial" w:eastAsia="Times-Roman" w:hAnsi="Arial" w:cs="Arial"/>
          <w:noProof/>
          <w:color w:val="000000"/>
          <w:sz w:val="32"/>
          <w:szCs w:val="32"/>
          <w:lang w:val="de-CH" w:eastAsia="de-CH" w:bidi="ar-SA"/>
        </w:rPr>
        <w:lastRenderedPageBreak/>
        <w:drawing>
          <wp:inline distT="0" distB="0" distL="0" distR="0" wp14:anchorId="11A49473" wp14:editId="71DFB2BA">
            <wp:extent cx="3597910" cy="6161405"/>
            <wp:effectExtent l="0" t="0" r="0" b="0"/>
            <wp:docPr id="27" name="Bild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7910" cy="6161405"/>
                    </a:xfrm>
                    <a:prstGeom prst="rect">
                      <a:avLst/>
                    </a:prstGeom>
                    <a:solidFill>
                      <a:srgbClr val="FFFFFF"/>
                    </a:solidFill>
                    <a:ln>
                      <a:noFill/>
                    </a:ln>
                  </pic:spPr>
                </pic:pic>
              </a:graphicData>
            </a:graphic>
          </wp:inline>
        </w:drawing>
      </w:r>
    </w:p>
    <w:p w14:paraId="288E2F91" w14:textId="77777777" w:rsidR="00FD51FE" w:rsidRPr="00F76145" w:rsidRDefault="00FD51FE" w:rsidP="00FD51FE">
      <w:pPr>
        <w:autoSpaceDE w:val="0"/>
        <w:spacing w:line="288" w:lineRule="auto"/>
        <w:jc w:val="center"/>
        <w:textAlignment w:val="center"/>
        <w:rPr>
          <w:rFonts w:ascii="Arial" w:eastAsia="ArialMT" w:hAnsi="Arial" w:cs="Arial"/>
          <w:color w:val="000000"/>
          <w:spacing w:val="4"/>
          <w:w w:val="85"/>
          <w:sz w:val="20"/>
          <w:szCs w:val="20"/>
          <w:lang w:val="de-CH"/>
        </w:rPr>
      </w:pPr>
      <w:r w:rsidRPr="00F76145">
        <w:rPr>
          <w:rFonts w:ascii="Arial" w:eastAsia="Arial-BoldMT" w:hAnsi="Arial" w:cs="Arial"/>
          <w:b/>
          <w:bCs/>
          <w:color w:val="000000"/>
          <w:spacing w:val="4"/>
          <w:w w:val="85"/>
          <w:sz w:val="20"/>
          <w:szCs w:val="20"/>
          <w:lang w:val="de-CH"/>
        </w:rPr>
        <w:t>Source:</w:t>
      </w:r>
      <w:r w:rsidRPr="00F76145">
        <w:rPr>
          <w:rFonts w:ascii="Arial" w:eastAsia="ArialMT" w:hAnsi="Arial" w:cs="Arial"/>
          <w:color w:val="000000"/>
          <w:spacing w:val="4"/>
          <w:w w:val="85"/>
          <w:sz w:val="20"/>
          <w:szCs w:val="20"/>
          <w:lang w:val="de-CH"/>
        </w:rPr>
        <w:t xml:space="preserve"> Finke/Höhne: </w:t>
      </w:r>
      <w:r w:rsidRPr="00F76145">
        <w:rPr>
          <w:rFonts w:ascii="Arial" w:eastAsia="Arial-ItalicMT" w:hAnsi="Arial" w:cs="Arial"/>
          <w:i/>
          <w:iCs/>
          <w:color w:val="000000"/>
          <w:spacing w:val="4"/>
          <w:w w:val="85"/>
          <w:sz w:val="20"/>
          <w:szCs w:val="20"/>
          <w:lang w:val="de-CH"/>
        </w:rPr>
        <w:t>Intersexualität bei Kindern</w:t>
      </w:r>
      <w:r w:rsidRPr="00F76145">
        <w:rPr>
          <w:rFonts w:ascii="Arial" w:eastAsia="ArialMT" w:hAnsi="Arial" w:cs="Arial"/>
          <w:color w:val="000000"/>
          <w:spacing w:val="4"/>
          <w:w w:val="85"/>
          <w:sz w:val="20"/>
          <w:szCs w:val="20"/>
          <w:lang w:val="de-CH"/>
        </w:rPr>
        <w:t>, 2008</w:t>
      </w:r>
    </w:p>
    <w:p w14:paraId="71C393F5" w14:textId="77777777" w:rsidR="00FD51FE" w:rsidRPr="00306025" w:rsidRDefault="00FD51FE" w:rsidP="00FD51FE">
      <w:pPr>
        <w:autoSpaceDE w:val="0"/>
        <w:spacing w:line="288" w:lineRule="auto"/>
        <w:jc w:val="center"/>
        <w:textAlignment w:val="center"/>
      </w:pPr>
      <w:r w:rsidRPr="00306025">
        <w:rPr>
          <w:rFonts w:ascii="Arial" w:eastAsia="ArialMT" w:hAnsi="Arial" w:cs="Arial"/>
          <w:color w:val="000000"/>
          <w:spacing w:val="4"/>
          <w:w w:val="85"/>
          <w:sz w:val="20"/>
          <w:szCs w:val="20"/>
        </w:rPr>
        <w:t xml:space="preserve">Caption 8b: </w:t>
      </w:r>
      <w:r w:rsidRPr="00306025">
        <w:rPr>
          <w:rFonts w:ascii="Arial" w:eastAsia="Arial-BoldItalicMT" w:hAnsi="Arial" w:cs="Arial"/>
          <w:b/>
          <w:bCs/>
          <w:i/>
          <w:iCs/>
          <w:color w:val="000000"/>
          <w:spacing w:val="4"/>
          <w:w w:val="85"/>
          <w:sz w:val="20"/>
          <w:szCs w:val="20"/>
        </w:rPr>
        <w:t xml:space="preserve">“Material shortage” [of skin] while reconstructing the </w:t>
      </w:r>
      <w:proofErr w:type="spellStart"/>
      <w:r w:rsidRPr="00306025">
        <w:rPr>
          <w:rFonts w:ascii="Arial" w:eastAsia="Arial-BoldItalicMT" w:hAnsi="Arial" w:cs="Arial"/>
          <w:b/>
          <w:bCs/>
          <w:i/>
          <w:iCs/>
          <w:color w:val="000000"/>
          <w:spacing w:val="4"/>
          <w:w w:val="85"/>
          <w:sz w:val="20"/>
          <w:szCs w:val="20"/>
        </w:rPr>
        <w:t>praeputium</w:t>
      </w:r>
      <w:proofErr w:type="spellEnd"/>
      <w:r w:rsidRPr="00306025">
        <w:rPr>
          <w:rFonts w:ascii="Arial" w:eastAsia="Arial-BoldItalicMT" w:hAnsi="Arial" w:cs="Arial"/>
          <w:b/>
          <w:bCs/>
          <w:i/>
          <w:iCs/>
          <w:color w:val="000000"/>
          <w:spacing w:val="4"/>
          <w:w w:val="85"/>
          <w:sz w:val="20"/>
          <w:szCs w:val="20"/>
        </w:rPr>
        <w:t xml:space="preserve"> </w:t>
      </w:r>
      <w:proofErr w:type="spellStart"/>
      <w:r w:rsidRPr="00306025">
        <w:rPr>
          <w:rFonts w:ascii="Arial" w:eastAsia="Arial-BoldItalicMT" w:hAnsi="Arial" w:cs="Arial"/>
          <w:b/>
          <w:bCs/>
          <w:i/>
          <w:iCs/>
          <w:color w:val="000000"/>
          <w:spacing w:val="4"/>
          <w:w w:val="85"/>
          <w:sz w:val="20"/>
          <w:szCs w:val="20"/>
        </w:rPr>
        <w:t>clitoridis</w:t>
      </w:r>
      <w:proofErr w:type="spellEnd"/>
      <w:r w:rsidRPr="00306025">
        <w:rPr>
          <w:rFonts w:ascii="Arial" w:eastAsia="Arial-BoldItalicMT" w:hAnsi="Arial" w:cs="Arial"/>
          <w:b/>
          <w:bCs/>
          <w:i/>
          <w:iCs/>
          <w:color w:val="000000"/>
          <w:spacing w:val="4"/>
          <w:w w:val="85"/>
          <w:sz w:val="20"/>
          <w:szCs w:val="20"/>
        </w:rPr>
        <w:t xml:space="preserve"> and the inner labia.</w:t>
      </w:r>
    </w:p>
    <w:p w14:paraId="77100660"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pacing w:val="4"/>
          <w:w w:val="85"/>
          <w:sz w:val="20"/>
          <w:szCs w:val="20"/>
          <w:lang w:val="de-CH" w:eastAsia="de-CH" w:bidi="ar-SA"/>
        </w:rPr>
        <w:drawing>
          <wp:inline distT="0" distB="0" distL="0" distR="0" wp14:anchorId="2DD87731" wp14:editId="646162BF">
            <wp:extent cx="2871470" cy="2315845"/>
            <wp:effectExtent l="0" t="0" r="0" b="0"/>
            <wp:docPr id="28" name="Bild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1470" cy="2315845"/>
                    </a:xfrm>
                    <a:prstGeom prst="rect">
                      <a:avLst/>
                    </a:prstGeom>
                    <a:solidFill>
                      <a:srgbClr val="FFFFFF"/>
                    </a:solidFill>
                    <a:ln>
                      <a:noFill/>
                    </a:ln>
                  </pic:spPr>
                </pic:pic>
              </a:graphicData>
            </a:graphic>
          </wp:inline>
        </w:drawing>
      </w:r>
    </w:p>
    <w:p w14:paraId="3CD19220" w14:textId="77777777" w:rsidR="00FD51FE" w:rsidRPr="00F76145" w:rsidRDefault="00FD51FE" w:rsidP="00FD51FE">
      <w:pPr>
        <w:autoSpaceDE w:val="0"/>
        <w:spacing w:line="288" w:lineRule="auto"/>
        <w:jc w:val="center"/>
        <w:textAlignment w:val="center"/>
        <w:rPr>
          <w:rFonts w:ascii="Arial" w:eastAsia="Arial-BoldMT" w:hAnsi="Arial" w:cs="Arial"/>
          <w:b/>
          <w:bCs/>
          <w:color w:val="000000"/>
          <w:spacing w:val="2"/>
          <w:w w:val="90"/>
          <w:lang w:val="fr-CH"/>
        </w:rPr>
      </w:pPr>
      <w:r w:rsidRPr="00F76145">
        <w:rPr>
          <w:rFonts w:ascii="Arial" w:eastAsia="Arial-BoldMT" w:hAnsi="Arial" w:cs="Arial"/>
          <w:b/>
          <w:bCs/>
          <w:color w:val="000000"/>
          <w:spacing w:val="4"/>
          <w:w w:val="85"/>
          <w:sz w:val="20"/>
          <w:szCs w:val="20"/>
          <w:lang w:val="fr-CH"/>
        </w:rPr>
        <w:t>Source:</w:t>
      </w:r>
      <w:r w:rsidRPr="00F76145">
        <w:rPr>
          <w:rFonts w:ascii="Arial" w:eastAsia="ArialMT" w:hAnsi="Arial" w:cs="Arial"/>
          <w:color w:val="000000"/>
          <w:spacing w:val="4"/>
          <w:w w:val="85"/>
          <w:sz w:val="20"/>
          <w:szCs w:val="20"/>
          <w:lang w:val="fr-CH"/>
        </w:rPr>
        <w:t xml:space="preserve"> Pierre </w:t>
      </w:r>
      <w:proofErr w:type="spellStart"/>
      <w:r w:rsidRPr="00F76145">
        <w:rPr>
          <w:rFonts w:ascii="Arial" w:eastAsia="ArialMT" w:hAnsi="Arial" w:cs="Arial"/>
          <w:color w:val="000000"/>
          <w:spacing w:val="4"/>
          <w:w w:val="85"/>
          <w:sz w:val="20"/>
          <w:szCs w:val="20"/>
          <w:lang w:val="fr-CH"/>
        </w:rPr>
        <w:t>Mouriquand</w:t>
      </w:r>
      <w:proofErr w:type="spellEnd"/>
      <w:r w:rsidRPr="00F76145">
        <w:rPr>
          <w:rFonts w:ascii="Arial" w:eastAsia="ArialMT" w:hAnsi="Arial" w:cs="Arial"/>
          <w:color w:val="000000"/>
          <w:spacing w:val="4"/>
          <w:w w:val="85"/>
          <w:sz w:val="20"/>
          <w:szCs w:val="20"/>
          <w:lang w:val="fr-CH"/>
        </w:rPr>
        <w:t>: “Chirurgie des anomalies du développement sexuel - 2007”, at 81: “</w:t>
      </w:r>
      <w:proofErr w:type="spellStart"/>
      <w:r w:rsidRPr="00F76145">
        <w:rPr>
          <w:rFonts w:ascii="Arial" w:eastAsia="ArialMT" w:hAnsi="Arial" w:cs="Arial"/>
          <w:color w:val="000000"/>
          <w:spacing w:val="4"/>
          <w:w w:val="85"/>
          <w:sz w:val="20"/>
          <w:szCs w:val="20"/>
          <w:lang w:val="fr-CH"/>
        </w:rPr>
        <w:t>Labioplastie</w:t>
      </w:r>
      <w:proofErr w:type="spellEnd"/>
      <w:r w:rsidRPr="00F76145">
        <w:rPr>
          <w:rFonts w:ascii="Arial" w:eastAsia="ArialMT" w:hAnsi="Arial" w:cs="Arial"/>
          <w:color w:val="000000"/>
          <w:spacing w:val="4"/>
          <w:w w:val="85"/>
          <w:sz w:val="20"/>
          <w:szCs w:val="20"/>
          <w:lang w:val="fr-CH"/>
        </w:rPr>
        <w:t>”</w:t>
      </w:r>
    </w:p>
    <w:p w14:paraId="4EDFBC34" w14:textId="77777777" w:rsidR="00FD51FE" w:rsidRPr="00306025" w:rsidRDefault="00FD51FE" w:rsidP="00FD51FE">
      <w:pPr>
        <w:pStyle w:val="Title3"/>
        <w:rPr>
          <w:rFonts w:eastAsia="Arial-BoldMT"/>
          <w:w w:val="90"/>
        </w:rPr>
      </w:pPr>
      <w:r w:rsidRPr="00DA20F1">
        <w:rPr>
          <w:i/>
          <w:lang w:val="en-US"/>
        </w:rPr>
        <w:br w:type="page"/>
      </w:r>
      <w:bookmarkStart w:id="98" w:name="_Toc453620776"/>
      <w:bookmarkStart w:id="99" w:name="_Toc37887072"/>
      <w:bookmarkStart w:id="100" w:name="_Toc48428245"/>
      <w:bookmarkStart w:id="101" w:name="_Toc48509372"/>
      <w:bookmarkStart w:id="102" w:name="_Toc64836476"/>
      <w:bookmarkStart w:id="103" w:name="_Toc141803649"/>
      <w:r w:rsidRPr="00306025">
        <w:lastRenderedPageBreak/>
        <w:t>IGM 3 – Sterilising Surgery: Castration / “Gonadectomy” / Hysterectomy</w:t>
      </w:r>
      <w:bookmarkEnd w:id="98"/>
      <w:bookmarkEnd w:id="99"/>
      <w:bookmarkEnd w:id="100"/>
      <w:bookmarkEnd w:id="101"/>
      <w:bookmarkEnd w:id="102"/>
      <w:bookmarkEnd w:id="103"/>
    </w:p>
    <w:p w14:paraId="7843E3EA" w14:textId="77777777" w:rsidR="00FD51FE" w:rsidRPr="00306025" w:rsidRDefault="00FD51FE" w:rsidP="00FD51FE">
      <w:pPr>
        <w:autoSpaceDE w:val="0"/>
        <w:spacing w:before="120" w:after="200" w:line="288" w:lineRule="auto"/>
        <w:jc w:val="both"/>
        <w:textAlignment w:val="center"/>
        <w:rPr>
          <w:rFonts w:ascii="Arial" w:eastAsia="Arial-BoldMT" w:hAnsi="Arial" w:cs="Arial"/>
          <w:b/>
          <w:bCs/>
          <w:color w:val="000000"/>
          <w:spacing w:val="2"/>
          <w:w w:val="90"/>
        </w:rPr>
      </w:pPr>
      <w:r w:rsidRPr="00306025">
        <w:rPr>
          <w:rFonts w:ascii="Arial" w:eastAsia="Arial-BoldMT" w:hAnsi="Arial" w:cs="Arial"/>
          <w:b/>
          <w:bCs/>
          <w:color w:val="000000"/>
          <w:spacing w:val="2"/>
          <w:w w:val="90"/>
        </w:rPr>
        <w:t>Removal of healthy testicles, ovaries, or ovotestes, and other potentially fertile reproductive organs. “46,XY Complete Androgen Insufficiency Syndrome (CAIS)” is arguably the 3rd most common diagnosis for cosmetic genital surgeries, other diagnoses include “46,XY Partial Androgen Insufficiency Syndrome (PAIS)”, male-assigned persons with “46,XX Congenital Adrenal Hyperplasia (CAH)”, and other male assigned persons, who have their healthy ovaries and/or uteruses removed.</w:t>
      </w:r>
    </w:p>
    <w:p w14:paraId="5F8B7DB8" w14:textId="77777777" w:rsidR="00FD51FE" w:rsidRPr="00306025" w:rsidRDefault="00FD51FE" w:rsidP="00FD51FE">
      <w:pPr>
        <w:autoSpaceDE w:val="0"/>
        <w:spacing w:before="120" w:after="200" w:line="288" w:lineRule="auto"/>
        <w:jc w:val="both"/>
        <w:textAlignment w:val="center"/>
        <w:rPr>
          <w:rFonts w:ascii="Arial" w:eastAsia="Arial-BoldMT" w:hAnsi="Arial" w:cs="Arial"/>
          <w:b/>
          <w:bCs/>
          <w:color w:val="000000"/>
          <w:spacing w:val="2"/>
          <w:w w:val="90"/>
        </w:rPr>
      </w:pPr>
      <w:r w:rsidRPr="00306025">
        <w:rPr>
          <w:rFonts w:ascii="Arial" w:eastAsia="Arial-BoldMT" w:hAnsi="Arial" w:cs="Arial"/>
          <w:b/>
          <w:bCs/>
          <w:color w:val="000000"/>
          <w:spacing w:val="2"/>
          <w:w w:val="90"/>
        </w:rPr>
        <w:t xml:space="preserve">Castrations usually take place under the pretext of an allegedly blanket high risk of cancer, despite that an actual high risk which would justify immediate removal is only present in specific cases (see table below), and the admitted true reason is “better manageability.” Contrary to </w:t>
      </w:r>
      <w:proofErr w:type="gramStart"/>
      <w:r w:rsidRPr="00306025">
        <w:rPr>
          <w:rFonts w:ascii="Arial" w:eastAsia="Arial-BoldMT" w:hAnsi="Arial" w:cs="Arial"/>
          <w:b/>
          <w:bCs/>
          <w:color w:val="000000"/>
          <w:spacing w:val="2"/>
          <w:w w:val="90"/>
        </w:rPr>
        <w:t>doctors</w:t>
      </w:r>
      <w:proofErr w:type="gramEnd"/>
      <w:r w:rsidRPr="00306025">
        <w:rPr>
          <w:rFonts w:ascii="Arial" w:eastAsia="Arial-BoldMT" w:hAnsi="Arial" w:cs="Arial"/>
          <w:b/>
          <w:bCs/>
          <w:color w:val="000000"/>
          <w:spacing w:val="2"/>
          <w:w w:val="90"/>
        </w:rPr>
        <w:t xml:space="preserve"> claims, it is known that the gonads by themselves are usually healthy and </w:t>
      </w:r>
      <w:r w:rsidRPr="00306025">
        <w:rPr>
          <w:rFonts w:ascii="Arial" w:eastAsia="Arial-BoldMT" w:hAnsi="Arial" w:cs="Arial"/>
          <w:b/>
          <w:bCs/>
          <w:i/>
          <w:color w:val="000000"/>
          <w:spacing w:val="2"/>
          <w:w w:val="90"/>
        </w:rPr>
        <w:t>“effective”</w:t>
      </w:r>
      <w:r w:rsidRPr="00306025">
        <w:rPr>
          <w:rFonts w:ascii="Arial" w:eastAsia="Arial-BoldMT" w:hAnsi="Arial" w:cs="Arial"/>
          <w:b/>
          <w:bCs/>
          <w:color w:val="000000"/>
          <w:spacing w:val="2"/>
          <w:w w:val="90"/>
        </w:rPr>
        <w:t xml:space="preserve"> hormone-producing organs, often with </w:t>
      </w:r>
      <w:r w:rsidRPr="00306025">
        <w:rPr>
          <w:rFonts w:ascii="Arial" w:eastAsia="Arial-BoldMT" w:hAnsi="Arial" w:cs="Arial"/>
          <w:b/>
          <w:bCs/>
          <w:i/>
          <w:color w:val="000000"/>
          <w:spacing w:val="2"/>
          <w:w w:val="90"/>
        </w:rPr>
        <w:t>“complete spermatogenesis [...] suitable for cryopreservation.”</w:t>
      </w:r>
    </w:p>
    <w:p w14:paraId="0562E379" w14:textId="77777777" w:rsidR="00FD51FE" w:rsidRPr="00306025" w:rsidRDefault="00FD51FE" w:rsidP="00FD51FE">
      <w:pPr>
        <w:autoSpaceDE w:val="0"/>
        <w:spacing w:before="120" w:after="200" w:line="288" w:lineRule="auto"/>
        <w:jc w:val="both"/>
        <w:textAlignment w:val="center"/>
      </w:pPr>
      <w:r w:rsidRPr="00306025">
        <w:rPr>
          <w:rFonts w:ascii="Arial" w:eastAsia="Arial-BoldMT" w:hAnsi="Arial" w:cs="Arial"/>
          <w:b/>
          <w:bCs/>
          <w:color w:val="000000"/>
          <w:spacing w:val="2"/>
          <w:w w:val="90"/>
        </w:rPr>
        <w:t>Nonetheless, clinicians still continue to recommend and perform early gonadectomies – despite all the known negative effects of castration, including depression, obesity, serious metabolic and circulatory troubles, osteoporosis, reduction of cognitive abilities, loss of libido. Plus a resulting lifelong dependency on artificial hormones (with adequate hormones often not covered by health insurance, but to be paid by the survivors out of their own purse).</w:t>
      </w:r>
    </w:p>
    <w:p w14:paraId="3DBD5473"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val="de-CH" w:eastAsia="de-CH" w:bidi="ar-SA"/>
        </w:rPr>
        <w:drawing>
          <wp:inline distT="0" distB="0" distL="0" distR="0" wp14:anchorId="07163253" wp14:editId="79955412">
            <wp:extent cx="2871470" cy="3034030"/>
            <wp:effectExtent l="0" t="0" r="0" b="0"/>
            <wp:docPr id="29" name="Bild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71470" cy="3034030"/>
                    </a:xfrm>
                    <a:prstGeom prst="rect">
                      <a:avLst/>
                    </a:prstGeom>
                    <a:solidFill>
                      <a:srgbClr val="FFFFFF"/>
                    </a:solidFill>
                    <a:ln>
                      <a:noFill/>
                    </a:ln>
                  </pic:spPr>
                </pic:pic>
              </a:graphicData>
            </a:graphic>
          </wp:inline>
        </w:drawing>
      </w:r>
    </w:p>
    <w:p w14:paraId="235DA229" w14:textId="77777777" w:rsidR="00FD51FE" w:rsidRPr="00306025" w:rsidRDefault="00FD51FE" w:rsidP="00FD51FE">
      <w:pPr>
        <w:autoSpaceDE w:val="0"/>
        <w:spacing w:line="288" w:lineRule="auto"/>
        <w:jc w:val="center"/>
        <w:textAlignment w:val="center"/>
        <w:rPr>
          <w:rFonts w:ascii="Arial" w:eastAsia="Arial-ItalicMT" w:hAnsi="Arial" w:cs="Arial"/>
          <w:i/>
          <w:iCs/>
          <w:color w:val="000000"/>
          <w:spacing w:val="4"/>
          <w:w w:val="85"/>
          <w:sz w:val="20"/>
          <w:szCs w:val="20"/>
        </w:rPr>
      </w:pPr>
      <w:r w:rsidRPr="00306025">
        <w:rPr>
          <w:rFonts w:ascii="Arial" w:eastAsia="Arial-BoldMT" w:hAnsi="Arial" w:cs="Arial"/>
          <w:b/>
          <w:bCs/>
          <w:color w:val="000000"/>
          <w:spacing w:val="4"/>
          <w:w w:val="85"/>
          <w:sz w:val="20"/>
          <w:szCs w:val="20"/>
        </w:rPr>
        <w:t>Source:</w:t>
      </w:r>
      <w:r w:rsidRPr="00306025">
        <w:rPr>
          <w:rFonts w:ascii="Arial" w:eastAsia="ArialMT" w:hAnsi="Arial" w:cs="Arial"/>
          <w:color w:val="000000"/>
          <w:spacing w:val="4"/>
          <w:w w:val="85"/>
          <w:sz w:val="20"/>
          <w:szCs w:val="20"/>
        </w:rPr>
        <w:t xml:space="preserve"> Maria Marcela </w:t>
      </w:r>
      <w:proofErr w:type="spellStart"/>
      <w:r w:rsidRPr="00306025">
        <w:rPr>
          <w:rFonts w:ascii="Arial" w:eastAsia="ArialMT" w:hAnsi="Arial" w:cs="Arial"/>
          <w:color w:val="000000"/>
          <w:spacing w:val="4"/>
          <w:w w:val="85"/>
          <w:sz w:val="20"/>
          <w:szCs w:val="20"/>
        </w:rPr>
        <w:t>Bailez</w:t>
      </w:r>
      <w:proofErr w:type="spellEnd"/>
      <w:r w:rsidRPr="00306025">
        <w:rPr>
          <w:rFonts w:ascii="Arial" w:eastAsia="ArialMT" w:hAnsi="Arial" w:cs="Arial"/>
          <w:color w:val="000000"/>
          <w:spacing w:val="4"/>
          <w:w w:val="85"/>
          <w:sz w:val="20"/>
          <w:szCs w:val="20"/>
        </w:rPr>
        <w:t xml:space="preserve">: “Intersex Disorders,” in: P. </w:t>
      </w:r>
      <w:proofErr w:type="spellStart"/>
      <w:r w:rsidRPr="00306025">
        <w:rPr>
          <w:rFonts w:ascii="Arial" w:eastAsia="ArialMT" w:hAnsi="Arial" w:cs="Arial"/>
          <w:color w:val="000000"/>
          <w:spacing w:val="4"/>
          <w:w w:val="85"/>
          <w:sz w:val="20"/>
          <w:szCs w:val="20"/>
        </w:rPr>
        <w:t>Puri</w:t>
      </w:r>
      <w:proofErr w:type="spellEnd"/>
      <w:r w:rsidRPr="00306025">
        <w:rPr>
          <w:rFonts w:ascii="Arial" w:eastAsia="ArialMT" w:hAnsi="Arial" w:cs="Arial"/>
          <w:color w:val="000000"/>
          <w:spacing w:val="4"/>
          <w:w w:val="85"/>
          <w:sz w:val="20"/>
          <w:szCs w:val="20"/>
        </w:rPr>
        <w:t xml:space="preserve"> and M. </w:t>
      </w:r>
      <w:proofErr w:type="spellStart"/>
      <w:r w:rsidRPr="00306025">
        <w:rPr>
          <w:rFonts w:ascii="Arial" w:eastAsia="ArialMT" w:hAnsi="Arial" w:cs="Arial"/>
          <w:color w:val="000000"/>
          <w:spacing w:val="4"/>
          <w:w w:val="85"/>
          <w:sz w:val="20"/>
          <w:szCs w:val="20"/>
        </w:rPr>
        <w:t>Höllwarth</w:t>
      </w:r>
      <w:proofErr w:type="spellEnd"/>
      <w:r w:rsidRPr="00306025">
        <w:rPr>
          <w:rFonts w:ascii="Arial" w:eastAsia="ArialMT" w:hAnsi="Arial" w:cs="Arial"/>
          <w:color w:val="000000"/>
          <w:spacing w:val="4"/>
          <w:w w:val="85"/>
          <w:sz w:val="20"/>
          <w:szCs w:val="20"/>
        </w:rPr>
        <w:t xml:space="preserve"> (eds.),</w:t>
      </w:r>
    </w:p>
    <w:p w14:paraId="5A22C553" w14:textId="77777777" w:rsidR="00FD51FE" w:rsidRPr="00306025" w:rsidRDefault="00FD51FE" w:rsidP="00FD51FE">
      <w:pPr>
        <w:autoSpaceDE w:val="0"/>
        <w:spacing w:line="288" w:lineRule="auto"/>
        <w:jc w:val="center"/>
        <w:textAlignment w:val="center"/>
        <w:rPr>
          <w:rFonts w:ascii="Arial" w:eastAsia="ArialMT" w:hAnsi="Arial" w:cs="Arial"/>
          <w:color w:val="000000"/>
          <w:spacing w:val="4"/>
          <w:w w:val="85"/>
          <w:sz w:val="20"/>
          <w:szCs w:val="20"/>
        </w:rPr>
      </w:pPr>
      <w:proofErr w:type="spellStart"/>
      <w:r w:rsidRPr="00306025">
        <w:rPr>
          <w:rFonts w:ascii="Arial" w:eastAsia="Arial-ItalicMT" w:hAnsi="Arial" w:cs="Arial"/>
          <w:i/>
          <w:iCs/>
          <w:color w:val="000000"/>
          <w:spacing w:val="4"/>
          <w:w w:val="85"/>
          <w:sz w:val="20"/>
          <w:szCs w:val="20"/>
        </w:rPr>
        <w:t>Pediatric</w:t>
      </w:r>
      <w:proofErr w:type="spellEnd"/>
      <w:r w:rsidRPr="00306025">
        <w:rPr>
          <w:rFonts w:ascii="Arial" w:eastAsia="Arial-ItalicMT" w:hAnsi="Arial" w:cs="Arial"/>
          <w:i/>
          <w:iCs/>
          <w:color w:val="000000"/>
          <w:spacing w:val="4"/>
          <w:w w:val="85"/>
          <w:sz w:val="20"/>
          <w:szCs w:val="20"/>
        </w:rPr>
        <w:t xml:space="preserve"> Surgery: Diagnosis and Managemen</w:t>
      </w:r>
      <w:r w:rsidRPr="00306025">
        <w:rPr>
          <w:rFonts w:ascii="Arial" w:eastAsia="ArialMT" w:hAnsi="Arial" w:cs="Arial"/>
          <w:i/>
          <w:iCs/>
          <w:color w:val="000000"/>
          <w:spacing w:val="4"/>
          <w:w w:val="85"/>
          <w:sz w:val="20"/>
          <w:szCs w:val="20"/>
        </w:rPr>
        <w:t xml:space="preserve">t, </w:t>
      </w:r>
      <w:r w:rsidRPr="00306025">
        <w:rPr>
          <w:rFonts w:ascii="Arial" w:eastAsia="ArialMT" w:hAnsi="Arial" w:cs="Arial"/>
          <w:color w:val="000000"/>
          <w:spacing w:val="4"/>
          <w:w w:val="85"/>
          <w:sz w:val="20"/>
          <w:szCs w:val="20"/>
        </w:rPr>
        <w:t>Berlin Heidelberg 2009.</w:t>
      </w:r>
    </w:p>
    <w:p w14:paraId="02F8F778"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ArialMT" w:hAnsi="Arial" w:cs="Arial"/>
          <w:color w:val="000000"/>
          <w:spacing w:val="4"/>
          <w:w w:val="85"/>
          <w:sz w:val="20"/>
          <w:szCs w:val="20"/>
        </w:rPr>
        <w:br w:type="page"/>
      </w:r>
      <w:r w:rsidRPr="00306025">
        <w:rPr>
          <w:rFonts w:ascii="Arial" w:eastAsia="Times-Roman" w:hAnsi="Arial" w:cs="Arial"/>
          <w:noProof/>
          <w:color w:val="000000"/>
          <w:sz w:val="32"/>
          <w:szCs w:val="32"/>
          <w:lang w:val="de-CH" w:eastAsia="de-CH" w:bidi="ar-SA"/>
        </w:rPr>
        <w:lastRenderedPageBreak/>
        <w:drawing>
          <wp:inline distT="0" distB="0" distL="0" distR="0" wp14:anchorId="70C72009" wp14:editId="2224EFE2">
            <wp:extent cx="2879725" cy="2768600"/>
            <wp:effectExtent l="0" t="0" r="0" b="0"/>
            <wp:docPr id="30" name="Bild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79725" cy="2768600"/>
                    </a:xfrm>
                    <a:prstGeom prst="rect">
                      <a:avLst/>
                    </a:prstGeom>
                    <a:solidFill>
                      <a:srgbClr val="FFFFFF"/>
                    </a:solidFill>
                    <a:ln>
                      <a:noFill/>
                    </a:ln>
                  </pic:spPr>
                </pic:pic>
              </a:graphicData>
            </a:graphic>
          </wp:inline>
        </w:drawing>
      </w:r>
    </w:p>
    <w:p w14:paraId="243A62CE" w14:textId="77777777" w:rsidR="00FD51FE" w:rsidRPr="00306025" w:rsidRDefault="00FD51FE" w:rsidP="00FD51FE">
      <w:pPr>
        <w:autoSpaceDE w:val="0"/>
        <w:spacing w:line="288" w:lineRule="auto"/>
        <w:jc w:val="center"/>
        <w:textAlignment w:val="center"/>
      </w:pPr>
      <w:r w:rsidRPr="00306025">
        <w:rPr>
          <w:rFonts w:ascii="Arial" w:eastAsia="Arial-BoldMT" w:hAnsi="Arial" w:cs="Arial"/>
          <w:b/>
          <w:bCs/>
          <w:color w:val="000000"/>
          <w:spacing w:val="4"/>
          <w:w w:val="85"/>
          <w:sz w:val="20"/>
          <w:szCs w:val="20"/>
        </w:rPr>
        <w:t>Source:</w:t>
      </w:r>
      <w:r w:rsidRPr="00306025">
        <w:rPr>
          <w:rFonts w:ascii="Arial" w:eastAsia="ArialMT" w:hAnsi="Arial" w:cs="Arial"/>
          <w:color w:val="000000"/>
          <w:spacing w:val="4"/>
          <w:w w:val="85"/>
          <w:sz w:val="20"/>
          <w:szCs w:val="20"/>
        </w:rPr>
        <w:t xml:space="preserve"> J. </w:t>
      </w:r>
      <w:proofErr w:type="spellStart"/>
      <w:r w:rsidRPr="00306025">
        <w:rPr>
          <w:rFonts w:ascii="Arial" w:eastAsia="ArialMT" w:hAnsi="Arial" w:cs="Arial"/>
          <w:color w:val="000000"/>
          <w:spacing w:val="4"/>
          <w:w w:val="85"/>
          <w:sz w:val="20"/>
          <w:szCs w:val="20"/>
        </w:rPr>
        <w:t>Pleskacova</w:t>
      </w:r>
      <w:proofErr w:type="spellEnd"/>
      <w:r w:rsidRPr="00306025">
        <w:rPr>
          <w:rFonts w:ascii="Arial" w:eastAsia="ArialMT" w:hAnsi="Arial" w:cs="Arial"/>
          <w:color w:val="000000"/>
          <w:spacing w:val="4"/>
          <w:w w:val="85"/>
          <w:sz w:val="20"/>
          <w:szCs w:val="20"/>
        </w:rPr>
        <w:t xml:space="preserve">, R. </w:t>
      </w:r>
      <w:proofErr w:type="spellStart"/>
      <w:r w:rsidRPr="00306025">
        <w:rPr>
          <w:rFonts w:ascii="Arial" w:eastAsia="ArialMT" w:hAnsi="Arial" w:cs="Arial"/>
          <w:color w:val="000000"/>
          <w:spacing w:val="4"/>
          <w:w w:val="85"/>
          <w:sz w:val="20"/>
          <w:szCs w:val="20"/>
        </w:rPr>
        <w:t>Hersmus</w:t>
      </w:r>
      <w:proofErr w:type="spellEnd"/>
      <w:r w:rsidRPr="00306025">
        <w:rPr>
          <w:rFonts w:ascii="Arial" w:eastAsia="ArialMT" w:hAnsi="Arial" w:cs="Arial"/>
          <w:color w:val="000000"/>
          <w:spacing w:val="4"/>
          <w:w w:val="85"/>
          <w:sz w:val="20"/>
          <w:szCs w:val="20"/>
        </w:rPr>
        <w:t xml:space="preserve">, J. </w:t>
      </w:r>
      <w:proofErr w:type="spellStart"/>
      <w:r w:rsidRPr="00306025">
        <w:rPr>
          <w:rFonts w:ascii="Arial" w:eastAsia="ArialMT" w:hAnsi="Arial" w:cs="Arial"/>
          <w:color w:val="000000"/>
          <w:spacing w:val="4"/>
          <w:w w:val="85"/>
          <w:sz w:val="20"/>
          <w:szCs w:val="20"/>
        </w:rPr>
        <w:t>Wolter</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Oosterhuis</w:t>
      </w:r>
      <w:proofErr w:type="spellEnd"/>
      <w:r w:rsidRPr="00306025">
        <w:rPr>
          <w:rFonts w:ascii="Arial" w:eastAsia="ArialMT" w:hAnsi="Arial" w:cs="Arial"/>
          <w:color w:val="000000"/>
          <w:spacing w:val="4"/>
          <w:w w:val="85"/>
          <w:sz w:val="20"/>
          <w:szCs w:val="20"/>
        </w:rPr>
        <w:t xml:space="preserve">, B.A. </w:t>
      </w:r>
      <w:proofErr w:type="spellStart"/>
      <w:r w:rsidRPr="00306025">
        <w:rPr>
          <w:rFonts w:ascii="Arial" w:eastAsia="ArialMT" w:hAnsi="Arial" w:cs="Arial"/>
          <w:color w:val="000000"/>
          <w:spacing w:val="4"/>
          <w:w w:val="85"/>
          <w:sz w:val="20"/>
          <w:szCs w:val="20"/>
        </w:rPr>
        <w:t>Setyawati</w:t>
      </w:r>
      <w:proofErr w:type="spellEnd"/>
      <w:r w:rsidRPr="00306025">
        <w:rPr>
          <w:rFonts w:ascii="Arial" w:eastAsia="ArialMT" w:hAnsi="Arial" w:cs="Arial"/>
          <w:color w:val="000000"/>
          <w:spacing w:val="4"/>
          <w:w w:val="85"/>
          <w:sz w:val="20"/>
          <w:szCs w:val="20"/>
        </w:rPr>
        <w:t xml:space="preserve">, S.M. </w:t>
      </w:r>
      <w:proofErr w:type="spellStart"/>
      <w:r w:rsidRPr="00306025">
        <w:rPr>
          <w:rFonts w:ascii="Arial" w:eastAsia="ArialMT" w:hAnsi="Arial" w:cs="Arial"/>
          <w:color w:val="000000"/>
          <w:spacing w:val="4"/>
          <w:w w:val="85"/>
          <w:sz w:val="20"/>
          <w:szCs w:val="20"/>
        </w:rPr>
        <w:t>Faradz</w:t>
      </w:r>
      <w:proofErr w:type="spellEnd"/>
      <w:r w:rsidRPr="00306025">
        <w:rPr>
          <w:rFonts w:ascii="Arial" w:eastAsia="ArialMT" w:hAnsi="Arial" w:cs="Arial"/>
          <w:color w:val="000000"/>
          <w:spacing w:val="4"/>
          <w:w w:val="85"/>
          <w:sz w:val="20"/>
          <w:szCs w:val="20"/>
        </w:rPr>
        <w:t xml:space="preserve">, Martine Cools, </w:t>
      </w:r>
      <w:proofErr w:type="spellStart"/>
      <w:r w:rsidRPr="00306025">
        <w:rPr>
          <w:rFonts w:ascii="Arial" w:eastAsia="ArialMT" w:hAnsi="Arial" w:cs="Arial"/>
          <w:color w:val="000000"/>
          <w:spacing w:val="4"/>
          <w:w w:val="85"/>
          <w:sz w:val="20"/>
          <w:szCs w:val="20"/>
        </w:rPr>
        <w:t>Katja</w:t>
      </w:r>
      <w:proofErr w:type="spellEnd"/>
      <w:r w:rsidRPr="00306025">
        <w:rPr>
          <w:rFonts w:ascii="Arial" w:eastAsia="ArialMT" w:hAnsi="Arial" w:cs="Arial"/>
          <w:color w:val="000000"/>
          <w:spacing w:val="4"/>
          <w:w w:val="85"/>
          <w:sz w:val="20"/>
          <w:szCs w:val="20"/>
        </w:rPr>
        <w:t xml:space="preserve"> P. </w:t>
      </w:r>
      <w:proofErr w:type="spellStart"/>
      <w:r w:rsidRPr="00306025">
        <w:rPr>
          <w:rFonts w:ascii="Arial" w:eastAsia="ArialMT" w:hAnsi="Arial" w:cs="Arial"/>
          <w:color w:val="000000"/>
          <w:spacing w:val="4"/>
          <w:w w:val="85"/>
          <w:sz w:val="20"/>
          <w:szCs w:val="20"/>
        </w:rPr>
        <w:t>Wolffenbuttel</w:t>
      </w:r>
      <w:proofErr w:type="spellEnd"/>
      <w:r w:rsidRPr="00306025">
        <w:rPr>
          <w:rFonts w:ascii="Arial" w:eastAsia="ArialMT" w:hAnsi="Arial" w:cs="Arial"/>
          <w:color w:val="000000"/>
          <w:spacing w:val="4"/>
          <w:w w:val="85"/>
          <w:sz w:val="20"/>
          <w:szCs w:val="20"/>
        </w:rPr>
        <w:t xml:space="preserve">, J. </w:t>
      </w:r>
      <w:proofErr w:type="spellStart"/>
      <w:r w:rsidRPr="00306025">
        <w:rPr>
          <w:rFonts w:ascii="Arial" w:eastAsia="ArialMT" w:hAnsi="Arial" w:cs="Arial"/>
          <w:color w:val="000000"/>
          <w:spacing w:val="4"/>
          <w:w w:val="85"/>
          <w:sz w:val="20"/>
          <w:szCs w:val="20"/>
        </w:rPr>
        <w:t>Lebl</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Stenvert</w:t>
      </w:r>
      <w:proofErr w:type="spellEnd"/>
      <w:r w:rsidRPr="00306025">
        <w:rPr>
          <w:rFonts w:ascii="Arial" w:eastAsia="ArialMT" w:hAnsi="Arial" w:cs="Arial"/>
          <w:color w:val="000000"/>
          <w:spacing w:val="4"/>
          <w:w w:val="85"/>
          <w:sz w:val="20"/>
          <w:szCs w:val="20"/>
        </w:rPr>
        <w:t xml:space="preserve"> L.S. Drop, </w:t>
      </w:r>
      <w:proofErr w:type="spellStart"/>
      <w:r w:rsidRPr="00306025">
        <w:rPr>
          <w:rFonts w:ascii="Arial" w:eastAsia="ArialMT" w:hAnsi="Arial" w:cs="Arial"/>
          <w:color w:val="000000"/>
          <w:spacing w:val="4"/>
          <w:w w:val="85"/>
          <w:sz w:val="20"/>
          <w:szCs w:val="20"/>
        </w:rPr>
        <w:t>Leendert</w:t>
      </w:r>
      <w:proofErr w:type="spellEnd"/>
      <w:r w:rsidRPr="00306025">
        <w:rPr>
          <w:rFonts w:ascii="Arial" w:eastAsia="ArialMT" w:hAnsi="Arial" w:cs="Arial"/>
          <w:color w:val="000000"/>
          <w:spacing w:val="4"/>
          <w:w w:val="85"/>
          <w:sz w:val="20"/>
          <w:szCs w:val="20"/>
        </w:rPr>
        <w:t xml:space="preserve"> H.J. </w:t>
      </w:r>
      <w:proofErr w:type="spellStart"/>
      <w:r w:rsidRPr="00306025">
        <w:rPr>
          <w:rFonts w:ascii="Arial" w:eastAsia="ArialMT" w:hAnsi="Arial" w:cs="Arial"/>
          <w:color w:val="000000"/>
          <w:spacing w:val="4"/>
          <w:w w:val="85"/>
          <w:sz w:val="20"/>
          <w:szCs w:val="20"/>
        </w:rPr>
        <w:t>Looijenga</w:t>
      </w:r>
      <w:proofErr w:type="spellEnd"/>
      <w:r w:rsidRPr="00306025">
        <w:rPr>
          <w:rFonts w:ascii="Arial" w:eastAsia="ArialMT" w:hAnsi="Arial" w:cs="Arial"/>
          <w:color w:val="000000"/>
          <w:spacing w:val="4"/>
          <w:w w:val="85"/>
          <w:sz w:val="20"/>
          <w:szCs w:val="20"/>
        </w:rPr>
        <w:t>: “</w:t>
      </w:r>
      <w:proofErr w:type="spellStart"/>
      <w:r w:rsidRPr="00306025">
        <w:rPr>
          <w:rFonts w:ascii="Arial" w:eastAsia="ArialMT" w:hAnsi="Arial" w:cs="Arial"/>
          <w:color w:val="000000"/>
          <w:spacing w:val="4"/>
          <w:w w:val="85"/>
          <w:sz w:val="20"/>
          <w:szCs w:val="20"/>
        </w:rPr>
        <w:t>Tumor</w:t>
      </w:r>
      <w:proofErr w:type="spellEnd"/>
      <w:r w:rsidRPr="00306025">
        <w:rPr>
          <w:rFonts w:ascii="Arial" w:eastAsia="ArialMT" w:hAnsi="Arial" w:cs="Arial"/>
          <w:color w:val="000000"/>
          <w:spacing w:val="4"/>
          <w:w w:val="85"/>
          <w:sz w:val="20"/>
          <w:szCs w:val="20"/>
        </w:rPr>
        <w:t xml:space="preserve"> risk in disorders of sex development,” in: </w:t>
      </w:r>
      <w:r w:rsidRPr="00306025">
        <w:rPr>
          <w:rFonts w:ascii="Arial" w:eastAsia="Arial-ItalicMT" w:hAnsi="Arial" w:cs="Arial"/>
          <w:i/>
          <w:iCs/>
          <w:color w:val="000000"/>
          <w:spacing w:val="4"/>
          <w:w w:val="85"/>
          <w:sz w:val="20"/>
          <w:szCs w:val="20"/>
        </w:rPr>
        <w:t xml:space="preserve">Sexual Development </w:t>
      </w:r>
      <w:r w:rsidRPr="00306025">
        <w:rPr>
          <w:rFonts w:ascii="Arial" w:eastAsia="ArialMT" w:hAnsi="Arial" w:cs="Arial"/>
          <w:color w:val="000000"/>
          <w:spacing w:val="4"/>
          <w:w w:val="85"/>
          <w:sz w:val="20"/>
          <w:szCs w:val="20"/>
        </w:rPr>
        <w:t>2010 Sep;4(4-5):259-69.</w:t>
      </w:r>
    </w:p>
    <w:p w14:paraId="6EED32C1"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val="de-CH" w:eastAsia="de-CH" w:bidi="ar-SA"/>
        </w:rPr>
        <w:drawing>
          <wp:inline distT="0" distB="0" distL="0" distR="0" wp14:anchorId="7E137941" wp14:editId="4C1FAFBE">
            <wp:extent cx="3239135" cy="1905635"/>
            <wp:effectExtent l="0" t="0" r="0" b="0"/>
            <wp:docPr id="31" name="Bild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39135" cy="1905635"/>
                    </a:xfrm>
                    <a:prstGeom prst="rect">
                      <a:avLst/>
                    </a:prstGeom>
                    <a:solidFill>
                      <a:srgbClr val="FFFFFF"/>
                    </a:solidFill>
                    <a:ln>
                      <a:noFill/>
                    </a:ln>
                  </pic:spPr>
                </pic:pic>
              </a:graphicData>
            </a:graphic>
          </wp:inline>
        </w:drawing>
      </w:r>
    </w:p>
    <w:p w14:paraId="1CC1169E" w14:textId="77777777" w:rsidR="00FD51FE" w:rsidRPr="00306025" w:rsidRDefault="00FD51FE" w:rsidP="00FD51FE">
      <w:pPr>
        <w:autoSpaceDE w:val="0"/>
        <w:spacing w:line="288" w:lineRule="auto"/>
        <w:jc w:val="center"/>
        <w:textAlignment w:val="center"/>
        <w:rPr>
          <w:rFonts w:ascii="Arial" w:eastAsia="ArialMT" w:hAnsi="Arial" w:cs="Arial"/>
          <w:color w:val="000000"/>
          <w:spacing w:val="4"/>
          <w:w w:val="85"/>
          <w:sz w:val="20"/>
          <w:szCs w:val="20"/>
        </w:rPr>
      </w:pPr>
      <w:r w:rsidRPr="00306025">
        <w:rPr>
          <w:rFonts w:ascii="Arial" w:eastAsia="Arial-BoldMT" w:hAnsi="Arial" w:cs="Arial"/>
          <w:b/>
          <w:bCs/>
          <w:color w:val="000000"/>
          <w:spacing w:val="4"/>
          <w:w w:val="85"/>
          <w:sz w:val="20"/>
          <w:szCs w:val="20"/>
        </w:rPr>
        <w:t>Source:</w:t>
      </w:r>
      <w:r w:rsidRPr="00306025">
        <w:rPr>
          <w:rFonts w:ascii="Arial" w:eastAsia="ArialMT" w:hAnsi="Arial" w:cs="Arial"/>
          <w:color w:val="000000"/>
          <w:spacing w:val="4"/>
          <w:w w:val="85"/>
          <w:sz w:val="20"/>
          <w:szCs w:val="20"/>
        </w:rPr>
        <w:t xml:space="preserve"> J. L. Pippi Salle: “Decisions and Dilemmas in the Management</w:t>
      </w:r>
    </w:p>
    <w:p w14:paraId="368D72A8" w14:textId="77777777" w:rsidR="00FD51FE" w:rsidRPr="00306025" w:rsidRDefault="00FD51FE" w:rsidP="00FD51FE">
      <w:pPr>
        <w:autoSpaceDE w:val="0"/>
        <w:spacing w:line="288" w:lineRule="auto"/>
        <w:jc w:val="center"/>
        <w:textAlignment w:val="center"/>
        <w:rPr>
          <w:rFonts w:ascii="Arial" w:eastAsia="ColossalisBold" w:hAnsi="Arial" w:cs="Arial"/>
          <w:color w:val="2F387F"/>
          <w:spacing w:val="2"/>
          <w:w w:val="85"/>
          <w:sz w:val="28"/>
          <w:szCs w:val="28"/>
        </w:rPr>
      </w:pPr>
      <w:r w:rsidRPr="00306025">
        <w:rPr>
          <w:rFonts w:ascii="Arial" w:eastAsia="ArialMT" w:hAnsi="Arial" w:cs="Arial"/>
          <w:color w:val="000000"/>
          <w:spacing w:val="4"/>
          <w:w w:val="85"/>
          <w:sz w:val="20"/>
          <w:szCs w:val="20"/>
        </w:rPr>
        <w:t>of Disorders of Sexual [sic!] Development (DSD),” 2007, at 20.</w:t>
      </w:r>
    </w:p>
    <w:p w14:paraId="6B7466E7" w14:textId="77777777" w:rsidR="00FD51FE" w:rsidRPr="00306025" w:rsidRDefault="00FD51FE" w:rsidP="00FD51FE">
      <w:pPr>
        <w:pStyle w:val="Title2"/>
      </w:pPr>
      <w:bookmarkStart w:id="104" w:name="4_Bad_results__Gonadectomy_Feminizing_Ge"/>
      <w:r w:rsidRPr="00306025">
        <w:br w:type="page"/>
      </w:r>
      <w:bookmarkStart w:id="105" w:name="_Toc453620777"/>
      <w:bookmarkStart w:id="106" w:name="_Toc37887073"/>
      <w:bookmarkStart w:id="107" w:name="_Toc48428246"/>
      <w:bookmarkStart w:id="108" w:name="_Toc48509373"/>
      <w:bookmarkStart w:id="109" w:name="_Toc64836477"/>
      <w:bookmarkStart w:id="110" w:name="_Toc141803650"/>
      <w:r w:rsidRPr="00306025">
        <w:lastRenderedPageBreak/>
        <w:t>“Bad results” / “</w:t>
      </w:r>
      <w:proofErr w:type="spellStart"/>
      <w:r w:rsidRPr="00306025">
        <w:t>Gonadectomy</w:t>
      </w:r>
      <w:proofErr w:type="spellEnd"/>
      <w:r w:rsidRPr="00306025">
        <w:t xml:space="preserve">, Feminising </w:t>
      </w:r>
      <w:proofErr w:type="spellStart"/>
      <w:r w:rsidRPr="00306025">
        <w:t>Genitoplasty</w:t>
      </w:r>
      <w:bookmarkEnd w:id="104"/>
      <w:bookmarkEnd w:id="105"/>
      <w:proofErr w:type="spellEnd"/>
      <w:r w:rsidRPr="00306025">
        <w:t>”</w:t>
      </w:r>
      <w:bookmarkEnd w:id="106"/>
      <w:bookmarkEnd w:id="107"/>
      <w:bookmarkEnd w:id="108"/>
      <w:bookmarkEnd w:id="109"/>
      <w:bookmarkEnd w:id="110"/>
    </w:p>
    <w:p w14:paraId="6B9C9DE2" w14:textId="77777777" w:rsidR="00FD51FE" w:rsidRPr="00306025" w:rsidRDefault="00FD51FE" w:rsidP="00FD51FE">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val="de-CH" w:eastAsia="de-CH" w:bidi="ar-SA"/>
        </w:rPr>
        <w:drawing>
          <wp:inline distT="0" distB="0" distL="0" distR="0" wp14:anchorId="76A5F30C" wp14:editId="576A0A32">
            <wp:extent cx="5760085" cy="2341245"/>
            <wp:effectExtent l="0" t="0" r="0" b="0"/>
            <wp:docPr id="32" name="Bild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85" cy="2341245"/>
                    </a:xfrm>
                    <a:prstGeom prst="rect">
                      <a:avLst/>
                    </a:prstGeom>
                    <a:solidFill>
                      <a:srgbClr val="FFFFFF"/>
                    </a:solidFill>
                    <a:ln>
                      <a:noFill/>
                    </a:ln>
                  </pic:spPr>
                </pic:pic>
              </a:graphicData>
            </a:graphic>
          </wp:inline>
        </w:drawing>
      </w:r>
    </w:p>
    <w:p w14:paraId="7261CB94" w14:textId="77777777" w:rsidR="00FD51FE" w:rsidRPr="00F76145" w:rsidRDefault="00FD51FE" w:rsidP="00FD51FE">
      <w:pPr>
        <w:autoSpaceDE w:val="0"/>
        <w:spacing w:line="288" w:lineRule="auto"/>
        <w:jc w:val="center"/>
        <w:textAlignment w:val="center"/>
        <w:rPr>
          <w:lang w:val="de-CH"/>
        </w:rPr>
      </w:pPr>
      <w:r w:rsidRPr="00F76145">
        <w:rPr>
          <w:rFonts w:ascii="Arial" w:eastAsia="Arial-BoldMT" w:hAnsi="Arial" w:cs="Arial"/>
          <w:b/>
          <w:bCs/>
          <w:color w:val="000000"/>
          <w:spacing w:val="4"/>
          <w:w w:val="85"/>
          <w:sz w:val="20"/>
          <w:szCs w:val="20"/>
          <w:lang w:val="de-CH"/>
        </w:rPr>
        <w:t>Caption:</w:t>
      </w:r>
      <w:r w:rsidRPr="00F76145">
        <w:rPr>
          <w:rFonts w:ascii="Arial" w:eastAsia="ArialMT" w:hAnsi="Arial" w:cs="Arial"/>
          <w:color w:val="000000"/>
          <w:spacing w:val="4"/>
          <w:w w:val="85"/>
          <w:sz w:val="20"/>
          <w:szCs w:val="20"/>
          <w:lang w:val="de-CH"/>
        </w:rPr>
        <w:t xml:space="preserve"> 2a</w:t>
      </w:r>
      <w:proofErr w:type="gramStart"/>
      <w:r w:rsidRPr="00F76145">
        <w:rPr>
          <w:rFonts w:ascii="Arial" w:eastAsia="ArialMT" w:hAnsi="Arial" w:cs="Arial"/>
          <w:color w:val="000000"/>
          <w:spacing w:val="4"/>
          <w:w w:val="85"/>
          <w:sz w:val="20"/>
          <w:szCs w:val="20"/>
          <w:lang w:val="de-CH"/>
        </w:rPr>
        <w:t>,b</w:t>
      </w:r>
      <w:proofErr w:type="gramEnd"/>
      <w:r w:rsidRPr="00F76145">
        <w:rPr>
          <w:rFonts w:ascii="Arial" w:eastAsia="ArialMT" w:hAnsi="Arial" w:cs="Arial"/>
          <w:color w:val="000000"/>
          <w:spacing w:val="4"/>
          <w:w w:val="85"/>
          <w:sz w:val="20"/>
          <w:szCs w:val="20"/>
          <w:lang w:val="de-CH"/>
        </w:rPr>
        <w:t xml:space="preserve">: </w:t>
      </w:r>
      <w:r w:rsidRPr="00F76145">
        <w:rPr>
          <w:rFonts w:ascii="Arial" w:eastAsia="Arial-BoldItalicMT" w:hAnsi="Arial" w:cs="Arial"/>
          <w:b/>
          <w:bCs/>
          <w:i/>
          <w:iCs/>
          <w:color w:val="000000"/>
          <w:spacing w:val="4"/>
          <w:w w:val="85"/>
          <w:sz w:val="20"/>
          <w:szCs w:val="20"/>
          <w:lang w:val="de-CH"/>
        </w:rPr>
        <w:t xml:space="preserve">“Bad </w:t>
      </w:r>
      <w:proofErr w:type="spellStart"/>
      <w:r w:rsidRPr="00F76145">
        <w:rPr>
          <w:rFonts w:ascii="Arial" w:eastAsia="Arial-BoldItalicMT" w:hAnsi="Arial" w:cs="Arial"/>
          <w:b/>
          <w:bCs/>
          <w:i/>
          <w:iCs/>
          <w:color w:val="000000"/>
          <w:spacing w:val="4"/>
          <w:w w:val="85"/>
          <w:sz w:val="20"/>
          <w:szCs w:val="20"/>
          <w:lang w:val="de-CH"/>
        </w:rPr>
        <w:t>Results</w:t>
      </w:r>
      <w:proofErr w:type="spellEnd"/>
      <w:r w:rsidRPr="00F76145">
        <w:rPr>
          <w:rFonts w:ascii="Arial" w:eastAsia="Arial-BoldItalicMT" w:hAnsi="Arial" w:cs="Arial"/>
          <w:b/>
          <w:bCs/>
          <w:i/>
          <w:iCs/>
          <w:color w:val="000000"/>
          <w:spacing w:val="4"/>
          <w:w w:val="85"/>
          <w:sz w:val="20"/>
          <w:szCs w:val="20"/>
          <w:lang w:val="de-CH"/>
        </w:rPr>
        <w:t xml:space="preserve"> </w:t>
      </w:r>
      <w:proofErr w:type="spellStart"/>
      <w:r w:rsidRPr="00F76145">
        <w:rPr>
          <w:rFonts w:ascii="Arial" w:eastAsia="Arial-BoldItalicMT" w:hAnsi="Arial" w:cs="Arial"/>
          <w:b/>
          <w:bCs/>
          <w:i/>
          <w:iCs/>
          <w:color w:val="000000"/>
          <w:spacing w:val="4"/>
          <w:w w:val="85"/>
          <w:sz w:val="20"/>
          <w:szCs w:val="20"/>
          <w:lang w:val="de-CH"/>
        </w:rPr>
        <w:t>of</w:t>
      </w:r>
      <w:proofErr w:type="spellEnd"/>
      <w:r w:rsidRPr="00F76145">
        <w:rPr>
          <w:rFonts w:ascii="Arial" w:eastAsia="Arial-BoldItalicMT" w:hAnsi="Arial" w:cs="Arial"/>
          <w:b/>
          <w:bCs/>
          <w:i/>
          <w:iCs/>
          <w:color w:val="000000"/>
          <w:spacing w:val="4"/>
          <w:w w:val="85"/>
          <w:sz w:val="20"/>
          <w:szCs w:val="20"/>
          <w:lang w:val="de-CH"/>
        </w:rPr>
        <w:t xml:space="preserve"> </w:t>
      </w:r>
      <w:proofErr w:type="spellStart"/>
      <w:r w:rsidRPr="00F76145">
        <w:rPr>
          <w:rFonts w:ascii="Arial" w:eastAsia="Arial-BoldItalicMT" w:hAnsi="Arial" w:cs="Arial"/>
          <w:b/>
          <w:bCs/>
          <w:i/>
          <w:iCs/>
          <w:color w:val="000000"/>
          <w:spacing w:val="4"/>
          <w:w w:val="85"/>
          <w:sz w:val="20"/>
          <w:szCs w:val="20"/>
          <w:lang w:val="de-CH"/>
        </w:rPr>
        <w:t>Correction</w:t>
      </w:r>
      <w:proofErr w:type="spellEnd"/>
      <w:r w:rsidRPr="00F76145">
        <w:rPr>
          <w:rFonts w:ascii="Arial" w:eastAsia="Arial-BoldItalicMT" w:hAnsi="Arial" w:cs="Arial"/>
          <w:b/>
          <w:bCs/>
          <w:i/>
          <w:iCs/>
          <w:color w:val="000000"/>
          <w:spacing w:val="4"/>
          <w:w w:val="85"/>
          <w:sz w:val="20"/>
          <w:szCs w:val="20"/>
          <w:lang w:val="de-CH"/>
        </w:rPr>
        <w:t xml:space="preserve"> after </w:t>
      </w:r>
      <w:proofErr w:type="spellStart"/>
      <w:r w:rsidRPr="00F76145">
        <w:rPr>
          <w:rFonts w:ascii="Arial" w:eastAsia="Arial-BoldItalicMT" w:hAnsi="Arial" w:cs="Arial"/>
          <w:b/>
          <w:bCs/>
          <w:i/>
          <w:iCs/>
          <w:color w:val="000000"/>
          <w:spacing w:val="4"/>
          <w:w w:val="85"/>
          <w:sz w:val="20"/>
          <w:szCs w:val="20"/>
          <w:lang w:val="de-CH"/>
        </w:rPr>
        <w:t>Feminisation</w:t>
      </w:r>
      <w:proofErr w:type="spellEnd"/>
      <w:r w:rsidRPr="00F76145">
        <w:rPr>
          <w:rFonts w:ascii="Arial" w:eastAsia="Arial-BoldItalicMT" w:hAnsi="Arial" w:cs="Arial"/>
          <w:b/>
          <w:bCs/>
          <w:i/>
          <w:iCs/>
          <w:color w:val="000000"/>
          <w:spacing w:val="4"/>
          <w:w w:val="85"/>
          <w:sz w:val="20"/>
          <w:szCs w:val="20"/>
          <w:lang w:val="de-CH"/>
        </w:rPr>
        <w:t xml:space="preserve">, </w:t>
      </w:r>
      <w:proofErr w:type="spellStart"/>
      <w:r w:rsidRPr="00F76145">
        <w:rPr>
          <w:rFonts w:ascii="Arial" w:eastAsia="Arial-BoldItalicMT" w:hAnsi="Arial" w:cs="Arial"/>
          <w:b/>
          <w:bCs/>
          <w:i/>
          <w:iCs/>
          <w:color w:val="000000"/>
          <w:spacing w:val="4"/>
          <w:w w:val="85"/>
          <w:sz w:val="20"/>
          <w:szCs w:val="20"/>
          <w:lang w:val="de-CH"/>
        </w:rPr>
        <w:t>and</w:t>
      </w:r>
      <w:proofErr w:type="spellEnd"/>
      <w:r w:rsidRPr="00F76145">
        <w:rPr>
          <w:rFonts w:ascii="Arial" w:eastAsia="Arial-BoldItalicMT" w:hAnsi="Arial" w:cs="Arial"/>
          <w:b/>
          <w:bCs/>
          <w:i/>
          <w:iCs/>
          <w:color w:val="000000"/>
          <w:spacing w:val="4"/>
          <w:w w:val="85"/>
          <w:sz w:val="20"/>
          <w:szCs w:val="20"/>
          <w:lang w:val="de-CH"/>
        </w:rPr>
        <w:t xml:space="preserve">”, </w:t>
      </w:r>
      <w:proofErr w:type="spellStart"/>
      <w:r w:rsidRPr="00F76145">
        <w:rPr>
          <w:rFonts w:ascii="Arial" w:eastAsia="ArialMT" w:hAnsi="Arial" w:cs="Arial"/>
          <w:color w:val="000000"/>
          <w:spacing w:val="4"/>
          <w:w w:val="85"/>
          <w:sz w:val="20"/>
          <w:szCs w:val="20"/>
          <w:lang w:val="de-CH"/>
        </w:rPr>
        <w:t>c,d</w:t>
      </w:r>
      <w:proofErr w:type="spellEnd"/>
      <w:r w:rsidRPr="00F76145">
        <w:rPr>
          <w:rFonts w:ascii="Arial" w:eastAsia="ArialMT" w:hAnsi="Arial" w:cs="Arial"/>
          <w:color w:val="000000"/>
          <w:spacing w:val="4"/>
          <w:w w:val="85"/>
          <w:sz w:val="20"/>
          <w:szCs w:val="20"/>
          <w:lang w:val="de-CH"/>
        </w:rPr>
        <w:t xml:space="preserve">: </w:t>
      </w:r>
      <w:r w:rsidRPr="00F76145">
        <w:rPr>
          <w:rFonts w:ascii="Arial" w:eastAsia="Arial-BoldItalicMT" w:hAnsi="Arial" w:cs="Arial"/>
          <w:b/>
          <w:bCs/>
          <w:i/>
          <w:iCs/>
          <w:color w:val="000000"/>
          <w:spacing w:val="4"/>
          <w:w w:val="85"/>
          <w:sz w:val="20"/>
          <w:szCs w:val="20"/>
          <w:lang w:val="de-CH"/>
        </w:rPr>
        <w:t xml:space="preserve">“after </w:t>
      </w:r>
      <w:proofErr w:type="spellStart"/>
      <w:r w:rsidRPr="00F76145">
        <w:rPr>
          <w:rFonts w:ascii="Arial" w:eastAsia="Arial-BoldItalicMT" w:hAnsi="Arial" w:cs="Arial"/>
          <w:b/>
          <w:bCs/>
          <w:i/>
          <w:iCs/>
          <w:color w:val="000000"/>
          <w:spacing w:val="4"/>
          <w:w w:val="85"/>
          <w:sz w:val="20"/>
          <w:szCs w:val="20"/>
          <w:lang w:val="de-CH"/>
        </w:rPr>
        <w:t>Hypospadias</w:t>
      </w:r>
      <w:proofErr w:type="spellEnd"/>
      <w:r w:rsidRPr="00F76145">
        <w:rPr>
          <w:rFonts w:ascii="Arial" w:eastAsia="Arial-BoldItalicMT" w:hAnsi="Arial" w:cs="Arial"/>
          <w:b/>
          <w:bCs/>
          <w:i/>
          <w:iCs/>
          <w:color w:val="000000"/>
          <w:spacing w:val="4"/>
          <w:w w:val="85"/>
          <w:sz w:val="20"/>
          <w:szCs w:val="20"/>
          <w:lang w:val="de-CH"/>
        </w:rPr>
        <w:t xml:space="preserve"> </w:t>
      </w:r>
      <w:proofErr w:type="spellStart"/>
      <w:r w:rsidRPr="00F76145">
        <w:rPr>
          <w:rFonts w:ascii="Arial" w:eastAsia="Arial-BoldItalicMT" w:hAnsi="Arial" w:cs="Arial"/>
          <w:b/>
          <w:bCs/>
          <w:i/>
          <w:iCs/>
          <w:color w:val="000000"/>
          <w:spacing w:val="4"/>
          <w:w w:val="85"/>
          <w:sz w:val="20"/>
          <w:szCs w:val="20"/>
          <w:lang w:val="de-CH"/>
        </w:rPr>
        <w:t>Repair</w:t>
      </w:r>
      <w:proofErr w:type="spellEnd"/>
      <w:r w:rsidRPr="00F76145">
        <w:rPr>
          <w:rFonts w:ascii="Arial" w:eastAsia="Arial-BoldItalicMT" w:hAnsi="Arial" w:cs="Arial"/>
          <w:b/>
          <w:bCs/>
          <w:i/>
          <w:iCs/>
          <w:color w:val="000000"/>
          <w:spacing w:val="4"/>
          <w:w w:val="85"/>
          <w:sz w:val="20"/>
          <w:szCs w:val="20"/>
          <w:lang w:val="de-CH"/>
        </w:rPr>
        <w:t xml:space="preserve">” – </w:t>
      </w:r>
      <w:r w:rsidRPr="00F76145">
        <w:rPr>
          <w:rFonts w:ascii="Arial" w:eastAsia="Arial-BoldMT" w:hAnsi="Arial" w:cs="Arial"/>
          <w:b/>
          <w:bCs/>
          <w:color w:val="000000"/>
          <w:spacing w:val="4"/>
          <w:w w:val="85"/>
          <w:sz w:val="20"/>
          <w:szCs w:val="20"/>
          <w:lang w:val="de-CH"/>
        </w:rPr>
        <w:t>Source:</w:t>
      </w:r>
      <w:r w:rsidRPr="00F76145">
        <w:rPr>
          <w:rFonts w:ascii="Arial" w:eastAsia="ArialMT" w:hAnsi="Arial" w:cs="Arial"/>
          <w:color w:val="000000"/>
          <w:spacing w:val="4"/>
          <w:w w:val="85"/>
          <w:sz w:val="20"/>
          <w:szCs w:val="20"/>
          <w:lang w:val="de-CH"/>
        </w:rPr>
        <w:t xml:space="preserve"> M. Westenfelder: “Medizinische und juristische Aspekte zur Behandlung intersexueller Differenzierungsstörungen,” </w:t>
      </w:r>
      <w:r w:rsidRPr="00F76145">
        <w:rPr>
          <w:rFonts w:ascii="Arial" w:eastAsia="Arial-ItalicMT" w:hAnsi="Arial" w:cs="Arial"/>
          <w:i/>
          <w:iCs/>
          <w:color w:val="000000"/>
          <w:spacing w:val="4"/>
          <w:w w:val="85"/>
          <w:sz w:val="20"/>
          <w:szCs w:val="20"/>
          <w:lang w:val="de-CH"/>
        </w:rPr>
        <w:t>Der Urologe</w:t>
      </w:r>
      <w:r w:rsidRPr="00F76145">
        <w:rPr>
          <w:rFonts w:ascii="Arial" w:eastAsia="ArialMT" w:hAnsi="Arial" w:cs="Arial"/>
          <w:color w:val="000000"/>
          <w:spacing w:val="4"/>
          <w:w w:val="85"/>
          <w:sz w:val="20"/>
          <w:szCs w:val="20"/>
          <w:lang w:val="de-CH"/>
        </w:rPr>
        <w:t xml:space="preserve"> 5 / 2011 p. 593–599.</w:t>
      </w:r>
    </w:p>
    <w:p w14:paraId="2CCBDCEF" w14:textId="77777777" w:rsidR="00FD51FE" w:rsidRPr="00306025" w:rsidRDefault="00FD51FE" w:rsidP="00FD51FE">
      <w:pPr>
        <w:autoSpaceDE w:val="0"/>
        <w:jc w:val="center"/>
      </w:pPr>
      <w:r w:rsidRPr="00306025">
        <w:rPr>
          <w:rFonts w:ascii="Arial" w:eastAsia="Arial-BoldMT" w:hAnsi="Arial" w:cs="Arial"/>
          <w:b/>
          <w:noProof/>
          <w:color w:val="000000"/>
          <w:spacing w:val="4"/>
          <w:w w:val="85"/>
          <w:sz w:val="20"/>
          <w:szCs w:val="20"/>
          <w:lang w:val="de-CH" w:eastAsia="de-CH" w:bidi="ar-SA"/>
        </w:rPr>
        <w:drawing>
          <wp:inline distT="0" distB="0" distL="0" distR="0" wp14:anchorId="1A15FD4D" wp14:editId="58A34458">
            <wp:extent cx="3597910" cy="2486660"/>
            <wp:effectExtent l="0" t="0" r="0" b="0"/>
            <wp:docPr id="24" name="Bild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97910" cy="2486660"/>
                    </a:xfrm>
                    <a:prstGeom prst="rect">
                      <a:avLst/>
                    </a:prstGeom>
                    <a:solidFill>
                      <a:srgbClr val="FFFFFF"/>
                    </a:solidFill>
                    <a:ln>
                      <a:noFill/>
                    </a:ln>
                  </pic:spPr>
                </pic:pic>
              </a:graphicData>
            </a:graphic>
          </wp:inline>
        </w:drawing>
      </w:r>
    </w:p>
    <w:p w14:paraId="23E79385" w14:textId="77777777" w:rsidR="00FD51FE" w:rsidRPr="00306025" w:rsidRDefault="00FD51FE" w:rsidP="00FD51FE">
      <w:pPr>
        <w:autoSpaceDE w:val="0"/>
        <w:jc w:val="center"/>
        <w:rPr>
          <w:rFonts w:ascii="Arial" w:eastAsia="Arial-BoldMT" w:hAnsi="Arial" w:cs="Arial"/>
          <w:b/>
          <w:bCs/>
          <w:color w:val="000000"/>
          <w:spacing w:val="4"/>
          <w:w w:val="85"/>
          <w:sz w:val="20"/>
          <w:szCs w:val="20"/>
        </w:rPr>
      </w:pPr>
      <w:r w:rsidRPr="00306025">
        <w:rPr>
          <w:rFonts w:ascii="Arial" w:hAnsi="Arial" w:cs="Arial"/>
          <w:noProof/>
          <w:lang w:val="de-CH" w:eastAsia="de-CH" w:bidi="ar-SA"/>
        </w:rPr>
        <w:drawing>
          <wp:inline distT="0" distB="0" distL="0" distR="0" wp14:anchorId="0A81C7DA" wp14:editId="2FDCAE8B">
            <wp:extent cx="3589020" cy="2478405"/>
            <wp:effectExtent l="0" t="0" r="0" b="0"/>
            <wp:docPr id="25" name="Bild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89020" cy="2478405"/>
                    </a:xfrm>
                    <a:prstGeom prst="rect">
                      <a:avLst/>
                    </a:prstGeom>
                    <a:solidFill>
                      <a:srgbClr val="FFFFFF"/>
                    </a:solidFill>
                    <a:ln>
                      <a:noFill/>
                    </a:ln>
                  </pic:spPr>
                </pic:pic>
              </a:graphicData>
            </a:graphic>
          </wp:inline>
        </w:drawing>
      </w:r>
    </w:p>
    <w:p w14:paraId="06130EDD" w14:textId="77777777" w:rsidR="00FD51FE" w:rsidRPr="00306025" w:rsidRDefault="00FD51FE" w:rsidP="00FD51FE">
      <w:pPr>
        <w:autoSpaceDE w:val="0"/>
        <w:jc w:val="center"/>
        <w:rPr>
          <w:rFonts w:ascii="Arial" w:eastAsia="ArialMT" w:hAnsi="Arial" w:cs="Arial"/>
          <w:color w:val="000000"/>
          <w:spacing w:val="4"/>
          <w:w w:val="85"/>
          <w:sz w:val="20"/>
          <w:szCs w:val="20"/>
        </w:rPr>
      </w:pPr>
      <w:r w:rsidRPr="00306025">
        <w:rPr>
          <w:rFonts w:ascii="Arial" w:eastAsia="Arial-BoldMT" w:hAnsi="Arial" w:cs="Arial"/>
          <w:b/>
          <w:bCs/>
          <w:color w:val="000000"/>
          <w:spacing w:val="4"/>
          <w:w w:val="85"/>
          <w:sz w:val="20"/>
          <w:szCs w:val="20"/>
        </w:rPr>
        <w:t>Source:</w:t>
      </w:r>
      <w:r w:rsidRPr="00306025">
        <w:rPr>
          <w:rFonts w:ascii="Arial" w:eastAsia="ArialMT" w:hAnsi="Arial" w:cs="Arial"/>
          <w:color w:val="000000"/>
          <w:spacing w:val="4"/>
          <w:w w:val="85"/>
          <w:sz w:val="20"/>
          <w:szCs w:val="20"/>
        </w:rPr>
        <w:t xml:space="preserve"> J. L. Pippi Salle: “Decisions and Dilemmas in the Management</w:t>
      </w:r>
    </w:p>
    <w:p w14:paraId="242DFAF2" w14:textId="77777777" w:rsidR="00FD51FE" w:rsidRPr="00306025" w:rsidRDefault="00FD51FE" w:rsidP="00FD51FE">
      <w:pPr>
        <w:autoSpaceDE w:val="0"/>
        <w:jc w:val="center"/>
        <w:rPr>
          <w:rFonts w:eastAsia="ArialMT"/>
          <w:color w:val="000000"/>
          <w:spacing w:val="4"/>
          <w:w w:val="85"/>
          <w:sz w:val="20"/>
          <w:szCs w:val="20"/>
        </w:rPr>
      </w:pPr>
      <w:r w:rsidRPr="00306025">
        <w:rPr>
          <w:rFonts w:ascii="Arial" w:eastAsia="ArialMT" w:hAnsi="Arial" w:cs="Arial"/>
          <w:color w:val="000000"/>
          <w:spacing w:val="4"/>
          <w:w w:val="85"/>
          <w:sz w:val="20"/>
          <w:szCs w:val="20"/>
        </w:rPr>
        <w:t>of Disorders of Sexual [sic!] Development (DSD)”, 2007, at</w:t>
      </w:r>
      <w:r w:rsidRPr="00306025">
        <w:rPr>
          <w:rFonts w:eastAsia="ArialMT"/>
          <w:color w:val="000000"/>
          <w:spacing w:val="4"/>
          <w:w w:val="85"/>
          <w:sz w:val="20"/>
          <w:szCs w:val="20"/>
        </w:rPr>
        <w:t xml:space="preserve"> 20.</w:t>
      </w:r>
    </w:p>
    <w:p w14:paraId="1300D468" w14:textId="77777777" w:rsidR="00FD51FE" w:rsidRPr="00306025" w:rsidRDefault="00FD51FE" w:rsidP="00FD51FE">
      <w:pPr>
        <w:autoSpaceDE w:val="0"/>
        <w:spacing w:line="288" w:lineRule="auto"/>
        <w:jc w:val="both"/>
        <w:textAlignment w:val="center"/>
        <w:rPr>
          <w:rFonts w:ascii="Arial" w:eastAsia="Arial-BoldMT" w:hAnsi="Arial" w:cs="Arial"/>
          <w:b/>
          <w:bCs/>
          <w:color w:val="000000"/>
          <w:spacing w:val="2"/>
          <w:w w:val="90"/>
        </w:rPr>
      </w:pPr>
    </w:p>
    <w:p w14:paraId="36EDD6E2" w14:textId="77777777" w:rsidR="008F74ED" w:rsidRPr="00306025" w:rsidRDefault="008F74ED" w:rsidP="00FD51FE">
      <w:pPr>
        <w:widowControl/>
        <w:suppressAutoHyphens w:val="0"/>
        <w:textAlignment w:val="auto"/>
        <w:rPr>
          <w:rFonts w:eastAsia="Baskerville" w:cs="Baskerville"/>
          <w:color w:val="000000"/>
          <w:spacing w:val="2"/>
          <w:sz w:val="26"/>
          <w:szCs w:val="26"/>
        </w:rPr>
      </w:pPr>
    </w:p>
    <w:sectPr w:rsidR="008F74ED" w:rsidRPr="00306025" w:rsidSect="0051253E">
      <w:headerReference w:type="even" r:id="rId37"/>
      <w:headerReference w:type="default" r:id="rId38"/>
      <w:footerReference w:type="even" r:id="rId39"/>
      <w:footerReference w:type="default" r:id="rId40"/>
      <w:headerReference w:type="first" r:id="rId41"/>
      <w:footerReference w:type="first" r:id="rId42"/>
      <w:pgSz w:w="11906" w:h="16838"/>
      <w:pgMar w:top="1134" w:right="1134" w:bottom="1077"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CA8F19" w14:textId="77777777" w:rsidR="0059324E" w:rsidRDefault="0059324E">
      <w:r>
        <w:separator/>
      </w:r>
    </w:p>
  </w:endnote>
  <w:endnote w:type="continuationSeparator" w:id="0">
    <w:p w14:paraId="1364005F" w14:textId="77777777" w:rsidR="0059324E" w:rsidRDefault="00593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w:altName w:val="Cambria Math"/>
    <w:charset w:val="00"/>
    <w:family w:val="roman"/>
    <w:pitch w:val="variable"/>
    <w:sig w:usb0="00000001"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80"/>
    <w:family w:val="auto"/>
    <w:pitch w:val="default"/>
  </w:font>
  <w:font w:name="Baskerville-SemiBold">
    <w:altName w:val="Baskerville SemiBold"/>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nionPro-Regular">
    <w:altName w:val="Heiti TC Light"/>
    <w:charset w:val="80"/>
    <w:family w:val="auto"/>
    <w:pitch w:val="default"/>
  </w:font>
  <w:font w:name="Helvetica-Bold">
    <w:altName w:val="Yu Gothic"/>
    <w:charset w:val="00"/>
    <w:family w:val="auto"/>
    <w:pitch w:val="variable"/>
    <w:sig w:usb0="E00002FF"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Yu Gothic"/>
    <w:charset w:val="80"/>
    <w:family w:val="swiss"/>
    <w:pitch w:val="default"/>
  </w:font>
  <w:font w:name="Cambria">
    <w:panose1 w:val="02040503050406030204"/>
    <w:charset w:val="00"/>
    <w:family w:val="roman"/>
    <w:pitch w:val="variable"/>
    <w:sig w:usb0="E00002FF" w:usb1="400004FF" w:usb2="00000000" w:usb3="00000000" w:csb0="0000019F" w:csb1="00000000"/>
  </w:font>
  <w:font w:name="Arial Black">
    <w:altName w:val="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Baskerville-Bold">
    <w:altName w:val="Baskerville SemiBold"/>
    <w:charset w:val="00"/>
    <w:family w:val="roman"/>
    <w:pitch w:val="variable"/>
    <w:sig w:usb0="00000001" w:usb1="02000000" w:usb2="00000000" w:usb3="00000000" w:csb0="0000019F" w:csb1="00000000"/>
  </w:font>
  <w:font w:name="ArialMT">
    <w:altName w:val="Arial Unicode MS"/>
    <w:charset w:val="8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skerville-SemiBoldItalic">
    <w:altName w:val="Baskerville SemiBold Italic"/>
    <w:charset w:val="00"/>
    <w:family w:val="roman"/>
    <w:pitch w:val="variable"/>
    <w:sig w:usb0="80000067" w:usb1="02000040" w:usb2="00000000" w:usb3="00000000" w:csb0="0000019F" w:csb1="00000000"/>
  </w:font>
  <w:font w:name="HelveticaNeue-Bold">
    <w:altName w:val="MS Mincho"/>
    <w:charset w:val="80"/>
    <w:family w:val="auto"/>
    <w:pitch w:val="default"/>
  </w:font>
  <w:font w:name="HelveticaNeue">
    <w:charset w:val="80"/>
    <w:family w:val="auto"/>
    <w:pitch w:val="default"/>
  </w:font>
  <w:font w:name="HelveticaNeue-Italic">
    <w:altName w:val="MS Mincho"/>
    <w:charset w:val="80"/>
    <w:family w:val="script"/>
    <w:pitch w:val="default"/>
  </w:font>
  <w:font w:name="Times-Roman">
    <w:altName w:val="MS PMincho"/>
    <w:charset w:val="80"/>
    <w:family w:val="roman"/>
    <w:pitch w:val="default"/>
  </w:font>
  <w:font w:name="Arial-ItalicMT">
    <w:altName w:val="MS Mincho"/>
    <w:charset w:val="80"/>
    <w:family w:val="script"/>
    <w:pitch w:val="default"/>
  </w:font>
  <w:font w:name="Arial-BoldItalicMT">
    <w:altName w:val="MS Mincho"/>
    <w:charset w:val="80"/>
    <w:family w:val="script"/>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EDABC" w14:textId="77777777" w:rsidR="003E4D01" w:rsidRDefault="003E4D01" w:rsidP="00394C5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764F605" w14:textId="77777777" w:rsidR="003E4D01" w:rsidRDefault="003E4D01">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B6032" w14:textId="77777777" w:rsidR="003E4D01" w:rsidRPr="000A3113" w:rsidRDefault="003E4D01" w:rsidP="00394C56">
    <w:pPr>
      <w:pStyle w:val="Fuzeile"/>
      <w:framePr w:wrap="around" w:vAnchor="text" w:hAnchor="margin" w:xAlign="center" w:y="1"/>
      <w:rPr>
        <w:rStyle w:val="Seitenzahl"/>
        <w:b/>
      </w:rPr>
    </w:pPr>
    <w:r w:rsidRPr="000A3113">
      <w:rPr>
        <w:rStyle w:val="Seitenzahl"/>
        <w:b/>
      </w:rPr>
      <w:fldChar w:fldCharType="begin"/>
    </w:r>
    <w:r w:rsidRPr="000A3113">
      <w:rPr>
        <w:rStyle w:val="Seitenzahl"/>
        <w:b/>
      </w:rPr>
      <w:instrText xml:space="preserve">PAGE  </w:instrText>
    </w:r>
    <w:r w:rsidRPr="000A3113">
      <w:rPr>
        <w:rStyle w:val="Seitenzahl"/>
        <w:b/>
      </w:rPr>
      <w:fldChar w:fldCharType="separate"/>
    </w:r>
    <w:r w:rsidR="00DA20F1">
      <w:rPr>
        <w:rStyle w:val="Seitenzahl"/>
        <w:b/>
        <w:noProof/>
      </w:rPr>
      <w:t>3</w:t>
    </w:r>
    <w:r w:rsidRPr="000A3113">
      <w:rPr>
        <w:rStyle w:val="Seitenzahl"/>
        <w:b/>
      </w:rPr>
      <w:fldChar w:fldCharType="end"/>
    </w:r>
  </w:p>
  <w:p w14:paraId="2EBAD648" w14:textId="77777777" w:rsidR="003E4D01" w:rsidRPr="000A3113" w:rsidRDefault="003E4D01">
    <w:pPr>
      <w:pStyle w:val="Fuzeile"/>
      <w:rPr>
        <w: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DCAB53" w14:textId="77777777" w:rsidR="003E4D01" w:rsidRDefault="003E4D0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C69AD1" w14:textId="77777777" w:rsidR="0059324E" w:rsidRDefault="0059324E">
      <w:r>
        <w:separator/>
      </w:r>
    </w:p>
  </w:footnote>
  <w:footnote w:type="continuationSeparator" w:id="0">
    <w:p w14:paraId="0CD4F7F4" w14:textId="77777777" w:rsidR="0059324E" w:rsidRDefault="0059324E">
      <w:r>
        <w:continuationSeparator/>
      </w:r>
    </w:p>
  </w:footnote>
  <w:footnote w:id="1">
    <w:p w14:paraId="28FEAB68" w14:textId="77777777" w:rsidR="003E4D01" w:rsidRPr="0070408F" w:rsidRDefault="003E4D01" w:rsidP="00411DBE">
      <w:pPr>
        <w:pStyle w:val="fussnoteschattenbericht"/>
      </w:pPr>
      <w:r w:rsidRPr="00FD51FE">
        <w:rPr>
          <w:rStyle w:val="Funotenzeichen"/>
          <w:vertAlign w:val="baseline"/>
        </w:rPr>
        <w:footnoteRef/>
      </w:r>
      <w:r w:rsidRPr="00F81BC5">
        <w:rPr>
          <w:rStyle w:val="Funotenzeichen"/>
        </w:rPr>
        <w:tab/>
      </w:r>
      <w:hyperlink r:id="rId1" w:history="1">
        <w:r w:rsidRPr="001B3353">
          <w:rPr>
            <w:rStyle w:val="Hyperlink"/>
            <w:spacing w:val="0"/>
            <w:lang w:val="en-US"/>
          </w:rPr>
          <w:t>https://Zwischengeschlecht.org/</w:t>
        </w:r>
      </w:hyperlink>
      <w:r>
        <w:rPr>
          <w:rStyle w:val="Hyperlink"/>
          <w:spacing w:val="0"/>
          <w:lang w:val="en-US"/>
        </w:rPr>
        <w:t xml:space="preserve"> </w:t>
      </w:r>
      <w:r w:rsidRPr="0070408F">
        <w:t xml:space="preserve"> English </w:t>
      </w:r>
      <w:r>
        <w:t>homepage</w:t>
      </w:r>
      <w:r w:rsidRPr="0070408F">
        <w:t xml:space="preserve">: </w:t>
      </w:r>
      <w:hyperlink r:id="rId2" w:history="1">
        <w:r w:rsidRPr="001B3353">
          <w:rPr>
            <w:rStyle w:val="Hyperlink"/>
            <w:spacing w:val="0"/>
            <w:lang w:val="en-US"/>
          </w:rPr>
          <w:t>https://StopIGM.org</w:t>
        </w:r>
      </w:hyperlink>
      <w:r>
        <w:t xml:space="preserve"> </w:t>
      </w:r>
    </w:p>
  </w:footnote>
  <w:footnote w:id="2">
    <w:p w14:paraId="4D0270CC" w14:textId="77777777" w:rsidR="003E4D01" w:rsidRPr="0070408F" w:rsidRDefault="003E4D01" w:rsidP="00411DBE">
      <w:pPr>
        <w:pStyle w:val="fussnoteschattenbericht"/>
      </w:pPr>
      <w:r w:rsidRPr="00FD51FE">
        <w:rPr>
          <w:rStyle w:val="Funotenzeichen"/>
          <w:vertAlign w:val="baseline"/>
        </w:rPr>
        <w:footnoteRef/>
      </w:r>
      <w:r w:rsidRPr="0070408F">
        <w:tab/>
      </w:r>
      <w:hyperlink r:id="rId3" w:history="1">
        <w:r w:rsidRPr="001B3353">
          <w:rPr>
            <w:rStyle w:val="Hyperlink"/>
            <w:spacing w:val="0"/>
            <w:lang w:val="en-US"/>
          </w:rPr>
          <w:t>https://zwischengeschlecht.org/post/Statuten</w:t>
        </w:r>
      </w:hyperlink>
      <w:r>
        <w:rPr>
          <w:rStyle w:val="Hyperlink"/>
          <w:spacing w:val="0"/>
          <w:lang w:val="en-US"/>
        </w:rPr>
        <w:t xml:space="preserve"> </w:t>
      </w:r>
    </w:p>
  </w:footnote>
  <w:footnote w:id="3">
    <w:p w14:paraId="71AE2EE7" w14:textId="77777777" w:rsidR="003E4D01" w:rsidRPr="00E37983" w:rsidRDefault="003E4D01" w:rsidP="00411DBE">
      <w:pPr>
        <w:pStyle w:val="fussnoteschattenbericht"/>
      </w:pPr>
      <w:r w:rsidRPr="00FD51FE">
        <w:rPr>
          <w:rStyle w:val="Funotenzeichen"/>
          <w:vertAlign w:val="baseline"/>
        </w:rPr>
        <w:footnoteRef/>
      </w:r>
      <w:r w:rsidRPr="00FD51FE">
        <w:rPr>
          <w:rStyle w:val="Funotenzeichen"/>
          <w:vertAlign w:val="baseline"/>
        </w:rPr>
        <w:t xml:space="preserve"> </w:t>
      </w:r>
      <w:r>
        <w:tab/>
      </w:r>
      <w:hyperlink r:id="rId4" w:history="1">
        <w:r w:rsidRPr="001B3353">
          <w:rPr>
            <w:rStyle w:val="Hyperlink"/>
            <w:lang w:eastAsia="en-US"/>
          </w:rPr>
          <w:t>https://intersex.shadowreport.org</w:t>
        </w:r>
      </w:hyperlink>
    </w:p>
  </w:footnote>
  <w:footnote w:id="4">
    <w:p w14:paraId="424A4A3B" w14:textId="77777777" w:rsidR="003E4D01" w:rsidRDefault="003E4D01" w:rsidP="00411DBE">
      <w:pPr>
        <w:pStyle w:val="fussnoteschattenbericht"/>
      </w:pPr>
      <w:r w:rsidRPr="00FD51FE">
        <w:rPr>
          <w:rStyle w:val="Funotenzeichen"/>
          <w:vertAlign w:val="baseline"/>
        </w:rPr>
        <w:footnoteRef/>
      </w:r>
      <w:r w:rsidRPr="00651DA7">
        <w:rPr>
          <w:rStyle w:val="Funotenzeichen"/>
        </w:rPr>
        <w:t xml:space="preserve"> </w:t>
      </w:r>
      <w:r>
        <w:tab/>
      </w:r>
      <w:hyperlink r:id="rId5" w:history="1">
        <w:r w:rsidRPr="001B3353">
          <w:rPr>
            <w:rStyle w:val="Hyperlink"/>
          </w:rPr>
          <w:t>https://stopigm.org/post/IAD-2016-Soon-20-UN-Reprimands-for-Intersex-Genital-Mutilations</w:t>
        </w:r>
      </w:hyperlink>
      <w:r>
        <w:t xml:space="preserve"> </w:t>
      </w:r>
    </w:p>
  </w:footnote>
  <w:footnote w:id="5">
    <w:p w14:paraId="6DD9008B" w14:textId="2A303DF3" w:rsidR="003E4D01" w:rsidRPr="00545E7D" w:rsidRDefault="003E4D01" w:rsidP="00E043AE">
      <w:pPr>
        <w:pStyle w:val="fussnoteschattenbericht"/>
      </w:pPr>
      <w:r w:rsidRPr="00545E7D">
        <w:rPr>
          <w:rStyle w:val="Funotenzeichen"/>
          <w:vertAlign w:val="baseline"/>
        </w:rPr>
        <w:footnoteRef/>
      </w:r>
      <w:r w:rsidRPr="00545E7D">
        <w:t xml:space="preserve"> </w:t>
      </w:r>
      <w:r w:rsidRPr="00545E7D">
        <w:tab/>
      </w:r>
      <w:hyperlink r:id="rId6" w:history="1">
        <w:r w:rsidRPr="00545E7D">
          <w:rPr>
            <w:rStyle w:val="Hyperlink"/>
            <w:sz w:val="19"/>
            <w:szCs w:val="19"/>
          </w:rPr>
          <w:t>https://intersex.shadowreport.org/public/2018-CRPD-LOIPR-Germany-NGO-Zwischengeschlecht-Intersex-IGM.pdf</w:t>
        </w:r>
      </w:hyperlink>
      <w:r w:rsidRPr="00545E7D">
        <w:rPr>
          <w:sz w:val="19"/>
          <w:szCs w:val="19"/>
        </w:rPr>
        <w:t xml:space="preserve">  </w:t>
      </w:r>
    </w:p>
  </w:footnote>
  <w:footnote w:id="6">
    <w:p w14:paraId="4DC2DAA8" w14:textId="497C86DA" w:rsidR="003E4D01" w:rsidRPr="00584531" w:rsidRDefault="003E4D01" w:rsidP="00E043AE">
      <w:pPr>
        <w:pStyle w:val="fussnoteschattenbericht"/>
      </w:pPr>
      <w:r w:rsidRPr="00545E7D">
        <w:rPr>
          <w:rStyle w:val="Funotenzeichen"/>
          <w:vertAlign w:val="baseline"/>
        </w:rPr>
        <w:footnoteRef/>
      </w:r>
      <w:r w:rsidRPr="00545E7D">
        <w:t xml:space="preserve"> </w:t>
      </w:r>
      <w:r w:rsidRPr="00545E7D">
        <w:tab/>
      </w:r>
      <w:hyperlink r:id="rId7" w:history="1">
        <w:r w:rsidRPr="00545E7D">
          <w:rPr>
            <w:rStyle w:val="Hyperlink"/>
          </w:rPr>
          <w:t>https://intersex.shadowreport.org/public/2022-CRC-Germany-NGO-Intersex-StopIGM.pdf</w:t>
        </w:r>
      </w:hyperlink>
      <w:r>
        <w:t xml:space="preserve"> </w:t>
      </w:r>
    </w:p>
  </w:footnote>
  <w:footnote w:id="7">
    <w:p w14:paraId="32DEA082" w14:textId="1D6F3C1A" w:rsidR="003E4D01" w:rsidRDefault="003E4D01" w:rsidP="003D776A">
      <w:pPr>
        <w:pStyle w:val="fussnoteschattenbericht"/>
      </w:pPr>
      <w:r>
        <w:footnoteRef/>
      </w:r>
      <w:r>
        <w:tab/>
        <w:t>Statement supported by Germany (and 34 other States) during the 45</w:t>
      </w:r>
      <w:r w:rsidRPr="00C04579">
        <w:rPr>
          <w:vertAlign w:val="superscript"/>
        </w:rPr>
        <w:t>th</w:t>
      </w:r>
      <w:r>
        <w:t xml:space="preserve"> Session of the Human Rights Council on 1 October 2020, </w:t>
      </w:r>
      <w:hyperlink r:id="rId8" w:history="1">
        <w:r w:rsidRPr="00B97E1B">
          <w:rPr>
            <w:rStyle w:val="Hyperlink"/>
          </w:rPr>
          <w:t>https://www.dfat.gov.au/international-relations/themes/human-rights/hrc-statements/45th-session-human-rights-council/joint-statement-led-austria-rights-intersex-persons</w:t>
        </w:r>
      </w:hyperlink>
      <w:r>
        <w:t xml:space="preserve"> </w:t>
      </w:r>
    </w:p>
  </w:footnote>
  <w:footnote w:id="8">
    <w:p w14:paraId="21C05D51" w14:textId="1A876EAA" w:rsidR="003E4D01" w:rsidRPr="00FC7C49" w:rsidRDefault="003E4D01" w:rsidP="003D776A">
      <w:pPr>
        <w:pStyle w:val="fussnoteschattenbericht"/>
        <w:rPr>
          <w:rStyle w:val="Hyperlink"/>
        </w:rPr>
      </w:pPr>
      <w:r>
        <w:footnoteRef/>
      </w:r>
      <w:r>
        <w:tab/>
        <w:t>Statement supported by Germany (and 52 other States) during the 48</w:t>
      </w:r>
      <w:r w:rsidRPr="00C04579">
        <w:rPr>
          <w:vertAlign w:val="superscript"/>
        </w:rPr>
        <w:t>th</w:t>
      </w:r>
      <w:r>
        <w:t xml:space="preserve"> Session of the Human Rights Council on 4 October 2021, </w:t>
      </w:r>
      <w:hyperlink r:id="rId9" w:history="1">
        <w:r w:rsidRPr="007041EF">
          <w:rPr>
            <w:rStyle w:val="Hyperlink"/>
          </w:rPr>
          <w:t>https://www.bmeia.gv.at/oev-genf/speeches/alle/2021/10/united-nations-human-rights-council-48th-session-joint-statement-on-the-human-rights-of-intersex-persons/</w:t>
        </w:r>
      </w:hyperlink>
      <w:r>
        <w:t xml:space="preserve"> </w:t>
      </w:r>
    </w:p>
  </w:footnote>
  <w:footnote w:id="9">
    <w:p w14:paraId="4456B983" w14:textId="30DAE738" w:rsidR="003E4D01" w:rsidRPr="005B1858" w:rsidRDefault="003E4D01" w:rsidP="006A0510">
      <w:pPr>
        <w:pStyle w:val="fussnoteschattenbericht"/>
      </w:pPr>
      <w:r w:rsidRPr="00AB57F6">
        <w:rPr>
          <w:rStyle w:val="FootnoteSymbol"/>
        </w:rPr>
        <w:footnoteRef/>
      </w:r>
      <w:r w:rsidRPr="00AB57F6">
        <w:rPr>
          <w:rStyle w:val="FootnoteSymbol"/>
        </w:rPr>
        <w:t xml:space="preserve"> </w:t>
      </w:r>
      <w:r>
        <w:tab/>
        <w:t xml:space="preserve">See </w:t>
      </w:r>
      <w:hyperlink r:id="rId10" w:history="1">
        <w:r w:rsidRPr="00005056">
          <w:rPr>
            <w:rStyle w:val="Hyperlink"/>
            <w:lang w:val="en-US"/>
          </w:rPr>
          <w:t>https://stopigm.org/post/IAD-2016-Soon-20-UN-Reprimands-for-Intersex-Genital-Mutilations</w:t>
        </w:r>
      </w:hyperlink>
      <w:r>
        <w:t xml:space="preserve"> </w:t>
      </w:r>
    </w:p>
  </w:footnote>
  <w:footnote w:id="10">
    <w:p w14:paraId="323A2284" w14:textId="54AC4162" w:rsidR="003E4D01" w:rsidRDefault="003E4D01" w:rsidP="00F93F7A">
      <w:pPr>
        <w:pStyle w:val="fussnoteschattenbericht"/>
      </w:pPr>
      <w:r w:rsidRPr="00F67750">
        <w:rPr>
          <w:rStyle w:val="Funotenzeichen"/>
          <w:vertAlign w:val="baseline"/>
        </w:rPr>
        <w:footnoteRef/>
      </w:r>
      <w:r w:rsidRPr="00F67750">
        <w:rPr>
          <w:lang w:val="de-CH"/>
        </w:rPr>
        <w:t xml:space="preserve"> </w:t>
      </w:r>
      <w:r w:rsidRPr="006D27E1">
        <w:rPr>
          <w:lang w:val="de-CH"/>
        </w:rPr>
        <w:tab/>
      </w:r>
      <w:proofErr w:type="spellStart"/>
      <w:r w:rsidRPr="006D27E1">
        <w:rPr>
          <w:lang w:val="de-CH"/>
        </w:rPr>
        <w:t>Josch</w:t>
      </w:r>
      <w:proofErr w:type="spellEnd"/>
      <w:r w:rsidRPr="006D27E1">
        <w:rPr>
          <w:lang w:val="de-CH"/>
        </w:rPr>
        <w:t xml:space="preserve"> </w:t>
      </w:r>
      <w:proofErr w:type="spellStart"/>
      <w:r w:rsidRPr="006D27E1">
        <w:rPr>
          <w:lang w:val="de-CH"/>
        </w:rPr>
        <w:t>Hoenes</w:t>
      </w:r>
      <w:proofErr w:type="spellEnd"/>
      <w:r w:rsidRPr="006D27E1">
        <w:rPr>
          <w:lang w:val="de-CH"/>
        </w:rPr>
        <w:t xml:space="preserve">, Eugen </w:t>
      </w:r>
      <w:proofErr w:type="spellStart"/>
      <w:r w:rsidRPr="006D27E1">
        <w:rPr>
          <w:lang w:val="de-CH"/>
        </w:rPr>
        <w:t>Januschke</w:t>
      </w:r>
      <w:proofErr w:type="spellEnd"/>
      <w:r w:rsidRPr="006D27E1">
        <w:rPr>
          <w:lang w:val="de-CH"/>
        </w:rPr>
        <w:t>, Ulrike Klöppel (2019), “Häufigkeit normangleichender Operationen ‘</w:t>
      </w:r>
      <w:proofErr w:type="spellStart"/>
      <w:r w:rsidRPr="006D27E1">
        <w:rPr>
          <w:lang w:val="de-CH"/>
        </w:rPr>
        <w:t>uneindeutiger</w:t>
      </w:r>
      <w:proofErr w:type="spellEnd"/>
      <w:r w:rsidRPr="006D27E1">
        <w:rPr>
          <w:lang w:val="de-CH"/>
        </w:rPr>
        <w:t xml:space="preserve">’ Genitalien im Kindesalter. </w:t>
      </w:r>
      <w:r>
        <w:t>Follow Up-</w:t>
      </w:r>
      <w:proofErr w:type="spellStart"/>
      <w:r w:rsidRPr="00767323">
        <w:t>Studie</w:t>
      </w:r>
      <w:proofErr w:type="spellEnd"/>
      <w:r w:rsidRPr="00767323">
        <w:t xml:space="preserve">”, </w:t>
      </w:r>
      <w:hyperlink r:id="rId11" w:history="1">
        <w:r w:rsidRPr="00E40706">
          <w:rPr>
            <w:rStyle w:val="Hyperlink"/>
          </w:rPr>
          <w:t>https://omp.ub.rub.de/index.php/RUB/catalog/view/113/99/604-4</w:t>
        </w:r>
      </w:hyperlink>
      <w:r>
        <w:t xml:space="preserve"> </w:t>
      </w:r>
    </w:p>
  </w:footnote>
  <w:footnote w:id="11">
    <w:p w14:paraId="7B4AEEC0" w14:textId="77777777" w:rsidR="003E4D01" w:rsidRPr="006D27E1" w:rsidRDefault="003E4D01" w:rsidP="00A912FF">
      <w:pPr>
        <w:pStyle w:val="fussnoteschattenbericht"/>
        <w:spacing w:line="264" w:lineRule="auto"/>
        <w:ind w:hanging="448"/>
        <w:rPr>
          <w:lang w:val="de-CH"/>
        </w:rPr>
      </w:pPr>
      <w:r w:rsidRPr="004B31AF">
        <w:rPr>
          <w:rStyle w:val="Funotenzeichen"/>
          <w:vertAlign w:val="baseline"/>
        </w:rPr>
        <w:footnoteRef/>
      </w:r>
      <w:r w:rsidRPr="004B31AF">
        <w:rPr>
          <w:lang w:val="de-CH"/>
        </w:rPr>
        <w:t xml:space="preserve"> </w:t>
      </w:r>
      <w:r w:rsidRPr="006D27E1">
        <w:rPr>
          <w:lang w:val="de-CH"/>
        </w:rPr>
        <w:tab/>
        <w:t>Statistisches Bundesamt (</w:t>
      </w:r>
      <w:proofErr w:type="spellStart"/>
      <w:r w:rsidRPr="006D27E1">
        <w:rPr>
          <w:lang w:val="de-CH"/>
        </w:rPr>
        <w:t>Destatis</w:t>
      </w:r>
      <w:proofErr w:type="spellEnd"/>
      <w:r w:rsidRPr="006D27E1">
        <w:rPr>
          <w:lang w:val="de-CH"/>
        </w:rPr>
        <w:t xml:space="preserve">) (2017), “DRG-Statistik 2016. Operationen und Prozeduren auf Basis des 4-stelligen OPS der vollstationären Patientinnen und Patienten in Krankenhäusern”, p. 50, </w:t>
      </w:r>
      <w:hyperlink r:id="rId12" w:history="1">
        <w:r w:rsidRPr="006D27E1">
          <w:rPr>
            <w:rStyle w:val="Hyperlink"/>
            <w:sz w:val="16"/>
            <w:szCs w:val="16"/>
            <w:lang w:val="de-CH"/>
          </w:rPr>
          <w:t>https://www.statistischebibliothek.de/mir/servlets/MCRFileNodeServlet/DEHeft_derivate_00048786/5231401167014_korr16012018.pdf</w:t>
        </w:r>
      </w:hyperlink>
      <w:r w:rsidRPr="006D27E1">
        <w:rPr>
          <w:lang w:val="de-CH"/>
        </w:rPr>
        <w:t xml:space="preserve"> </w:t>
      </w:r>
    </w:p>
  </w:footnote>
  <w:footnote w:id="12">
    <w:p w14:paraId="359ABCE8" w14:textId="77777777" w:rsidR="003E4D01" w:rsidRPr="00260F1A" w:rsidRDefault="003E4D01" w:rsidP="00A912FF">
      <w:pPr>
        <w:pStyle w:val="fussnoteschattenbericht"/>
        <w:spacing w:line="264" w:lineRule="auto"/>
        <w:ind w:hanging="448"/>
        <w:rPr>
          <w:lang w:val="de-CH"/>
        </w:rPr>
      </w:pPr>
      <w:r w:rsidRPr="00805700">
        <w:footnoteRef/>
      </w:r>
      <w:r w:rsidRPr="00260F1A">
        <w:rPr>
          <w:lang w:val="de-CH"/>
        </w:rPr>
        <w:t xml:space="preserve"> </w:t>
      </w:r>
      <w:r w:rsidRPr="00260F1A">
        <w:rPr>
          <w:lang w:val="de-CH"/>
        </w:rPr>
        <w:tab/>
      </w:r>
      <w:hyperlink r:id="rId13" w:history="1">
        <w:r w:rsidRPr="00260F1A">
          <w:rPr>
            <w:rStyle w:val="Hyperlink"/>
            <w:sz w:val="14"/>
            <w:szCs w:val="14"/>
            <w:lang w:val="de-CH"/>
          </w:rPr>
          <w:t>https://www.bmjv.de/SharedDocs/Gesetzgebungsverfahren/Dokumente/RefE_Verbot_OP_Geschlechtsaenderung_Kind.pdf?__blob=publicationFile&amp;v=2</w:t>
        </w:r>
      </w:hyperlink>
      <w:r w:rsidRPr="00260F1A">
        <w:rPr>
          <w:lang w:val="de-CH"/>
        </w:rPr>
        <w:t xml:space="preserve"> </w:t>
      </w:r>
    </w:p>
  </w:footnote>
  <w:footnote w:id="13">
    <w:p w14:paraId="0C4DCD6D" w14:textId="77777777" w:rsidR="003E4D01" w:rsidRPr="00421B87" w:rsidRDefault="003E4D01" w:rsidP="00A912FF">
      <w:pPr>
        <w:pStyle w:val="fussnoteschattenbericht"/>
        <w:spacing w:line="264" w:lineRule="auto"/>
        <w:ind w:hanging="448"/>
      </w:pPr>
      <w:r w:rsidRPr="00805700">
        <w:footnoteRef/>
      </w:r>
      <w:r w:rsidRPr="002168A7">
        <w:t xml:space="preserve"> </w:t>
      </w:r>
      <w:r>
        <w:tab/>
        <w:t xml:space="preserve">See </w:t>
      </w:r>
      <w:hyperlink r:id="rId14" w:history="1">
        <w:r w:rsidRPr="00E40706">
          <w:rPr>
            <w:rStyle w:val="Hyperlink"/>
          </w:rPr>
          <w:t>https://stopigm.org/german-draft-law-fails-intersex-children/</w:t>
        </w:r>
      </w:hyperlink>
      <w:r>
        <w:t xml:space="preserve"> </w:t>
      </w:r>
    </w:p>
  </w:footnote>
  <w:footnote w:id="14">
    <w:p w14:paraId="1FCE8A78" w14:textId="77777777" w:rsidR="003E4D01" w:rsidRPr="00421B87" w:rsidRDefault="003E4D01" w:rsidP="00A912FF">
      <w:pPr>
        <w:pStyle w:val="fussnoteschattenbericht"/>
        <w:spacing w:line="264" w:lineRule="auto"/>
        <w:ind w:hanging="448"/>
      </w:pPr>
      <w:r w:rsidRPr="00805700">
        <w:footnoteRef/>
      </w:r>
      <w:r w:rsidRPr="002168A7">
        <w:t xml:space="preserve"> </w:t>
      </w:r>
      <w:r>
        <w:tab/>
      </w:r>
      <w:hyperlink r:id="rId15" w:history="1">
        <w:r w:rsidRPr="00E40706">
          <w:rPr>
            <w:rStyle w:val="Hyperlink"/>
          </w:rPr>
          <w:t>https://dip21.bundestag.de/dip21/btd/19/246/1924686.pdf</w:t>
        </w:r>
      </w:hyperlink>
      <w:r>
        <w:t xml:space="preserve"> </w:t>
      </w:r>
      <w:r w:rsidRPr="00421B87">
        <w:t xml:space="preserve"> </w:t>
      </w:r>
    </w:p>
  </w:footnote>
  <w:footnote w:id="15">
    <w:p w14:paraId="51A2D617" w14:textId="77777777" w:rsidR="003E4D01" w:rsidRPr="00421B87" w:rsidRDefault="003E4D01" w:rsidP="00A912FF">
      <w:pPr>
        <w:pStyle w:val="fussnoteschattenbericht"/>
        <w:spacing w:line="264" w:lineRule="auto"/>
        <w:ind w:hanging="448"/>
      </w:pPr>
      <w:r w:rsidRPr="00805700">
        <w:footnoteRef/>
      </w:r>
      <w:r w:rsidRPr="002168A7">
        <w:t xml:space="preserve"> </w:t>
      </w:r>
      <w:r>
        <w:tab/>
      </w:r>
      <w:hyperlink r:id="rId16" w:history="1">
        <w:r w:rsidRPr="00005EC6">
          <w:rPr>
            <w:rStyle w:val="Hyperlink"/>
          </w:rPr>
          <w:t>https://dserver.bundestag.de/btd/19/279/1927929.pdf</w:t>
        </w:r>
      </w:hyperlink>
      <w:r>
        <w:t xml:space="preserve"> </w:t>
      </w:r>
    </w:p>
  </w:footnote>
  <w:footnote w:id="16">
    <w:p w14:paraId="6EFC088B" w14:textId="77777777" w:rsidR="003E4D01" w:rsidRPr="00421B87" w:rsidRDefault="003E4D01" w:rsidP="00A912FF">
      <w:pPr>
        <w:pStyle w:val="fussnoteschattenbericht"/>
        <w:spacing w:line="264" w:lineRule="auto"/>
        <w:ind w:hanging="448"/>
      </w:pPr>
      <w:r w:rsidRPr="00805700">
        <w:footnoteRef/>
      </w:r>
      <w:r w:rsidRPr="002168A7">
        <w:t xml:space="preserve"> </w:t>
      </w:r>
      <w:r>
        <w:tab/>
      </w:r>
      <w:hyperlink r:id="rId17" w:history="1">
        <w:r w:rsidRPr="00005EC6">
          <w:rPr>
            <w:rStyle w:val="Hyperlink"/>
          </w:rPr>
          <w:t>https://www.bundestag.de/dokumente/textarchiv/2021/kw12-de-geschlechterentwicklung-kinder-830122</w:t>
        </w:r>
      </w:hyperlink>
      <w:r>
        <w:t xml:space="preserve"> </w:t>
      </w:r>
    </w:p>
  </w:footnote>
  <w:footnote w:id="17">
    <w:p w14:paraId="55E0B4AE" w14:textId="77777777" w:rsidR="003E4D01" w:rsidRPr="00421B87" w:rsidRDefault="003E4D01" w:rsidP="00A912FF">
      <w:pPr>
        <w:pStyle w:val="fussnoteschattenbericht"/>
        <w:spacing w:line="264" w:lineRule="auto"/>
        <w:ind w:hanging="448"/>
      </w:pPr>
      <w:r w:rsidRPr="00805700">
        <w:footnoteRef/>
      </w:r>
      <w:r w:rsidRPr="002168A7">
        <w:t xml:space="preserve"> </w:t>
      </w:r>
      <w:r>
        <w:tab/>
      </w:r>
      <w:hyperlink r:id="rId18" w:history="1">
        <w:r w:rsidRPr="0078024D">
          <w:rPr>
            <w:rStyle w:val="Hyperlink"/>
            <w:sz w:val="14"/>
            <w:szCs w:val="14"/>
          </w:rPr>
          <w:t>https://www.bmjv.de/SharedDocs/Gesetzgebungsverfahren/Dokumente/Bgbl_Varianten_der_Geschlechtsentwicklung.pdf?__blob=publicationFile&amp;v=3</w:t>
        </w:r>
      </w:hyperlink>
      <w:r w:rsidRPr="0078024D">
        <w:rPr>
          <w:sz w:val="14"/>
          <w:szCs w:val="14"/>
        </w:rPr>
        <w:t xml:space="preserve"> </w:t>
      </w:r>
    </w:p>
  </w:footnote>
  <w:footnote w:id="18">
    <w:p w14:paraId="28805E8A" w14:textId="77777777" w:rsidR="003E4D01" w:rsidRPr="00421B87" w:rsidRDefault="003E4D01" w:rsidP="00E03BEA">
      <w:pPr>
        <w:pStyle w:val="fussnoteschattenbericht"/>
      </w:pPr>
      <w:r w:rsidRPr="00805700">
        <w:footnoteRef/>
      </w:r>
      <w:r w:rsidRPr="002168A7">
        <w:t xml:space="preserve"> </w:t>
      </w:r>
      <w:r>
        <w:tab/>
        <w:t xml:space="preserve">German Institute for Human Rights (DIMR), </w:t>
      </w:r>
      <w:hyperlink r:id="rId19" w:history="1">
        <w:r w:rsidRPr="00917BF1">
          <w:rPr>
            <w:rStyle w:val="Hyperlink"/>
            <w:sz w:val="16"/>
            <w:szCs w:val="16"/>
          </w:rPr>
          <w:t>https://www.bundestag.de/resource/blob/816910/9ef1eb47e5d5954c6164ee9dec3a3bb8/stellungnahme-kittel_dim-data.pdf</w:t>
        </w:r>
      </w:hyperlink>
      <w:r>
        <w:t xml:space="preserve"> </w:t>
      </w:r>
    </w:p>
  </w:footnote>
  <w:footnote w:id="19">
    <w:p w14:paraId="5FB79A1D"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proofErr w:type="spellStart"/>
      <w:r w:rsidRPr="006D27E1">
        <w:rPr>
          <w:lang w:val="de-CH"/>
        </w:rPr>
        <w:t>Dr</w:t>
      </w:r>
      <w:proofErr w:type="spellEnd"/>
      <w:r w:rsidRPr="006D27E1">
        <w:rPr>
          <w:lang w:val="de-CH"/>
        </w:rPr>
        <w:t xml:space="preserve"> Ulrike Klöppel, </w:t>
      </w:r>
      <w:hyperlink r:id="rId20" w:history="1">
        <w:r w:rsidRPr="006D27E1">
          <w:rPr>
            <w:rStyle w:val="Hyperlink"/>
            <w:sz w:val="15"/>
            <w:szCs w:val="15"/>
            <w:lang w:val="de-CH"/>
          </w:rPr>
          <w:t>https://www.bundestag.de/resource/blob/816514/8705e20395ba739e8881d13bca030aff/stellungnahme-kloeppel-data.pdf</w:t>
        </w:r>
      </w:hyperlink>
      <w:r w:rsidRPr="006D27E1">
        <w:rPr>
          <w:sz w:val="15"/>
          <w:szCs w:val="15"/>
          <w:lang w:val="de-CH"/>
        </w:rPr>
        <w:t xml:space="preserve"> </w:t>
      </w:r>
    </w:p>
  </w:footnote>
  <w:footnote w:id="20">
    <w:p w14:paraId="21A03D67"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proofErr w:type="spellStart"/>
      <w:r w:rsidRPr="006D27E1">
        <w:rPr>
          <w:lang w:val="de-CH"/>
        </w:rPr>
        <w:t>Dr</w:t>
      </w:r>
      <w:proofErr w:type="spellEnd"/>
      <w:r w:rsidRPr="006D27E1">
        <w:rPr>
          <w:lang w:val="de-CH"/>
        </w:rPr>
        <w:t xml:space="preserve"> Konstanze </w:t>
      </w:r>
      <w:proofErr w:type="spellStart"/>
      <w:r w:rsidRPr="006D27E1">
        <w:rPr>
          <w:lang w:val="de-CH"/>
        </w:rPr>
        <w:t>Plett</w:t>
      </w:r>
      <w:proofErr w:type="spellEnd"/>
      <w:r w:rsidRPr="006D27E1">
        <w:rPr>
          <w:lang w:val="de-CH"/>
        </w:rPr>
        <w:t xml:space="preserve">, </w:t>
      </w:r>
      <w:hyperlink r:id="rId21" w:history="1">
        <w:r w:rsidRPr="006D27E1">
          <w:rPr>
            <w:rStyle w:val="Hyperlink"/>
            <w:sz w:val="15"/>
            <w:szCs w:val="15"/>
            <w:lang w:val="de-CH"/>
          </w:rPr>
          <w:t>https://www.bundestag.de/resource/blob/816780/9f83fb0ab7d697f86581f5eb87293a44/stellungnahme-plett-data.pdf</w:t>
        </w:r>
      </w:hyperlink>
      <w:r w:rsidRPr="006D27E1">
        <w:rPr>
          <w:sz w:val="15"/>
          <w:szCs w:val="15"/>
          <w:lang w:val="de-CH"/>
        </w:rPr>
        <w:t xml:space="preserve"> </w:t>
      </w:r>
    </w:p>
  </w:footnote>
  <w:footnote w:id="21">
    <w:p w14:paraId="1B605D5B" w14:textId="327A42E9" w:rsidR="003E4D01" w:rsidRPr="00260F1A" w:rsidRDefault="003E4D01" w:rsidP="00E03BEA">
      <w:pPr>
        <w:pStyle w:val="fussnoteschattenbericht"/>
        <w:rPr>
          <w:lang w:val="de-CH"/>
        </w:rPr>
      </w:pPr>
      <w:r w:rsidRPr="00805700">
        <w:footnoteRef/>
      </w:r>
      <w:r w:rsidRPr="00260F1A">
        <w:rPr>
          <w:lang w:val="de-CH"/>
        </w:rPr>
        <w:t xml:space="preserve"> </w:t>
      </w:r>
      <w:r w:rsidRPr="00260F1A">
        <w:rPr>
          <w:lang w:val="de-CH"/>
        </w:rPr>
        <w:tab/>
      </w:r>
      <w:hyperlink r:id="rId22" w:history="1">
        <w:r w:rsidRPr="00F50285">
          <w:rPr>
            <w:rStyle w:val="Hyperlink"/>
            <w:lang w:val="de-CH"/>
          </w:rPr>
          <w:t>https://im-ev.de/wp-content/uploads/2021/03/2021-03-26-PM-Verbot-von-Operationen.pdf</w:t>
        </w:r>
      </w:hyperlink>
      <w:r>
        <w:rPr>
          <w:lang w:val="de-CH"/>
        </w:rPr>
        <w:t xml:space="preserve"> </w:t>
      </w:r>
    </w:p>
  </w:footnote>
  <w:footnote w:id="22">
    <w:p w14:paraId="5AEA23BB"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hyperlink r:id="rId23" w:history="1">
        <w:r w:rsidRPr="00005EC6">
          <w:rPr>
            <w:rStyle w:val="Hyperlink"/>
            <w:lang w:val="de-CH"/>
          </w:rPr>
          <w:t>https://blog.zwischengeschlecht.info/post/2021/04/18/Das-deutsche-Intersex-Gesetz-und-die-Schweiz</w:t>
        </w:r>
      </w:hyperlink>
      <w:r>
        <w:rPr>
          <w:lang w:val="de-CH"/>
        </w:rPr>
        <w:t xml:space="preserve"> </w:t>
      </w:r>
    </w:p>
  </w:footnote>
  <w:footnote w:id="23">
    <w:p w14:paraId="63699533" w14:textId="5CE37ED3"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hyperlink r:id="rId24" w:history="1">
        <w:r w:rsidRPr="00F50285">
          <w:rPr>
            <w:rStyle w:val="Hyperlink"/>
            <w:lang w:val="de-CH"/>
          </w:rPr>
          <w:t>https://oiigermany.org/ein-steiniger-weg-fuer-menschenrechte/</w:t>
        </w:r>
      </w:hyperlink>
      <w:r>
        <w:rPr>
          <w:lang w:val="de-CH"/>
        </w:rPr>
        <w:t xml:space="preserve"> </w:t>
      </w:r>
    </w:p>
  </w:footnote>
  <w:footnote w:id="24">
    <w:p w14:paraId="648D9E51"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hyperlink r:id="rId25" w:history="1">
        <w:r w:rsidRPr="00005EC6">
          <w:rPr>
            <w:rStyle w:val="Hyperlink"/>
            <w:lang w:val="de-CH"/>
          </w:rPr>
          <w:t>https://oiieurope.org/a-good-first-step-germany-adopts-law-banning-igm/</w:t>
        </w:r>
      </w:hyperlink>
      <w:r>
        <w:rPr>
          <w:lang w:val="de-CH"/>
        </w:rPr>
        <w:t xml:space="preserve"> </w:t>
      </w:r>
    </w:p>
  </w:footnote>
  <w:footnote w:id="25">
    <w:p w14:paraId="27FF6CA2"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hyperlink r:id="rId26" w:history="1">
        <w:r w:rsidRPr="00F570A5">
          <w:rPr>
            <w:rStyle w:val="Hyperlink"/>
            <w:sz w:val="15"/>
            <w:szCs w:val="15"/>
            <w:lang w:val="de-CH"/>
          </w:rPr>
          <w:t>https://www.lto.de/recht/justiz/j/gesetz-zum-verbot-geschlechszuweisender-operationen-bei-intergeschlechtlichen-kindern-in-kraft-menschenrechte/</w:t>
        </w:r>
      </w:hyperlink>
      <w:r w:rsidRPr="00F570A5">
        <w:rPr>
          <w:sz w:val="15"/>
          <w:szCs w:val="15"/>
          <w:lang w:val="de-CH"/>
        </w:rPr>
        <w:t xml:space="preserve"> </w:t>
      </w:r>
    </w:p>
  </w:footnote>
  <w:footnote w:id="26">
    <w:p w14:paraId="0CF74936" w14:textId="77777777" w:rsidR="003E4D01" w:rsidRPr="006D27E1" w:rsidRDefault="003E4D01" w:rsidP="00E03BEA">
      <w:pPr>
        <w:pStyle w:val="fussnoteschattenbericht"/>
        <w:rPr>
          <w:lang w:val="de-CH"/>
        </w:rPr>
      </w:pPr>
      <w:r w:rsidRPr="00805700">
        <w:footnoteRef/>
      </w:r>
      <w:r w:rsidRPr="006D27E1">
        <w:rPr>
          <w:lang w:val="de-CH"/>
        </w:rPr>
        <w:t xml:space="preserve"> </w:t>
      </w:r>
      <w:r w:rsidRPr="006D27E1">
        <w:rPr>
          <w:lang w:val="de-CH"/>
        </w:rPr>
        <w:tab/>
      </w:r>
      <w:hyperlink r:id="rId27" w:history="1">
        <w:r w:rsidRPr="00005EC6">
          <w:rPr>
            <w:rStyle w:val="Hyperlink"/>
            <w:lang w:val="de-CH"/>
          </w:rPr>
          <w:t>https://www.reuters.com/article/us-germany-lgbt-health-idUSKBN2BI2MC</w:t>
        </w:r>
      </w:hyperlink>
      <w:r>
        <w:rPr>
          <w:lang w:val="de-CH"/>
        </w:rPr>
        <w:t xml:space="preserve"> </w:t>
      </w:r>
    </w:p>
  </w:footnote>
  <w:footnote w:id="27">
    <w:p w14:paraId="2221C176" w14:textId="77777777" w:rsidR="003E4D01" w:rsidRPr="00141DF4" w:rsidRDefault="003E4D01" w:rsidP="00584B3C">
      <w:pPr>
        <w:pStyle w:val="fussnoteschattenbericht"/>
      </w:pPr>
      <w:r w:rsidRPr="00141DF4">
        <w:footnoteRef/>
      </w:r>
      <w:r w:rsidRPr="00141DF4">
        <w:t xml:space="preserve"> </w:t>
      </w:r>
      <w:r w:rsidRPr="00141DF4">
        <w:tab/>
        <w:t xml:space="preserve">Reply by Tanja </w:t>
      </w:r>
      <w:proofErr w:type="spellStart"/>
      <w:r w:rsidRPr="00141DF4">
        <w:t>Florath</w:t>
      </w:r>
      <w:proofErr w:type="spellEnd"/>
      <w:r w:rsidRPr="00141DF4">
        <w:t xml:space="preserve"> (Officer, EU Department, Federal Ministry for Family Affairs, Senior Citizens, Women and Youth BMFSFJ), 12.10.2021. See transcrip</w:t>
      </w:r>
      <w:r>
        <w:t>t</w:t>
      </w:r>
      <w:r w:rsidRPr="00141DF4">
        <w:t xml:space="preserve"> of original German reply</w:t>
      </w:r>
      <w:r>
        <w:t xml:space="preserve">, </w:t>
      </w:r>
      <w:hyperlink r:id="rId28" w:history="1">
        <w:r w:rsidRPr="00141DF4">
          <w:rPr>
            <w:rStyle w:val="Hyperlink"/>
            <w:sz w:val="19"/>
            <w:szCs w:val="19"/>
          </w:rPr>
          <w:t>https://blog.zwischengeschlecht.info/post/2021/11/03/Intersex-Genitalverstmmelung-UNCCPR-befragt-Deutschland</w:t>
        </w:r>
      </w:hyperlink>
      <w:r w:rsidRPr="00141DF4">
        <w:rPr>
          <w:sz w:val="19"/>
          <w:szCs w:val="19"/>
        </w:rPr>
        <w:t xml:space="preserve"> </w:t>
      </w:r>
      <w:r>
        <w:rPr>
          <w:sz w:val="19"/>
          <w:szCs w:val="19"/>
        </w:rPr>
        <w:br/>
      </w:r>
      <w:r>
        <w:t xml:space="preserve">See also Session video at 0:05:52, </w:t>
      </w:r>
      <w:hyperlink r:id="rId29" w:history="1">
        <w:r w:rsidRPr="00F50285">
          <w:rPr>
            <w:rStyle w:val="Hyperlink"/>
          </w:rPr>
          <w:t>https://media.un.org/en/asset/k1y/k1ytpbjd08</w:t>
        </w:r>
      </w:hyperlink>
      <w:r>
        <w:t xml:space="preserve"> </w:t>
      </w:r>
    </w:p>
  </w:footnote>
  <w:footnote w:id="28">
    <w:p w14:paraId="502914FC" w14:textId="77777777" w:rsidR="003E4D01" w:rsidRPr="00C153F5" w:rsidRDefault="003E4D01" w:rsidP="009A021E">
      <w:pPr>
        <w:pStyle w:val="fussnoteschattenbericht"/>
      </w:pPr>
      <w:r w:rsidRPr="0092081B">
        <w:rPr>
          <w:rStyle w:val="Funotenzeichen"/>
          <w:vertAlign w:val="baseline"/>
        </w:rPr>
        <w:footnoteRef/>
      </w:r>
      <w:r w:rsidRPr="0092081B">
        <w:rPr>
          <w:rStyle w:val="Funotenzeichen"/>
          <w:vertAlign w:val="baseline"/>
        </w:rPr>
        <w:t xml:space="preserve"> </w:t>
      </w:r>
      <w:r w:rsidRPr="00257051">
        <w:rPr>
          <w:rStyle w:val="Funotenzeichen"/>
        </w:rPr>
        <w:tab/>
      </w:r>
      <w:hyperlink r:id="rId30" w:history="1">
        <w:r w:rsidRPr="00530BE6">
          <w:rPr>
            <w:rStyle w:val="Hyperlink"/>
          </w:rPr>
          <w:t>https://uroweb.org/guidelines/endorsement/</w:t>
        </w:r>
      </w:hyperlink>
      <w:r>
        <w:t xml:space="preserve"> </w:t>
      </w:r>
    </w:p>
  </w:footnote>
  <w:footnote w:id="29">
    <w:p w14:paraId="1638D91E" w14:textId="7EB8C6AC" w:rsidR="003E4D01" w:rsidRPr="00C153F5" w:rsidRDefault="003E4D01" w:rsidP="009A021E">
      <w:pPr>
        <w:pStyle w:val="fussnoteschattenbericht"/>
      </w:pPr>
      <w:r w:rsidRPr="00755A7D">
        <w:rPr>
          <w:rStyle w:val="Funotenzeichen"/>
          <w:vertAlign w:val="baseline"/>
        </w:rPr>
        <w:footnoteRef/>
      </w:r>
      <w:r w:rsidRPr="00755A7D">
        <w:rPr>
          <w:rStyle w:val="Funotenzeichen"/>
          <w:vertAlign w:val="baseline"/>
        </w:rPr>
        <w:t xml:space="preserve"> </w:t>
      </w:r>
      <w:r w:rsidRPr="00755A7D">
        <w:tab/>
      </w:r>
      <w:hyperlink r:id="rId31" w:history="1">
        <w:r w:rsidRPr="00755A7D">
          <w:rPr>
            <w:rStyle w:val="Hyperlink"/>
            <w:sz w:val="18"/>
            <w:szCs w:val="18"/>
          </w:rPr>
          <w:t>https://d56bochluxqnz.cloudfront.net/documents/full-guideline/EAU-Guidelines-on-Paediatric-Urology-2023.pdf</w:t>
        </w:r>
      </w:hyperlink>
      <w:r>
        <w:rPr>
          <w:sz w:val="18"/>
          <w:szCs w:val="18"/>
        </w:rPr>
        <w:t xml:space="preserve"> </w:t>
      </w:r>
    </w:p>
  </w:footnote>
  <w:footnote w:id="30">
    <w:p w14:paraId="6C31E961" w14:textId="13EC7F66" w:rsidR="003E4D01" w:rsidRPr="001270B4" w:rsidRDefault="003E4D01" w:rsidP="002475B3">
      <w:pPr>
        <w:pStyle w:val="fussnoteschattenbericht"/>
      </w:pPr>
      <w:r w:rsidRPr="001270B4">
        <w:rPr>
          <w:rStyle w:val="Funotenzeichen"/>
          <w:vertAlign w:val="baseline"/>
        </w:rPr>
        <w:footnoteRef/>
      </w:r>
      <w:r w:rsidRPr="001270B4">
        <w:t xml:space="preserve"> </w:t>
      </w:r>
      <w:r w:rsidRPr="001270B4">
        <w:tab/>
        <w:t xml:space="preserve">For details and relevant quotes, see 2023 CRPD Austria Intersex NGO Report for Session, p. 10, </w:t>
      </w:r>
      <w:r w:rsidRPr="001270B4">
        <w:br/>
      </w:r>
      <w:hyperlink r:id="rId32" w:history="1">
        <w:r w:rsidRPr="001270B4">
          <w:rPr>
            <w:rStyle w:val="Hyperlink"/>
          </w:rPr>
          <w:t>https://intersex.shadowreport.org/public/2023-CRPD-Austria-NGO-Intersex-StopIGM.pdf</w:t>
        </w:r>
      </w:hyperlink>
      <w:r w:rsidRPr="001270B4">
        <w:t xml:space="preserve"> </w:t>
      </w:r>
    </w:p>
  </w:footnote>
  <w:footnote w:id="31">
    <w:p w14:paraId="3FF80202" w14:textId="161E746F" w:rsidR="003E4D01" w:rsidRPr="001270B4" w:rsidRDefault="003E4D01" w:rsidP="00243F3E">
      <w:pPr>
        <w:pStyle w:val="fussnoteschattenbericht"/>
      </w:pPr>
      <w:r w:rsidRPr="001270B4">
        <w:rPr>
          <w:rStyle w:val="Funotenzeichen"/>
          <w:vertAlign w:val="baseline"/>
        </w:rPr>
        <w:footnoteRef/>
      </w:r>
      <w:r w:rsidRPr="001270B4">
        <w:t xml:space="preserve"> </w:t>
      </w:r>
      <w:r w:rsidRPr="001270B4">
        <w:tab/>
        <w:t>For details and relevant quotes, see ibid., p. 10-11</w:t>
      </w:r>
    </w:p>
  </w:footnote>
  <w:footnote w:id="32">
    <w:p w14:paraId="467E98BA" w14:textId="04FF5F21" w:rsidR="003E4D01" w:rsidRPr="00A50B76" w:rsidRDefault="003E4D01" w:rsidP="00094A9F">
      <w:pPr>
        <w:pStyle w:val="fussnoteschattenbericht"/>
      </w:pPr>
      <w:r w:rsidRPr="001270B4">
        <w:rPr>
          <w:rStyle w:val="Funotenzeichen"/>
          <w:vertAlign w:val="baseline"/>
        </w:rPr>
        <w:footnoteRef/>
      </w:r>
      <w:r w:rsidRPr="001270B4">
        <w:t xml:space="preserve"> </w:t>
      </w:r>
      <w:r w:rsidRPr="001270B4">
        <w:tab/>
        <w:t>For details and relevant quotes, see Ibid., p. 12-13</w:t>
      </w:r>
    </w:p>
  </w:footnote>
  <w:footnote w:id="33">
    <w:p w14:paraId="662B04C3" w14:textId="77777777" w:rsidR="003E4D01" w:rsidRPr="00141C4F" w:rsidRDefault="003E4D01" w:rsidP="00A647FB">
      <w:pPr>
        <w:pStyle w:val="fussnoteschattenbericht"/>
      </w:pPr>
      <w:r w:rsidRPr="00A50B76">
        <w:rPr>
          <w:rStyle w:val="FootnoteSymbol"/>
        </w:rPr>
        <w:footnoteRef/>
      </w:r>
      <w:r w:rsidRPr="00A50B76">
        <w:tab/>
        <w:t xml:space="preserve">Globally, no survivor of early surgeries </w:t>
      </w:r>
      <w:r w:rsidRPr="00A50B76">
        <w:rPr>
          <w:rFonts w:eastAsia="Baskerville-SemiBold"/>
          <w:b/>
          <w:bCs/>
        </w:rPr>
        <w:t>ever</w:t>
      </w:r>
      <w:r w:rsidRPr="00A50B76">
        <w:t xml:space="preserve"> managed to have their case heard in court. All relevant court cases</w:t>
      </w:r>
      <w:r w:rsidRPr="00141C4F">
        <w:t xml:space="preserve"> (3 in Germany, 1 in the USA) were either about surgery of adults, or initiated by foster parents.</w:t>
      </w:r>
    </w:p>
  </w:footnote>
  <w:footnote w:id="34">
    <w:p w14:paraId="1B6296B7" w14:textId="218DD7CF" w:rsidR="003E4D01" w:rsidRPr="007665F2" w:rsidRDefault="003E4D01" w:rsidP="00A647FB">
      <w:pPr>
        <w:pStyle w:val="fussnoteschattenbericht"/>
        <w:rPr>
          <w:lang w:val="en-US"/>
        </w:rPr>
      </w:pPr>
      <w:r w:rsidRPr="0001080A">
        <w:rPr>
          <w:rStyle w:val="Funotenzeichen"/>
          <w:vertAlign w:val="baseline"/>
        </w:rPr>
        <w:footnoteRef/>
      </w:r>
      <w:r w:rsidRPr="0001080A">
        <w:t xml:space="preserve"> </w:t>
      </w:r>
      <w:r>
        <w:tab/>
      </w:r>
      <w:proofErr w:type="spellStart"/>
      <w:r>
        <w:t>Interministerial</w:t>
      </w:r>
      <w:proofErr w:type="spellEnd"/>
      <w:r>
        <w:t xml:space="preserve"> Working Group (2016), “</w:t>
      </w:r>
      <w:r w:rsidRPr="00763DF1">
        <w:t>Focus on the situation o</w:t>
      </w:r>
      <w:r>
        <w:t>f trans- and intersexual people”</w:t>
      </w:r>
      <w:r w:rsidRPr="00763DF1">
        <w:t xml:space="preserve">. Status information of the BMFSFJ. Accompanying material to the </w:t>
      </w:r>
      <w:proofErr w:type="spellStart"/>
      <w:r w:rsidRPr="00763DF1">
        <w:t>Interministerial</w:t>
      </w:r>
      <w:proofErr w:type="spellEnd"/>
      <w:r w:rsidRPr="00763DF1">
        <w:t xml:space="preserve"> Working Group on Inter- &amp; Transsexuality - Volume 5, Berlin</w:t>
      </w:r>
      <w:r>
        <w:t xml:space="preserve">, p. 17, </w:t>
      </w:r>
      <w:hyperlink r:id="rId33" w:history="1">
        <w:r w:rsidRPr="00883562">
          <w:rPr>
            <w:rStyle w:val="Hyperlink"/>
            <w:sz w:val="16"/>
            <w:szCs w:val="16"/>
          </w:rPr>
          <w:t>https://www.bmfsfj.de/blob/112092/f199e9c4b77f89d0a5aa825228384e08/imag-band-5-situation-von-trans-und-intersexuellen-menschen-data.pdf</w:t>
        </w:r>
      </w:hyperlink>
      <w:r>
        <w:t xml:space="preserve"> </w:t>
      </w:r>
    </w:p>
  </w:footnote>
  <w:footnote w:id="35">
    <w:p w14:paraId="303CB735" w14:textId="77777777" w:rsidR="003E4D01" w:rsidRDefault="003E4D01" w:rsidP="00A647FB">
      <w:pPr>
        <w:pStyle w:val="fussnoteschattenbericht"/>
      </w:pPr>
      <w:r w:rsidRPr="0001080A">
        <w:rPr>
          <w:rStyle w:val="Funotenzeichen"/>
          <w:vertAlign w:val="baseline"/>
        </w:rPr>
        <w:footnoteRef/>
      </w:r>
      <w:r w:rsidRPr="0001080A">
        <w:t xml:space="preserve"> </w:t>
      </w:r>
      <w:r>
        <w:tab/>
      </w:r>
      <w:r w:rsidRPr="00FA5E83">
        <w:t xml:space="preserve">The </w:t>
      </w:r>
      <w:r w:rsidRPr="00FA5E83">
        <w:rPr>
          <w:b/>
        </w:rPr>
        <w:t>Coalition Agreement 2018-21</w:t>
      </w:r>
      <w:r w:rsidRPr="00FA5E83">
        <w:t xml:space="preserve"> of the current Government explicitly promises: </w:t>
      </w:r>
      <w:r w:rsidRPr="00FA5E83">
        <w:rPr>
          <w:b/>
          <w:i/>
        </w:rPr>
        <w:t>“We will make it clear by law</w:t>
      </w:r>
      <w:r w:rsidRPr="00FA5E83">
        <w:rPr>
          <w:i/>
        </w:rPr>
        <w:t xml:space="preserve"> that […] medical interventions on [intersex] children are </w:t>
      </w:r>
      <w:r w:rsidRPr="00FA5E83">
        <w:rPr>
          <w:b/>
          <w:i/>
        </w:rPr>
        <w:t>only permissible</w:t>
      </w:r>
      <w:r w:rsidRPr="00FA5E83">
        <w:rPr>
          <w:i/>
        </w:rPr>
        <w:t xml:space="preserve"> in cases that cannot be postponed and in order </w:t>
      </w:r>
      <w:r w:rsidRPr="00FA5E83">
        <w:rPr>
          <w:b/>
          <w:i/>
        </w:rPr>
        <w:t>to avert danger to life.”</w:t>
      </w:r>
      <w:r w:rsidRPr="00FA5E83">
        <w:t xml:space="preserve"> </w:t>
      </w:r>
    </w:p>
    <w:p w14:paraId="244D4618" w14:textId="77777777" w:rsidR="003E4D01" w:rsidRPr="00421B87" w:rsidRDefault="003E4D01" w:rsidP="00A647FB">
      <w:pPr>
        <w:pStyle w:val="fussnoteschattenbericht"/>
        <w:ind w:firstLine="0"/>
      </w:pPr>
      <w:r w:rsidRPr="00421B87">
        <w:rPr>
          <w:lang w:val="en-US"/>
        </w:rPr>
        <w:t xml:space="preserve">CDU, CSU und SPD (2018): Coalition Agreement for 19th Legislative Term, p. 21, lines 797-799. </w:t>
      </w:r>
      <w:hyperlink r:id="rId34" w:history="1">
        <w:r w:rsidRPr="00421B87">
          <w:rPr>
            <w:rStyle w:val="Hyperlink"/>
          </w:rPr>
          <w:t>https://www.cdu.de/system/tdf/media/dokumente/koalitionsvertrag_2018.pdf?file=1</w:t>
        </w:r>
      </w:hyperlink>
    </w:p>
  </w:footnote>
  <w:footnote w:id="36">
    <w:p w14:paraId="483964EC" w14:textId="47E63660" w:rsidR="003E4D01" w:rsidRPr="006D110E" w:rsidRDefault="003E4D01" w:rsidP="002A2402">
      <w:pPr>
        <w:pStyle w:val="fussnoteschattenbericht"/>
      </w:pPr>
      <w:r w:rsidRPr="00047A08">
        <w:rPr>
          <w:rStyle w:val="FootnoteSymbol"/>
        </w:rPr>
        <w:footnoteRef/>
      </w:r>
      <w:r w:rsidRPr="00047A08">
        <w:rPr>
          <w:rStyle w:val="FootnoteSymbol"/>
        </w:rPr>
        <w:t xml:space="preserve"> </w:t>
      </w:r>
      <w:r>
        <w:tab/>
        <w:t xml:space="preserve">Az. </w:t>
      </w:r>
      <w:r w:rsidRPr="002A2402">
        <w:t xml:space="preserve">7200 </w:t>
      </w:r>
      <w:proofErr w:type="spellStart"/>
      <w:r w:rsidRPr="002A2402">
        <w:t>Js</w:t>
      </w:r>
      <w:proofErr w:type="spellEnd"/>
      <w:r w:rsidRPr="002A2402">
        <w:t xml:space="preserve"> 66 I 22</w:t>
      </w:r>
      <w:r>
        <w:t>, 25.07.2022</w:t>
      </w:r>
    </w:p>
  </w:footnote>
  <w:footnote w:id="37">
    <w:p w14:paraId="4386D864" w14:textId="77777777" w:rsidR="003E4D01" w:rsidRPr="006D110E" w:rsidRDefault="003E4D01" w:rsidP="00A647FB">
      <w:pPr>
        <w:pStyle w:val="fussnoteschattenbericht"/>
      </w:pPr>
      <w:r w:rsidRPr="00047A08">
        <w:rPr>
          <w:rStyle w:val="FootnoteSymbol"/>
        </w:rPr>
        <w:footnoteRef/>
      </w:r>
      <w:r w:rsidRPr="00047A08">
        <w:rPr>
          <w:rStyle w:val="FootnoteSymbol"/>
        </w:rPr>
        <w:t xml:space="preserve"> </w:t>
      </w:r>
      <w:r>
        <w:tab/>
        <w:t>at 52-54</w:t>
      </w:r>
      <w:r w:rsidRPr="006D110E">
        <w:t xml:space="preserve"> </w:t>
      </w:r>
      <w:hyperlink r:id="rId35" w:history="1">
        <w:r w:rsidRPr="004014AC">
          <w:rPr>
            <w:rStyle w:val="Hyperlink"/>
          </w:rPr>
          <w:t>http://www.gleichstellungsministerkonferenz.de/documents/2014_10_13_Beschluesse_GESAMT_Extern.pdf</w:t>
        </w:r>
      </w:hyperlink>
      <w:r>
        <w:t xml:space="preserve"> </w:t>
      </w:r>
    </w:p>
  </w:footnote>
  <w:footnote w:id="38">
    <w:p w14:paraId="27284DB8" w14:textId="77777777" w:rsidR="003E4D01" w:rsidRPr="00BA29D2" w:rsidRDefault="003E4D01" w:rsidP="00A912FF">
      <w:pPr>
        <w:pStyle w:val="fussnoteschattenbericht"/>
        <w:spacing w:line="264" w:lineRule="auto"/>
        <w:ind w:hanging="448"/>
      </w:pPr>
      <w:r w:rsidRPr="00047A08">
        <w:rPr>
          <w:rStyle w:val="FootnoteSymbol"/>
        </w:rPr>
        <w:footnoteRef/>
      </w:r>
      <w:r w:rsidRPr="00047A08">
        <w:rPr>
          <w:rStyle w:val="FootnoteSymbol"/>
        </w:rPr>
        <w:t xml:space="preserve"> </w:t>
      </w:r>
      <w:r>
        <w:tab/>
      </w:r>
      <w:proofErr w:type="spellStart"/>
      <w:r w:rsidRPr="00BA29D2">
        <w:t>Wortprotokoll</w:t>
      </w:r>
      <w:proofErr w:type="spellEnd"/>
      <w:r w:rsidRPr="00BA29D2">
        <w:t xml:space="preserve">, at 11 </w:t>
      </w:r>
      <w:hyperlink r:id="rId36" w:history="1">
        <w:r w:rsidRPr="004014AC">
          <w:rPr>
            <w:rStyle w:val="Hyperlink"/>
          </w:rPr>
          <w:t>http://kastrationsspital.ch/public/19_10_HH_Wortpr_Intersex.pdf</w:t>
        </w:r>
      </w:hyperlink>
      <w:r>
        <w:t xml:space="preserve"> </w:t>
      </w:r>
    </w:p>
  </w:footnote>
  <w:footnote w:id="39">
    <w:p w14:paraId="503A5A11" w14:textId="77777777" w:rsidR="003E4D01" w:rsidRPr="00260F1A" w:rsidRDefault="003E4D01" w:rsidP="00A912FF">
      <w:pPr>
        <w:pStyle w:val="fussnoteschattenbericht"/>
        <w:spacing w:line="264" w:lineRule="auto"/>
        <w:ind w:hanging="448"/>
        <w:rPr>
          <w:lang w:val="es-MX"/>
        </w:rPr>
      </w:pPr>
      <w:r w:rsidRPr="00047A08">
        <w:rPr>
          <w:rStyle w:val="FootnoteSymbol"/>
        </w:rPr>
        <w:footnoteRef/>
      </w:r>
      <w:r w:rsidRPr="00260F1A">
        <w:rPr>
          <w:rStyle w:val="FootnoteSymbol"/>
          <w:lang w:val="es-MX"/>
        </w:rPr>
        <w:t xml:space="preserve"> </w:t>
      </w:r>
      <w:r w:rsidRPr="00260F1A">
        <w:rPr>
          <w:lang w:val="es-MX"/>
        </w:rPr>
        <w:tab/>
        <w:t xml:space="preserve">OLG Köln 03.09.2008, Az. </w:t>
      </w:r>
      <w:r w:rsidRPr="00260F1A">
        <w:rPr>
          <w:lang w:val="es-MX"/>
        </w:rPr>
        <w:t xml:space="preserve">5 U 51/08 </w:t>
      </w:r>
      <w:r w:rsidR="008254B9">
        <w:fldChar w:fldCharType="begin"/>
      </w:r>
      <w:r w:rsidR="008254B9" w:rsidRPr="00A912FF">
        <w:rPr>
          <w:lang w:val="es-MX"/>
        </w:rPr>
        <w:instrText xml:space="preserve"> HYPERLINK "http://www.justiz.nrw.de/nrwe/olgs/koeln/j2008/5_U_51_08beschluss20080903.html" </w:instrText>
      </w:r>
      <w:r w:rsidR="008254B9">
        <w:fldChar w:fldCharType="separate"/>
      </w:r>
      <w:r w:rsidRPr="00260F1A">
        <w:rPr>
          <w:rStyle w:val="Hyperlink"/>
          <w:lang w:val="es-MX"/>
        </w:rPr>
        <w:t>http://www.justiz.nrw.de/nrwe/olgs/koeln/j2008/5_U_51_08beschluss20080903.html</w:t>
      </w:r>
      <w:r w:rsidR="008254B9">
        <w:rPr>
          <w:rStyle w:val="Hyperlink"/>
          <w:lang w:val="es-MX"/>
        </w:rPr>
        <w:fldChar w:fldCharType="end"/>
      </w:r>
      <w:r w:rsidRPr="00260F1A">
        <w:rPr>
          <w:lang w:val="es-MX"/>
        </w:rPr>
        <w:t xml:space="preserve"> </w:t>
      </w:r>
    </w:p>
  </w:footnote>
  <w:footnote w:id="40">
    <w:p w14:paraId="699E304A" w14:textId="77777777" w:rsidR="003E4D01" w:rsidRPr="00260F1A" w:rsidRDefault="003E4D01" w:rsidP="00A912FF">
      <w:pPr>
        <w:pStyle w:val="fussnoteschattenbericht"/>
        <w:spacing w:line="264" w:lineRule="auto"/>
        <w:ind w:hanging="448"/>
        <w:rPr>
          <w:lang w:val="en-US"/>
        </w:rPr>
      </w:pPr>
      <w:r w:rsidRPr="00047A08">
        <w:rPr>
          <w:rStyle w:val="FootnoteSymbol"/>
        </w:rPr>
        <w:footnoteRef/>
      </w:r>
      <w:r w:rsidRPr="00260F1A">
        <w:rPr>
          <w:rStyle w:val="FootnoteSymbol"/>
          <w:lang w:val="en-US"/>
        </w:rPr>
        <w:t xml:space="preserve"> </w:t>
      </w:r>
      <w:r w:rsidRPr="00260F1A">
        <w:rPr>
          <w:lang w:val="en-US"/>
        </w:rPr>
        <w:tab/>
        <w:t xml:space="preserve">LG Köln 12.08.2009, Az. 25 O 179/07 </w:t>
      </w:r>
      <w:hyperlink r:id="rId37" w:history="1">
        <w:r w:rsidRPr="00260F1A">
          <w:rPr>
            <w:rStyle w:val="Hyperlink"/>
            <w:lang w:val="en-US"/>
          </w:rPr>
          <w:t>http://www.justiz.nrw.de/nrwe/lgs/koeln/lg_koeln/j2009/25_O_179_07schlussurteil20090812.html</w:t>
        </w:r>
      </w:hyperlink>
      <w:r w:rsidRPr="00260F1A">
        <w:rPr>
          <w:lang w:val="en-US"/>
        </w:rPr>
        <w:t xml:space="preserve"> </w:t>
      </w:r>
    </w:p>
  </w:footnote>
  <w:footnote w:id="41">
    <w:p w14:paraId="74AF7938" w14:textId="77777777" w:rsidR="003E4D01" w:rsidRPr="00421B87" w:rsidRDefault="003E4D01" w:rsidP="00A912FF">
      <w:pPr>
        <w:pStyle w:val="fussnoteschattenbericht"/>
        <w:spacing w:line="264" w:lineRule="auto"/>
        <w:ind w:hanging="448"/>
        <w:rPr>
          <w:lang w:val="en-US"/>
        </w:rPr>
      </w:pPr>
      <w:r w:rsidRPr="00047A08">
        <w:rPr>
          <w:rStyle w:val="FootnoteSymbol"/>
        </w:rPr>
        <w:footnoteRef/>
      </w:r>
      <w:r w:rsidRPr="00421B87">
        <w:rPr>
          <w:rStyle w:val="FootnoteSymbol"/>
          <w:lang w:val="en-US"/>
        </w:rPr>
        <w:t xml:space="preserve"> </w:t>
      </w:r>
      <w:r w:rsidRPr="00421B87">
        <w:rPr>
          <w:lang w:val="en-US"/>
        </w:rPr>
        <w:tab/>
        <w:t xml:space="preserve">DPA (2009), Christiane </w:t>
      </w:r>
      <w:proofErr w:type="spellStart"/>
      <w:r w:rsidRPr="00421B87">
        <w:rPr>
          <w:lang w:val="en-US"/>
        </w:rPr>
        <w:t>Völling</w:t>
      </w:r>
      <w:proofErr w:type="spellEnd"/>
      <w:r w:rsidRPr="00421B87">
        <w:rPr>
          <w:lang w:val="en-US"/>
        </w:rPr>
        <w:t xml:space="preserve">: Hermaphrodite wins damage claim over removal of reproductive organs, </w:t>
      </w:r>
      <w:hyperlink r:id="rId38" w:history="1">
        <w:r w:rsidRPr="00005056">
          <w:rPr>
            <w:rStyle w:val="Hyperlink"/>
            <w:lang w:val="en-US"/>
          </w:rPr>
          <w:t>https://zwischengeschlecht.org/pages/Hermaphrodite-wins-damage-claim</w:t>
        </w:r>
      </w:hyperlink>
      <w:r w:rsidRPr="00421B87">
        <w:rPr>
          <w:lang w:val="en-US"/>
        </w:rPr>
        <w:t xml:space="preserve">  </w:t>
      </w:r>
    </w:p>
  </w:footnote>
  <w:footnote w:id="42">
    <w:p w14:paraId="0ACA6098" w14:textId="77777777" w:rsidR="003E4D01" w:rsidRPr="00421B87" w:rsidRDefault="003E4D01" w:rsidP="00A912FF">
      <w:pPr>
        <w:pStyle w:val="fussnoteschattenbericht"/>
        <w:spacing w:line="264" w:lineRule="auto"/>
        <w:ind w:hanging="448"/>
        <w:rPr>
          <w:lang w:val="de-CH"/>
        </w:rPr>
      </w:pPr>
      <w:r w:rsidRPr="00047A08">
        <w:rPr>
          <w:rStyle w:val="FootnoteSymbol"/>
        </w:rPr>
        <w:footnoteRef/>
      </w:r>
      <w:r w:rsidRPr="00421B87">
        <w:rPr>
          <w:rStyle w:val="FootnoteSymbol"/>
          <w:lang w:val="de-CH"/>
        </w:rPr>
        <w:t xml:space="preserve"> </w:t>
      </w:r>
      <w:r w:rsidRPr="00421B87">
        <w:rPr>
          <w:lang w:val="de-CH"/>
        </w:rPr>
        <w:tab/>
        <w:t>LG München, Az. 9 O 27981/12.</w:t>
      </w:r>
    </w:p>
  </w:footnote>
  <w:footnote w:id="43">
    <w:p w14:paraId="10E85574" w14:textId="77777777" w:rsidR="003E4D01" w:rsidRPr="006D110E" w:rsidRDefault="003E4D01" w:rsidP="00A912FF">
      <w:pPr>
        <w:pStyle w:val="fussnoteschattenbericht"/>
        <w:spacing w:line="264" w:lineRule="auto"/>
        <w:ind w:hanging="448"/>
        <w:rPr>
          <w:lang w:val="en-US"/>
        </w:rPr>
      </w:pPr>
      <w:r w:rsidRPr="00047A08">
        <w:rPr>
          <w:rStyle w:val="FootnoteSymbol"/>
        </w:rPr>
        <w:footnoteRef/>
      </w:r>
      <w:r w:rsidRPr="00421B87">
        <w:rPr>
          <w:rStyle w:val="FootnoteSymbol"/>
          <w:lang w:val="de-CH"/>
        </w:rPr>
        <w:t xml:space="preserve"> </w:t>
      </w:r>
      <w:r w:rsidRPr="006D110E">
        <w:rPr>
          <w:lang w:val="de-CH"/>
        </w:rPr>
        <w:tab/>
        <w:t xml:space="preserve">LG Nürnberg-Fürth, Az. 4 O 7000/11. </w:t>
      </w:r>
      <w:r w:rsidRPr="006D110E">
        <w:rPr>
          <w:lang w:val="en-US"/>
        </w:rPr>
        <w:t>1st day in court was 26.02.2015.</w:t>
      </w:r>
    </w:p>
  </w:footnote>
  <w:footnote w:id="44">
    <w:p w14:paraId="3C22F964" w14:textId="77777777" w:rsidR="003E4D01" w:rsidRPr="00BA3EF8" w:rsidRDefault="003E4D01" w:rsidP="00A912FF">
      <w:pPr>
        <w:pStyle w:val="fussnoteschattenbericht"/>
        <w:spacing w:line="264" w:lineRule="auto"/>
        <w:ind w:hanging="448"/>
        <w:rPr>
          <w:lang w:val="de-DE"/>
        </w:rPr>
      </w:pPr>
      <w:r w:rsidRPr="005B2D30">
        <w:rPr>
          <w:rStyle w:val="Funotenzeichen"/>
          <w:vertAlign w:val="baseline"/>
        </w:rPr>
        <w:footnoteRef/>
      </w:r>
      <w:r w:rsidRPr="005B2D30">
        <w:rPr>
          <w:lang w:val="de-CH"/>
        </w:rPr>
        <w:t xml:space="preserve"> </w:t>
      </w:r>
      <w:r w:rsidRPr="005B2D30">
        <w:rPr>
          <w:lang w:val="de-CH"/>
        </w:rPr>
        <w:tab/>
      </w:r>
      <w:proofErr w:type="spellStart"/>
      <w:r w:rsidRPr="00627882">
        <w:rPr>
          <w:lang w:val="de-CH"/>
        </w:rPr>
        <w:t>Sentence</w:t>
      </w:r>
      <w:proofErr w:type="spellEnd"/>
      <w:r w:rsidRPr="00627882">
        <w:rPr>
          <w:lang w:val="de-CH"/>
        </w:rPr>
        <w:t xml:space="preserve"> LG Nürnberg-Fürth, 17.12.2015, </w:t>
      </w:r>
      <w:r w:rsidRPr="006D110E">
        <w:rPr>
          <w:lang w:val="de-CH"/>
        </w:rPr>
        <w:t>Az. 4 O 7000/11</w:t>
      </w:r>
      <w:r>
        <w:rPr>
          <w:lang w:val="de-CH"/>
        </w:rPr>
        <w:t>.</w:t>
      </w:r>
    </w:p>
  </w:footnote>
  <w:footnote w:id="45">
    <w:p w14:paraId="24C6384A" w14:textId="77777777" w:rsidR="003E4D01" w:rsidRPr="00AF2510" w:rsidRDefault="003E4D01" w:rsidP="00A912FF">
      <w:pPr>
        <w:pStyle w:val="fussnoteschattenbericht"/>
        <w:spacing w:line="264" w:lineRule="auto"/>
        <w:ind w:hanging="448"/>
        <w:rPr>
          <w:lang w:val="de-CH"/>
        </w:rPr>
      </w:pPr>
      <w:r w:rsidRPr="005B2D30">
        <w:rPr>
          <w:rStyle w:val="Funotenzeichen"/>
          <w:vertAlign w:val="baseline"/>
        </w:rPr>
        <w:footnoteRef/>
      </w:r>
      <w:r w:rsidRPr="00AF2510">
        <w:rPr>
          <w:lang w:val="de-CH"/>
        </w:rPr>
        <w:t xml:space="preserve"> </w:t>
      </w:r>
      <w:r w:rsidRPr="00AF2510">
        <w:rPr>
          <w:lang w:val="de-CH"/>
        </w:rPr>
        <w:tab/>
        <w:t xml:space="preserve">StopIGM.org (2015), </w:t>
      </w:r>
      <w:hyperlink r:id="rId39" w:history="1">
        <w:r w:rsidRPr="008E63A0">
          <w:rPr>
            <w:rStyle w:val="Hyperlink"/>
            <w:sz w:val="14"/>
            <w:szCs w:val="14"/>
            <w:lang w:val="de-CH"/>
          </w:rPr>
          <w:t>https://stopigm.org/post/Nuremberg-Hermaphrodite-Lawsuit-Damages-and-Compensation-for-Intersex-Genital-Mutilations</w:t>
        </w:r>
      </w:hyperlink>
      <w:r w:rsidRPr="00AF2510">
        <w:rPr>
          <w:lang w:val="de-CH"/>
        </w:rPr>
        <w:t xml:space="preserve"> </w:t>
      </w:r>
    </w:p>
  </w:footnote>
  <w:footnote w:id="46">
    <w:p w14:paraId="636A22E2" w14:textId="77777777" w:rsidR="003E4D01" w:rsidRPr="00373BAF" w:rsidRDefault="003E4D01" w:rsidP="00A912FF">
      <w:pPr>
        <w:pStyle w:val="fussnoteschattenbericht"/>
        <w:spacing w:line="264" w:lineRule="auto"/>
        <w:ind w:hanging="448"/>
        <w:rPr>
          <w:lang w:val="de-DE"/>
        </w:rPr>
      </w:pPr>
      <w:r w:rsidRPr="005B2D30">
        <w:rPr>
          <w:rStyle w:val="Funotenzeichen"/>
          <w:vertAlign w:val="baseline"/>
        </w:rPr>
        <w:footnoteRef/>
      </w:r>
      <w:r w:rsidRPr="005B2D30">
        <w:rPr>
          <w:lang w:val="de-CH"/>
        </w:rPr>
        <w:t xml:space="preserve"> </w:t>
      </w:r>
      <w:r w:rsidRPr="005B2D30">
        <w:rPr>
          <w:lang w:val="de-CH"/>
        </w:rPr>
        <w:tab/>
      </w:r>
      <w:r w:rsidRPr="00627882">
        <w:rPr>
          <w:lang w:val="de-CH"/>
        </w:rPr>
        <w:t>OLG Nürnberg, Az. 5 U 53/16.</w:t>
      </w:r>
    </w:p>
  </w:footnote>
  <w:footnote w:id="47">
    <w:p w14:paraId="658AC39F" w14:textId="02F953A8" w:rsidR="003E4D01" w:rsidRPr="00260F1A" w:rsidRDefault="003E4D01" w:rsidP="00A912FF">
      <w:pPr>
        <w:pStyle w:val="fussnoteschattenbericht"/>
        <w:spacing w:line="264" w:lineRule="auto"/>
        <w:ind w:hanging="448"/>
        <w:rPr>
          <w:lang w:val="de-CH"/>
        </w:rPr>
      </w:pPr>
      <w:r w:rsidRPr="00047A08">
        <w:rPr>
          <w:rStyle w:val="FootnoteSymbol"/>
        </w:rPr>
        <w:footnoteRef/>
      </w:r>
      <w:r w:rsidRPr="00260F1A">
        <w:rPr>
          <w:rStyle w:val="FootnoteSymbol"/>
          <w:lang w:val="de-CH"/>
        </w:rPr>
        <w:t xml:space="preserve"> </w:t>
      </w:r>
      <w:r w:rsidRPr="00260F1A">
        <w:rPr>
          <w:lang w:val="de-CH"/>
        </w:rPr>
        <w:tab/>
        <w:t xml:space="preserve">Ulrike Löw (2019), “‘Penis-Amputation’: Intersexuelle verklagt Uni-Klinik Erlangen” </w:t>
      </w:r>
      <w:r w:rsidRPr="00260F1A">
        <w:rPr>
          <w:i/>
          <w:iCs/>
          <w:lang w:val="de-CH"/>
        </w:rPr>
        <w:t xml:space="preserve">(“‘Penis </w:t>
      </w:r>
      <w:proofErr w:type="spellStart"/>
      <w:r w:rsidRPr="00260F1A">
        <w:rPr>
          <w:i/>
          <w:iCs/>
          <w:lang w:val="de-CH"/>
        </w:rPr>
        <w:t>amputation</w:t>
      </w:r>
      <w:proofErr w:type="spellEnd"/>
      <w:r w:rsidRPr="00260F1A">
        <w:rPr>
          <w:i/>
          <w:iCs/>
          <w:lang w:val="de-CH"/>
        </w:rPr>
        <w:t xml:space="preserve">’: Intersex </w:t>
      </w:r>
      <w:proofErr w:type="spellStart"/>
      <w:r w:rsidRPr="00260F1A">
        <w:rPr>
          <w:i/>
          <w:iCs/>
          <w:lang w:val="de-CH"/>
        </w:rPr>
        <w:t>woman</w:t>
      </w:r>
      <w:proofErr w:type="spellEnd"/>
      <w:r w:rsidRPr="00260F1A">
        <w:rPr>
          <w:i/>
          <w:iCs/>
          <w:lang w:val="de-CH"/>
        </w:rPr>
        <w:t xml:space="preserve"> </w:t>
      </w:r>
      <w:proofErr w:type="spellStart"/>
      <w:r w:rsidRPr="00260F1A">
        <w:rPr>
          <w:i/>
          <w:iCs/>
          <w:lang w:val="de-CH"/>
        </w:rPr>
        <w:t>sues</w:t>
      </w:r>
      <w:proofErr w:type="spellEnd"/>
      <w:r w:rsidRPr="00260F1A">
        <w:rPr>
          <w:i/>
          <w:iCs/>
          <w:lang w:val="de-CH"/>
        </w:rPr>
        <w:t xml:space="preserve"> Erlangen University Hospital”)</w:t>
      </w:r>
      <w:r w:rsidRPr="00260F1A">
        <w:rPr>
          <w:lang w:val="de-CH"/>
        </w:rPr>
        <w:t xml:space="preserve">, nordbayern.de, </w:t>
      </w:r>
      <w:hyperlink r:id="rId40" w:history="1">
        <w:r w:rsidRPr="00260F1A">
          <w:rPr>
            <w:rStyle w:val="Hyperlink"/>
            <w:sz w:val="19"/>
            <w:szCs w:val="19"/>
            <w:lang w:val="de-CH"/>
          </w:rPr>
          <w:t>https://www.nordbayern.de/region/nuernberg/penis-amputation-intersexuelle-verklagt-uni-klinik-erlangen-1.8603872</w:t>
        </w:r>
      </w:hyperlink>
      <w:r w:rsidRPr="00260F1A">
        <w:rPr>
          <w:sz w:val="19"/>
          <w:szCs w:val="19"/>
          <w:lang w:val="de-CH"/>
        </w:rPr>
        <w:t xml:space="preserve"> </w:t>
      </w:r>
    </w:p>
  </w:footnote>
  <w:footnote w:id="48">
    <w:p w14:paraId="79C9142F" w14:textId="77777777" w:rsidR="003E4D01" w:rsidRPr="00BA29D2" w:rsidRDefault="003E4D01" w:rsidP="00A912FF">
      <w:pPr>
        <w:pStyle w:val="fussnoteschattenbericht"/>
        <w:spacing w:line="264" w:lineRule="auto"/>
        <w:ind w:hanging="448"/>
        <w:rPr>
          <w:lang w:val="de-CH"/>
        </w:rPr>
      </w:pPr>
      <w:r w:rsidRPr="00047A08">
        <w:rPr>
          <w:rStyle w:val="FootnoteSymbol"/>
        </w:rPr>
        <w:footnoteRef/>
      </w:r>
      <w:r w:rsidRPr="00421B87">
        <w:rPr>
          <w:rStyle w:val="FootnoteSymbol"/>
          <w:lang w:val="de-CH"/>
        </w:rPr>
        <w:t xml:space="preserve"> </w:t>
      </w:r>
      <w:r w:rsidRPr="00BA29D2">
        <w:rPr>
          <w:lang w:val="de-CH"/>
        </w:rPr>
        <w:tab/>
        <w:t xml:space="preserve">Franziska </w:t>
      </w:r>
      <w:proofErr w:type="spellStart"/>
      <w:r w:rsidRPr="00BA29D2">
        <w:rPr>
          <w:lang w:val="de-CH"/>
        </w:rPr>
        <w:t>Brachthäuser</w:t>
      </w:r>
      <w:proofErr w:type="spellEnd"/>
      <w:r w:rsidRPr="00BA29D2">
        <w:rPr>
          <w:lang w:val="de-CH"/>
        </w:rPr>
        <w:t xml:space="preserve">, Theresa </w:t>
      </w:r>
      <w:proofErr w:type="spellStart"/>
      <w:r w:rsidRPr="00BA29D2">
        <w:rPr>
          <w:lang w:val="de-CH"/>
        </w:rPr>
        <w:t>Richarz</w:t>
      </w:r>
      <w:proofErr w:type="spellEnd"/>
      <w:r w:rsidRPr="00BA29D2">
        <w:rPr>
          <w:lang w:val="de-CH"/>
        </w:rPr>
        <w:t xml:space="preserve"> (2014): Zwischen Norm und Geschlecht – Erste Entwürfe möglicher nationaler Entschädigungs- und Schadensersatzansprüche intersexueller Menschen gegen die Bundesrepublik Deutschland, Humboldt Law </w:t>
      </w:r>
      <w:proofErr w:type="spellStart"/>
      <w:r w:rsidRPr="00BA29D2">
        <w:rPr>
          <w:lang w:val="de-CH"/>
        </w:rPr>
        <w:t>Clinic</w:t>
      </w:r>
      <w:proofErr w:type="spellEnd"/>
      <w:r>
        <w:rPr>
          <w:lang w:val="de-CH"/>
        </w:rPr>
        <w:t>: Menschenrechte,</w:t>
      </w:r>
      <w:r w:rsidRPr="00BA29D2">
        <w:rPr>
          <w:lang w:val="de-CH"/>
        </w:rPr>
        <w:t xml:space="preserve"> Work</w:t>
      </w:r>
      <w:r>
        <w:rPr>
          <w:lang w:val="de-CH"/>
        </w:rPr>
        <w:t>ing Paper Nr. 5, at 22-24 (p. 19-</w:t>
      </w:r>
      <w:r w:rsidRPr="00BA29D2">
        <w:rPr>
          <w:lang w:val="de-CH"/>
        </w:rPr>
        <w:t xml:space="preserve">21 </w:t>
      </w:r>
      <w:r>
        <w:rPr>
          <w:lang w:val="de-CH"/>
        </w:rPr>
        <w:t>in PDF)</w:t>
      </w:r>
    </w:p>
    <w:p w14:paraId="32185858" w14:textId="77777777" w:rsidR="003E4D01" w:rsidRPr="00DF41C3" w:rsidRDefault="003E4D01" w:rsidP="00A912FF">
      <w:pPr>
        <w:pStyle w:val="fussnoteschattenbericht"/>
        <w:spacing w:line="264" w:lineRule="auto"/>
        <w:ind w:hanging="448"/>
        <w:rPr>
          <w:lang w:val="de-CH"/>
        </w:rPr>
      </w:pPr>
      <w:r w:rsidRPr="00BA29D2">
        <w:rPr>
          <w:lang w:val="de-CH"/>
        </w:rPr>
        <w:tab/>
      </w:r>
      <w:hyperlink r:id="rId41" w:history="1">
        <w:r w:rsidRPr="00DF41C3">
          <w:rPr>
            <w:rStyle w:val="Hyperlink"/>
            <w:lang w:val="de-CH"/>
          </w:rPr>
          <w:t>http://hlcmr.de/wp-content/uploads/2015/01/Working_Paper_Nr.5.pdf</w:t>
        </w:r>
      </w:hyperlink>
      <w:r w:rsidRPr="00DF41C3">
        <w:rPr>
          <w:lang w:val="de-CH"/>
        </w:rPr>
        <w:t xml:space="preserve"> </w:t>
      </w:r>
    </w:p>
  </w:footnote>
  <w:footnote w:id="49">
    <w:p w14:paraId="6B01F8D0" w14:textId="77777777" w:rsidR="003E4D01" w:rsidRPr="00B776F4" w:rsidRDefault="003E4D01" w:rsidP="00A912FF">
      <w:pPr>
        <w:pStyle w:val="fussnoteschattenbericht"/>
        <w:spacing w:line="264" w:lineRule="auto"/>
        <w:ind w:hanging="448"/>
        <w:rPr>
          <w:lang w:val="de-CH"/>
        </w:rPr>
      </w:pPr>
      <w:r w:rsidRPr="00845B12">
        <w:rPr>
          <w:rStyle w:val="Funotenzeichen"/>
          <w:vertAlign w:val="baseline"/>
        </w:rPr>
        <w:footnoteRef/>
      </w:r>
      <w:r w:rsidRPr="00B776F4">
        <w:rPr>
          <w:lang w:val="de-CH"/>
        </w:rPr>
        <w:tab/>
      </w:r>
      <w:proofErr w:type="spellStart"/>
      <w:r w:rsidRPr="00B776F4">
        <w:rPr>
          <w:lang w:val="de-CH"/>
        </w:rPr>
        <w:t>Although</w:t>
      </w:r>
      <w:proofErr w:type="spellEnd"/>
      <w:r w:rsidRPr="00B776F4">
        <w:rPr>
          <w:lang w:val="de-CH"/>
        </w:rPr>
        <w:t xml:space="preserve"> </w:t>
      </w:r>
      <w:proofErr w:type="spellStart"/>
      <w:r w:rsidRPr="00B776F4">
        <w:rPr>
          <w:lang w:val="de-CH"/>
        </w:rPr>
        <w:t>this</w:t>
      </w:r>
      <w:proofErr w:type="spellEnd"/>
      <w:r w:rsidRPr="00B776F4">
        <w:rPr>
          <w:lang w:val="de-CH"/>
        </w:rPr>
        <w:t xml:space="preserve"> </w:t>
      </w:r>
      <w:proofErr w:type="spellStart"/>
      <w:r w:rsidRPr="00B776F4">
        <w:rPr>
          <w:lang w:val="de-CH"/>
        </w:rPr>
        <w:t>person</w:t>
      </w:r>
      <w:proofErr w:type="spellEnd"/>
      <w:r w:rsidRPr="00B776F4">
        <w:rPr>
          <w:lang w:val="de-CH"/>
        </w:rPr>
        <w:t xml:space="preserve"> </w:t>
      </w:r>
      <w:proofErr w:type="spellStart"/>
      <w:r w:rsidRPr="00B776F4">
        <w:rPr>
          <w:lang w:val="de-CH"/>
        </w:rPr>
        <w:t>is</w:t>
      </w:r>
      <w:proofErr w:type="spellEnd"/>
      <w:r w:rsidRPr="00B776F4">
        <w:rPr>
          <w:lang w:val="de-CH"/>
        </w:rPr>
        <w:t xml:space="preserve"> </w:t>
      </w:r>
      <w:proofErr w:type="spellStart"/>
      <w:r w:rsidRPr="00B776F4">
        <w:rPr>
          <w:lang w:val="de-CH"/>
        </w:rPr>
        <w:t>personally</w:t>
      </w:r>
      <w:proofErr w:type="spellEnd"/>
      <w:r w:rsidRPr="00B776F4">
        <w:rPr>
          <w:lang w:val="de-CH"/>
        </w:rPr>
        <w:t xml:space="preserve"> </w:t>
      </w:r>
      <w:proofErr w:type="spellStart"/>
      <w:r w:rsidRPr="00B776F4">
        <w:rPr>
          <w:lang w:val="de-CH"/>
        </w:rPr>
        <w:t>known</w:t>
      </w:r>
      <w:proofErr w:type="spellEnd"/>
      <w:r w:rsidRPr="00B776F4">
        <w:rPr>
          <w:lang w:val="de-CH"/>
        </w:rPr>
        <w:t xml:space="preserve"> </w:t>
      </w:r>
      <w:proofErr w:type="spellStart"/>
      <w:r w:rsidRPr="00B776F4">
        <w:rPr>
          <w:lang w:val="de-CH"/>
        </w:rPr>
        <w:t>to</w:t>
      </w:r>
      <w:proofErr w:type="spellEnd"/>
      <w:r w:rsidRPr="00B776F4">
        <w:rPr>
          <w:lang w:val="de-CH"/>
        </w:rPr>
        <w:t xml:space="preserve"> </w:t>
      </w:r>
      <w:proofErr w:type="spellStart"/>
      <w:r w:rsidRPr="00B776F4">
        <w:rPr>
          <w:lang w:val="de-CH"/>
        </w:rPr>
        <w:t>the</w:t>
      </w:r>
      <w:proofErr w:type="spellEnd"/>
      <w:r w:rsidRPr="00B776F4">
        <w:rPr>
          <w:lang w:val="de-CH"/>
        </w:rPr>
        <w:t xml:space="preserve"> </w:t>
      </w:r>
      <w:proofErr w:type="spellStart"/>
      <w:r w:rsidRPr="00B776F4">
        <w:rPr>
          <w:lang w:val="de-CH"/>
        </w:rPr>
        <w:t>rapporteurs</w:t>
      </w:r>
      <w:proofErr w:type="spellEnd"/>
      <w:r w:rsidRPr="00B776F4">
        <w:rPr>
          <w:lang w:val="de-CH"/>
        </w:rPr>
        <w:t xml:space="preserve">, </w:t>
      </w:r>
      <w:proofErr w:type="spellStart"/>
      <w:r w:rsidRPr="00B776F4">
        <w:rPr>
          <w:lang w:val="de-CH"/>
        </w:rPr>
        <w:t>here</w:t>
      </w:r>
      <w:proofErr w:type="spellEnd"/>
      <w:r w:rsidRPr="00B776F4">
        <w:rPr>
          <w:lang w:val="de-CH"/>
        </w:rPr>
        <w:t xml:space="preserve"> </w:t>
      </w:r>
      <w:proofErr w:type="spellStart"/>
      <w:r w:rsidRPr="00B776F4">
        <w:rPr>
          <w:lang w:val="de-CH"/>
        </w:rPr>
        <w:t>the</w:t>
      </w:r>
      <w:proofErr w:type="spellEnd"/>
      <w:r w:rsidRPr="00B776F4">
        <w:rPr>
          <w:lang w:val="de-CH"/>
        </w:rPr>
        <w:t xml:space="preserve"> </w:t>
      </w:r>
      <w:proofErr w:type="spellStart"/>
      <w:r w:rsidRPr="00B776F4">
        <w:rPr>
          <w:lang w:val="de-CH"/>
        </w:rPr>
        <w:t>case</w:t>
      </w:r>
      <w:proofErr w:type="spellEnd"/>
      <w:r w:rsidRPr="00B776F4">
        <w:rPr>
          <w:lang w:val="de-CH"/>
        </w:rPr>
        <w:t xml:space="preserve"> </w:t>
      </w:r>
      <w:proofErr w:type="spellStart"/>
      <w:r w:rsidRPr="00B776F4">
        <w:rPr>
          <w:lang w:val="de-CH"/>
        </w:rPr>
        <w:t>details</w:t>
      </w:r>
      <w:proofErr w:type="spellEnd"/>
      <w:r w:rsidRPr="00B776F4">
        <w:rPr>
          <w:lang w:val="de-CH"/>
        </w:rPr>
        <w:t xml:space="preserve"> </w:t>
      </w:r>
      <w:proofErr w:type="spellStart"/>
      <w:r w:rsidRPr="00B776F4">
        <w:rPr>
          <w:lang w:val="de-CH"/>
        </w:rPr>
        <w:t>are</w:t>
      </w:r>
      <w:proofErr w:type="spellEnd"/>
      <w:r w:rsidRPr="00B776F4">
        <w:rPr>
          <w:lang w:val="de-CH"/>
        </w:rPr>
        <w:t xml:space="preserve"> </w:t>
      </w:r>
      <w:proofErr w:type="spellStart"/>
      <w:r w:rsidRPr="00B776F4">
        <w:rPr>
          <w:lang w:val="de-CH"/>
        </w:rPr>
        <w:t>taken</w:t>
      </w:r>
      <w:proofErr w:type="spellEnd"/>
      <w:r w:rsidRPr="00B776F4">
        <w:rPr>
          <w:lang w:val="de-CH"/>
        </w:rPr>
        <w:t xml:space="preserve"> </w:t>
      </w:r>
      <w:proofErr w:type="spellStart"/>
      <w:r w:rsidRPr="00B776F4">
        <w:rPr>
          <w:lang w:val="de-CH"/>
        </w:rPr>
        <w:t>from</w:t>
      </w:r>
      <w:proofErr w:type="spellEnd"/>
      <w:r w:rsidRPr="00B776F4">
        <w:rPr>
          <w:lang w:val="de-CH"/>
        </w:rPr>
        <w:t xml:space="preserve">: Franziska </w:t>
      </w:r>
      <w:proofErr w:type="spellStart"/>
      <w:r w:rsidRPr="00B776F4">
        <w:rPr>
          <w:lang w:val="de-CH"/>
        </w:rPr>
        <w:t>Brachthäuser</w:t>
      </w:r>
      <w:proofErr w:type="spellEnd"/>
      <w:r w:rsidRPr="00B776F4">
        <w:rPr>
          <w:lang w:val="de-CH"/>
        </w:rPr>
        <w:t xml:space="preserve">, Theresa </w:t>
      </w:r>
      <w:proofErr w:type="spellStart"/>
      <w:r w:rsidRPr="00B776F4">
        <w:rPr>
          <w:lang w:val="de-CH"/>
        </w:rPr>
        <w:t>Richarz</w:t>
      </w:r>
      <w:proofErr w:type="spellEnd"/>
      <w:r w:rsidRPr="00B776F4">
        <w:rPr>
          <w:lang w:val="de-CH"/>
        </w:rPr>
        <w:t xml:space="preserve"> (2014): Zwischen Norm und Geschlecht – Erste Entwürfe möglicher nationaler Entschädigungs- und Schadensersatzansprüche intersexueller Menschen gegen die Bundesrepublik Deutschland, Humboldt Law </w:t>
      </w:r>
      <w:proofErr w:type="spellStart"/>
      <w:r w:rsidRPr="00B776F4">
        <w:rPr>
          <w:lang w:val="de-CH"/>
        </w:rPr>
        <w:t>Clinic</w:t>
      </w:r>
      <w:proofErr w:type="spellEnd"/>
      <w:r w:rsidRPr="00B776F4">
        <w:rPr>
          <w:lang w:val="de-CH"/>
        </w:rPr>
        <w:t xml:space="preserve"> Menschenrechte (HLCMR) Working Paper Nr. 5, at 9, 11 (i.e. 6, 8 </w:t>
      </w:r>
      <w:proofErr w:type="spellStart"/>
      <w:r w:rsidRPr="00B776F4">
        <w:rPr>
          <w:lang w:val="de-CH"/>
        </w:rPr>
        <w:t>according</w:t>
      </w:r>
      <w:proofErr w:type="spellEnd"/>
      <w:r w:rsidRPr="00B776F4">
        <w:rPr>
          <w:lang w:val="de-CH"/>
        </w:rPr>
        <w:t xml:space="preserve"> </w:t>
      </w:r>
      <w:proofErr w:type="spellStart"/>
      <w:r w:rsidRPr="00B776F4">
        <w:rPr>
          <w:lang w:val="de-CH"/>
        </w:rPr>
        <w:t>to</w:t>
      </w:r>
      <w:proofErr w:type="spellEnd"/>
      <w:r w:rsidRPr="00B776F4">
        <w:rPr>
          <w:lang w:val="de-CH"/>
        </w:rPr>
        <w:t xml:space="preserve"> </w:t>
      </w:r>
      <w:proofErr w:type="spellStart"/>
      <w:r w:rsidRPr="00B776F4">
        <w:rPr>
          <w:lang w:val="de-CH"/>
        </w:rPr>
        <w:t>page</w:t>
      </w:r>
      <w:proofErr w:type="spellEnd"/>
      <w:r w:rsidRPr="00B776F4">
        <w:rPr>
          <w:lang w:val="de-CH"/>
        </w:rPr>
        <w:t xml:space="preserve"> </w:t>
      </w:r>
      <w:proofErr w:type="spellStart"/>
      <w:r w:rsidRPr="00B776F4">
        <w:rPr>
          <w:lang w:val="de-CH"/>
        </w:rPr>
        <w:t>numbers</w:t>
      </w:r>
      <w:proofErr w:type="spellEnd"/>
      <w:r w:rsidRPr="00B776F4">
        <w:rPr>
          <w:lang w:val="de-CH"/>
        </w:rPr>
        <w:t xml:space="preserve"> </w:t>
      </w:r>
      <w:proofErr w:type="spellStart"/>
      <w:r w:rsidRPr="00B776F4">
        <w:rPr>
          <w:lang w:val="de-CH"/>
        </w:rPr>
        <w:t>within</w:t>
      </w:r>
      <w:proofErr w:type="spellEnd"/>
      <w:r w:rsidRPr="00B776F4">
        <w:rPr>
          <w:lang w:val="de-CH"/>
        </w:rPr>
        <w:t xml:space="preserve"> </w:t>
      </w:r>
      <w:proofErr w:type="spellStart"/>
      <w:r w:rsidRPr="00B776F4">
        <w:rPr>
          <w:lang w:val="de-CH"/>
        </w:rPr>
        <w:t>document</w:t>
      </w:r>
      <w:proofErr w:type="spellEnd"/>
      <w:r w:rsidRPr="00B776F4">
        <w:rPr>
          <w:lang w:val="de-CH"/>
        </w:rPr>
        <w:t>)</w:t>
      </w:r>
    </w:p>
    <w:p w14:paraId="45B34364" w14:textId="77777777" w:rsidR="003E4D01" w:rsidRPr="00421B87" w:rsidRDefault="003E4D01" w:rsidP="00A912FF">
      <w:pPr>
        <w:pStyle w:val="fussnoteschattenbericht"/>
        <w:spacing w:line="264" w:lineRule="auto"/>
        <w:ind w:hanging="448"/>
        <w:rPr>
          <w:rStyle w:val="Hyperlink"/>
          <w:lang w:val="de-CH"/>
        </w:rPr>
      </w:pPr>
      <w:r w:rsidRPr="00B776F4">
        <w:rPr>
          <w:lang w:val="de-CH"/>
        </w:rPr>
        <w:tab/>
      </w:r>
      <w:hyperlink r:id="rId42" w:history="1">
        <w:r w:rsidRPr="00421B87">
          <w:rPr>
            <w:rStyle w:val="Hyperlink"/>
            <w:lang w:val="de-CH"/>
          </w:rPr>
          <w:t>http://hlcmr.de/wp-content/uploads/2015/01/Working_Paper_Nr.5.pdf</w:t>
        </w:r>
      </w:hyperlink>
    </w:p>
    <w:p w14:paraId="092D28AD" w14:textId="77777777" w:rsidR="003E4D01" w:rsidRPr="00421B87" w:rsidRDefault="003E4D01" w:rsidP="00A912FF">
      <w:pPr>
        <w:pStyle w:val="fussnoteschattenbericht"/>
        <w:spacing w:line="264" w:lineRule="auto"/>
        <w:ind w:hanging="448"/>
        <w:rPr>
          <w:lang w:val="en-US"/>
        </w:rPr>
      </w:pPr>
      <w:r w:rsidRPr="005824AE">
        <w:rPr>
          <w:lang w:val="de-CH"/>
        </w:rPr>
        <w:tab/>
      </w:r>
      <w:r w:rsidRPr="00421B87">
        <w:rPr>
          <w:lang w:val="en-US"/>
        </w:rPr>
        <w:t>(All other cases are based on personal interviews.)</w:t>
      </w:r>
    </w:p>
  </w:footnote>
  <w:footnote w:id="50">
    <w:p w14:paraId="247E240E" w14:textId="77777777" w:rsidR="003E4D01" w:rsidRPr="00584531" w:rsidRDefault="003E4D01" w:rsidP="00A912FF">
      <w:pPr>
        <w:pStyle w:val="fussnoteschattenbericht"/>
        <w:spacing w:line="264" w:lineRule="auto"/>
        <w:ind w:hanging="448"/>
        <w:rPr>
          <w:lang w:val="en-US"/>
        </w:rPr>
      </w:pPr>
      <w:r w:rsidRPr="00845B12">
        <w:rPr>
          <w:rStyle w:val="Funotenzeichen"/>
          <w:vertAlign w:val="baseline"/>
        </w:rPr>
        <w:footnoteRef/>
      </w:r>
      <w:r>
        <w:tab/>
      </w:r>
      <w:r w:rsidRPr="00421B87">
        <w:rPr>
          <w:lang w:val="en-US"/>
        </w:rPr>
        <w:t xml:space="preserve">SG Trier, 07.02.2012 Az. S 6 VG 10/ 11 Tr. </w:t>
      </w:r>
      <w:r w:rsidRPr="00584531">
        <w:rPr>
          <w:lang w:val="en-US"/>
        </w:rPr>
        <w:t>(unpublished)</w:t>
      </w:r>
    </w:p>
  </w:footnote>
  <w:footnote w:id="51">
    <w:p w14:paraId="1639F133" w14:textId="77777777" w:rsidR="003E4D01" w:rsidRPr="00584531" w:rsidRDefault="003E4D01" w:rsidP="00A912FF">
      <w:pPr>
        <w:pStyle w:val="fussnoteschattenbericht"/>
        <w:spacing w:line="264" w:lineRule="auto"/>
        <w:ind w:hanging="448"/>
        <w:rPr>
          <w:lang w:val="en-US"/>
        </w:rPr>
      </w:pPr>
      <w:r w:rsidRPr="00845B12">
        <w:rPr>
          <w:rStyle w:val="Funotenzeichen"/>
          <w:vertAlign w:val="baseline"/>
        </w:rPr>
        <w:footnoteRef/>
      </w:r>
      <w:r w:rsidRPr="00584531">
        <w:rPr>
          <w:lang w:val="en-US"/>
        </w:rPr>
        <w:tab/>
        <w:t xml:space="preserve">SG Bayreuth, 01.08.2012, Az. S 4 VG 5/11 (unpublished); see also relevant quote in </w:t>
      </w:r>
      <w:proofErr w:type="spellStart"/>
      <w:r w:rsidRPr="00584531">
        <w:rPr>
          <w:lang w:val="en-US"/>
        </w:rPr>
        <w:t>Nürnberger</w:t>
      </w:r>
      <w:proofErr w:type="spellEnd"/>
      <w:r w:rsidRPr="00584531">
        <w:rPr>
          <w:lang w:val="en-US"/>
        </w:rPr>
        <w:t xml:space="preserve"> </w:t>
      </w:r>
      <w:proofErr w:type="spellStart"/>
      <w:r w:rsidRPr="00584531">
        <w:rPr>
          <w:lang w:val="en-US"/>
        </w:rPr>
        <w:t>Nachrichten</w:t>
      </w:r>
      <w:proofErr w:type="spellEnd"/>
      <w:r w:rsidRPr="00584531">
        <w:rPr>
          <w:lang w:val="en-US"/>
        </w:rPr>
        <w:t xml:space="preserve"> (04.11.2013) </w:t>
      </w:r>
      <w:hyperlink r:id="rId43" w:history="1">
        <w:r w:rsidRPr="00584531">
          <w:rPr>
            <w:rStyle w:val="Hyperlink"/>
            <w:rFonts w:ascii="Baskerville" w:hAnsi="Baskerville" w:cs="Baskerville"/>
            <w:lang w:val="en-US"/>
          </w:rPr>
          <w:t>https://web.archive.org/web/20131114044728/http://www.nordbayern.de/nuernberger-nachrichten/region-bayern/schmerzliche-suche-nach-dem-eigenen-geschlecht-1.3257295</w:t>
        </w:r>
      </w:hyperlink>
    </w:p>
  </w:footnote>
  <w:footnote w:id="52">
    <w:p w14:paraId="47E6E946" w14:textId="77777777" w:rsidR="003E4D01" w:rsidRPr="00421B87" w:rsidRDefault="003E4D01" w:rsidP="00A647FB">
      <w:pPr>
        <w:pStyle w:val="fussnoteschattenbericht"/>
        <w:rPr>
          <w:lang w:val="en-US"/>
        </w:rPr>
      </w:pPr>
      <w:r w:rsidRPr="00845B12">
        <w:rPr>
          <w:rStyle w:val="Funotenzeichen"/>
          <w:vertAlign w:val="baseline"/>
        </w:rPr>
        <w:footnoteRef/>
      </w:r>
      <w:r>
        <w:tab/>
      </w:r>
      <w:r w:rsidRPr="00421B87">
        <w:rPr>
          <w:lang w:val="en-US"/>
        </w:rPr>
        <w:t xml:space="preserve">SG </w:t>
      </w:r>
      <w:proofErr w:type="spellStart"/>
      <w:r w:rsidRPr="00421B87">
        <w:rPr>
          <w:lang w:val="en-US"/>
        </w:rPr>
        <w:t>Nürnberg</w:t>
      </w:r>
      <w:proofErr w:type="spellEnd"/>
      <w:r w:rsidRPr="00421B87">
        <w:rPr>
          <w:lang w:val="en-US"/>
        </w:rPr>
        <w:t>, 16.07.2014, Az. S 15 VG 9/12 (unpublished)</w:t>
      </w:r>
    </w:p>
  </w:footnote>
  <w:footnote w:id="53">
    <w:p w14:paraId="009001AB" w14:textId="77777777" w:rsidR="003E4D01" w:rsidRPr="00627882" w:rsidRDefault="003E4D01" w:rsidP="00A647FB">
      <w:pPr>
        <w:pStyle w:val="fussnoteschattenbericht"/>
        <w:rPr>
          <w:lang w:val="en-US"/>
        </w:rPr>
      </w:pPr>
      <w:r w:rsidRPr="003060FD">
        <w:rPr>
          <w:rStyle w:val="Funotenzeichen"/>
          <w:vertAlign w:val="baseline"/>
        </w:rPr>
        <w:footnoteRef/>
      </w:r>
      <w:r w:rsidRPr="001C16E3">
        <w:t xml:space="preserve"> </w:t>
      </w:r>
      <w:r>
        <w:tab/>
        <w:t>Az. FS 53123-17770/10-OEG</w:t>
      </w:r>
      <w:r w:rsidRPr="00D45AFF">
        <w:t xml:space="preserve"> </w:t>
      </w:r>
      <w:r w:rsidRPr="00B776F4">
        <w:t>(unpublished)</w:t>
      </w:r>
      <w:r>
        <w:t>.</w:t>
      </w:r>
    </w:p>
  </w:footnote>
  <w:footnote w:id="54">
    <w:p w14:paraId="2F9CAB6E" w14:textId="77777777" w:rsidR="003E4D01" w:rsidRPr="00B776F4" w:rsidRDefault="003E4D01" w:rsidP="00A647FB">
      <w:pPr>
        <w:pStyle w:val="fussnoteschattenbericht"/>
      </w:pPr>
      <w:r w:rsidRPr="00845B12">
        <w:rPr>
          <w:rStyle w:val="Funotenzeichen"/>
          <w:vertAlign w:val="baseline"/>
        </w:rPr>
        <w:footnoteRef/>
      </w:r>
      <w:r w:rsidRPr="00B776F4">
        <w:tab/>
        <w:t xml:space="preserve">State Ministry for Work, Social Affairs, Family and </w:t>
      </w:r>
      <w:proofErr w:type="spellStart"/>
      <w:r w:rsidRPr="00B776F4">
        <w:t>Intergration</w:t>
      </w:r>
      <w:proofErr w:type="spellEnd"/>
      <w:r w:rsidRPr="00B776F4">
        <w:t xml:space="preserve"> (BASFI) Hamburg, </w:t>
      </w:r>
      <w:r>
        <w:t>19.03.2013</w:t>
      </w:r>
      <w:r w:rsidRPr="00B776F4">
        <w:t xml:space="preserve">, Az. </w:t>
      </w:r>
      <w:r>
        <w:t>FS 53123-17770/10-OEG</w:t>
      </w:r>
      <w:r w:rsidRPr="00B776F4">
        <w:t xml:space="preserve"> (unpublished)</w:t>
      </w:r>
    </w:p>
  </w:footnote>
  <w:footnote w:id="55">
    <w:p w14:paraId="2869582E" w14:textId="77777777" w:rsidR="003E4D01" w:rsidRPr="00F92174" w:rsidRDefault="003E4D01" w:rsidP="00A647FB">
      <w:pPr>
        <w:pStyle w:val="fussnoteschattenbericht"/>
        <w:rPr>
          <w:lang w:val="de-DE"/>
        </w:rPr>
      </w:pPr>
      <w:r w:rsidRPr="002168A7">
        <w:rPr>
          <w:rStyle w:val="Funotenzeichen"/>
          <w:vertAlign w:val="baseline"/>
        </w:rPr>
        <w:footnoteRef/>
      </w:r>
      <w:r w:rsidRPr="002168A7">
        <w:t xml:space="preserve"> </w:t>
      </w:r>
      <w:r>
        <w:tab/>
        <w:t xml:space="preserve">SG Hamburg, Az. </w:t>
      </w:r>
      <w:r w:rsidRPr="00F92174">
        <w:t>S 12 VE 46/14</w:t>
      </w:r>
    </w:p>
  </w:footnote>
  <w:footnote w:id="56">
    <w:p w14:paraId="6C68AB0C" w14:textId="77777777" w:rsidR="003E4D01" w:rsidRPr="00421B87" w:rsidRDefault="003E4D01" w:rsidP="00A647FB">
      <w:pPr>
        <w:pStyle w:val="fussnoteschattenbericht"/>
        <w:numPr>
          <w:ilvl w:val="0"/>
          <w:numId w:val="1"/>
        </w:numPr>
        <w:rPr>
          <w:lang w:val="en-US"/>
        </w:rPr>
      </w:pPr>
      <w:r w:rsidRPr="002168A7">
        <w:rPr>
          <w:rStyle w:val="Funotenzeichen"/>
          <w:vertAlign w:val="baseline"/>
        </w:rPr>
        <w:footnoteRef/>
      </w:r>
      <w:r w:rsidRPr="002168A7">
        <w:t xml:space="preserve"> </w:t>
      </w:r>
      <w:r>
        <w:tab/>
        <w:t xml:space="preserve">SG Hamburg, 19.12.2018, Az. </w:t>
      </w:r>
      <w:r w:rsidRPr="00F92174">
        <w:t>S 12 VE 46/14</w:t>
      </w:r>
      <w:r>
        <w:t xml:space="preserve">, </w:t>
      </w:r>
      <w:r>
        <w:br/>
      </w:r>
      <w:hyperlink r:id="rId44" w:history="1">
        <w:r w:rsidRPr="00005056">
          <w:rPr>
            <w:rStyle w:val="Hyperlink"/>
            <w:lang w:val="en-US"/>
          </w:rPr>
          <w:t>https://zwischengeschlecht.org/public/Hamburg-Intersex-OEG-Urteil-19-12-2018_S-12-VE_46-14_web.pdf</w:t>
        </w:r>
      </w:hyperlink>
      <w:r w:rsidRPr="00421B87">
        <w:rPr>
          <w:lang w:val="en-US"/>
        </w:rPr>
        <w:t xml:space="preserve"> </w:t>
      </w:r>
    </w:p>
  </w:footnote>
  <w:footnote w:id="57">
    <w:p w14:paraId="11230266" w14:textId="79F2EF39" w:rsidR="003E4D01" w:rsidRPr="00421B87" w:rsidRDefault="003E4D01" w:rsidP="004E5AEA">
      <w:pPr>
        <w:pStyle w:val="fussnoteschattenbericht"/>
        <w:numPr>
          <w:ilvl w:val="0"/>
          <w:numId w:val="1"/>
        </w:numPr>
        <w:rPr>
          <w:lang w:val="en-US"/>
        </w:rPr>
      </w:pPr>
      <w:r w:rsidRPr="002168A7">
        <w:rPr>
          <w:rStyle w:val="Funotenzeichen"/>
          <w:vertAlign w:val="baseline"/>
        </w:rPr>
        <w:footnoteRef/>
      </w:r>
      <w:r w:rsidRPr="002168A7">
        <w:t xml:space="preserve"> </w:t>
      </w:r>
      <w:r>
        <w:tab/>
        <w:t>LSG Hamburg, 13.07.2021, Az. L 3 VE 1/19 (unpublished)</w:t>
      </w:r>
    </w:p>
  </w:footnote>
  <w:footnote w:id="58">
    <w:p w14:paraId="2B6D5263" w14:textId="6D395DC9" w:rsidR="003E4D01" w:rsidRPr="00421B87" w:rsidRDefault="003E4D01" w:rsidP="00DA4CDE">
      <w:pPr>
        <w:pStyle w:val="fussnoteschattenbericht"/>
        <w:numPr>
          <w:ilvl w:val="0"/>
          <w:numId w:val="1"/>
        </w:numPr>
        <w:rPr>
          <w:lang w:val="en-US"/>
        </w:rPr>
      </w:pPr>
      <w:r w:rsidRPr="002168A7">
        <w:rPr>
          <w:rStyle w:val="Funotenzeichen"/>
          <w:vertAlign w:val="baseline"/>
        </w:rPr>
        <w:footnoteRef/>
      </w:r>
      <w:r w:rsidRPr="002168A7">
        <w:t xml:space="preserve"> </w:t>
      </w:r>
      <w:r>
        <w:tab/>
        <w:t>BSG, Az. B 9 V 32/21 B</w:t>
      </w:r>
    </w:p>
  </w:footnote>
  <w:footnote w:id="59">
    <w:p w14:paraId="0171EF8C" w14:textId="0A024B8F" w:rsidR="003E4D01" w:rsidRPr="00421B87" w:rsidRDefault="003E4D01" w:rsidP="000C50A7">
      <w:pPr>
        <w:pStyle w:val="fussnoteschattenbericht"/>
        <w:numPr>
          <w:ilvl w:val="0"/>
          <w:numId w:val="1"/>
        </w:numPr>
        <w:rPr>
          <w:lang w:val="en-US"/>
        </w:rPr>
      </w:pPr>
      <w:r w:rsidRPr="002168A7">
        <w:rPr>
          <w:rStyle w:val="Funotenzeichen"/>
          <w:vertAlign w:val="baseline"/>
        </w:rPr>
        <w:footnoteRef/>
      </w:r>
      <w:r w:rsidRPr="002168A7">
        <w:t xml:space="preserve"> </w:t>
      </w:r>
      <w:r>
        <w:tab/>
        <w:t>BSG, Az. B 9 V 32/21 B, 16.12.2021</w:t>
      </w:r>
    </w:p>
  </w:footnote>
  <w:footnote w:id="60">
    <w:p w14:paraId="0676D4C0" w14:textId="4EBEBA6D" w:rsidR="003E4D01" w:rsidRPr="00520F08" w:rsidRDefault="003E4D01" w:rsidP="00A647FB">
      <w:pPr>
        <w:pStyle w:val="fussnoteschattenbericht"/>
        <w:rPr>
          <w:lang w:val="de-DE"/>
        </w:rPr>
      </w:pPr>
      <w:r w:rsidRPr="002168A7">
        <w:rPr>
          <w:rStyle w:val="Funotenzeichen"/>
          <w:vertAlign w:val="baseline"/>
        </w:rPr>
        <w:footnoteRef/>
      </w:r>
      <w:r w:rsidRPr="002168A7">
        <w:rPr>
          <w:lang w:val="de-CH"/>
        </w:rPr>
        <w:t xml:space="preserve"> </w:t>
      </w:r>
      <w:r>
        <w:rPr>
          <w:lang w:val="de-CH"/>
        </w:rPr>
        <w:tab/>
        <w:t xml:space="preserve">Stellungnahme </w:t>
      </w:r>
      <w:r w:rsidRPr="00F76145">
        <w:rPr>
          <w:lang w:val="de-CH"/>
        </w:rPr>
        <w:t>“</w:t>
      </w:r>
      <w:r>
        <w:rPr>
          <w:lang w:val="de-CH"/>
        </w:rPr>
        <w:t>Intersexualität</w:t>
      </w:r>
      <w:r w:rsidRPr="00F76145">
        <w:rPr>
          <w:lang w:val="de-CH"/>
        </w:rPr>
        <w:t>”</w:t>
      </w:r>
      <w:r w:rsidRPr="007665F2">
        <w:rPr>
          <w:lang w:val="de-CH"/>
        </w:rPr>
        <w:t xml:space="preserve">, 14. Februar 2012 (BT – </w:t>
      </w:r>
      <w:proofErr w:type="spellStart"/>
      <w:r w:rsidRPr="007665F2">
        <w:rPr>
          <w:lang w:val="de-CH"/>
        </w:rPr>
        <w:t>Drs</w:t>
      </w:r>
      <w:proofErr w:type="spellEnd"/>
      <w:r w:rsidRPr="007665F2">
        <w:rPr>
          <w:lang w:val="de-CH"/>
        </w:rPr>
        <w:t>. 17/9088), S. 176</w:t>
      </w:r>
    </w:p>
  </w:footnote>
  <w:footnote w:id="61">
    <w:p w14:paraId="17CC7C7B" w14:textId="105E4E58" w:rsidR="003E4D01" w:rsidRPr="007665F2" w:rsidRDefault="003E4D01" w:rsidP="00A647FB">
      <w:pPr>
        <w:pStyle w:val="fussnoteschattenbericht"/>
        <w:rPr>
          <w:lang w:val="en-US"/>
        </w:rPr>
      </w:pPr>
      <w:r w:rsidRPr="00DA20F1">
        <w:rPr>
          <w:rStyle w:val="Funotenzeichen"/>
          <w:vertAlign w:val="baseline"/>
          <w:lang w:val="en-US"/>
        </w:rPr>
        <w:t xml:space="preserve"> </w:t>
      </w:r>
      <w:r w:rsidRPr="00DA20F1">
        <w:rPr>
          <w:lang w:val="en-US"/>
        </w:rPr>
        <w:tab/>
      </w:r>
      <w:proofErr w:type="spellStart"/>
      <w:r>
        <w:t>Interministerial</w:t>
      </w:r>
      <w:proofErr w:type="spellEnd"/>
      <w:r>
        <w:t xml:space="preserve"> Working Group (2016), “</w:t>
      </w:r>
      <w:r w:rsidRPr="00763DF1">
        <w:t>Focus on the situation o</w:t>
      </w:r>
      <w:r>
        <w:t>f trans- and intersexual people”</w:t>
      </w:r>
      <w:r w:rsidRPr="00763DF1">
        <w:t xml:space="preserve">. Status information of the BMFSFJ. Accompanying material to the </w:t>
      </w:r>
      <w:proofErr w:type="spellStart"/>
      <w:r w:rsidRPr="00763DF1">
        <w:t>Interministerial</w:t>
      </w:r>
      <w:proofErr w:type="spellEnd"/>
      <w:r w:rsidRPr="00763DF1">
        <w:t xml:space="preserve"> Working Group on Inter- &amp; Transsexuality - Volume 5, Berlin</w:t>
      </w:r>
      <w:r>
        <w:t xml:space="preserve">, p. 17, </w:t>
      </w:r>
      <w:hyperlink r:id="rId45" w:history="1">
        <w:r w:rsidRPr="00883562">
          <w:rPr>
            <w:rStyle w:val="Hyperlink"/>
            <w:sz w:val="16"/>
            <w:szCs w:val="16"/>
          </w:rPr>
          <w:t>https://www.bmfsfj.de/blob/112092/f199e9c4b77f89d0a5aa825228384e08/imag-band-5-situation-von-trans-und-intersexuellen-menschen-data.pdf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79279" w14:textId="77777777" w:rsidR="003E4D01" w:rsidRDefault="003E4D01">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E89CA" w14:textId="77777777" w:rsidR="003E4D01" w:rsidRDefault="003E4D01">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659D3" w14:textId="77777777" w:rsidR="003E4D01" w:rsidRDefault="003E4D0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D366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val="en-GB"/>
      </w:rPr>
    </w:lvl>
  </w:abstractNum>
  <w:abstractNum w:abstractNumId="4">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5">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6">
    <w:nsid w:val="00000006"/>
    <w:multiLevelType w:val="multilevel"/>
    <w:tmpl w:val="00000006"/>
    <w:name w:val="WW8Num6"/>
    <w:lvl w:ilvl="0">
      <w:start w:val="1"/>
      <w:numFmt w:val="bullet"/>
      <w:lvlText w:val=""/>
      <w:lvlJc w:val="left"/>
      <w:pPr>
        <w:tabs>
          <w:tab w:val="num" w:pos="720"/>
        </w:tabs>
        <w:ind w:left="720" w:hanging="360"/>
      </w:pPr>
      <w:rPr>
        <w:rFonts w:ascii="Symbol" w:hAnsi="Symbol" w:cs="Arial Unicode MS"/>
      </w:rPr>
    </w:lvl>
    <w:lvl w:ilvl="1">
      <w:start w:val="1"/>
      <w:numFmt w:val="bullet"/>
      <w:lvlText w:val="◦"/>
      <w:lvlJc w:val="left"/>
      <w:pPr>
        <w:tabs>
          <w:tab w:val="num" w:pos="1080"/>
        </w:tabs>
        <w:ind w:left="1080" w:hanging="360"/>
      </w:pPr>
      <w:rPr>
        <w:rFonts w:ascii="Arial Unicode MS" w:hAnsi="Arial Unicode MS" w:cs="Arial Unicode MS"/>
      </w:rPr>
    </w:lvl>
    <w:lvl w:ilvl="2">
      <w:start w:val="1"/>
      <w:numFmt w:val="bullet"/>
      <w:lvlText w:val="▪"/>
      <w:lvlJc w:val="left"/>
      <w:pPr>
        <w:tabs>
          <w:tab w:val="num" w:pos="1440"/>
        </w:tabs>
        <w:ind w:left="1440" w:hanging="360"/>
      </w:pPr>
      <w:rPr>
        <w:rFonts w:ascii="Arial Unicode MS" w:hAnsi="Arial Unicode MS" w:cs="Arial Unicode MS"/>
      </w:rPr>
    </w:lvl>
    <w:lvl w:ilvl="3">
      <w:start w:val="1"/>
      <w:numFmt w:val="bullet"/>
      <w:lvlText w:val=""/>
      <w:lvlJc w:val="left"/>
      <w:pPr>
        <w:tabs>
          <w:tab w:val="num" w:pos="1800"/>
        </w:tabs>
        <w:ind w:left="1800" w:hanging="360"/>
      </w:pPr>
      <w:rPr>
        <w:rFonts w:ascii="Symbol" w:hAnsi="Symbol" w:cs="Arial Unicode MS"/>
      </w:rPr>
    </w:lvl>
    <w:lvl w:ilvl="4">
      <w:start w:val="1"/>
      <w:numFmt w:val="bullet"/>
      <w:lvlText w:val="◦"/>
      <w:lvlJc w:val="left"/>
      <w:pPr>
        <w:tabs>
          <w:tab w:val="num" w:pos="2160"/>
        </w:tabs>
        <w:ind w:left="2160" w:hanging="360"/>
      </w:pPr>
      <w:rPr>
        <w:rFonts w:ascii="Arial Unicode MS" w:hAnsi="Arial Unicode MS" w:cs="Arial Unicode MS"/>
      </w:rPr>
    </w:lvl>
    <w:lvl w:ilvl="5">
      <w:start w:val="1"/>
      <w:numFmt w:val="bullet"/>
      <w:lvlText w:val="▪"/>
      <w:lvlJc w:val="left"/>
      <w:pPr>
        <w:tabs>
          <w:tab w:val="num" w:pos="2520"/>
        </w:tabs>
        <w:ind w:left="2520" w:hanging="360"/>
      </w:pPr>
      <w:rPr>
        <w:rFonts w:ascii="Arial Unicode MS" w:hAnsi="Arial Unicode MS" w:cs="Arial Unicode MS"/>
      </w:rPr>
    </w:lvl>
    <w:lvl w:ilvl="6">
      <w:start w:val="1"/>
      <w:numFmt w:val="bullet"/>
      <w:lvlText w:val=""/>
      <w:lvlJc w:val="left"/>
      <w:pPr>
        <w:tabs>
          <w:tab w:val="num" w:pos="2880"/>
        </w:tabs>
        <w:ind w:left="2880" w:hanging="360"/>
      </w:pPr>
      <w:rPr>
        <w:rFonts w:ascii="Symbol" w:hAnsi="Symbol" w:cs="Arial Unicode MS"/>
      </w:rPr>
    </w:lvl>
    <w:lvl w:ilvl="7">
      <w:start w:val="1"/>
      <w:numFmt w:val="bullet"/>
      <w:lvlText w:val="◦"/>
      <w:lvlJc w:val="left"/>
      <w:pPr>
        <w:tabs>
          <w:tab w:val="num" w:pos="3240"/>
        </w:tabs>
        <w:ind w:left="3240" w:hanging="360"/>
      </w:pPr>
      <w:rPr>
        <w:rFonts w:ascii="Arial Unicode MS" w:hAnsi="Arial Unicode MS" w:cs="Arial Unicode MS"/>
      </w:rPr>
    </w:lvl>
    <w:lvl w:ilvl="8">
      <w:start w:val="1"/>
      <w:numFmt w:val="bullet"/>
      <w:lvlText w:val="▪"/>
      <w:lvlJc w:val="left"/>
      <w:pPr>
        <w:tabs>
          <w:tab w:val="num" w:pos="3600"/>
        </w:tabs>
        <w:ind w:left="3600" w:hanging="360"/>
      </w:pPr>
      <w:rPr>
        <w:rFonts w:ascii="Arial Unicode MS" w:hAnsi="Arial Unicode MS" w:cs="Arial Unicode MS"/>
      </w:rPr>
    </w:lvl>
  </w:abstractNum>
  <w:abstractNum w:abstractNumId="7">
    <w:nsid w:val="00000007"/>
    <w:multiLevelType w:val="multilevel"/>
    <w:tmpl w:val="00000007"/>
    <w:lvl w:ilvl="0">
      <w:start w:val="5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nsid w:val="00000008"/>
    <w:multiLevelType w:val="multilevel"/>
    <w:tmpl w:val="00000008"/>
    <w:lvl w:ilvl="0">
      <w:start w:val="6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nsid w:val="00000009"/>
    <w:multiLevelType w:val="multilevel"/>
    <w:tmpl w:val="00000009"/>
    <w:lvl w:ilvl="0">
      <w:start w:val="6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nsid w:val="035921E9"/>
    <w:multiLevelType w:val="hybridMultilevel"/>
    <w:tmpl w:val="DCCC223C"/>
    <w:lvl w:ilvl="0" w:tplc="3398A448">
      <w:numFmt w:val="bullet"/>
      <w:lvlText w:val="•"/>
      <w:lvlJc w:val="left"/>
      <w:pPr>
        <w:ind w:left="720" w:hanging="360"/>
      </w:pPr>
      <w:rPr>
        <w:rFonts w:ascii="Times New Roman" w:eastAsia="Baskerville"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03AE526F"/>
    <w:multiLevelType w:val="hybridMultilevel"/>
    <w:tmpl w:val="F6163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0C8D3CFC"/>
    <w:multiLevelType w:val="hybridMultilevel"/>
    <w:tmpl w:val="7FDEFD8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27134AA2"/>
    <w:multiLevelType w:val="hybridMultilevel"/>
    <w:tmpl w:val="F63ABC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nsid w:val="28AD2F7D"/>
    <w:multiLevelType w:val="hybridMultilevel"/>
    <w:tmpl w:val="CAD6F6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nsid w:val="2E61690C"/>
    <w:multiLevelType w:val="hybridMultilevel"/>
    <w:tmpl w:val="367CA9C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nsid w:val="36DC443F"/>
    <w:multiLevelType w:val="hybridMultilevel"/>
    <w:tmpl w:val="B1DE22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nsid w:val="3C635BBE"/>
    <w:multiLevelType w:val="hybridMultilevel"/>
    <w:tmpl w:val="E1AE5398"/>
    <w:lvl w:ilvl="0" w:tplc="999EE48E">
      <w:start w:val="1"/>
      <w:numFmt w:val="lowerLetter"/>
      <w:lvlText w:val="(%1)"/>
      <w:lvlJc w:val="left"/>
      <w:pPr>
        <w:ind w:left="757" w:hanging="360"/>
      </w:pPr>
      <w:rPr>
        <w:rFonts w:hint="default"/>
      </w:rPr>
    </w:lvl>
    <w:lvl w:ilvl="1" w:tplc="04070019">
      <w:start w:val="1"/>
      <w:numFmt w:val="lowerLetter"/>
      <w:lvlText w:val="%2."/>
      <w:lvlJc w:val="left"/>
      <w:pPr>
        <w:ind w:left="1477" w:hanging="360"/>
      </w:pPr>
    </w:lvl>
    <w:lvl w:ilvl="2" w:tplc="0407001B" w:tentative="1">
      <w:start w:val="1"/>
      <w:numFmt w:val="lowerRoman"/>
      <w:lvlText w:val="%3."/>
      <w:lvlJc w:val="right"/>
      <w:pPr>
        <w:ind w:left="2197" w:hanging="180"/>
      </w:pPr>
    </w:lvl>
    <w:lvl w:ilvl="3" w:tplc="0407000F" w:tentative="1">
      <w:start w:val="1"/>
      <w:numFmt w:val="decimal"/>
      <w:lvlText w:val="%4."/>
      <w:lvlJc w:val="left"/>
      <w:pPr>
        <w:ind w:left="2917" w:hanging="360"/>
      </w:pPr>
    </w:lvl>
    <w:lvl w:ilvl="4" w:tplc="04070019" w:tentative="1">
      <w:start w:val="1"/>
      <w:numFmt w:val="lowerLetter"/>
      <w:lvlText w:val="%5."/>
      <w:lvlJc w:val="left"/>
      <w:pPr>
        <w:ind w:left="3637" w:hanging="360"/>
      </w:pPr>
    </w:lvl>
    <w:lvl w:ilvl="5" w:tplc="0407001B" w:tentative="1">
      <w:start w:val="1"/>
      <w:numFmt w:val="lowerRoman"/>
      <w:lvlText w:val="%6."/>
      <w:lvlJc w:val="right"/>
      <w:pPr>
        <w:ind w:left="4357" w:hanging="180"/>
      </w:pPr>
    </w:lvl>
    <w:lvl w:ilvl="6" w:tplc="0407000F" w:tentative="1">
      <w:start w:val="1"/>
      <w:numFmt w:val="decimal"/>
      <w:lvlText w:val="%7."/>
      <w:lvlJc w:val="left"/>
      <w:pPr>
        <w:ind w:left="5077" w:hanging="360"/>
      </w:pPr>
    </w:lvl>
    <w:lvl w:ilvl="7" w:tplc="04070019" w:tentative="1">
      <w:start w:val="1"/>
      <w:numFmt w:val="lowerLetter"/>
      <w:lvlText w:val="%8."/>
      <w:lvlJc w:val="left"/>
      <w:pPr>
        <w:ind w:left="5797" w:hanging="360"/>
      </w:pPr>
    </w:lvl>
    <w:lvl w:ilvl="8" w:tplc="0407001B" w:tentative="1">
      <w:start w:val="1"/>
      <w:numFmt w:val="lowerRoman"/>
      <w:lvlText w:val="%9."/>
      <w:lvlJc w:val="right"/>
      <w:pPr>
        <w:ind w:left="6517" w:hanging="180"/>
      </w:pPr>
    </w:lvl>
  </w:abstractNum>
  <w:abstractNum w:abstractNumId="24">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4D807E38"/>
    <w:multiLevelType w:val="hybridMultilevel"/>
    <w:tmpl w:val="165292A4"/>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nsid w:val="4EB82924"/>
    <w:multiLevelType w:val="hybridMultilevel"/>
    <w:tmpl w:val="082248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57E3707E"/>
    <w:multiLevelType w:val="hybridMultilevel"/>
    <w:tmpl w:val="DBF6E5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0">
    <w:nsid w:val="71353F13"/>
    <w:multiLevelType w:val="hybridMultilevel"/>
    <w:tmpl w:val="19A654E2"/>
    <w:lvl w:ilvl="0" w:tplc="00000003">
      <w:start w:val="1"/>
      <w:numFmt w:val="bullet"/>
      <w:lvlText w:val=""/>
      <w:lvlJc w:val="left"/>
      <w:pPr>
        <w:tabs>
          <w:tab w:val="num" w:pos="0"/>
        </w:tabs>
        <w:ind w:left="720" w:hanging="360"/>
      </w:pPr>
      <w:rPr>
        <w:rFonts w:ascii="Symbol" w:hAnsi="Symbol" w:cs="Symbol" w:hint="default"/>
        <w:lang w:val="en-G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nsid w:val="7A0E309F"/>
    <w:multiLevelType w:val="hybridMultilevel"/>
    <w:tmpl w:val="DC182E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4"/>
  </w:num>
  <w:num w:numId="8">
    <w:abstractNumId w:val="20"/>
  </w:num>
  <w:num w:numId="9">
    <w:abstractNumId w:val="7"/>
  </w:num>
  <w:num w:numId="10">
    <w:abstractNumId w:val="8"/>
  </w:num>
  <w:num w:numId="11">
    <w:abstractNumId w:val="9"/>
  </w:num>
  <w:num w:numId="12">
    <w:abstractNumId w:val="22"/>
  </w:num>
  <w:num w:numId="13">
    <w:abstractNumId w:val="32"/>
  </w:num>
  <w:num w:numId="14">
    <w:abstractNumId w:val="25"/>
  </w:num>
  <w:num w:numId="15">
    <w:abstractNumId w:val="30"/>
  </w:num>
  <w:num w:numId="16">
    <w:abstractNumId w:val="31"/>
  </w:num>
  <w:num w:numId="17">
    <w:abstractNumId w:val="17"/>
  </w:num>
  <w:num w:numId="18">
    <w:abstractNumId w:val="0"/>
  </w:num>
  <w:num w:numId="19">
    <w:abstractNumId w:val="26"/>
  </w:num>
  <w:num w:numId="20">
    <w:abstractNumId w:val="11"/>
  </w:num>
  <w:num w:numId="21">
    <w:abstractNumId w:val="27"/>
  </w:num>
  <w:num w:numId="22">
    <w:abstractNumId w:val="15"/>
  </w:num>
  <w:num w:numId="23">
    <w:abstractNumId w:val="21"/>
  </w:num>
  <w:num w:numId="24">
    <w:abstractNumId w:val="16"/>
  </w:num>
  <w:num w:numId="25">
    <w:abstractNumId w:val="18"/>
  </w:num>
  <w:num w:numId="26">
    <w:abstractNumId w:val="13"/>
  </w:num>
  <w:num w:numId="27">
    <w:abstractNumId w:val="28"/>
  </w:num>
  <w:num w:numId="28">
    <w:abstractNumId w:val="33"/>
  </w:num>
  <w:num w:numId="29">
    <w:abstractNumId w:val="23"/>
  </w:num>
  <w:num w:numId="30">
    <w:abstractNumId w:val="12"/>
  </w:num>
  <w:num w:numId="31">
    <w:abstractNumId w:val="29"/>
  </w:num>
  <w:num w:numId="32">
    <w:abstractNumId w:val="14"/>
  </w:num>
  <w:num w:numId="33">
    <w:abstractNumId w:val="19"/>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DFC"/>
    <w:rsid w:val="0000262C"/>
    <w:rsid w:val="00005C9B"/>
    <w:rsid w:val="00006F51"/>
    <w:rsid w:val="0000713B"/>
    <w:rsid w:val="0000797B"/>
    <w:rsid w:val="00007F71"/>
    <w:rsid w:val="000105AB"/>
    <w:rsid w:val="0001080A"/>
    <w:rsid w:val="00010CF4"/>
    <w:rsid w:val="00011CF1"/>
    <w:rsid w:val="00012067"/>
    <w:rsid w:val="0001375E"/>
    <w:rsid w:val="00016403"/>
    <w:rsid w:val="000169A5"/>
    <w:rsid w:val="00017A18"/>
    <w:rsid w:val="00020016"/>
    <w:rsid w:val="00022FAB"/>
    <w:rsid w:val="00024196"/>
    <w:rsid w:val="000264B6"/>
    <w:rsid w:val="00026EEE"/>
    <w:rsid w:val="0002774A"/>
    <w:rsid w:val="000354E8"/>
    <w:rsid w:val="000368EE"/>
    <w:rsid w:val="0003797C"/>
    <w:rsid w:val="000437ED"/>
    <w:rsid w:val="00044235"/>
    <w:rsid w:val="000523EC"/>
    <w:rsid w:val="00055C41"/>
    <w:rsid w:val="00057C10"/>
    <w:rsid w:val="00060261"/>
    <w:rsid w:val="00061712"/>
    <w:rsid w:val="000635A8"/>
    <w:rsid w:val="000644B1"/>
    <w:rsid w:val="00065A15"/>
    <w:rsid w:val="00070B97"/>
    <w:rsid w:val="00072235"/>
    <w:rsid w:val="0007363F"/>
    <w:rsid w:val="0007402F"/>
    <w:rsid w:val="00074289"/>
    <w:rsid w:val="000748C9"/>
    <w:rsid w:val="00080647"/>
    <w:rsid w:val="00081C6A"/>
    <w:rsid w:val="00081CF9"/>
    <w:rsid w:val="00081E2A"/>
    <w:rsid w:val="000829D3"/>
    <w:rsid w:val="000863AB"/>
    <w:rsid w:val="000869E8"/>
    <w:rsid w:val="00086CC7"/>
    <w:rsid w:val="00090965"/>
    <w:rsid w:val="0009198C"/>
    <w:rsid w:val="00091E31"/>
    <w:rsid w:val="00092D57"/>
    <w:rsid w:val="000941F2"/>
    <w:rsid w:val="00094A9F"/>
    <w:rsid w:val="00094EB8"/>
    <w:rsid w:val="000972F0"/>
    <w:rsid w:val="000A1419"/>
    <w:rsid w:val="000A169A"/>
    <w:rsid w:val="000A1A2C"/>
    <w:rsid w:val="000A3113"/>
    <w:rsid w:val="000A6024"/>
    <w:rsid w:val="000B3298"/>
    <w:rsid w:val="000B48DB"/>
    <w:rsid w:val="000B4C33"/>
    <w:rsid w:val="000B7F1C"/>
    <w:rsid w:val="000C50A7"/>
    <w:rsid w:val="000C5757"/>
    <w:rsid w:val="000C5A20"/>
    <w:rsid w:val="000C7138"/>
    <w:rsid w:val="000C776F"/>
    <w:rsid w:val="000D1DA5"/>
    <w:rsid w:val="000D2F0E"/>
    <w:rsid w:val="000D35B7"/>
    <w:rsid w:val="000D3ABD"/>
    <w:rsid w:val="000D3C1F"/>
    <w:rsid w:val="000D3EA0"/>
    <w:rsid w:val="000D5585"/>
    <w:rsid w:val="000D57F7"/>
    <w:rsid w:val="000D6444"/>
    <w:rsid w:val="000D6C7B"/>
    <w:rsid w:val="000D6D65"/>
    <w:rsid w:val="000D6F40"/>
    <w:rsid w:val="000D7832"/>
    <w:rsid w:val="000E173E"/>
    <w:rsid w:val="000E2909"/>
    <w:rsid w:val="000E3713"/>
    <w:rsid w:val="000E4FB8"/>
    <w:rsid w:val="000E6F47"/>
    <w:rsid w:val="000E79B0"/>
    <w:rsid w:val="000F32D4"/>
    <w:rsid w:val="000F7230"/>
    <w:rsid w:val="0010057E"/>
    <w:rsid w:val="00100F9D"/>
    <w:rsid w:val="00100FCE"/>
    <w:rsid w:val="00102A05"/>
    <w:rsid w:val="00104001"/>
    <w:rsid w:val="001069AA"/>
    <w:rsid w:val="001101FD"/>
    <w:rsid w:val="00110FF0"/>
    <w:rsid w:val="00111369"/>
    <w:rsid w:val="00113863"/>
    <w:rsid w:val="001143B6"/>
    <w:rsid w:val="00123D07"/>
    <w:rsid w:val="0012422D"/>
    <w:rsid w:val="00126161"/>
    <w:rsid w:val="00126C54"/>
    <w:rsid w:val="001270B4"/>
    <w:rsid w:val="0012722A"/>
    <w:rsid w:val="00131B34"/>
    <w:rsid w:val="00134F61"/>
    <w:rsid w:val="00136038"/>
    <w:rsid w:val="00137AA6"/>
    <w:rsid w:val="00141DF4"/>
    <w:rsid w:val="00146122"/>
    <w:rsid w:val="00146CEE"/>
    <w:rsid w:val="001475B9"/>
    <w:rsid w:val="00150322"/>
    <w:rsid w:val="00150389"/>
    <w:rsid w:val="001509F2"/>
    <w:rsid w:val="00150CC4"/>
    <w:rsid w:val="00151092"/>
    <w:rsid w:val="001516A8"/>
    <w:rsid w:val="001520DF"/>
    <w:rsid w:val="00152DE9"/>
    <w:rsid w:val="0015328A"/>
    <w:rsid w:val="00155A15"/>
    <w:rsid w:val="00156EC7"/>
    <w:rsid w:val="00157F92"/>
    <w:rsid w:val="00161CEA"/>
    <w:rsid w:val="00162EDF"/>
    <w:rsid w:val="00166095"/>
    <w:rsid w:val="001661D0"/>
    <w:rsid w:val="00170211"/>
    <w:rsid w:val="001726E4"/>
    <w:rsid w:val="0017296C"/>
    <w:rsid w:val="00172CF5"/>
    <w:rsid w:val="0017351B"/>
    <w:rsid w:val="00173AED"/>
    <w:rsid w:val="00186751"/>
    <w:rsid w:val="001868DE"/>
    <w:rsid w:val="0018691F"/>
    <w:rsid w:val="0018792F"/>
    <w:rsid w:val="001907E4"/>
    <w:rsid w:val="00192410"/>
    <w:rsid w:val="00193E7F"/>
    <w:rsid w:val="00194B61"/>
    <w:rsid w:val="001950C6"/>
    <w:rsid w:val="0019586A"/>
    <w:rsid w:val="00196211"/>
    <w:rsid w:val="00197C38"/>
    <w:rsid w:val="001A0327"/>
    <w:rsid w:val="001A1B94"/>
    <w:rsid w:val="001A2266"/>
    <w:rsid w:val="001A2674"/>
    <w:rsid w:val="001B15CF"/>
    <w:rsid w:val="001B2795"/>
    <w:rsid w:val="001B6C00"/>
    <w:rsid w:val="001B7531"/>
    <w:rsid w:val="001C0574"/>
    <w:rsid w:val="001C163B"/>
    <w:rsid w:val="001C4800"/>
    <w:rsid w:val="001C5480"/>
    <w:rsid w:val="001C6D67"/>
    <w:rsid w:val="001C7F21"/>
    <w:rsid w:val="001D075C"/>
    <w:rsid w:val="001D15B5"/>
    <w:rsid w:val="001D1E64"/>
    <w:rsid w:val="001D3FBB"/>
    <w:rsid w:val="001D5466"/>
    <w:rsid w:val="001D57A5"/>
    <w:rsid w:val="001D79DB"/>
    <w:rsid w:val="001D7DD2"/>
    <w:rsid w:val="001E0C33"/>
    <w:rsid w:val="001E47A5"/>
    <w:rsid w:val="001E51AE"/>
    <w:rsid w:val="001E6722"/>
    <w:rsid w:val="001E6A72"/>
    <w:rsid w:val="001E7CB3"/>
    <w:rsid w:val="001F3497"/>
    <w:rsid w:val="001F603A"/>
    <w:rsid w:val="001F6BBA"/>
    <w:rsid w:val="001F7937"/>
    <w:rsid w:val="00200B95"/>
    <w:rsid w:val="002011E7"/>
    <w:rsid w:val="00202890"/>
    <w:rsid w:val="00202D5B"/>
    <w:rsid w:val="00203986"/>
    <w:rsid w:val="0021239D"/>
    <w:rsid w:val="00212E1D"/>
    <w:rsid w:val="002148AB"/>
    <w:rsid w:val="002168A7"/>
    <w:rsid w:val="00217144"/>
    <w:rsid w:val="002215E3"/>
    <w:rsid w:val="00221909"/>
    <w:rsid w:val="00221947"/>
    <w:rsid w:val="00222941"/>
    <w:rsid w:val="0022363B"/>
    <w:rsid w:val="00224E29"/>
    <w:rsid w:val="00225005"/>
    <w:rsid w:val="0022725F"/>
    <w:rsid w:val="00232158"/>
    <w:rsid w:val="0023234C"/>
    <w:rsid w:val="002346B2"/>
    <w:rsid w:val="00236309"/>
    <w:rsid w:val="002417F0"/>
    <w:rsid w:val="0024211A"/>
    <w:rsid w:val="00243F3E"/>
    <w:rsid w:val="0024568E"/>
    <w:rsid w:val="00246379"/>
    <w:rsid w:val="002475B3"/>
    <w:rsid w:val="002478AB"/>
    <w:rsid w:val="00247B7F"/>
    <w:rsid w:val="00247C71"/>
    <w:rsid w:val="002509FD"/>
    <w:rsid w:val="0025110F"/>
    <w:rsid w:val="002524FC"/>
    <w:rsid w:val="00254E14"/>
    <w:rsid w:val="00255482"/>
    <w:rsid w:val="00256308"/>
    <w:rsid w:val="00257280"/>
    <w:rsid w:val="0025736C"/>
    <w:rsid w:val="0026029E"/>
    <w:rsid w:val="00260C99"/>
    <w:rsid w:val="00260F1A"/>
    <w:rsid w:val="0026482B"/>
    <w:rsid w:val="0026520C"/>
    <w:rsid w:val="00265344"/>
    <w:rsid w:val="002663A6"/>
    <w:rsid w:val="00267D9C"/>
    <w:rsid w:val="002717D2"/>
    <w:rsid w:val="0027187E"/>
    <w:rsid w:val="0027250E"/>
    <w:rsid w:val="0027274F"/>
    <w:rsid w:val="0027322A"/>
    <w:rsid w:val="00277D7D"/>
    <w:rsid w:val="0028341D"/>
    <w:rsid w:val="00284101"/>
    <w:rsid w:val="002851E1"/>
    <w:rsid w:val="0028552A"/>
    <w:rsid w:val="002872BE"/>
    <w:rsid w:val="0029070F"/>
    <w:rsid w:val="00294D0A"/>
    <w:rsid w:val="00295560"/>
    <w:rsid w:val="00297B1A"/>
    <w:rsid w:val="00297C5F"/>
    <w:rsid w:val="002A050E"/>
    <w:rsid w:val="002A0553"/>
    <w:rsid w:val="002A07E0"/>
    <w:rsid w:val="002A2402"/>
    <w:rsid w:val="002A2E70"/>
    <w:rsid w:val="002A302F"/>
    <w:rsid w:val="002A52B4"/>
    <w:rsid w:val="002A5646"/>
    <w:rsid w:val="002A6416"/>
    <w:rsid w:val="002B0703"/>
    <w:rsid w:val="002B171B"/>
    <w:rsid w:val="002B50A9"/>
    <w:rsid w:val="002B55A4"/>
    <w:rsid w:val="002B672D"/>
    <w:rsid w:val="002C0743"/>
    <w:rsid w:val="002C1EEF"/>
    <w:rsid w:val="002C4446"/>
    <w:rsid w:val="002D2562"/>
    <w:rsid w:val="002D341C"/>
    <w:rsid w:val="002D4353"/>
    <w:rsid w:val="002D4B81"/>
    <w:rsid w:val="002D61D4"/>
    <w:rsid w:val="002E08C3"/>
    <w:rsid w:val="002E1009"/>
    <w:rsid w:val="002E63FD"/>
    <w:rsid w:val="002F034D"/>
    <w:rsid w:val="002F336C"/>
    <w:rsid w:val="002F530F"/>
    <w:rsid w:val="002F598D"/>
    <w:rsid w:val="003007CC"/>
    <w:rsid w:val="00304582"/>
    <w:rsid w:val="0030479D"/>
    <w:rsid w:val="00306025"/>
    <w:rsid w:val="003060FD"/>
    <w:rsid w:val="00306BA3"/>
    <w:rsid w:val="00307656"/>
    <w:rsid w:val="00312B90"/>
    <w:rsid w:val="00315E2F"/>
    <w:rsid w:val="00316FBD"/>
    <w:rsid w:val="003176C3"/>
    <w:rsid w:val="00317A67"/>
    <w:rsid w:val="00317EB0"/>
    <w:rsid w:val="00320578"/>
    <w:rsid w:val="00320DE3"/>
    <w:rsid w:val="003211A8"/>
    <w:rsid w:val="00321584"/>
    <w:rsid w:val="003217A3"/>
    <w:rsid w:val="0032322C"/>
    <w:rsid w:val="0032510F"/>
    <w:rsid w:val="003264FF"/>
    <w:rsid w:val="003265A3"/>
    <w:rsid w:val="00326835"/>
    <w:rsid w:val="00326CA4"/>
    <w:rsid w:val="00326E17"/>
    <w:rsid w:val="00327D8D"/>
    <w:rsid w:val="00330428"/>
    <w:rsid w:val="003315EA"/>
    <w:rsid w:val="003319AA"/>
    <w:rsid w:val="00333EBB"/>
    <w:rsid w:val="00335AA2"/>
    <w:rsid w:val="00337DA2"/>
    <w:rsid w:val="003434B5"/>
    <w:rsid w:val="00344034"/>
    <w:rsid w:val="003457EA"/>
    <w:rsid w:val="00345CE1"/>
    <w:rsid w:val="00346EDD"/>
    <w:rsid w:val="00347B4A"/>
    <w:rsid w:val="00347DE3"/>
    <w:rsid w:val="00347F65"/>
    <w:rsid w:val="00350158"/>
    <w:rsid w:val="00353B29"/>
    <w:rsid w:val="0035486F"/>
    <w:rsid w:val="003555C8"/>
    <w:rsid w:val="0036090C"/>
    <w:rsid w:val="003614E6"/>
    <w:rsid w:val="00361810"/>
    <w:rsid w:val="00361A2D"/>
    <w:rsid w:val="00362A53"/>
    <w:rsid w:val="003645A5"/>
    <w:rsid w:val="003649F1"/>
    <w:rsid w:val="0036554A"/>
    <w:rsid w:val="00366D6A"/>
    <w:rsid w:val="00367196"/>
    <w:rsid w:val="003678B3"/>
    <w:rsid w:val="003728BD"/>
    <w:rsid w:val="00373B02"/>
    <w:rsid w:val="00376927"/>
    <w:rsid w:val="00380639"/>
    <w:rsid w:val="003815E5"/>
    <w:rsid w:val="0038274D"/>
    <w:rsid w:val="00392851"/>
    <w:rsid w:val="00394C56"/>
    <w:rsid w:val="00396AC3"/>
    <w:rsid w:val="00396AEC"/>
    <w:rsid w:val="00397293"/>
    <w:rsid w:val="00397DD1"/>
    <w:rsid w:val="00397F1F"/>
    <w:rsid w:val="003A46A8"/>
    <w:rsid w:val="003A4901"/>
    <w:rsid w:val="003B174D"/>
    <w:rsid w:val="003B1EB7"/>
    <w:rsid w:val="003B32BB"/>
    <w:rsid w:val="003B42EB"/>
    <w:rsid w:val="003B4922"/>
    <w:rsid w:val="003B51A0"/>
    <w:rsid w:val="003B7DA2"/>
    <w:rsid w:val="003C122C"/>
    <w:rsid w:val="003C3D03"/>
    <w:rsid w:val="003C7DAE"/>
    <w:rsid w:val="003D2ADB"/>
    <w:rsid w:val="003D3691"/>
    <w:rsid w:val="003D4EEA"/>
    <w:rsid w:val="003D5623"/>
    <w:rsid w:val="003D776A"/>
    <w:rsid w:val="003E18BB"/>
    <w:rsid w:val="003E2FA0"/>
    <w:rsid w:val="003E4D01"/>
    <w:rsid w:val="003E5BC3"/>
    <w:rsid w:val="003E7606"/>
    <w:rsid w:val="003F07ED"/>
    <w:rsid w:val="003F1832"/>
    <w:rsid w:val="003F22F8"/>
    <w:rsid w:val="003F45A9"/>
    <w:rsid w:val="003F6912"/>
    <w:rsid w:val="003F70E6"/>
    <w:rsid w:val="003F73A0"/>
    <w:rsid w:val="003F7B03"/>
    <w:rsid w:val="00400265"/>
    <w:rsid w:val="00404C90"/>
    <w:rsid w:val="00405004"/>
    <w:rsid w:val="00405426"/>
    <w:rsid w:val="00406687"/>
    <w:rsid w:val="00406CF1"/>
    <w:rsid w:val="0040796D"/>
    <w:rsid w:val="0041019F"/>
    <w:rsid w:val="00411149"/>
    <w:rsid w:val="00411DBE"/>
    <w:rsid w:val="0041315B"/>
    <w:rsid w:val="00413DBE"/>
    <w:rsid w:val="00417050"/>
    <w:rsid w:val="004170F6"/>
    <w:rsid w:val="00420004"/>
    <w:rsid w:val="00421B87"/>
    <w:rsid w:val="004234B0"/>
    <w:rsid w:val="004275CD"/>
    <w:rsid w:val="004301BC"/>
    <w:rsid w:val="00432DD1"/>
    <w:rsid w:val="0043367A"/>
    <w:rsid w:val="00433CD8"/>
    <w:rsid w:val="00434254"/>
    <w:rsid w:val="00434827"/>
    <w:rsid w:val="004369DA"/>
    <w:rsid w:val="00437C16"/>
    <w:rsid w:val="004410C3"/>
    <w:rsid w:val="00444667"/>
    <w:rsid w:val="004457FB"/>
    <w:rsid w:val="004461DE"/>
    <w:rsid w:val="004466FF"/>
    <w:rsid w:val="004472A7"/>
    <w:rsid w:val="004502BB"/>
    <w:rsid w:val="004552A8"/>
    <w:rsid w:val="0045696F"/>
    <w:rsid w:val="00456B0D"/>
    <w:rsid w:val="0045728C"/>
    <w:rsid w:val="00457359"/>
    <w:rsid w:val="00457D99"/>
    <w:rsid w:val="00460C78"/>
    <w:rsid w:val="00461799"/>
    <w:rsid w:val="0046546D"/>
    <w:rsid w:val="004672EE"/>
    <w:rsid w:val="0047256D"/>
    <w:rsid w:val="0047322E"/>
    <w:rsid w:val="00475110"/>
    <w:rsid w:val="004758DA"/>
    <w:rsid w:val="00481402"/>
    <w:rsid w:val="0048154A"/>
    <w:rsid w:val="00481755"/>
    <w:rsid w:val="004838A3"/>
    <w:rsid w:val="00485865"/>
    <w:rsid w:val="00485DD8"/>
    <w:rsid w:val="00486975"/>
    <w:rsid w:val="00486C76"/>
    <w:rsid w:val="00487C93"/>
    <w:rsid w:val="00490728"/>
    <w:rsid w:val="00490A93"/>
    <w:rsid w:val="00491956"/>
    <w:rsid w:val="004919C4"/>
    <w:rsid w:val="00491A01"/>
    <w:rsid w:val="00492A6D"/>
    <w:rsid w:val="00494E60"/>
    <w:rsid w:val="004950DA"/>
    <w:rsid w:val="004951F9"/>
    <w:rsid w:val="00495772"/>
    <w:rsid w:val="00495BF9"/>
    <w:rsid w:val="004966AA"/>
    <w:rsid w:val="004976DC"/>
    <w:rsid w:val="004A052C"/>
    <w:rsid w:val="004A2CDB"/>
    <w:rsid w:val="004A3596"/>
    <w:rsid w:val="004A4540"/>
    <w:rsid w:val="004A6D6D"/>
    <w:rsid w:val="004B0AB8"/>
    <w:rsid w:val="004B139D"/>
    <w:rsid w:val="004B2431"/>
    <w:rsid w:val="004B31AF"/>
    <w:rsid w:val="004B5721"/>
    <w:rsid w:val="004B6279"/>
    <w:rsid w:val="004C0DC8"/>
    <w:rsid w:val="004C33F9"/>
    <w:rsid w:val="004C38E7"/>
    <w:rsid w:val="004C64B7"/>
    <w:rsid w:val="004C799E"/>
    <w:rsid w:val="004D0201"/>
    <w:rsid w:val="004D0AE4"/>
    <w:rsid w:val="004D1188"/>
    <w:rsid w:val="004D1D5F"/>
    <w:rsid w:val="004D2997"/>
    <w:rsid w:val="004D2B6E"/>
    <w:rsid w:val="004D3BDD"/>
    <w:rsid w:val="004D45DA"/>
    <w:rsid w:val="004D6EB8"/>
    <w:rsid w:val="004E0071"/>
    <w:rsid w:val="004E2C79"/>
    <w:rsid w:val="004E3928"/>
    <w:rsid w:val="004E5AEA"/>
    <w:rsid w:val="004F4303"/>
    <w:rsid w:val="004F4D6A"/>
    <w:rsid w:val="004F7CA2"/>
    <w:rsid w:val="005017EC"/>
    <w:rsid w:val="00504086"/>
    <w:rsid w:val="005050E5"/>
    <w:rsid w:val="005054F4"/>
    <w:rsid w:val="00505EB6"/>
    <w:rsid w:val="00506C22"/>
    <w:rsid w:val="00507B42"/>
    <w:rsid w:val="00510A0B"/>
    <w:rsid w:val="00511ABE"/>
    <w:rsid w:val="0051244A"/>
    <w:rsid w:val="0051253E"/>
    <w:rsid w:val="00514284"/>
    <w:rsid w:val="00515FA5"/>
    <w:rsid w:val="00516DF8"/>
    <w:rsid w:val="00517196"/>
    <w:rsid w:val="005220C9"/>
    <w:rsid w:val="005224EF"/>
    <w:rsid w:val="00523BA0"/>
    <w:rsid w:val="00525A6E"/>
    <w:rsid w:val="00525ED6"/>
    <w:rsid w:val="00526105"/>
    <w:rsid w:val="005272F6"/>
    <w:rsid w:val="00527539"/>
    <w:rsid w:val="00527690"/>
    <w:rsid w:val="00532516"/>
    <w:rsid w:val="005339B7"/>
    <w:rsid w:val="00533A46"/>
    <w:rsid w:val="00533EF3"/>
    <w:rsid w:val="00535857"/>
    <w:rsid w:val="00535E53"/>
    <w:rsid w:val="005360C5"/>
    <w:rsid w:val="00537672"/>
    <w:rsid w:val="005402C3"/>
    <w:rsid w:val="00541187"/>
    <w:rsid w:val="00541BCA"/>
    <w:rsid w:val="00541BDD"/>
    <w:rsid w:val="00542CD6"/>
    <w:rsid w:val="00543935"/>
    <w:rsid w:val="00543CF7"/>
    <w:rsid w:val="005451DF"/>
    <w:rsid w:val="005455F8"/>
    <w:rsid w:val="0054579B"/>
    <w:rsid w:val="00545C2C"/>
    <w:rsid w:val="00545D61"/>
    <w:rsid w:val="00545E7D"/>
    <w:rsid w:val="005501AA"/>
    <w:rsid w:val="00551DF6"/>
    <w:rsid w:val="00554497"/>
    <w:rsid w:val="00554AB1"/>
    <w:rsid w:val="0055588D"/>
    <w:rsid w:val="005562AC"/>
    <w:rsid w:val="0055685C"/>
    <w:rsid w:val="005648CC"/>
    <w:rsid w:val="00564994"/>
    <w:rsid w:val="00565E85"/>
    <w:rsid w:val="005664FB"/>
    <w:rsid w:val="00567FCA"/>
    <w:rsid w:val="00571726"/>
    <w:rsid w:val="00571EC6"/>
    <w:rsid w:val="005720DA"/>
    <w:rsid w:val="00572FA0"/>
    <w:rsid w:val="00573553"/>
    <w:rsid w:val="0057410B"/>
    <w:rsid w:val="00574F6E"/>
    <w:rsid w:val="00575B2A"/>
    <w:rsid w:val="00577D1C"/>
    <w:rsid w:val="00577E0F"/>
    <w:rsid w:val="00580BB5"/>
    <w:rsid w:val="00582116"/>
    <w:rsid w:val="00582260"/>
    <w:rsid w:val="005836DD"/>
    <w:rsid w:val="0058430B"/>
    <w:rsid w:val="00584531"/>
    <w:rsid w:val="00584B3C"/>
    <w:rsid w:val="005855E2"/>
    <w:rsid w:val="005863D0"/>
    <w:rsid w:val="00586D83"/>
    <w:rsid w:val="005873EE"/>
    <w:rsid w:val="00591171"/>
    <w:rsid w:val="0059196B"/>
    <w:rsid w:val="0059324E"/>
    <w:rsid w:val="00594CB0"/>
    <w:rsid w:val="00595EFF"/>
    <w:rsid w:val="0059610C"/>
    <w:rsid w:val="00597BB3"/>
    <w:rsid w:val="005A0B3D"/>
    <w:rsid w:val="005A10AC"/>
    <w:rsid w:val="005A1449"/>
    <w:rsid w:val="005A4C13"/>
    <w:rsid w:val="005A5711"/>
    <w:rsid w:val="005A5D92"/>
    <w:rsid w:val="005B01DA"/>
    <w:rsid w:val="005B1AAB"/>
    <w:rsid w:val="005B2D30"/>
    <w:rsid w:val="005B35BE"/>
    <w:rsid w:val="005B4578"/>
    <w:rsid w:val="005B5683"/>
    <w:rsid w:val="005B585C"/>
    <w:rsid w:val="005B5ABB"/>
    <w:rsid w:val="005B6536"/>
    <w:rsid w:val="005C368A"/>
    <w:rsid w:val="005C59D8"/>
    <w:rsid w:val="005C5F81"/>
    <w:rsid w:val="005D065D"/>
    <w:rsid w:val="005D0F70"/>
    <w:rsid w:val="005D2771"/>
    <w:rsid w:val="005D2DA6"/>
    <w:rsid w:val="005D5089"/>
    <w:rsid w:val="005D5C08"/>
    <w:rsid w:val="005D5F83"/>
    <w:rsid w:val="005E0A85"/>
    <w:rsid w:val="005E0FEE"/>
    <w:rsid w:val="005E3692"/>
    <w:rsid w:val="005E407A"/>
    <w:rsid w:val="005E5C13"/>
    <w:rsid w:val="005E78E4"/>
    <w:rsid w:val="005F25EA"/>
    <w:rsid w:val="005F2D92"/>
    <w:rsid w:val="005F49A8"/>
    <w:rsid w:val="005F4B97"/>
    <w:rsid w:val="005F78FE"/>
    <w:rsid w:val="006035CC"/>
    <w:rsid w:val="00603B4E"/>
    <w:rsid w:val="00605491"/>
    <w:rsid w:val="006067B5"/>
    <w:rsid w:val="00607FB3"/>
    <w:rsid w:val="0061185E"/>
    <w:rsid w:val="006118CF"/>
    <w:rsid w:val="00611F1F"/>
    <w:rsid w:val="006120EC"/>
    <w:rsid w:val="006146B3"/>
    <w:rsid w:val="0061505B"/>
    <w:rsid w:val="00615B6C"/>
    <w:rsid w:val="00616B76"/>
    <w:rsid w:val="006170B4"/>
    <w:rsid w:val="00617B69"/>
    <w:rsid w:val="00617DCD"/>
    <w:rsid w:val="00620609"/>
    <w:rsid w:val="006215F5"/>
    <w:rsid w:val="00621E3D"/>
    <w:rsid w:val="00622554"/>
    <w:rsid w:val="00624EB4"/>
    <w:rsid w:val="00626D3A"/>
    <w:rsid w:val="00627337"/>
    <w:rsid w:val="006308D1"/>
    <w:rsid w:val="006409D0"/>
    <w:rsid w:val="00640D36"/>
    <w:rsid w:val="00641E6C"/>
    <w:rsid w:val="00641EE1"/>
    <w:rsid w:val="00643146"/>
    <w:rsid w:val="006435FA"/>
    <w:rsid w:val="006438DA"/>
    <w:rsid w:val="00643BE1"/>
    <w:rsid w:val="00644EF2"/>
    <w:rsid w:val="006451CA"/>
    <w:rsid w:val="00645C1B"/>
    <w:rsid w:val="006470B2"/>
    <w:rsid w:val="006475C2"/>
    <w:rsid w:val="0065113B"/>
    <w:rsid w:val="00653753"/>
    <w:rsid w:val="0065473F"/>
    <w:rsid w:val="00654813"/>
    <w:rsid w:val="00656661"/>
    <w:rsid w:val="00656981"/>
    <w:rsid w:val="00660745"/>
    <w:rsid w:val="00660B8F"/>
    <w:rsid w:val="00664E1B"/>
    <w:rsid w:val="00665051"/>
    <w:rsid w:val="006654EE"/>
    <w:rsid w:val="006661BF"/>
    <w:rsid w:val="006677A0"/>
    <w:rsid w:val="00667C40"/>
    <w:rsid w:val="006701A3"/>
    <w:rsid w:val="00672AD5"/>
    <w:rsid w:val="00672ED1"/>
    <w:rsid w:val="00673A55"/>
    <w:rsid w:val="00684845"/>
    <w:rsid w:val="0068550D"/>
    <w:rsid w:val="00686C7A"/>
    <w:rsid w:val="00687F93"/>
    <w:rsid w:val="00692F53"/>
    <w:rsid w:val="00694240"/>
    <w:rsid w:val="0069482C"/>
    <w:rsid w:val="0069520B"/>
    <w:rsid w:val="00695340"/>
    <w:rsid w:val="0069558F"/>
    <w:rsid w:val="00695AB7"/>
    <w:rsid w:val="00695B30"/>
    <w:rsid w:val="0069792D"/>
    <w:rsid w:val="00697CFA"/>
    <w:rsid w:val="006A0510"/>
    <w:rsid w:val="006A0842"/>
    <w:rsid w:val="006A2BB6"/>
    <w:rsid w:val="006A57D6"/>
    <w:rsid w:val="006A7BE1"/>
    <w:rsid w:val="006B5610"/>
    <w:rsid w:val="006B5CF9"/>
    <w:rsid w:val="006B5D9C"/>
    <w:rsid w:val="006B6495"/>
    <w:rsid w:val="006B6510"/>
    <w:rsid w:val="006B69B4"/>
    <w:rsid w:val="006C056C"/>
    <w:rsid w:val="006C07A1"/>
    <w:rsid w:val="006C0CD8"/>
    <w:rsid w:val="006C0F0C"/>
    <w:rsid w:val="006C1ACA"/>
    <w:rsid w:val="006C2FA7"/>
    <w:rsid w:val="006C3B1C"/>
    <w:rsid w:val="006C40BB"/>
    <w:rsid w:val="006C7710"/>
    <w:rsid w:val="006D03A3"/>
    <w:rsid w:val="006D06CB"/>
    <w:rsid w:val="006D08BF"/>
    <w:rsid w:val="006D3BD3"/>
    <w:rsid w:val="006D4E52"/>
    <w:rsid w:val="006D7D6C"/>
    <w:rsid w:val="006E08C4"/>
    <w:rsid w:val="006E0FAB"/>
    <w:rsid w:val="006E1FF9"/>
    <w:rsid w:val="006E3473"/>
    <w:rsid w:val="006E3880"/>
    <w:rsid w:val="006E4195"/>
    <w:rsid w:val="006F49C9"/>
    <w:rsid w:val="0070157F"/>
    <w:rsid w:val="00702CDF"/>
    <w:rsid w:val="007032A7"/>
    <w:rsid w:val="00704B7D"/>
    <w:rsid w:val="00706BC3"/>
    <w:rsid w:val="00707761"/>
    <w:rsid w:val="007104EA"/>
    <w:rsid w:val="00710794"/>
    <w:rsid w:val="00711C69"/>
    <w:rsid w:val="00715663"/>
    <w:rsid w:val="0071614D"/>
    <w:rsid w:val="00716889"/>
    <w:rsid w:val="007221D6"/>
    <w:rsid w:val="00724EB4"/>
    <w:rsid w:val="00726498"/>
    <w:rsid w:val="00726AF4"/>
    <w:rsid w:val="00727B80"/>
    <w:rsid w:val="00731EC8"/>
    <w:rsid w:val="007329BD"/>
    <w:rsid w:val="00732D7E"/>
    <w:rsid w:val="00732EF9"/>
    <w:rsid w:val="00733603"/>
    <w:rsid w:val="00735BB5"/>
    <w:rsid w:val="007423E1"/>
    <w:rsid w:val="00743A04"/>
    <w:rsid w:val="00752112"/>
    <w:rsid w:val="00753CFC"/>
    <w:rsid w:val="00754476"/>
    <w:rsid w:val="00755A7D"/>
    <w:rsid w:val="00757BBB"/>
    <w:rsid w:val="00761768"/>
    <w:rsid w:val="00761A3A"/>
    <w:rsid w:val="0076405D"/>
    <w:rsid w:val="007650A1"/>
    <w:rsid w:val="00766801"/>
    <w:rsid w:val="00766981"/>
    <w:rsid w:val="00766AF2"/>
    <w:rsid w:val="00770F6A"/>
    <w:rsid w:val="0077282C"/>
    <w:rsid w:val="00773401"/>
    <w:rsid w:val="007734C2"/>
    <w:rsid w:val="007736C9"/>
    <w:rsid w:val="00776430"/>
    <w:rsid w:val="00780110"/>
    <w:rsid w:val="0078024D"/>
    <w:rsid w:val="007837E9"/>
    <w:rsid w:val="00783B7F"/>
    <w:rsid w:val="00783BA2"/>
    <w:rsid w:val="00784DE3"/>
    <w:rsid w:val="007870A3"/>
    <w:rsid w:val="00787B7A"/>
    <w:rsid w:val="0079303E"/>
    <w:rsid w:val="0079320B"/>
    <w:rsid w:val="0079466B"/>
    <w:rsid w:val="00794EA3"/>
    <w:rsid w:val="007951A2"/>
    <w:rsid w:val="007A12B9"/>
    <w:rsid w:val="007A154D"/>
    <w:rsid w:val="007A32AC"/>
    <w:rsid w:val="007A4A71"/>
    <w:rsid w:val="007A55E6"/>
    <w:rsid w:val="007A6A96"/>
    <w:rsid w:val="007A7803"/>
    <w:rsid w:val="007A7962"/>
    <w:rsid w:val="007B0AF4"/>
    <w:rsid w:val="007B0DDF"/>
    <w:rsid w:val="007B1D8F"/>
    <w:rsid w:val="007B1E28"/>
    <w:rsid w:val="007B1F89"/>
    <w:rsid w:val="007B287D"/>
    <w:rsid w:val="007B386A"/>
    <w:rsid w:val="007B3B09"/>
    <w:rsid w:val="007C1A4E"/>
    <w:rsid w:val="007C299E"/>
    <w:rsid w:val="007C5C41"/>
    <w:rsid w:val="007D073F"/>
    <w:rsid w:val="007D121D"/>
    <w:rsid w:val="007D189D"/>
    <w:rsid w:val="007D1C2A"/>
    <w:rsid w:val="007D25FB"/>
    <w:rsid w:val="007D28A3"/>
    <w:rsid w:val="007E2013"/>
    <w:rsid w:val="007E372A"/>
    <w:rsid w:val="007E5332"/>
    <w:rsid w:val="007F03C7"/>
    <w:rsid w:val="007F04CE"/>
    <w:rsid w:val="007F1377"/>
    <w:rsid w:val="007F23F9"/>
    <w:rsid w:val="007F4B21"/>
    <w:rsid w:val="007F58C3"/>
    <w:rsid w:val="007F69E0"/>
    <w:rsid w:val="00807D55"/>
    <w:rsid w:val="00811FF8"/>
    <w:rsid w:val="00812DEE"/>
    <w:rsid w:val="00813270"/>
    <w:rsid w:val="0081405D"/>
    <w:rsid w:val="008140FF"/>
    <w:rsid w:val="0081478B"/>
    <w:rsid w:val="00815822"/>
    <w:rsid w:val="00821A17"/>
    <w:rsid w:val="00822FA0"/>
    <w:rsid w:val="0082487D"/>
    <w:rsid w:val="008254B9"/>
    <w:rsid w:val="008259F0"/>
    <w:rsid w:val="00825DFF"/>
    <w:rsid w:val="00826922"/>
    <w:rsid w:val="00827963"/>
    <w:rsid w:val="00830259"/>
    <w:rsid w:val="00832434"/>
    <w:rsid w:val="00832C19"/>
    <w:rsid w:val="00832E68"/>
    <w:rsid w:val="008335D2"/>
    <w:rsid w:val="0083446E"/>
    <w:rsid w:val="00837EEF"/>
    <w:rsid w:val="0084059A"/>
    <w:rsid w:val="00841E52"/>
    <w:rsid w:val="0084319C"/>
    <w:rsid w:val="00843338"/>
    <w:rsid w:val="00845B12"/>
    <w:rsid w:val="00845E60"/>
    <w:rsid w:val="00847B42"/>
    <w:rsid w:val="00847BA4"/>
    <w:rsid w:val="00850B88"/>
    <w:rsid w:val="0085172D"/>
    <w:rsid w:val="00853578"/>
    <w:rsid w:val="008538D4"/>
    <w:rsid w:val="0085434C"/>
    <w:rsid w:val="00854AC9"/>
    <w:rsid w:val="008561ED"/>
    <w:rsid w:val="00857CB1"/>
    <w:rsid w:val="00857D31"/>
    <w:rsid w:val="00862FD9"/>
    <w:rsid w:val="00863334"/>
    <w:rsid w:val="00864D17"/>
    <w:rsid w:val="00867440"/>
    <w:rsid w:val="008677C3"/>
    <w:rsid w:val="00867864"/>
    <w:rsid w:val="008738E4"/>
    <w:rsid w:val="00877324"/>
    <w:rsid w:val="00880834"/>
    <w:rsid w:val="0088181F"/>
    <w:rsid w:val="00882BFA"/>
    <w:rsid w:val="008852C1"/>
    <w:rsid w:val="0088672A"/>
    <w:rsid w:val="00890928"/>
    <w:rsid w:val="00892EFB"/>
    <w:rsid w:val="00893887"/>
    <w:rsid w:val="00894E62"/>
    <w:rsid w:val="008954F1"/>
    <w:rsid w:val="0089550D"/>
    <w:rsid w:val="00895EEA"/>
    <w:rsid w:val="00897D1B"/>
    <w:rsid w:val="00897E44"/>
    <w:rsid w:val="008A08F8"/>
    <w:rsid w:val="008A102F"/>
    <w:rsid w:val="008A291C"/>
    <w:rsid w:val="008A33B0"/>
    <w:rsid w:val="008A46FF"/>
    <w:rsid w:val="008A4752"/>
    <w:rsid w:val="008A4F97"/>
    <w:rsid w:val="008A582C"/>
    <w:rsid w:val="008A5919"/>
    <w:rsid w:val="008A596F"/>
    <w:rsid w:val="008B16C2"/>
    <w:rsid w:val="008B1E40"/>
    <w:rsid w:val="008B4586"/>
    <w:rsid w:val="008B5E10"/>
    <w:rsid w:val="008B6730"/>
    <w:rsid w:val="008B77BA"/>
    <w:rsid w:val="008B785C"/>
    <w:rsid w:val="008C20D5"/>
    <w:rsid w:val="008C2994"/>
    <w:rsid w:val="008C31EC"/>
    <w:rsid w:val="008C443F"/>
    <w:rsid w:val="008C6F0A"/>
    <w:rsid w:val="008C75B6"/>
    <w:rsid w:val="008C76E2"/>
    <w:rsid w:val="008C7FC1"/>
    <w:rsid w:val="008D0061"/>
    <w:rsid w:val="008D0714"/>
    <w:rsid w:val="008D5744"/>
    <w:rsid w:val="008D578E"/>
    <w:rsid w:val="008D58FC"/>
    <w:rsid w:val="008D7C63"/>
    <w:rsid w:val="008E365D"/>
    <w:rsid w:val="008E59D2"/>
    <w:rsid w:val="008E5E08"/>
    <w:rsid w:val="008E63A0"/>
    <w:rsid w:val="008E72A9"/>
    <w:rsid w:val="008F0521"/>
    <w:rsid w:val="008F0709"/>
    <w:rsid w:val="008F0CDF"/>
    <w:rsid w:val="008F1614"/>
    <w:rsid w:val="008F164E"/>
    <w:rsid w:val="008F1AB2"/>
    <w:rsid w:val="008F1B6E"/>
    <w:rsid w:val="008F1E6B"/>
    <w:rsid w:val="008F2E35"/>
    <w:rsid w:val="008F4969"/>
    <w:rsid w:val="008F74C4"/>
    <w:rsid w:val="008F74ED"/>
    <w:rsid w:val="008F7526"/>
    <w:rsid w:val="00900719"/>
    <w:rsid w:val="00900F9F"/>
    <w:rsid w:val="00902F71"/>
    <w:rsid w:val="00903B72"/>
    <w:rsid w:val="00905897"/>
    <w:rsid w:val="00906D83"/>
    <w:rsid w:val="00906E13"/>
    <w:rsid w:val="00910F5A"/>
    <w:rsid w:val="00911890"/>
    <w:rsid w:val="009119F4"/>
    <w:rsid w:val="00911CA9"/>
    <w:rsid w:val="00912D00"/>
    <w:rsid w:val="00914D0F"/>
    <w:rsid w:val="00915B49"/>
    <w:rsid w:val="00920581"/>
    <w:rsid w:val="0092081B"/>
    <w:rsid w:val="0092097F"/>
    <w:rsid w:val="00921167"/>
    <w:rsid w:val="00921A82"/>
    <w:rsid w:val="00922F2F"/>
    <w:rsid w:val="00924CB7"/>
    <w:rsid w:val="009301A8"/>
    <w:rsid w:val="009305C2"/>
    <w:rsid w:val="009315E4"/>
    <w:rsid w:val="00931F72"/>
    <w:rsid w:val="0093214A"/>
    <w:rsid w:val="009332D6"/>
    <w:rsid w:val="00934E4F"/>
    <w:rsid w:val="009359CA"/>
    <w:rsid w:val="00935AF1"/>
    <w:rsid w:val="00935F9E"/>
    <w:rsid w:val="0094025C"/>
    <w:rsid w:val="00943682"/>
    <w:rsid w:val="00943694"/>
    <w:rsid w:val="00943CF6"/>
    <w:rsid w:val="00943DB2"/>
    <w:rsid w:val="009470C9"/>
    <w:rsid w:val="00950657"/>
    <w:rsid w:val="009506AB"/>
    <w:rsid w:val="009510CF"/>
    <w:rsid w:val="009537BB"/>
    <w:rsid w:val="009551CA"/>
    <w:rsid w:val="00955D47"/>
    <w:rsid w:val="00956F3F"/>
    <w:rsid w:val="009572A9"/>
    <w:rsid w:val="00963654"/>
    <w:rsid w:val="00964605"/>
    <w:rsid w:val="009646E7"/>
    <w:rsid w:val="00965B1D"/>
    <w:rsid w:val="00966600"/>
    <w:rsid w:val="009710D6"/>
    <w:rsid w:val="009727B1"/>
    <w:rsid w:val="009733EB"/>
    <w:rsid w:val="00974B34"/>
    <w:rsid w:val="00977FFA"/>
    <w:rsid w:val="00983F65"/>
    <w:rsid w:val="00984FDD"/>
    <w:rsid w:val="009871FA"/>
    <w:rsid w:val="0098763E"/>
    <w:rsid w:val="00990DC9"/>
    <w:rsid w:val="00991032"/>
    <w:rsid w:val="00995745"/>
    <w:rsid w:val="00997213"/>
    <w:rsid w:val="00997869"/>
    <w:rsid w:val="00997B3F"/>
    <w:rsid w:val="009A021E"/>
    <w:rsid w:val="009A0497"/>
    <w:rsid w:val="009A0BA2"/>
    <w:rsid w:val="009A1C00"/>
    <w:rsid w:val="009A33FC"/>
    <w:rsid w:val="009A5943"/>
    <w:rsid w:val="009A5A04"/>
    <w:rsid w:val="009A5C81"/>
    <w:rsid w:val="009A7B8B"/>
    <w:rsid w:val="009B0263"/>
    <w:rsid w:val="009B1C95"/>
    <w:rsid w:val="009B1E4A"/>
    <w:rsid w:val="009B5FD1"/>
    <w:rsid w:val="009B6B30"/>
    <w:rsid w:val="009B6C21"/>
    <w:rsid w:val="009C0BCB"/>
    <w:rsid w:val="009C225E"/>
    <w:rsid w:val="009C231F"/>
    <w:rsid w:val="009C2336"/>
    <w:rsid w:val="009C34D8"/>
    <w:rsid w:val="009C57E3"/>
    <w:rsid w:val="009C64F3"/>
    <w:rsid w:val="009C7E99"/>
    <w:rsid w:val="009D0C43"/>
    <w:rsid w:val="009D1AA9"/>
    <w:rsid w:val="009D1CC8"/>
    <w:rsid w:val="009D7BD7"/>
    <w:rsid w:val="009E31D7"/>
    <w:rsid w:val="009E6A62"/>
    <w:rsid w:val="009E6AD1"/>
    <w:rsid w:val="009E6C2E"/>
    <w:rsid w:val="009E6C77"/>
    <w:rsid w:val="009E6D11"/>
    <w:rsid w:val="009F0F69"/>
    <w:rsid w:val="009F1F3D"/>
    <w:rsid w:val="009F3718"/>
    <w:rsid w:val="009F3C7C"/>
    <w:rsid w:val="009F48E7"/>
    <w:rsid w:val="009F7CF4"/>
    <w:rsid w:val="009F7D3C"/>
    <w:rsid w:val="00A0073E"/>
    <w:rsid w:val="00A0121F"/>
    <w:rsid w:val="00A021E4"/>
    <w:rsid w:val="00A03368"/>
    <w:rsid w:val="00A04FA4"/>
    <w:rsid w:val="00A05B52"/>
    <w:rsid w:val="00A06080"/>
    <w:rsid w:val="00A07CB1"/>
    <w:rsid w:val="00A10DEF"/>
    <w:rsid w:val="00A1100F"/>
    <w:rsid w:val="00A1240A"/>
    <w:rsid w:val="00A1333A"/>
    <w:rsid w:val="00A1386C"/>
    <w:rsid w:val="00A14981"/>
    <w:rsid w:val="00A149DB"/>
    <w:rsid w:val="00A16495"/>
    <w:rsid w:val="00A173CF"/>
    <w:rsid w:val="00A17E53"/>
    <w:rsid w:val="00A20C69"/>
    <w:rsid w:val="00A21636"/>
    <w:rsid w:val="00A227FC"/>
    <w:rsid w:val="00A236C9"/>
    <w:rsid w:val="00A23FDC"/>
    <w:rsid w:val="00A242FE"/>
    <w:rsid w:val="00A24EBD"/>
    <w:rsid w:val="00A25F09"/>
    <w:rsid w:val="00A26DE5"/>
    <w:rsid w:val="00A33057"/>
    <w:rsid w:val="00A330CD"/>
    <w:rsid w:val="00A342FF"/>
    <w:rsid w:val="00A371B7"/>
    <w:rsid w:val="00A37EA5"/>
    <w:rsid w:val="00A418B1"/>
    <w:rsid w:val="00A421F2"/>
    <w:rsid w:val="00A4256A"/>
    <w:rsid w:val="00A454FC"/>
    <w:rsid w:val="00A457B4"/>
    <w:rsid w:val="00A458F0"/>
    <w:rsid w:val="00A4717B"/>
    <w:rsid w:val="00A47331"/>
    <w:rsid w:val="00A50B76"/>
    <w:rsid w:val="00A513E3"/>
    <w:rsid w:val="00A52706"/>
    <w:rsid w:val="00A53485"/>
    <w:rsid w:val="00A56711"/>
    <w:rsid w:val="00A57C5D"/>
    <w:rsid w:val="00A647FB"/>
    <w:rsid w:val="00A66C67"/>
    <w:rsid w:val="00A677D2"/>
    <w:rsid w:val="00A6780E"/>
    <w:rsid w:val="00A67D79"/>
    <w:rsid w:val="00A70A1D"/>
    <w:rsid w:val="00A72621"/>
    <w:rsid w:val="00A73A4B"/>
    <w:rsid w:val="00A73C27"/>
    <w:rsid w:val="00A75768"/>
    <w:rsid w:val="00A75F4D"/>
    <w:rsid w:val="00A76B41"/>
    <w:rsid w:val="00A813A8"/>
    <w:rsid w:val="00A82AD1"/>
    <w:rsid w:val="00A82CF9"/>
    <w:rsid w:val="00A8340B"/>
    <w:rsid w:val="00A8497D"/>
    <w:rsid w:val="00A8599A"/>
    <w:rsid w:val="00A904C1"/>
    <w:rsid w:val="00A912FF"/>
    <w:rsid w:val="00A91A58"/>
    <w:rsid w:val="00A93B54"/>
    <w:rsid w:val="00A9409C"/>
    <w:rsid w:val="00A94C30"/>
    <w:rsid w:val="00A96DFB"/>
    <w:rsid w:val="00AA04DC"/>
    <w:rsid w:val="00AA17B8"/>
    <w:rsid w:val="00AA1A91"/>
    <w:rsid w:val="00AA2A01"/>
    <w:rsid w:val="00AA4059"/>
    <w:rsid w:val="00AA473F"/>
    <w:rsid w:val="00AA537A"/>
    <w:rsid w:val="00AA5702"/>
    <w:rsid w:val="00AA5A65"/>
    <w:rsid w:val="00AA5ADF"/>
    <w:rsid w:val="00AB0CE8"/>
    <w:rsid w:val="00AC0B07"/>
    <w:rsid w:val="00AC2DDA"/>
    <w:rsid w:val="00AC3875"/>
    <w:rsid w:val="00AC3E89"/>
    <w:rsid w:val="00AC5FFD"/>
    <w:rsid w:val="00AC64D1"/>
    <w:rsid w:val="00AD073C"/>
    <w:rsid w:val="00AD26D5"/>
    <w:rsid w:val="00AD393A"/>
    <w:rsid w:val="00AD41F7"/>
    <w:rsid w:val="00AD5C2E"/>
    <w:rsid w:val="00AD6E18"/>
    <w:rsid w:val="00AE031B"/>
    <w:rsid w:val="00AE06DE"/>
    <w:rsid w:val="00AE1331"/>
    <w:rsid w:val="00AE2B7E"/>
    <w:rsid w:val="00AE40E6"/>
    <w:rsid w:val="00AE55B9"/>
    <w:rsid w:val="00AE5FE3"/>
    <w:rsid w:val="00AE64FF"/>
    <w:rsid w:val="00AF0460"/>
    <w:rsid w:val="00AF1B8F"/>
    <w:rsid w:val="00AF2510"/>
    <w:rsid w:val="00AF3B82"/>
    <w:rsid w:val="00AF460B"/>
    <w:rsid w:val="00AF56D8"/>
    <w:rsid w:val="00AF773B"/>
    <w:rsid w:val="00AF7B49"/>
    <w:rsid w:val="00B0123A"/>
    <w:rsid w:val="00B03CC1"/>
    <w:rsid w:val="00B04047"/>
    <w:rsid w:val="00B06B45"/>
    <w:rsid w:val="00B126FF"/>
    <w:rsid w:val="00B1584F"/>
    <w:rsid w:val="00B16AF2"/>
    <w:rsid w:val="00B17891"/>
    <w:rsid w:val="00B22C28"/>
    <w:rsid w:val="00B22DE7"/>
    <w:rsid w:val="00B256A8"/>
    <w:rsid w:val="00B30604"/>
    <w:rsid w:val="00B315DD"/>
    <w:rsid w:val="00B32D0C"/>
    <w:rsid w:val="00B35D2B"/>
    <w:rsid w:val="00B37F84"/>
    <w:rsid w:val="00B40673"/>
    <w:rsid w:val="00B42467"/>
    <w:rsid w:val="00B42B60"/>
    <w:rsid w:val="00B45CA6"/>
    <w:rsid w:val="00B4633A"/>
    <w:rsid w:val="00B46E07"/>
    <w:rsid w:val="00B47174"/>
    <w:rsid w:val="00B5229C"/>
    <w:rsid w:val="00B52943"/>
    <w:rsid w:val="00B53054"/>
    <w:rsid w:val="00B53094"/>
    <w:rsid w:val="00B531CF"/>
    <w:rsid w:val="00B560AC"/>
    <w:rsid w:val="00B56BF7"/>
    <w:rsid w:val="00B61911"/>
    <w:rsid w:val="00B62682"/>
    <w:rsid w:val="00B635E4"/>
    <w:rsid w:val="00B639B6"/>
    <w:rsid w:val="00B64D30"/>
    <w:rsid w:val="00B6613E"/>
    <w:rsid w:val="00B701A9"/>
    <w:rsid w:val="00B7138D"/>
    <w:rsid w:val="00B75CBE"/>
    <w:rsid w:val="00B776F4"/>
    <w:rsid w:val="00B77CBA"/>
    <w:rsid w:val="00B80FE2"/>
    <w:rsid w:val="00B82D8E"/>
    <w:rsid w:val="00B84B12"/>
    <w:rsid w:val="00B86027"/>
    <w:rsid w:val="00B90C69"/>
    <w:rsid w:val="00B91063"/>
    <w:rsid w:val="00B9363B"/>
    <w:rsid w:val="00B953A4"/>
    <w:rsid w:val="00B96FCA"/>
    <w:rsid w:val="00BA0E11"/>
    <w:rsid w:val="00BA1583"/>
    <w:rsid w:val="00BA1B17"/>
    <w:rsid w:val="00BA1B63"/>
    <w:rsid w:val="00BA35F1"/>
    <w:rsid w:val="00BA7EFC"/>
    <w:rsid w:val="00BB1074"/>
    <w:rsid w:val="00BB1311"/>
    <w:rsid w:val="00BB25D2"/>
    <w:rsid w:val="00BB3371"/>
    <w:rsid w:val="00BB4483"/>
    <w:rsid w:val="00BB5023"/>
    <w:rsid w:val="00BC17E0"/>
    <w:rsid w:val="00BC2C86"/>
    <w:rsid w:val="00BC2F43"/>
    <w:rsid w:val="00BC3005"/>
    <w:rsid w:val="00BC3EAE"/>
    <w:rsid w:val="00BC42A7"/>
    <w:rsid w:val="00BC4CB2"/>
    <w:rsid w:val="00BC5AB4"/>
    <w:rsid w:val="00BC613C"/>
    <w:rsid w:val="00BC79E1"/>
    <w:rsid w:val="00BD02F9"/>
    <w:rsid w:val="00BD08F5"/>
    <w:rsid w:val="00BD2F70"/>
    <w:rsid w:val="00BD3946"/>
    <w:rsid w:val="00BD5281"/>
    <w:rsid w:val="00BD6DFC"/>
    <w:rsid w:val="00BE0FF6"/>
    <w:rsid w:val="00BE32F9"/>
    <w:rsid w:val="00BE42B3"/>
    <w:rsid w:val="00BE5E15"/>
    <w:rsid w:val="00BE74B3"/>
    <w:rsid w:val="00BE7C4D"/>
    <w:rsid w:val="00BF12AF"/>
    <w:rsid w:val="00BF1A67"/>
    <w:rsid w:val="00BF3292"/>
    <w:rsid w:val="00BF590C"/>
    <w:rsid w:val="00BF6341"/>
    <w:rsid w:val="00C015E0"/>
    <w:rsid w:val="00C0200D"/>
    <w:rsid w:val="00C02084"/>
    <w:rsid w:val="00C034B7"/>
    <w:rsid w:val="00C034F4"/>
    <w:rsid w:val="00C04945"/>
    <w:rsid w:val="00C04C08"/>
    <w:rsid w:val="00C0559C"/>
    <w:rsid w:val="00C06766"/>
    <w:rsid w:val="00C07016"/>
    <w:rsid w:val="00C10B77"/>
    <w:rsid w:val="00C10E30"/>
    <w:rsid w:val="00C11EAA"/>
    <w:rsid w:val="00C157B3"/>
    <w:rsid w:val="00C174E9"/>
    <w:rsid w:val="00C17DE9"/>
    <w:rsid w:val="00C23C00"/>
    <w:rsid w:val="00C23F51"/>
    <w:rsid w:val="00C24A11"/>
    <w:rsid w:val="00C24AD0"/>
    <w:rsid w:val="00C2573F"/>
    <w:rsid w:val="00C273C0"/>
    <w:rsid w:val="00C30BE4"/>
    <w:rsid w:val="00C3193F"/>
    <w:rsid w:val="00C32F5F"/>
    <w:rsid w:val="00C3357B"/>
    <w:rsid w:val="00C37749"/>
    <w:rsid w:val="00C408D7"/>
    <w:rsid w:val="00C459FB"/>
    <w:rsid w:val="00C46DDB"/>
    <w:rsid w:val="00C5059E"/>
    <w:rsid w:val="00C510DF"/>
    <w:rsid w:val="00C51B35"/>
    <w:rsid w:val="00C5407E"/>
    <w:rsid w:val="00C5539C"/>
    <w:rsid w:val="00C563EE"/>
    <w:rsid w:val="00C57B0D"/>
    <w:rsid w:val="00C616B6"/>
    <w:rsid w:val="00C618E3"/>
    <w:rsid w:val="00C644E9"/>
    <w:rsid w:val="00C6452A"/>
    <w:rsid w:val="00C648D0"/>
    <w:rsid w:val="00C65689"/>
    <w:rsid w:val="00C661CC"/>
    <w:rsid w:val="00C66F02"/>
    <w:rsid w:val="00C6727C"/>
    <w:rsid w:val="00C717DD"/>
    <w:rsid w:val="00C71A3B"/>
    <w:rsid w:val="00C73062"/>
    <w:rsid w:val="00C7411A"/>
    <w:rsid w:val="00C7421C"/>
    <w:rsid w:val="00C76033"/>
    <w:rsid w:val="00C765C0"/>
    <w:rsid w:val="00C7736F"/>
    <w:rsid w:val="00C8278E"/>
    <w:rsid w:val="00C90C01"/>
    <w:rsid w:val="00C96FFF"/>
    <w:rsid w:val="00CA0175"/>
    <w:rsid w:val="00CA162C"/>
    <w:rsid w:val="00CB2C74"/>
    <w:rsid w:val="00CB41FA"/>
    <w:rsid w:val="00CC3D1D"/>
    <w:rsid w:val="00CC585E"/>
    <w:rsid w:val="00CC67F8"/>
    <w:rsid w:val="00CC7890"/>
    <w:rsid w:val="00CD0AA0"/>
    <w:rsid w:val="00CD0C05"/>
    <w:rsid w:val="00CD2894"/>
    <w:rsid w:val="00CD4324"/>
    <w:rsid w:val="00CE02FE"/>
    <w:rsid w:val="00CE0529"/>
    <w:rsid w:val="00CE1092"/>
    <w:rsid w:val="00CE1586"/>
    <w:rsid w:val="00CE282B"/>
    <w:rsid w:val="00CE3805"/>
    <w:rsid w:val="00CE5BCA"/>
    <w:rsid w:val="00CE5FA9"/>
    <w:rsid w:val="00CE6AB2"/>
    <w:rsid w:val="00CF02FE"/>
    <w:rsid w:val="00CF4F1D"/>
    <w:rsid w:val="00CF5057"/>
    <w:rsid w:val="00CF7DBE"/>
    <w:rsid w:val="00D04EA6"/>
    <w:rsid w:val="00D05402"/>
    <w:rsid w:val="00D05D09"/>
    <w:rsid w:val="00D07114"/>
    <w:rsid w:val="00D103DD"/>
    <w:rsid w:val="00D10D4E"/>
    <w:rsid w:val="00D10DB9"/>
    <w:rsid w:val="00D116DC"/>
    <w:rsid w:val="00D11B0F"/>
    <w:rsid w:val="00D121A2"/>
    <w:rsid w:val="00D125B5"/>
    <w:rsid w:val="00D12CDC"/>
    <w:rsid w:val="00D1638F"/>
    <w:rsid w:val="00D177A2"/>
    <w:rsid w:val="00D203BD"/>
    <w:rsid w:val="00D205B4"/>
    <w:rsid w:val="00D208A1"/>
    <w:rsid w:val="00D21075"/>
    <w:rsid w:val="00D211C4"/>
    <w:rsid w:val="00D21B85"/>
    <w:rsid w:val="00D244C0"/>
    <w:rsid w:val="00D24AF9"/>
    <w:rsid w:val="00D254FF"/>
    <w:rsid w:val="00D26F7F"/>
    <w:rsid w:val="00D27311"/>
    <w:rsid w:val="00D27447"/>
    <w:rsid w:val="00D27929"/>
    <w:rsid w:val="00D27C5B"/>
    <w:rsid w:val="00D27F84"/>
    <w:rsid w:val="00D300D3"/>
    <w:rsid w:val="00D32AE7"/>
    <w:rsid w:val="00D34AD3"/>
    <w:rsid w:val="00D37945"/>
    <w:rsid w:val="00D42159"/>
    <w:rsid w:val="00D433F7"/>
    <w:rsid w:val="00D4380D"/>
    <w:rsid w:val="00D45AFF"/>
    <w:rsid w:val="00D47732"/>
    <w:rsid w:val="00D47DCD"/>
    <w:rsid w:val="00D47EE5"/>
    <w:rsid w:val="00D50FB2"/>
    <w:rsid w:val="00D5104C"/>
    <w:rsid w:val="00D5238C"/>
    <w:rsid w:val="00D538C6"/>
    <w:rsid w:val="00D5420C"/>
    <w:rsid w:val="00D54B09"/>
    <w:rsid w:val="00D56EDE"/>
    <w:rsid w:val="00D62AB2"/>
    <w:rsid w:val="00D66718"/>
    <w:rsid w:val="00D67360"/>
    <w:rsid w:val="00D67E11"/>
    <w:rsid w:val="00D70807"/>
    <w:rsid w:val="00D743BD"/>
    <w:rsid w:val="00D76E84"/>
    <w:rsid w:val="00D80E3D"/>
    <w:rsid w:val="00D81541"/>
    <w:rsid w:val="00D83381"/>
    <w:rsid w:val="00D838FB"/>
    <w:rsid w:val="00D8483E"/>
    <w:rsid w:val="00D86994"/>
    <w:rsid w:val="00D8777D"/>
    <w:rsid w:val="00D87BA2"/>
    <w:rsid w:val="00D90A34"/>
    <w:rsid w:val="00D91097"/>
    <w:rsid w:val="00D94F40"/>
    <w:rsid w:val="00D952DC"/>
    <w:rsid w:val="00D96653"/>
    <w:rsid w:val="00D96CCD"/>
    <w:rsid w:val="00D97F0F"/>
    <w:rsid w:val="00DA20F1"/>
    <w:rsid w:val="00DA3512"/>
    <w:rsid w:val="00DA4213"/>
    <w:rsid w:val="00DA4800"/>
    <w:rsid w:val="00DA4CDE"/>
    <w:rsid w:val="00DA5037"/>
    <w:rsid w:val="00DA5343"/>
    <w:rsid w:val="00DA593B"/>
    <w:rsid w:val="00DA5950"/>
    <w:rsid w:val="00DA5E75"/>
    <w:rsid w:val="00DA6B4D"/>
    <w:rsid w:val="00DB2F6B"/>
    <w:rsid w:val="00DB3190"/>
    <w:rsid w:val="00DB6102"/>
    <w:rsid w:val="00DB69A1"/>
    <w:rsid w:val="00DB6C44"/>
    <w:rsid w:val="00DB6FF8"/>
    <w:rsid w:val="00DB792C"/>
    <w:rsid w:val="00DC01D6"/>
    <w:rsid w:val="00DC1E0F"/>
    <w:rsid w:val="00DC4BB4"/>
    <w:rsid w:val="00DC5D0E"/>
    <w:rsid w:val="00DC65BA"/>
    <w:rsid w:val="00DD035D"/>
    <w:rsid w:val="00DD1FA9"/>
    <w:rsid w:val="00DD1FB8"/>
    <w:rsid w:val="00DD2373"/>
    <w:rsid w:val="00DD471E"/>
    <w:rsid w:val="00DD4E34"/>
    <w:rsid w:val="00DD5729"/>
    <w:rsid w:val="00DD57D8"/>
    <w:rsid w:val="00DD589C"/>
    <w:rsid w:val="00DE0500"/>
    <w:rsid w:val="00DE5486"/>
    <w:rsid w:val="00DE67FD"/>
    <w:rsid w:val="00DF0346"/>
    <w:rsid w:val="00DF2BEB"/>
    <w:rsid w:val="00DF31FE"/>
    <w:rsid w:val="00DF5668"/>
    <w:rsid w:val="00DF5AE4"/>
    <w:rsid w:val="00DF60E8"/>
    <w:rsid w:val="00DF7149"/>
    <w:rsid w:val="00E0033C"/>
    <w:rsid w:val="00E0231F"/>
    <w:rsid w:val="00E03BEA"/>
    <w:rsid w:val="00E043AE"/>
    <w:rsid w:val="00E04AA1"/>
    <w:rsid w:val="00E05C6D"/>
    <w:rsid w:val="00E067CF"/>
    <w:rsid w:val="00E0780A"/>
    <w:rsid w:val="00E07EA3"/>
    <w:rsid w:val="00E1164C"/>
    <w:rsid w:val="00E13C44"/>
    <w:rsid w:val="00E14570"/>
    <w:rsid w:val="00E2036E"/>
    <w:rsid w:val="00E20D35"/>
    <w:rsid w:val="00E20EFC"/>
    <w:rsid w:val="00E214BE"/>
    <w:rsid w:val="00E216E0"/>
    <w:rsid w:val="00E22861"/>
    <w:rsid w:val="00E30B78"/>
    <w:rsid w:val="00E30D25"/>
    <w:rsid w:val="00E31A03"/>
    <w:rsid w:val="00E339CB"/>
    <w:rsid w:val="00E3622B"/>
    <w:rsid w:val="00E36F94"/>
    <w:rsid w:val="00E37297"/>
    <w:rsid w:val="00E37F8E"/>
    <w:rsid w:val="00E42BC7"/>
    <w:rsid w:val="00E44544"/>
    <w:rsid w:val="00E4562E"/>
    <w:rsid w:val="00E46314"/>
    <w:rsid w:val="00E47001"/>
    <w:rsid w:val="00E50B61"/>
    <w:rsid w:val="00E5109B"/>
    <w:rsid w:val="00E53436"/>
    <w:rsid w:val="00E5492E"/>
    <w:rsid w:val="00E5551F"/>
    <w:rsid w:val="00E56C08"/>
    <w:rsid w:val="00E6145E"/>
    <w:rsid w:val="00E62A7A"/>
    <w:rsid w:val="00E6304C"/>
    <w:rsid w:val="00E63946"/>
    <w:rsid w:val="00E6395C"/>
    <w:rsid w:val="00E64B27"/>
    <w:rsid w:val="00E65E40"/>
    <w:rsid w:val="00E66B94"/>
    <w:rsid w:val="00E67296"/>
    <w:rsid w:val="00E67E79"/>
    <w:rsid w:val="00E67E9F"/>
    <w:rsid w:val="00E7111C"/>
    <w:rsid w:val="00E714A1"/>
    <w:rsid w:val="00E71D3B"/>
    <w:rsid w:val="00E729A4"/>
    <w:rsid w:val="00E73A64"/>
    <w:rsid w:val="00E73ADB"/>
    <w:rsid w:val="00E73FBF"/>
    <w:rsid w:val="00E75734"/>
    <w:rsid w:val="00E76EA9"/>
    <w:rsid w:val="00E7751C"/>
    <w:rsid w:val="00E80429"/>
    <w:rsid w:val="00E82541"/>
    <w:rsid w:val="00E82E8B"/>
    <w:rsid w:val="00E83AF2"/>
    <w:rsid w:val="00E83F39"/>
    <w:rsid w:val="00E840C5"/>
    <w:rsid w:val="00E840CD"/>
    <w:rsid w:val="00E86A8B"/>
    <w:rsid w:val="00E87E1A"/>
    <w:rsid w:val="00E91173"/>
    <w:rsid w:val="00E91ADD"/>
    <w:rsid w:val="00E91DBC"/>
    <w:rsid w:val="00E963C0"/>
    <w:rsid w:val="00E96975"/>
    <w:rsid w:val="00E96CE3"/>
    <w:rsid w:val="00E979A5"/>
    <w:rsid w:val="00EA050A"/>
    <w:rsid w:val="00EA0525"/>
    <w:rsid w:val="00EA111F"/>
    <w:rsid w:val="00EA12BE"/>
    <w:rsid w:val="00EA224D"/>
    <w:rsid w:val="00EA3AB9"/>
    <w:rsid w:val="00EA3D86"/>
    <w:rsid w:val="00EA4576"/>
    <w:rsid w:val="00EA4A19"/>
    <w:rsid w:val="00EA4D66"/>
    <w:rsid w:val="00EA62C9"/>
    <w:rsid w:val="00EA7C51"/>
    <w:rsid w:val="00EB028C"/>
    <w:rsid w:val="00EB3A06"/>
    <w:rsid w:val="00EB46F7"/>
    <w:rsid w:val="00EB5B58"/>
    <w:rsid w:val="00EC099C"/>
    <w:rsid w:val="00EC1ADD"/>
    <w:rsid w:val="00EC23A7"/>
    <w:rsid w:val="00EC6FDD"/>
    <w:rsid w:val="00EC7D45"/>
    <w:rsid w:val="00ED1EE7"/>
    <w:rsid w:val="00ED2A41"/>
    <w:rsid w:val="00ED2F28"/>
    <w:rsid w:val="00ED45A9"/>
    <w:rsid w:val="00ED6665"/>
    <w:rsid w:val="00ED6754"/>
    <w:rsid w:val="00ED7BD7"/>
    <w:rsid w:val="00EE2664"/>
    <w:rsid w:val="00EE6DC9"/>
    <w:rsid w:val="00EE7264"/>
    <w:rsid w:val="00EE7AEE"/>
    <w:rsid w:val="00EF0C72"/>
    <w:rsid w:val="00EF162B"/>
    <w:rsid w:val="00EF292D"/>
    <w:rsid w:val="00EF2AD2"/>
    <w:rsid w:val="00EF4438"/>
    <w:rsid w:val="00EF49D1"/>
    <w:rsid w:val="00EF4A86"/>
    <w:rsid w:val="00EF6AA6"/>
    <w:rsid w:val="00EF73A5"/>
    <w:rsid w:val="00F01BFC"/>
    <w:rsid w:val="00F02681"/>
    <w:rsid w:val="00F0279C"/>
    <w:rsid w:val="00F02F4C"/>
    <w:rsid w:val="00F0335D"/>
    <w:rsid w:val="00F047D1"/>
    <w:rsid w:val="00F0799C"/>
    <w:rsid w:val="00F1007B"/>
    <w:rsid w:val="00F1067F"/>
    <w:rsid w:val="00F10A20"/>
    <w:rsid w:val="00F11603"/>
    <w:rsid w:val="00F207E1"/>
    <w:rsid w:val="00F21E97"/>
    <w:rsid w:val="00F23064"/>
    <w:rsid w:val="00F247BF"/>
    <w:rsid w:val="00F27C72"/>
    <w:rsid w:val="00F30F8D"/>
    <w:rsid w:val="00F31793"/>
    <w:rsid w:val="00F32068"/>
    <w:rsid w:val="00F33E17"/>
    <w:rsid w:val="00F34295"/>
    <w:rsid w:val="00F34449"/>
    <w:rsid w:val="00F363C6"/>
    <w:rsid w:val="00F371BC"/>
    <w:rsid w:val="00F37D09"/>
    <w:rsid w:val="00F40732"/>
    <w:rsid w:val="00F40F1C"/>
    <w:rsid w:val="00F41C87"/>
    <w:rsid w:val="00F41EE3"/>
    <w:rsid w:val="00F41FAE"/>
    <w:rsid w:val="00F4298B"/>
    <w:rsid w:val="00F44B63"/>
    <w:rsid w:val="00F451F3"/>
    <w:rsid w:val="00F45361"/>
    <w:rsid w:val="00F469E6"/>
    <w:rsid w:val="00F472C4"/>
    <w:rsid w:val="00F51668"/>
    <w:rsid w:val="00F55073"/>
    <w:rsid w:val="00F56401"/>
    <w:rsid w:val="00F56CDD"/>
    <w:rsid w:val="00F56F18"/>
    <w:rsid w:val="00F570A5"/>
    <w:rsid w:val="00F61A72"/>
    <w:rsid w:val="00F6656C"/>
    <w:rsid w:val="00F66FAC"/>
    <w:rsid w:val="00F67750"/>
    <w:rsid w:val="00F70E9B"/>
    <w:rsid w:val="00F725F7"/>
    <w:rsid w:val="00F73FF0"/>
    <w:rsid w:val="00F758F0"/>
    <w:rsid w:val="00F76030"/>
    <w:rsid w:val="00F76145"/>
    <w:rsid w:val="00F775FE"/>
    <w:rsid w:val="00F80FC5"/>
    <w:rsid w:val="00F8176D"/>
    <w:rsid w:val="00F81E01"/>
    <w:rsid w:val="00F81F2A"/>
    <w:rsid w:val="00F830E7"/>
    <w:rsid w:val="00F8729E"/>
    <w:rsid w:val="00F910AC"/>
    <w:rsid w:val="00F910F4"/>
    <w:rsid w:val="00F915CA"/>
    <w:rsid w:val="00F91A97"/>
    <w:rsid w:val="00F92174"/>
    <w:rsid w:val="00F92E1F"/>
    <w:rsid w:val="00F93567"/>
    <w:rsid w:val="00F93C6B"/>
    <w:rsid w:val="00F93F7A"/>
    <w:rsid w:val="00F94B02"/>
    <w:rsid w:val="00F96569"/>
    <w:rsid w:val="00F967B3"/>
    <w:rsid w:val="00F96E2B"/>
    <w:rsid w:val="00F97765"/>
    <w:rsid w:val="00FA2B4C"/>
    <w:rsid w:val="00FA4711"/>
    <w:rsid w:val="00FA4E90"/>
    <w:rsid w:val="00FA5E83"/>
    <w:rsid w:val="00FA741E"/>
    <w:rsid w:val="00FA7F3E"/>
    <w:rsid w:val="00FB1FC5"/>
    <w:rsid w:val="00FB2DA2"/>
    <w:rsid w:val="00FB327A"/>
    <w:rsid w:val="00FB389A"/>
    <w:rsid w:val="00FB3CB7"/>
    <w:rsid w:val="00FB3DA4"/>
    <w:rsid w:val="00FB76BB"/>
    <w:rsid w:val="00FC13A9"/>
    <w:rsid w:val="00FC17A9"/>
    <w:rsid w:val="00FC1A59"/>
    <w:rsid w:val="00FC1CDA"/>
    <w:rsid w:val="00FC334C"/>
    <w:rsid w:val="00FC4985"/>
    <w:rsid w:val="00FC4A10"/>
    <w:rsid w:val="00FC5EE3"/>
    <w:rsid w:val="00FC68EE"/>
    <w:rsid w:val="00FC7EAF"/>
    <w:rsid w:val="00FC7FE1"/>
    <w:rsid w:val="00FD23E5"/>
    <w:rsid w:val="00FD24F3"/>
    <w:rsid w:val="00FD445E"/>
    <w:rsid w:val="00FD51FE"/>
    <w:rsid w:val="00FD5573"/>
    <w:rsid w:val="00FE0734"/>
    <w:rsid w:val="00FE1063"/>
    <w:rsid w:val="00FE1A76"/>
    <w:rsid w:val="00FE224B"/>
    <w:rsid w:val="00FE2C1B"/>
    <w:rsid w:val="00FE2D71"/>
    <w:rsid w:val="00FE4F2F"/>
    <w:rsid w:val="00FE5B28"/>
    <w:rsid w:val="00FE5C60"/>
    <w:rsid w:val="00FE7B48"/>
    <w:rsid w:val="00FF02AE"/>
    <w:rsid w:val="00FF4087"/>
    <w:rsid w:val="00FF60C3"/>
    <w:rsid w:val="00FF6B17"/>
    <w:rsid w:val="00FF6F4E"/>
    <w:rsid w:val="00FF7DC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335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D2A41"/>
    <w:pPr>
      <w:widowControl w:val="0"/>
      <w:suppressAutoHyphens/>
      <w:textAlignment w:val="baseline"/>
    </w:pPr>
    <w:rPr>
      <w:rFonts w:eastAsia="Arial Unicode MS" w:cs="Arial Unicode MS"/>
      <w:kern w:val="1"/>
      <w:sz w:val="24"/>
      <w:szCs w:val="24"/>
      <w:lang w:val="en-GB"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spacing w:before="120"/>
    </w:pPr>
    <w:rPr>
      <w:rFonts w:asciiTheme="minorHAnsi" w:hAnsiTheme="minorHAnsi"/>
      <w:b/>
    </w:rPr>
  </w:style>
  <w:style w:type="paragraph" w:styleId="Verzeichnis2">
    <w:name w:val="toc 2"/>
    <w:basedOn w:val="Standard"/>
    <w:next w:val="Standard"/>
    <w:uiPriority w:val="39"/>
    <w:pPr>
      <w:ind w:left="240"/>
    </w:pPr>
    <w:rPr>
      <w:rFonts w:asciiTheme="minorHAnsi" w:hAnsiTheme="minorHAnsi"/>
      <w:b/>
      <w:sz w:val="22"/>
      <w:szCs w:val="22"/>
    </w:rPr>
  </w:style>
  <w:style w:type="paragraph" w:styleId="Verzeichnis3">
    <w:name w:val="toc 3"/>
    <w:basedOn w:val="Standard"/>
    <w:next w:val="Standard"/>
    <w:uiPriority w:val="39"/>
    <w:pPr>
      <w:ind w:left="480"/>
    </w:pPr>
    <w:rPr>
      <w:rFonts w:asciiTheme="minorHAnsi" w:hAnsiTheme="minorHAnsi"/>
      <w:sz w:val="22"/>
      <w:szCs w:val="22"/>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widowControl/>
      <w:suppressAutoHyphens w:val="0"/>
      <w:autoSpaceDE w:val="0"/>
      <w:autoSpaceDN w:val="0"/>
      <w:adjustRightInd w:val="0"/>
      <w:spacing w:line="231" w:lineRule="atLeast"/>
      <w:textAlignment w:val="auto"/>
    </w:pPr>
    <w:rPr>
      <w:rFonts w:ascii="Arial" w:eastAsia="Times New Roman" w:hAnsi="Arial" w:cs="Arial"/>
      <w:kern w:val="0"/>
      <w:lang w:eastAsia="de-CH" w:bidi="ar-SA"/>
    </w:rPr>
  </w:style>
  <w:style w:type="paragraph" w:customStyle="1" w:styleId="Pa25">
    <w:name w:val="Pa25"/>
    <w:basedOn w:val="Standard"/>
    <w:next w:val="Standard"/>
    <w:uiPriority w:val="99"/>
    <w:rsid w:val="00193E7F"/>
    <w:pPr>
      <w:widowControl/>
      <w:suppressAutoHyphens w:val="0"/>
      <w:autoSpaceDE w:val="0"/>
      <w:autoSpaceDN w:val="0"/>
      <w:adjustRightInd w:val="0"/>
      <w:spacing w:line="221" w:lineRule="atLeast"/>
      <w:textAlignment w:val="auto"/>
    </w:pPr>
    <w:rPr>
      <w:rFonts w:ascii="Arial" w:eastAsia="Times New Roman" w:hAnsi="Arial" w:cs="Arial"/>
      <w:kern w:val="0"/>
      <w:lang w:eastAsia="de-CH" w:bidi="ar-SA"/>
    </w:rPr>
  </w:style>
  <w:style w:type="paragraph" w:customStyle="1" w:styleId="Pa9">
    <w:name w:val="Pa9"/>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paragraph" w:customStyle="1" w:styleId="Pa26">
    <w:name w:val="Pa26"/>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widowControl/>
      <w:suppressAutoHyphens w:val="0"/>
      <w:autoSpaceDE w:val="0"/>
      <w:autoSpaceDN w:val="0"/>
      <w:adjustRightInd w:val="0"/>
      <w:spacing w:line="241" w:lineRule="atLeast"/>
      <w:textAlignment w:val="auto"/>
    </w:pPr>
    <w:rPr>
      <w:rFonts w:ascii="Baskerville" w:eastAsia="Baskerville" w:cs="Times New Roman"/>
      <w:kern w:val="0"/>
      <w:lang w:eastAsia="de-CH" w:bidi="ar-SA"/>
    </w:rPr>
  </w:style>
  <w:style w:type="character" w:customStyle="1" w:styleId="A4">
    <w:name w:val="A4"/>
    <w:rsid w:val="00196211"/>
    <w:rPr>
      <w:rFonts w:ascii="Baskerville" w:eastAsia="Baskerville" w:hAnsi="Baskerville" w:cs="Baskerville"/>
      <w:b/>
      <w:bCs/>
      <w:color w:val="000000"/>
      <w:sz w:val="28"/>
      <w:szCs w:val="28"/>
    </w:rPr>
  </w:style>
  <w:style w:type="paragraph" w:styleId="Listenabsatz">
    <w:name w:val="List Paragraph"/>
    <w:basedOn w:val="Standard"/>
    <w:uiPriority w:val="34"/>
    <w:qFormat/>
    <w:rsid w:val="00902F71"/>
    <w:pPr>
      <w:widowControl/>
      <w:suppressAutoHyphens w:val="0"/>
      <w:spacing w:after="200" w:line="276" w:lineRule="auto"/>
      <w:ind w:left="720"/>
      <w:contextualSpacing/>
      <w:textAlignment w:val="auto"/>
    </w:pPr>
    <w:rPr>
      <w:rFonts w:ascii="Arial" w:eastAsia="Times New Roman" w:hAnsi="Arial" w:cstheme="minorBidi"/>
      <w:kern w:val="0"/>
      <w:sz w:val="22"/>
      <w:szCs w:val="22"/>
      <w:lang w:val="en-US" w:eastAsia="en-US" w:bidi="ar-SA"/>
    </w:rPr>
  </w:style>
  <w:style w:type="character" w:styleId="Hervorhebung">
    <w:name w:val="Emphasis"/>
    <w:basedOn w:val="Absatz-Standardschriftart"/>
    <w:uiPriority w:val="20"/>
    <w:qFormat/>
    <w:rsid w:val="00542CD6"/>
    <w:rPr>
      <w:i/>
      <w:iCs/>
    </w:rPr>
  </w:style>
  <w:style w:type="paragraph" w:styleId="Verzeichnis4">
    <w:name w:val="toc 4"/>
    <w:basedOn w:val="Standard"/>
    <w:next w:val="Standard"/>
    <w:autoRedefine/>
    <w:uiPriority w:val="39"/>
    <w:unhideWhenUsed/>
    <w:rsid w:val="008C6F0A"/>
    <w:pPr>
      <w:ind w:left="720"/>
    </w:pPr>
    <w:rPr>
      <w:rFonts w:asciiTheme="minorHAnsi" w:hAnsiTheme="minorHAnsi"/>
      <w:sz w:val="20"/>
      <w:szCs w:val="20"/>
    </w:rPr>
  </w:style>
  <w:style w:type="paragraph" w:styleId="Verzeichnis5">
    <w:name w:val="toc 5"/>
    <w:basedOn w:val="Standard"/>
    <w:next w:val="Standard"/>
    <w:autoRedefine/>
    <w:uiPriority w:val="39"/>
    <w:unhideWhenUsed/>
    <w:rsid w:val="008C6F0A"/>
    <w:pPr>
      <w:ind w:left="960"/>
    </w:pPr>
    <w:rPr>
      <w:rFonts w:asciiTheme="minorHAnsi" w:hAnsiTheme="minorHAnsi"/>
      <w:sz w:val="20"/>
      <w:szCs w:val="20"/>
    </w:rPr>
  </w:style>
  <w:style w:type="paragraph" w:styleId="Verzeichnis6">
    <w:name w:val="toc 6"/>
    <w:basedOn w:val="Standard"/>
    <w:next w:val="Standard"/>
    <w:autoRedefine/>
    <w:uiPriority w:val="39"/>
    <w:unhideWhenUsed/>
    <w:rsid w:val="008C6F0A"/>
    <w:pPr>
      <w:ind w:left="1200"/>
    </w:pPr>
    <w:rPr>
      <w:rFonts w:asciiTheme="minorHAnsi" w:hAnsiTheme="minorHAnsi"/>
      <w:sz w:val="20"/>
      <w:szCs w:val="20"/>
    </w:rPr>
  </w:style>
  <w:style w:type="paragraph" w:styleId="Verzeichnis7">
    <w:name w:val="toc 7"/>
    <w:basedOn w:val="Standard"/>
    <w:next w:val="Standard"/>
    <w:autoRedefine/>
    <w:uiPriority w:val="39"/>
    <w:unhideWhenUsed/>
    <w:rsid w:val="008C6F0A"/>
    <w:pPr>
      <w:ind w:left="1440"/>
    </w:pPr>
    <w:rPr>
      <w:rFonts w:asciiTheme="minorHAnsi" w:hAnsiTheme="minorHAnsi"/>
      <w:sz w:val="20"/>
      <w:szCs w:val="20"/>
    </w:rPr>
  </w:style>
  <w:style w:type="paragraph" w:styleId="Verzeichnis8">
    <w:name w:val="toc 8"/>
    <w:basedOn w:val="Standard"/>
    <w:next w:val="Standard"/>
    <w:autoRedefine/>
    <w:uiPriority w:val="39"/>
    <w:unhideWhenUsed/>
    <w:rsid w:val="008C6F0A"/>
    <w:pPr>
      <w:ind w:left="1680"/>
    </w:pPr>
    <w:rPr>
      <w:rFonts w:asciiTheme="minorHAnsi" w:hAnsiTheme="minorHAnsi"/>
      <w:sz w:val="20"/>
      <w:szCs w:val="20"/>
    </w:rPr>
  </w:style>
  <w:style w:type="paragraph" w:styleId="Verzeichnis9">
    <w:name w:val="toc 9"/>
    <w:basedOn w:val="Standard"/>
    <w:next w:val="Standard"/>
    <w:autoRedefine/>
    <w:uiPriority w:val="39"/>
    <w:unhideWhenUsed/>
    <w:rsid w:val="008C6F0A"/>
    <w:pPr>
      <w:ind w:left="1920"/>
    </w:pPr>
    <w:rPr>
      <w:rFonts w:asciiTheme="minorHAnsi" w:hAnsiTheme="minorHAnsi"/>
      <w:sz w:val="20"/>
      <w:szCs w:val="20"/>
    </w:rPr>
  </w:style>
  <w:style w:type="paragraph" w:styleId="StandardWeb">
    <w:name w:val="Normal (Web)"/>
    <w:basedOn w:val="Standard"/>
    <w:uiPriority w:val="99"/>
    <w:semiHidden/>
    <w:unhideWhenUsed/>
    <w:rsid w:val="00DA5950"/>
    <w:rPr>
      <w:rFonts w:cs="Times New Roman"/>
    </w:rPr>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Seitenzahl">
    <w:name w:val="page number"/>
    <w:basedOn w:val="Absatz-Standardschriftart"/>
    <w:uiPriority w:val="99"/>
    <w:semiHidden/>
    <w:unhideWhenUsed/>
    <w:rsid w:val="000A3113"/>
  </w:style>
  <w:style w:type="character" w:customStyle="1" w:styleId="NichtaufgelsteErwhnung1">
    <w:name w:val="Nicht aufgelöste Erwähnung1"/>
    <w:basedOn w:val="Absatz-Standardschriftart"/>
    <w:uiPriority w:val="99"/>
    <w:semiHidden/>
    <w:unhideWhenUsed/>
    <w:rsid w:val="00CB41FA"/>
    <w:rPr>
      <w:color w:val="605E5C"/>
      <w:shd w:val="clear" w:color="auto" w:fill="E1DFDD"/>
    </w:rPr>
  </w:style>
  <w:style w:type="character" w:customStyle="1" w:styleId="NichtaufgelsteErwhnung2">
    <w:name w:val="Nicht aufgelöste Erwähnung2"/>
    <w:basedOn w:val="Absatz-Standardschriftar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UnresolvedMention">
    <w:name w:val="Unresolved Mention"/>
    <w:basedOn w:val="Absatz-Standardschriftart"/>
    <w:uiPriority w:val="99"/>
    <w:semiHidden/>
    <w:unhideWhenUsed/>
    <w:rsid w:val="00686C7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D2A41"/>
    <w:pPr>
      <w:widowControl w:val="0"/>
      <w:suppressAutoHyphens/>
      <w:textAlignment w:val="baseline"/>
    </w:pPr>
    <w:rPr>
      <w:rFonts w:eastAsia="Arial Unicode MS" w:cs="Arial Unicode MS"/>
      <w:kern w:val="1"/>
      <w:sz w:val="24"/>
      <w:szCs w:val="24"/>
      <w:lang w:val="en-GB"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s="Times New Roman"/>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spacing w:before="120"/>
    </w:pPr>
    <w:rPr>
      <w:rFonts w:asciiTheme="minorHAnsi" w:hAnsiTheme="minorHAnsi"/>
      <w:b/>
    </w:rPr>
  </w:style>
  <w:style w:type="paragraph" w:styleId="Verzeichnis2">
    <w:name w:val="toc 2"/>
    <w:basedOn w:val="Standard"/>
    <w:next w:val="Standard"/>
    <w:uiPriority w:val="39"/>
    <w:pPr>
      <w:ind w:left="240"/>
    </w:pPr>
    <w:rPr>
      <w:rFonts w:asciiTheme="minorHAnsi" w:hAnsiTheme="minorHAnsi"/>
      <w:b/>
      <w:sz w:val="22"/>
      <w:szCs w:val="22"/>
    </w:rPr>
  </w:style>
  <w:style w:type="paragraph" w:styleId="Verzeichnis3">
    <w:name w:val="toc 3"/>
    <w:basedOn w:val="Standard"/>
    <w:next w:val="Standard"/>
    <w:uiPriority w:val="39"/>
    <w:pPr>
      <w:ind w:left="480"/>
    </w:pPr>
    <w:rPr>
      <w:rFonts w:asciiTheme="minorHAnsi" w:hAnsiTheme="minorHAnsi"/>
      <w:sz w:val="22"/>
      <w:szCs w:val="22"/>
    </w:rPr>
  </w:style>
  <w:style w:type="paragraph" w:styleId="Inhaltsverzeichnisberschrift">
    <w:name w:val="TOC Heading"/>
    <w:basedOn w:val="berschrift1"/>
    <w:next w:val="Standard"/>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widowControl/>
      <w:suppressAutoHyphens w:val="0"/>
      <w:autoSpaceDE w:val="0"/>
      <w:autoSpaceDN w:val="0"/>
      <w:adjustRightInd w:val="0"/>
      <w:spacing w:line="231" w:lineRule="atLeast"/>
      <w:textAlignment w:val="auto"/>
    </w:pPr>
    <w:rPr>
      <w:rFonts w:ascii="Arial" w:eastAsia="Times New Roman" w:hAnsi="Arial" w:cs="Arial"/>
      <w:kern w:val="0"/>
      <w:lang w:eastAsia="de-CH" w:bidi="ar-SA"/>
    </w:rPr>
  </w:style>
  <w:style w:type="paragraph" w:customStyle="1" w:styleId="Pa25">
    <w:name w:val="Pa25"/>
    <w:basedOn w:val="Standard"/>
    <w:next w:val="Standard"/>
    <w:uiPriority w:val="99"/>
    <w:rsid w:val="00193E7F"/>
    <w:pPr>
      <w:widowControl/>
      <w:suppressAutoHyphens w:val="0"/>
      <w:autoSpaceDE w:val="0"/>
      <w:autoSpaceDN w:val="0"/>
      <w:adjustRightInd w:val="0"/>
      <w:spacing w:line="221" w:lineRule="atLeast"/>
      <w:textAlignment w:val="auto"/>
    </w:pPr>
    <w:rPr>
      <w:rFonts w:ascii="Arial" w:eastAsia="Times New Roman" w:hAnsi="Arial" w:cs="Arial"/>
      <w:kern w:val="0"/>
      <w:lang w:eastAsia="de-CH" w:bidi="ar-SA"/>
    </w:rPr>
  </w:style>
  <w:style w:type="paragraph" w:customStyle="1" w:styleId="Pa9">
    <w:name w:val="Pa9"/>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paragraph" w:customStyle="1" w:styleId="Pa26">
    <w:name w:val="Pa26"/>
    <w:basedOn w:val="Standard"/>
    <w:next w:val="Standard"/>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widowControl/>
      <w:suppressAutoHyphens w:val="0"/>
      <w:autoSpaceDE w:val="0"/>
      <w:autoSpaceDN w:val="0"/>
      <w:adjustRightInd w:val="0"/>
      <w:spacing w:line="241" w:lineRule="atLeast"/>
      <w:textAlignment w:val="auto"/>
    </w:pPr>
    <w:rPr>
      <w:rFonts w:ascii="Baskerville" w:eastAsia="Baskerville" w:cs="Times New Roman"/>
      <w:kern w:val="0"/>
      <w:lang w:eastAsia="de-CH" w:bidi="ar-SA"/>
    </w:rPr>
  </w:style>
  <w:style w:type="character" w:customStyle="1" w:styleId="A4">
    <w:name w:val="A4"/>
    <w:rsid w:val="00196211"/>
    <w:rPr>
      <w:rFonts w:ascii="Baskerville" w:eastAsia="Baskerville" w:hAnsi="Baskerville" w:cs="Baskerville"/>
      <w:b/>
      <w:bCs/>
      <w:color w:val="000000"/>
      <w:sz w:val="28"/>
      <w:szCs w:val="28"/>
    </w:rPr>
  </w:style>
  <w:style w:type="paragraph" w:styleId="Listenabsatz">
    <w:name w:val="List Paragraph"/>
    <w:basedOn w:val="Standard"/>
    <w:uiPriority w:val="34"/>
    <w:qFormat/>
    <w:rsid w:val="00902F71"/>
    <w:pPr>
      <w:widowControl/>
      <w:suppressAutoHyphens w:val="0"/>
      <w:spacing w:after="200" w:line="276" w:lineRule="auto"/>
      <w:ind w:left="720"/>
      <w:contextualSpacing/>
      <w:textAlignment w:val="auto"/>
    </w:pPr>
    <w:rPr>
      <w:rFonts w:ascii="Arial" w:eastAsia="Times New Roman" w:hAnsi="Arial" w:cstheme="minorBidi"/>
      <w:kern w:val="0"/>
      <w:sz w:val="22"/>
      <w:szCs w:val="22"/>
      <w:lang w:val="en-US" w:eastAsia="en-US" w:bidi="ar-SA"/>
    </w:rPr>
  </w:style>
  <w:style w:type="character" w:styleId="Hervorhebung">
    <w:name w:val="Emphasis"/>
    <w:basedOn w:val="Absatz-Standardschriftart"/>
    <w:uiPriority w:val="20"/>
    <w:qFormat/>
    <w:rsid w:val="00542CD6"/>
    <w:rPr>
      <w:i/>
      <w:iCs/>
    </w:rPr>
  </w:style>
  <w:style w:type="paragraph" w:styleId="Verzeichnis4">
    <w:name w:val="toc 4"/>
    <w:basedOn w:val="Standard"/>
    <w:next w:val="Standard"/>
    <w:autoRedefine/>
    <w:uiPriority w:val="39"/>
    <w:unhideWhenUsed/>
    <w:rsid w:val="008C6F0A"/>
    <w:pPr>
      <w:ind w:left="720"/>
    </w:pPr>
    <w:rPr>
      <w:rFonts w:asciiTheme="minorHAnsi" w:hAnsiTheme="minorHAnsi"/>
      <w:sz w:val="20"/>
      <w:szCs w:val="20"/>
    </w:rPr>
  </w:style>
  <w:style w:type="paragraph" w:styleId="Verzeichnis5">
    <w:name w:val="toc 5"/>
    <w:basedOn w:val="Standard"/>
    <w:next w:val="Standard"/>
    <w:autoRedefine/>
    <w:uiPriority w:val="39"/>
    <w:unhideWhenUsed/>
    <w:rsid w:val="008C6F0A"/>
    <w:pPr>
      <w:ind w:left="960"/>
    </w:pPr>
    <w:rPr>
      <w:rFonts w:asciiTheme="minorHAnsi" w:hAnsiTheme="minorHAnsi"/>
      <w:sz w:val="20"/>
      <w:szCs w:val="20"/>
    </w:rPr>
  </w:style>
  <w:style w:type="paragraph" w:styleId="Verzeichnis6">
    <w:name w:val="toc 6"/>
    <w:basedOn w:val="Standard"/>
    <w:next w:val="Standard"/>
    <w:autoRedefine/>
    <w:uiPriority w:val="39"/>
    <w:unhideWhenUsed/>
    <w:rsid w:val="008C6F0A"/>
    <w:pPr>
      <w:ind w:left="1200"/>
    </w:pPr>
    <w:rPr>
      <w:rFonts w:asciiTheme="minorHAnsi" w:hAnsiTheme="minorHAnsi"/>
      <w:sz w:val="20"/>
      <w:szCs w:val="20"/>
    </w:rPr>
  </w:style>
  <w:style w:type="paragraph" w:styleId="Verzeichnis7">
    <w:name w:val="toc 7"/>
    <w:basedOn w:val="Standard"/>
    <w:next w:val="Standard"/>
    <w:autoRedefine/>
    <w:uiPriority w:val="39"/>
    <w:unhideWhenUsed/>
    <w:rsid w:val="008C6F0A"/>
    <w:pPr>
      <w:ind w:left="1440"/>
    </w:pPr>
    <w:rPr>
      <w:rFonts w:asciiTheme="minorHAnsi" w:hAnsiTheme="minorHAnsi"/>
      <w:sz w:val="20"/>
      <w:szCs w:val="20"/>
    </w:rPr>
  </w:style>
  <w:style w:type="paragraph" w:styleId="Verzeichnis8">
    <w:name w:val="toc 8"/>
    <w:basedOn w:val="Standard"/>
    <w:next w:val="Standard"/>
    <w:autoRedefine/>
    <w:uiPriority w:val="39"/>
    <w:unhideWhenUsed/>
    <w:rsid w:val="008C6F0A"/>
    <w:pPr>
      <w:ind w:left="1680"/>
    </w:pPr>
    <w:rPr>
      <w:rFonts w:asciiTheme="minorHAnsi" w:hAnsiTheme="minorHAnsi"/>
      <w:sz w:val="20"/>
      <w:szCs w:val="20"/>
    </w:rPr>
  </w:style>
  <w:style w:type="paragraph" w:styleId="Verzeichnis9">
    <w:name w:val="toc 9"/>
    <w:basedOn w:val="Standard"/>
    <w:next w:val="Standard"/>
    <w:autoRedefine/>
    <w:uiPriority w:val="39"/>
    <w:unhideWhenUsed/>
    <w:rsid w:val="008C6F0A"/>
    <w:pPr>
      <w:ind w:left="1920"/>
    </w:pPr>
    <w:rPr>
      <w:rFonts w:asciiTheme="minorHAnsi" w:hAnsiTheme="minorHAnsi"/>
      <w:sz w:val="20"/>
      <w:szCs w:val="20"/>
    </w:rPr>
  </w:style>
  <w:style w:type="paragraph" w:styleId="StandardWeb">
    <w:name w:val="Normal (Web)"/>
    <w:basedOn w:val="Standard"/>
    <w:uiPriority w:val="99"/>
    <w:semiHidden/>
    <w:unhideWhenUsed/>
    <w:rsid w:val="00DA5950"/>
    <w:rPr>
      <w:rFonts w:cs="Times New Roman"/>
    </w:rPr>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Seitenzahl">
    <w:name w:val="page number"/>
    <w:basedOn w:val="Absatz-Standardschriftart"/>
    <w:uiPriority w:val="99"/>
    <w:semiHidden/>
    <w:unhideWhenUsed/>
    <w:rsid w:val="000A3113"/>
  </w:style>
  <w:style w:type="character" w:customStyle="1" w:styleId="NichtaufgelsteErwhnung1">
    <w:name w:val="Nicht aufgelöste Erwähnung1"/>
    <w:basedOn w:val="Absatz-Standardschriftart"/>
    <w:uiPriority w:val="99"/>
    <w:semiHidden/>
    <w:unhideWhenUsed/>
    <w:rsid w:val="00CB41FA"/>
    <w:rPr>
      <w:color w:val="605E5C"/>
      <w:shd w:val="clear" w:color="auto" w:fill="E1DFDD"/>
    </w:rPr>
  </w:style>
  <w:style w:type="character" w:customStyle="1" w:styleId="NichtaufgelsteErwhnung2">
    <w:name w:val="Nicht aufgelöste Erwähnung2"/>
    <w:basedOn w:val="Absatz-Standardschriftar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UnresolvedMention">
    <w:name w:val="Unresolved Mention"/>
    <w:basedOn w:val="Absatz-Standardschriftart"/>
    <w:uiPriority w:val="99"/>
    <w:semiHidden/>
    <w:unhideWhenUsed/>
    <w:rsid w:val="00686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5319">
      <w:bodyDiv w:val="1"/>
      <w:marLeft w:val="0"/>
      <w:marRight w:val="0"/>
      <w:marTop w:val="0"/>
      <w:marBottom w:val="0"/>
      <w:divBdr>
        <w:top w:val="none" w:sz="0" w:space="0" w:color="auto"/>
        <w:left w:val="none" w:sz="0" w:space="0" w:color="auto"/>
        <w:bottom w:val="none" w:sz="0" w:space="0" w:color="auto"/>
        <w:right w:val="none" w:sz="0" w:space="0" w:color="auto"/>
      </w:divBdr>
    </w:div>
    <w:div w:id="52775964">
      <w:bodyDiv w:val="1"/>
      <w:marLeft w:val="0"/>
      <w:marRight w:val="0"/>
      <w:marTop w:val="0"/>
      <w:marBottom w:val="0"/>
      <w:divBdr>
        <w:top w:val="none" w:sz="0" w:space="0" w:color="auto"/>
        <w:left w:val="none" w:sz="0" w:space="0" w:color="auto"/>
        <w:bottom w:val="none" w:sz="0" w:space="0" w:color="auto"/>
        <w:right w:val="none" w:sz="0" w:space="0" w:color="auto"/>
      </w:divBdr>
      <w:divsChild>
        <w:div w:id="19878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25518">
      <w:bodyDiv w:val="1"/>
      <w:marLeft w:val="0"/>
      <w:marRight w:val="0"/>
      <w:marTop w:val="0"/>
      <w:marBottom w:val="0"/>
      <w:divBdr>
        <w:top w:val="none" w:sz="0" w:space="0" w:color="auto"/>
        <w:left w:val="none" w:sz="0" w:space="0" w:color="auto"/>
        <w:bottom w:val="none" w:sz="0" w:space="0" w:color="auto"/>
        <w:right w:val="none" w:sz="0" w:space="0" w:color="auto"/>
      </w:divBdr>
    </w:div>
    <w:div w:id="79958809">
      <w:bodyDiv w:val="1"/>
      <w:marLeft w:val="0"/>
      <w:marRight w:val="0"/>
      <w:marTop w:val="0"/>
      <w:marBottom w:val="0"/>
      <w:divBdr>
        <w:top w:val="none" w:sz="0" w:space="0" w:color="auto"/>
        <w:left w:val="none" w:sz="0" w:space="0" w:color="auto"/>
        <w:bottom w:val="none" w:sz="0" w:space="0" w:color="auto"/>
        <w:right w:val="none" w:sz="0" w:space="0" w:color="auto"/>
      </w:divBdr>
    </w:div>
    <w:div w:id="89130809">
      <w:bodyDiv w:val="1"/>
      <w:marLeft w:val="0"/>
      <w:marRight w:val="0"/>
      <w:marTop w:val="0"/>
      <w:marBottom w:val="0"/>
      <w:divBdr>
        <w:top w:val="none" w:sz="0" w:space="0" w:color="auto"/>
        <w:left w:val="none" w:sz="0" w:space="0" w:color="auto"/>
        <w:bottom w:val="none" w:sz="0" w:space="0" w:color="auto"/>
        <w:right w:val="none" w:sz="0" w:space="0" w:color="auto"/>
      </w:divBdr>
      <w:divsChild>
        <w:div w:id="607466289">
          <w:marLeft w:val="0"/>
          <w:marRight w:val="0"/>
          <w:marTop w:val="0"/>
          <w:marBottom w:val="0"/>
          <w:divBdr>
            <w:top w:val="none" w:sz="0" w:space="0" w:color="auto"/>
            <w:left w:val="none" w:sz="0" w:space="0" w:color="auto"/>
            <w:bottom w:val="none" w:sz="0" w:space="0" w:color="auto"/>
            <w:right w:val="none" w:sz="0" w:space="0" w:color="auto"/>
          </w:divBdr>
        </w:div>
      </w:divsChild>
    </w:div>
    <w:div w:id="212080065">
      <w:bodyDiv w:val="1"/>
      <w:marLeft w:val="0"/>
      <w:marRight w:val="0"/>
      <w:marTop w:val="0"/>
      <w:marBottom w:val="0"/>
      <w:divBdr>
        <w:top w:val="none" w:sz="0" w:space="0" w:color="auto"/>
        <w:left w:val="none" w:sz="0" w:space="0" w:color="auto"/>
        <w:bottom w:val="none" w:sz="0" w:space="0" w:color="auto"/>
        <w:right w:val="none" w:sz="0" w:space="0" w:color="auto"/>
      </w:divBdr>
    </w:div>
    <w:div w:id="220138627">
      <w:bodyDiv w:val="1"/>
      <w:marLeft w:val="0"/>
      <w:marRight w:val="0"/>
      <w:marTop w:val="0"/>
      <w:marBottom w:val="0"/>
      <w:divBdr>
        <w:top w:val="none" w:sz="0" w:space="0" w:color="auto"/>
        <w:left w:val="none" w:sz="0" w:space="0" w:color="auto"/>
        <w:bottom w:val="none" w:sz="0" w:space="0" w:color="auto"/>
        <w:right w:val="none" w:sz="0" w:space="0" w:color="auto"/>
      </w:divBdr>
    </w:div>
    <w:div w:id="236137275">
      <w:bodyDiv w:val="1"/>
      <w:marLeft w:val="0"/>
      <w:marRight w:val="0"/>
      <w:marTop w:val="0"/>
      <w:marBottom w:val="0"/>
      <w:divBdr>
        <w:top w:val="none" w:sz="0" w:space="0" w:color="auto"/>
        <w:left w:val="none" w:sz="0" w:space="0" w:color="auto"/>
        <w:bottom w:val="none" w:sz="0" w:space="0" w:color="auto"/>
        <w:right w:val="none" w:sz="0" w:space="0" w:color="auto"/>
      </w:divBdr>
    </w:div>
    <w:div w:id="238056143">
      <w:bodyDiv w:val="1"/>
      <w:marLeft w:val="0"/>
      <w:marRight w:val="0"/>
      <w:marTop w:val="0"/>
      <w:marBottom w:val="0"/>
      <w:divBdr>
        <w:top w:val="none" w:sz="0" w:space="0" w:color="auto"/>
        <w:left w:val="none" w:sz="0" w:space="0" w:color="auto"/>
        <w:bottom w:val="none" w:sz="0" w:space="0" w:color="auto"/>
        <w:right w:val="none" w:sz="0" w:space="0" w:color="auto"/>
      </w:divBdr>
      <w:divsChild>
        <w:div w:id="2115008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885283">
      <w:bodyDiv w:val="1"/>
      <w:marLeft w:val="0"/>
      <w:marRight w:val="0"/>
      <w:marTop w:val="0"/>
      <w:marBottom w:val="0"/>
      <w:divBdr>
        <w:top w:val="none" w:sz="0" w:space="0" w:color="auto"/>
        <w:left w:val="none" w:sz="0" w:space="0" w:color="auto"/>
        <w:bottom w:val="none" w:sz="0" w:space="0" w:color="auto"/>
        <w:right w:val="none" w:sz="0" w:space="0" w:color="auto"/>
      </w:divBdr>
    </w:div>
    <w:div w:id="307054737">
      <w:bodyDiv w:val="1"/>
      <w:marLeft w:val="0"/>
      <w:marRight w:val="0"/>
      <w:marTop w:val="0"/>
      <w:marBottom w:val="0"/>
      <w:divBdr>
        <w:top w:val="none" w:sz="0" w:space="0" w:color="auto"/>
        <w:left w:val="none" w:sz="0" w:space="0" w:color="auto"/>
        <w:bottom w:val="none" w:sz="0" w:space="0" w:color="auto"/>
        <w:right w:val="none" w:sz="0" w:space="0" w:color="auto"/>
      </w:divBdr>
      <w:divsChild>
        <w:div w:id="1964261478">
          <w:marLeft w:val="0"/>
          <w:marRight w:val="0"/>
          <w:marTop w:val="0"/>
          <w:marBottom w:val="0"/>
          <w:divBdr>
            <w:top w:val="none" w:sz="0" w:space="0" w:color="auto"/>
            <w:left w:val="none" w:sz="0" w:space="0" w:color="auto"/>
            <w:bottom w:val="none" w:sz="0" w:space="0" w:color="auto"/>
            <w:right w:val="none" w:sz="0" w:space="0" w:color="auto"/>
          </w:divBdr>
          <w:divsChild>
            <w:div w:id="1928877866">
              <w:marLeft w:val="0"/>
              <w:marRight w:val="0"/>
              <w:marTop w:val="0"/>
              <w:marBottom w:val="0"/>
              <w:divBdr>
                <w:top w:val="none" w:sz="0" w:space="0" w:color="auto"/>
                <w:left w:val="none" w:sz="0" w:space="0" w:color="auto"/>
                <w:bottom w:val="none" w:sz="0" w:space="0" w:color="auto"/>
                <w:right w:val="none" w:sz="0" w:space="0" w:color="auto"/>
              </w:divBdr>
              <w:divsChild>
                <w:div w:id="1797412893">
                  <w:marLeft w:val="0"/>
                  <w:marRight w:val="0"/>
                  <w:marTop w:val="0"/>
                  <w:marBottom w:val="0"/>
                  <w:divBdr>
                    <w:top w:val="none" w:sz="0" w:space="0" w:color="auto"/>
                    <w:left w:val="none" w:sz="0" w:space="0" w:color="auto"/>
                    <w:bottom w:val="none" w:sz="0" w:space="0" w:color="auto"/>
                    <w:right w:val="none" w:sz="0" w:space="0" w:color="auto"/>
                  </w:divBdr>
                  <w:divsChild>
                    <w:div w:id="7100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544145">
      <w:bodyDiv w:val="1"/>
      <w:marLeft w:val="0"/>
      <w:marRight w:val="0"/>
      <w:marTop w:val="0"/>
      <w:marBottom w:val="0"/>
      <w:divBdr>
        <w:top w:val="none" w:sz="0" w:space="0" w:color="auto"/>
        <w:left w:val="none" w:sz="0" w:space="0" w:color="auto"/>
        <w:bottom w:val="none" w:sz="0" w:space="0" w:color="auto"/>
        <w:right w:val="none" w:sz="0" w:space="0" w:color="auto"/>
      </w:divBdr>
    </w:div>
    <w:div w:id="322974443">
      <w:bodyDiv w:val="1"/>
      <w:marLeft w:val="0"/>
      <w:marRight w:val="0"/>
      <w:marTop w:val="0"/>
      <w:marBottom w:val="0"/>
      <w:divBdr>
        <w:top w:val="none" w:sz="0" w:space="0" w:color="auto"/>
        <w:left w:val="none" w:sz="0" w:space="0" w:color="auto"/>
        <w:bottom w:val="none" w:sz="0" w:space="0" w:color="auto"/>
        <w:right w:val="none" w:sz="0" w:space="0" w:color="auto"/>
      </w:divBdr>
      <w:divsChild>
        <w:div w:id="892548440">
          <w:marLeft w:val="0"/>
          <w:marRight w:val="0"/>
          <w:marTop w:val="0"/>
          <w:marBottom w:val="0"/>
          <w:divBdr>
            <w:top w:val="none" w:sz="0" w:space="0" w:color="auto"/>
            <w:left w:val="none" w:sz="0" w:space="0" w:color="auto"/>
            <w:bottom w:val="none" w:sz="0" w:space="0" w:color="auto"/>
            <w:right w:val="none" w:sz="0" w:space="0" w:color="auto"/>
          </w:divBdr>
          <w:divsChild>
            <w:div w:id="1853760382">
              <w:marLeft w:val="0"/>
              <w:marRight w:val="0"/>
              <w:marTop w:val="0"/>
              <w:marBottom w:val="0"/>
              <w:divBdr>
                <w:top w:val="none" w:sz="0" w:space="0" w:color="auto"/>
                <w:left w:val="none" w:sz="0" w:space="0" w:color="auto"/>
                <w:bottom w:val="none" w:sz="0" w:space="0" w:color="auto"/>
                <w:right w:val="none" w:sz="0" w:space="0" w:color="auto"/>
              </w:divBdr>
              <w:divsChild>
                <w:div w:id="1654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87841">
      <w:bodyDiv w:val="1"/>
      <w:marLeft w:val="0"/>
      <w:marRight w:val="0"/>
      <w:marTop w:val="0"/>
      <w:marBottom w:val="0"/>
      <w:divBdr>
        <w:top w:val="none" w:sz="0" w:space="0" w:color="auto"/>
        <w:left w:val="none" w:sz="0" w:space="0" w:color="auto"/>
        <w:bottom w:val="none" w:sz="0" w:space="0" w:color="auto"/>
        <w:right w:val="none" w:sz="0" w:space="0" w:color="auto"/>
      </w:divBdr>
      <w:divsChild>
        <w:div w:id="1664551734">
          <w:marLeft w:val="0"/>
          <w:marRight w:val="0"/>
          <w:marTop w:val="0"/>
          <w:marBottom w:val="0"/>
          <w:divBdr>
            <w:top w:val="none" w:sz="0" w:space="0" w:color="auto"/>
            <w:left w:val="none" w:sz="0" w:space="0" w:color="auto"/>
            <w:bottom w:val="none" w:sz="0" w:space="0" w:color="auto"/>
            <w:right w:val="none" w:sz="0" w:space="0" w:color="auto"/>
          </w:divBdr>
          <w:divsChild>
            <w:div w:id="818376281">
              <w:marLeft w:val="0"/>
              <w:marRight w:val="0"/>
              <w:marTop w:val="0"/>
              <w:marBottom w:val="0"/>
              <w:divBdr>
                <w:top w:val="none" w:sz="0" w:space="0" w:color="auto"/>
                <w:left w:val="none" w:sz="0" w:space="0" w:color="auto"/>
                <w:bottom w:val="none" w:sz="0" w:space="0" w:color="auto"/>
                <w:right w:val="none" w:sz="0" w:space="0" w:color="auto"/>
              </w:divBdr>
              <w:divsChild>
                <w:div w:id="1419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4967">
      <w:bodyDiv w:val="1"/>
      <w:marLeft w:val="0"/>
      <w:marRight w:val="0"/>
      <w:marTop w:val="0"/>
      <w:marBottom w:val="0"/>
      <w:divBdr>
        <w:top w:val="none" w:sz="0" w:space="0" w:color="auto"/>
        <w:left w:val="none" w:sz="0" w:space="0" w:color="auto"/>
        <w:bottom w:val="none" w:sz="0" w:space="0" w:color="auto"/>
        <w:right w:val="none" w:sz="0" w:space="0" w:color="auto"/>
      </w:divBdr>
    </w:div>
    <w:div w:id="397477830">
      <w:bodyDiv w:val="1"/>
      <w:marLeft w:val="0"/>
      <w:marRight w:val="0"/>
      <w:marTop w:val="0"/>
      <w:marBottom w:val="0"/>
      <w:divBdr>
        <w:top w:val="none" w:sz="0" w:space="0" w:color="auto"/>
        <w:left w:val="none" w:sz="0" w:space="0" w:color="auto"/>
        <w:bottom w:val="none" w:sz="0" w:space="0" w:color="auto"/>
        <w:right w:val="none" w:sz="0" w:space="0" w:color="auto"/>
      </w:divBdr>
      <w:divsChild>
        <w:div w:id="166770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513267">
      <w:bodyDiv w:val="1"/>
      <w:marLeft w:val="0"/>
      <w:marRight w:val="0"/>
      <w:marTop w:val="0"/>
      <w:marBottom w:val="0"/>
      <w:divBdr>
        <w:top w:val="none" w:sz="0" w:space="0" w:color="auto"/>
        <w:left w:val="none" w:sz="0" w:space="0" w:color="auto"/>
        <w:bottom w:val="none" w:sz="0" w:space="0" w:color="auto"/>
        <w:right w:val="none" w:sz="0" w:space="0" w:color="auto"/>
      </w:divBdr>
    </w:div>
    <w:div w:id="479343647">
      <w:bodyDiv w:val="1"/>
      <w:marLeft w:val="0"/>
      <w:marRight w:val="0"/>
      <w:marTop w:val="0"/>
      <w:marBottom w:val="0"/>
      <w:divBdr>
        <w:top w:val="none" w:sz="0" w:space="0" w:color="auto"/>
        <w:left w:val="none" w:sz="0" w:space="0" w:color="auto"/>
        <w:bottom w:val="none" w:sz="0" w:space="0" w:color="auto"/>
        <w:right w:val="none" w:sz="0" w:space="0" w:color="auto"/>
      </w:divBdr>
    </w:div>
    <w:div w:id="480117477">
      <w:bodyDiv w:val="1"/>
      <w:marLeft w:val="0"/>
      <w:marRight w:val="0"/>
      <w:marTop w:val="0"/>
      <w:marBottom w:val="0"/>
      <w:divBdr>
        <w:top w:val="none" w:sz="0" w:space="0" w:color="auto"/>
        <w:left w:val="none" w:sz="0" w:space="0" w:color="auto"/>
        <w:bottom w:val="none" w:sz="0" w:space="0" w:color="auto"/>
        <w:right w:val="none" w:sz="0" w:space="0" w:color="auto"/>
      </w:divBdr>
      <w:divsChild>
        <w:div w:id="665522364">
          <w:marLeft w:val="0"/>
          <w:marRight w:val="0"/>
          <w:marTop w:val="0"/>
          <w:marBottom w:val="0"/>
          <w:divBdr>
            <w:top w:val="none" w:sz="0" w:space="0" w:color="auto"/>
            <w:left w:val="none" w:sz="0" w:space="0" w:color="auto"/>
            <w:bottom w:val="none" w:sz="0" w:space="0" w:color="auto"/>
            <w:right w:val="none" w:sz="0" w:space="0" w:color="auto"/>
          </w:divBdr>
        </w:div>
        <w:div w:id="261571260">
          <w:marLeft w:val="0"/>
          <w:marRight w:val="0"/>
          <w:marTop w:val="0"/>
          <w:marBottom w:val="0"/>
          <w:divBdr>
            <w:top w:val="none" w:sz="0" w:space="0" w:color="auto"/>
            <w:left w:val="none" w:sz="0" w:space="0" w:color="auto"/>
            <w:bottom w:val="none" w:sz="0" w:space="0" w:color="auto"/>
            <w:right w:val="none" w:sz="0" w:space="0" w:color="auto"/>
          </w:divBdr>
        </w:div>
        <w:div w:id="1207330417">
          <w:marLeft w:val="0"/>
          <w:marRight w:val="0"/>
          <w:marTop w:val="0"/>
          <w:marBottom w:val="0"/>
          <w:divBdr>
            <w:top w:val="none" w:sz="0" w:space="0" w:color="auto"/>
            <w:left w:val="none" w:sz="0" w:space="0" w:color="auto"/>
            <w:bottom w:val="none" w:sz="0" w:space="0" w:color="auto"/>
            <w:right w:val="none" w:sz="0" w:space="0" w:color="auto"/>
          </w:divBdr>
        </w:div>
        <w:div w:id="598752812">
          <w:marLeft w:val="0"/>
          <w:marRight w:val="0"/>
          <w:marTop w:val="0"/>
          <w:marBottom w:val="0"/>
          <w:divBdr>
            <w:top w:val="none" w:sz="0" w:space="0" w:color="auto"/>
            <w:left w:val="none" w:sz="0" w:space="0" w:color="auto"/>
            <w:bottom w:val="none" w:sz="0" w:space="0" w:color="auto"/>
            <w:right w:val="none" w:sz="0" w:space="0" w:color="auto"/>
          </w:divBdr>
        </w:div>
        <w:div w:id="884560447">
          <w:marLeft w:val="0"/>
          <w:marRight w:val="0"/>
          <w:marTop w:val="0"/>
          <w:marBottom w:val="0"/>
          <w:divBdr>
            <w:top w:val="none" w:sz="0" w:space="0" w:color="auto"/>
            <w:left w:val="none" w:sz="0" w:space="0" w:color="auto"/>
            <w:bottom w:val="none" w:sz="0" w:space="0" w:color="auto"/>
            <w:right w:val="none" w:sz="0" w:space="0" w:color="auto"/>
          </w:divBdr>
        </w:div>
        <w:div w:id="1324311468">
          <w:marLeft w:val="0"/>
          <w:marRight w:val="0"/>
          <w:marTop w:val="0"/>
          <w:marBottom w:val="0"/>
          <w:divBdr>
            <w:top w:val="none" w:sz="0" w:space="0" w:color="auto"/>
            <w:left w:val="none" w:sz="0" w:space="0" w:color="auto"/>
            <w:bottom w:val="none" w:sz="0" w:space="0" w:color="auto"/>
            <w:right w:val="none" w:sz="0" w:space="0" w:color="auto"/>
          </w:divBdr>
        </w:div>
        <w:div w:id="1760057796">
          <w:marLeft w:val="0"/>
          <w:marRight w:val="0"/>
          <w:marTop w:val="0"/>
          <w:marBottom w:val="0"/>
          <w:divBdr>
            <w:top w:val="none" w:sz="0" w:space="0" w:color="auto"/>
            <w:left w:val="none" w:sz="0" w:space="0" w:color="auto"/>
            <w:bottom w:val="none" w:sz="0" w:space="0" w:color="auto"/>
            <w:right w:val="none" w:sz="0" w:space="0" w:color="auto"/>
          </w:divBdr>
        </w:div>
        <w:div w:id="1376268638">
          <w:marLeft w:val="0"/>
          <w:marRight w:val="0"/>
          <w:marTop w:val="0"/>
          <w:marBottom w:val="0"/>
          <w:divBdr>
            <w:top w:val="none" w:sz="0" w:space="0" w:color="auto"/>
            <w:left w:val="none" w:sz="0" w:space="0" w:color="auto"/>
            <w:bottom w:val="none" w:sz="0" w:space="0" w:color="auto"/>
            <w:right w:val="none" w:sz="0" w:space="0" w:color="auto"/>
          </w:divBdr>
        </w:div>
        <w:div w:id="1738820265">
          <w:marLeft w:val="0"/>
          <w:marRight w:val="0"/>
          <w:marTop w:val="0"/>
          <w:marBottom w:val="0"/>
          <w:divBdr>
            <w:top w:val="none" w:sz="0" w:space="0" w:color="auto"/>
            <w:left w:val="none" w:sz="0" w:space="0" w:color="auto"/>
            <w:bottom w:val="none" w:sz="0" w:space="0" w:color="auto"/>
            <w:right w:val="none" w:sz="0" w:space="0" w:color="auto"/>
          </w:divBdr>
        </w:div>
        <w:div w:id="1288391776">
          <w:marLeft w:val="0"/>
          <w:marRight w:val="0"/>
          <w:marTop w:val="0"/>
          <w:marBottom w:val="0"/>
          <w:divBdr>
            <w:top w:val="none" w:sz="0" w:space="0" w:color="auto"/>
            <w:left w:val="none" w:sz="0" w:space="0" w:color="auto"/>
            <w:bottom w:val="none" w:sz="0" w:space="0" w:color="auto"/>
            <w:right w:val="none" w:sz="0" w:space="0" w:color="auto"/>
          </w:divBdr>
        </w:div>
        <w:div w:id="546183301">
          <w:marLeft w:val="0"/>
          <w:marRight w:val="0"/>
          <w:marTop w:val="0"/>
          <w:marBottom w:val="0"/>
          <w:divBdr>
            <w:top w:val="none" w:sz="0" w:space="0" w:color="auto"/>
            <w:left w:val="none" w:sz="0" w:space="0" w:color="auto"/>
            <w:bottom w:val="none" w:sz="0" w:space="0" w:color="auto"/>
            <w:right w:val="none" w:sz="0" w:space="0" w:color="auto"/>
          </w:divBdr>
        </w:div>
        <w:div w:id="1089738267">
          <w:marLeft w:val="0"/>
          <w:marRight w:val="0"/>
          <w:marTop w:val="0"/>
          <w:marBottom w:val="0"/>
          <w:divBdr>
            <w:top w:val="none" w:sz="0" w:space="0" w:color="auto"/>
            <w:left w:val="none" w:sz="0" w:space="0" w:color="auto"/>
            <w:bottom w:val="none" w:sz="0" w:space="0" w:color="auto"/>
            <w:right w:val="none" w:sz="0" w:space="0" w:color="auto"/>
          </w:divBdr>
        </w:div>
      </w:divsChild>
    </w:div>
    <w:div w:id="517695305">
      <w:bodyDiv w:val="1"/>
      <w:marLeft w:val="0"/>
      <w:marRight w:val="0"/>
      <w:marTop w:val="0"/>
      <w:marBottom w:val="0"/>
      <w:divBdr>
        <w:top w:val="none" w:sz="0" w:space="0" w:color="auto"/>
        <w:left w:val="none" w:sz="0" w:space="0" w:color="auto"/>
        <w:bottom w:val="none" w:sz="0" w:space="0" w:color="auto"/>
        <w:right w:val="none" w:sz="0" w:space="0" w:color="auto"/>
      </w:divBdr>
    </w:div>
    <w:div w:id="524249627">
      <w:bodyDiv w:val="1"/>
      <w:marLeft w:val="0"/>
      <w:marRight w:val="0"/>
      <w:marTop w:val="0"/>
      <w:marBottom w:val="0"/>
      <w:divBdr>
        <w:top w:val="none" w:sz="0" w:space="0" w:color="auto"/>
        <w:left w:val="none" w:sz="0" w:space="0" w:color="auto"/>
        <w:bottom w:val="none" w:sz="0" w:space="0" w:color="auto"/>
        <w:right w:val="none" w:sz="0" w:space="0" w:color="auto"/>
      </w:divBdr>
      <w:divsChild>
        <w:div w:id="212816152">
          <w:marLeft w:val="0"/>
          <w:marRight w:val="0"/>
          <w:marTop w:val="0"/>
          <w:marBottom w:val="0"/>
          <w:divBdr>
            <w:top w:val="none" w:sz="0" w:space="0" w:color="auto"/>
            <w:left w:val="none" w:sz="0" w:space="0" w:color="auto"/>
            <w:bottom w:val="none" w:sz="0" w:space="0" w:color="auto"/>
            <w:right w:val="none" w:sz="0" w:space="0" w:color="auto"/>
          </w:divBdr>
          <w:divsChild>
            <w:div w:id="1336035503">
              <w:marLeft w:val="0"/>
              <w:marRight w:val="0"/>
              <w:marTop w:val="0"/>
              <w:marBottom w:val="0"/>
              <w:divBdr>
                <w:top w:val="none" w:sz="0" w:space="0" w:color="auto"/>
                <w:left w:val="none" w:sz="0" w:space="0" w:color="auto"/>
                <w:bottom w:val="none" w:sz="0" w:space="0" w:color="auto"/>
                <w:right w:val="none" w:sz="0" w:space="0" w:color="auto"/>
              </w:divBdr>
              <w:divsChild>
                <w:div w:id="1024209769">
                  <w:marLeft w:val="0"/>
                  <w:marRight w:val="0"/>
                  <w:marTop w:val="0"/>
                  <w:marBottom w:val="0"/>
                  <w:divBdr>
                    <w:top w:val="none" w:sz="0" w:space="0" w:color="auto"/>
                    <w:left w:val="none" w:sz="0" w:space="0" w:color="auto"/>
                    <w:bottom w:val="none" w:sz="0" w:space="0" w:color="auto"/>
                    <w:right w:val="none" w:sz="0" w:space="0" w:color="auto"/>
                  </w:divBdr>
                  <w:divsChild>
                    <w:div w:id="1639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613348">
      <w:bodyDiv w:val="1"/>
      <w:marLeft w:val="0"/>
      <w:marRight w:val="0"/>
      <w:marTop w:val="0"/>
      <w:marBottom w:val="0"/>
      <w:divBdr>
        <w:top w:val="none" w:sz="0" w:space="0" w:color="auto"/>
        <w:left w:val="none" w:sz="0" w:space="0" w:color="auto"/>
        <w:bottom w:val="none" w:sz="0" w:space="0" w:color="auto"/>
        <w:right w:val="none" w:sz="0" w:space="0" w:color="auto"/>
      </w:divBdr>
      <w:divsChild>
        <w:div w:id="668367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11422">
      <w:bodyDiv w:val="1"/>
      <w:marLeft w:val="0"/>
      <w:marRight w:val="0"/>
      <w:marTop w:val="0"/>
      <w:marBottom w:val="0"/>
      <w:divBdr>
        <w:top w:val="none" w:sz="0" w:space="0" w:color="auto"/>
        <w:left w:val="none" w:sz="0" w:space="0" w:color="auto"/>
        <w:bottom w:val="none" w:sz="0" w:space="0" w:color="auto"/>
        <w:right w:val="none" w:sz="0" w:space="0" w:color="auto"/>
      </w:divBdr>
    </w:div>
    <w:div w:id="599534078">
      <w:bodyDiv w:val="1"/>
      <w:marLeft w:val="0"/>
      <w:marRight w:val="0"/>
      <w:marTop w:val="0"/>
      <w:marBottom w:val="0"/>
      <w:divBdr>
        <w:top w:val="none" w:sz="0" w:space="0" w:color="auto"/>
        <w:left w:val="none" w:sz="0" w:space="0" w:color="auto"/>
        <w:bottom w:val="none" w:sz="0" w:space="0" w:color="auto"/>
        <w:right w:val="none" w:sz="0" w:space="0" w:color="auto"/>
      </w:divBdr>
      <w:divsChild>
        <w:div w:id="282003818">
          <w:marLeft w:val="0"/>
          <w:marRight w:val="0"/>
          <w:marTop w:val="0"/>
          <w:marBottom w:val="0"/>
          <w:divBdr>
            <w:top w:val="none" w:sz="0" w:space="0" w:color="auto"/>
            <w:left w:val="none" w:sz="0" w:space="0" w:color="auto"/>
            <w:bottom w:val="none" w:sz="0" w:space="0" w:color="auto"/>
            <w:right w:val="none" w:sz="0" w:space="0" w:color="auto"/>
          </w:divBdr>
          <w:divsChild>
            <w:div w:id="578369106">
              <w:marLeft w:val="0"/>
              <w:marRight w:val="0"/>
              <w:marTop w:val="0"/>
              <w:marBottom w:val="0"/>
              <w:divBdr>
                <w:top w:val="none" w:sz="0" w:space="0" w:color="auto"/>
                <w:left w:val="none" w:sz="0" w:space="0" w:color="auto"/>
                <w:bottom w:val="none" w:sz="0" w:space="0" w:color="auto"/>
                <w:right w:val="none" w:sz="0" w:space="0" w:color="auto"/>
              </w:divBdr>
              <w:divsChild>
                <w:div w:id="16058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9542">
      <w:bodyDiv w:val="1"/>
      <w:marLeft w:val="0"/>
      <w:marRight w:val="0"/>
      <w:marTop w:val="0"/>
      <w:marBottom w:val="0"/>
      <w:divBdr>
        <w:top w:val="none" w:sz="0" w:space="0" w:color="auto"/>
        <w:left w:val="none" w:sz="0" w:space="0" w:color="auto"/>
        <w:bottom w:val="none" w:sz="0" w:space="0" w:color="auto"/>
        <w:right w:val="none" w:sz="0" w:space="0" w:color="auto"/>
      </w:divBdr>
    </w:div>
    <w:div w:id="644622998">
      <w:bodyDiv w:val="1"/>
      <w:marLeft w:val="0"/>
      <w:marRight w:val="0"/>
      <w:marTop w:val="0"/>
      <w:marBottom w:val="0"/>
      <w:divBdr>
        <w:top w:val="none" w:sz="0" w:space="0" w:color="auto"/>
        <w:left w:val="none" w:sz="0" w:space="0" w:color="auto"/>
        <w:bottom w:val="none" w:sz="0" w:space="0" w:color="auto"/>
        <w:right w:val="none" w:sz="0" w:space="0" w:color="auto"/>
      </w:divBdr>
      <w:divsChild>
        <w:div w:id="128788587">
          <w:marLeft w:val="0"/>
          <w:marRight w:val="0"/>
          <w:marTop w:val="0"/>
          <w:marBottom w:val="0"/>
          <w:divBdr>
            <w:top w:val="none" w:sz="0" w:space="0" w:color="auto"/>
            <w:left w:val="none" w:sz="0" w:space="0" w:color="auto"/>
            <w:bottom w:val="none" w:sz="0" w:space="0" w:color="auto"/>
            <w:right w:val="none" w:sz="0" w:space="0" w:color="auto"/>
          </w:divBdr>
          <w:divsChild>
            <w:div w:id="3292811">
              <w:marLeft w:val="0"/>
              <w:marRight w:val="0"/>
              <w:marTop w:val="0"/>
              <w:marBottom w:val="0"/>
              <w:divBdr>
                <w:top w:val="none" w:sz="0" w:space="0" w:color="auto"/>
                <w:left w:val="none" w:sz="0" w:space="0" w:color="auto"/>
                <w:bottom w:val="none" w:sz="0" w:space="0" w:color="auto"/>
                <w:right w:val="none" w:sz="0" w:space="0" w:color="auto"/>
              </w:divBdr>
              <w:divsChild>
                <w:div w:id="1193957235">
                  <w:marLeft w:val="0"/>
                  <w:marRight w:val="0"/>
                  <w:marTop w:val="0"/>
                  <w:marBottom w:val="0"/>
                  <w:divBdr>
                    <w:top w:val="none" w:sz="0" w:space="0" w:color="auto"/>
                    <w:left w:val="none" w:sz="0" w:space="0" w:color="auto"/>
                    <w:bottom w:val="none" w:sz="0" w:space="0" w:color="auto"/>
                    <w:right w:val="none" w:sz="0" w:space="0" w:color="auto"/>
                  </w:divBdr>
                  <w:divsChild>
                    <w:div w:id="21238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3272">
      <w:bodyDiv w:val="1"/>
      <w:marLeft w:val="0"/>
      <w:marRight w:val="0"/>
      <w:marTop w:val="0"/>
      <w:marBottom w:val="0"/>
      <w:divBdr>
        <w:top w:val="none" w:sz="0" w:space="0" w:color="auto"/>
        <w:left w:val="none" w:sz="0" w:space="0" w:color="auto"/>
        <w:bottom w:val="none" w:sz="0" w:space="0" w:color="auto"/>
        <w:right w:val="none" w:sz="0" w:space="0" w:color="auto"/>
      </w:divBdr>
    </w:div>
    <w:div w:id="671883390">
      <w:bodyDiv w:val="1"/>
      <w:marLeft w:val="0"/>
      <w:marRight w:val="0"/>
      <w:marTop w:val="0"/>
      <w:marBottom w:val="0"/>
      <w:divBdr>
        <w:top w:val="none" w:sz="0" w:space="0" w:color="auto"/>
        <w:left w:val="none" w:sz="0" w:space="0" w:color="auto"/>
        <w:bottom w:val="none" w:sz="0" w:space="0" w:color="auto"/>
        <w:right w:val="none" w:sz="0" w:space="0" w:color="auto"/>
      </w:divBdr>
      <w:divsChild>
        <w:div w:id="1497262792">
          <w:marLeft w:val="0"/>
          <w:marRight w:val="0"/>
          <w:marTop w:val="0"/>
          <w:marBottom w:val="0"/>
          <w:divBdr>
            <w:top w:val="none" w:sz="0" w:space="0" w:color="auto"/>
            <w:left w:val="none" w:sz="0" w:space="0" w:color="auto"/>
            <w:bottom w:val="none" w:sz="0" w:space="0" w:color="auto"/>
            <w:right w:val="none" w:sz="0" w:space="0" w:color="auto"/>
          </w:divBdr>
          <w:divsChild>
            <w:div w:id="1181777437">
              <w:marLeft w:val="0"/>
              <w:marRight w:val="0"/>
              <w:marTop w:val="0"/>
              <w:marBottom w:val="0"/>
              <w:divBdr>
                <w:top w:val="none" w:sz="0" w:space="0" w:color="auto"/>
                <w:left w:val="none" w:sz="0" w:space="0" w:color="auto"/>
                <w:bottom w:val="none" w:sz="0" w:space="0" w:color="auto"/>
                <w:right w:val="none" w:sz="0" w:space="0" w:color="auto"/>
              </w:divBdr>
              <w:divsChild>
                <w:div w:id="91436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89494">
      <w:bodyDiv w:val="1"/>
      <w:marLeft w:val="0"/>
      <w:marRight w:val="0"/>
      <w:marTop w:val="0"/>
      <w:marBottom w:val="0"/>
      <w:divBdr>
        <w:top w:val="none" w:sz="0" w:space="0" w:color="auto"/>
        <w:left w:val="none" w:sz="0" w:space="0" w:color="auto"/>
        <w:bottom w:val="none" w:sz="0" w:space="0" w:color="auto"/>
        <w:right w:val="none" w:sz="0" w:space="0" w:color="auto"/>
      </w:divBdr>
    </w:div>
    <w:div w:id="798032805">
      <w:bodyDiv w:val="1"/>
      <w:marLeft w:val="0"/>
      <w:marRight w:val="0"/>
      <w:marTop w:val="0"/>
      <w:marBottom w:val="0"/>
      <w:divBdr>
        <w:top w:val="none" w:sz="0" w:space="0" w:color="auto"/>
        <w:left w:val="none" w:sz="0" w:space="0" w:color="auto"/>
        <w:bottom w:val="none" w:sz="0" w:space="0" w:color="auto"/>
        <w:right w:val="none" w:sz="0" w:space="0" w:color="auto"/>
      </w:divBdr>
    </w:div>
    <w:div w:id="818689274">
      <w:bodyDiv w:val="1"/>
      <w:marLeft w:val="0"/>
      <w:marRight w:val="0"/>
      <w:marTop w:val="0"/>
      <w:marBottom w:val="0"/>
      <w:divBdr>
        <w:top w:val="none" w:sz="0" w:space="0" w:color="auto"/>
        <w:left w:val="none" w:sz="0" w:space="0" w:color="auto"/>
        <w:bottom w:val="none" w:sz="0" w:space="0" w:color="auto"/>
        <w:right w:val="none" w:sz="0" w:space="0" w:color="auto"/>
      </w:divBdr>
      <w:divsChild>
        <w:div w:id="19360704">
          <w:marLeft w:val="0"/>
          <w:marRight w:val="0"/>
          <w:marTop w:val="0"/>
          <w:marBottom w:val="0"/>
          <w:divBdr>
            <w:top w:val="none" w:sz="0" w:space="0" w:color="auto"/>
            <w:left w:val="none" w:sz="0" w:space="0" w:color="auto"/>
            <w:bottom w:val="none" w:sz="0" w:space="0" w:color="auto"/>
            <w:right w:val="none" w:sz="0" w:space="0" w:color="auto"/>
          </w:divBdr>
        </w:div>
        <w:div w:id="1467351309">
          <w:marLeft w:val="0"/>
          <w:marRight w:val="0"/>
          <w:marTop w:val="0"/>
          <w:marBottom w:val="0"/>
          <w:divBdr>
            <w:top w:val="none" w:sz="0" w:space="0" w:color="auto"/>
            <w:left w:val="none" w:sz="0" w:space="0" w:color="auto"/>
            <w:bottom w:val="none" w:sz="0" w:space="0" w:color="auto"/>
            <w:right w:val="none" w:sz="0" w:space="0" w:color="auto"/>
          </w:divBdr>
        </w:div>
        <w:div w:id="1574851057">
          <w:marLeft w:val="0"/>
          <w:marRight w:val="0"/>
          <w:marTop w:val="0"/>
          <w:marBottom w:val="0"/>
          <w:divBdr>
            <w:top w:val="none" w:sz="0" w:space="0" w:color="auto"/>
            <w:left w:val="none" w:sz="0" w:space="0" w:color="auto"/>
            <w:bottom w:val="none" w:sz="0" w:space="0" w:color="auto"/>
            <w:right w:val="none" w:sz="0" w:space="0" w:color="auto"/>
          </w:divBdr>
        </w:div>
        <w:div w:id="998191957">
          <w:marLeft w:val="0"/>
          <w:marRight w:val="0"/>
          <w:marTop w:val="0"/>
          <w:marBottom w:val="0"/>
          <w:divBdr>
            <w:top w:val="none" w:sz="0" w:space="0" w:color="auto"/>
            <w:left w:val="none" w:sz="0" w:space="0" w:color="auto"/>
            <w:bottom w:val="none" w:sz="0" w:space="0" w:color="auto"/>
            <w:right w:val="none" w:sz="0" w:space="0" w:color="auto"/>
          </w:divBdr>
        </w:div>
        <w:div w:id="1378897837">
          <w:marLeft w:val="0"/>
          <w:marRight w:val="0"/>
          <w:marTop w:val="0"/>
          <w:marBottom w:val="0"/>
          <w:divBdr>
            <w:top w:val="none" w:sz="0" w:space="0" w:color="auto"/>
            <w:left w:val="none" w:sz="0" w:space="0" w:color="auto"/>
            <w:bottom w:val="none" w:sz="0" w:space="0" w:color="auto"/>
            <w:right w:val="none" w:sz="0" w:space="0" w:color="auto"/>
          </w:divBdr>
        </w:div>
      </w:divsChild>
    </w:div>
    <w:div w:id="822236197">
      <w:bodyDiv w:val="1"/>
      <w:marLeft w:val="0"/>
      <w:marRight w:val="0"/>
      <w:marTop w:val="0"/>
      <w:marBottom w:val="0"/>
      <w:divBdr>
        <w:top w:val="none" w:sz="0" w:space="0" w:color="auto"/>
        <w:left w:val="none" w:sz="0" w:space="0" w:color="auto"/>
        <w:bottom w:val="none" w:sz="0" w:space="0" w:color="auto"/>
        <w:right w:val="none" w:sz="0" w:space="0" w:color="auto"/>
      </w:divBdr>
      <w:divsChild>
        <w:div w:id="726034320">
          <w:marLeft w:val="0"/>
          <w:marRight w:val="0"/>
          <w:marTop w:val="0"/>
          <w:marBottom w:val="0"/>
          <w:divBdr>
            <w:top w:val="none" w:sz="0" w:space="0" w:color="auto"/>
            <w:left w:val="none" w:sz="0" w:space="0" w:color="auto"/>
            <w:bottom w:val="none" w:sz="0" w:space="0" w:color="auto"/>
            <w:right w:val="none" w:sz="0" w:space="0" w:color="auto"/>
          </w:divBdr>
          <w:divsChild>
            <w:div w:id="624235956">
              <w:marLeft w:val="0"/>
              <w:marRight w:val="0"/>
              <w:marTop w:val="0"/>
              <w:marBottom w:val="0"/>
              <w:divBdr>
                <w:top w:val="none" w:sz="0" w:space="0" w:color="auto"/>
                <w:left w:val="none" w:sz="0" w:space="0" w:color="auto"/>
                <w:bottom w:val="none" w:sz="0" w:space="0" w:color="auto"/>
                <w:right w:val="none" w:sz="0" w:space="0" w:color="auto"/>
              </w:divBdr>
              <w:divsChild>
                <w:div w:id="12915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5746">
      <w:bodyDiv w:val="1"/>
      <w:marLeft w:val="0"/>
      <w:marRight w:val="0"/>
      <w:marTop w:val="0"/>
      <w:marBottom w:val="0"/>
      <w:divBdr>
        <w:top w:val="none" w:sz="0" w:space="0" w:color="auto"/>
        <w:left w:val="none" w:sz="0" w:space="0" w:color="auto"/>
        <w:bottom w:val="none" w:sz="0" w:space="0" w:color="auto"/>
        <w:right w:val="none" w:sz="0" w:space="0" w:color="auto"/>
      </w:divBdr>
      <w:divsChild>
        <w:div w:id="833225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753033">
      <w:bodyDiv w:val="1"/>
      <w:marLeft w:val="0"/>
      <w:marRight w:val="0"/>
      <w:marTop w:val="0"/>
      <w:marBottom w:val="0"/>
      <w:divBdr>
        <w:top w:val="none" w:sz="0" w:space="0" w:color="auto"/>
        <w:left w:val="none" w:sz="0" w:space="0" w:color="auto"/>
        <w:bottom w:val="none" w:sz="0" w:space="0" w:color="auto"/>
        <w:right w:val="none" w:sz="0" w:space="0" w:color="auto"/>
      </w:divBdr>
      <w:divsChild>
        <w:div w:id="389615688">
          <w:marLeft w:val="0"/>
          <w:marRight w:val="0"/>
          <w:marTop w:val="0"/>
          <w:marBottom w:val="0"/>
          <w:divBdr>
            <w:top w:val="none" w:sz="0" w:space="0" w:color="auto"/>
            <w:left w:val="none" w:sz="0" w:space="0" w:color="auto"/>
            <w:bottom w:val="none" w:sz="0" w:space="0" w:color="auto"/>
            <w:right w:val="none" w:sz="0" w:space="0" w:color="auto"/>
          </w:divBdr>
          <w:divsChild>
            <w:div w:id="341859692">
              <w:marLeft w:val="0"/>
              <w:marRight w:val="0"/>
              <w:marTop w:val="0"/>
              <w:marBottom w:val="0"/>
              <w:divBdr>
                <w:top w:val="none" w:sz="0" w:space="0" w:color="auto"/>
                <w:left w:val="none" w:sz="0" w:space="0" w:color="auto"/>
                <w:bottom w:val="none" w:sz="0" w:space="0" w:color="auto"/>
                <w:right w:val="none" w:sz="0" w:space="0" w:color="auto"/>
              </w:divBdr>
              <w:divsChild>
                <w:div w:id="7862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633060">
      <w:bodyDiv w:val="1"/>
      <w:marLeft w:val="0"/>
      <w:marRight w:val="0"/>
      <w:marTop w:val="0"/>
      <w:marBottom w:val="0"/>
      <w:divBdr>
        <w:top w:val="none" w:sz="0" w:space="0" w:color="auto"/>
        <w:left w:val="none" w:sz="0" w:space="0" w:color="auto"/>
        <w:bottom w:val="none" w:sz="0" w:space="0" w:color="auto"/>
        <w:right w:val="none" w:sz="0" w:space="0" w:color="auto"/>
      </w:divBdr>
      <w:divsChild>
        <w:div w:id="330179428">
          <w:marLeft w:val="0"/>
          <w:marRight w:val="0"/>
          <w:marTop w:val="0"/>
          <w:marBottom w:val="0"/>
          <w:divBdr>
            <w:top w:val="none" w:sz="0" w:space="0" w:color="auto"/>
            <w:left w:val="none" w:sz="0" w:space="0" w:color="auto"/>
            <w:bottom w:val="none" w:sz="0" w:space="0" w:color="auto"/>
            <w:right w:val="none" w:sz="0" w:space="0" w:color="auto"/>
          </w:divBdr>
          <w:divsChild>
            <w:div w:id="668601105">
              <w:marLeft w:val="0"/>
              <w:marRight w:val="0"/>
              <w:marTop w:val="0"/>
              <w:marBottom w:val="0"/>
              <w:divBdr>
                <w:top w:val="none" w:sz="0" w:space="0" w:color="auto"/>
                <w:left w:val="none" w:sz="0" w:space="0" w:color="auto"/>
                <w:bottom w:val="none" w:sz="0" w:space="0" w:color="auto"/>
                <w:right w:val="none" w:sz="0" w:space="0" w:color="auto"/>
              </w:divBdr>
              <w:divsChild>
                <w:div w:id="7885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2609">
      <w:bodyDiv w:val="1"/>
      <w:marLeft w:val="0"/>
      <w:marRight w:val="0"/>
      <w:marTop w:val="0"/>
      <w:marBottom w:val="0"/>
      <w:divBdr>
        <w:top w:val="none" w:sz="0" w:space="0" w:color="auto"/>
        <w:left w:val="none" w:sz="0" w:space="0" w:color="auto"/>
        <w:bottom w:val="none" w:sz="0" w:space="0" w:color="auto"/>
        <w:right w:val="none" w:sz="0" w:space="0" w:color="auto"/>
      </w:divBdr>
      <w:divsChild>
        <w:div w:id="1334143277">
          <w:marLeft w:val="0"/>
          <w:marRight w:val="0"/>
          <w:marTop w:val="0"/>
          <w:marBottom w:val="0"/>
          <w:divBdr>
            <w:top w:val="none" w:sz="0" w:space="0" w:color="auto"/>
            <w:left w:val="none" w:sz="0" w:space="0" w:color="auto"/>
            <w:bottom w:val="none" w:sz="0" w:space="0" w:color="auto"/>
            <w:right w:val="none" w:sz="0" w:space="0" w:color="auto"/>
          </w:divBdr>
        </w:div>
        <w:div w:id="26609839">
          <w:marLeft w:val="0"/>
          <w:marRight w:val="0"/>
          <w:marTop w:val="0"/>
          <w:marBottom w:val="0"/>
          <w:divBdr>
            <w:top w:val="none" w:sz="0" w:space="0" w:color="auto"/>
            <w:left w:val="none" w:sz="0" w:space="0" w:color="auto"/>
            <w:bottom w:val="none" w:sz="0" w:space="0" w:color="auto"/>
            <w:right w:val="none" w:sz="0" w:space="0" w:color="auto"/>
          </w:divBdr>
        </w:div>
        <w:div w:id="907419774">
          <w:marLeft w:val="0"/>
          <w:marRight w:val="0"/>
          <w:marTop w:val="0"/>
          <w:marBottom w:val="0"/>
          <w:divBdr>
            <w:top w:val="none" w:sz="0" w:space="0" w:color="auto"/>
            <w:left w:val="none" w:sz="0" w:space="0" w:color="auto"/>
            <w:bottom w:val="none" w:sz="0" w:space="0" w:color="auto"/>
            <w:right w:val="none" w:sz="0" w:space="0" w:color="auto"/>
          </w:divBdr>
        </w:div>
        <w:div w:id="556937094">
          <w:marLeft w:val="0"/>
          <w:marRight w:val="0"/>
          <w:marTop w:val="0"/>
          <w:marBottom w:val="0"/>
          <w:divBdr>
            <w:top w:val="none" w:sz="0" w:space="0" w:color="auto"/>
            <w:left w:val="none" w:sz="0" w:space="0" w:color="auto"/>
            <w:bottom w:val="none" w:sz="0" w:space="0" w:color="auto"/>
            <w:right w:val="none" w:sz="0" w:space="0" w:color="auto"/>
          </w:divBdr>
        </w:div>
      </w:divsChild>
    </w:div>
    <w:div w:id="943850493">
      <w:bodyDiv w:val="1"/>
      <w:marLeft w:val="0"/>
      <w:marRight w:val="0"/>
      <w:marTop w:val="0"/>
      <w:marBottom w:val="0"/>
      <w:divBdr>
        <w:top w:val="none" w:sz="0" w:space="0" w:color="auto"/>
        <w:left w:val="none" w:sz="0" w:space="0" w:color="auto"/>
        <w:bottom w:val="none" w:sz="0" w:space="0" w:color="auto"/>
        <w:right w:val="none" w:sz="0" w:space="0" w:color="auto"/>
      </w:divBdr>
      <w:divsChild>
        <w:div w:id="522717983">
          <w:marLeft w:val="0"/>
          <w:marRight w:val="0"/>
          <w:marTop w:val="0"/>
          <w:marBottom w:val="0"/>
          <w:divBdr>
            <w:top w:val="none" w:sz="0" w:space="0" w:color="auto"/>
            <w:left w:val="none" w:sz="0" w:space="0" w:color="auto"/>
            <w:bottom w:val="none" w:sz="0" w:space="0" w:color="auto"/>
            <w:right w:val="none" w:sz="0" w:space="0" w:color="auto"/>
          </w:divBdr>
          <w:divsChild>
            <w:div w:id="50278124">
              <w:marLeft w:val="0"/>
              <w:marRight w:val="0"/>
              <w:marTop w:val="0"/>
              <w:marBottom w:val="0"/>
              <w:divBdr>
                <w:top w:val="none" w:sz="0" w:space="0" w:color="auto"/>
                <w:left w:val="none" w:sz="0" w:space="0" w:color="auto"/>
                <w:bottom w:val="none" w:sz="0" w:space="0" w:color="auto"/>
                <w:right w:val="none" w:sz="0" w:space="0" w:color="auto"/>
              </w:divBdr>
              <w:divsChild>
                <w:div w:id="20493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4219">
      <w:bodyDiv w:val="1"/>
      <w:marLeft w:val="0"/>
      <w:marRight w:val="0"/>
      <w:marTop w:val="0"/>
      <w:marBottom w:val="0"/>
      <w:divBdr>
        <w:top w:val="none" w:sz="0" w:space="0" w:color="auto"/>
        <w:left w:val="none" w:sz="0" w:space="0" w:color="auto"/>
        <w:bottom w:val="none" w:sz="0" w:space="0" w:color="auto"/>
        <w:right w:val="none" w:sz="0" w:space="0" w:color="auto"/>
      </w:divBdr>
      <w:divsChild>
        <w:div w:id="1519351874">
          <w:marLeft w:val="0"/>
          <w:marRight w:val="0"/>
          <w:marTop w:val="0"/>
          <w:marBottom w:val="0"/>
          <w:divBdr>
            <w:top w:val="none" w:sz="0" w:space="0" w:color="auto"/>
            <w:left w:val="none" w:sz="0" w:space="0" w:color="auto"/>
            <w:bottom w:val="none" w:sz="0" w:space="0" w:color="auto"/>
            <w:right w:val="none" w:sz="0" w:space="0" w:color="auto"/>
          </w:divBdr>
          <w:divsChild>
            <w:div w:id="789738943">
              <w:marLeft w:val="0"/>
              <w:marRight w:val="0"/>
              <w:marTop w:val="0"/>
              <w:marBottom w:val="0"/>
              <w:divBdr>
                <w:top w:val="none" w:sz="0" w:space="0" w:color="auto"/>
                <w:left w:val="none" w:sz="0" w:space="0" w:color="auto"/>
                <w:bottom w:val="none" w:sz="0" w:space="0" w:color="auto"/>
                <w:right w:val="none" w:sz="0" w:space="0" w:color="auto"/>
              </w:divBdr>
              <w:divsChild>
                <w:div w:id="20724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8568">
          <w:marLeft w:val="0"/>
          <w:marRight w:val="0"/>
          <w:marTop w:val="0"/>
          <w:marBottom w:val="0"/>
          <w:divBdr>
            <w:top w:val="none" w:sz="0" w:space="0" w:color="auto"/>
            <w:left w:val="none" w:sz="0" w:space="0" w:color="auto"/>
            <w:bottom w:val="none" w:sz="0" w:space="0" w:color="auto"/>
            <w:right w:val="none" w:sz="0" w:space="0" w:color="auto"/>
          </w:divBdr>
          <w:divsChild>
            <w:div w:id="394936548">
              <w:marLeft w:val="0"/>
              <w:marRight w:val="0"/>
              <w:marTop w:val="0"/>
              <w:marBottom w:val="0"/>
              <w:divBdr>
                <w:top w:val="none" w:sz="0" w:space="0" w:color="auto"/>
                <w:left w:val="none" w:sz="0" w:space="0" w:color="auto"/>
                <w:bottom w:val="none" w:sz="0" w:space="0" w:color="auto"/>
                <w:right w:val="none" w:sz="0" w:space="0" w:color="auto"/>
              </w:divBdr>
              <w:divsChild>
                <w:div w:id="61309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959085">
      <w:bodyDiv w:val="1"/>
      <w:marLeft w:val="0"/>
      <w:marRight w:val="0"/>
      <w:marTop w:val="0"/>
      <w:marBottom w:val="0"/>
      <w:divBdr>
        <w:top w:val="none" w:sz="0" w:space="0" w:color="auto"/>
        <w:left w:val="none" w:sz="0" w:space="0" w:color="auto"/>
        <w:bottom w:val="none" w:sz="0" w:space="0" w:color="auto"/>
        <w:right w:val="none" w:sz="0" w:space="0" w:color="auto"/>
      </w:divBdr>
    </w:div>
    <w:div w:id="989676363">
      <w:bodyDiv w:val="1"/>
      <w:marLeft w:val="0"/>
      <w:marRight w:val="0"/>
      <w:marTop w:val="0"/>
      <w:marBottom w:val="0"/>
      <w:divBdr>
        <w:top w:val="none" w:sz="0" w:space="0" w:color="auto"/>
        <w:left w:val="none" w:sz="0" w:space="0" w:color="auto"/>
        <w:bottom w:val="none" w:sz="0" w:space="0" w:color="auto"/>
        <w:right w:val="none" w:sz="0" w:space="0" w:color="auto"/>
      </w:divBdr>
      <w:divsChild>
        <w:div w:id="2132899486">
          <w:marLeft w:val="0"/>
          <w:marRight w:val="0"/>
          <w:marTop w:val="0"/>
          <w:marBottom w:val="0"/>
          <w:divBdr>
            <w:top w:val="none" w:sz="0" w:space="0" w:color="auto"/>
            <w:left w:val="none" w:sz="0" w:space="0" w:color="auto"/>
            <w:bottom w:val="none" w:sz="0" w:space="0" w:color="auto"/>
            <w:right w:val="none" w:sz="0" w:space="0" w:color="auto"/>
          </w:divBdr>
          <w:divsChild>
            <w:div w:id="1588003813">
              <w:marLeft w:val="0"/>
              <w:marRight w:val="0"/>
              <w:marTop w:val="0"/>
              <w:marBottom w:val="0"/>
              <w:divBdr>
                <w:top w:val="none" w:sz="0" w:space="0" w:color="auto"/>
                <w:left w:val="none" w:sz="0" w:space="0" w:color="auto"/>
                <w:bottom w:val="none" w:sz="0" w:space="0" w:color="auto"/>
                <w:right w:val="none" w:sz="0" w:space="0" w:color="auto"/>
              </w:divBdr>
              <w:divsChild>
                <w:div w:id="14022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1938">
      <w:bodyDiv w:val="1"/>
      <w:marLeft w:val="0"/>
      <w:marRight w:val="0"/>
      <w:marTop w:val="0"/>
      <w:marBottom w:val="0"/>
      <w:divBdr>
        <w:top w:val="none" w:sz="0" w:space="0" w:color="auto"/>
        <w:left w:val="none" w:sz="0" w:space="0" w:color="auto"/>
        <w:bottom w:val="none" w:sz="0" w:space="0" w:color="auto"/>
        <w:right w:val="none" w:sz="0" w:space="0" w:color="auto"/>
      </w:divBdr>
    </w:div>
    <w:div w:id="1015234349">
      <w:bodyDiv w:val="1"/>
      <w:marLeft w:val="0"/>
      <w:marRight w:val="0"/>
      <w:marTop w:val="0"/>
      <w:marBottom w:val="0"/>
      <w:divBdr>
        <w:top w:val="none" w:sz="0" w:space="0" w:color="auto"/>
        <w:left w:val="none" w:sz="0" w:space="0" w:color="auto"/>
        <w:bottom w:val="none" w:sz="0" w:space="0" w:color="auto"/>
        <w:right w:val="none" w:sz="0" w:space="0" w:color="auto"/>
      </w:divBdr>
    </w:div>
    <w:div w:id="1022051293">
      <w:bodyDiv w:val="1"/>
      <w:marLeft w:val="0"/>
      <w:marRight w:val="0"/>
      <w:marTop w:val="0"/>
      <w:marBottom w:val="0"/>
      <w:divBdr>
        <w:top w:val="none" w:sz="0" w:space="0" w:color="auto"/>
        <w:left w:val="none" w:sz="0" w:space="0" w:color="auto"/>
        <w:bottom w:val="none" w:sz="0" w:space="0" w:color="auto"/>
        <w:right w:val="none" w:sz="0" w:space="0" w:color="auto"/>
      </w:divBdr>
    </w:div>
    <w:div w:id="1065377505">
      <w:bodyDiv w:val="1"/>
      <w:marLeft w:val="0"/>
      <w:marRight w:val="0"/>
      <w:marTop w:val="0"/>
      <w:marBottom w:val="0"/>
      <w:divBdr>
        <w:top w:val="none" w:sz="0" w:space="0" w:color="auto"/>
        <w:left w:val="none" w:sz="0" w:space="0" w:color="auto"/>
        <w:bottom w:val="none" w:sz="0" w:space="0" w:color="auto"/>
        <w:right w:val="none" w:sz="0" w:space="0" w:color="auto"/>
      </w:divBdr>
      <w:divsChild>
        <w:div w:id="1015839991">
          <w:marLeft w:val="0"/>
          <w:marRight w:val="0"/>
          <w:marTop w:val="0"/>
          <w:marBottom w:val="0"/>
          <w:divBdr>
            <w:top w:val="none" w:sz="0" w:space="0" w:color="auto"/>
            <w:left w:val="none" w:sz="0" w:space="0" w:color="auto"/>
            <w:bottom w:val="none" w:sz="0" w:space="0" w:color="auto"/>
            <w:right w:val="none" w:sz="0" w:space="0" w:color="auto"/>
          </w:divBdr>
          <w:divsChild>
            <w:div w:id="1840080261">
              <w:marLeft w:val="0"/>
              <w:marRight w:val="0"/>
              <w:marTop w:val="0"/>
              <w:marBottom w:val="0"/>
              <w:divBdr>
                <w:top w:val="none" w:sz="0" w:space="0" w:color="auto"/>
                <w:left w:val="none" w:sz="0" w:space="0" w:color="auto"/>
                <w:bottom w:val="none" w:sz="0" w:space="0" w:color="auto"/>
                <w:right w:val="none" w:sz="0" w:space="0" w:color="auto"/>
              </w:divBdr>
              <w:divsChild>
                <w:div w:id="1126585589">
                  <w:marLeft w:val="0"/>
                  <w:marRight w:val="0"/>
                  <w:marTop w:val="0"/>
                  <w:marBottom w:val="0"/>
                  <w:divBdr>
                    <w:top w:val="none" w:sz="0" w:space="0" w:color="auto"/>
                    <w:left w:val="none" w:sz="0" w:space="0" w:color="auto"/>
                    <w:bottom w:val="none" w:sz="0" w:space="0" w:color="auto"/>
                    <w:right w:val="none" w:sz="0" w:space="0" w:color="auto"/>
                  </w:divBdr>
                  <w:divsChild>
                    <w:div w:id="7757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402985">
      <w:bodyDiv w:val="1"/>
      <w:marLeft w:val="0"/>
      <w:marRight w:val="0"/>
      <w:marTop w:val="0"/>
      <w:marBottom w:val="0"/>
      <w:divBdr>
        <w:top w:val="none" w:sz="0" w:space="0" w:color="auto"/>
        <w:left w:val="none" w:sz="0" w:space="0" w:color="auto"/>
        <w:bottom w:val="none" w:sz="0" w:space="0" w:color="auto"/>
        <w:right w:val="none" w:sz="0" w:space="0" w:color="auto"/>
      </w:divBdr>
    </w:div>
    <w:div w:id="1089043405">
      <w:bodyDiv w:val="1"/>
      <w:marLeft w:val="0"/>
      <w:marRight w:val="0"/>
      <w:marTop w:val="0"/>
      <w:marBottom w:val="0"/>
      <w:divBdr>
        <w:top w:val="none" w:sz="0" w:space="0" w:color="auto"/>
        <w:left w:val="none" w:sz="0" w:space="0" w:color="auto"/>
        <w:bottom w:val="none" w:sz="0" w:space="0" w:color="auto"/>
        <w:right w:val="none" w:sz="0" w:space="0" w:color="auto"/>
      </w:divBdr>
    </w:div>
    <w:div w:id="1147940534">
      <w:bodyDiv w:val="1"/>
      <w:marLeft w:val="0"/>
      <w:marRight w:val="0"/>
      <w:marTop w:val="0"/>
      <w:marBottom w:val="0"/>
      <w:divBdr>
        <w:top w:val="none" w:sz="0" w:space="0" w:color="auto"/>
        <w:left w:val="none" w:sz="0" w:space="0" w:color="auto"/>
        <w:bottom w:val="none" w:sz="0" w:space="0" w:color="auto"/>
        <w:right w:val="none" w:sz="0" w:space="0" w:color="auto"/>
      </w:divBdr>
    </w:div>
    <w:div w:id="1185556067">
      <w:bodyDiv w:val="1"/>
      <w:marLeft w:val="0"/>
      <w:marRight w:val="0"/>
      <w:marTop w:val="0"/>
      <w:marBottom w:val="0"/>
      <w:divBdr>
        <w:top w:val="none" w:sz="0" w:space="0" w:color="auto"/>
        <w:left w:val="none" w:sz="0" w:space="0" w:color="auto"/>
        <w:bottom w:val="none" w:sz="0" w:space="0" w:color="auto"/>
        <w:right w:val="none" w:sz="0" w:space="0" w:color="auto"/>
      </w:divBdr>
    </w:div>
    <w:div w:id="1198547207">
      <w:bodyDiv w:val="1"/>
      <w:marLeft w:val="0"/>
      <w:marRight w:val="0"/>
      <w:marTop w:val="0"/>
      <w:marBottom w:val="0"/>
      <w:divBdr>
        <w:top w:val="none" w:sz="0" w:space="0" w:color="auto"/>
        <w:left w:val="none" w:sz="0" w:space="0" w:color="auto"/>
        <w:bottom w:val="none" w:sz="0" w:space="0" w:color="auto"/>
        <w:right w:val="none" w:sz="0" w:space="0" w:color="auto"/>
      </w:divBdr>
      <w:divsChild>
        <w:div w:id="569385007">
          <w:marLeft w:val="0"/>
          <w:marRight w:val="0"/>
          <w:marTop w:val="0"/>
          <w:marBottom w:val="0"/>
          <w:divBdr>
            <w:top w:val="none" w:sz="0" w:space="0" w:color="auto"/>
            <w:left w:val="none" w:sz="0" w:space="0" w:color="auto"/>
            <w:bottom w:val="none" w:sz="0" w:space="0" w:color="auto"/>
            <w:right w:val="none" w:sz="0" w:space="0" w:color="auto"/>
          </w:divBdr>
          <w:divsChild>
            <w:div w:id="690575027">
              <w:marLeft w:val="0"/>
              <w:marRight w:val="0"/>
              <w:marTop w:val="0"/>
              <w:marBottom w:val="0"/>
              <w:divBdr>
                <w:top w:val="none" w:sz="0" w:space="0" w:color="auto"/>
                <w:left w:val="none" w:sz="0" w:space="0" w:color="auto"/>
                <w:bottom w:val="none" w:sz="0" w:space="0" w:color="auto"/>
                <w:right w:val="none" w:sz="0" w:space="0" w:color="auto"/>
              </w:divBdr>
              <w:divsChild>
                <w:div w:id="5902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19796">
      <w:bodyDiv w:val="1"/>
      <w:marLeft w:val="0"/>
      <w:marRight w:val="0"/>
      <w:marTop w:val="0"/>
      <w:marBottom w:val="0"/>
      <w:divBdr>
        <w:top w:val="none" w:sz="0" w:space="0" w:color="auto"/>
        <w:left w:val="none" w:sz="0" w:space="0" w:color="auto"/>
        <w:bottom w:val="none" w:sz="0" w:space="0" w:color="auto"/>
        <w:right w:val="none" w:sz="0" w:space="0" w:color="auto"/>
      </w:divBdr>
    </w:div>
    <w:div w:id="1220089839">
      <w:bodyDiv w:val="1"/>
      <w:marLeft w:val="0"/>
      <w:marRight w:val="0"/>
      <w:marTop w:val="0"/>
      <w:marBottom w:val="0"/>
      <w:divBdr>
        <w:top w:val="none" w:sz="0" w:space="0" w:color="auto"/>
        <w:left w:val="none" w:sz="0" w:space="0" w:color="auto"/>
        <w:bottom w:val="none" w:sz="0" w:space="0" w:color="auto"/>
        <w:right w:val="none" w:sz="0" w:space="0" w:color="auto"/>
      </w:divBdr>
      <w:divsChild>
        <w:div w:id="932589636">
          <w:marLeft w:val="0"/>
          <w:marRight w:val="0"/>
          <w:marTop w:val="0"/>
          <w:marBottom w:val="0"/>
          <w:divBdr>
            <w:top w:val="none" w:sz="0" w:space="0" w:color="auto"/>
            <w:left w:val="none" w:sz="0" w:space="0" w:color="auto"/>
            <w:bottom w:val="none" w:sz="0" w:space="0" w:color="auto"/>
            <w:right w:val="none" w:sz="0" w:space="0" w:color="auto"/>
          </w:divBdr>
          <w:divsChild>
            <w:div w:id="101416840">
              <w:marLeft w:val="0"/>
              <w:marRight w:val="0"/>
              <w:marTop w:val="0"/>
              <w:marBottom w:val="0"/>
              <w:divBdr>
                <w:top w:val="none" w:sz="0" w:space="0" w:color="auto"/>
                <w:left w:val="none" w:sz="0" w:space="0" w:color="auto"/>
                <w:bottom w:val="none" w:sz="0" w:space="0" w:color="auto"/>
                <w:right w:val="none" w:sz="0" w:space="0" w:color="auto"/>
              </w:divBdr>
              <w:divsChild>
                <w:div w:id="16230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389">
      <w:bodyDiv w:val="1"/>
      <w:marLeft w:val="0"/>
      <w:marRight w:val="0"/>
      <w:marTop w:val="0"/>
      <w:marBottom w:val="0"/>
      <w:divBdr>
        <w:top w:val="none" w:sz="0" w:space="0" w:color="auto"/>
        <w:left w:val="none" w:sz="0" w:space="0" w:color="auto"/>
        <w:bottom w:val="none" w:sz="0" w:space="0" w:color="auto"/>
        <w:right w:val="none" w:sz="0" w:space="0" w:color="auto"/>
      </w:divBdr>
      <w:divsChild>
        <w:div w:id="60835600">
          <w:marLeft w:val="0"/>
          <w:marRight w:val="0"/>
          <w:marTop w:val="0"/>
          <w:marBottom w:val="0"/>
          <w:divBdr>
            <w:top w:val="none" w:sz="0" w:space="0" w:color="auto"/>
            <w:left w:val="none" w:sz="0" w:space="0" w:color="auto"/>
            <w:bottom w:val="none" w:sz="0" w:space="0" w:color="auto"/>
            <w:right w:val="none" w:sz="0" w:space="0" w:color="auto"/>
          </w:divBdr>
          <w:divsChild>
            <w:div w:id="942614964">
              <w:marLeft w:val="0"/>
              <w:marRight w:val="0"/>
              <w:marTop w:val="0"/>
              <w:marBottom w:val="0"/>
              <w:divBdr>
                <w:top w:val="none" w:sz="0" w:space="0" w:color="auto"/>
                <w:left w:val="none" w:sz="0" w:space="0" w:color="auto"/>
                <w:bottom w:val="none" w:sz="0" w:space="0" w:color="auto"/>
                <w:right w:val="none" w:sz="0" w:space="0" w:color="auto"/>
              </w:divBdr>
              <w:divsChild>
                <w:div w:id="4669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5361">
      <w:bodyDiv w:val="1"/>
      <w:marLeft w:val="0"/>
      <w:marRight w:val="0"/>
      <w:marTop w:val="0"/>
      <w:marBottom w:val="0"/>
      <w:divBdr>
        <w:top w:val="none" w:sz="0" w:space="0" w:color="auto"/>
        <w:left w:val="none" w:sz="0" w:space="0" w:color="auto"/>
        <w:bottom w:val="none" w:sz="0" w:space="0" w:color="auto"/>
        <w:right w:val="none" w:sz="0" w:space="0" w:color="auto"/>
      </w:divBdr>
      <w:divsChild>
        <w:div w:id="1429232999">
          <w:marLeft w:val="0"/>
          <w:marRight w:val="0"/>
          <w:marTop w:val="0"/>
          <w:marBottom w:val="0"/>
          <w:divBdr>
            <w:top w:val="none" w:sz="0" w:space="0" w:color="auto"/>
            <w:left w:val="none" w:sz="0" w:space="0" w:color="auto"/>
            <w:bottom w:val="none" w:sz="0" w:space="0" w:color="auto"/>
            <w:right w:val="none" w:sz="0" w:space="0" w:color="auto"/>
          </w:divBdr>
          <w:divsChild>
            <w:div w:id="957878055">
              <w:marLeft w:val="0"/>
              <w:marRight w:val="0"/>
              <w:marTop w:val="0"/>
              <w:marBottom w:val="0"/>
              <w:divBdr>
                <w:top w:val="none" w:sz="0" w:space="0" w:color="auto"/>
                <w:left w:val="none" w:sz="0" w:space="0" w:color="auto"/>
                <w:bottom w:val="none" w:sz="0" w:space="0" w:color="auto"/>
                <w:right w:val="none" w:sz="0" w:space="0" w:color="auto"/>
              </w:divBdr>
              <w:divsChild>
                <w:div w:id="902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19008">
      <w:bodyDiv w:val="1"/>
      <w:marLeft w:val="0"/>
      <w:marRight w:val="0"/>
      <w:marTop w:val="0"/>
      <w:marBottom w:val="0"/>
      <w:divBdr>
        <w:top w:val="none" w:sz="0" w:space="0" w:color="auto"/>
        <w:left w:val="none" w:sz="0" w:space="0" w:color="auto"/>
        <w:bottom w:val="none" w:sz="0" w:space="0" w:color="auto"/>
        <w:right w:val="none" w:sz="0" w:space="0" w:color="auto"/>
      </w:divBdr>
    </w:div>
    <w:div w:id="1415008897">
      <w:bodyDiv w:val="1"/>
      <w:marLeft w:val="0"/>
      <w:marRight w:val="0"/>
      <w:marTop w:val="0"/>
      <w:marBottom w:val="0"/>
      <w:divBdr>
        <w:top w:val="none" w:sz="0" w:space="0" w:color="auto"/>
        <w:left w:val="none" w:sz="0" w:space="0" w:color="auto"/>
        <w:bottom w:val="none" w:sz="0" w:space="0" w:color="auto"/>
        <w:right w:val="none" w:sz="0" w:space="0" w:color="auto"/>
      </w:divBdr>
      <w:divsChild>
        <w:div w:id="1646396000">
          <w:marLeft w:val="0"/>
          <w:marRight w:val="0"/>
          <w:marTop w:val="0"/>
          <w:marBottom w:val="0"/>
          <w:divBdr>
            <w:top w:val="none" w:sz="0" w:space="0" w:color="auto"/>
            <w:left w:val="none" w:sz="0" w:space="0" w:color="auto"/>
            <w:bottom w:val="none" w:sz="0" w:space="0" w:color="auto"/>
            <w:right w:val="none" w:sz="0" w:space="0" w:color="auto"/>
          </w:divBdr>
          <w:divsChild>
            <w:div w:id="1846548834">
              <w:marLeft w:val="0"/>
              <w:marRight w:val="0"/>
              <w:marTop w:val="0"/>
              <w:marBottom w:val="0"/>
              <w:divBdr>
                <w:top w:val="none" w:sz="0" w:space="0" w:color="auto"/>
                <w:left w:val="none" w:sz="0" w:space="0" w:color="auto"/>
                <w:bottom w:val="none" w:sz="0" w:space="0" w:color="auto"/>
                <w:right w:val="none" w:sz="0" w:space="0" w:color="auto"/>
              </w:divBdr>
              <w:divsChild>
                <w:div w:id="12806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3940">
          <w:marLeft w:val="0"/>
          <w:marRight w:val="0"/>
          <w:marTop w:val="0"/>
          <w:marBottom w:val="0"/>
          <w:divBdr>
            <w:top w:val="none" w:sz="0" w:space="0" w:color="auto"/>
            <w:left w:val="none" w:sz="0" w:space="0" w:color="auto"/>
            <w:bottom w:val="none" w:sz="0" w:space="0" w:color="auto"/>
            <w:right w:val="none" w:sz="0" w:space="0" w:color="auto"/>
          </w:divBdr>
          <w:divsChild>
            <w:div w:id="812717761">
              <w:marLeft w:val="0"/>
              <w:marRight w:val="0"/>
              <w:marTop w:val="0"/>
              <w:marBottom w:val="0"/>
              <w:divBdr>
                <w:top w:val="none" w:sz="0" w:space="0" w:color="auto"/>
                <w:left w:val="none" w:sz="0" w:space="0" w:color="auto"/>
                <w:bottom w:val="none" w:sz="0" w:space="0" w:color="auto"/>
                <w:right w:val="none" w:sz="0" w:space="0" w:color="auto"/>
              </w:divBdr>
              <w:divsChild>
                <w:div w:id="43798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3053">
      <w:bodyDiv w:val="1"/>
      <w:marLeft w:val="0"/>
      <w:marRight w:val="0"/>
      <w:marTop w:val="0"/>
      <w:marBottom w:val="0"/>
      <w:divBdr>
        <w:top w:val="none" w:sz="0" w:space="0" w:color="auto"/>
        <w:left w:val="none" w:sz="0" w:space="0" w:color="auto"/>
        <w:bottom w:val="none" w:sz="0" w:space="0" w:color="auto"/>
        <w:right w:val="none" w:sz="0" w:space="0" w:color="auto"/>
      </w:divBdr>
    </w:div>
    <w:div w:id="1462723256">
      <w:bodyDiv w:val="1"/>
      <w:marLeft w:val="0"/>
      <w:marRight w:val="0"/>
      <w:marTop w:val="0"/>
      <w:marBottom w:val="0"/>
      <w:divBdr>
        <w:top w:val="none" w:sz="0" w:space="0" w:color="auto"/>
        <w:left w:val="none" w:sz="0" w:space="0" w:color="auto"/>
        <w:bottom w:val="none" w:sz="0" w:space="0" w:color="auto"/>
        <w:right w:val="none" w:sz="0" w:space="0" w:color="auto"/>
      </w:divBdr>
      <w:divsChild>
        <w:div w:id="1414280138">
          <w:marLeft w:val="0"/>
          <w:marRight w:val="0"/>
          <w:marTop w:val="0"/>
          <w:marBottom w:val="0"/>
          <w:divBdr>
            <w:top w:val="none" w:sz="0" w:space="0" w:color="auto"/>
            <w:left w:val="none" w:sz="0" w:space="0" w:color="auto"/>
            <w:bottom w:val="none" w:sz="0" w:space="0" w:color="auto"/>
            <w:right w:val="none" w:sz="0" w:space="0" w:color="auto"/>
          </w:divBdr>
          <w:divsChild>
            <w:div w:id="286398231">
              <w:marLeft w:val="0"/>
              <w:marRight w:val="0"/>
              <w:marTop w:val="0"/>
              <w:marBottom w:val="0"/>
              <w:divBdr>
                <w:top w:val="none" w:sz="0" w:space="0" w:color="auto"/>
                <w:left w:val="none" w:sz="0" w:space="0" w:color="auto"/>
                <w:bottom w:val="none" w:sz="0" w:space="0" w:color="auto"/>
                <w:right w:val="none" w:sz="0" w:space="0" w:color="auto"/>
              </w:divBdr>
              <w:divsChild>
                <w:div w:id="4949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576485">
      <w:bodyDiv w:val="1"/>
      <w:marLeft w:val="0"/>
      <w:marRight w:val="0"/>
      <w:marTop w:val="0"/>
      <w:marBottom w:val="0"/>
      <w:divBdr>
        <w:top w:val="none" w:sz="0" w:space="0" w:color="auto"/>
        <w:left w:val="none" w:sz="0" w:space="0" w:color="auto"/>
        <w:bottom w:val="none" w:sz="0" w:space="0" w:color="auto"/>
        <w:right w:val="none" w:sz="0" w:space="0" w:color="auto"/>
      </w:divBdr>
      <w:divsChild>
        <w:div w:id="65689513">
          <w:marLeft w:val="0"/>
          <w:marRight w:val="0"/>
          <w:marTop w:val="0"/>
          <w:marBottom w:val="0"/>
          <w:divBdr>
            <w:top w:val="none" w:sz="0" w:space="0" w:color="auto"/>
            <w:left w:val="none" w:sz="0" w:space="0" w:color="auto"/>
            <w:bottom w:val="none" w:sz="0" w:space="0" w:color="auto"/>
            <w:right w:val="none" w:sz="0" w:space="0" w:color="auto"/>
          </w:divBdr>
        </w:div>
        <w:div w:id="75515251">
          <w:marLeft w:val="0"/>
          <w:marRight w:val="0"/>
          <w:marTop w:val="0"/>
          <w:marBottom w:val="0"/>
          <w:divBdr>
            <w:top w:val="none" w:sz="0" w:space="0" w:color="auto"/>
            <w:left w:val="none" w:sz="0" w:space="0" w:color="auto"/>
            <w:bottom w:val="none" w:sz="0" w:space="0" w:color="auto"/>
            <w:right w:val="none" w:sz="0" w:space="0" w:color="auto"/>
          </w:divBdr>
        </w:div>
        <w:div w:id="183792062">
          <w:marLeft w:val="0"/>
          <w:marRight w:val="0"/>
          <w:marTop w:val="0"/>
          <w:marBottom w:val="0"/>
          <w:divBdr>
            <w:top w:val="none" w:sz="0" w:space="0" w:color="auto"/>
            <w:left w:val="none" w:sz="0" w:space="0" w:color="auto"/>
            <w:bottom w:val="none" w:sz="0" w:space="0" w:color="auto"/>
            <w:right w:val="none" w:sz="0" w:space="0" w:color="auto"/>
          </w:divBdr>
        </w:div>
        <w:div w:id="330764790">
          <w:marLeft w:val="0"/>
          <w:marRight w:val="0"/>
          <w:marTop w:val="0"/>
          <w:marBottom w:val="0"/>
          <w:divBdr>
            <w:top w:val="none" w:sz="0" w:space="0" w:color="auto"/>
            <w:left w:val="none" w:sz="0" w:space="0" w:color="auto"/>
            <w:bottom w:val="none" w:sz="0" w:space="0" w:color="auto"/>
            <w:right w:val="none" w:sz="0" w:space="0" w:color="auto"/>
          </w:divBdr>
        </w:div>
        <w:div w:id="338193256">
          <w:marLeft w:val="0"/>
          <w:marRight w:val="0"/>
          <w:marTop w:val="0"/>
          <w:marBottom w:val="0"/>
          <w:divBdr>
            <w:top w:val="none" w:sz="0" w:space="0" w:color="auto"/>
            <w:left w:val="none" w:sz="0" w:space="0" w:color="auto"/>
            <w:bottom w:val="none" w:sz="0" w:space="0" w:color="auto"/>
            <w:right w:val="none" w:sz="0" w:space="0" w:color="auto"/>
          </w:divBdr>
        </w:div>
        <w:div w:id="339509223">
          <w:marLeft w:val="0"/>
          <w:marRight w:val="0"/>
          <w:marTop w:val="0"/>
          <w:marBottom w:val="0"/>
          <w:divBdr>
            <w:top w:val="none" w:sz="0" w:space="0" w:color="auto"/>
            <w:left w:val="none" w:sz="0" w:space="0" w:color="auto"/>
            <w:bottom w:val="none" w:sz="0" w:space="0" w:color="auto"/>
            <w:right w:val="none" w:sz="0" w:space="0" w:color="auto"/>
          </w:divBdr>
        </w:div>
        <w:div w:id="455293181">
          <w:marLeft w:val="0"/>
          <w:marRight w:val="0"/>
          <w:marTop w:val="0"/>
          <w:marBottom w:val="0"/>
          <w:divBdr>
            <w:top w:val="none" w:sz="0" w:space="0" w:color="auto"/>
            <w:left w:val="none" w:sz="0" w:space="0" w:color="auto"/>
            <w:bottom w:val="none" w:sz="0" w:space="0" w:color="auto"/>
            <w:right w:val="none" w:sz="0" w:space="0" w:color="auto"/>
          </w:divBdr>
        </w:div>
        <w:div w:id="514541533">
          <w:marLeft w:val="0"/>
          <w:marRight w:val="0"/>
          <w:marTop w:val="0"/>
          <w:marBottom w:val="0"/>
          <w:divBdr>
            <w:top w:val="none" w:sz="0" w:space="0" w:color="auto"/>
            <w:left w:val="none" w:sz="0" w:space="0" w:color="auto"/>
            <w:bottom w:val="none" w:sz="0" w:space="0" w:color="auto"/>
            <w:right w:val="none" w:sz="0" w:space="0" w:color="auto"/>
          </w:divBdr>
        </w:div>
        <w:div w:id="540829244">
          <w:marLeft w:val="0"/>
          <w:marRight w:val="0"/>
          <w:marTop w:val="0"/>
          <w:marBottom w:val="0"/>
          <w:divBdr>
            <w:top w:val="none" w:sz="0" w:space="0" w:color="auto"/>
            <w:left w:val="none" w:sz="0" w:space="0" w:color="auto"/>
            <w:bottom w:val="none" w:sz="0" w:space="0" w:color="auto"/>
            <w:right w:val="none" w:sz="0" w:space="0" w:color="auto"/>
          </w:divBdr>
        </w:div>
        <w:div w:id="546717844">
          <w:marLeft w:val="0"/>
          <w:marRight w:val="0"/>
          <w:marTop w:val="0"/>
          <w:marBottom w:val="0"/>
          <w:divBdr>
            <w:top w:val="none" w:sz="0" w:space="0" w:color="auto"/>
            <w:left w:val="none" w:sz="0" w:space="0" w:color="auto"/>
            <w:bottom w:val="none" w:sz="0" w:space="0" w:color="auto"/>
            <w:right w:val="none" w:sz="0" w:space="0" w:color="auto"/>
          </w:divBdr>
        </w:div>
        <w:div w:id="612832309">
          <w:marLeft w:val="0"/>
          <w:marRight w:val="0"/>
          <w:marTop w:val="0"/>
          <w:marBottom w:val="0"/>
          <w:divBdr>
            <w:top w:val="none" w:sz="0" w:space="0" w:color="auto"/>
            <w:left w:val="none" w:sz="0" w:space="0" w:color="auto"/>
            <w:bottom w:val="none" w:sz="0" w:space="0" w:color="auto"/>
            <w:right w:val="none" w:sz="0" w:space="0" w:color="auto"/>
          </w:divBdr>
        </w:div>
        <w:div w:id="618726044">
          <w:marLeft w:val="0"/>
          <w:marRight w:val="0"/>
          <w:marTop w:val="0"/>
          <w:marBottom w:val="0"/>
          <w:divBdr>
            <w:top w:val="none" w:sz="0" w:space="0" w:color="auto"/>
            <w:left w:val="none" w:sz="0" w:space="0" w:color="auto"/>
            <w:bottom w:val="none" w:sz="0" w:space="0" w:color="auto"/>
            <w:right w:val="none" w:sz="0" w:space="0" w:color="auto"/>
          </w:divBdr>
        </w:div>
        <w:div w:id="735978786">
          <w:marLeft w:val="0"/>
          <w:marRight w:val="0"/>
          <w:marTop w:val="0"/>
          <w:marBottom w:val="0"/>
          <w:divBdr>
            <w:top w:val="none" w:sz="0" w:space="0" w:color="auto"/>
            <w:left w:val="none" w:sz="0" w:space="0" w:color="auto"/>
            <w:bottom w:val="none" w:sz="0" w:space="0" w:color="auto"/>
            <w:right w:val="none" w:sz="0" w:space="0" w:color="auto"/>
          </w:divBdr>
        </w:div>
        <w:div w:id="781923293">
          <w:marLeft w:val="0"/>
          <w:marRight w:val="0"/>
          <w:marTop w:val="0"/>
          <w:marBottom w:val="0"/>
          <w:divBdr>
            <w:top w:val="none" w:sz="0" w:space="0" w:color="auto"/>
            <w:left w:val="none" w:sz="0" w:space="0" w:color="auto"/>
            <w:bottom w:val="none" w:sz="0" w:space="0" w:color="auto"/>
            <w:right w:val="none" w:sz="0" w:space="0" w:color="auto"/>
          </w:divBdr>
        </w:div>
        <w:div w:id="853960612">
          <w:marLeft w:val="0"/>
          <w:marRight w:val="0"/>
          <w:marTop w:val="0"/>
          <w:marBottom w:val="0"/>
          <w:divBdr>
            <w:top w:val="none" w:sz="0" w:space="0" w:color="auto"/>
            <w:left w:val="none" w:sz="0" w:space="0" w:color="auto"/>
            <w:bottom w:val="none" w:sz="0" w:space="0" w:color="auto"/>
            <w:right w:val="none" w:sz="0" w:space="0" w:color="auto"/>
          </w:divBdr>
        </w:div>
        <w:div w:id="871385974">
          <w:marLeft w:val="0"/>
          <w:marRight w:val="0"/>
          <w:marTop w:val="0"/>
          <w:marBottom w:val="0"/>
          <w:divBdr>
            <w:top w:val="none" w:sz="0" w:space="0" w:color="auto"/>
            <w:left w:val="none" w:sz="0" w:space="0" w:color="auto"/>
            <w:bottom w:val="none" w:sz="0" w:space="0" w:color="auto"/>
            <w:right w:val="none" w:sz="0" w:space="0" w:color="auto"/>
          </w:divBdr>
        </w:div>
        <w:div w:id="949973401">
          <w:marLeft w:val="0"/>
          <w:marRight w:val="0"/>
          <w:marTop w:val="0"/>
          <w:marBottom w:val="0"/>
          <w:divBdr>
            <w:top w:val="none" w:sz="0" w:space="0" w:color="auto"/>
            <w:left w:val="none" w:sz="0" w:space="0" w:color="auto"/>
            <w:bottom w:val="none" w:sz="0" w:space="0" w:color="auto"/>
            <w:right w:val="none" w:sz="0" w:space="0" w:color="auto"/>
          </w:divBdr>
        </w:div>
        <w:div w:id="976953570">
          <w:marLeft w:val="0"/>
          <w:marRight w:val="0"/>
          <w:marTop w:val="0"/>
          <w:marBottom w:val="0"/>
          <w:divBdr>
            <w:top w:val="none" w:sz="0" w:space="0" w:color="auto"/>
            <w:left w:val="none" w:sz="0" w:space="0" w:color="auto"/>
            <w:bottom w:val="none" w:sz="0" w:space="0" w:color="auto"/>
            <w:right w:val="none" w:sz="0" w:space="0" w:color="auto"/>
          </w:divBdr>
        </w:div>
        <w:div w:id="1000742052">
          <w:marLeft w:val="0"/>
          <w:marRight w:val="0"/>
          <w:marTop w:val="0"/>
          <w:marBottom w:val="0"/>
          <w:divBdr>
            <w:top w:val="none" w:sz="0" w:space="0" w:color="auto"/>
            <w:left w:val="none" w:sz="0" w:space="0" w:color="auto"/>
            <w:bottom w:val="none" w:sz="0" w:space="0" w:color="auto"/>
            <w:right w:val="none" w:sz="0" w:space="0" w:color="auto"/>
          </w:divBdr>
        </w:div>
        <w:div w:id="1003045244">
          <w:marLeft w:val="0"/>
          <w:marRight w:val="0"/>
          <w:marTop w:val="0"/>
          <w:marBottom w:val="0"/>
          <w:divBdr>
            <w:top w:val="none" w:sz="0" w:space="0" w:color="auto"/>
            <w:left w:val="none" w:sz="0" w:space="0" w:color="auto"/>
            <w:bottom w:val="none" w:sz="0" w:space="0" w:color="auto"/>
            <w:right w:val="none" w:sz="0" w:space="0" w:color="auto"/>
          </w:divBdr>
        </w:div>
        <w:div w:id="1021666398">
          <w:marLeft w:val="0"/>
          <w:marRight w:val="0"/>
          <w:marTop w:val="0"/>
          <w:marBottom w:val="0"/>
          <w:divBdr>
            <w:top w:val="none" w:sz="0" w:space="0" w:color="auto"/>
            <w:left w:val="none" w:sz="0" w:space="0" w:color="auto"/>
            <w:bottom w:val="none" w:sz="0" w:space="0" w:color="auto"/>
            <w:right w:val="none" w:sz="0" w:space="0" w:color="auto"/>
          </w:divBdr>
        </w:div>
        <w:div w:id="1157570141">
          <w:marLeft w:val="0"/>
          <w:marRight w:val="0"/>
          <w:marTop w:val="0"/>
          <w:marBottom w:val="0"/>
          <w:divBdr>
            <w:top w:val="none" w:sz="0" w:space="0" w:color="auto"/>
            <w:left w:val="none" w:sz="0" w:space="0" w:color="auto"/>
            <w:bottom w:val="none" w:sz="0" w:space="0" w:color="auto"/>
            <w:right w:val="none" w:sz="0" w:space="0" w:color="auto"/>
          </w:divBdr>
        </w:div>
        <w:div w:id="1183323189">
          <w:marLeft w:val="0"/>
          <w:marRight w:val="0"/>
          <w:marTop w:val="0"/>
          <w:marBottom w:val="0"/>
          <w:divBdr>
            <w:top w:val="none" w:sz="0" w:space="0" w:color="auto"/>
            <w:left w:val="none" w:sz="0" w:space="0" w:color="auto"/>
            <w:bottom w:val="none" w:sz="0" w:space="0" w:color="auto"/>
            <w:right w:val="none" w:sz="0" w:space="0" w:color="auto"/>
          </w:divBdr>
        </w:div>
        <w:div w:id="1188986822">
          <w:marLeft w:val="0"/>
          <w:marRight w:val="0"/>
          <w:marTop w:val="0"/>
          <w:marBottom w:val="0"/>
          <w:divBdr>
            <w:top w:val="none" w:sz="0" w:space="0" w:color="auto"/>
            <w:left w:val="none" w:sz="0" w:space="0" w:color="auto"/>
            <w:bottom w:val="none" w:sz="0" w:space="0" w:color="auto"/>
            <w:right w:val="none" w:sz="0" w:space="0" w:color="auto"/>
          </w:divBdr>
        </w:div>
        <w:div w:id="1205826117">
          <w:marLeft w:val="0"/>
          <w:marRight w:val="0"/>
          <w:marTop w:val="0"/>
          <w:marBottom w:val="0"/>
          <w:divBdr>
            <w:top w:val="none" w:sz="0" w:space="0" w:color="auto"/>
            <w:left w:val="none" w:sz="0" w:space="0" w:color="auto"/>
            <w:bottom w:val="none" w:sz="0" w:space="0" w:color="auto"/>
            <w:right w:val="none" w:sz="0" w:space="0" w:color="auto"/>
          </w:divBdr>
        </w:div>
        <w:div w:id="1332829162">
          <w:marLeft w:val="0"/>
          <w:marRight w:val="0"/>
          <w:marTop w:val="0"/>
          <w:marBottom w:val="0"/>
          <w:divBdr>
            <w:top w:val="none" w:sz="0" w:space="0" w:color="auto"/>
            <w:left w:val="none" w:sz="0" w:space="0" w:color="auto"/>
            <w:bottom w:val="none" w:sz="0" w:space="0" w:color="auto"/>
            <w:right w:val="none" w:sz="0" w:space="0" w:color="auto"/>
          </w:divBdr>
        </w:div>
        <w:div w:id="1370447077">
          <w:marLeft w:val="0"/>
          <w:marRight w:val="0"/>
          <w:marTop w:val="0"/>
          <w:marBottom w:val="0"/>
          <w:divBdr>
            <w:top w:val="none" w:sz="0" w:space="0" w:color="auto"/>
            <w:left w:val="none" w:sz="0" w:space="0" w:color="auto"/>
            <w:bottom w:val="none" w:sz="0" w:space="0" w:color="auto"/>
            <w:right w:val="none" w:sz="0" w:space="0" w:color="auto"/>
          </w:divBdr>
        </w:div>
        <w:div w:id="1478911465">
          <w:marLeft w:val="0"/>
          <w:marRight w:val="0"/>
          <w:marTop w:val="0"/>
          <w:marBottom w:val="0"/>
          <w:divBdr>
            <w:top w:val="none" w:sz="0" w:space="0" w:color="auto"/>
            <w:left w:val="none" w:sz="0" w:space="0" w:color="auto"/>
            <w:bottom w:val="none" w:sz="0" w:space="0" w:color="auto"/>
            <w:right w:val="none" w:sz="0" w:space="0" w:color="auto"/>
          </w:divBdr>
        </w:div>
        <w:div w:id="1481727311">
          <w:marLeft w:val="0"/>
          <w:marRight w:val="0"/>
          <w:marTop w:val="0"/>
          <w:marBottom w:val="0"/>
          <w:divBdr>
            <w:top w:val="none" w:sz="0" w:space="0" w:color="auto"/>
            <w:left w:val="none" w:sz="0" w:space="0" w:color="auto"/>
            <w:bottom w:val="none" w:sz="0" w:space="0" w:color="auto"/>
            <w:right w:val="none" w:sz="0" w:space="0" w:color="auto"/>
          </w:divBdr>
        </w:div>
        <w:div w:id="1529104664">
          <w:marLeft w:val="0"/>
          <w:marRight w:val="0"/>
          <w:marTop w:val="0"/>
          <w:marBottom w:val="0"/>
          <w:divBdr>
            <w:top w:val="none" w:sz="0" w:space="0" w:color="auto"/>
            <w:left w:val="none" w:sz="0" w:space="0" w:color="auto"/>
            <w:bottom w:val="none" w:sz="0" w:space="0" w:color="auto"/>
            <w:right w:val="none" w:sz="0" w:space="0" w:color="auto"/>
          </w:divBdr>
        </w:div>
        <w:div w:id="1555315448">
          <w:marLeft w:val="0"/>
          <w:marRight w:val="0"/>
          <w:marTop w:val="0"/>
          <w:marBottom w:val="0"/>
          <w:divBdr>
            <w:top w:val="none" w:sz="0" w:space="0" w:color="auto"/>
            <w:left w:val="none" w:sz="0" w:space="0" w:color="auto"/>
            <w:bottom w:val="none" w:sz="0" w:space="0" w:color="auto"/>
            <w:right w:val="none" w:sz="0" w:space="0" w:color="auto"/>
          </w:divBdr>
        </w:div>
        <w:div w:id="1591742322">
          <w:marLeft w:val="0"/>
          <w:marRight w:val="0"/>
          <w:marTop w:val="0"/>
          <w:marBottom w:val="0"/>
          <w:divBdr>
            <w:top w:val="none" w:sz="0" w:space="0" w:color="auto"/>
            <w:left w:val="none" w:sz="0" w:space="0" w:color="auto"/>
            <w:bottom w:val="none" w:sz="0" w:space="0" w:color="auto"/>
            <w:right w:val="none" w:sz="0" w:space="0" w:color="auto"/>
          </w:divBdr>
        </w:div>
        <w:div w:id="1600681640">
          <w:marLeft w:val="0"/>
          <w:marRight w:val="0"/>
          <w:marTop w:val="0"/>
          <w:marBottom w:val="0"/>
          <w:divBdr>
            <w:top w:val="none" w:sz="0" w:space="0" w:color="auto"/>
            <w:left w:val="none" w:sz="0" w:space="0" w:color="auto"/>
            <w:bottom w:val="none" w:sz="0" w:space="0" w:color="auto"/>
            <w:right w:val="none" w:sz="0" w:space="0" w:color="auto"/>
          </w:divBdr>
        </w:div>
        <w:div w:id="1820533167">
          <w:marLeft w:val="0"/>
          <w:marRight w:val="0"/>
          <w:marTop w:val="0"/>
          <w:marBottom w:val="0"/>
          <w:divBdr>
            <w:top w:val="none" w:sz="0" w:space="0" w:color="auto"/>
            <w:left w:val="none" w:sz="0" w:space="0" w:color="auto"/>
            <w:bottom w:val="none" w:sz="0" w:space="0" w:color="auto"/>
            <w:right w:val="none" w:sz="0" w:space="0" w:color="auto"/>
          </w:divBdr>
        </w:div>
        <w:div w:id="1998217426">
          <w:marLeft w:val="0"/>
          <w:marRight w:val="0"/>
          <w:marTop w:val="0"/>
          <w:marBottom w:val="0"/>
          <w:divBdr>
            <w:top w:val="none" w:sz="0" w:space="0" w:color="auto"/>
            <w:left w:val="none" w:sz="0" w:space="0" w:color="auto"/>
            <w:bottom w:val="none" w:sz="0" w:space="0" w:color="auto"/>
            <w:right w:val="none" w:sz="0" w:space="0" w:color="auto"/>
          </w:divBdr>
        </w:div>
        <w:div w:id="2034263369">
          <w:marLeft w:val="0"/>
          <w:marRight w:val="0"/>
          <w:marTop w:val="0"/>
          <w:marBottom w:val="0"/>
          <w:divBdr>
            <w:top w:val="none" w:sz="0" w:space="0" w:color="auto"/>
            <w:left w:val="none" w:sz="0" w:space="0" w:color="auto"/>
            <w:bottom w:val="none" w:sz="0" w:space="0" w:color="auto"/>
            <w:right w:val="none" w:sz="0" w:space="0" w:color="auto"/>
          </w:divBdr>
        </w:div>
        <w:div w:id="2096171404">
          <w:marLeft w:val="0"/>
          <w:marRight w:val="0"/>
          <w:marTop w:val="0"/>
          <w:marBottom w:val="0"/>
          <w:divBdr>
            <w:top w:val="none" w:sz="0" w:space="0" w:color="auto"/>
            <w:left w:val="none" w:sz="0" w:space="0" w:color="auto"/>
            <w:bottom w:val="none" w:sz="0" w:space="0" w:color="auto"/>
            <w:right w:val="none" w:sz="0" w:space="0" w:color="auto"/>
          </w:divBdr>
        </w:div>
      </w:divsChild>
    </w:div>
    <w:div w:id="1571231737">
      <w:bodyDiv w:val="1"/>
      <w:marLeft w:val="0"/>
      <w:marRight w:val="0"/>
      <w:marTop w:val="0"/>
      <w:marBottom w:val="0"/>
      <w:divBdr>
        <w:top w:val="none" w:sz="0" w:space="0" w:color="auto"/>
        <w:left w:val="none" w:sz="0" w:space="0" w:color="auto"/>
        <w:bottom w:val="none" w:sz="0" w:space="0" w:color="auto"/>
        <w:right w:val="none" w:sz="0" w:space="0" w:color="auto"/>
      </w:divBdr>
      <w:divsChild>
        <w:div w:id="198326906">
          <w:marLeft w:val="0"/>
          <w:marRight w:val="0"/>
          <w:marTop w:val="0"/>
          <w:marBottom w:val="0"/>
          <w:divBdr>
            <w:top w:val="none" w:sz="0" w:space="0" w:color="auto"/>
            <w:left w:val="none" w:sz="0" w:space="0" w:color="auto"/>
            <w:bottom w:val="none" w:sz="0" w:space="0" w:color="auto"/>
            <w:right w:val="none" w:sz="0" w:space="0" w:color="auto"/>
          </w:divBdr>
          <w:divsChild>
            <w:div w:id="416437588">
              <w:marLeft w:val="0"/>
              <w:marRight w:val="0"/>
              <w:marTop w:val="0"/>
              <w:marBottom w:val="0"/>
              <w:divBdr>
                <w:top w:val="none" w:sz="0" w:space="0" w:color="auto"/>
                <w:left w:val="none" w:sz="0" w:space="0" w:color="auto"/>
                <w:bottom w:val="none" w:sz="0" w:space="0" w:color="auto"/>
                <w:right w:val="none" w:sz="0" w:space="0" w:color="auto"/>
              </w:divBdr>
              <w:divsChild>
                <w:div w:id="15049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29978">
          <w:marLeft w:val="0"/>
          <w:marRight w:val="0"/>
          <w:marTop w:val="0"/>
          <w:marBottom w:val="0"/>
          <w:divBdr>
            <w:top w:val="none" w:sz="0" w:space="0" w:color="auto"/>
            <w:left w:val="none" w:sz="0" w:space="0" w:color="auto"/>
            <w:bottom w:val="none" w:sz="0" w:space="0" w:color="auto"/>
            <w:right w:val="none" w:sz="0" w:space="0" w:color="auto"/>
          </w:divBdr>
          <w:divsChild>
            <w:div w:id="786312191">
              <w:marLeft w:val="0"/>
              <w:marRight w:val="0"/>
              <w:marTop w:val="0"/>
              <w:marBottom w:val="0"/>
              <w:divBdr>
                <w:top w:val="none" w:sz="0" w:space="0" w:color="auto"/>
                <w:left w:val="none" w:sz="0" w:space="0" w:color="auto"/>
                <w:bottom w:val="none" w:sz="0" w:space="0" w:color="auto"/>
                <w:right w:val="none" w:sz="0" w:space="0" w:color="auto"/>
              </w:divBdr>
              <w:divsChild>
                <w:div w:id="17927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7589">
      <w:bodyDiv w:val="1"/>
      <w:marLeft w:val="0"/>
      <w:marRight w:val="0"/>
      <w:marTop w:val="0"/>
      <w:marBottom w:val="0"/>
      <w:divBdr>
        <w:top w:val="none" w:sz="0" w:space="0" w:color="auto"/>
        <w:left w:val="none" w:sz="0" w:space="0" w:color="auto"/>
        <w:bottom w:val="none" w:sz="0" w:space="0" w:color="auto"/>
        <w:right w:val="none" w:sz="0" w:space="0" w:color="auto"/>
      </w:divBdr>
      <w:divsChild>
        <w:div w:id="205569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758805">
      <w:bodyDiv w:val="1"/>
      <w:marLeft w:val="0"/>
      <w:marRight w:val="0"/>
      <w:marTop w:val="0"/>
      <w:marBottom w:val="0"/>
      <w:divBdr>
        <w:top w:val="none" w:sz="0" w:space="0" w:color="auto"/>
        <w:left w:val="none" w:sz="0" w:space="0" w:color="auto"/>
        <w:bottom w:val="none" w:sz="0" w:space="0" w:color="auto"/>
        <w:right w:val="none" w:sz="0" w:space="0" w:color="auto"/>
      </w:divBdr>
    </w:div>
    <w:div w:id="1650666751">
      <w:bodyDiv w:val="1"/>
      <w:marLeft w:val="0"/>
      <w:marRight w:val="0"/>
      <w:marTop w:val="0"/>
      <w:marBottom w:val="0"/>
      <w:divBdr>
        <w:top w:val="none" w:sz="0" w:space="0" w:color="auto"/>
        <w:left w:val="none" w:sz="0" w:space="0" w:color="auto"/>
        <w:bottom w:val="none" w:sz="0" w:space="0" w:color="auto"/>
        <w:right w:val="none" w:sz="0" w:space="0" w:color="auto"/>
      </w:divBdr>
    </w:div>
    <w:div w:id="1673099124">
      <w:bodyDiv w:val="1"/>
      <w:marLeft w:val="0"/>
      <w:marRight w:val="0"/>
      <w:marTop w:val="0"/>
      <w:marBottom w:val="0"/>
      <w:divBdr>
        <w:top w:val="none" w:sz="0" w:space="0" w:color="auto"/>
        <w:left w:val="none" w:sz="0" w:space="0" w:color="auto"/>
        <w:bottom w:val="none" w:sz="0" w:space="0" w:color="auto"/>
        <w:right w:val="none" w:sz="0" w:space="0" w:color="auto"/>
      </w:divBdr>
    </w:div>
    <w:div w:id="1736321943">
      <w:bodyDiv w:val="1"/>
      <w:marLeft w:val="0"/>
      <w:marRight w:val="0"/>
      <w:marTop w:val="0"/>
      <w:marBottom w:val="0"/>
      <w:divBdr>
        <w:top w:val="none" w:sz="0" w:space="0" w:color="auto"/>
        <w:left w:val="none" w:sz="0" w:space="0" w:color="auto"/>
        <w:bottom w:val="none" w:sz="0" w:space="0" w:color="auto"/>
        <w:right w:val="none" w:sz="0" w:space="0" w:color="auto"/>
      </w:divBdr>
    </w:div>
    <w:div w:id="1758404448">
      <w:bodyDiv w:val="1"/>
      <w:marLeft w:val="0"/>
      <w:marRight w:val="0"/>
      <w:marTop w:val="0"/>
      <w:marBottom w:val="0"/>
      <w:divBdr>
        <w:top w:val="none" w:sz="0" w:space="0" w:color="auto"/>
        <w:left w:val="none" w:sz="0" w:space="0" w:color="auto"/>
        <w:bottom w:val="none" w:sz="0" w:space="0" w:color="auto"/>
        <w:right w:val="none" w:sz="0" w:space="0" w:color="auto"/>
      </w:divBdr>
      <w:divsChild>
        <w:div w:id="199057769">
          <w:marLeft w:val="0"/>
          <w:marRight w:val="0"/>
          <w:marTop w:val="0"/>
          <w:marBottom w:val="0"/>
          <w:divBdr>
            <w:top w:val="none" w:sz="0" w:space="0" w:color="auto"/>
            <w:left w:val="none" w:sz="0" w:space="0" w:color="auto"/>
            <w:bottom w:val="none" w:sz="0" w:space="0" w:color="auto"/>
            <w:right w:val="none" w:sz="0" w:space="0" w:color="auto"/>
          </w:divBdr>
        </w:div>
        <w:div w:id="527723505">
          <w:marLeft w:val="0"/>
          <w:marRight w:val="0"/>
          <w:marTop w:val="0"/>
          <w:marBottom w:val="0"/>
          <w:divBdr>
            <w:top w:val="none" w:sz="0" w:space="0" w:color="auto"/>
            <w:left w:val="none" w:sz="0" w:space="0" w:color="auto"/>
            <w:bottom w:val="none" w:sz="0" w:space="0" w:color="auto"/>
            <w:right w:val="none" w:sz="0" w:space="0" w:color="auto"/>
          </w:divBdr>
        </w:div>
        <w:div w:id="605769498">
          <w:marLeft w:val="0"/>
          <w:marRight w:val="0"/>
          <w:marTop w:val="0"/>
          <w:marBottom w:val="0"/>
          <w:divBdr>
            <w:top w:val="none" w:sz="0" w:space="0" w:color="auto"/>
            <w:left w:val="none" w:sz="0" w:space="0" w:color="auto"/>
            <w:bottom w:val="none" w:sz="0" w:space="0" w:color="auto"/>
            <w:right w:val="none" w:sz="0" w:space="0" w:color="auto"/>
          </w:divBdr>
        </w:div>
        <w:div w:id="1212378336">
          <w:marLeft w:val="0"/>
          <w:marRight w:val="0"/>
          <w:marTop w:val="0"/>
          <w:marBottom w:val="0"/>
          <w:divBdr>
            <w:top w:val="none" w:sz="0" w:space="0" w:color="auto"/>
            <w:left w:val="none" w:sz="0" w:space="0" w:color="auto"/>
            <w:bottom w:val="none" w:sz="0" w:space="0" w:color="auto"/>
            <w:right w:val="none" w:sz="0" w:space="0" w:color="auto"/>
          </w:divBdr>
        </w:div>
        <w:div w:id="42221612">
          <w:marLeft w:val="0"/>
          <w:marRight w:val="0"/>
          <w:marTop w:val="0"/>
          <w:marBottom w:val="0"/>
          <w:divBdr>
            <w:top w:val="none" w:sz="0" w:space="0" w:color="auto"/>
            <w:left w:val="none" w:sz="0" w:space="0" w:color="auto"/>
            <w:bottom w:val="none" w:sz="0" w:space="0" w:color="auto"/>
            <w:right w:val="none" w:sz="0" w:space="0" w:color="auto"/>
          </w:divBdr>
        </w:div>
      </w:divsChild>
    </w:div>
    <w:div w:id="1772512125">
      <w:bodyDiv w:val="1"/>
      <w:marLeft w:val="0"/>
      <w:marRight w:val="0"/>
      <w:marTop w:val="0"/>
      <w:marBottom w:val="0"/>
      <w:divBdr>
        <w:top w:val="none" w:sz="0" w:space="0" w:color="auto"/>
        <w:left w:val="none" w:sz="0" w:space="0" w:color="auto"/>
        <w:bottom w:val="none" w:sz="0" w:space="0" w:color="auto"/>
        <w:right w:val="none" w:sz="0" w:space="0" w:color="auto"/>
      </w:divBdr>
    </w:div>
    <w:div w:id="1783912324">
      <w:bodyDiv w:val="1"/>
      <w:marLeft w:val="0"/>
      <w:marRight w:val="0"/>
      <w:marTop w:val="0"/>
      <w:marBottom w:val="0"/>
      <w:divBdr>
        <w:top w:val="none" w:sz="0" w:space="0" w:color="auto"/>
        <w:left w:val="none" w:sz="0" w:space="0" w:color="auto"/>
        <w:bottom w:val="none" w:sz="0" w:space="0" w:color="auto"/>
        <w:right w:val="none" w:sz="0" w:space="0" w:color="auto"/>
      </w:divBdr>
      <w:divsChild>
        <w:div w:id="1040519726">
          <w:marLeft w:val="0"/>
          <w:marRight w:val="0"/>
          <w:marTop w:val="0"/>
          <w:marBottom w:val="0"/>
          <w:divBdr>
            <w:top w:val="none" w:sz="0" w:space="0" w:color="auto"/>
            <w:left w:val="none" w:sz="0" w:space="0" w:color="auto"/>
            <w:bottom w:val="none" w:sz="0" w:space="0" w:color="auto"/>
            <w:right w:val="none" w:sz="0" w:space="0" w:color="auto"/>
          </w:divBdr>
          <w:divsChild>
            <w:div w:id="363484384">
              <w:marLeft w:val="0"/>
              <w:marRight w:val="0"/>
              <w:marTop w:val="0"/>
              <w:marBottom w:val="0"/>
              <w:divBdr>
                <w:top w:val="none" w:sz="0" w:space="0" w:color="auto"/>
                <w:left w:val="none" w:sz="0" w:space="0" w:color="auto"/>
                <w:bottom w:val="none" w:sz="0" w:space="0" w:color="auto"/>
                <w:right w:val="none" w:sz="0" w:space="0" w:color="auto"/>
              </w:divBdr>
              <w:divsChild>
                <w:div w:id="1838767888">
                  <w:marLeft w:val="0"/>
                  <w:marRight w:val="0"/>
                  <w:marTop w:val="0"/>
                  <w:marBottom w:val="0"/>
                  <w:divBdr>
                    <w:top w:val="none" w:sz="0" w:space="0" w:color="auto"/>
                    <w:left w:val="none" w:sz="0" w:space="0" w:color="auto"/>
                    <w:bottom w:val="none" w:sz="0" w:space="0" w:color="auto"/>
                    <w:right w:val="none" w:sz="0" w:space="0" w:color="auto"/>
                  </w:divBdr>
                  <w:divsChild>
                    <w:div w:id="194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641983">
      <w:bodyDiv w:val="1"/>
      <w:marLeft w:val="0"/>
      <w:marRight w:val="0"/>
      <w:marTop w:val="0"/>
      <w:marBottom w:val="0"/>
      <w:divBdr>
        <w:top w:val="none" w:sz="0" w:space="0" w:color="auto"/>
        <w:left w:val="none" w:sz="0" w:space="0" w:color="auto"/>
        <w:bottom w:val="none" w:sz="0" w:space="0" w:color="auto"/>
        <w:right w:val="none" w:sz="0" w:space="0" w:color="auto"/>
      </w:divBdr>
    </w:div>
    <w:div w:id="1874616493">
      <w:bodyDiv w:val="1"/>
      <w:marLeft w:val="0"/>
      <w:marRight w:val="0"/>
      <w:marTop w:val="0"/>
      <w:marBottom w:val="0"/>
      <w:divBdr>
        <w:top w:val="none" w:sz="0" w:space="0" w:color="auto"/>
        <w:left w:val="none" w:sz="0" w:space="0" w:color="auto"/>
        <w:bottom w:val="none" w:sz="0" w:space="0" w:color="auto"/>
        <w:right w:val="none" w:sz="0" w:space="0" w:color="auto"/>
      </w:divBdr>
      <w:divsChild>
        <w:div w:id="2127658743">
          <w:marLeft w:val="0"/>
          <w:marRight w:val="0"/>
          <w:marTop w:val="0"/>
          <w:marBottom w:val="0"/>
          <w:divBdr>
            <w:top w:val="none" w:sz="0" w:space="0" w:color="auto"/>
            <w:left w:val="none" w:sz="0" w:space="0" w:color="auto"/>
            <w:bottom w:val="none" w:sz="0" w:space="0" w:color="auto"/>
            <w:right w:val="none" w:sz="0" w:space="0" w:color="auto"/>
          </w:divBdr>
          <w:divsChild>
            <w:div w:id="1345089961">
              <w:marLeft w:val="0"/>
              <w:marRight w:val="0"/>
              <w:marTop w:val="0"/>
              <w:marBottom w:val="0"/>
              <w:divBdr>
                <w:top w:val="none" w:sz="0" w:space="0" w:color="auto"/>
                <w:left w:val="none" w:sz="0" w:space="0" w:color="auto"/>
                <w:bottom w:val="none" w:sz="0" w:space="0" w:color="auto"/>
                <w:right w:val="none" w:sz="0" w:space="0" w:color="auto"/>
              </w:divBdr>
              <w:divsChild>
                <w:div w:id="75523001">
                  <w:marLeft w:val="0"/>
                  <w:marRight w:val="0"/>
                  <w:marTop w:val="0"/>
                  <w:marBottom w:val="0"/>
                  <w:divBdr>
                    <w:top w:val="none" w:sz="0" w:space="0" w:color="auto"/>
                    <w:left w:val="none" w:sz="0" w:space="0" w:color="auto"/>
                    <w:bottom w:val="none" w:sz="0" w:space="0" w:color="auto"/>
                    <w:right w:val="none" w:sz="0" w:space="0" w:color="auto"/>
                  </w:divBdr>
                  <w:divsChild>
                    <w:div w:id="2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89873">
      <w:bodyDiv w:val="1"/>
      <w:marLeft w:val="0"/>
      <w:marRight w:val="0"/>
      <w:marTop w:val="0"/>
      <w:marBottom w:val="0"/>
      <w:divBdr>
        <w:top w:val="none" w:sz="0" w:space="0" w:color="auto"/>
        <w:left w:val="none" w:sz="0" w:space="0" w:color="auto"/>
        <w:bottom w:val="none" w:sz="0" w:space="0" w:color="auto"/>
        <w:right w:val="none" w:sz="0" w:space="0" w:color="auto"/>
      </w:divBdr>
    </w:div>
    <w:div w:id="1896116464">
      <w:bodyDiv w:val="1"/>
      <w:marLeft w:val="0"/>
      <w:marRight w:val="0"/>
      <w:marTop w:val="0"/>
      <w:marBottom w:val="0"/>
      <w:divBdr>
        <w:top w:val="none" w:sz="0" w:space="0" w:color="auto"/>
        <w:left w:val="none" w:sz="0" w:space="0" w:color="auto"/>
        <w:bottom w:val="none" w:sz="0" w:space="0" w:color="auto"/>
        <w:right w:val="none" w:sz="0" w:space="0" w:color="auto"/>
      </w:divBdr>
      <w:divsChild>
        <w:div w:id="1690569998">
          <w:marLeft w:val="0"/>
          <w:marRight w:val="0"/>
          <w:marTop w:val="0"/>
          <w:marBottom w:val="0"/>
          <w:divBdr>
            <w:top w:val="none" w:sz="0" w:space="0" w:color="auto"/>
            <w:left w:val="none" w:sz="0" w:space="0" w:color="auto"/>
            <w:bottom w:val="none" w:sz="0" w:space="0" w:color="auto"/>
            <w:right w:val="none" w:sz="0" w:space="0" w:color="auto"/>
          </w:divBdr>
        </w:div>
      </w:divsChild>
    </w:div>
    <w:div w:id="1905749042">
      <w:bodyDiv w:val="1"/>
      <w:marLeft w:val="0"/>
      <w:marRight w:val="0"/>
      <w:marTop w:val="0"/>
      <w:marBottom w:val="0"/>
      <w:divBdr>
        <w:top w:val="none" w:sz="0" w:space="0" w:color="auto"/>
        <w:left w:val="none" w:sz="0" w:space="0" w:color="auto"/>
        <w:bottom w:val="none" w:sz="0" w:space="0" w:color="auto"/>
        <w:right w:val="none" w:sz="0" w:space="0" w:color="auto"/>
      </w:divBdr>
    </w:div>
    <w:div w:id="1913807594">
      <w:bodyDiv w:val="1"/>
      <w:marLeft w:val="0"/>
      <w:marRight w:val="0"/>
      <w:marTop w:val="0"/>
      <w:marBottom w:val="0"/>
      <w:divBdr>
        <w:top w:val="none" w:sz="0" w:space="0" w:color="auto"/>
        <w:left w:val="none" w:sz="0" w:space="0" w:color="auto"/>
        <w:bottom w:val="none" w:sz="0" w:space="0" w:color="auto"/>
        <w:right w:val="none" w:sz="0" w:space="0" w:color="auto"/>
      </w:divBdr>
      <w:divsChild>
        <w:div w:id="1864592141">
          <w:marLeft w:val="0"/>
          <w:marRight w:val="0"/>
          <w:marTop w:val="0"/>
          <w:marBottom w:val="0"/>
          <w:divBdr>
            <w:top w:val="none" w:sz="0" w:space="0" w:color="auto"/>
            <w:left w:val="none" w:sz="0" w:space="0" w:color="auto"/>
            <w:bottom w:val="none" w:sz="0" w:space="0" w:color="auto"/>
            <w:right w:val="none" w:sz="0" w:space="0" w:color="auto"/>
          </w:divBdr>
          <w:divsChild>
            <w:div w:id="1017733897">
              <w:marLeft w:val="0"/>
              <w:marRight w:val="0"/>
              <w:marTop w:val="0"/>
              <w:marBottom w:val="0"/>
              <w:divBdr>
                <w:top w:val="none" w:sz="0" w:space="0" w:color="auto"/>
                <w:left w:val="none" w:sz="0" w:space="0" w:color="auto"/>
                <w:bottom w:val="none" w:sz="0" w:space="0" w:color="auto"/>
                <w:right w:val="none" w:sz="0" w:space="0" w:color="auto"/>
              </w:divBdr>
              <w:divsChild>
                <w:div w:id="2152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0236">
      <w:bodyDiv w:val="1"/>
      <w:marLeft w:val="0"/>
      <w:marRight w:val="0"/>
      <w:marTop w:val="0"/>
      <w:marBottom w:val="0"/>
      <w:divBdr>
        <w:top w:val="none" w:sz="0" w:space="0" w:color="auto"/>
        <w:left w:val="none" w:sz="0" w:space="0" w:color="auto"/>
        <w:bottom w:val="none" w:sz="0" w:space="0" w:color="auto"/>
        <w:right w:val="none" w:sz="0" w:space="0" w:color="auto"/>
      </w:divBdr>
    </w:div>
    <w:div w:id="1926182374">
      <w:bodyDiv w:val="1"/>
      <w:marLeft w:val="0"/>
      <w:marRight w:val="0"/>
      <w:marTop w:val="0"/>
      <w:marBottom w:val="0"/>
      <w:divBdr>
        <w:top w:val="none" w:sz="0" w:space="0" w:color="auto"/>
        <w:left w:val="none" w:sz="0" w:space="0" w:color="auto"/>
        <w:bottom w:val="none" w:sz="0" w:space="0" w:color="auto"/>
        <w:right w:val="none" w:sz="0" w:space="0" w:color="auto"/>
      </w:divBdr>
      <w:divsChild>
        <w:div w:id="739792101">
          <w:marLeft w:val="0"/>
          <w:marRight w:val="0"/>
          <w:marTop w:val="0"/>
          <w:marBottom w:val="0"/>
          <w:divBdr>
            <w:top w:val="none" w:sz="0" w:space="0" w:color="auto"/>
            <w:left w:val="none" w:sz="0" w:space="0" w:color="auto"/>
            <w:bottom w:val="none" w:sz="0" w:space="0" w:color="auto"/>
            <w:right w:val="none" w:sz="0" w:space="0" w:color="auto"/>
          </w:divBdr>
          <w:divsChild>
            <w:div w:id="986281857">
              <w:marLeft w:val="0"/>
              <w:marRight w:val="0"/>
              <w:marTop w:val="0"/>
              <w:marBottom w:val="0"/>
              <w:divBdr>
                <w:top w:val="none" w:sz="0" w:space="0" w:color="auto"/>
                <w:left w:val="none" w:sz="0" w:space="0" w:color="auto"/>
                <w:bottom w:val="none" w:sz="0" w:space="0" w:color="auto"/>
                <w:right w:val="none" w:sz="0" w:space="0" w:color="auto"/>
              </w:divBdr>
              <w:divsChild>
                <w:div w:id="25513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26235">
      <w:bodyDiv w:val="1"/>
      <w:marLeft w:val="0"/>
      <w:marRight w:val="0"/>
      <w:marTop w:val="0"/>
      <w:marBottom w:val="0"/>
      <w:divBdr>
        <w:top w:val="none" w:sz="0" w:space="0" w:color="auto"/>
        <w:left w:val="none" w:sz="0" w:space="0" w:color="auto"/>
        <w:bottom w:val="none" w:sz="0" w:space="0" w:color="auto"/>
        <w:right w:val="none" w:sz="0" w:space="0" w:color="auto"/>
      </w:divBdr>
      <w:divsChild>
        <w:div w:id="1717118424">
          <w:marLeft w:val="0"/>
          <w:marRight w:val="0"/>
          <w:marTop w:val="0"/>
          <w:marBottom w:val="0"/>
          <w:divBdr>
            <w:top w:val="none" w:sz="0" w:space="0" w:color="auto"/>
            <w:left w:val="none" w:sz="0" w:space="0" w:color="auto"/>
            <w:bottom w:val="none" w:sz="0" w:space="0" w:color="auto"/>
            <w:right w:val="none" w:sz="0" w:space="0" w:color="auto"/>
          </w:divBdr>
          <w:divsChild>
            <w:div w:id="1606886188">
              <w:marLeft w:val="0"/>
              <w:marRight w:val="0"/>
              <w:marTop w:val="0"/>
              <w:marBottom w:val="0"/>
              <w:divBdr>
                <w:top w:val="none" w:sz="0" w:space="0" w:color="auto"/>
                <w:left w:val="none" w:sz="0" w:space="0" w:color="auto"/>
                <w:bottom w:val="none" w:sz="0" w:space="0" w:color="auto"/>
                <w:right w:val="none" w:sz="0" w:space="0" w:color="auto"/>
              </w:divBdr>
              <w:divsChild>
                <w:div w:id="152589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5759">
      <w:bodyDiv w:val="1"/>
      <w:marLeft w:val="0"/>
      <w:marRight w:val="0"/>
      <w:marTop w:val="0"/>
      <w:marBottom w:val="0"/>
      <w:divBdr>
        <w:top w:val="none" w:sz="0" w:space="0" w:color="auto"/>
        <w:left w:val="none" w:sz="0" w:space="0" w:color="auto"/>
        <w:bottom w:val="none" w:sz="0" w:space="0" w:color="auto"/>
        <w:right w:val="none" w:sz="0" w:space="0" w:color="auto"/>
      </w:divBdr>
    </w:div>
    <w:div w:id="1953780286">
      <w:bodyDiv w:val="1"/>
      <w:marLeft w:val="0"/>
      <w:marRight w:val="0"/>
      <w:marTop w:val="0"/>
      <w:marBottom w:val="0"/>
      <w:divBdr>
        <w:top w:val="none" w:sz="0" w:space="0" w:color="auto"/>
        <w:left w:val="none" w:sz="0" w:space="0" w:color="auto"/>
        <w:bottom w:val="none" w:sz="0" w:space="0" w:color="auto"/>
        <w:right w:val="none" w:sz="0" w:space="0" w:color="auto"/>
      </w:divBdr>
    </w:div>
    <w:div w:id="1995908746">
      <w:bodyDiv w:val="1"/>
      <w:marLeft w:val="0"/>
      <w:marRight w:val="0"/>
      <w:marTop w:val="0"/>
      <w:marBottom w:val="0"/>
      <w:divBdr>
        <w:top w:val="none" w:sz="0" w:space="0" w:color="auto"/>
        <w:left w:val="none" w:sz="0" w:space="0" w:color="auto"/>
        <w:bottom w:val="none" w:sz="0" w:space="0" w:color="auto"/>
        <w:right w:val="none" w:sz="0" w:space="0" w:color="auto"/>
      </w:divBdr>
    </w:div>
    <w:div w:id="1998682100">
      <w:bodyDiv w:val="1"/>
      <w:marLeft w:val="0"/>
      <w:marRight w:val="0"/>
      <w:marTop w:val="0"/>
      <w:marBottom w:val="0"/>
      <w:divBdr>
        <w:top w:val="none" w:sz="0" w:space="0" w:color="auto"/>
        <w:left w:val="none" w:sz="0" w:space="0" w:color="auto"/>
        <w:bottom w:val="none" w:sz="0" w:space="0" w:color="auto"/>
        <w:right w:val="none" w:sz="0" w:space="0" w:color="auto"/>
      </w:divBdr>
      <w:divsChild>
        <w:div w:id="288363975">
          <w:marLeft w:val="0"/>
          <w:marRight w:val="0"/>
          <w:marTop w:val="0"/>
          <w:marBottom w:val="0"/>
          <w:divBdr>
            <w:top w:val="none" w:sz="0" w:space="0" w:color="auto"/>
            <w:left w:val="none" w:sz="0" w:space="0" w:color="auto"/>
            <w:bottom w:val="none" w:sz="0" w:space="0" w:color="auto"/>
            <w:right w:val="none" w:sz="0" w:space="0" w:color="auto"/>
          </w:divBdr>
          <w:divsChild>
            <w:div w:id="1383942556">
              <w:marLeft w:val="0"/>
              <w:marRight w:val="0"/>
              <w:marTop w:val="0"/>
              <w:marBottom w:val="0"/>
              <w:divBdr>
                <w:top w:val="none" w:sz="0" w:space="0" w:color="auto"/>
                <w:left w:val="none" w:sz="0" w:space="0" w:color="auto"/>
                <w:bottom w:val="none" w:sz="0" w:space="0" w:color="auto"/>
                <w:right w:val="none" w:sz="0" w:space="0" w:color="auto"/>
              </w:divBdr>
              <w:divsChild>
                <w:div w:id="15847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24469">
      <w:bodyDiv w:val="1"/>
      <w:marLeft w:val="0"/>
      <w:marRight w:val="0"/>
      <w:marTop w:val="0"/>
      <w:marBottom w:val="0"/>
      <w:divBdr>
        <w:top w:val="none" w:sz="0" w:space="0" w:color="auto"/>
        <w:left w:val="none" w:sz="0" w:space="0" w:color="auto"/>
        <w:bottom w:val="none" w:sz="0" w:space="0" w:color="auto"/>
        <w:right w:val="none" w:sz="0" w:space="0" w:color="auto"/>
      </w:divBdr>
    </w:div>
    <w:div w:id="2020811608">
      <w:bodyDiv w:val="1"/>
      <w:marLeft w:val="0"/>
      <w:marRight w:val="0"/>
      <w:marTop w:val="0"/>
      <w:marBottom w:val="0"/>
      <w:divBdr>
        <w:top w:val="none" w:sz="0" w:space="0" w:color="auto"/>
        <w:left w:val="none" w:sz="0" w:space="0" w:color="auto"/>
        <w:bottom w:val="none" w:sz="0" w:space="0" w:color="auto"/>
        <w:right w:val="none" w:sz="0" w:space="0" w:color="auto"/>
      </w:divBdr>
      <w:divsChild>
        <w:div w:id="433943029">
          <w:marLeft w:val="0"/>
          <w:marRight w:val="0"/>
          <w:marTop w:val="0"/>
          <w:marBottom w:val="0"/>
          <w:divBdr>
            <w:top w:val="none" w:sz="0" w:space="0" w:color="auto"/>
            <w:left w:val="none" w:sz="0" w:space="0" w:color="auto"/>
            <w:bottom w:val="none" w:sz="0" w:space="0" w:color="auto"/>
            <w:right w:val="none" w:sz="0" w:space="0" w:color="auto"/>
          </w:divBdr>
          <w:divsChild>
            <w:div w:id="1506634029">
              <w:marLeft w:val="0"/>
              <w:marRight w:val="0"/>
              <w:marTop w:val="0"/>
              <w:marBottom w:val="0"/>
              <w:divBdr>
                <w:top w:val="none" w:sz="0" w:space="0" w:color="auto"/>
                <w:left w:val="none" w:sz="0" w:space="0" w:color="auto"/>
                <w:bottom w:val="none" w:sz="0" w:space="0" w:color="auto"/>
                <w:right w:val="none" w:sz="0" w:space="0" w:color="auto"/>
              </w:divBdr>
              <w:divsChild>
                <w:div w:id="1979218131">
                  <w:marLeft w:val="0"/>
                  <w:marRight w:val="0"/>
                  <w:marTop w:val="0"/>
                  <w:marBottom w:val="0"/>
                  <w:divBdr>
                    <w:top w:val="none" w:sz="0" w:space="0" w:color="auto"/>
                    <w:left w:val="none" w:sz="0" w:space="0" w:color="auto"/>
                    <w:bottom w:val="none" w:sz="0" w:space="0" w:color="auto"/>
                    <w:right w:val="none" w:sz="0" w:space="0" w:color="auto"/>
                  </w:divBdr>
                  <w:divsChild>
                    <w:div w:id="73998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90440">
      <w:bodyDiv w:val="1"/>
      <w:marLeft w:val="0"/>
      <w:marRight w:val="0"/>
      <w:marTop w:val="0"/>
      <w:marBottom w:val="0"/>
      <w:divBdr>
        <w:top w:val="none" w:sz="0" w:space="0" w:color="auto"/>
        <w:left w:val="none" w:sz="0" w:space="0" w:color="auto"/>
        <w:bottom w:val="none" w:sz="0" w:space="0" w:color="auto"/>
        <w:right w:val="none" w:sz="0" w:space="0" w:color="auto"/>
      </w:divBdr>
    </w:div>
    <w:div w:id="2051220908">
      <w:bodyDiv w:val="1"/>
      <w:marLeft w:val="0"/>
      <w:marRight w:val="0"/>
      <w:marTop w:val="0"/>
      <w:marBottom w:val="0"/>
      <w:divBdr>
        <w:top w:val="none" w:sz="0" w:space="0" w:color="auto"/>
        <w:left w:val="none" w:sz="0" w:space="0" w:color="auto"/>
        <w:bottom w:val="none" w:sz="0" w:space="0" w:color="auto"/>
        <w:right w:val="none" w:sz="0" w:space="0" w:color="auto"/>
      </w:divBdr>
    </w:div>
    <w:div w:id="2053267858">
      <w:bodyDiv w:val="1"/>
      <w:marLeft w:val="0"/>
      <w:marRight w:val="0"/>
      <w:marTop w:val="0"/>
      <w:marBottom w:val="0"/>
      <w:divBdr>
        <w:top w:val="none" w:sz="0" w:space="0" w:color="auto"/>
        <w:left w:val="none" w:sz="0" w:space="0" w:color="auto"/>
        <w:bottom w:val="none" w:sz="0" w:space="0" w:color="auto"/>
        <w:right w:val="none" w:sz="0" w:space="0" w:color="auto"/>
      </w:divBdr>
      <w:divsChild>
        <w:div w:id="295448259">
          <w:marLeft w:val="0"/>
          <w:marRight w:val="0"/>
          <w:marTop w:val="0"/>
          <w:marBottom w:val="0"/>
          <w:divBdr>
            <w:top w:val="none" w:sz="0" w:space="0" w:color="auto"/>
            <w:left w:val="none" w:sz="0" w:space="0" w:color="auto"/>
            <w:bottom w:val="none" w:sz="0" w:space="0" w:color="auto"/>
            <w:right w:val="none" w:sz="0" w:space="0" w:color="auto"/>
          </w:divBdr>
          <w:divsChild>
            <w:div w:id="888030063">
              <w:marLeft w:val="0"/>
              <w:marRight w:val="0"/>
              <w:marTop w:val="0"/>
              <w:marBottom w:val="0"/>
              <w:divBdr>
                <w:top w:val="none" w:sz="0" w:space="0" w:color="auto"/>
                <w:left w:val="none" w:sz="0" w:space="0" w:color="auto"/>
                <w:bottom w:val="none" w:sz="0" w:space="0" w:color="auto"/>
                <w:right w:val="none" w:sz="0" w:space="0" w:color="auto"/>
              </w:divBdr>
              <w:divsChild>
                <w:div w:id="19697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5866">
      <w:bodyDiv w:val="1"/>
      <w:marLeft w:val="0"/>
      <w:marRight w:val="0"/>
      <w:marTop w:val="0"/>
      <w:marBottom w:val="0"/>
      <w:divBdr>
        <w:top w:val="none" w:sz="0" w:space="0" w:color="auto"/>
        <w:left w:val="none" w:sz="0" w:space="0" w:color="auto"/>
        <w:bottom w:val="none" w:sz="0" w:space="0" w:color="auto"/>
        <w:right w:val="none" w:sz="0" w:space="0" w:color="auto"/>
      </w:divBdr>
    </w:div>
    <w:div w:id="21166364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sex.shadowreport.org/public/2023-CRPD-Germany-NGO-Intersex-StopIGM.pdf"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oter" Target="footer1.xml"/><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footer" Target="footer3.xml"/><Relationship Id="rId47"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pIGM.or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https://Zwischengeschlecht.org/"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intersex.shadowreport.org/public/2023-CRPD-Germany-NGO-Intersex-StopIGM.docx" TargetMode="External"/><Relationship Id="rId17" Type="http://schemas.openxmlformats.org/officeDocument/2006/relationships/image" Target="media/image5.jp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header" Target="header2.xml"/><Relationship Id="rId46" Type="http://schemas.openxmlformats.org/officeDocument/2006/relationships/customXml" Target="../customXml/item3.xml"/><Relationship Id="rId20" Type="http://schemas.openxmlformats.org/officeDocument/2006/relationships/image" Target="media/image8.jpeg"/><Relationship Id="rId41"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dfat.gov.au/international-relations/themes/human-rights/hrc-statements/45th-session-human-rights-council/joint-statement-led-austria-rights-intersex-persons" TargetMode="External"/><Relationship Id="rId13" Type="http://schemas.openxmlformats.org/officeDocument/2006/relationships/hyperlink" Target="https://www.bmjv.de/SharedDocs/Gesetzgebungsverfahren/Dokumente/RefE_Verbot_OP_Geschlechtsaenderung_Kind.pdf?__blob=publicationFile&amp;v=2" TargetMode="External"/><Relationship Id="rId18" Type="http://schemas.openxmlformats.org/officeDocument/2006/relationships/hyperlink" Target="https://www.bmjv.de/SharedDocs/Gesetzgebungsverfahren/Dokumente/Bgbl_Varianten_der_Geschlechtsentwicklung.pdf?__blob=publicationFile&amp;v=3" TargetMode="External"/><Relationship Id="rId26" Type="http://schemas.openxmlformats.org/officeDocument/2006/relationships/hyperlink" Target="https://www.lto.de/recht/justiz/j/gesetz-zum-verbot-geschlechszuweisender-operationen-bei-intergeschlechtlichen-kindern-in-kraft-menschenrechte/" TargetMode="External"/><Relationship Id="rId39" Type="http://schemas.openxmlformats.org/officeDocument/2006/relationships/hyperlink" Target="https://stopigm.org/post/Nuremberg-Hermaphrodite-Lawsuit-Damages-and-Compensation-for-Intersex-Genital-Mutilations" TargetMode="External"/><Relationship Id="rId3" Type="http://schemas.openxmlformats.org/officeDocument/2006/relationships/hyperlink" Target="https://zwischengeschlecht.org/post/Statuten" TargetMode="External"/><Relationship Id="rId21" Type="http://schemas.openxmlformats.org/officeDocument/2006/relationships/hyperlink" Target="https://www.bundestag.de/resource/blob/816780/9f83fb0ab7d697f86581f5eb87293a44/stellungnahme-plett-data.pdf" TargetMode="External"/><Relationship Id="rId34" Type="http://schemas.openxmlformats.org/officeDocument/2006/relationships/hyperlink" Target="https://www.cdu.de/system/tdf/media/dokumente/koalitionsvertrag_2018.pdf?file=1" TargetMode="External"/><Relationship Id="rId42" Type="http://schemas.openxmlformats.org/officeDocument/2006/relationships/hyperlink" Target="http://hlcmr.de/wp-content/uploads/2015/01/Working_Paper_Nr.5.pdf" TargetMode="External"/><Relationship Id="rId7" Type="http://schemas.openxmlformats.org/officeDocument/2006/relationships/hyperlink" Target="https://intersex.shadowreport.org/public/2022-CRC-Germany-NGO-Intersex-StopIGM.pdf" TargetMode="External"/><Relationship Id="rId12" Type="http://schemas.openxmlformats.org/officeDocument/2006/relationships/hyperlink" Target="https://www.statistischebibliothek.de/mir/servlets/MCRFileNodeServlet/DEHeft_derivate_00048786/5231401167014_korr16012018.pdf" TargetMode="External"/><Relationship Id="rId17" Type="http://schemas.openxmlformats.org/officeDocument/2006/relationships/hyperlink" Target="https://www.bundestag.de/dokumente/textarchiv/2021/kw12-de-geschlechterentwicklung-kinder-830122" TargetMode="External"/><Relationship Id="rId25" Type="http://schemas.openxmlformats.org/officeDocument/2006/relationships/hyperlink" Target="https://oiieurope.org/a-good-first-step-germany-adopts-law-banning-igm/" TargetMode="External"/><Relationship Id="rId33" Type="http://schemas.openxmlformats.org/officeDocument/2006/relationships/hyperlink" Target="https://www.bmfsfj.de/blob/112092/f199e9c4b77f89d0a5aa825228384e08/imag-band-5-situation-von-trans-und-intersexuellen-menschen-data.pdf" TargetMode="External"/><Relationship Id="rId38" Type="http://schemas.openxmlformats.org/officeDocument/2006/relationships/hyperlink" Target="https://zwischengeschlecht.org/pages/Hermaphrodite-wins-damage-claim" TargetMode="External"/><Relationship Id="rId2" Type="http://schemas.openxmlformats.org/officeDocument/2006/relationships/hyperlink" Target="https://StopIGM.org" TargetMode="External"/><Relationship Id="rId16" Type="http://schemas.openxmlformats.org/officeDocument/2006/relationships/hyperlink" Target="https://dserver.bundestag.de/btd/19/279/1927929.pdf" TargetMode="External"/><Relationship Id="rId20" Type="http://schemas.openxmlformats.org/officeDocument/2006/relationships/hyperlink" Target="https://www.bundestag.de/resource/blob/816514/8705e20395ba739e8881d13bca030aff/stellungnahme-kloeppel-data.pdf" TargetMode="External"/><Relationship Id="rId29" Type="http://schemas.openxmlformats.org/officeDocument/2006/relationships/hyperlink" Target="https://media.un.org/en/asset/k1y/k1ytpbjd08" TargetMode="External"/><Relationship Id="rId41" Type="http://schemas.openxmlformats.org/officeDocument/2006/relationships/hyperlink" Target="http://hlcmr.de/wp-content/uploads/2015/01/Working_Paper_Nr.5.pdf" TargetMode="External"/><Relationship Id="rId1" Type="http://schemas.openxmlformats.org/officeDocument/2006/relationships/hyperlink" Target="https://Zwischengeschlecht.org/" TargetMode="External"/><Relationship Id="rId6" Type="http://schemas.openxmlformats.org/officeDocument/2006/relationships/hyperlink" Target="https://intersex.shadowreport.org/public/2018-CRPD-LOIPR-Germany-NGO-Zwischengeschlecht-Intersex-IGM.pdf" TargetMode="External"/><Relationship Id="rId11" Type="http://schemas.openxmlformats.org/officeDocument/2006/relationships/hyperlink" Target="https://omp.ub.rub.de/index.php/RUB/catalog/view/113/99/604-4" TargetMode="External"/><Relationship Id="rId24" Type="http://schemas.openxmlformats.org/officeDocument/2006/relationships/hyperlink" Target="https://oiigermany.org/ein-steiniger-weg-fuer-menschenrechte/" TargetMode="External"/><Relationship Id="rId32" Type="http://schemas.openxmlformats.org/officeDocument/2006/relationships/hyperlink" Target="https://intersex.shadowreport.org/public/2023-CRPD-Austria-NGO-Intersex-StopIGM.pdf" TargetMode="External"/><Relationship Id="rId37" Type="http://schemas.openxmlformats.org/officeDocument/2006/relationships/hyperlink" Target="http://www.justiz.nrw.de/nrwe/lgs/koeln/lg_koeln/j2009/25_O_179_07schlussurteil20090812.html" TargetMode="External"/><Relationship Id="rId40" Type="http://schemas.openxmlformats.org/officeDocument/2006/relationships/hyperlink" Target="https://www.nordbayern.de/region/nuernberg/penis-amputation-intersexuelle-verklagt-uni-klinik-erlangen-1.8603872" TargetMode="External"/><Relationship Id="rId45" Type="http://schemas.openxmlformats.org/officeDocument/2006/relationships/hyperlink" Target="https://www.bmfsfj.de/blob/112092/f199e9c4b77f89d0a5aa825228384e08/imag-band-5-situation-von-trans-und-intersexuellen-menschen-data.pdf" TargetMode="External"/><Relationship Id="rId5" Type="http://schemas.openxmlformats.org/officeDocument/2006/relationships/hyperlink" Target="https://stopigm.org/post/IAD-2016-Soon-20-UN-Reprimands-for-Intersex-Genital-Mutilations" TargetMode="External"/><Relationship Id="rId15" Type="http://schemas.openxmlformats.org/officeDocument/2006/relationships/hyperlink" Target="https://dip21.bundestag.de/dip21/btd/19/246/1924686.pdf" TargetMode="External"/><Relationship Id="rId23" Type="http://schemas.openxmlformats.org/officeDocument/2006/relationships/hyperlink" Target="https://blog.zwischengeschlecht.info/post/2021/04/18/Das-deutsche-Intersex-Gesetz-und-die-Schweiz" TargetMode="External"/><Relationship Id="rId28" Type="http://schemas.openxmlformats.org/officeDocument/2006/relationships/hyperlink" Target="https://blog.zwischengeschlecht.info/post/2021/11/03/Intersex-Genitalverstmmelung-UNCCPR-befragt-Deutschland" TargetMode="External"/><Relationship Id="rId36" Type="http://schemas.openxmlformats.org/officeDocument/2006/relationships/hyperlink" Target="http://kastrationsspital.ch/public/19_10_HH_Wortpr_Intersex.pdf" TargetMode="External"/><Relationship Id="rId10" Type="http://schemas.openxmlformats.org/officeDocument/2006/relationships/hyperlink" Target="https://stopigm.org/post/IAD-2016-Soon-20-UN-Reprimands-for-Intersex-Genital-Mutilations" TargetMode="External"/><Relationship Id="rId19" Type="http://schemas.openxmlformats.org/officeDocument/2006/relationships/hyperlink" Target="https://www.bundestag.de/resource/blob/816910/9ef1eb47e5d5954c6164ee9dec3a3bb8/stellungnahme-kittel_dim-data.pdf" TargetMode="External"/><Relationship Id="rId31" Type="http://schemas.openxmlformats.org/officeDocument/2006/relationships/hyperlink" Target="https://d56bochluxqnz.cloudfront.net/documents/full-guideline/EAU-Guidelines-on-Paediatric-Urology-2023.pdf" TargetMode="External"/><Relationship Id="rId44" Type="http://schemas.openxmlformats.org/officeDocument/2006/relationships/hyperlink" Target="https://zwischengeschlecht.org/public/Hamburg-Intersex-OEG-Urteil-19-12-2018_S-12-VE_46-14_web.pdf" TargetMode="External"/><Relationship Id="rId4" Type="http://schemas.openxmlformats.org/officeDocument/2006/relationships/hyperlink" Target="https://intersex.shadowreport.org" TargetMode="External"/><Relationship Id="rId9" Type="http://schemas.openxmlformats.org/officeDocument/2006/relationships/hyperlink" Target="https://www.bmeia.gv.at/oev-genf/speeches/alle/2021/10/united-nations-human-rights-council-48th-session-joint-statement-on-the-human-rights-of-intersex-persons/" TargetMode="External"/><Relationship Id="rId14" Type="http://schemas.openxmlformats.org/officeDocument/2006/relationships/hyperlink" Target="https://stopigm.org/german-draft-law-fails-intersex-children/" TargetMode="External"/><Relationship Id="rId22" Type="http://schemas.openxmlformats.org/officeDocument/2006/relationships/hyperlink" Target="https://im-ev.de/wp-content/uploads/2021/03/2021-03-26-PM-Verbot-von-Operationen.pdf" TargetMode="External"/><Relationship Id="rId27" Type="http://schemas.openxmlformats.org/officeDocument/2006/relationships/hyperlink" Target="https://www.reuters.com/article/us-germany-lgbt-health-idUSKBN2BI2MC" TargetMode="External"/><Relationship Id="rId30" Type="http://schemas.openxmlformats.org/officeDocument/2006/relationships/hyperlink" Target="https://uroweb.org/guidelines/endorsement/" TargetMode="External"/><Relationship Id="rId35" Type="http://schemas.openxmlformats.org/officeDocument/2006/relationships/hyperlink" Target="http://www.gleichstellungsministerkonferenz.de/documents/2014_10_13_Beschluesse_GESAMT_Extern.pdf" TargetMode="External"/><Relationship Id="rId43" Type="http://schemas.openxmlformats.org/officeDocument/2006/relationships/hyperlink" Target="https://web.archive.org/web/20131114044728/http:/www.nordbayern.de/nuernberger-nachrichten/region-bayern/schmerzliche-suche-nach-dem-eigenen-geschlecht-1.3257295"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2024-04-09T19:32:25+00:00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47ACEAC-FF43-4AB6-874F-694FBC98D673}">
  <ds:schemaRefs>
    <ds:schemaRef ds:uri="http://schemas.openxmlformats.org/officeDocument/2006/bibliography"/>
  </ds:schemaRefs>
</ds:datastoreItem>
</file>

<file path=customXml/itemProps2.xml><?xml version="1.0" encoding="utf-8"?>
<ds:datastoreItem xmlns:ds="http://schemas.openxmlformats.org/officeDocument/2006/customXml" ds:itemID="{BB26D517-7ACC-4A24-A906-7F7392D1720A}"/>
</file>

<file path=customXml/itemProps3.xml><?xml version="1.0" encoding="utf-8"?>
<ds:datastoreItem xmlns:ds="http://schemas.openxmlformats.org/officeDocument/2006/customXml" ds:itemID="{B1638C28-DF94-42EB-8E85-784B0759D451}"/>
</file>

<file path=customXml/itemProps4.xml><?xml version="1.0" encoding="utf-8"?>
<ds:datastoreItem xmlns:ds="http://schemas.openxmlformats.org/officeDocument/2006/customXml" ds:itemID="{B4BA75B5-31A1-4AC4-975F-3B32785A7B70}"/>
</file>

<file path=docProps/app.xml><?xml version="1.0" encoding="utf-8"?>
<Properties xmlns="http://schemas.openxmlformats.org/officeDocument/2006/extended-properties" xmlns:vt="http://schemas.openxmlformats.org/officeDocument/2006/docPropsVTypes">
  <Template>Normal.dotm</Template>
  <TotalTime>0</TotalTime>
  <Pages>30</Pages>
  <Words>7929</Words>
  <Characters>45836</Characters>
  <Application>Microsoft Office Word</Application>
  <DocSecurity>0</DocSecurity>
  <Lines>776</Lines>
  <Paragraphs>325</Paragraphs>
  <ScaleCrop>false</ScaleCrop>
  <HeadingPairs>
    <vt:vector size="2" baseType="variant">
      <vt:variant>
        <vt:lpstr>Titel</vt:lpstr>
      </vt:variant>
      <vt:variant>
        <vt:i4>1</vt:i4>
      </vt:variant>
    </vt:vector>
  </HeadingPairs>
  <TitlesOfParts>
    <vt:vector size="1" baseType="lpstr">
      <vt:lpstr>Intersex Genital Mutilation - CRPD Germany NGO Report (for Session) 2023</vt:lpstr>
    </vt:vector>
  </TitlesOfParts>
  <Manager/>
  <Company/>
  <LinksUpToDate>false</LinksUpToDate>
  <CharactersWithSpaces>53440</CharactersWithSpaces>
  <SharedDoc>false</SharedDoc>
  <HyperlinkBase/>
  <HLinks>
    <vt:vector size="282" baseType="variant">
      <vt:variant>
        <vt:i4>1769521</vt:i4>
      </vt:variant>
      <vt:variant>
        <vt:i4>86</vt:i4>
      </vt:variant>
      <vt:variant>
        <vt:i4>0</vt:i4>
      </vt:variant>
      <vt:variant>
        <vt:i4>5</vt:i4>
      </vt:variant>
      <vt:variant>
        <vt:lpwstr/>
      </vt:variant>
      <vt:variant>
        <vt:lpwstr>_Toc486307301</vt:lpwstr>
      </vt:variant>
      <vt:variant>
        <vt:i4>1769521</vt:i4>
      </vt:variant>
      <vt:variant>
        <vt:i4>80</vt:i4>
      </vt:variant>
      <vt:variant>
        <vt:i4>0</vt:i4>
      </vt:variant>
      <vt:variant>
        <vt:i4>5</vt:i4>
      </vt:variant>
      <vt:variant>
        <vt:lpwstr/>
      </vt:variant>
      <vt:variant>
        <vt:lpwstr>_Toc486307300</vt:lpwstr>
      </vt:variant>
      <vt:variant>
        <vt:i4>1179696</vt:i4>
      </vt:variant>
      <vt:variant>
        <vt:i4>74</vt:i4>
      </vt:variant>
      <vt:variant>
        <vt:i4>0</vt:i4>
      </vt:variant>
      <vt:variant>
        <vt:i4>5</vt:i4>
      </vt:variant>
      <vt:variant>
        <vt:lpwstr/>
      </vt:variant>
      <vt:variant>
        <vt:lpwstr>_Toc486307299</vt:lpwstr>
      </vt:variant>
      <vt:variant>
        <vt:i4>1179696</vt:i4>
      </vt:variant>
      <vt:variant>
        <vt:i4>68</vt:i4>
      </vt:variant>
      <vt:variant>
        <vt:i4>0</vt:i4>
      </vt:variant>
      <vt:variant>
        <vt:i4>5</vt:i4>
      </vt:variant>
      <vt:variant>
        <vt:lpwstr/>
      </vt:variant>
      <vt:variant>
        <vt:lpwstr>_Toc486307298</vt:lpwstr>
      </vt:variant>
      <vt:variant>
        <vt:i4>1179696</vt:i4>
      </vt:variant>
      <vt:variant>
        <vt:i4>62</vt:i4>
      </vt:variant>
      <vt:variant>
        <vt:i4>0</vt:i4>
      </vt:variant>
      <vt:variant>
        <vt:i4>5</vt:i4>
      </vt:variant>
      <vt:variant>
        <vt:lpwstr/>
      </vt:variant>
      <vt:variant>
        <vt:lpwstr>_Toc486307297</vt:lpwstr>
      </vt:variant>
      <vt:variant>
        <vt:i4>1179696</vt:i4>
      </vt:variant>
      <vt:variant>
        <vt:i4>56</vt:i4>
      </vt:variant>
      <vt:variant>
        <vt:i4>0</vt:i4>
      </vt:variant>
      <vt:variant>
        <vt:i4>5</vt:i4>
      </vt:variant>
      <vt:variant>
        <vt:lpwstr/>
      </vt:variant>
      <vt:variant>
        <vt:lpwstr>_Toc486307296</vt:lpwstr>
      </vt:variant>
      <vt:variant>
        <vt:i4>1179696</vt:i4>
      </vt:variant>
      <vt:variant>
        <vt:i4>50</vt:i4>
      </vt:variant>
      <vt:variant>
        <vt:i4>0</vt:i4>
      </vt:variant>
      <vt:variant>
        <vt:i4>5</vt:i4>
      </vt:variant>
      <vt:variant>
        <vt:lpwstr/>
      </vt:variant>
      <vt:variant>
        <vt:lpwstr>_Toc486307295</vt:lpwstr>
      </vt:variant>
      <vt:variant>
        <vt:i4>1179696</vt:i4>
      </vt:variant>
      <vt:variant>
        <vt:i4>44</vt:i4>
      </vt:variant>
      <vt:variant>
        <vt:i4>0</vt:i4>
      </vt:variant>
      <vt:variant>
        <vt:i4>5</vt:i4>
      </vt:variant>
      <vt:variant>
        <vt:lpwstr/>
      </vt:variant>
      <vt:variant>
        <vt:lpwstr>_Toc486307294</vt:lpwstr>
      </vt:variant>
      <vt:variant>
        <vt:i4>1179696</vt:i4>
      </vt:variant>
      <vt:variant>
        <vt:i4>38</vt:i4>
      </vt:variant>
      <vt:variant>
        <vt:i4>0</vt:i4>
      </vt:variant>
      <vt:variant>
        <vt:i4>5</vt:i4>
      </vt:variant>
      <vt:variant>
        <vt:lpwstr/>
      </vt:variant>
      <vt:variant>
        <vt:lpwstr>_Toc486307293</vt:lpwstr>
      </vt:variant>
      <vt:variant>
        <vt:i4>1179696</vt:i4>
      </vt:variant>
      <vt:variant>
        <vt:i4>32</vt:i4>
      </vt:variant>
      <vt:variant>
        <vt:i4>0</vt:i4>
      </vt:variant>
      <vt:variant>
        <vt:i4>5</vt:i4>
      </vt:variant>
      <vt:variant>
        <vt:lpwstr/>
      </vt:variant>
      <vt:variant>
        <vt:lpwstr>_Toc486307292</vt:lpwstr>
      </vt:variant>
      <vt:variant>
        <vt:i4>1179696</vt:i4>
      </vt:variant>
      <vt:variant>
        <vt:i4>26</vt:i4>
      </vt:variant>
      <vt:variant>
        <vt:i4>0</vt:i4>
      </vt:variant>
      <vt:variant>
        <vt:i4>5</vt:i4>
      </vt:variant>
      <vt:variant>
        <vt:lpwstr/>
      </vt:variant>
      <vt:variant>
        <vt:lpwstr>_Toc486307291</vt:lpwstr>
      </vt:variant>
      <vt:variant>
        <vt:i4>1179696</vt:i4>
      </vt:variant>
      <vt:variant>
        <vt:i4>20</vt:i4>
      </vt:variant>
      <vt:variant>
        <vt:i4>0</vt:i4>
      </vt:variant>
      <vt:variant>
        <vt:i4>5</vt:i4>
      </vt:variant>
      <vt:variant>
        <vt:lpwstr/>
      </vt:variant>
      <vt:variant>
        <vt:lpwstr>_Toc486307290</vt:lpwstr>
      </vt:variant>
      <vt:variant>
        <vt:i4>1245232</vt:i4>
      </vt:variant>
      <vt:variant>
        <vt:i4>14</vt:i4>
      </vt:variant>
      <vt:variant>
        <vt:i4>0</vt:i4>
      </vt:variant>
      <vt:variant>
        <vt:i4>5</vt:i4>
      </vt:variant>
      <vt:variant>
        <vt:lpwstr/>
      </vt:variant>
      <vt:variant>
        <vt:lpwstr>_Toc486307289</vt:lpwstr>
      </vt:variant>
      <vt:variant>
        <vt:i4>131147</vt:i4>
      </vt:variant>
      <vt:variant>
        <vt:i4>9</vt:i4>
      </vt:variant>
      <vt:variant>
        <vt:i4>0</vt:i4>
      </vt:variant>
      <vt:variant>
        <vt:i4>5</vt:i4>
      </vt:variant>
      <vt:variant>
        <vt:lpwstr>http://intersex.shadowreport.org/public/2017-CAT-LoIPR-Swiss-NGO-Zwischengeschlecht-Intersex-IGM.pdf</vt:lpwstr>
      </vt:variant>
      <vt:variant>
        <vt:lpwstr/>
      </vt:variant>
      <vt:variant>
        <vt:i4>6750314</vt:i4>
      </vt:variant>
      <vt:variant>
        <vt:i4>6</vt:i4>
      </vt:variant>
      <vt:variant>
        <vt:i4>0</vt:i4>
      </vt:variant>
      <vt:variant>
        <vt:i4>5</vt:i4>
      </vt:variant>
      <vt:variant>
        <vt:lpwstr>http://intersex.ch/</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3276858</vt:i4>
      </vt:variant>
      <vt:variant>
        <vt:i4>87</vt:i4>
      </vt:variant>
      <vt:variant>
        <vt:i4>0</vt:i4>
      </vt:variant>
      <vt:variant>
        <vt:i4>5</vt:i4>
      </vt:variant>
      <vt:variant>
        <vt:lpwstr>http://stop.genitalmutilation.org/post/IGM-Only-Fear-of-the-Judge-Will-Make-Surgeons-Change</vt:lpwstr>
      </vt:variant>
      <vt:variant>
        <vt:lpwstr/>
      </vt:variant>
      <vt:variant>
        <vt:i4>5373989</vt:i4>
      </vt:variant>
      <vt:variant>
        <vt:i4>84</vt:i4>
      </vt:variant>
      <vt:variant>
        <vt:i4>0</vt:i4>
      </vt:variant>
      <vt:variant>
        <vt:i4>5</vt:i4>
      </vt:variant>
      <vt:variant>
        <vt:lpwstr>http://www.swissinfo.ch/eng/swiss_news/Third_gender_fights_for_recognition.html?cid=34791620</vt:lpwstr>
      </vt:variant>
      <vt:variant>
        <vt:lpwstr/>
      </vt:variant>
      <vt:variant>
        <vt:i4>7471165</vt:i4>
      </vt:variant>
      <vt:variant>
        <vt:i4>81</vt:i4>
      </vt:variant>
      <vt:variant>
        <vt:i4>0</vt:i4>
      </vt:variant>
      <vt:variant>
        <vt:i4>5</vt:i4>
      </vt:variant>
      <vt:variant>
        <vt:lpwstr>http://www.nek-cne.ch/fileadmin/nek-cne-dateien/Themen/Stellungnahmen/en/NEK_Intersexualitaet_En.pdf</vt:lpwstr>
      </vt:variant>
      <vt:variant>
        <vt:lpwstr/>
      </vt:variant>
      <vt:variant>
        <vt:i4>983053</vt:i4>
      </vt:variant>
      <vt:variant>
        <vt:i4>78</vt:i4>
      </vt:variant>
      <vt:variant>
        <vt:i4>0</vt:i4>
      </vt:variant>
      <vt:variant>
        <vt:i4>5</vt:i4>
      </vt:variant>
      <vt:variant>
        <vt:lpwstr>http://www.snf.ch/en/researchinFocus/newsroom/Pages/news-161010-press-release-reviewing-the-treatment-of-differences-of-sex-development.aspx</vt:lpwstr>
      </vt:variant>
      <vt:variant>
        <vt:lpwstr/>
      </vt:variant>
      <vt:variant>
        <vt:i4>6881335</vt:i4>
      </vt:variant>
      <vt:variant>
        <vt:i4>75</vt:i4>
      </vt:variant>
      <vt:variant>
        <vt:i4>0</vt:i4>
      </vt:variant>
      <vt:variant>
        <vt:i4>5</vt:i4>
      </vt:variant>
      <vt:variant>
        <vt:lpwstr>https://www.admin.ch/gov/fr/accueil/documentation/communiques.msg-id-62507.html</vt:lpwstr>
      </vt:variant>
      <vt:variant>
        <vt:lpwstr/>
      </vt:variant>
      <vt:variant>
        <vt:i4>3407993</vt:i4>
      </vt:variant>
      <vt:variant>
        <vt:i4>72</vt:i4>
      </vt:variant>
      <vt:variant>
        <vt:i4>0</vt:i4>
      </vt:variant>
      <vt:variant>
        <vt:i4>5</vt:i4>
      </vt:variant>
      <vt:variant>
        <vt:lpwstr>https://www.parlament.ch/de/ratsbetrieb/amtliches-bulletin/amtliches-bulletin-die-verhandlungen?SubjectId=40660</vt:lpwstr>
      </vt:variant>
      <vt:variant>
        <vt:lpwstr/>
      </vt:variant>
      <vt:variant>
        <vt:i4>3276927</vt:i4>
      </vt:variant>
      <vt:variant>
        <vt:i4>69</vt:i4>
      </vt:variant>
      <vt:variant>
        <vt:i4>0</vt:i4>
      </vt:variant>
      <vt:variant>
        <vt:i4>5</vt:i4>
      </vt:variant>
      <vt:variant>
        <vt:lpwstr>https://www.parlament.ch/de/ratsbetrieb/amtliches-bulletin/amtliches-bulletin-die-verhandlungen?SubjectId=39798</vt:lpwstr>
      </vt:variant>
      <vt:variant>
        <vt:lpwstr/>
      </vt:variant>
      <vt:variant>
        <vt:i4>3932234</vt:i4>
      </vt:variant>
      <vt:variant>
        <vt:i4>66</vt:i4>
      </vt:variant>
      <vt:variant>
        <vt:i4>0</vt:i4>
      </vt:variant>
      <vt:variant>
        <vt:i4>5</vt:i4>
      </vt:variant>
      <vt:variant>
        <vt:lpwstr>https://www.parlament.ch/centers/kb/Documents/2015/Kommissionsbericht_RK-N_15.2043_2017-04-06.pdf</vt:lpwstr>
      </vt:variant>
      <vt:variant>
        <vt:lpwstr/>
      </vt:variant>
      <vt:variant>
        <vt:i4>2490447</vt:i4>
      </vt:variant>
      <vt:variant>
        <vt:i4>63</vt:i4>
      </vt:variant>
      <vt:variant>
        <vt:i4>0</vt:i4>
      </vt:variant>
      <vt:variant>
        <vt:i4>5</vt:i4>
      </vt:variant>
      <vt:variant>
        <vt:lpwstr>https://www.parlament.ch/centers/kb/Documents/2015/Kommissionsbericht_RK-S_15.2043_2017-01-23.pdf</vt:lpwstr>
      </vt:variant>
      <vt:variant>
        <vt:lpwstr/>
      </vt:variant>
      <vt:variant>
        <vt:i4>6881330</vt:i4>
      </vt:variant>
      <vt:variant>
        <vt:i4>60</vt:i4>
      </vt:variant>
      <vt:variant>
        <vt:i4>0</vt:i4>
      </vt:variant>
      <vt:variant>
        <vt:i4>5</vt:i4>
      </vt:variant>
      <vt:variant>
        <vt:lpwstr>http://zwischengeschlecht.org/public/Offener_Brief_Zwischengeschlecht_Bern_10-12-2015.pdf</vt:lpwstr>
      </vt:variant>
      <vt:variant>
        <vt:lpwstr/>
      </vt:variant>
      <vt:variant>
        <vt:i4>6881335</vt:i4>
      </vt:variant>
      <vt:variant>
        <vt:i4>57</vt:i4>
      </vt:variant>
      <vt:variant>
        <vt:i4>0</vt:i4>
      </vt:variant>
      <vt:variant>
        <vt:i4>5</vt:i4>
      </vt:variant>
      <vt:variant>
        <vt:lpwstr>https://www.admin.ch/gov/fr/accueil/documentation/communiques.msg-id-62507.html</vt:lpwstr>
      </vt:variant>
      <vt:variant>
        <vt:lpwstr/>
      </vt:variant>
      <vt:variant>
        <vt:i4>1310769</vt:i4>
      </vt:variant>
      <vt:variant>
        <vt:i4>54</vt:i4>
      </vt:variant>
      <vt:variant>
        <vt:i4>0</vt:i4>
      </vt:variant>
      <vt:variant>
        <vt:i4>5</vt:i4>
      </vt:variant>
      <vt:variant>
        <vt:lpwstr>http://tbinternet.ohchr.org/_layouts/treatybodyexternal/Download.aspx?symbolno=CCPR%2FC%2FCHE%2F4&amp;Lang=en</vt:lpwstr>
      </vt:variant>
      <vt:variant>
        <vt:lpwstr/>
      </vt:variant>
      <vt:variant>
        <vt:i4>6881335</vt:i4>
      </vt:variant>
      <vt:variant>
        <vt:i4>51</vt:i4>
      </vt:variant>
      <vt:variant>
        <vt:i4>0</vt:i4>
      </vt:variant>
      <vt:variant>
        <vt:i4>5</vt:i4>
      </vt:variant>
      <vt:variant>
        <vt:lpwstr>https://www.admin.ch/gov/fr/accueil/documentation/communiques.msg-id-62507.html</vt:lpwstr>
      </vt:variant>
      <vt:variant>
        <vt:lpwstr/>
      </vt:variant>
      <vt:variant>
        <vt:i4>1310769</vt:i4>
      </vt:variant>
      <vt:variant>
        <vt:i4>48</vt:i4>
      </vt:variant>
      <vt:variant>
        <vt:i4>0</vt:i4>
      </vt:variant>
      <vt:variant>
        <vt:i4>5</vt:i4>
      </vt:variant>
      <vt:variant>
        <vt:lpwstr>http://tbinternet.ohchr.org/_layouts/treatybodyexternal/Download.aspx?symbolno=CCPR%2FC%2FCHE%2F4&amp;Lang=en</vt:lpwstr>
      </vt:variant>
      <vt:variant>
        <vt:lpwstr/>
      </vt:variant>
      <vt:variant>
        <vt:i4>7929959</vt:i4>
      </vt:variant>
      <vt:variant>
        <vt:i4>45</vt:i4>
      </vt:variant>
      <vt:variant>
        <vt:i4>0</vt:i4>
      </vt:variant>
      <vt:variant>
        <vt:i4>5</vt:i4>
      </vt:variant>
      <vt:variant>
        <vt:lpwstr>http://intersex.shadowreport.org/public/2017-CCPR-Swiss-NGO-Zwischengeschlecht-Intersex-IGM.pdf</vt:lpwstr>
      </vt:variant>
      <vt:variant>
        <vt:lpwstr/>
      </vt:variant>
      <vt:variant>
        <vt:i4>3997755</vt:i4>
      </vt:variant>
      <vt:variant>
        <vt:i4>42</vt:i4>
      </vt:variant>
      <vt:variant>
        <vt:i4>0</vt:i4>
      </vt:variant>
      <vt:variant>
        <vt:i4>5</vt:i4>
      </vt:variant>
      <vt:variant>
        <vt:lpwstr>http://blog.zwischengeschlecht.info/pages/Kosmetische-Genitaloperationen-Ziffern-Liste-der-Geburtsgebrechen</vt:lpwstr>
      </vt:variant>
      <vt:variant>
        <vt:lpwstr/>
      </vt:variant>
      <vt:variant>
        <vt:i4>7471165</vt:i4>
      </vt:variant>
      <vt:variant>
        <vt:i4>39</vt:i4>
      </vt:variant>
      <vt:variant>
        <vt:i4>0</vt:i4>
      </vt:variant>
      <vt:variant>
        <vt:i4>5</vt:i4>
      </vt:variant>
      <vt:variant>
        <vt:lpwstr>http://www.nek-cne.ch/fileadmin/nek-cne-dateien/Themen/Stellungnahmen/en/NEK_Intersexualitaet_En.pdf</vt:lpwstr>
      </vt:variant>
      <vt:variant>
        <vt:lpwstr/>
      </vt:variant>
      <vt:variant>
        <vt:i4>7929959</vt:i4>
      </vt:variant>
      <vt:variant>
        <vt:i4>36</vt:i4>
      </vt:variant>
      <vt:variant>
        <vt:i4>0</vt:i4>
      </vt:variant>
      <vt:variant>
        <vt:i4>5</vt:i4>
      </vt:variant>
      <vt:variant>
        <vt:lpwstr>http://intersex.shadowreport.org/public/2017-CCPR-Swiss-NGO-Zwischengeschlecht-Intersex-IGM.pdf</vt:lpwstr>
      </vt:variant>
      <vt:variant>
        <vt:lpwstr/>
      </vt:variant>
      <vt:variant>
        <vt:i4>7798910</vt:i4>
      </vt:variant>
      <vt:variant>
        <vt:i4>33</vt:i4>
      </vt:variant>
      <vt:variant>
        <vt:i4>0</vt:i4>
      </vt:variant>
      <vt:variant>
        <vt:i4>5</vt:i4>
      </vt:variant>
      <vt:variant>
        <vt:lpwstr>http://intersex.shadowreport.org/public/2016-CEDAW-Germany-NGO-Zwischengeschlecht-Intersex-IGM.pdf</vt:lpwstr>
      </vt:variant>
      <vt:variant>
        <vt:lpwstr/>
      </vt:variant>
      <vt:variant>
        <vt:i4>6684779</vt:i4>
      </vt:variant>
      <vt:variant>
        <vt:i4>30</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27</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24</vt:i4>
      </vt:variant>
      <vt:variant>
        <vt:i4>0</vt:i4>
      </vt:variant>
      <vt:variant>
        <vt:i4>5</vt:i4>
      </vt:variant>
      <vt:variant>
        <vt:lpwstr>http://stop.genitalmutilation.org/post/UN-Press-Release-calls-IGM-survivors-transsexual-children-CATArgentina-UNCAT60</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1179686</vt:i4>
      </vt:variant>
      <vt:variant>
        <vt:i4>18</vt:i4>
      </vt:variant>
      <vt:variant>
        <vt:i4>0</vt:i4>
      </vt:variant>
      <vt:variant>
        <vt:i4>5</vt:i4>
      </vt:variant>
      <vt:variant>
        <vt:lpwstr>http://www.parlament.ch/d/suche/seiten/geschaefte.aspx?gesch_id=20113286</vt:lpwstr>
      </vt:variant>
      <vt:variant>
        <vt:lpwstr/>
      </vt:variant>
      <vt:variant>
        <vt:i4>7798905</vt:i4>
      </vt:variant>
      <vt:variant>
        <vt:i4>15</vt:i4>
      </vt:variant>
      <vt:variant>
        <vt:i4>0</vt:i4>
      </vt:variant>
      <vt:variant>
        <vt:i4>5</vt:i4>
      </vt:variant>
      <vt:variant>
        <vt:lpwstr>http://intersex.shadowreport.org/public/2015-CAT-Swiss-NGO-Zwischengeschlecht-Intersex-IGM.pdf</vt:lpwstr>
      </vt:variant>
      <vt:variant>
        <vt:lpwstr/>
      </vt:variant>
      <vt:variant>
        <vt:i4>6750314</vt:i4>
      </vt:variant>
      <vt:variant>
        <vt:i4>12</vt:i4>
      </vt:variant>
      <vt:variant>
        <vt:i4>0</vt:i4>
      </vt:variant>
      <vt:variant>
        <vt:i4>5</vt:i4>
      </vt:variant>
      <vt:variant>
        <vt:lpwstr>http://intersex.ch/</vt:lpwstr>
      </vt:variant>
      <vt:variant>
        <vt:lpwstr/>
      </vt:variant>
      <vt:variant>
        <vt:i4>2424870</vt:i4>
      </vt:variant>
      <vt:variant>
        <vt:i4>9</vt:i4>
      </vt:variant>
      <vt:variant>
        <vt:i4>0</vt:i4>
      </vt:variant>
      <vt:variant>
        <vt:i4>5</vt:i4>
      </vt:variant>
      <vt:variant>
        <vt:lpwstr>http://zwischengeschlecht.org/post/Statuten</vt:lpwstr>
      </vt:variant>
      <vt:variant>
        <vt:lpwstr/>
      </vt:variant>
      <vt:variant>
        <vt:i4>3866678</vt:i4>
      </vt:variant>
      <vt:variant>
        <vt:i4>6</vt:i4>
      </vt:variant>
      <vt:variant>
        <vt:i4>0</vt:i4>
      </vt:variant>
      <vt:variant>
        <vt:i4>5</vt:i4>
      </vt:variant>
      <vt:variant>
        <vt:lpwstr>http://stopigm.org/</vt:lpwstr>
      </vt:variant>
      <vt:variant>
        <vt:lpwstr/>
      </vt:variant>
      <vt:variant>
        <vt:i4>3932286</vt:i4>
      </vt:variant>
      <vt:variant>
        <vt:i4>3</vt:i4>
      </vt:variant>
      <vt:variant>
        <vt:i4>0</vt:i4>
      </vt:variant>
      <vt:variant>
        <vt:i4>5</vt:i4>
      </vt:variant>
      <vt:variant>
        <vt:lpwstr>http://zwischengeschlecht.org/</vt:lpwstr>
      </vt:variant>
      <vt:variant>
        <vt:lpwstr/>
      </vt:variant>
      <vt:variant>
        <vt:i4>2883690</vt:i4>
      </vt:variant>
      <vt:variant>
        <vt:i4>0</vt:i4>
      </vt:variant>
      <vt:variant>
        <vt:i4>0</vt:i4>
      </vt:variant>
      <vt:variant>
        <vt:i4>5</vt:i4>
      </vt:variant>
      <vt:variant>
        <vt:lpwstr>http://www.ohchr.org/EN/NewsEvents/Pages/DisplayNews.aspx?NewsID=20739&amp;LangID=E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Germany NGO Report (for Session) 2023</dc:title>
  <dc:subject>NGO Report (for Session) to the 2nd and 3rd Periodic Report of Germany on the Convention on the Rights of Persons with Disabilities (CRPD)</dc:subject>
  <dc:creator>cc 2023 StopIGM.org / Zwischengeschlecht.org (Markus Bauer, Daniela Truffer)</dc:creator>
  <cp:keywords/>
  <dc:description/>
  <cp:lastModifiedBy>Daniela Truffer</cp:lastModifiedBy>
  <cp:revision>199</cp:revision>
  <cp:lastPrinted>2019-01-28T13:56:00Z</cp:lastPrinted>
  <dcterms:created xsi:type="dcterms:W3CDTF">2023-07-12T15:28:00Z</dcterms:created>
  <dcterms:modified xsi:type="dcterms:W3CDTF">2023-08-01T15:59:00Z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y fmtid="{D5CDD505-2E9C-101B-9397-08002B2CF9AE}" pid="4" name="MediaServiceImageTags">
    <vt:lpwstr/>
  </property>
</Properties>
</file>