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DE5347" w:rsidRPr="0018632F" w14:paraId="5313310B" w14:textId="77777777" w:rsidTr="009A4920">
        <w:tc>
          <w:tcPr>
            <w:tcW w:w="4541" w:type="dxa"/>
          </w:tcPr>
          <w:p w14:paraId="2AC27747" w14:textId="77777777" w:rsidR="00DE5347" w:rsidRPr="0018632F" w:rsidRDefault="00DE5347" w:rsidP="009A4920">
            <w:pPr>
              <w:widowControl w:val="0"/>
              <w:rPr>
                <w:rFonts w:asciiTheme="majorBidi" w:hAnsiTheme="majorBidi" w:cstheme="majorBidi"/>
              </w:rPr>
            </w:pPr>
            <w:bookmarkStart w:id="0" w:name="_GoBack"/>
            <w:bookmarkEnd w:id="0"/>
            <w:r w:rsidRPr="0018632F">
              <w:rPr>
                <w:rFonts w:asciiTheme="majorBidi" w:hAnsiTheme="majorBidi" w:cstheme="majorBidi"/>
                <w:noProof/>
                <w:lang w:val="en-GB" w:eastAsia="ko-KR"/>
              </w:rPr>
              <w:drawing>
                <wp:anchor distT="0" distB="0" distL="114300" distR="114300" simplePos="0" relativeHeight="251659264" behindDoc="0" locked="0" layoutInCell="1" allowOverlap="1" wp14:anchorId="55872EB5" wp14:editId="3E17B97C">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16697F8" w14:textId="77777777" w:rsidR="00DE5347" w:rsidRPr="0018632F" w:rsidRDefault="00DE5347" w:rsidP="009A4920">
            <w:pPr>
              <w:widowControl w:val="0"/>
              <w:rPr>
                <w:rFonts w:asciiTheme="majorBidi" w:hAnsiTheme="majorBidi" w:cstheme="majorBidi"/>
              </w:rPr>
            </w:pPr>
          </w:p>
          <w:p w14:paraId="57E0A8E9" w14:textId="77777777" w:rsidR="00DE5347" w:rsidRPr="0018632F" w:rsidRDefault="00DE5347" w:rsidP="009A4920">
            <w:pPr>
              <w:widowControl w:val="0"/>
              <w:rPr>
                <w:rFonts w:asciiTheme="majorBidi" w:hAnsiTheme="majorBidi" w:cstheme="majorBidi"/>
              </w:rPr>
            </w:pPr>
          </w:p>
        </w:tc>
        <w:tc>
          <w:tcPr>
            <w:tcW w:w="4315" w:type="dxa"/>
          </w:tcPr>
          <w:p w14:paraId="60BCC5BD" w14:textId="77777777" w:rsidR="00DE5347" w:rsidRPr="0018632F" w:rsidRDefault="00DE5347" w:rsidP="009A4920">
            <w:pPr>
              <w:widowControl w:val="0"/>
              <w:rPr>
                <w:rFonts w:asciiTheme="majorBidi" w:hAnsiTheme="majorBidi" w:cstheme="majorBidi"/>
                <w:b/>
              </w:rPr>
            </w:pPr>
            <w:r w:rsidRPr="0018632F">
              <w:rPr>
                <w:rFonts w:asciiTheme="majorBidi" w:hAnsiTheme="majorBidi" w:cstheme="majorBidi"/>
                <w:b/>
              </w:rPr>
              <w:t>CRC (87th Session)</w:t>
            </w:r>
          </w:p>
          <w:p w14:paraId="44FAD9D2" w14:textId="454C7BB6" w:rsidR="00DE5347" w:rsidRPr="0018632F" w:rsidRDefault="00DE5347" w:rsidP="009A4920">
            <w:pPr>
              <w:widowControl w:val="0"/>
              <w:rPr>
                <w:rFonts w:asciiTheme="majorBidi" w:hAnsiTheme="majorBidi" w:cstheme="majorBidi"/>
              </w:rPr>
            </w:pPr>
            <w:r w:rsidRPr="0018632F">
              <w:rPr>
                <w:rFonts w:asciiTheme="majorBidi" w:hAnsiTheme="majorBidi" w:cstheme="majorBidi"/>
              </w:rPr>
              <w:t xml:space="preserve">Country name: </w:t>
            </w:r>
            <w:r w:rsidR="001C3A41">
              <w:rPr>
                <w:rFonts w:asciiTheme="majorBidi" w:hAnsiTheme="majorBidi" w:cstheme="majorBidi"/>
              </w:rPr>
              <w:t>Viet Nam</w:t>
            </w:r>
          </w:p>
          <w:p w14:paraId="66833849" w14:textId="77777777" w:rsidR="00DE5347" w:rsidRPr="0018632F" w:rsidRDefault="00DE5347" w:rsidP="009A4920">
            <w:pPr>
              <w:widowControl w:val="0"/>
              <w:rPr>
                <w:rFonts w:asciiTheme="majorBidi" w:hAnsiTheme="majorBidi" w:cstheme="majorBidi"/>
              </w:rPr>
            </w:pPr>
          </w:p>
        </w:tc>
      </w:tr>
      <w:tr w:rsidR="00DE5347" w:rsidRPr="0018632F" w14:paraId="2037C0B8" w14:textId="77777777" w:rsidTr="009A4920">
        <w:tc>
          <w:tcPr>
            <w:tcW w:w="8856" w:type="dxa"/>
            <w:gridSpan w:val="2"/>
          </w:tcPr>
          <w:p w14:paraId="224D5BBF" w14:textId="77777777" w:rsidR="00DE5347" w:rsidRPr="0018632F" w:rsidRDefault="00DE5347" w:rsidP="009A4920">
            <w:pPr>
              <w:widowControl w:val="0"/>
              <w:jc w:val="center"/>
              <w:rPr>
                <w:rFonts w:asciiTheme="majorBidi" w:eastAsia="Times New Roman" w:hAnsiTheme="majorBidi" w:cstheme="majorBidi"/>
                <w:b/>
                <w:color w:val="222222"/>
                <w:shd w:val="clear" w:color="auto" w:fill="FFFFFF"/>
              </w:rPr>
            </w:pPr>
            <w:r w:rsidRPr="0018632F">
              <w:rPr>
                <w:rFonts w:asciiTheme="majorBidi" w:eastAsia="Times New Roman" w:hAnsiTheme="majorBidi" w:cstheme="majorBidi"/>
                <w:b/>
                <w:color w:val="222222"/>
                <w:shd w:val="clear" w:color="auto" w:fill="FFFFFF"/>
              </w:rPr>
              <w:t>Appropriate pretrial detention times for children</w:t>
            </w:r>
          </w:p>
          <w:p w14:paraId="0CC585AE" w14:textId="77777777" w:rsidR="00DE5347" w:rsidRPr="0018632F" w:rsidRDefault="00DE5347" w:rsidP="009A4920">
            <w:pPr>
              <w:widowControl w:val="0"/>
              <w:rPr>
                <w:rFonts w:asciiTheme="majorBidi" w:eastAsia="Times New Roman" w:hAnsiTheme="majorBidi" w:cstheme="majorBidi"/>
                <w:color w:val="222222"/>
                <w:shd w:val="clear" w:color="auto" w:fill="FFFFFF"/>
              </w:rPr>
            </w:pPr>
          </w:p>
          <w:p w14:paraId="10A62F24" w14:textId="77777777" w:rsidR="00DE5347" w:rsidRPr="0018632F" w:rsidRDefault="00DE534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Cluster of rights:</w:t>
            </w:r>
          </w:p>
          <w:p w14:paraId="526B4421" w14:textId="77777777" w:rsidR="00DE5347" w:rsidRPr="0018632F" w:rsidRDefault="00DE5347" w:rsidP="009A4920">
            <w:pPr>
              <w:pStyle w:val="NormalWeb"/>
              <w:widowControl w:val="0"/>
              <w:spacing w:before="0" w:beforeAutospacing="0" w:after="0" w:afterAutospacing="0"/>
              <w:rPr>
                <w:rFonts w:asciiTheme="majorBidi" w:hAnsiTheme="majorBidi" w:cstheme="majorBidi"/>
                <w:color w:val="222222"/>
                <w:shd w:val="clear" w:color="auto" w:fill="FFFFFF"/>
              </w:rPr>
            </w:pPr>
          </w:p>
          <w:p w14:paraId="78218DD6" w14:textId="77777777" w:rsidR="00DE5347" w:rsidRPr="0018632F" w:rsidRDefault="00DE534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lawful deprivation of liberty</w:t>
            </w:r>
          </w:p>
          <w:p w14:paraId="3A4B4181" w14:textId="77777777" w:rsidR="00DE5347" w:rsidRPr="0018632F" w:rsidRDefault="00DE534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speedy trial and brevity of pretrial detention</w:t>
            </w:r>
          </w:p>
          <w:p w14:paraId="741CC7F4" w14:textId="77777777" w:rsidR="00DE5347" w:rsidRPr="0018632F" w:rsidRDefault="00DE534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on the Rights of the Child Article 37(b)</w:t>
            </w:r>
          </w:p>
          <w:p w14:paraId="0F2FD088" w14:textId="77777777" w:rsidR="00DE5347" w:rsidRPr="0018632F" w:rsidRDefault="00DE534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Against Torture Article 2</w:t>
            </w:r>
          </w:p>
          <w:p w14:paraId="385FB2AB" w14:textId="77777777" w:rsidR="00DE5347" w:rsidRPr="0018632F" w:rsidRDefault="00DE5347" w:rsidP="009A4920">
            <w:pPr>
              <w:widowControl w:val="0"/>
              <w:rPr>
                <w:rFonts w:asciiTheme="majorBidi" w:eastAsia="Times New Roman" w:hAnsiTheme="majorBidi" w:cstheme="majorBidi"/>
                <w:color w:val="222222"/>
                <w:shd w:val="clear" w:color="auto" w:fill="FFFFFF"/>
              </w:rPr>
            </w:pPr>
          </w:p>
          <w:p w14:paraId="4A562BFA" w14:textId="77777777" w:rsidR="00DE5347" w:rsidRPr="0018632F" w:rsidRDefault="00DE534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Areas of concern:</w:t>
            </w:r>
          </w:p>
          <w:p w14:paraId="66E1F833" w14:textId="77777777" w:rsidR="00DE5347" w:rsidRPr="0018632F" w:rsidRDefault="00DE5347" w:rsidP="009A4920">
            <w:pPr>
              <w:widowControl w:val="0"/>
              <w:rPr>
                <w:rFonts w:asciiTheme="majorBidi" w:eastAsia="Times New Roman" w:hAnsiTheme="majorBidi" w:cstheme="majorBidi"/>
                <w:color w:val="222222"/>
                <w:shd w:val="clear" w:color="auto" w:fill="FFFFFF"/>
              </w:rPr>
            </w:pPr>
          </w:p>
          <w:p w14:paraId="05FBA954"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t>International law strictly limits the circumstances in which children can be placed in detention while awaiting trial or while under investigation before being charged. Pretrial detention should only be used in exceptional circumstances—where it is necessary to ensure the child’s appearance at the court proceedings, or where the child is an immediate danger to himself/herself or others.</w:t>
            </w:r>
            <w:r w:rsidRPr="0018632F">
              <w:rPr>
                <w:rFonts w:asciiTheme="majorBidi" w:hAnsiTheme="majorBidi" w:cstheme="majorBidi"/>
                <w:vertAlign w:val="superscript"/>
              </w:rPr>
              <w:footnoteReference w:id="1"/>
            </w:r>
            <w:r w:rsidRPr="0018632F">
              <w:rPr>
                <w:rFonts w:asciiTheme="majorBidi" w:hAnsiTheme="majorBidi" w:cstheme="majorBidi"/>
              </w:rPr>
              <w:t xml:space="preserve"> The Convention on the Rights of the Child permits pretrial detention only as a measure of last resort and for “</w:t>
            </w:r>
            <w:r w:rsidRPr="0018632F">
              <w:rPr>
                <w:rFonts w:asciiTheme="majorBidi" w:hAnsiTheme="majorBidi" w:cstheme="majorBidi"/>
                <w:iCs/>
              </w:rPr>
              <w:t>the shortest appropriate period of time</w:t>
            </w:r>
            <w:r w:rsidRPr="0018632F">
              <w:rPr>
                <w:rFonts w:asciiTheme="majorBidi" w:hAnsiTheme="majorBidi" w:cstheme="majorBidi"/>
              </w:rPr>
              <w:t>.”</w:t>
            </w:r>
            <w:bookmarkStart w:id="1" w:name="_Ref509599856"/>
            <w:r w:rsidRPr="0018632F">
              <w:rPr>
                <w:rFonts w:asciiTheme="majorBidi" w:hAnsiTheme="majorBidi" w:cstheme="majorBidi"/>
                <w:vertAlign w:val="superscript"/>
              </w:rPr>
              <w:footnoteReference w:id="2"/>
            </w:r>
            <w:bookmarkEnd w:id="1"/>
            <w:r w:rsidRPr="0018632F">
              <w:rPr>
                <w:rFonts w:asciiTheme="majorBidi" w:hAnsiTheme="majorBidi" w:cstheme="majorBidi"/>
              </w:rPr>
              <w:t> However, it is not entirely clear what an “</w:t>
            </w:r>
            <w:r w:rsidRPr="0018632F">
              <w:rPr>
                <w:rFonts w:asciiTheme="majorBidi" w:hAnsiTheme="majorBidi" w:cstheme="majorBidi"/>
                <w:iCs/>
              </w:rPr>
              <w:t>appropriate period of time” is.</w:t>
            </w:r>
            <w:r w:rsidRPr="0018632F">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2" w:name="_Ref511739094"/>
            <w:r w:rsidRPr="0018632F">
              <w:rPr>
                <w:rStyle w:val="FootnoteReference"/>
                <w:rFonts w:asciiTheme="majorBidi" w:hAnsiTheme="majorBidi" w:cstheme="majorBidi"/>
              </w:rPr>
              <w:footnoteReference w:id="3"/>
            </w:r>
            <w:bookmarkEnd w:id="2"/>
            <w:r w:rsidRPr="0018632F">
              <w:rPr>
                <w:rFonts w:asciiTheme="majorBidi" w:hAnsiTheme="majorBidi" w:cstheme="majorBidi"/>
              </w:rPr>
              <w:t xml:space="preserve"> The Committee additionally recommended that any such detention should be reviewed regularly by a competent body.</w:t>
            </w:r>
            <w:r w:rsidRPr="0018632F">
              <w:rPr>
                <w:rStyle w:val="FootnoteReference"/>
                <w:rFonts w:asciiTheme="majorBidi" w:hAnsiTheme="majorBidi" w:cstheme="majorBidi"/>
              </w:rPr>
              <w:footnoteReference w:id="4"/>
            </w:r>
            <w:r w:rsidRPr="0018632F">
              <w:rPr>
                <w:rFonts w:asciiTheme="majorBidi" w:hAnsiTheme="majorBidi" w:cstheme="majorBidi"/>
              </w:rPr>
              <w:t xml:space="preserve"> These recommendations can and should be strengthened.</w:t>
            </w:r>
          </w:p>
          <w:p w14:paraId="229BA51A" w14:textId="77777777" w:rsidR="00DE5347" w:rsidRPr="0018632F" w:rsidRDefault="00DE5347" w:rsidP="009A4920">
            <w:pPr>
              <w:widowControl w:val="0"/>
              <w:rPr>
                <w:rFonts w:asciiTheme="majorBidi" w:hAnsiTheme="majorBidi" w:cstheme="majorBidi"/>
              </w:rPr>
            </w:pPr>
          </w:p>
          <w:p w14:paraId="4819A904"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t>Defendants in pretrial detention are more likely to be abused, mistreated and tortured,</w:t>
            </w:r>
            <w:bookmarkStart w:id="3" w:name="_Ref509596657"/>
            <w:r w:rsidRPr="0018632F">
              <w:rPr>
                <w:rFonts w:asciiTheme="majorBidi" w:hAnsiTheme="majorBidi" w:cstheme="majorBidi"/>
                <w:vertAlign w:val="superscript"/>
              </w:rPr>
              <w:footnoteReference w:id="5"/>
            </w:r>
            <w:bookmarkEnd w:id="3"/>
            <w:r w:rsidRPr="0018632F">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heme="majorBidi" w:hAnsiTheme="majorBidi" w:cstheme="majorBidi"/>
              </w:rPr>
              <w:t>dropping out of school</w:t>
            </w:r>
            <w:r w:rsidRPr="0018632F">
              <w:rPr>
                <w:rFonts w:asciiTheme="majorBidi" w:hAnsiTheme="majorBidi" w:cstheme="majorBidi"/>
              </w:rPr>
              <w:t>, and drug use among children.</w:t>
            </w:r>
            <w:bookmarkStart w:id="4" w:name="_Ref509598336"/>
            <w:r w:rsidRPr="0018632F">
              <w:rPr>
                <w:rFonts w:asciiTheme="majorBidi" w:hAnsiTheme="majorBidi" w:cstheme="majorBidi"/>
                <w:vertAlign w:val="superscript"/>
              </w:rPr>
              <w:footnoteReference w:id="6"/>
            </w:r>
            <w:bookmarkEnd w:id="4"/>
            <w:r w:rsidRPr="0018632F">
              <w:rPr>
                <w:rFonts w:asciiTheme="majorBidi" w:hAnsiTheme="majorBidi" w:cstheme="majorBidi"/>
              </w:rPr>
              <w:t xml:space="preserve"> Unfortunately, </w:t>
            </w:r>
            <w:r w:rsidRPr="0018632F">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18632F">
              <w:rPr>
                <w:rFonts w:asciiTheme="majorBidi" w:hAnsiTheme="majorBidi" w:cstheme="majorBidi"/>
                <w:vertAlign w:val="superscript"/>
              </w:rPr>
              <w:footnoteReference w:id="7"/>
            </w:r>
            <w:r w:rsidRPr="0018632F">
              <w:rPr>
                <w:rFonts w:asciiTheme="majorBidi" w:hAnsiTheme="majorBidi" w:cstheme="majorBidi"/>
              </w:rPr>
              <w:t xml:space="preserve">. This means that the most significant deprivation of </w:t>
            </w:r>
            <w:r>
              <w:rPr>
                <w:rFonts w:asciiTheme="majorBidi" w:hAnsiTheme="majorBidi" w:cstheme="majorBidi"/>
              </w:rPr>
              <w:t xml:space="preserve">children’s </w:t>
            </w:r>
            <w:r w:rsidRPr="0018632F">
              <w:rPr>
                <w:rFonts w:asciiTheme="majorBidi" w:hAnsiTheme="majorBidi" w:cstheme="majorBidi"/>
              </w:rPr>
              <w:t xml:space="preserve">liberty occurs while awaiting trial, when </w:t>
            </w:r>
            <w:r>
              <w:rPr>
                <w:rFonts w:asciiTheme="majorBidi" w:hAnsiTheme="majorBidi" w:cstheme="majorBidi"/>
              </w:rPr>
              <w:t>they</w:t>
            </w:r>
            <w:r w:rsidRPr="0018632F">
              <w:rPr>
                <w:rFonts w:asciiTheme="majorBidi" w:hAnsiTheme="majorBidi" w:cstheme="majorBidi"/>
              </w:rPr>
              <w:t xml:space="preserve"> are ostensibly presumed innocent.</w:t>
            </w:r>
          </w:p>
          <w:p w14:paraId="1B75DEBD" w14:textId="77777777" w:rsidR="00DE5347" w:rsidRPr="0018632F" w:rsidRDefault="00DE5347" w:rsidP="009A4920">
            <w:pPr>
              <w:widowControl w:val="0"/>
              <w:rPr>
                <w:rFonts w:asciiTheme="majorBidi" w:hAnsiTheme="majorBidi" w:cstheme="majorBidi"/>
              </w:rPr>
            </w:pPr>
          </w:p>
          <w:p w14:paraId="13EEBBCD"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t xml:space="preserve">In 2018, Juvenile Justice Advocates International coauthored a report titled </w:t>
            </w:r>
            <w:r w:rsidRPr="0018632F">
              <w:rPr>
                <w:rFonts w:asciiTheme="majorBidi" w:hAnsiTheme="majorBidi" w:cstheme="majorBidi"/>
                <w:i/>
                <w:iCs/>
              </w:rPr>
              <w:t>Children in Pretrial Detention: Promoting Stronger International Time Limits</w:t>
            </w:r>
            <w:r w:rsidRPr="0018632F">
              <w:rPr>
                <w:rFonts w:asciiTheme="majorBidi" w:hAnsiTheme="majorBidi" w:cstheme="majorBidi"/>
              </w:rPr>
              <w:t xml:space="preserve">. The report is the first global study of the legally permissible length of pretrial detention of children. Looking at the legal limits in 118 countries, the report found that 26% of the countries examined have no time limit and 40% of countries have limits that allow exceptions and extensions, which risks indefinite detention. The report also found that countries have not been collecting or reporting data concerning the actual length of time children spend in detention while awaiting trial. </w:t>
            </w:r>
          </w:p>
          <w:p w14:paraId="48A7515B" w14:textId="77777777" w:rsidR="00DE5347" w:rsidRPr="0018632F" w:rsidRDefault="00DE5347" w:rsidP="009A4920">
            <w:pPr>
              <w:widowControl w:val="0"/>
              <w:rPr>
                <w:rFonts w:asciiTheme="majorBidi" w:hAnsiTheme="majorBidi" w:cstheme="majorBidi"/>
              </w:rPr>
            </w:pPr>
          </w:p>
          <w:p w14:paraId="55E8FE80"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t xml:space="preserve">The </w:t>
            </w:r>
            <w:r w:rsidRPr="0018632F">
              <w:rPr>
                <w:rFonts w:asciiTheme="majorBidi" w:hAnsiTheme="majorBidi" w:cstheme="majorBidi"/>
                <w:i/>
              </w:rPr>
              <w:t>Children in Pretrial Detention: Promoting Stronger International Time Limits</w:t>
            </w:r>
            <w:r w:rsidRPr="0018632F">
              <w:rPr>
                <w:rFonts w:asciiTheme="majorBidi" w:hAnsiTheme="majorBidi" w:cstheme="majorBidi"/>
              </w:rPr>
              <w:t xml:space="preserve"> report serves as a baseline for the Committee to expand on country practices regarding times of pretrial detention of children. </w:t>
            </w:r>
          </w:p>
          <w:p w14:paraId="66786AA9" w14:textId="77777777" w:rsidR="00DE5347" w:rsidRPr="0018632F" w:rsidRDefault="00DE5347"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br w:type="page"/>
            </w:r>
            <w:bookmarkStart w:id="5" w:name="_4g83oi30h3up" w:colFirst="0" w:colLast="0"/>
            <w:bookmarkEnd w:id="5"/>
          </w:p>
          <w:p w14:paraId="34A0C065" w14:textId="77777777" w:rsidR="00DE5347" w:rsidRPr="0018632F" w:rsidRDefault="00DE534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Methodology:</w:t>
            </w:r>
          </w:p>
          <w:p w14:paraId="1601A4DB" w14:textId="77777777" w:rsidR="00DE5347" w:rsidRPr="0018632F" w:rsidRDefault="00DE5347" w:rsidP="009A4920">
            <w:pPr>
              <w:widowControl w:val="0"/>
              <w:rPr>
                <w:rFonts w:asciiTheme="majorBidi" w:eastAsia="Times New Roman" w:hAnsiTheme="majorBidi" w:cstheme="majorBidi"/>
                <w:color w:val="222222"/>
                <w:shd w:val="clear" w:color="auto" w:fill="FFFFFF"/>
              </w:rPr>
            </w:pPr>
          </w:p>
          <w:p w14:paraId="581E27F2" w14:textId="77777777" w:rsidR="00DE5347" w:rsidRPr="0018632F" w:rsidRDefault="00DE534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 xml:space="preserve">This alternative report is based on the </w:t>
            </w:r>
            <w:r w:rsidRPr="0018632F">
              <w:rPr>
                <w:rFonts w:asciiTheme="majorBidi" w:eastAsia="Times New Roman" w:hAnsiTheme="majorBidi" w:cstheme="majorBidi"/>
                <w:i/>
                <w:color w:val="222222"/>
                <w:shd w:val="clear" w:color="auto" w:fill="FFFFFF"/>
              </w:rPr>
              <w:t xml:space="preserve">Children in Pretrial Detention </w:t>
            </w:r>
            <w:r w:rsidRPr="0018632F">
              <w:rPr>
                <w:rFonts w:asciiTheme="majorBidi" w:eastAsia="Times New Roman" w:hAnsiTheme="majorBidi" w:cstheme="majorBidi"/>
                <w:color w:val="222222"/>
                <w:shd w:val="clear" w:color="auto" w:fill="FFFFFF"/>
              </w:rPr>
              <w:t>report on pretrial detention times of 118 CRC State parties.</w:t>
            </w:r>
            <w:r w:rsidRPr="0018632F">
              <w:rPr>
                <w:rStyle w:val="FootnoteReference"/>
                <w:rFonts w:asciiTheme="majorBidi" w:eastAsia="Times New Roman" w:hAnsiTheme="majorBidi" w:cstheme="majorBidi"/>
                <w:color w:val="222222"/>
                <w:shd w:val="clear" w:color="auto" w:fill="FFFFFF"/>
              </w:rPr>
              <w:footnoteReference w:id="8"/>
            </w:r>
            <w:r w:rsidRPr="0018632F">
              <w:rPr>
                <w:rFonts w:asciiTheme="majorBidi" w:eastAsia="Times New Roman" w:hAnsiTheme="majorBidi" w:cstheme="majorBidi"/>
                <w:color w:val="222222"/>
                <w:shd w:val="clear" w:color="auto" w:fill="FFFFFF"/>
              </w:rPr>
              <w:t xml:space="preserve"> The report reviewed statutes or court rules in force at the time that the data was collected. </w:t>
            </w:r>
          </w:p>
          <w:p w14:paraId="17EF4635" w14:textId="77777777" w:rsidR="00DE5347" w:rsidRPr="0018632F" w:rsidRDefault="00DE5347" w:rsidP="009A4920">
            <w:pPr>
              <w:widowControl w:val="0"/>
              <w:rPr>
                <w:rFonts w:asciiTheme="majorBidi" w:eastAsia="Times New Roman" w:hAnsiTheme="majorBidi" w:cstheme="majorBidi"/>
                <w:color w:val="222222"/>
                <w:shd w:val="clear" w:color="auto" w:fill="FFFFFF"/>
              </w:rPr>
            </w:pPr>
          </w:p>
          <w:p w14:paraId="51652A2E" w14:textId="77777777" w:rsidR="00DE5347" w:rsidRPr="0018632F" w:rsidRDefault="00DE534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Where possible, the report defines the statutory time period of pretrial detention as the statutory maximum length of detention from arrest the case is resolved and a sentence is established. However, some jurisdictions define pretrial detention</w:t>
            </w:r>
            <w:r w:rsidRPr="0018632F" w:rsidDel="002B3A25">
              <w:rPr>
                <w:rFonts w:asciiTheme="majorBidi" w:eastAsia="Times New Roman" w:hAnsiTheme="majorBidi" w:cstheme="majorBidi"/>
                <w:color w:val="222222"/>
                <w:shd w:val="clear" w:color="auto" w:fill="FFFFFF"/>
              </w:rPr>
              <w:t xml:space="preserve"> </w:t>
            </w:r>
            <w:r w:rsidRPr="0018632F">
              <w:rPr>
                <w:rFonts w:asciiTheme="majorBidi" w:eastAsia="Times New Roman" w:hAnsiTheme="majorBidi" w:cstheme="majorBidi"/>
                <w:color w:val="222222"/>
                <w:shd w:val="clear" w:color="auto" w:fill="FFFFFF"/>
              </w:rPr>
              <w:t xml:space="preserve">differently or set limits based on alternative procedural milestones. Where this is the case, the statutory time period of pretrial detention was based on the national law’s definition of pretrial detention. </w:t>
            </w:r>
          </w:p>
          <w:p w14:paraId="31101921" w14:textId="77777777" w:rsidR="00DE5347" w:rsidRPr="0018632F" w:rsidRDefault="00DE5347" w:rsidP="009A4920">
            <w:pPr>
              <w:widowControl w:val="0"/>
              <w:rPr>
                <w:rFonts w:asciiTheme="majorBidi" w:eastAsia="Times New Roman" w:hAnsiTheme="majorBidi" w:cstheme="majorBidi"/>
                <w:color w:val="222222"/>
                <w:shd w:val="clear" w:color="auto" w:fill="FFFFFF"/>
              </w:rPr>
            </w:pPr>
          </w:p>
          <w:p w14:paraId="51A0C87A" w14:textId="77777777" w:rsidR="00DE5347" w:rsidRPr="0018632F" w:rsidRDefault="00DE5347"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were used. </w:t>
            </w:r>
          </w:p>
        </w:tc>
      </w:tr>
    </w:tbl>
    <w:p w14:paraId="15E928DD" w14:textId="77777777" w:rsidR="00DE5347" w:rsidRDefault="00DE5347" w:rsidP="00DE5347">
      <w:pPr>
        <w:widowControl w:val="0"/>
        <w:rPr>
          <w:rFonts w:asciiTheme="majorBidi" w:hAnsiTheme="majorBidi" w:cstheme="majorBidi"/>
        </w:rPr>
      </w:pPr>
    </w:p>
    <w:p w14:paraId="2CD16DD8" w14:textId="2EEF7A92" w:rsidR="00DE5347" w:rsidRPr="0018632F" w:rsidRDefault="00DE5347" w:rsidP="00DE5347">
      <w:pPr>
        <w:widowControl w:val="0"/>
        <w:jc w:val="center"/>
        <w:rPr>
          <w:rFonts w:asciiTheme="majorBidi" w:hAnsiTheme="majorBidi" w:cstheme="majorBidi"/>
          <w:b/>
        </w:rPr>
      </w:pPr>
      <w:r>
        <w:rPr>
          <w:rFonts w:asciiTheme="majorBidi" w:hAnsiTheme="majorBidi" w:cstheme="majorBidi"/>
          <w:b/>
          <w:bCs/>
          <w:sz w:val="28"/>
          <w:szCs w:val="28"/>
        </w:rPr>
        <w:lastRenderedPageBreak/>
        <w:t>Viet Nam</w:t>
      </w:r>
    </w:p>
    <w:p w14:paraId="796FBCD9" w14:textId="77777777" w:rsidR="00DE5347" w:rsidRPr="0018632F" w:rsidRDefault="00DE5347" w:rsidP="00DE5347">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DE5347" w:rsidRPr="0018632F" w14:paraId="58014AD3" w14:textId="77777777" w:rsidTr="009A4920">
        <w:tc>
          <w:tcPr>
            <w:tcW w:w="8856" w:type="dxa"/>
            <w:gridSpan w:val="2"/>
          </w:tcPr>
          <w:p w14:paraId="4EACD8AD" w14:textId="6B6D4B1E" w:rsidR="00DE5347" w:rsidRPr="0018632F" w:rsidRDefault="00B00D5D" w:rsidP="009A6171">
            <w:pPr>
              <w:widowControl w:val="0"/>
              <w:jc w:val="center"/>
              <w:rPr>
                <w:rFonts w:asciiTheme="majorBidi" w:hAnsiTheme="majorBidi" w:cstheme="majorBidi"/>
              </w:rPr>
            </w:pPr>
            <w:r>
              <w:rPr>
                <w:rFonts w:asciiTheme="majorBidi" w:hAnsiTheme="majorBidi" w:cstheme="majorBidi"/>
              </w:rPr>
              <w:t>Viet Nam</w:t>
            </w:r>
            <w:r w:rsidR="00DE5347" w:rsidRPr="0018632F">
              <w:rPr>
                <w:rFonts w:asciiTheme="majorBidi" w:hAnsiTheme="majorBidi" w:cstheme="majorBidi"/>
              </w:rPr>
              <w:t xml:space="preserve"> has</w:t>
            </w:r>
            <w:r w:rsidR="00F07830">
              <w:rPr>
                <w:rFonts w:asciiTheme="majorBidi" w:hAnsiTheme="majorBidi" w:cstheme="majorBidi"/>
              </w:rPr>
              <w:t xml:space="preserve"> a</w:t>
            </w:r>
            <w:r w:rsidR="00DE5347">
              <w:rPr>
                <w:rFonts w:asciiTheme="majorBidi" w:hAnsiTheme="majorBidi" w:cstheme="majorBidi"/>
              </w:rPr>
              <w:t xml:space="preserve"> </w:t>
            </w:r>
            <w:r w:rsidR="00AE2085">
              <w:rPr>
                <w:rFonts w:asciiTheme="majorBidi" w:hAnsiTheme="majorBidi" w:cstheme="majorBidi"/>
              </w:rPr>
              <w:t>child-specific pretrial detention limit</w:t>
            </w:r>
            <w:r w:rsidR="009A6171">
              <w:rPr>
                <w:rFonts w:asciiTheme="majorBidi" w:hAnsiTheme="majorBidi" w:cstheme="majorBidi"/>
              </w:rPr>
              <w:t xml:space="preserve"> with exceptions. This</w:t>
            </w:r>
            <w:r w:rsidR="00F448F5">
              <w:rPr>
                <w:rFonts w:asciiTheme="majorBidi" w:hAnsiTheme="majorBidi" w:cstheme="majorBidi"/>
              </w:rPr>
              <w:t xml:space="preserve"> equals two-thirds of the adult</w:t>
            </w:r>
            <w:r w:rsidR="00876D6F">
              <w:rPr>
                <w:rFonts w:asciiTheme="majorBidi" w:hAnsiTheme="majorBidi" w:cstheme="majorBidi"/>
              </w:rPr>
              <w:t xml:space="preserve"> offense-variable</w:t>
            </w:r>
            <w:r w:rsidR="00DE5347">
              <w:rPr>
                <w:rFonts w:asciiTheme="majorBidi" w:hAnsiTheme="majorBidi" w:cstheme="majorBidi"/>
              </w:rPr>
              <w:t xml:space="preserve"> </w:t>
            </w:r>
            <w:r w:rsidR="00876D6F">
              <w:rPr>
                <w:rFonts w:asciiTheme="majorBidi" w:hAnsiTheme="majorBidi" w:cstheme="majorBidi"/>
              </w:rPr>
              <w:t>limit on</w:t>
            </w:r>
            <w:r w:rsidR="00DE5347">
              <w:rPr>
                <w:rFonts w:asciiTheme="majorBidi" w:hAnsiTheme="majorBidi" w:cstheme="majorBidi"/>
              </w:rPr>
              <w:t xml:space="preserve"> pretrial detention</w:t>
            </w:r>
            <w:r w:rsidR="00AE2085">
              <w:rPr>
                <w:rFonts w:asciiTheme="majorBidi" w:hAnsiTheme="majorBidi" w:cstheme="majorBidi"/>
              </w:rPr>
              <w:t>. Adding permissible extension</w:t>
            </w:r>
            <w:r w:rsidR="00F448F5">
              <w:rPr>
                <w:rFonts w:asciiTheme="majorBidi" w:hAnsiTheme="majorBidi" w:cstheme="majorBidi"/>
              </w:rPr>
              <w:t>s</w:t>
            </w:r>
            <w:r w:rsidR="00AE2085">
              <w:rPr>
                <w:rFonts w:asciiTheme="majorBidi" w:hAnsiTheme="majorBidi" w:cstheme="majorBidi"/>
              </w:rPr>
              <w:t xml:space="preserve"> to initial detention, </w:t>
            </w:r>
            <w:r w:rsidR="00F448F5">
              <w:rPr>
                <w:rFonts w:asciiTheme="majorBidi" w:hAnsiTheme="majorBidi" w:cstheme="majorBidi"/>
              </w:rPr>
              <w:t>an adult</w:t>
            </w:r>
            <w:r w:rsidR="00AE2085">
              <w:rPr>
                <w:rFonts w:asciiTheme="majorBidi" w:hAnsiTheme="majorBidi" w:cstheme="majorBidi"/>
              </w:rPr>
              <w:t xml:space="preserve"> may be detained while awaiting trial for a maximum of </w:t>
            </w:r>
            <w:r w:rsidR="00AE2085" w:rsidRPr="00AE2085">
              <w:rPr>
                <w:rFonts w:asciiTheme="majorBidi" w:hAnsiTheme="majorBidi" w:cstheme="majorBidi"/>
              </w:rPr>
              <w:t>three months for less serious offenses</w:t>
            </w:r>
            <w:r w:rsidR="00AE2085">
              <w:rPr>
                <w:rFonts w:asciiTheme="majorBidi" w:hAnsiTheme="majorBidi" w:cstheme="majorBidi"/>
              </w:rPr>
              <w:t>,</w:t>
            </w:r>
            <w:r w:rsidR="00AE2085" w:rsidRPr="00AE2085">
              <w:rPr>
                <w:rFonts w:asciiTheme="majorBidi" w:hAnsiTheme="majorBidi" w:cstheme="majorBidi"/>
              </w:rPr>
              <w:t xml:space="preserve"> </w:t>
            </w:r>
            <w:r w:rsidR="00F448F5">
              <w:rPr>
                <w:rFonts w:asciiTheme="majorBidi" w:hAnsiTheme="majorBidi" w:cstheme="majorBidi"/>
              </w:rPr>
              <w:t>five</w:t>
            </w:r>
            <w:r w:rsidR="00AE2085" w:rsidRPr="00AE2085">
              <w:rPr>
                <w:rFonts w:asciiTheme="majorBidi" w:hAnsiTheme="majorBidi" w:cstheme="majorBidi"/>
              </w:rPr>
              <w:t xml:space="preserve"> months for serious </w:t>
            </w:r>
            <w:r w:rsidR="00A176BD">
              <w:rPr>
                <w:rFonts w:asciiTheme="majorBidi" w:hAnsiTheme="majorBidi" w:cstheme="majorBidi"/>
              </w:rPr>
              <w:t>offenses</w:t>
            </w:r>
            <w:r w:rsidR="00AE2085" w:rsidRPr="00AE2085">
              <w:rPr>
                <w:rFonts w:asciiTheme="majorBidi" w:hAnsiTheme="majorBidi" w:cstheme="majorBidi"/>
              </w:rPr>
              <w:t>,</w:t>
            </w:r>
            <w:r w:rsidR="00AE2085">
              <w:rPr>
                <w:rFonts w:asciiTheme="majorBidi" w:hAnsiTheme="majorBidi" w:cstheme="majorBidi"/>
              </w:rPr>
              <w:t xml:space="preserve"> </w:t>
            </w:r>
            <w:r w:rsidR="00AE2085" w:rsidRPr="00AE2085">
              <w:rPr>
                <w:rFonts w:asciiTheme="majorBidi" w:hAnsiTheme="majorBidi" w:cstheme="majorBidi"/>
              </w:rPr>
              <w:t xml:space="preserve">and </w:t>
            </w:r>
            <w:r w:rsidR="00F448F5">
              <w:rPr>
                <w:rFonts w:asciiTheme="majorBidi" w:hAnsiTheme="majorBidi" w:cstheme="majorBidi"/>
              </w:rPr>
              <w:t xml:space="preserve">seven </w:t>
            </w:r>
            <w:r w:rsidR="00AE2085" w:rsidRPr="00AE2085">
              <w:rPr>
                <w:rFonts w:asciiTheme="majorBidi" w:hAnsiTheme="majorBidi" w:cstheme="majorBidi"/>
              </w:rPr>
              <w:t xml:space="preserve">months for </w:t>
            </w:r>
            <w:r w:rsidR="00A176BD">
              <w:rPr>
                <w:rFonts w:asciiTheme="majorBidi" w:hAnsiTheme="majorBidi" w:cstheme="majorBidi"/>
              </w:rPr>
              <w:t>very</w:t>
            </w:r>
            <w:r w:rsidR="00AE2085" w:rsidRPr="00AE2085">
              <w:rPr>
                <w:rFonts w:asciiTheme="majorBidi" w:hAnsiTheme="majorBidi" w:cstheme="majorBidi"/>
              </w:rPr>
              <w:t xml:space="preserve"> serious </w:t>
            </w:r>
            <w:r w:rsidR="00A176BD">
              <w:rPr>
                <w:rFonts w:asciiTheme="majorBidi" w:hAnsiTheme="majorBidi" w:cstheme="majorBidi"/>
              </w:rPr>
              <w:t>offenses</w:t>
            </w:r>
            <w:r w:rsidR="00F448F5">
              <w:rPr>
                <w:rFonts w:asciiTheme="majorBidi" w:hAnsiTheme="majorBidi" w:cstheme="majorBidi"/>
              </w:rPr>
              <w:t>, and twelve months for the most serious offenses</w:t>
            </w:r>
            <w:r w:rsidR="009A6171">
              <w:rPr>
                <w:rFonts w:asciiTheme="majorBidi" w:hAnsiTheme="majorBidi" w:cstheme="majorBidi"/>
              </w:rPr>
              <w:t>. This provides 4 brackets of time limit for children, 2,3,4+ and 8 months.</w:t>
            </w:r>
          </w:p>
        </w:tc>
      </w:tr>
      <w:tr w:rsidR="00DE5347" w:rsidRPr="0018632F" w14:paraId="352CC70F" w14:textId="77777777" w:rsidTr="009A4920">
        <w:tc>
          <w:tcPr>
            <w:tcW w:w="2141" w:type="dxa"/>
          </w:tcPr>
          <w:p w14:paraId="44A062A9"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t>Statute Citation</w:t>
            </w:r>
          </w:p>
        </w:tc>
        <w:tc>
          <w:tcPr>
            <w:tcW w:w="6715" w:type="dxa"/>
          </w:tcPr>
          <w:p w14:paraId="79E7A720" w14:textId="69E75B69" w:rsidR="00376903" w:rsidRPr="00376903" w:rsidRDefault="00376903" w:rsidP="00376903">
            <w:pPr>
              <w:widowControl w:val="0"/>
              <w:tabs>
                <w:tab w:val="left" w:pos="1664"/>
              </w:tabs>
              <w:rPr>
                <w:rFonts w:asciiTheme="majorBidi" w:hAnsiTheme="majorBidi" w:cstheme="majorBidi"/>
                <w:b/>
              </w:rPr>
            </w:pPr>
            <w:r w:rsidRPr="00376903">
              <w:rPr>
                <w:rFonts w:asciiTheme="majorBidi" w:hAnsiTheme="majorBidi" w:cstheme="majorBidi"/>
                <w:b/>
              </w:rPr>
              <w:t>Tố Tụng Hình Sự</w:t>
            </w:r>
            <w:r>
              <w:rPr>
                <w:rFonts w:asciiTheme="majorBidi" w:hAnsiTheme="majorBidi" w:cstheme="majorBidi"/>
                <w:b/>
              </w:rPr>
              <w:t xml:space="preserve">, </w:t>
            </w:r>
            <w:r w:rsidRPr="00376903">
              <w:rPr>
                <w:rFonts w:asciiTheme="majorBidi" w:hAnsiTheme="majorBidi" w:cstheme="majorBidi"/>
                <w:b/>
              </w:rPr>
              <w:t>Luật số: 101/2015/QH13</w:t>
            </w:r>
          </w:p>
          <w:p w14:paraId="00C83889" w14:textId="33F28511"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Điều 173. Thời hạn tạm giam để điều tra</w:t>
            </w:r>
          </w:p>
          <w:p w14:paraId="1D2B95E8"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1. Thời hạn tạm giam bị can để điều tra không quá 02 tháng đối với tội phạm ít nghiêm trọng, không quá 03 tháng đối với tội phạm nghiêm trọng, không quá 04 tháng đối với tội phạm rất nghiêm trọng và tội phạm đặc biệt nghiêm trọng.</w:t>
            </w:r>
          </w:p>
          <w:p w14:paraId="46102ECD"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2. Trường hợp vụ án có nhiều tình tiết phức tạp, xét cần phải có thời gian dài hơn cho việc điều tra và không có căn cứ để thay đổi hoặc hủy bỏ biện pháp tạm giam thì chậm nhất là 10 ngày trước khi hết thời hạn tạm giam, Cơ quan điều tra phải có văn bản đề nghị Viện kiểm sát gia hạn tạm giam.</w:t>
            </w:r>
          </w:p>
          <w:p w14:paraId="367B5B45"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Việc gia hạn tạm giam được quy định nh¬ư sau:</w:t>
            </w:r>
          </w:p>
          <w:p w14:paraId="226671B7" w14:textId="77777777" w:rsidR="00376903" w:rsidRPr="00376903" w:rsidRDefault="00376903" w:rsidP="00376903">
            <w:pPr>
              <w:widowControl w:val="0"/>
              <w:tabs>
                <w:tab w:val="left" w:pos="1664"/>
              </w:tabs>
              <w:ind w:firstLine="628"/>
              <w:rPr>
                <w:rFonts w:asciiTheme="majorBidi" w:hAnsiTheme="majorBidi" w:cstheme="majorBidi"/>
                <w:bCs/>
              </w:rPr>
            </w:pPr>
            <w:r w:rsidRPr="00376903">
              <w:rPr>
                <w:rFonts w:asciiTheme="majorBidi" w:hAnsiTheme="majorBidi" w:cstheme="majorBidi"/>
                <w:bCs/>
              </w:rPr>
              <w:t>a) Đối với tội phạm ít nghiêm trọng có thể được gia hạn tạm giam một lần không quá 01 tháng;</w:t>
            </w:r>
          </w:p>
          <w:p w14:paraId="6012467C" w14:textId="77777777" w:rsidR="00376903" w:rsidRPr="00376903" w:rsidRDefault="00376903" w:rsidP="00376903">
            <w:pPr>
              <w:widowControl w:val="0"/>
              <w:tabs>
                <w:tab w:val="left" w:pos="1664"/>
              </w:tabs>
              <w:ind w:firstLine="628"/>
              <w:rPr>
                <w:rFonts w:asciiTheme="majorBidi" w:hAnsiTheme="majorBidi" w:cstheme="majorBidi"/>
                <w:bCs/>
              </w:rPr>
            </w:pPr>
            <w:r w:rsidRPr="00376903">
              <w:rPr>
                <w:rFonts w:asciiTheme="majorBidi" w:hAnsiTheme="majorBidi" w:cstheme="majorBidi"/>
                <w:bCs/>
              </w:rPr>
              <w:t>b) Đối với tội phạm nghiêm trọng có thể được gia hạn tạm giam một lần không quá 02 tháng;</w:t>
            </w:r>
          </w:p>
          <w:p w14:paraId="48C9218C" w14:textId="77777777" w:rsidR="00376903" w:rsidRPr="00376903" w:rsidRDefault="00376903" w:rsidP="00376903">
            <w:pPr>
              <w:widowControl w:val="0"/>
              <w:tabs>
                <w:tab w:val="left" w:pos="1664"/>
              </w:tabs>
              <w:ind w:firstLine="628"/>
              <w:rPr>
                <w:rFonts w:asciiTheme="majorBidi" w:hAnsiTheme="majorBidi" w:cstheme="majorBidi"/>
                <w:bCs/>
              </w:rPr>
            </w:pPr>
            <w:r w:rsidRPr="00376903">
              <w:rPr>
                <w:rFonts w:asciiTheme="majorBidi" w:hAnsiTheme="majorBidi" w:cstheme="majorBidi"/>
                <w:bCs/>
              </w:rPr>
              <w:t>c) Đối với tội phạm rất nghiêm trọng có thể được gia hạn tạm giam một lần không quá 03 tháng;</w:t>
            </w:r>
          </w:p>
          <w:p w14:paraId="3DB8D722" w14:textId="77777777" w:rsidR="00376903" w:rsidRPr="00376903" w:rsidRDefault="00376903" w:rsidP="00376903">
            <w:pPr>
              <w:widowControl w:val="0"/>
              <w:tabs>
                <w:tab w:val="left" w:pos="1664"/>
              </w:tabs>
              <w:ind w:firstLine="628"/>
              <w:rPr>
                <w:rFonts w:asciiTheme="majorBidi" w:hAnsiTheme="majorBidi" w:cstheme="majorBidi"/>
                <w:bCs/>
              </w:rPr>
            </w:pPr>
            <w:r w:rsidRPr="00376903">
              <w:rPr>
                <w:rFonts w:asciiTheme="majorBidi" w:hAnsiTheme="majorBidi" w:cstheme="majorBidi"/>
                <w:bCs/>
              </w:rPr>
              <w:t>d) Đối với tội phạm đặc biệt nghiêm trọng có thể được gia hạn tạm giam hai lần, mỗi lần không quá 04 tháng.</w:t>
            </w:r>
          </w:p>
          <w:p w14:paraId="6D810394"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3. Thẩm quyền gia hạn tạm giam của Viện kiểm sát:</w:t>
            </w:r>
          </w:p>
          <w:p w14:paraId="233E5178" w14:textId="77777777" w:rsidR="00376903" w:rsidRPr="00376903" w:rsidRDefault="00376903" w:rsidP="00376903">
            <w:pPr>
              <w:widowControl w:val="0"/>
              <w:tabs>
                <w:tab w:val="left" w:pos="1664"/>
              </w:tabs>
              <w:ind w:firstLine="628"/>
              <w:rPr>
                <w:rFonts w:asciiTheme="majorBidi" w:hAnsiTheme="majorBidi" w:cstheme="majorBidi"/>
                <w:bCs/>
              </w:rPr>
            </w:pPr>
            <w:r w:rsidRPr="00376903">
              <w:rPr>
                <w:rFonts w:asciiTheme="majorBidi" w:hAnsiTheme="majorBidi" w:cstheme="majorBidi"/>
                <w:bCs/>
              </w:rPr>
              <w:t>a) Viện kiểm sát nhân dân cấp huyện, Viện kiểm sát quân sự khu vực có quyền gia hạn tạm giam đối với tội phạm ít nghiêm trọng, tội phạm nghiêm trọng và tội phạm rất nghiêm trọng. Trường hợp vụ án do Cơ quan điều tra cấp tỉnh, Cơ quan điều tra cấp quân khu thụ lý điều tra thì Viện kiểm sát nhân dân cấp tỉnh, Viện kiểm sát quân sự cấp quân khu có quyền gia hạn tạm giam đối với tội phạm ít nghiêm trọng, tội phạm nghiêm trọng, tội phạm rất nghiêm trọng và gia hạn tạm giam lần thứ nhất đối với tội phạm đặc biệt nghiêm trọng;</w:t>
            </w:r>
          </w:p>
          <w:p w14:paraId="207C499E" w14:textId="77777777" w:rsidR="00376903" w:rsidRPr="00376903" w:rsidRDefault="00376903" w:rsidP="00376903">
            <w:pPr>
              <w:widowControl w:val="0"/>
              <w:tabs>
                <w:tab w:val="left" w:pos="1664"/>
              </w:tabs>
              <w:ind w:firstLine="628"/>
              <w:rPr>
                <w:rFonts w:asciiTheme="majorBidi" w:hAnsiTheme="majorBidi" w:cstheme="majorBidi"/>
                <w:bCs/>
              </w:rPr>
            </w:pPr>
            <w:r w:rsidRPr="00376903">
              <w:rPr>
                <w:rFonts w:asciiTheme="majorBidi" w:hAnsiTheme="majorBidi" w:cstheme="majorBidi"/>
                <w:bCs/>
              </w:rPr>
              <w:t>b) Trường hợp thời hạn gia hạn tạm giam lần thứ nhất quy định tại điểm a khoản này đã hết mà chưa thể kết thúc việc điều tra và không có căn cứ để thay đổi hoặc hủy bỏ biện pháp tạm giam thì Viện kiểm sát nhân dân cấp tỉnh, Viện kiểm sát quân sự cấp quân khu có thể gia hạn tạm giam lần thứ hai đối với tội phạm đặc biệt nghiêm trọng.</w:t>
            </w:r>
          </w:p>
          <w:p w14:paraId="1B0DD24C"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 xml:space="preserve">4. Trường hợp vụ án do Cơ quan điều tra Bộ Công an, Cơ quan điều tra Bộ Quốc phòng, Cơ quan điều tra Viện kiểm sát nhân dân </w:t>
            </w:r>
            <w:r w:rsidRPr="00376903">
              <w:rPr>
                <w:rFonts w:asciiTheme="majorBidi" w:hAnsiTheme="majorBidi" w:cstheme="majorBidi"/>
                <w:bCs/>
              </w:rPr>
              <w:lastRenderedPageBreak/>
              <w:t>tối cao thụ lý điều tra thì việc gia hạn tạm giam thuộc thẩm quyền của Viện kiểm sát nhân dân tối cao, Viện kiểm sát quân sự trung ương.</w:t>
            </w:r>
          </w:p>
          <w:p w14:paraId="25D67DE6"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5. Trường hợp cần thiết đối với tội xâm phạm an ninh quốc gia thì Viện trưởng Viện kiểm sát nhân dân tối cao có quyền gia hạn thêm một lần không quá 04 tháng. Trường hợp thời hạn gia hạn tạm giam quy định tại khoản này đã hết mà chưa thể kết thúc việc điều tra và không có căn cứ để thay đổi hoặc hủy bỏ biện pháp tạm giam thì Viện trưởng Viện kiểm sát nhân dân tối cao có quyền gia hạn thêm một lần nhưng không quá 01 tháng đối với tội phạm nghiêm trọng, không quá 02 tháng đối với tội phạm rất nghiêm trọng, không quá 04 tháng đối với tội phạm đặc biệt nghiêm trọng. Trường hợp đặc biệt đối với tội phạm đặc biệt nghiêm trọng xâm phạm an ninh quốc gia mà không có căn cứ để hủy bỏ biện pháp tạm giam thì Viện trưởng Viện kiểm sát nhân dân tối cao quyết định việc tạm giam cho đến khi kết thúc việc điều tra.</w:t>
            </w:r>
          </w:p>
          <w:p w14:paraId="52265BD5"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6. Trường hợp cần thiết đối với tội phạm đặc biệt nghiêm trọng không phải là tội xâm phạm an ninh quốc gia và không có căn cứ để thay đổi hoặc hủy bỏ biện pháp tạm giam thì Viện trưởng Viện kiểm sát nhân dân tối cao có quyền gia hạn thêm một lần nhưng không quá 04 tháng; trường hợp đặc biệt không có căn cứ để hủy bỏ biện pháp tạm giam thì Viện trưởng Viện kiểm sát nhân dân tối cao quyết định việc tạm giam cho đến khi kết thúc việc điều tra.</w:t>
            </w:r>
          </w:p>
          <w:p w14:paraId="54DAC5EA"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7. Trong thời hạn tạm giam, nếu xét thấy không cần thiết phải tiếp tục tạm giam thì Cơ quan điều tra phải kịp thời đề nghị Viện kiểm sát hủy bỏ việc tạm giam để trả tự do cho người bị tạm giam hoặc xét thấy cần thiết thì áp dụng biện pháp ngăn chặn khác.</w:t>
            </w:r>
          </w:p>
          <w:p w14:paraId="35C94E0A"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Khi đã hết thời hạn tạm giam thì người bị tạm giam phải được trả tự do. Trường hợp xét thấy cần thiết thì cơ quan có thẩm quyền tiến hành tố tụng áp dụng biện pháp ngăn chặn khác.</w:t>
            </w:r>
          </w:p>
          <w:p w14:paraId="06C3B279" w14:textId="77777777" w:rsidR="00376903" w:rsidRPr="00376903" w:rsidRDefault="00376903" w:rsidP="00376903">
            <w:pPr>
              <w:widowControl w:val="0"/>
              <w:tabs>
                <w:tab w:val="left" w:pos="1664"/>
              </w:tabs>
              <w:rPr>
                <w:rFonts w:asciiTheme="majorBidi" w:hAnsiTheme="majorBidi" w:cstheme="majorBidi"/>
                <w:bCs/>
              </w:rPr>
            </w:pPr>
          </w:p>
          <w:p w14:paraId="1CA28175"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Điều 174. Thời hạn phục hồi điều tra, điều tra bổ sung, điều tra lại</w:t>
            </w:r>
          </w:p>
          <w:p w14:paraId="29BDB913"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1. Trường hợp phục hồi điều tra quy định tại Điều 235 của Bộ luật này thì thời hạn điều tra tiếp không quá 02 tháng đối với tội phạm ít nghiêm trọng, tội phạm nghiêm trọng và không quá 03 tháng đối với tội phạm rất nghiêm trọng, tội phạm đặc biệt nghiêm trọng kể từ khi có quyết định phục hồi điều tra cho đến khi kết thúc điều tra.</w:t>
            </w:r>
          </w:p>
          <w:p w14:paraId="229AB849"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Trường hợp cần gia hạn điều tra do tính chất phức tạp của vụ án thì chậm nhất là 10 ngày trước khi hết thời hạn điều tra, Cơ quan điều tra phải có văn bản đề nghị Viện kiểm sát gia hạn điều tra.</w:t>
            </w:r>
          </w:p>
          <w:p w14:paraId="231CAE00"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Việc gia hạn điều tra được quy định như sau:</w:t>
            </w:r>
          </w:p>
          <w:p w14:paraId="62BE6E2E" w14:textId="77777777" w:rsidR="00376903" w:rsidRPr="00376903" w:rsidRDefault="00376903" w:rsidP="00376903">
            <w:pPr>
              <w:widowControl w:val="0"/>
              <w:tabs>
                <w:tab w:val="left" w:pos="1664"/>
              </w:tabs>
              <w:ind w:firstLine="538"/>
              <w:rPr>
                <w:rFonts w:asciiTheme="majorBidi" w:hAnsiTheme="majorBidi" w:cstheme="majorBidi"/>
                <w:bCs/>
              </w:rPr>
            </w:pPr>
            <w:r w:rsidRPr="00376903">
              <w:rPr>
                <w:rFonts w:asciiTheme="majorBidi" w:hAnsiTheme="majorBidi" w:cstheme="majorBidi"/>
                <w:bCs/>
              </w:rPr>
              <w:t>a) Đối với tội phạm ít nghiêm trọng có thể được gia hạn điều tra một lần không quá 01 tháng;</w:t>
            </w:r>
          </w:p>
          <w:p w14:paraId="105ED559" w14:textId="77777777" w:rsidR="00376903" w:rsidRPr="00376903" w:rsidRDefault="00376903" w:rsidP="00376903">
            <w:pPr>
              <w:widowControl w:val="0"/>
              <w:tabs>
                <w:tab w:val="left" w:pos="1664"/>
              </w:tabs>
              <w:ind w:firstLine="538"/>
              <w:rPr>
                <w:rFonts w:asciiTheme="majorBidi" w:hAnsiTheme="majorBidi" w:cstheme="majorBidi"/>
                <w:bCs/>
              </w:rPr>
            </w:pPr>
            <w:r w:rsidRPr="00376903">
              <w:rPr>
                <w:rFonts w:asciiTheme="majorBidi" w:hAnsiTheme="majorBidi" w:cstheme="majorBidi"/>
                <w:bCs/>
              </w:rPr>
              <w:t>b) Đối với tội phạm nghiêm trọng và tội phạm rất nghiêm trọng có thể được gia hạn điều tra một lần không quá 02 tháng;</w:t>
            </w:r>
          </w:p>
          <w:p w14:paraId="17F2ACCA" w14:textId="77777777" w:rsidR="00376903" w:rsidRPr="00376903" w:rsidRDefault="00376903" w:rsidP="00376903">
            <w:pPr>
              <w:widowControl w:val="0"/>
              <w:tabs>
                <w:tab w:val="left" w:pos="1664"/>
              </w:tabs>
              <w:ind w:firstLine="538"/>
              <w:rPr>
                <w:rFonts w:asciiTheme="majorBidi" w:hAnsiTheme="majorBidi" w:cstheme="majorBidi"/>
                <w:bCs/>
              </w:rPr>
            </w:pPr>
            <w:r w:rsidRPr="00376903">
              <w:rPr>
                <w:rFonts w:asciiTheme="majorBidi" w:hAnsiTheme="majorBidi" w:cstheme="majorBidi"/>
                <w:bCs/>
              </w:rPr>
              <w:t xml:space="preserve">c) Đối với tội phạm đặc biệt nghiêm trọng có thể được gia </w:t>
            </w:r>
            <w:r w:rsidRPr="00376903">
              <w:rPr>
                <w:rFonts w:asciiTheme="majorBidi" w:hAnsiTheme="majorBidi" w:cstheme="majorBidi"/>
                <w:bCs/>
              </w:rPr>
              <w:lastRenderedPageBreak/>
              <w:t>hạn điều tra một lần không quá 03 tháng.</w:t>
            </w:r>
          </w:p>
          <w:p w14:paraId="282CCA6B"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Thẩm quyền gia hạn điều tra đối với từng loại tội phạm theo quy định tại khoản 5 Điều 172 của Bộ luật này.</w:t>
            </w:r>
          </w:p>
          <w:p w14:paraId="0F2B9B0E"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2. Trường hợp vụ án do Viện kiểm sát trả lại để yêu cầu điều tra bổ sung thì thời hạn điều tra bổ sung không quá 02 tháng; nếu do Tòa án trả lại để yêu cầu điều tra bổ sung thì thời hạn điều tra bổ sung không quá 01 tháng. Viện kiểm sát chỉ được trả lại hồ sơ để điều tra bổ sung hai lần. Thẩm phán chủ tọa phiên tòa chỉ được trả hồ sơ để điều tra bổ sung một lần và Hội đồng xét xử chỉ được trả hồ sơ để điều tra bổ sung một lần.</w:t>
            </w:r>
          </w:p>
          <w:p w14:paraId="5F87CB3A"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Thời hạn điều tra bổ sung tính từ ngày Cơ quan điều tra nhận lại hồ sơ vụ án và yêu cầu điều tra bổ sung.</w:t>
            </w:r>
          </w:p>
          <w:p w14:paraId="5EA86289"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3. Trường hợp vụ án được trả lại để điều tra lại thì thời hạn điều tra và gia hạn điều tra thực hiện theo quy định tại Điều 172 của Bộ luật này.</w:t>
            </w:r>
          </w:p>
          <w:p w14:paraId="2DA64569"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Thời hạn điều tra được tính từ khi Cơ quan điều tra nhận hồ sơ và yêu cầu điều tra lại.</w:t>
            </w:r>
          </w:p>
          <w:p w14:paraId="44F97130"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4. Khi phục hồi điều tra, điều tra bổ sung, điều tra lại, Cơ quan điều tra có quyền áp dụng, thay đổi, hủy bỏ biện pháp ngăn chặn, biện pháp cưỡng chế theo quy định của Bộ luật này.</w:t>
            </w:r>
          </w:p>
          <w:p w14:paraId="07EC88A1" w14:textId="77777777"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Trường hợp có căn cứ theo quy định của Bộ luật này cần phải tạm giam thì thời hạn tạm giam để phục hồi điều tra, điều tra bổ sung không được quá thời hạn phục hồi điều tra, điều tra bổ sung quy định tại khoản 1 và khoản 2 Điều này.</w:t>
            </w:r>
          </w:p>
          <w:p w14:paraId="36E865F3" w14:textId="3D686268" w:rsidR="00376903" w:rsidRPr="00376903" w:rsidRDefault="00376903" w:rsidP="00376903">
            <w:pPr>
              <w:widowControl w:val="0"/>
              <w:tabs>
                <w:tab w:val="left" w:pos="1664"/>
              </w:tabs>
              <w:rPr>
                <w:rFonts w:asciiTheme="majorBidi" w:hAnsiTheme="majorBidi" w:cstheme="majorBidi"/>
                <w:bCs/>
              </w:rPr>
            </w:pPr>
            <w:r w:rsidRPr="00376903">
              <w:rPr>
                <w:rFonts w:asciiTheme="majorBidi" w:hAnsiTheme="majorBidi" w:cstheme="majorBidi"/>
                <w:bCs/>
              </w:rPr>
              <w:t>Thời hạn tạm giam và gia hạn tạm giam trong trường hợp vụ án được điều tra lại thực hiện theo quy định tại Điều 173 của Bộ luật này.</w:t>
            </w:r>
          </w:p>
          <w:p w14:paraId="544E4622" w14:textId="5E9C244C" w:rsidR="00376903" w:rsidRDefault="00376903" w:rsidP="00B00D5D">
            <w:pPr>
              <w:widowControl w:val="0"/>
              <w:tabs>
                <w:tab w:val="left" w:pos="1664"/>
              </w:tabs>
              <w:rPr>
                <w:rFonts w:asciiTheme="majorBidi" w:hAnsiTheme="majorBidi" w:cstheme="majorBidi"/>
                <w:b/>
              </w:rPr>
            </w:pPr>
          </w:p>
          <w:p w14:paraId="58DA53E8"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Ðiều 419. Áp dụng biện pháp ngăn chặn, biện pháp cưỡng chế</w:t>
            </w:r>
          </w:p>
          <w:p w14:paraId="6EC5CDF0"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1. Chỉ áp dụng biện pháp ngăn chặn, biện pháp áp giải đối với người bị buộc tội là người dưới 18 tuổi trong trường hợp thật cần thiết.</w:t>
            </w:r>
          </w:p>
          <w:p w14:paraId="31BE461D"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Chỉ áp dụng biện pháp tạm giữ, tạm giam đối với người bị buộc tội là người dưới 18 tuổi khi có căn cứ cho rằng việc áp dụng biện pháp giám sát và các biện pháp ngăn chặn khác không hiệu quả. Thời hạn tạm giam đối với người bị buộc tội là người dưới 18 tuổi bằng hai phần ba thời hạn tạm giam đối với người đủ 18 tuổi trở lên quy định tại Bộ luật này. Khi không còn căn cứ để tạm giữ, tạm giam thì cơ quan, người có thẩm quyền phải kịp thời hủy bỏ, thay thế bằng biện pháp ngăn chặn khác.</w:t>
            </w:r>
          </w:p>
          <w:p w14:paraId="3D3B92AE"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2. Người từ đủ 14 tuổi đến dưới 16 tuổi có thể bị giữ trong trường hợp khẩn cấp, bị bắt, tạm giữ, tạm giam về tội phạm quy định tại khoản 2 Điều 12 của Bộ luật hình sự nếu có căn cứ quy định tại các điều 110, 111 và 112, các điểm a, b, c, d và đ khoản 2 Điều 119 của Bộ luật này.</w:t>
            </w:r>
          </w:p>
          <w:p w14:paraId="3C0D3E1A"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 xml:space="preserve">3. Người từ đủ 16 tuổi đến dưới 18 tuổi có thể bị giữ trong trường </w:t>
            </w:r>
            <w:r w:rsidRPr="00F448F5">
              <w:rPr>
                <w:rFonts w:asciiTheme="majorBidi" w:hAnsiTheme="majorBidi" w:cstheme="majorBidi"/>
                <w:bCs/>
              </w:rPr>
              <w:lastRenderedPageBreak/>
              <w:t>hợp khẩn cấp, bị bắt, tạm giữ, tạm giam về tội nghiêm trọng do cố ý, tội rất nghiêm trọng, tội đặc biệt nghiêm trọng nếu có căn cứ quy định tại các điều 110, 111 và 112, các điểm a, b, c, d và đ khoản 2 Điều 119 của Bộ luật này.</w:t>
            </w:r>
          </w:p>
          <w:p w14:paraId="1B3458E2"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4. Đối với bị can, bị cáo từ đủ 16 tuổi đến dưới 18 tuổi bị khởi tố, điều tra, truy tố, xét xử về tội nghiêm trọng do vô ý, tội ít nghiêm trọng mà Bộ luật hình sự quy định hình phạt tù đến 02 năm thì có thể bị bắt, tạm giữ, tạm giam nếu họ tiếp tục phạm tội, bỏ trốn và bị bắt theo quyết định truy nã.</w:t>
            </w:r>
          </w:p>
          <w:p w14:paraId="272967DB" w14:textId="11C0D51B"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5. Trong thời hạn 24 giờ kể từ khi giữ người trong trường hợp khẩn cấp, bắt, tạm giữ, tạm giam, người ra lệnh giữ, lệnh hoặc quyết định bắt, tạm giữ, tạm giam người dưới 18 tuổi phải thông báo cho người đại diện của họ biết</w:t>
            </w:r>
          </w:p>
          <w:p w14:paraId="66721479" w14:textId="77777777" w:rsidR="00F448F5" w:rsidRDefault="00F448F5" w:rsidP="00B00D5D">
            <w:pPr>
              <w:widowControl w:val="0"/>
              <w:tabs>
                <w:tab w:val="left" w:pos="1664"/>
              </w:tabs>
              <w:rPr>
                <w:rFonts w:asciiTheme="majorBidi" w:hAnsiTheme="majorBidi" w:cstheme="majorBidi"/>
                <w:b/>
              </w:rPr>
            </w:pPr>
          </w:p>
          <w:p w14:paraId="799677AA" w14:textId="0C9BE935" w:rsidR="00B00D5D" w:rsidRPr="00B00D5D" w:rsidRDefault="00B00D5D" w:rsidP="00B00D5D">
            <w:pPr>
              <w:widowControl w:val="0"/>
              <w:tabs>
                <w:tab w:val="left" w:pos="1664"/>
              </w:tabs>
              <w:rPr>
                <w:rFonts w:asciiTheme="majorBidi" w:hAnsiTheme="majorBidi" w:cstheme="majorBidi"/>
                <w:b/>
              </w:rPr>
            </w:pPr>
            <w:r w:rsidRPr="00B00D5D">
              <w:rPr>
                <w:rFonts w:asciiTheme="majorBidi" w:hAnsiTheme="majorBidi" w:cstheme="majorBidi"/>
                <w:b/>
              </w:rPr>
              <w:t>Criminal Procedure Code (No. 1</w:t>
            </w:r>
            <w:r w:rsidR="00A176BD">
              <w:rPr>
                <w:rFonts w:asciiTheme="majorBidi" w:hAnsiTheme="majorBidi" w:cstheme="majorBidi"/>
                <w:b/>
              </w:rPr>
              <w:t>01</w:t>
            </w:r>
            <w:r w:rsidRPr="00B00D5D">
              <w:rPr>
                <w:rFonts w:asciiTheme="majorBidi" w:hAnsiTheme="majorBidi" w:cstheme="majorBidi"/>
                <w:b/>
              </w:rPr>
              <w:t>/20</w:t>
            </w:r>
            <w:r w:rsidR="00A176BD">
              <w:rPr>
                <w:rFonts w:asciiTheme="majorBidi" w:hAnsiTheme="majorBidi" w:cstheme="majorBidi"/>
                <w:b/>
              </w:rPr>
              <w:t>15</w:t>
            </w:r>
            <w:r w:rsidRPr="00B00D5D">
              <w:rPr>
                <w:rFonts w:asciiTheme="majorBidi" w:hAnsiTheme="majorBidi" w:cstheme="majorBidi"/>
                <w:b/>
              </w:rPr>
              <w:t>/QH1</w:t>
            </w:r>
            <w:r w:rsidR="00A176BD">
              <w:rPr>
                <w:rFonts w:asciiTheme="majorBidi" w:hAnsiTheme="majorBidi" w:cstheme="majorBidi"/>
                <w:b/>
              </w:rPr>
              <w:t>3</w:t>
            </w:r>
            <w:r w:rsidRPr="00B00D5D">
              <w:rPr>
                <w:rFonts w:asciiTheme="majorBidi" w:hAnsiTheme="majorBidi" w:cstheme="majorBidi"/>
                <w:b/>
              </w:rPr>
              <w:t xml:space="preserve"> of November 2</w:t>
            </w:r>
            <w:r w:rsidR="00A176BD">
              <w:rPr>
                <w:rFonts w:asciiTheme="majorBidi" w:hAnsiTheme="majorBidi" w:cstheme="majorBidi"/>
                <w:b/>
              </w:rPr>
              <w:t>7</w:t>
            </w:r>
            <w:r w:rsidRPr="00B00D5D">
              <w:rPr>
                <w:rFonts w:asciiTheme="majorBidi" w:hAnsiTheme="majorBidi" w:cstheme="majorBidi"/>
                <w:b/>
              </w:rPr>
              <w:t>, 20</w:t>
            </w:r>
            <w:r w:rsidR="00A176BD">
              <w:rPr>
                <w:rFonts w:asciiTheme="majorBidi" w:hAnsiTheme="majorBidi" w:cstheme="majorBidi"/>
                <w:b/>
              </w:rPr>
              <w:t>15</w:t>
            </w:r>
            <w:r w:rsidRPr="00B00D5D">
              <w:rPr>
                <w:rFonts w:asciiTheme="majorBidi" w:hAnsiTheme="majorBidi" w:cstheme="majorBidi"/>
                <w:b/>
              </w:rPr>
              <w:t>)</w:t>
            </w:r>
          </w:p>
          <w:p w14:paraId="5F187140"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Article 173. Time limit for detention for investigation</w:t>
            </w:r>
          </w:p>
          <w:p w14:paraId="4B504D64"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1. The time limit for temporary detention of suspects for investigation shall not exceed 02 months for misdemeanors, 03 months for felonies and 04 months for horrific and extremely severe felonies.</w:t>
            </w:r>
          </w:p>
          <w:p w14:paraId="729784C6"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2. If an investigation must be prolonged due to a variety of complex facts in the case and no grounds for change or termination of detention exist, the investigation authority shall, within 10 days prior to the expiration of the time limit, request The procuracy to extend the detention.</w:t>
            </w:r>
          </w:p>
          <w:p w14:paraId="39CDA0E2"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Detention is extended as follows:</w:t>
            </w:r>
          </w:p>
          <w:p w14:paraId="20A1C8CF" w14:textId="77777777" w:rsidR="00A176BD" w:rsidRPr="00A176BD" w:rsidRDefault="00A176BD" w:rsidP="00A176BD">
            <w:pPr>
              <w:widowControl w:val="0"/>
              <w:tabs>
                <w:tab w:val="left" w:pos="1664"/>
              </w:tabs>
              <w:ind w:firstLine="358"/>
              <w:rPr>
                <w:rFonts w:asciiTheme="majorBidi" w:hAnsiTheme="majorBidi" w:cstheme="majorBidi"/>
                <w:bCs/>
              </w:rPr>
            </w:pPr>
            <w:r w:rsidRPr="00A176BD">
              <w:rPr>
                <w:rFonts w:asciiTheme="majorBidi" w:hAnsiTheme="majorBidi" w:cstheme="majorBidi"/>
                <w:bCs/>
              </w:rPr>
              <w:t>a) Detention of offenders of misdemeanors may be extended once for 01 more month;</w:t>
            </w:r>
          </w:p>
          <w:p w14:paraId="79A16458" w14:textId="6149569A" w:rsidR="00A176BD" w:rsidRPr="00A176BD" w:rsidRDefault="00A176BD" w:rsidP="00A176BD">
            <w:pPr>
              <w:widowControl w:val="0"/>
              <w:tabs>
                <w:tab w:val="left" w:pos="1664"/>
              </w:tabs>
              <w:ind w:firstLine="358"/>
              <w:rPr>
                <w:rFonts w:asciiTheme="majorBidi" w:hAnsiTheme="majorBidi" w:cstheme="majorBidi"/>
                <w:bCs/>
              </w:rPr>
            </w:pPr>
            <w:r w:rsidRPr="00A176BD">
              <w:rPr>
                <w:rFonts w:asciiTheme="majorBidi" w:hAnsiTheme="majorBidi" w:cstheme="majorBidi"/>
                <w:bCs/>
              </w:rPr>
              <w:t>b) Detention of offenders of felonies may be extended once for 02 more month</w:t>
            </w:r>
            <w:r w:rsidR="00376903">
              <w:rPr>
                <w:rFonts w:asciiTheme="majorBidi" w:hAnsiTheme="majorBidi" w:cstheme="majorBidi"/>
                <w:bCs/>
              </w:rPr>
              <w:t>s</w:t>
            </w:r>
            <w:r w:rsidRPr="00A176BD">
              <w:rPr>
                <w:rFonts w:asciiTheme="majorBidi" w:hAnsiTheme="majorBidi" w:cstheme="majorBidi"/>
                <w:bCs/>
              </w:rPr>
              <w:t>;</w:t>
            </w:r>
          </w:p>
          <w:p w14:paraId="3F93782F" w14:textId="558C38AC" w:rsidR="00A176BD" w:rsidRPr="00A176BD" w:rsidRDefault="00A176BD" w:rsidP="00A176BD">
            <w:pPr>
              <w:widowControl w:val="0"/>
              <w:tabs>
                <w:tab w:val="left" w:pos="1664"/>
              </w:tabs>
              <w:ind w:firstLine="358"/>
              <w:rPr>
                <w:rFonts w:asciiTheme="majorBidi" w:hAnsiTheme="majorBidi" w:cstheme="majorBidi"/>
                <w:bCs/>
              </w:rPr>
            </w:pPr>
            <w:r w:rsidRPr="00A176BD">
              <w:rPr>
                <w:rFonts w:asciiTheme="majorBidi" w:hAnsiTheme="majorBidi" w:cstheme="majorBidi"/>
                <w:bCs/>
              </w:rPr>
              <w:t>c) Detention of offenders of horrific felonies may be extended once for 03 more month</w:t>
            </w:r>
            <w:r w:rsidR="00376903">
              <w:rPr>
                <w:rFonts w:asciiTheme="majorBidi" w:hAnsiTheme="majorBidi" w:cstheme="majorBidi"/>
                <w:bCs/>
              </w:rPr>
              <w:t>s</w:t>
            </w:r>
            <w:r w:rsidRPr="00A176BD">
              <w:rPr>
                <w:rFonts w:asciiTheme="majorBidi" w:hAnsiTheme="majorBidi" w:cstheme="majorBidi"/>
                <w:bCs/>
              </w:rPr>
              <w:t>;</w:t>
            </w:r>
          </w:p>
          <w:p w14:paraId="1776726D" w14:textId="77777777" w:rsidR="00A176BD" w:rsidRPr="00A176BD" w:rsidRDefault="00A176BD" w:rsidP="00A176BD">
            <w:pPr>
              <w:widowControl w:val="0"/>
              <w:tabs>
                <w:tab w:val="left" w:pos="1664"/>
              </w:tabs>
              <w:ind w:firstLine="358"/>
              <w:rPr>
                <w:rFonts w:asciiTheme="majorBidi" w:hAnsiTheme="majorBidi" w:cstheme="majorBidi"/>
                <w:bCs/>
              </w:rPr>
            </w:pPr>
            <w:r w:rsidRPr="00A176BD">
              <w:rPr>
                <w:rFonts w:asciiTheme="majorBidi" w:hAnsiTheme="majorBidi" w:cstheme="majorBidi"/>
                <w:bCs/>
              </w:rPr>
              <w:t>d) Detention of offenders of extremely severe felonies may be extended twice, for 04 more months each time.</w:t>
            </w:r>
          </w:p>
          <w:p w14:paraId="322979E9"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3. The procuracy's authority to extend detention:</w:t>
            </w:r>
          </w:p>
          <w:p w14:paraId="7C369FC8" w14:textId="77777777" w:rsidR="00A176BD" w:rsidRPr="00A176BD" w:rsidRDefault="00A176BD" w:rsidP="00A176BD">
            <w:pPr>
              <w:widowControl w:val="0"/>
              <w:tabs>
                <w:tab w:val="left" w:pos="1664"/>
              </w:tabs>
              <w:ind w:firstLine="448"/>
              <w:rPr>
                <w:rFonts w:asciiTheme="majorBidi" w:hAnsiTheme="majorBidi" w:cstheme="majorBidi"/>
                <w:bCs/>
              </w:rPr>
            </w:pPr>
            <w:r>
              <w:rPr>
                <w:rFonts w:asciiTheme="majorBidi" w:hAnsiTheme="majorBidi" w:cstheme="majorBidi"/>
                <w:bCs/>
              </w:rPr>
              <w:t>a</w:t>
            </w:r>
            <w:r w:rsidRPr="00A176BD">
              <w:rPr>
                <w:rFonts w:asciiTheme="majorBidi" w:hAnsiTheme="majorBidi" w:cstheme="majorBidi"/>
                <w:bCs/>
              </w:rPr>
              <w:t>) A district People’s Procuracy or local Military procuracy is entitled to extend detention of offenders of misdemeanors, felonies and horrific felonies. If a provincial investigation authority or a military zone’s investigation authority handles the investigation, the equivalent provincial People’s Procuracy or Military procuracy of the military zone is entitled to extend detention of offenders of misdemeanors, felonies, horrific felonies and to decide the first extension of detention of offenders of extremely severe felonies;</w:t>
            </w:r>
          </w:p>
          <w:p w14:paraId="52E8DACF" w14:textId="77777777" w:rsidR="00A176BD" w:rsidRPr="00A176BD" w:rsidRDefault="00A176BD" w:rsidP="00A176BD">
            <w:pPr>
              <w:widowControl w:val="0"/>
              <w:tabs>
                <w:tab w:val="left" w:pos="1664"/>
              </w:tabs>
              <w:ind w:firstLine="448"/>
              <w:rPr>
                <w:rFonts w:asciiTheme="majorBidi" w:hAnsiTheme="majorBidi" w:cstheme="majorBidi"/>
                <w:bCs/>
              </w:rPr>
            </w:pPr>
            <w:r w:rsidRPr="00A176BD">
              <w:rPr>
                <w:rFonts w:asciiTheme="majorBidi" w:hAnsiTheme="majorBidi" w:cstheme="majorBidi"/>
                <w:bCs/>
              </w:rPr>
              <w:t xml:space="preserve">b) If the investigation is incomplete despite the expiration of the first extension as stated in Point a of this Section and no </w:t>
            </w:r>
            <w:r w:rsidRPr="00A176BD">
              <w:rPr>
                <w:rFonts w:asciiTheme="majorBidi" w:hAnsiTheme="majorBidi" w:cstheme="majorBidi"/>
                <w:bCs/>
              </w:rPr>
              <w:lastRenderedPageBreak/>
              <w:t>grounds for change or termination of temporary detention exist, the provincial People’s Procuracy or Military procuracy of the military zone may decide the second extension against offenders of extremely severe felonies.</w:t>
            </w:r>
          </w:p>
          <w:p w14:paraId="27E87B42"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4. If an investigation authority of the Ministry of Public Security, Ministry of Defense or People’s Supreme Procuracy handles the investigation, the Supreme People’s Procuracy or Central military procuracy shall decide to extend the investigation.</w:t>
            </w:r>
          </w:p>
          <w:p w14:paraId="0F1F47C0"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5. The head of the Supreme People’s Procuracy is entitled to extend the detention of violators of national security once for at most 04 more months. If the investigation is incomplete despite the expiration of the extension(s) as stated in this Section and no grounds for change or termination of temporary detention exist, the head of the Supreme People’s Procuracy is entitled to ratify 1-month extension against felonies, 2-month extension against horrific felonies, and 4-month extension against extremely severe felonies. If no grounds for termination of detention exist in a special case of extremely severe felony of national security breach, the head of the Supreme People’s Procuracy shall decide to maintain detention until the investigation closes.</w:t>
            </w:r>
          </w:p>
          <w:p w14:paraId="0FAEE6E9"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6. If no grounds for change or termination of detention exist in a special case of horrific felonies not related to national security breach, the head of the Supreme People’s Procuracy is entitled to sanction one 4-month extension. If no grounds for termination of detention against a special case, the head of the Supreme People’s Procuracy shall decide to extend the detention by the entire length of time of the investigation.</w:t>
            </w:r>
          </w:p>
          <w:p w14:paraId="1956B764"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 xml:space="preserve">7. If detention in force </w:t>
            </w:r>
            <w:proofErr w:type="gramStart"/>
            <w:r w:rsidRPr="00A176BD">
              <w:rPr>
                <w:rFonts w:asciiTheme="majorBidi" w:hAnsiTheme="majorBidi" w:cstheme="majorBidi"/>
                <w:bCs/>
              </w:rPr>
              <w:t>is deemed</w:t>
            </w:r>
            <w:proofErr w:type="gramEnd"/>
            <w:r w:rsidRPr="00A176BD">
              <w:rPr>
                <w:rFonts w:asciiTheme="majorBidi" w:hAnsiTheme="majorBidi" w:cstheme="majorBidi"/>
                <w:bCs/>
              </w:rPr>
              <w:t xml:space="preserve"> unnecessary, the investigation authority must request The procuracy to terminate the detention to discharge the detainee in timely manner or implement other measures, if necessary.</w:t>
            </w:r>
          </w:p>
          <w:p w14:paraId="04030B66"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The detainee must be discharged when the detention expires. Competent procedural authorities, if necessary, shall implement other preventive measures.</w:t>
            </w:r>
          </w:p>
          <w:p w14:paraId="03D8FE9B" w14:textId="77777777" w:rsidR="00A176BD" w:rsidRPr="00A176BD" w:rsidRDefault="00A176BD" w:rsidP="00A176BD">
            <w:pPr>
              <w:widowControl w:val="0"/>
              <w:tabs>
                <w:tab w:val="left" w:pos="1664"/>
              </w:tabs>
              <w:rPr>
                <w:rFonts w:asciiTheme="majorBidi" w:hAnsiTheme="majorBidi" w:cstheme="majorBidi"/>
                <w:bCs/>
              </w:rPr>
            </w:pPr>
          </w:p>
          <w:p w14:paraId="36AC3CC7"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Article 174. Time limit for resumption of investigation, further investigation, re-investigation</w:t>
            </w:r>
          </w:p>
          <w:p w14:paraId="263D3D92"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1. If an investigation resumes as per Article 235 of this Law, the time limit for the continued investigation shall not exceed 02 months for misdemeanors and felonies and 03 months for horrific and extremely severe felonies. Such time limit applies from the issue date of the decision to resume investigation to the closure of the investigation.</w:t>
            </w:r>
          </w:p>
          <w:p w14:paraId="5CC56913"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 xml:space="preserve">If an investigation must be extended due to the case’s complexity, the investigation authority shall, within 10 days prior to the expiry date of the time limit, requisition the Procuracy’s extension of </w:t>
            </w:r>
            <w:r w:rsidRPr="00A176BD">
              <w:rPr>
                <w:rFonts w:asciiTheme="majorBidi" w:hAnsiTheme="majorBidi" w:cstheme="majorBidi"/>
                <w:bCs/>
              </w:rPr>
              <w:lastRenderedPageBreak/>
              <w:t>investigation.</w:t>
            </w:r>
          </w:p>
          <w:p w14:paraId="31DE7969"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An investigation is extended as follows:</w:t>
            </w:r>
          </w:p>
          <w:p w14:paraId="5F75A593"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a) An investigation into misdemeanors may be extended once for 01 more month;</w:t>
            </w:r>
          </w:p>
          <w:p w14:paraId="0CD60C05"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b) An investigation into felonies and horrific felonies may be extended once for 02 more months;</w:t>
            </w:r>
          </w:p>
          <w:p w14:paraId="7BF2ADAF"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c) An investigation into extremely severe felonies may be extended once for 03 more months.</w:t>
            </w:r>
          </w:p>
          <w:p w14:paraId="57C75DC3"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The authority to extend investigations into each type of crime is defined in Section 5, Article 172 of this Law.</w:t>
            </w:r>
          </w:p>
          <w:p w14:paraId="384EFCBC"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2. If The procuracy returns case files for further investigation, the time limit for the additional investigation shall not exceed 02 months. If a Court returns case files for further investigation, the time limit added shall not exceed 01 month. The procuracy can return case files for further investigation twice. The presiding judge of a Court can return case files for further investigation once and the Trial panel can return case files for additional investigation once.</w:t>
            </w:r>
          </w:p>
          <w:p w14:paraId="188B8A4C"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The time limit for an additional investigation commences upon the investigation authority’s retrieval of case files and request for further investigation/</w:t>
            </w:r>
          </w:p>
          <w:p w14:paraId="47D3E558"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3. If case files are returned for re-investigation, the time limit and extension of investigation shall be governed by Article 172 of this Law.</w:t>
            </w:r>
          </w:p>
          <w:p w14:paraId="00F6CDEB"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The time limit for investigation commences upon the investigation authority’s retrieval of case files and request for re-investigation.</w:t>
            </w:r>
          </w:p>
          <w:p w14:paraId="0376E1BE"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4. The investigation authority, when resuming, furthering and resetting an investigation, is entitled to implement, alter or terminate preventive and coercive measures as per this Law.</w:t>
            </w:r>
          </w:p>
          <w:p w14:paraId="6E437570" w14:textId="77777777" w:rsidR="00A176BD" w:rsidRPr="00A176BD"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If a detention is deemed necessary as per the grounds defined in this Law, the time limit for detention for resumption or furthering of the investigation shall not exceed the relevant time limit as defined in Section 1 and Section 2 of this Article.</w:t>
            </w:r>
          </w:p>
          <w:p w14:paraId="290C35B4" w14:textId="77777777" w:rsidR="00AE2085" w:rsidRDefault="00A176BD" w:rsidP="00A176BD">
            <w:pPr>
              <w:widowControl w:val="0"/>
              <w:tabs>
                <w:tab w:val="left" w:pos="1664"/>
              </w:tabs>
              <w:rPr>
                <w:rFonts w:asciiTheme="majorBidi" w:hAnsiTheme="majorBidi" w:cstheme="majorBidi"/>
                <w:bCs/>
              </w:rPr>
            </w:pPr>
            <w:r w:rsidRPr="00A176BD">
              <w:rPr>
                <w:rFonts w:asciiTheme="majorBidi" w:hAnsiTheme="majorBidi" w:cstheme="majorBidi"/>
                <w:bCs/>
              </w:rPr>
              <w:t>The time limit and extension of detention for re-investigation are governed by Article 173 of this Law.</w:t>
            </w:r>
            <w:r>
              <w:rPr>
                <w:rFonts w:asciiTheme="majorBidi" w:hAnsiTheme="majorBidi" w:cstheme="majorBidi"/>
                <w:bCs/>
              </w:rPr>
              <w:t xml:space="preserve"> </w:t>
            </w:r>
            <w:r w:rsidR="00AE2085">
              <w:rPr>
                <w:rFonts w:asciiTheme="majorBidi" w:hAnsiTheme="majorBidi" w:cstheme="majorBidi"/>
                <w:bCs/>
              </w:rPr>
              <w:t xml:space="preserve"> </w:t>
            </w:r>
          </w:p>
          <w:p w14:paraId="2AC9AAC7" w14:textId="77777777" w:rsidR="00F448F5" w:rsidRDefault="00F448F5" w:rsidP="00A176BD">
            <w:pPr>
              <w:widowControl w:val="0"/>
              <w:tabs>
                <w:tab w:val="left" w:pos="1664"/>
              </w:tabs>
              <w:rPr>
                <w:rFonts w:asciiTheme="majorBidi" w:hAnsiTheme="majorBidi" w:cstheme="majorBidi"/>
                <w:bCs/>
              </w:rPr>
            </w:pPr>
          </w:p>
          <w:p w14:paraId="348D6DE5"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Article 419. Implementation of preventive and coercive measures</w:t>
            </w:r>
          </w:p>
          <w:p w14:paraId="7B35D727"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1. Preventive measures and coercive delivery of persons aged below 18 shall be viable only in truly vital circumstances.</w:t>
            </w:r>
          </w:p>
          <w:p w14:paraId="21E7C1FD" w14:textId="08383E58"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Temporary detainment or detention of accused persons less than 18 years of age shall be viable only on the grounds that supervisory approach and other preventive measures fail. The permissible duration of the detention of accused persons under 18 shall be two thir</w:t>
            </w:r>
            <w:r>
              <w:rPr>
                <w:rFonts w:asciiTheme="majorBidi" w:hAnsiTheme="majorBidi" w:cstheme="majorBidi"/>
                <w:bCs/>
              </w:rPr>
              <w:t>d</w:t>
            </w:r>
            <w:r w:rsidRPr="00F448F5">
              <w:rPr>
                <w:rFonts w:asciiTheme="majorBidi" w:hAnsiTheme="majorBidi" w:cstheme="majorBidi"/>
                <w:bCs/>
              </w:rPr>
              <w:t xml:space="preserve">s of the time limit for the detention of individuals from the age of 18 as per this Law. Competent individuals must promptly terminate or change preventive measures when the grounds for </w:t>
            </w:r>
            <w:r w:rsidRPr="00F448F5">
              <w:rPr>
                <w:rFonts w:asciiTheme="majorBidi" w:hAnsiTheme="majorBidi" w:cstheme="majorBidi"/>
                <w:bCs/>
              </w:rPr>
              <w:lastRenderedPageBreak/>
              <w:t>temporary detainment or detention evanesce.</w:t>
            </w:r>
          </w:p>
          <w:p w14:paraId="3AD53062"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2. Persons from the age of 14 to below 16 may be held in emergency custody, apprehended, temporarily detained or held in detention for their crimes as defined in Section 2, Article 12 of the Criminal Code in the presence of grounds as stated in Article 110, 111 and 112, and Point a, b, c, d and dd, Section 2, Article 119 of this Law.</w:t>
            </w:r>
          </w:p>
          <w:p w14:paraId="6EAC2837"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3. Persons from the age of 16 to below 18 may be held in emergency custody, apprehended, temporarily detained or held in detention for intentional felonies, horrific or extremely severe felonies in the presence of grounds as stated in Article 110, 111 and 112, and Point a, b, c, d and dd, Section 2, Article 119 of this Law.</w:t>
            </w:r>
          </w:p>
          <w:p w14:paraId="6BF595F6" w14:textId="77777777" w:rsidR="00F448F5" w:rsidRPr="00F448F5"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4. Suspects or defendants from the age of 16 to below 18 may be apprehended, detained and held in detention if they continue criminal acts, abscond and are placed under arrest as per wanted notices after being charged, investigated, prosecuted and tried for unintentional felonies or misdemeanors punishable by a maximum term of imprisonment of 2 years according to the Criminal Code.</w:t>
            </w:r>
          </w:p>
          <w:p w14:paraId="4B9F3122" w14:textId="1BD652EE" w:rsidR="00F448F5" w:rsidRPr="0018632F" w:rsidRDefault="00F448F5" w:rsidP="00F448F5">
            <w:pPr>
              <w:widowControl w:val="0"/>
              <w:tabs>
                <w:tab w:val="left" w:pos="1664"/>
              </w:tabs>
              <w:rPr>
                <w:rFonts w:asciiTheme="majorBidi" w:hAnsiTheme="majorBidi" w:cstheme="majorBidi"/>
                <w:bCs/>
              </w:rPr>
            </w:pPr>
            <w:r w:rsidRPr="00F448F5">
              <w:rPr>
                <w:rFonts w:asciiTheme="majorBidi" w:hAnsiTheme="majorBidi" w:cstheme="majorBidi"/>
                <w:bCs/>
              </w:rPr>
              <w:t>5. In 24 hours upon the emergency custody, apprehension, temporary detainment or detention, the individuals issuing custodial orders against persons aged under 18 must inform the representatives of such juveniles.</w:t>
            </w:r>
          </w:p>
        </w:tc>
      </w:tr>
      <w:tr w:rsidR="00DE5347" w:rsidRPr="0018632F" w14:paraId="0C447263" w14:textId="77777777" w:rsidTr="009A4920">
        <w:tc>
          <w:tcPr>
            <w:tcW w:w="2141" w:type="dxa"/>
          </w:tcPr>
          <w:p w14:paraId="11DD5EE6"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lastRenderedPageBreak/>
              <w:t>Recommended changes to statutory limit according to international law:</w:t>
            </w:r>
          </w:p>
        </w:tc>
        <w:tc>
          <w:tcPr>
            <w:tcW w:w="6715" w:type="dxa"/>
          </w:tcPr>
          <w:p w14:paraId="748E45DD" w14:textId="589A7153" w:rsidR="00DE5347" w:rsidRPr="0018632F" w:rsidRDefault="00DE5347" w:rsidP="009A4920">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w:t>
            </w:r>
            <w:r w:rsidR="00B00D5D">
              <w:rPr>
                <w:rFonts w:asciiTheme="majorBidi" w:hAnsiTheme="majorBidi" w:cstheme="majorBidi"/>
              </w:rPr>
              <w:t>Viet Nam</w:t>
            </w:r>
            <w:r w:rsidRPr="0018632F">
              <w:rPr>
                <w:rFonts w:asciiTheme="majorBidi" w:hAnsiTheme="majorBidi" w:cstheme="majorBidi"/>
              </w:rPr>
              <w:t xml:space="preserve"> starts working towards a 30-day </w:t>
            </w:r>
            <w:r>
              <w:rPr>
                <w:rFonts w:asciiTheme="majorBidi" w:hAnsiTheme="majorBidi" w:cstheme="majorBidi"/>
              </w:rPr>
              <w:t xml:space="preserve">limit </w:t>
            </w:r>
            <w:r w:rsidRPr="0018632F">
              <w:rPr>
                <w:rFonts w:asciiTheme="majorBidi" w:hAnsiTheme="majorBidi" w:cstheme="majorBidi"/>
              </w:rPr>
              <w:t xml:space="preserve">for children detained while awaiting trial under all courts. </w:t>
            </w:r>
          </w:p>
          <w:p w14:paraId="111B24DA" w14:textId="77777777" w:rsidR="00DE5347" w:rsidRPr="0018632F" w:rsidRDefault="00DE5347" w:rsidP="009A4920">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pretrial detention only be allowed to be extended once by a judge for up to 30 more days based upon the procedural needs of the case. </w:t>
            </w:r>
            <w:r>
              <w:rPr>
                <w:rFonts w:asciiTheme="majorBidi" w:hAnsiTheme="majorBidi" w:cstheme="majorBidi"/>
              </w:rPr>
              <w:t xml:space="preserve">The </w:t>
            </w:r>
            <w:r w:rsidRPr="0018632F">
              <w:rPr>
                <w:rFonts w:asciiTheme="majorBidi" w:hAnsiTheme="majorBidi" w:cstheme="majorBidi"/>
              </w:rPr>
              <w:t xml:space="preserve">statute </w:t>
            </w:r>
            <w:r>
              <w:rPr>
                <w:rFonts w:asciiTheme="majorBidi" w:hAnsiTheme="majorBidi" w:cstheme="majorBidi"/>
              </w:rPr>
              <w:t xml:space="preserve">should clearly define </w:t>
            </w:r>
            <w:r w:rsidRPr="0018632F">
              <w:rPr>
                <w:rFonts w:asciiTheme="majorBidi" w:hAnsiTheme="majorBidi" w:cstheme="majorBidi"/>
              </w:rPr>
              <w:t xml:space="preserve">the </w:t>
            </w:r>
            <w:r>
              <w:rPr>
                <w:rFonts w:asciiTheme="majorBidi" w:hAnsiTheme="majorBidi" w:cstheme="majorBidi"/>
              </w:rPr>
              <w:t>permissible</w:t>
            </w:r>
            <w:r w:rsidRPr="0018632F">
              <w:rPr>
                <w:rFonts w:asciiTheme="majorBidi" w:hAnsiTheme="majorBidi" w:cstheme="majorBidi"/>
              </w:rPr>
              <w:t xml:space="preserve"> needs for extending pretrial detentio</w:t>
            </w:r>
            <w:r>
              <w:rPr>
                <w:rFonts w:asciiTheme="majorBidi" w:hAnsiTheme="majorBidi" w:cstheme="majorBidi"/>
              </w:rPr>
              <w:t>n</w:t>
            </w:r>
            <w:r w:rsidRPr="0018632F">
              <w:rPr>
                <w:rFonts w:asciiTheme="majorBidi" w:hAnsiTheme="majorBidi" w:cstheme="majorBidi"/>
              </w:rPr>
              <w:t xml:space="preserve">. </w:t>
            </w:r>
          </w:p>
          <w:p w14:paraId="59617285" w14:textId="77777777" w:rsidR="00DE5347" w:rsidRPr="0018632F" w:rsidRDefault="00DE5347" w:rsidP="009A4920">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Children who are in detention for the statutory maximum number of days should be placed in supervised release immediately and </w:t>
            </w:r>
            <w:r>
              <w:rPr>
                <w:rFonts w:asciiTheme="majorBidi" w:hAnsiTheme="majorBidi" w:cstheme="majorBidi"/>
              </w:rPr>
              <w:t xml:space="preserve">should </w:t>
            </w:r>
            <w:r w:rsidRPr="0018632F">
              <w:rPr>
                <w:rFonts w:asciiTheme="majorBidi" w:hAnsiTheme="majorBidi" w:cstheme="majorBidi"/>
              </w:rPr>
              <w:t>not re-detained for the same offense.</w:t>
            </w:r>
          </w:p>
          <w:p w14:paraId="0A73426B" w14:textId="77777777" w:rsidR="00DE5347" w:rsidRDefault="00DE5347" w:rsidP="009A4920">
            <w:pPr>
              <w:pStyle w:val="ListParagraph"/>
              <w:widowControl w:val="0"/>
              <w:numPr>
                <w:ilvl w:val="0"/>
                <w:numId w:val="4"/>
              </w:numPr>
              <w:spacing w:after="160" w:line="259" w:lineRule="auto"/>
              <w:ind w:left="361"/>
              <w:rPr>
                <w:rFonts w:asciiTheme="majorBidi" w:hAnsiTheme="majorBidi" w:cstheme="majorBidi"/>
              </w:rPr>
            </w:pPr>
            <w:r>
              <w:rPr>
                <w:rFonts w:asciiTheme="majorBidi" w:hAnsiTheme="majorBidi" w:cstheme="majorBidi"/>
              </w:rPr>
              <w:t>Children who are in detention should be placed in appropriate, juvenile-only facilities and should never be placed in adult detention facilities.</w:t>
            </w:r>
          </w:p>
          <w:p w14:paraId="02C7BE25" w14:textId="77777777" w:rsidR="00DE5347" w:rsidRPr="0018632F" w:rsidRDefault="00DE5347" w:rsidP="009A4920">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Recruitment and trainings for a sufficient number of prison personnel to ensure the adequate treatment of detainees are to be ensured along with adequate access to medical and psychological treatment for juvenile detainees</w:t>
            </w:r>
            <w:r>
              <w:rPr>
                <w:rFonts w:asciiTheme="majorBidi" w:hAnsiTheme="majorBidi" w:cstheme="majorBidi"/>
              </w:rPr>
              <w:t>.</w:t>
            </w:r>
          </w:p>
          <w:p w14:paraId="43D6388E" w14:textId="77777777" w:rsidR="00DE5347" w:rsidRPr="0018632F" w:rsidRDefault="00DE5347" w:rsidP="009A4920">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Necessary measures to provide juvenile detainees with perspectives for their future, including their full reintegration into the society should be ensured</w:t>
            </w:r>
            <w:r>
              <w:rPr>
                <w:rFonts w:asciiTheme="majorBidi" w:hAnsiTheme="majorBidi" w:cstheme="majorBidi"/>
              </w:rPr>
              <w:t>.</w:t>
            </w:r>
          </w:p>
        </w:tc>
      </w:tr>
      <w:tr w:rsidR="00DE5347" w:rsidRPr="0018632F" w14:paraId="14581FFE" w14:textId="77777777" w:rsidTr="009A4920">
        <w:tc>
          <w:tcPr>
            <w:tcW w:w="2141" w:type="dxa"/>
          </w:tcPr>
          <w:p w14:paraId="38E4FF6E"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t xml:space="preserve">Additional </w:t>
            </w:r>
            <w:r w:rsidRPr="0018632F">
              <w:rPr>
                <w:rFonts w:asciiTheme="majorBidi" w:hAnsiTheme="majorBidi" w:cstheme="majorBidi"/>
              </w:rPr>
              <w:lastRenderedPageBreak/>
              <w:t>Information on the country</w:t>
            </w:r>
          </w:p>
        </w:tc>
        <w:tc>
          <w:tcPr>
            <w:tcW w:w="6715" w:type="dxa"/>
          </w:tcPr>
          <w:p w14:paraId="4427F308" w14:textId="275CAB77" w:rsidR="00DE5347" w:rsidRDefault="007A5BF9" w:rsidP="009A4920">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lastRenderedPageBreak/>
              <w:t xml:space="preserve">The minimum age of criminal responsibility is 16 years for </w:t>
            </w:r>
            <w:r>
              <w:rPr>
                <w:rFonts w:asciiTheme="majorBidi" w:hAnsiTheme="majorBidi" w:cstheme="majorBidi"/>
              </w:rPr>
              <w:lastRenderedPageBreak/>
              <w:t>every crime except certain serious felonies, for which the minimum age is 14.</w:t>
            </w:r>
          </w:p>
          <w:p w14:paraId="292AB798" w14:textId="66EB06C8" w:rsidR="007A5BF9" w:rsidRDefault="007A5BF9" w:rsidP="009A4920">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The law directs that pretrial detention of children may only take place if supervisory and preventative measures fail.</w:t>
            </w:r>
          </w:p>
          <w:p w14:paraId="52AB6540" w14:textId="1A005C33" w:rsidR="00DE5347" w:rsidRPr="0018632F" w:rsidRDefault="00DE5347" w:rsidP="009A4920">
            <w:pPr>
              <w:pStyle w:val="ListParagraph"/>
              <w:widowControl w:val="0"/>
              <w:numPr>
                <w:ilvl w:val="0"/>
                <w:numId w:val="3"/>
              </w:numPr>
              <w:rPr>
                <w:rFonts w:asciiTheme="majorBidi" w:hAnsiTheme="majorBidi" w:cstheme="majorBidi"/>
              </w:rPr>
            </w:pPr>
            <w:r w:rsidRPr="003F2B67">
              <w:rPr>
                <w:rFonts w:ascii="Times New Roman" w:hAnsi="Times New Roman" w:cs="Times New Roman"/>
              </w:rPr>
              <w:t xml:space="preserve">Committee on the Rights of the Child, </w:t>
            </w:r>
            <w:r w:rsidR="009E477D" w:rsidRPr="009E477D">
              <w:rPr>
                <w:rFonts w:ascii="Times New Roman" w:hAnsi="Times New Roman" w:cs="Times New Roman"/>
                <w:i/>
              </w:rPr>
              <w:t>Consideration of reports submitted by States parties under article 44 of the Convention</w:t>
            </w:r>
            <w:r w:rsidR="009E477D">
              <w:rPr>
                <w:rFonts w:ascii="Times New Roman" w:hAnsi="Times New Roman" w:cs="Times New Roman"/>
                <w:i/>
              </w:rPr>
              <w:t xml:space="preserve">. </w:t>
            </w:r>
            <w:r w:rsidR="009E477D" w:rsidRPr="009E477D">
              <w:rPr>
                <w:rFonts w:ascii="Times New Roman" w:hAnsi="Times New Roman" w:cs="Times New Roman"/>
                <w:i/>
              </w:rPr>
              <w:t>Concluding observations: Viet Nam</w:t>
            </w:r>
            <w:r w:rsidRPr="003F2B67">
              <w:rPr>
                <w:rFonts w:ascii="Times New Roman" w:hAnsi="Times New Roman" w:cs="Times New Roman"/>
              </w:rPr>
              <w:t>, ¶</w:t>
            </w:r>
            <w:r>
              <w:rPr>
                <w:rFonts w:ascii="Times New Roman" w:hAnsi="Times New Roman" w:cs="Times New Roman"/>
              </w:rPr>
              <w:t>¶</w:t>
            </w:r>
            <w:r w:rsidRPr="00114C3E">
              <w:rPr>
                <w:rFonts w:ascii="Times New Roman" w:hAnsi="Times New Roman" w:cs="Times New Roman"/>
              </w:rPr>
              <w:t xml:space="preserve"> </w:t>
            </w:r>
            <w:r w:rsidR="009E477D">
              <w:rPr>
                <w:rFonts w:ascii="Times New Roman" w:hAnsi="Times New Roman" w:cs="Times New Roman"/>
              </w:rPr>
              <w:t>73</w:t>
            </w:r>
            <w:r w:rsidRPr="00114C3E">
              <w:rPr>
                <w:rFonts w:ascii="Times New Roman" w:hAnsi="Times New Roman" w:cs="Times New Roman"/>
              </w:rPr>
              <w:t>,</w:t>
            </w:r>
            <w:r>
              <w:rPr>
                <w:rFonts w:ascii="Times New Roman" w:hAnsi="Times New Roman" w:cs="Times New Roman"/>
              </w:rPr>
              <w:t xml:space="preserve"> 7</w:t>
            </w:r>
            <w:r w:rsidR="009E477D">
              <w:rPr>
                <w:rFonts w:ascii="Times New Roman" w:hAnsi="Times New Roman" w:cs="Times New Roman"/>
              </w:rPr>
              <w:t>4</w:t>
            </w:r>
            <w:r w:rsidRPr="00114C3E">
              <w:rPr>
                <w:rFonts w:ascii="Times New Roman" w:hAnsi="Times New Roman" w:cs="Times New Roman"/>
              </w:rPr>
              <w:t xml:space="preserve"> U.N. Doc. CRC/C/</w:t>
            </w:r>
            <w:r w:rsidR="009E477D">
              <w:rPr>
                <w:rFonts w:ascii="Times New Roman" w:hAnsi="Times New Roman" w:cs="Times New Roman"/>
              </w:rPr>
              <w:t>VNM</w:t>
            </w:r>
            <w:r w:rsidRPr="00114C3E">
              <w:rPr>
                <w:rFonts w:ascii="Times New Roman" w:hAnsi="Times New Roman" w:cs="Times New Roman"/>
              </w:rPr>
              <w:t>/CO/3-</w:t>
            </w:r>
            <w:r w:rsidR="009E477D">
              <w:rPr>
                <w:rFonts w:ascii="Times New Roman" w:hAnsi="Times New Roman" w:cs="Times New Roman"/>
              </w:rPr>
              <w:t>4</w:t>
            </w:r>
            <w:r w:rsidRPr="00114C3E">
              <w:rPr>
                <w:rFonts w:ascii="Times New Roman" w:hAnsi="Times New Roman" w:cs="Times New Roman"/>
              </w:rPr>
              <w:t xml:space="preserve"> (</w:t>
            </w:r>
            <w:r w:rsidR="009E477D">
              <w:rPr>
                <w:rFonts w:ascii="Times New Roman" w:hAnsi="Times New Roman" w:cs="Times New Roman"/>
              </w:rPr>
              <w:t>Aug</w:t>
            </w:r>
            <w:r w:rsidRPr="00114C3E">
              <w:rPr>
                <w:rFonts w:ascii="Times New Roman" w:hAnsi="Times New Roman" w:cs="Times New Roman"/>
              </w:rPr>
              <w:t xml:space="preserve">. </w:t>
            </w:r>
            <w:r>
              <w:rPr>
                <w:rFonts w:ascii="Times New Roman" w:hAnsi="Times New Roman" w:cs="Times New Roman"/>
              </w:rPr>
              <w:t>2</w:t>
            </w:r>
            <w:r w:rsidR="009E477D">
              <w:rPr>
                <w:rFonts w:ascii="Times New Roman" w:hAnsi="Times New Roman" w:cs="Times New Roman"/>
              </w:rPr>
              <w:t>2</w:t>
            </w:r>
            <w:r w:rsidRPr="00114C3E">
              <w:rPr>
                <w:rFonts w:ascii="Times New Roman" w:hAnsi="Times New Roman" w:cs="Times New Roman"/>
              </w:rPr>
              <w:t>, 201</w:t>
            </w:r>
            <w:r w:rsidR="009E477D">
              <w:rPr>
                <w:rFonts w:ascii="Times New Roman" w:hAnsi="Times New Roman" w:cs="Times New Roman"/>
              </w:rPr>
              <w:t>2</w:t>
            </w:r>
            <w:r w:rsidRPr="00114C3E">
              <w:rPr>
                <w:rFonts w:ascii="Times New Roman" w:hAnsi="Times New Roman" w:cs="Times New Roman"/>
              </w:rPr>
              <w:t>),</w:t>
            </w:r>
            <w:r>
              <w:t xml:space="preserve"> </w:t>
            </w:r>
            <w:r w:rsidR="009E477D" w:rsidRPr="009E477D">
              <w:rPr>
                <w:rFonts w:ascii="Times New Roman" w:hAnsi="Times New Roman" w:cs="Times New Roman"/>
              </w:rPr>
              <w:t>https://tbinternet.ohchr.org/_layouts/15/treatybodyexternal/Download.aspx?symbolno=CRC/C/VNM/CO/3-4&amp;Lang=En</w:t>
            </w:r>
            <w:r>
              <w:rPr>
                <w:rFonts w:ascii="Times New Roman" w:hAnsi="Times New Roman" w:cs="Times New Roman"/>
              </w:rPr>
              <w:t>.</w:t>
            </w:r>
          </w:p>
        </w:tc>
      </w:tr>
      <w:tr w:rsidR="00DE5347" w:rsidRPr="0018632F" w14:paraId="2F00564F" w14:textId="77777777" w:rsidTr="009A4920">
        <w:tc>
          <w:tcPr>
            <w:tcW w:w="2141" w:type="dxa"/>
          </w:tcPr>
          <w:p w14:paraId="13D021A7"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lastRenderedPageBreak/>
              <w:t>Questions for the state party related to child pretrial detention time limits:</w:t>
            </w:r>
          </w:p>
        </w:tc>
        <w:tc>
          <w:tcPr>
            <w:tcW w:w="6715" w:type="dxa"/>
          </w:tcPr>
          <w:p w14:paraId="6D33C974" w14:textId="77777777" w:rsidR="007A5BF9" w:rsidRDefault="007A5BF9" w:rsidP="007A5BF9">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detained in pretrial detention.</w:t>
            </w:r>
          </w:p>
          <w:p w14:paraId="32A7B6FF" w14:textId="77777777" w:rsidR="00DE5347"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52B85">
              <w:rPr>
                <w:rFonts w:ascii="Times New Roman" w:hAnsi="Times New Roman" w:cs="Times New Roman"/>
              </w:rPr>
              <w:t>Data on the average time children actually spend in pretrial detention</w:t>
            </w:r>
            <w:r>
              <w:rPr>
                <w:rFonts w:asciiTheme="majorBidi" w:hAnsiTheme="majorBidi" w:cstheme="majorBidi"/>
              </w:rPr>
              <w:t>.</w:t>
            </w:r>
          </w:p>
          <w:p w14:paraId="6EC7D624" w14:textId="77777777" w:rsidR="00DE5347"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detained with adults.</w:t>
            </w:r>
          </w:p>
          <w:p w14:paraId="036F16EC" w14:textId="77777777" w:rsidR="00DE5347"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duration of pretrial detention as it varies by race, gender, religion or other relevant characteristics.</w:t>
            </w:r>
          </w:p>
          <w:p w14:paraId="57CF0851" w14:textId="77777777" w:rsidR="00DE5347" w:rsidRPr="0018632F"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Information</w:t>
            </w:r>
            <w:r w:rsidRPr="0018632F">
              <w:rPr>
                <w:rFonts w:asciiTheme="majorBidi" w:hAnsiTheme="majorBidi" w:cstheme="majorBidi"/>
              </w:rPr>
              <w:t xml:space="preserve"> on efforts to reduce the length of pretrial detention and expedite cases.</w:t>
            </w:r>
          </w:p>
          <w:p w14:paraId="3C7EE830" w14:textId="77777777" w:rsidR="00DE5347" w:rsidRPr="0018632F"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how appeals and other challenges affect duration of pretrial detention.</w:t>
            </w:r>
          </w:p>
          <w:p w14:paraId="6B9E4E54" w14:textId="77777777" w:rsidR="00DE5347" w:rsidRPr="0018632F"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the procedure and conditions for imposing solitary confinement, including oversight of its use</w:t>
            </w:r>
          </w:p>
          <w:p w14:paraId="332FE500" w14:textId="77777777" w:rsidR="00DE5347" w:rsidRPr="0018632F"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number of detained persons placed in solitary confinement</w:t>
            </w:r>
            <w:r>
              <w:rPr>
                <w:rFonts w:asciiTheme="majorBidi" w:hAnsiTheme="majorBidi" w:cstheme="majorBidi"/>
              </w:rPr>
              <w:t>.</w:t>
            </w:r>
          </w:p>
          <w:p w14:paraId="4F710DD6" w14:textId="77777777" w:rsidR="00DE5347"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maximum and average duration of solitary confinement</w:t>
            </w:r>
            <w:r>
              <w:rPr>
                <w:rFonts w:asciiTheme="majorBidi" w:hAnsiTheme="majorBidi" w:cstheme="majorBidi"/>
              </w:rPr>
              <w:t>.</w:t>
            </w:r>
          </w:p>
          <w:p w14:paraId="3F2CA69B" w14:textId="77777777" w:rsidR="00DE5347" w:rsidRPr="00E30F94" w:rsidRDefault="00DE5347" w:rsidP="009A4920">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05446">
              <w:rPr>
                <w:rFonts w:asciiTheme="majorBidi" w:hAnsiTheme="majorBidi" w:cstheme="majorBidi"/>
              </w:rPr>
              <w:t>Information on the safeguards applied to inmates in disciplinary procedures.</w:t>
            </w:r>
          </w:p>
        </w:tc>
      </w:tr>
      <w:tr w:rsidR="00DE5347" w:rsidRPr="0018632F" w14:paraId="3215564E" w14:textId="77777777" w:rsidTr="009A4920">
        <w:tc>
          <w:tcPr>
            <w:tcW w:w="2141" w:type="dxa"/>
          </w:tcPr>
          <w:p w14:paraId="3AFBF1E9" w14:textId="77777777" w:rsidR="00DE5347" w:rsidRPr="0018632F" w:rsidRDefault="00DE5347" w:rsidP="009A4920">
            <w:pPr>
              <w:widowControl w:val="0"/>
              <w:rPr>
                <w:rFonts w:asciiTheme="majorBidi" w:hAnsiTheme="majorBidi" w:cstheme="majorBidi"/>
              </w:rPr>
            </w:pPr>
            <w:r w:rsidRPr="0018632F">
              <w:rPr>
                <w:rFonts w:asciiTheme="majorBidi" w:hAnsiTheme="majorBidi" w:cstheme="majorBidi"/>
              </w:rPr>
              <w:t>Link to Global Study</w:t>
            </w:r>
          </w:p>
        </w:tc>
        <w:tc>
          <w:tcPr>
            <w:tcW w:w="6715" w:type="dxa"/>
          </w:tcPr>
          <w:p w14:paraId="6E7C4FFC" w14:textId="77777777" w:rsidR="00DE5347" w:rsidRPr="0018632F" w:rsidRDefault="00F4455E" w:rsidP="009A4920">
            <w:pPr>
              <w:widowControl w:val="0"/>
              <w:shd w:val="clear" w:color="auto" w:fill="FFFFFF"/>
              <w:rPr>
                <w:rFonts w:asciiTheme="majorBidi" w:hAnsiTheme="majorBidi" w:cstheme="majorBidi"/>
                <w:color w:val="222222"/>
              </w:rPr>
            </w:pPr>
            <w:hyperlink r:id="rId8" w:history="1">
              <w:r w:rsidR="00DE5347" w:rsidRPr="007F034C">
                <w:rPr>
                  <w:rStyle w:val="Hyperlink"/>
                  <w:rFonts w:asciiTheme="majorBidi" w:hAnsiTheme="majorBidi" w:cstheme="majorBidi"/>
                </w:rPr>
                <w:t>https://jjimexico.org/ptd-report/</w:t>
              </w:r>
            </w:hyperlink>
          </w:p>
        </w:tc>
      </w:tr>
    </w:tbl>
    <w:p w14:paraId="779CCD91" w14:textId="77777777" w:rsidR="00DE5347" w:rsidRPr="00C273EE" w:rsidRDefault="00DE5347" w:rsidP="00DE5347"/>
    <w:p w14:paraId="0760C08F" w14:textId="23E780CB" w:rsidR="00C027E2" w:rsidRPr="00DE5347" w:rsidRDefault="00C027E2" w:rsidP="00DE5347"/>
    <w:sectPr w:rsidR="00C027E2" w:rsidRPr="00DE5347" w:rsidSect="00D458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1F41E" w14:textId="77777777" w:rsidR="00D50D78" w:rsidRDefault="00D50D78" w:rsidP="00A42A05">
      <w:r>
        <w:separator/>
      </w:r>
    </w:p>
  </w:endnote>
  <w:endnote w:type="continuationSeparator" w:id="0">
    <w:p w14:paraId="32C70117" w14:textId="77777777" w:rsidR="00D50D78" w:rsidRDefault="00D50D78"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70443" w14:textId="77777777" w:rsidR="00D50D78" w:rsidRDefault="00D50D78" w:rsidP="00A42A05">
      <w:r>
        <w:separator/>
      </w:r>
    </w:p>
  </w:footnote>
  <w:footnote w:type="continuationSeparator" w:id="0">
    <w:p w14:paraId="781665E7" w14:textId="77777777" w:rsidR="00D50D78" w:rsidRDefault="00D50D78" w:rsidP="00A42A05">
      <w:r>
        <w:continuationSeparator/>
      </w:r>
    </w:p>
  </w:footnote>
  <w:footnote w:id="1">
    <w:p w14:paraId="2F339AD2" w14:textId="77777777" w:rsidR="00DE5347" w:rsidRPr="0018632F" w:rsidRDefault="00DE5347" w:rsidP="00DE5347">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Patrick Webb &amp; William Allen Kritsonis, </w:t>
      </w:r>
      <w:r w:rsidRPr="0018632F">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18632F">
        <w:rPr>
          <w:rFonts w:asciiTheme="majorBidi" w:eastAsia="Calibri" w:hAnsiTheme="majorBidi" w:cstheme="majorBidi"/>
          <w:sz w:val="20"/>
          <w:szCs w:val="20"/>
        </w:rPr>
        <w:t xml:space="preserve">, </w:t>
      </w:r>
      <w:r w:rsidRPr="0018632F">
        <w:rPr>
          <w:rFonts w:asciiTheme="majorBidi" w:eastAsia="Calibri" w:hAnsiTheme="majorBidi" w:cstheme="majorBidi"/>
          <w:smallCaps/>
          <w:sz w:val="20"/>
          <w:szCs w:val="20"/>
        </w:rPr>
        <w:t xml:space="preserve">ERIC </w:t>
      </w:r>
      <w:r w:rsidRPr="0018632F">
        <w:rPr>
          <w:rFonts w:asciiTheme="majorBidi" w:eastAsia="Calibri" w:hAnsiTheme="majorBidi" w:cstheme="majorBidi"/>
          <w:sz w:val="20"/>
          <w:szCs w:val="20"/>
        </w:rPr>
        <w:t>(Oct. 2006), https://eric.ed.gov/?id=ED493565.</w:t>
      </w:r>
      <w:r w:rsidRPr="0018632F" w:rsidDel="00253B3B">
        <w:rPr>
          <w:rFonts w:asciiTheme="majorBidi" w:eastAsia="Calibri" w:hAnsiTheme="majorBidi" w:cstheme="majorBidi"/>
          <w:sz w:val="20"/>
          <w:szCs w:val="20"/>
        </w:rPr>
        <w:t xml:space="preserve"> </w:t>
      </w:r>
    </w:p>
  </w:footnote>
  <w:footnote w:id="2">
    <w:p w14:paraId="69C73CC8" w14:textId="77777777" w:rsidR="00DE5347" w:rsidRPr="0018632F" w:rsidRDefault="00DE5347" w:rsidP="00DE5347">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G.A. Res. 44/25, Convention on the Rights of the Child, art. 37(b) (Nov. 20, 1989) [hereinafter CRC].</w:t>
      </w:r>
    </w:p>
  </w:footnote>
  <w:footnote w:id="3">
    <w:p w14:paraId="1B73C456" w14:textId="77777777" w:rsidR="00DE5347" w:rsidRPr="0018632F" w:rsidRDefault="00DE5347" w:rsidP="00DE5347">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Comm. on the Rights of the Child, </w:t>
      </w:r>
      <w:r w:rsidRPr="0018632F">
        <w:rPr>
          <w:rFonts w:asciiTheme="majorBidi" w:hAnsiTheme="majorBidi" w:cstheme="majorBidi"/>
          <w:bCs/>
        </w:rPr>
        <w:t>General Comment 10: Children's Rights in Juvenile Justice</w:t>
      </w:r>
      <w:r w:rsidRPr="0018632F">
        <w:rPr>
          <w:rFonts w:asciiTheme="majorBidi" w:hAnsiTheme="majorBidi" w:cstheme="majorBidi"/>
        </w:rPr>
        <w:t>, § 80, U.N. Doc. CRC/C/GC/10 (Apr. 25, 2007) [hereinafter CRC General Comment 10].</w:t>
      </w:r>
    </w:p>
  </w:footnote>
  <w:footnote w:id="4">
    <w:p w14:paraId="433FDE80" w14:textId="77777777" w:rsidR="00DE5347" w:rsidRPr="0018632F" w:rsidRDefault="00DE5347" w:rsidP="00DE5347">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rPr>
        <w:t xml:space="preserve">Id. </w:t>
      </w:r>
      <w:r w:rsidRPr="0018632F">
        <w:rPr>
          <w:rFonts w:asciiTheme="majorBidi" w:hAnsiTheme="majorBidi" w:cstheme="majorBidi"/>
        </w:rPr>
        <w:t>¶ 83 (specifying that regular review is “preferably every two weeks”).</w:t>
      </w:r>
    </w:p>
  </w:footnote>
  <w:footnote w:id="5">
    <w:p w14:paraId="0447A461" w14:textId="77777777" w:rsidR="00DE5347" w:rsidRPr="0018632F" w:rsidRDefault="00DE5347" w:rsidP="00DE5347">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 xml:space="preserve">Moritz Birk et. al., </w:t>
      </w:r>
      <w:r w:rsidRPr="0018632F">
        <w:rPr>
          <w:rFonts w:asciiTheme="majorBidi" w:eastAsia="Calibri" w:hAnsiTheme="majorBidi" w:cstheme="majorBidi"/>
          <w:i/>
          <w:sz w:val="20"/>
          <w:szCs w:val="20"/>
        </w:rPr>
        <w:t>Pretrial Detention and Torture: Why Pretrial Detainees Face the Greatest Risk</w:t>
      </w:r>
      <w:r w:rsidRPr="0018632F">
        <w:rPr>
          <w:rFonts w:asciiTheme="majorBidi" w:eastAsia="Calibri" w:hAnsiTheme="majorBidi" w:cstheme="majorBidi"/>
          <w:sz w:val="20"/>
          <w:szCs w:val="20"/>
        </w:rPr>
        <w:t xml:space="preserve">, 27, </w:t>
      </w:r>
      <w:r w:rsidRPr="0018632F">
        <w:rPr>
          <w:rFonts w:asciiTheme="majorBidi" w:eastAsia="Calibri" w:hAnsiTheme="majorBidi" w:cstheme="majorBidi"/>
          <w:smallCaps/>
          <w:sz w:val="20"/>
          <w:szCs w:val="20"/>
        </w:rPr>
        <w:t>Open Soc’y Found</w:t>
      </w:r>
      <w:r w:rsidRPr="0018632F">
        <w:rPr>
          <w:rFonts w:asciiTheme="majorBidi" w:eastAsia="Calibri" w:hAnsiTheme="majorBidi" w:cstheme="majorBidi"/>
          <w:sz w:val="20"/>
          <w:szCs w:val="20"/>
        </w:rPr>
        <w:t xml:space="preserve">. (2011), </w:t>
      </w:r>
      <w:hyperlink r:id="rId1" w:history="1">
        <w:r w:rsidRPr="0018632F">
          <w:rPr>
            <w:rStyle w:val="Hyperlink"/>
            <w:rFonts w:asciiTheme="majorBidi" w:eastAsia="Calibri" w:hAnsiTheme="majorBidi" w:cstheme="majorBidi"/>
            <w:sz w:val="20"/>
            <w:szCs w:val="20"/>
            <w:u w:val="none"/>
          </w:rPr>
          <w:t>https://www.opensocietyfoundations.org/sites/default/files/pretrial-detention-and-torture-06222011.pdf</w:t>
        </w:r>
      </w:hyperlink>
      <w:r w:rsidRPr="0018632F">
        <w:rPr>
          <w:rFonts w:asciiTheme="majorBidi" w:eastAsia="Calibri" w:hAnsiTheme="majorBidi" w:cstheme="majorBidi"/>
          <w:sz w:val="20"/>
          <w:szCs w:val="20"/>
        </w:rPr>
        <w:t xml:space="preserve">. </w:t>
      </w:r>
    </w:p>
  </w:footnote>
  <w:footnote w:id="6">
    <w:p w14:paraId="4B79C27A" w14:textId="77777777" w:rsidR="00DE5347" w:rsidRPr="0018632F" w:rsidRDefault="00DE5347" w:rsidP="00DE5347">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Barry Holman &amp; Jason Ziedenberg. </w:t>
      </w:r>
      <w:r w:rsidRPr="0018632F">
        <w:rPr>
          <w:rFonts w:asciiTheme="majorBidi" w:eastAsia="Calibri" w:hAnsiTheme="majorBidi" w:cstheme="majorBidi"/>
          <w:i/>
          <w:sz w:val="20"/>
          <w:szCs w:val="20"/>
        </w:rPr>
        <w:t>The Dangers of Detention: The Impact of Incarcerating Youth in Detention and Other Secure Facilities</w:t>
      </w:r>
      <w:r w:rsidRPr="0018632F">
        <w:rPr>
          <w:rFonts w:asciiTheme="majorBidi" w:eastAsia="Calibri" w:hAnsiTheme="majorBidi" w:cstheme="majorBidi"/>
          <w:sz w:val="20"/>
          <w:szCs w:val="20"/>
        </w:rPr>
        <w:t xml:space="preserve">, 3–10, </w:t>
      </w:r>
      <w:r w:rsidRPr="0018632F">
        <w:rPr>
          <w:rFonts w:asciiTheme="majorBidi" w:eastAsia="Calibri" w:hAnsiTheme="majorBidi" w:cstheme="majorBidi"/>
          <w:smallCaps/>
          <w:sz w:val="20"/>
          <w:szCs w:val="20"/>
        </w:rPr>
        <w:t>Just. Pol’y Inst.</w:t>
      </w:r>
      <w:r w:rsidRPr="0018632F">
        <w:rPr>
          <w:rFonts w:asciiTheme="majorBidi" w:eastAsia="Calibri" w:hAnsiTheme="majorBidi" w:cstheme="majorBidi"/>
          <w:sz w:val="20"/>
          <w:szCs w:val="20"/>
        </w:rPr>
        <w:t xml:space="preserve"> (Nov. 28, 2006), </w:t>
      </w:r>
      <w:hyperlink r:id="rId2" w:history="1">
        <w:r w:rsidRPr="0018632F">
          <w:rPr>
            <w:rStyle w:val="Hyperlink"/>
            <w:rFonts w:asciiTheme="majorBidi" w:eastAsia="Calibri" w:hAnsiTheme="majorBidi" w:cstheme="majorBidi"/>
            <w:sz w:val="20"/>
            <w:szCs w:val="20"/>
            <w:u w:val="none"/>
          </w:rPr>
          <w:t>http://www.justicepolicy.org/images/upload/06-11_rep_dangersofdetention_jj.pdf</w:t>
        </w:r>
      </w:hyperlink>
      <w:r w:rsidRPr="0018632F">
        <w:rPr>
          <w:rFonts w:asciiTheme="majorBidi" w:eastAsia="Calibri" w:hAnsiTheme="majorBidi" w:cstheme="majorBidi"/>
          <w:sz w:val="20"/>
          <w:szCs w:val="20"/>
        </w:rPr>
        <w:t xml:space="preserve">. </w:t>
      </w:r>
    </w:p>
  </w:footnote>
  <w:footnote w:id="7">
    <w:p w14:paraId="1926A6BA" w14:textId="77777777" w:rsidR="00DE5347" w:rsidRPr="0018632F" w:rsidRDefault="00DE5347" w:rsidP="00DE5347">
      <w:pPr>
        <w:widowControl w:val="0"/>
        <w:rPr>
          <w:rFonts w:asciiTheme="majorBidi" w:eastAsia="Calibri" w:hAnsiTheme="majorBidi" w:cstheme="majorBidi"/>
          <w:sz w:val="20"/>
          <w:lang w:val="es-MX"/>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lang w:val="es-MX"/>
        </w:rPr>
        <w:t xml:space="preserve"> </w:t>
      </w:r>
      <w:r w:rsidRPr="0018632F">
        <w:rPr>
          <w:rFonts w:asciiTheme="majorBidi" w:eastAsia="Calibri" w:hAnsiTheme="majorBidi" w:cstheme="majorBidi"/>
          <w:i/>
          <w:sz w:val="20"/>
          <w:szCs w:val="20"/>
          <w:lang w:val="es-MX"/>
        </w:rPr>
        <w:t>See, e.g.</w:t>
      </w:r>
      <w:r w:rsidRPr="0018632F">
        <w:rPr>
          <w:rFonts w:asciiTheme="majorBidi" w:eastAsia="Calibri" w:hAnsiTheme="majorBidi" w:cstheme="majorBidi"/>
          <w:sz w:val="20"/>
          <w:szCs w:val="20"/>
          <w:lang w:val="es-MX"/>
        </w:rPr>
        <w:t xml:space="preserve">, </w:t>
      </w:r>
      <w:r w:rsidRPr="0018632F">
        <w:rPr>
          <w:rFonts w:asciiTheme="majorBidi" w:hAnsiTheme="majorBidi" w:cstheme="majorBidi"/>
          <w:i/>
          <w:sz w:val="20"/>
          <w:szCs w:val="20"/>
          <w:lang w:val="es-MX"/>
        </w:rPr>
        <w:t>Diagnóstico del Sistema de Justicia Para Adolescentes del Estado de Chihuahua: “Buenas Prácticas para las Alternativas a la Detención”</w:t>
      </w:r>
      <w:r w:rsidRPr="0018632F">
        <w:rPr>
          <w:rFonts w:asciiTheme="majorBidi" w:hAnsiTheme="majorBidi" w:cstheme="majorBidi"/>
          <w:sz w:val="20"/>
          <w:szCs w:val="20"/>
          <w:lang w:val="es-MX"/>
        </w:rPr>
        <w:t xml:space="preserve">, 8–10, </w:t>
      </w:r>
      <w:r w:rsidRPr="0018632F">
        <w:rPr>
          <w:rFonts w:asciiTheme="majorBidi" w:hAnsiTheme="majorBidi" w:cstheme="majorBidi"/>
          <w:smallCaps/>
          <w:sz w:val="20"/>
          <w:szCs w:val="20"/>
          <w:lang w:val="es-MX"/>
        </w:rPr>
        <w:t>Justicia Juvenil Int’l</w:t>
      </w:r>
      <w:r w:rsidRPr="0018632F">
        <w:rPr>
          <w:rFonts w:asciiTheme="majorBidi" w:hAnsiTheme="majorBidi" w:cstheme="majorBidi"/>
          <w:sz w:val="20"/>
          <w:szCs w:val="20"/>
          <w:lang w:val="es-MX"/>
        </w:rPr>
        <w:t xml:space="preserve"> (Sept. 2017) https://jjimexico.org/projects/chihuahua</w:t>
      </w:r>
      <w:r w:rsidRPr="0018632F">
        <w:rPr>
          <w:rFonts w:asciiTheme="majorBidi" w:hAnsiTheme="majorBidi" w:cstheme="majorBidi"/>
          <w:color w:val="FF0000"/>
          <w:sz w:val="20"/>
          <w:szCs w:val="20"/>
          <w:lang w:val="es-MX"/>
        </w:rPr>
        <w:t xml:space="preserve"> </w:t>
      </w:r>
      <w:r w:rsidRPr="0018632F">
        <w:rPr>
          <w:rFonts w:asciiTheme="majorBidi" w:hAnsiTheme="majorBidi" w:cstheme="majorBidi"/>
          <w:sz w:val="20"/>
          <w:szCs w:val="20"/>
          <w:lang w:val="es-MX"/>
        </w:rPr>
        <w:t xml:space="preserve">[hereinafter </w:t>
      </w:r>
      <w:r w:rsidRPr="0018632F">
        <w:rPr>
          <w:rFonts w:asciiTheme="majorBidi" w:hAnsiTheme="majorBidi" w:cstheme="majorBidi"/>
          <w:i/>
          <w:sz w:val="20"/>
          <w:szCs w:val="20"/>
          <w:lang w:val="es-MX"/>
        </w:rPr>
        <w:t>Diagnóstico 2017</w:t>
      </w:r>
      <w:r w:rsidRPr="0018632F">
        <w:rPr>
          <w:rFonts w:asciiTheme="majorBidi" w:hAnsiTheme="majorBidi" w:cstheme="majorBidi"/>
          <w:sz w:val="20"/>
          <w:szCs w:val="20"/>
          <w:lang w:val="es-MX"/>
        </w:rPr>
        <w:t>].</w:t>
      </w:r>
    </w:p>
  </w:footnote>
  <w:footnote w:id="8">
    <w:p w14:paraId="7AD6F054" w14:textId="77777777" w:rsidR="00DE5347" w:rsidRPr="0018632F" w:rsidRDefault="00DE5347" w:rsidP="00DE5347">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Additional methodological information available in </w:t>
      </w:r>
      <w:r w:rsidRPr="0018632F">
        <w:rPr>
          <w:rFonts w:asciiTheme="majorBidi" w:hAnsiTheme="majorBidi" w:cstheme="majorBidi"/>
          <w:i/>
        </w:rPr>
        <w:t xml:space="preserve">Children in Pretrial Detention: Promoting Stronger International Time Limits, </w:t>
      </w:r>
      <w:r w:rsidRPr="0018632F">
        <w:rPr>
          <w:rFonts w:asciiTheme="majorBidi" w:hAnsiTheme="majorBidi" w:cstheme="majorBidi"/>
          <w:smallCaps/>
        </w:rPr>
        <w:t>Juvenile Justice Advocates Int’l.</w:t>
      </w:r>
      <w:r w:rsidRPr="0018632F">
        <w:rPr>
          <w:rFonts w:asciiTheme="majorBidi" w:hAnsiTheme="majorBidi" w:cstheme="majorBidi"/>
        </w:rPr>
        <w:t xml:space="preserve">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D0"/>
    <w:rsid w:val="000766CE"/>
    <w:rsid w:val="001829D0"/>
    <w:rsid w:val="001C3A41"/>
    <w:rsid w:val="00233C56"/>
    <w:rsid w:val="0034410B"/>
    <w:rsid w:val="00376903"/>
    <w:rsid w:val="00394F22"/>
    <w:rsid w:val="004A7919"/>
    <w:rsid w:val="007A5BF9"/>
    <w:rsid w:val="00876D6F"/>
    <w:rsid w:val="008A1547"/>
    <w:rsid w:val="008F47C8"/>
    <w:rsid w:val="009A6171"/>
    <w:rsid w:val="009C3BF5"/>
    <w:rsid w:val="009C6885"/>
    <w:rsid w:val="009E477D"/>
    <w:rsid w:val="00A176BD"/>
    <w:rsid w:val="00A359BF"/>
    <w:rsid w:val="00A42A05"/>
    <w:rsid w:val="00AD6168"/>
    <w:rsid w:val="00AE2085"/>
    <w:rsid w:val="00B00D5D"/>
    <w:rsid w:val="00B37933"/>
    <w:rsid w:val="00BC7726"/>
    <w:rsid w:val="00C027E2"/>
    <w:rsid w:val="00C7552D"/>
    <w:rsid w:val="00CB49DE"/>
    <w:rsid w:val="00D303CB"/>
    <w:rsid w:val="00D50D78"/>
    <w:rsid w:val="00D5616A"/>
    <w:rsid w:val="00DE5347"/>
    <w:rsid w:val="00DF7B86"/>
    <w:rsid w:val="00E27751"/>
    <w:rsid w:val="00F07830"/>
    <w:rsid w:val="00F4455E"/>
    <w:rsid w:val="00F448F5"/>
    <w:rsid w:val="00FC5FE2"/>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32933">
      <w:bodyDiv w:val="1"/>
      <w:marLeft w:val="0"/>
      <w:marRight w:val="0"/>
      <w:marTop w:val="0"/>
      <w:marBottom w:val="0"/>
      <w:divBdr>
        <w:top w:val="none" w:sz="0" w:space="0" w:color="auto"/>
        <w:left w:val="none" w:sz="0" w:space="0" w:color="auto"/>
        <w:bottom w:val="none" w:sz="0" w:space="0" w:color="auto"/>
        <w:right w:val="none" w:sz="0" w:space="0" w:color="auto"/>
      </w:divBdr>
    </w:div>
    <w:div w:id="397436119">
      <w:bodyDiv w:val="1"/>
      <w:marLeft w:val="0"/>
      <w:marRight w:val="0"/>
      <w:marTop w:val="0"/>
      <w:marBottom w:val="0"/>
      <w:divBdr>
        <w:top w:val="none" w:sz="0" w:space="0" w:color="auto"/>
        <w:left w:val="none" w:sz="0" w:space="0" w:color="auto"/>
        <w:bottom w:val="none" w:sz="0" w:space="0" w:color="auto"/>
        <w:right w:val="none" w:sz="0" w:space="0" w:color="auto"/>
      </w:divBdr>
    </w:div>
    <w:div w:id="606499820">
      <w:bodyDiv w:val="1"/>
      <w:marLeft w:val="0"/>
      <w:marRight w:val="0"/>
      <w:marTop w:val="0"/>
      <w:marBottom w:val="0"/>
      <w:divBdr>
        <w:top w:val="none" w:sz="0" w:space="0" w:color="auto"/>
        <w:left w:val="none" w:sz="0" w:space="0" w:color="auto"/>
        <w:bottom w:val="none" w:sz="0" w:space="0" w:color="auto"/>
        <w:right w:val="none" w:sz="0" w:space="0" w:color="auto"/>
      </w:divBdr>
    </w:div>
    <w:div w:id="198897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A02AC0-2C39-4743-BD7E-E25CCED4A8AF}"/>
</file>

<file path=customXml/itemProps2.xml><?xml version="1.0" encoding="utf-8"?>
<ds:datastoreItem xmlns:ds="http://schemas.openxmlformats.org/officeDocument/2006/customXml" ds:itemID="{87F5DA7F-E13E-48E3-91E7-C80F852258FB}"/>
</file>

<file path=customXml/itemProps3.xml><?xml version="1.0" encoding="utf-8"?>
<ds:datastoreItem xmlns:ds="http://schemas.openxmlformats.org/officeDocument/2006/customXml" ds:itemID="{421D9020-53B4-40E3-8E58-4BD1D839D37E}"/>
</file>

<file path=docProps/app.xml><?xml version="1.0" encoding="utf-8"?>
<Properties xmlns="http://schemas.openxmlformats.org/officeDocument/2006/extended-properties" xmlns:vt="http://schemas.openxmlformats.org/officeDocument/2006/docPropsVTypes">
  <Template>Normal.dotm</Template>
  <TotalTime>0</TotalTime>
  <Pages>10</Pages>
  <Words>3567</Words>
  <Characters>20335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KIM Chanmi</cp:lastModifiedBy>
  <cp:revision>2</cp:revision>
  <dcterms:created xsi:type="dcterms:W3CDTF">2020-07-28T11:52:00Z</dcterms:created>
  <dcterms:modified xsi:type="dcterms:W3CDTF">2020-07-28T11:52:00Z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