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0A3031" w14:textId="77777777" w:rsidR="004A472B" w:rsidRDefault="004A472B" w:rsidP="004A472B">
      <w:pPr>
        <w:jc w:val="center"/>
        <w:rPr>
          <w:rFonts w:ascii="Arial Rounded" w:eastAsia="Arial Rounded" w:hAnsi="Arial Rounded" w:cs="Arial Rounded"/>
          <w:color w:val="3A7C22"/>
        </w:rPr>
      </w:pPr>
      <w:r>
        <w:rPr>
          <w:rFonts w:ascii="Arial Rounded" w:eastAsia="Arial Rounded" w:hAnsi="Arial Rounded" w:cs="Arial Rounded"/>
          <w:color w:val="3A7C22"/>
        </w:rPr>
        <w:t>Danish</w:t>
      </w:r>
    </w:p>
    <w:p w14:paraId="59E79833" w14:textId="77777777" w:rsidR="004A472B" w:rsidRDefault="004A472B" w:rsidP="004A472B">
      <w:pPr>
        <w:jc w:val="center"/>
        <w:rPr>
          <w:rFonts w:ascii="Arial Rounded" w:eastAsia="Arial Rounded" w:hAnsi="Arial Rounded" w:cs="Arial Rounded"/>
          <w:color w:val="3A7C22"/>
          <w:sz w:val="32"/>
          <w:szCs w:val="32"/>
        </w:rPr>
      </w:pPr>
      <w:r>
        <w:rPr>
          <w:rFonts w:ascii="Arial Rounded" w:eastAsia="Arial Rounded" w:hAnsi="Arial Rounded" w:cs="Arial Rounded"/>
          <w:color w:val="3A7C22"/>
          <w:sz w:val="32"/>
          <w:szCs w:val="32"/>
        </w:rPr>
        <w:t>Health &amp; Human Rights</w:t>
      </w:r>
    </w:p>
    <w:p w14:paraId="24C6B28C" w14:textId="77777777" w:rsidR="004A472B" w:rsidRDefault="004A472B" w:rsidP="004A472B">
      <w:pPr>
        <w:jc w:val="center"/>
        <w:rPr>
          <w:rFonts w:ascii="Arial Rounded" w:eastAsia="Arial Rounded" w:hAnsi="Arial Rounded" w:cs="Arial Rounded"/>
          <w:color w:val="3A7C22"/>
        </w:rPr>
      </w:pPr>
      <w:r>
        <w:rPr>
          <w:rFonts w:ascii="Arial Rounded" w:eastAsia="Arial Rounded" w:hAnsi="Arial Rounded" w:cs="Arial Rounded"/>
          <w:color w:val="3A7C22"/>
        </w:rPr>
        <w:t>Working Group</w:t>
      </w:r>
    </w:p>
    <w:p w14:paraId="1542FD9A" w14:textId="77777777" w:rsidR="001F12B0" w:rsidRDefault="001F12B0">
      <w:pPr>
        <w:spacing w:before="240" w:after="240"/>
        <w:rPr>
          <w:sz w:val="24"/>
          <w:szCs w:val="24"/>
          <w:highlight w:val="white"/>
        </w:rPr>
      </w:pPr>
    </w:p>
    <w:p w14:paraId="4607B7B0" w14:textId="77777777" w:rsidR="001F12B0" w:rsidRDefault="001F12B0">
      <w:pPr>
        <w:spacing w:before="240" w:after="240"/>
        <w:rPr>
          <w:sz w:val="24"/>
          <w:szCs w:val="24"/>
          <w:highlight w:val="white"/>
        </w:rPr>
      </w:pPr>
    </w:p>
    <w:p w14:paraId="311EC45D" w14:textId="77777777" w:rsidR="001F12B0" w:rsidRDefault="00000000">
      <w:pPr>
        <w:spacing w:before="240" w:after="240"/>
        <w:jc w:val="center"/>
        <w:rPr>
          <w:b/>
          <w:sz w:val="24"/>
          <w:szCs w:val="24"/>
          <w:highlight w:val="white"/>
        </w:rPr>
      </w:pPr>
      <w:r>
        <w:rPr>
          <w:b/>
          <w:sz w:val="36"/>
          <w:szCs w:val="36"/>
          <w:highlight w:val="white"/>
        </w:rPr>
        <w:t xml:space="preserve">ARMENIA </w:t>
      </w:r>
    </w:p>
    <w:p w14:paraId="045FED12" w14:textId="77777777" w:rsidR="001F12B0" w:rsidRDefault="001F12B0">
      <w:pPr>
        <w:spacing w:before="240" w:after="240"/>
        <w:jc w:val="center"/>
        <w:rPr>
          <w:b/>
          <w:sz w:val="24"/>
          <w:szCs w:val="24"/>
          <w:highlight w:val="white"/>
        </w:rPr>
      </w:pPr>
    </w:p>
    <w:p w14:paraId="6F167160" w14:textId="77777777" w:rsidR="001F12B0" w:rsidRDefault="00000000">
      <w:pPr>
        <w:spacing w:before="240" w:after="240"/>
        <w:jc w:val="center"/>
        <w:rPr>
          <w:b/>
          <w:sz w:val="23"/>
          <w:szCs w:val="23"/>
          <w:highlight w:val="white"/>
        </w:rPr>
      </w:pPr>
      <w:r>
        <w:rPr>
          <w:b/>
          <w:sz w:val="24"/>
          <w:szCs w:val="24"/>
          <w:highlight w:val="white"/>
        </w:rPr>
        <w:t xml:space="preserve">Alternative report submitted to the Committee against Torture in the context of the 5th review of Armenia during the </w:t>
      </w:r>
      <w:r>
        <w:rPr>
          <w:b/>
          <w:sz w:val="23"/>
          <w:szCs w:val="23"/>
          <w:highlight w:val="white"/>
        </w:rPr>
        <w:t xml:space="preserve">82nd Session (07 Apr 2025 - 02 May 2025). </w:t>
      </w:r>
    </w:p>
    <w:p w14:paraId="4B0865A9" w14:textId="31F9FBB9" w:rsidR="001F12B0" w:rsidRPr="00376416" w:rsidRDefault="004C2EA3">
      <w:pPr>
        <w:spacing w:before="240" w:after="240" w:line="360" w:lineRule="auto"/>
        <w:jc w:val="center"/>
        <w:rPr>
          <w:b/>
          <w:i/>
          <w:iCs/>
          <w:color w:val="FF0000"/>
          <w:highlight w:val="white"/>
        </w:rPr>
      </w:pPr>
      <w:r w:rsidRPr="00376416">
        <w:rPr>
          <w:i/>
          <w:iCs/>
          <w:highlight w:val="white"/>
        </w:rPr>
        <w:t>Submitted by Danish Health and Human Rights Working Group, prepared by students at University of Copenhagen, with the support of DIGNITY – Danish Institute against Torture.</w:t>
      </w:r>
    </w:p>
    <w:p w14:paraId="1C30F2EB" w14:textId="77777777" w:rsidR="001F12B0" w:rsidRDefault="001F12B0">
      <w:pPr>
        <w:spacing w:before="240" w:after="240"/>
        <w:rPr>
          <w:sz w:val="24"/>
          <w:szCs w:val="24"/>
          <w:highlight w:val="white"/>
        </w:rPr>
      </w:pPr>
    </w:p>
    <w:p w14:paraId="1CE3D1C7" w14:textId="77777777" w:rsidR="001F12B0" w:rsidRDefault="001F12B0">
      <w:pPr>
        <w:spacing w:before="240" w:after="240"/>
        <w:rPr>
          <w:sz w:val="24"/>
          <w:szCs w:val="24"/>
          <w:highlight w:val="white"/>
        </w:rPr>
      </w:pPr>
    </w:p>
    <w:p w14:paraId="6AF37FCE" w14:textId="77777777" w:rsidR="001F12B0" w:rsidRDefault="001F12B0">
      <w:pPr>
        <w:spacing w:before="240" w:after="240"/>
        <w:rPr>
          <w:sz w:val="24"/>
          <w:szCs w:val="24"/>
          <w:highlight w:val="white"/>
        </w:rPr>
      </w:pPr>
    </w:p>
    <w:p w14:paraId="1A7AEABD" w14:textId="77777777" w:rsidR="001F12B0" w:rsidRDefault="001F12B0">
      <w:pPr>
        <w:spacing w:before="240" w:after="240" w:line="360" w:lineRule="auto"/>
        <w:jc w:val="both"/>
        <w:rPr>
          <w:sz w:val="24"/>
          <w:szCs w:val="24"/>
        </w:rPr>
      </w:pPr>
    </w:p>
    <w:p w14:paraId="788C1386" w14:textId="77777777" w:rsidR="001F12B0" w:rsidRDefault="001F12B0">
      <w:pPr>
        <w:spacing w:before="240" w:after="240" w:line="360" w:lineRule="auto"/>
        <w:jc w:val="both"/>
        <w:rPr>
          <w:sz w:val="24"/>
          <w:szCs w:val="24"/>
        </w:rPr>
      </w:pPr>
    </w:p>
    <w:p w14:paraId="30D5E4BB" w14:textId="77777777" w:rsidR="001F12B0" w:rsidRDefault="001F12B0">
      <w:pPr>
        <w:spacing w:before="240" w:after="240" w:line="360" w:lineRule="auto"/>
        <w:jc w:val="both"/>
        <w:rPr>
          <w:sz w:val="24"/>
          <w:szCs w:val="24"/>
        </w:rPr>
      </w:pPr>
    </w:p>
    <w:p w14:paraId="18B4A6E3" w14:textId="77777777" w:rsidR="001F12B0" w:rsidRDefault="001F12B0">
      <w:pPr>
        <w:spacing w:before="240" w:after="240" w:line="360" w:lineRule="auto"/>
        <w:jc w:val="both"/>
        <w:rPr>
          <w:i/>
          <w:sz w:val="24"/>
          <w:szCs w:val="24"/>
        </w:rPr>
      </w:pPr>
    </w:p>
    <w:p w14:paraId="65731AD8" w14:textId="77777777" w:rsidR="001F12B0" w:rsidRDefault="001F12B0">
      <w:pPr>
        <w:spacing w:before="240" w:after="240" w:line="360" w:lineRule="auto"/>
        <w:jc w:val="both"/>
        <w:rPr>
          <w:sz w:val="24"/>
          <w:szCs w:val="24"/>
          <w:highlight w:val="white"/>
        </w:rPr>
      </w:pPr>
    </w:p>
    <w:p w14:paraId="0BD9BC25" w14:textId="77777777" w:rsidR="001F12B0" w:rsidRDefault="001F12B0">
      <w:pPr>
        <w:spacing w:before="240" w:after="240" w:line="360" w:lineRule="auto"/>
        <w:jc w:val="both"/>
        <w:rPr>
          <w:sz w:val="24"/>
          <w:szCs w:val="24"/>
          <w:highlight w:val="white"/>
        </w:rPr>
      </w:pPr>
    </w:p>
    <w:p w14:paraId="3B138B98" w14:textId="77777777" w:rsidR="001F12B0" w:rsidRDefault="001F12B0">
      <w:pPr>
        <w:spacing w:before="240" w:after="240" w:line="360" w:lineRule="auto"/>
        <w:jc w:val="both"/>
        <w:rPr>
          <w:sz w:val="24"/>
          <w:szCs w:val="24"/>
          <w:highlight w:val="white"/>
        </w:rPr>
      </w:pPr>
    </w:p>
    <w:p w14:paraId="77DF09E0" w14:textId="77777777" w:rsidR="001F12B0" w:rsidRDefault="001F12B0">
      <w:pPr>
        <w:spacing w:before="240" w:after="240" w:line="360" w:lineRule="auto"/>
        <w:jc w:val="both"/>
        <w:rPr>
          <w:sz w:val="24"/>
          <w:szCs w:val="24"/>
          <w:highlight w:val="white"/>
        </w:rPr>
      </w:pPr>
    </w:p>
    <w:p w14:paraId="428AD767" w14:textId="77777777" w:rsidR="001F12B0" w:rsidRDefault="001F12B0">
      <w:pPr>
        <w:spacing w:before="240" w:after="240" w:line="360" w:lineRule="auto"/>
        <w:jc w:val="both"/>
        <w:rPr>
          <w:sz w:val="24"/>
          <w:szCs w:val="24"/>
          <w:highlight w:val="white"/>
        </w:rPr>
      </w:pPr>
    </w:p>
    <w:p w14:paraId="63765C2A" w14:textId="77777777" w:rsidR="001F12B0" w:rsidRDefault="001F12B0">
      <w:pPr>
        <w:spacing w:after="160" w:line="360" w:lineRule="auto"/>
        <w:jc w:val="both"/>
        <w:rPr>
          <w:b/>
          <w:sz w:val="24"/>
          <w:szCs w:val="24"/>
          <w:highlight w:val="white"/>
          <w:u w:val="single"/>
        </w:rPr>
      </w:pPr>
    </w:p>
    <w:p w14:paraId="4EBA979D" w14:textId="77777777" w:rsidR="001F12B0" w:rsidRDefault="00000000">
      <w:pPr>
        <w:spacing w:before="240" w:after="240"/>
        <w:jc w:val="center"/>
        <w:rPr>
          <w:b/>
          <w:sz w:val="24"/>
          <w:szCs w:val="24"/>
          <w:highlight w:val="white"/>
          <w:u w:val="single"/>
        </w:rPr>
      </w:pPr>
      <w:r>
        <w:rPr>
          <w:b/>
          <w:sz w:val="24"/>
          <w:szCs w:val="24"/>
          <w:highlight w:val="white"/>
          <w:u w:val="single"/>
        </w:rPr>
        <w:t>Table of Contents</w:t>
      </w:r>
    </w:p>
    <w:sdt>
      <w:sdtPr>
        <w:id w:val="-1019542386"/>
        <w:docPartObj>
          <w:docPartGallery w:val="Table of Contents"/>
          <w:docPartUnique/>
        </w:docPartObj>
      </w:sdtPr>
      <w:sdtContent>
        <w:p w14:paraId="67575280" w14:textId="77777777" w:rsidR="001F12B0" w:rsidRDefault="001F12B0">
          <w:pPr>
            <w:widowControl w:val="0"/>
            <w:tabs>
              <w:tab w:val="right" w:leader="do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1qokdrxocwt">
            <w:r>
              <w:rPr>
                <w:b/>
                <w:color w:val="000000"/>
                <w:sz w:val="24"/>
                <w:szCs w:val="24"/>
              </w:rPr>
              <w:t>1. Introduction</w:t>
            </w:r>
            <w:r>
              <w:rPr>
                <w:b/>
                <w:color w:val="000000"/>
                <w:sz w:val="24"/>
                <w:szCs w:val="24"/>
              </w:rPr>
              <w:tab/>
              <w:t>3</w:t>
            </w:r>
          </w:hyperlink>
        </w:p>
        <w:p w14:paraId="1C04EAFE" w14:textId="77777777" w:rsidR="001F12B0" w:rsidRDefault="001F12B0">
          <w:pPr>
            <w:widowControl w:val="0"/>
            <w:tabs>
              <w:tab w:val="right" w:leader="dot" w:pos="12000"/>
            </w:tabs>
            <w:spacing w:before="60" w:line="240" w:lineRule="auto"/>
            <w:rPr>
              <w:b/>
              <w:color w:val="000000"/>
            </w:rPr>
          </w:pPr>
          <w:hyperlink w:anchor="_96il7dv0zew1">
            <w:r>
              <w:rPr>
                <w:b/>
                <w:color w:val="000000"/>
                <w:sz w:val="24"/>
                <w:szCs w:val="24"/>
              </w:rPr>
              <w:t>2. Pre-trial detention</w:t>
            </w:r>
            <w:r>
              <w:rPr>
                <w:b/>
                <w:color w:val="000000"/>
                <w:sz w:val="24"/>
                <w:szCs w:val="24"/>
              </w:rPr>
              <w:tab/>
              <w:t>4</w:t>
            </w:r>
          </w:hyperlink>
        </w:p>
        <w:p w14:paraId="03B7DABC" w14:textId="77777777" w:rsidR="001F12B0" w:rsidRDefault="001F12B0">
          <w:pPr>
            <w:widowControl w:val="0"/>
            <w:tabs>
              <w:tab w:val="right" w:leader="dot" w:pos="12000"/>
            </w:tabs>
            <w:spacing w:before="60" w:line="240" w:lineRule="auto"/>
            <w:ind w:left="360"/>
            <w:rPr>
              <w:color w:val="000000"/>
            </w:rPr>
          </w:pPr>
          <w:hyperlink w:anchor="_589akuj2r2c8">
            <w:r>
              <w:rPr>
                <w:color w:val="000000"/>
                <w:sz w:val="24"/>
                <w:szCs w:val="24"/>
              </w:rPr>
              <w:t>2.1. Alternatives to Pre-Trial Detention</w:t>
            </w:r>
            <w:r>
              <w:rPr>
                <w:color w:val="000000"/>
                <w:sz w:val="24"/>
                <w:szCs w:val="24"/>
              </w:rPr>
              <w:tab/>
              <w:t>4</w:t>
            </w:r>
          </w:hyperlink>
        </w:p>
        <w:p w14:paraId="3F4F0436" w14:textId="77777777" w:rsidR="001F12B0" w:rsidRDefault="001F12B0">
          <w:pPr>
            <w:widowControl w:val="0"/>
            <w:tabs>
              <w:tab w:val="right" w:leader="dot" w:pos="12000"/>
            </w:tabs>
            <w:spacing w:before="60" w:line="240" w:lineRule="auto"/>
            <w:ind w:left="360"/>
            <w:rPr>
              <w:color w:val="000000"/>
            </w:rPr>
          </w:pPr>
          <w:hyperlink w:anchor="_5atyoaeaeu44">
            <w:r>
              <w:rPr>
                <w:color w:val="000000"/>
                <w:sz w:val="24"/>
                <w:szCs w:val="24"/>
              </w:rPr>
              <w:t>2.1.1 Recommended Questions for the State Party</w:t>
            </w:r>
            <w:r>
              <w:rPr>
                <w:color w:val="000000"/>
                <w:sz w:val="24"/>
                <w:szCs w:val="24"/>
              </w:rPr>
              <w:tab/>
              <w:t>5</w:t>
            </w:r>
          </w:hyperlink>
        </w:p>
        <w:p w14:paraId="55616202" w14:textId="77777777" w:rsidR="001F12B0" w:rsidRDefault="001F12B0">
          <w:pPr>
            <w:widowControl w:val="0"/>
            <w:tabs>
              <w:tab w:val="right" w:leader="dot" w:pos="12000"/>
            </w:tabs>
            <w:spacing w:before="60" w:line="240" w:lineRule="auto"/>
            <w:ind w:left="360"/>
            <w:rPr>
              <w:color w:val="000000"/>
            </w:rPr>
          </w:pPr>
          <w:hyperlink w:anchor="_xboyvag8rux">
            <w:r>
              <w:rPr>
                <w:color w:val="000000"/>
                <w:sz w:val="24"/>
                <w:szCs w:val="24"/>
              </w:rPr>
              <w:t>2.2. Redress for Victims of Unduly Long Pretrial Detention</w:t>
            </w:r>
            <w:r>
              <w:rPr>
                <w:color w:val="000000"/>
                <w:sz w:val="24"/>
                <w:szCs w:val="24"/>
              </w:rPr>
              <w:tab/>
              <w:t>5</w:t>
            </w:r>
          </w:hyperlink>
        </w:p>
        <w:p w14:paraId="13F9D121" w14:textId="77777777" w:rsidR="001F12B0" w:rsidRDefault="001F12B0">
          <w:pPr>
            <w:widowControl w:val="0"/>
            <w:tabs>
              <w:tab w:val="right" w:leader="dot" w:pos="12000"/>
            </w:tabs>
            <w:spacing w:before="60" w:line="240" w:lineRule="auto"/>
            <w:ind w:left="360"/>
            <w:rPr>
              <w:color w:val="000000"/>
            </w:rPr>
          </w:pPr>
          <w:hyperlink w:anchor="_m8tlw9wf2nhp">
            <w:r>
              <w:rPr>
                <w:color w:val="000000"/>
                <w:sz w:val="24"/>
                <w:szCs w:val="24"/>
              </w:rPr>
              <w:t>2.2.1 Recommended Questions for the State Party</w:t>
            </w:r>
            <w:r>
              <w:rPr>
                <w:color w:val="000000"/>
                <w:sz w:val="24"/>
                <w:szCs w:val="24"/>
              </w:rPr>
              <w:tab/>
              <w:t>6</w:t>
            </w:r>
          </w:hyperlink>
        </w:p>
        <w:p w14:paraId="71D88FC4" w14:textId="77777777" w:rsidR="001F12B0" w:rsidRDefault="001F12B0">
          <w:pPr>
            <w:widowControl w:val="0"/>
            <w:tabs>
              <w:tab w:val="right" w:leader="dot" w:pos="12000"/>
            </w:tabs>
            <w:spacing w:before="60" w:line="240" w:lineRule="auto"/>
            <w:ind w:left="360"/>
            <w:rPr>
              <w:color w:val="000000"/>
            </w:rPr>
          </w:pPr>
          <w:hyperlink w:anchor="_2yypq9u3g62c">
            <w:r>
              <w:rPr>
                <w:color w:val="000000"/>
                <w:sz w:val="24"/>
                <w:szCs w:val="24"/>
              </w:rPr>
              <w:t>2.3. Inconsistency in Pre-trial Detention Figures</w:t>
            </w:r>
            <w:r>
              <w:rPr>
                <w:color w:val="000000"/>
                <w:sz w:val="24"/>
                <w:szCs w:val="24"/>
              </w:rPr>
              <w:tab/>
              <w:t>6</w:t>
            </w:r>
          </w:hyperlink>
        </w:p>
        <w:p w14:paraId="1C103590" w14:textId="77777777" w:rsidR="001F12B0" w:rsidRDefault="001F12B0">
          <w:pPr>
            <w:widowControl w:val="0"/>
            <w:tabs>
              <w:tab w:val="right" w:leader="dot" w:pos="12000"/>
            </w:tabs>
            <w:spacing w:before="60" w:line="240" w:lineRule="auto"/>
            <w:ind w:left="360"/>
            <w:rPr>
              <w:color w:val="000000"/>
            </w:rPr>
          </w:pPr>
          <w:hyperlink w:anchor="_jp1c05qplqrx">
            <w:r>
              <w:rPr>
                <w:color w:val="000000"/>
                <w:sz w:val="24"/>
                <w:szCs w:val="24"/>
              </w:rPr>
              <w:t>2.3.1 Recommended Questions for the State Party</w:t>
            </w:r>
            <w:r>
              <w:rPr>
                <w:color w:val="000000"/>
                <w:sz w:val="24"/>
                <w:szCs w:val="24"/>
              </w:rPr>
              <w:tab/>
              <w:t>8</w:t>
            </w:r>
          </w:hyperlink>
        </w:p>
        <w:p w14:paraId="34E38365" w14:textId="77777777" w:rsidR="001F12B0" w:rsidRDefault="001F12B0">
          <w:pPr>
            <w:widowControl w:val="0"/>
            <w:tabs>
              <w:tab w:val="right" w:leader="dot" w:pos="12000"/>
            </w:tabs>
            <w:spacing w:before="60" w:line="240" w:lineRule="auto"/>
            <w:rPr>
              <w:b/>
              <w:color w:val="000000"/>
            </w:rPr>
          </w:pPr>
          <w:hyperlink w:anchor="_e5r78ssh38sn">
            <w:r>
              <w:rPr>
                <w:b/>
                <w:color w:val="000000"/>
                <w:sz w:val="24"/>
                <w:szCs w:val="24"/>
              </w:rPr>
              <w:t>3.     Measures to prevent excessive use of force and ill-treatment by police</w:t>
            </w:r>
            <w:r>
              <w:rPr>
                <w:b/>
                <w:color w:val="000000"/>
                <w:sz w:val="24"/>
                <w:szCs w:val="24"/>
              </w:rPr>
              <w:tab/>
              <w:t>9</w:t>
            </w:r>
          </w:hyperlink>
        </w:p>
        <w:p w14:paraId="1734885E" w14:textId="77777777" w:rsidR="001F12B0" w:rsidRDefault="001F12B0">
          <w:pPr>
            <w:widowControl w:val="0"/>
            <w:tabs>
              <w:tab w:val="right" w:leader="dot" w:pos="12000"/>
            </w:tabs>
            <w:spacing w:before="60" w:line="240" w:lineRule="auto"/>
            <w:ind w:left="360"/>
            <w:rPr>
              <w:color w:val="000000"/>
            </w:rPr>
          </w:pPr>
          <w:hyperlink w:anchor="_lmmwkjrl2qmf">
            <w:r>
              <w:rPr>
                <w:color w:val="000000"/>
                <w:sz w:val="24"/>
                <w:szCs w:val="24"/>
              </w:rPr>
              <w:t>3.1 Impunity of Police Guard</w:t>
            </w:r>
            <w:r>
              <w:rPr>
                <w:color w:val="000000"/>
                <w:sz w:val="24"/>
                <w:szCs w:val="24"/>
              </w:rPr>
              <w:tab/>
              <w:t>9</w:t>
            </w:r>
          </w:hyperlink>
        </w:p>
        <w:p w14:paraId="55604D59" w14:textId="77777777" w:rsidR="001F12B0" w:rsidRDefault="001F12B0">
          <w:pPr>
            <w:widowControl w:val="0"/>
            <w:tabs>
              <w:tab w:val="right" w:leader="dot" w:pos="12000"/>
            </w:tabs>
            <w:spacing w:before="60" w:line="240" w:lineRule="auto"/>
            <w:ind w:left="360"/>
            <w:rPr>
              <w:color w:val="000000"/>
            </w:rPr>
          </w:pPr>
          <w:hyperlink w:anchor="_gv5tv2xx6oxq">
            <w:r>
              <w:rPr>
                <w:color w:val="000000"/>
                <w:sz w:val="24"/>
                <w:szCs w:val="24"/>
              </w:rPr>
              <w:t>3.1.1 Recommended Questions for the State Party</w:t>
            </w:r>
            <w:r>
              <w:rPr>
                <w:color w:val="000000"/>
                <w:sz w:val="24"/>
                <w:szCs w:val="24"/>
              </w:rPr>
              <w:tab/>
              <w:t>10</w:t>
            </w:r>
          </w:hyperlink>
        </w:p>
        <w:p w14:paraId="6A8428F2" w14:textId="77777777" w:rsidR="001F12B0" w:rsidRDefault="001F12B0">
          <w:pPr>
            <w:widowControl w:val="0"/>
            <w:tabs>
              <w:tab w:val="right" w:leader="dot" w:pos="12000"/>
            </w:tabs>
            <w:spacing w:before="60" w:line="240" w:lineRule="auto"/>
            <w:ind w:left="360"/>
            <w:rPr>
              <w:color w:val="000000"/>
            </w:rPr>
          </w:pPr>
          <w:hyperlink w:anchor="_8clmre62wuin">
            <w:r>
              <w:rPr>
                <w:color w:val="000000"/>
                <w:sz w:val="24"/>
                <w:szCs w:val="24"/>
              </w:rPr>
              <w:t>3.2 Independent Monitoring of Police Guard</w:t>
            </w:r>
            <w:r>
              <w:rPr>
                <w:color w:val="000000"/>
                <w:sz w:val="24"/>
                <w:szCs w:val="24"/>
              </w:rPr>
              <w:tab/>
              <w:t>11</w:t>
            </w:r>
          </w:hyperlink>
        </w:p>
        <w:p w14:paraId="6B23AF0B" w14:textId="77777777" w:rsidR="001F12B0" w:rsidRDefault="001F12B0">
          <w:pPr>
            <w:widowControl w:val="0"/>
            <w:tabs>
              <w:tab w:val="right" w:leader="dot" w:pos="12000"/>
            </w:tabs>
            <w:spacing w:before="60" w:line="240" w:lineRule="auto"/>
            <w:ind w:left="360"/>
            <w:rPr>
              <w:color w:val="000000"/>
            </w:rPr>
          </w:pPr>
          <w:hyperlink w:anchor="_5lmsjlr6yy4">
            <w:r>
              <w:rPr>
                <w:color w:val="000000"/>
                <w:sz w:val="24"/>
                <w:szCs w:val="24"/>
              </w:rPr>
              <w:t>3.2.1 Recommended Questions for the State Party</w:t>
            </w:r>
            <w:r>
              <w:rPr>
                <w:color w:val="000000"/>
                <w:sz w:val="24"/>
                <w:szCs w:val="24"/>
              </w:rPr>
              <w:tab/>
              <w:t>11</w:t>
            </w:r>
          </w:hyperlink>
        </w:p>
        <w:p w14:paraId="52FF1EBF" w14:textId="77777777" w:rsidR="001F12B0" w:rsidRDefault="001F12B0">
          <w:pPr>
            <w:widowControl w:val="0"/>
            <w:tabs>
              <w:tab w:val="right" w:leader="dot" w:pos="12000"/>
            </w:tabs>
            <w:spacing w:before="60" w:line="240" w:lineRule="auto"/>
            <w:ind w:left="360"/>
            <w:rPr>
              <w:color w:val="000000"/>
            </w:rPr>
          </w:pPr>
          <w:hyperlink w:anchor="_xmbv5kf5njj6">
            <w:r>
              <w:rPr>
                <w:color w:val="000000"/>
                <w:sz w:val="24"/>
                <w:szCs w:val="24"/>
              </w:rPr>
              <w:t>3.3 Police Guard Training</w:t>
            </w:r>
            <w:r>
              <w:rPr>
                <w:color w:val="000000"/>
                <w:sz w:val="24"/>
                <w:szCs w:val="24"/>
              </w:rPr>
              <w:tab/>
              <w:t>11</w:t>
            </w:r>
          </w:hyperlink>
        </w:p>
        <w:p w14:paraId="204B7901" w14:textId="77777777" w:rsidR="001F12B0" w:rsidRDefault="001F12B0">
          <w:pPr>
            <w:widowControl w:val="0"/>
            <w:tabs>
              <w:tab w:val="right" w:leader="dot" w:pos="12000"/>
            </w:tabs>
            <w:spacing w:before="60" w:line="240" w:lineRule="auto"/>
            <w:ind w:left="360"/>
            <w:rPr>
              <w:color w:val="000000"/>
            </w:rPr>
          </w:pPr>
          <w:hyperlink w:anchor="_94jbdi91xjz2">
            <w:r>
              <w:rPr>
                <w:color w:val="000000"/>
                <w:sz w:val="24"/>
                <w:szCs w:val="24"/>
              </w:rPr>
              <w:t>3.3.1 Recommended Questions for the State Party</w:t>
            </w:r>
            <w:r>
              <w:rPr>
                <w:color w:val="000000"/>
                <w:sz w:val="24"/>
                <w:szCs w:val="24"/>
              </w:rPr>
              <w:tab/>
              <w:t>12</w:t>
            </w:r>
          </w:hyperlink>
        </w:p>
        <w:p w14:paraId="0A6DD942" w14:textId="77777777" w:rsidR="001F12B0" w:rsidRDefault="001F12B0">
          <w:pPr>
            <w:widowControl w:val="0"/>
            <w:tabs>
              <w:tab w:val="right" w:leader="dot" w:pos="12000"/>
            </w:tabs>
            <w:spacing w:before="60" w:line="240" w:lineRule="auto"/>
            <w:ind w:left="360"/>
            <w:rPr>
              <w:color w:val="000000"/>
            </w:rPr>
          </w:pPr>
          <w:hyperlink w:anchor="_5fxv3tfu3x6n">
            <w:r>
              <w:rPr>
                <w:color w:val="000000"/>
                <w:sz w:val="24"/>
                <w:szCs w:val="24"/>
              </w:rPr>
              <w:t>3.4 The Use of Audio-Video Recording by Police</w:t>
            </w:r>
            <w:r>
              <w:rPr>
                <w:color w:val="000000"/>
                <w:sz w:val="24"/>
                <w:szCs w:val="24"/>
              </w:rPr>
              <w:tab/>
              <w:t>12</w:t>
            </w:r>
          </w:hyperlink>
        </w:p>
        <w:p w14:paraId="33346DCD" w14:textId="77777777" w:rsidR="001F12B0" w:rsidRDefault="001F12B0">
          <w:pPr>
            <w:widowControl w:val="0"/>
            <w:tabs>
              <w:tab w:val="right" w:leader="dot" w:pos="12000"/>
            </w:tabs>
            <w:spacing w:before="60" w:line="240" w:lineRule="auto"/>
            <w:ind w:left="360"/>
            <w:rPr>
              <w:color w:val="000000"/>
            </w:rPr>
          </w:pPr>
          <w:hyperlink w:anchor="_5j0svbm3yrfb">
            <w:r>
              <w:rPr>
                <w:color w:val="000000"/>
                <w:sz w:val="24"/>
                <w:szCs w:val="24"/>
              </w:rPr>
              <w:t>3.4.1 Recommended Questions for the State Party</w:t>
            </w:r>
            <w:r>
              <w:rPr>
                <w:color w:val="000000"/>
                <w:sz w:val="24"/>
                <w:szCs w:val="24"/>
              </w:rPr>
              <w:tab/>
              <w:t>13</w:t>
            </w:r>
          </w:hyperlink>
          <w:r>
            <w:fldChar w:fldCharType="end"/>
          </w:r>
        </w:p>
      </w:sdtContent>
    </w:sdt>
    <w:p w14:paraId="7D652D7B" w14:textId="77777777" w:rsidR="001F12B0" w:rsidRDefault="001F12B0">
      <w:pPr>
        <w:pStyle w:val="Heading2"/>
        <w:spacing w:before="240" w:after="240"/>
      </w:pPr>
      <w:bookmarkStart w:id="0" w:name="_1rhtzlaqm92i" w:colFirst="0" w:colLast="0"/>
      <w:bookmarkEnd w:id="0"/>
    </w:p>
    <w:p w14:paraId="2D8EC9FC" w14:textId="77777777" w:rsidR="001F12B0" w:rsidRDefault="001F12B0"/>
    <w:p w14:paraId="59E79D97" w14:textId="77777777" w:rsidR="001F12B0" w:rsidRDefault="001F12B0"/>
    <w:p w14:paraId="259589EA" w14:textId="77777777" w:rsidR="001F12B0" w:rsidRDefault="001F12B0"/>
    <w:p w14:paraId="74D8AA99" w14:textId="77777777" w:rsidR="001F12B0" w:rsidRDefault="001F12B0"/>
    <w:p w14:paraId="3715B28F" w14:textId="77777777" w:rsidR="001F12B0" w:rsidRDefault="001F12B0"/>
    <w:p w14:paraId="566FDEE8" w14:textId="77777777" w:rsidR="001F12B0" w:rsidRDefault="001F12B0"/>
    <w:p w14:paraId="43ECF9A0" w14:textId="77777777" w:rsidR="001F12B0" w:rsidRDefault="001F12B0"/>
    <w:p w14:paraId="753148A9" w14:textId="77777777" w:rsidR="001F12B0" w:rsidRDefault="00000000">
      <w:pPr>
        <w:rPr>
          <w:sz w:val="24"/>
          <w:szCs w:val="24"/>
        </w:rPr>
      </w:pPr>
      <w:r>
        <w:rPr>
          <w:sz w:val="24"/>
          <w:szCs w:val="24"/>
        </w:rPr>
        <w:t>Identifying Statement:</w:t>
      </w:r>
    </w:p>
    <w:p w14:paraId="7EBD7DEB" w14:textId="77777777" w:rsidR="001F12B0" w:rsidRDefault="001F12B0">
      <w:pPr>
        <w:rPr>
          <w:sz w:val="24"/>
          <w:szCs w:val="24"/>
        </w:rPr>
      </w:pPr>
    </w:p>
    <w:p w14:paraId="46948A65" w14:textId="558C2A2E" w:rsidR="001F12B0" w:rsidRPr="00502F66" w:rsidRDefault="00502F66">
      <w:pPr>
        <w:spacing w:after="160" w:line="360" w:lineRule="auto"/>
        <w:jc w:val="both"/>
        <w:rPr>
          <w:i/>
          <w:iCs/>
          <w:sz w:val="24"/>
          <w:szCs w:val="24"/>
          <w:highlight w:val="white"/>
        </w:rPr>
      </w:pPr>
      <w:r>
        <w:rPr>
          <w:i/>
          <w:iCs/>
          <w:sz w:val="24"/>
          <w:szCs w:val="24"/>
          <w:highlight w:val="white"/>
        </w:rPr>
        <w:t>This report, submitted by Danish Health and Human Rights Working Group, has been prepared by public and global health students attending the autumn 2024 master-level elective course in Health and Human Rights, Department of Public Health, University of Copenhagen, taught by Jens Modvig (</w:t>
      </w:r>
      <w:hyperlink r:id="rId7" w:history="1">
        <w:r w:rsidRPr="00464C38">
          <w:rPr>
            <w:rStyle w:val="Hyperlink"/>
            <w:i/>
            <w:iCs/>
            <w:sz w:val="24"/>
            <w:szCs w:val="24"/>
            <w:highlight w:val="white"/>
          </w:rPr>
          <w:t>jmo@dignity.dk</w:t>
        </w:r>
      </w:hyperlink>
      <w:r>
        <w:rPr>
          <w:i/>
          <w:iCs/>
          <w:sz w:val="24"/>
          <w:szCs w:val="24"/>
          <w:highlight w:val="white"/>
        </w:rPr>
        <w:t>), who is also focal point for the submitting organization.</w:t>
      </w:r>
    </w:p>
    <w:p w14:paraId="4B8E1F6E" w14:textId="77777777" w:rsidR="001F12B0" w:rsidRDefault="00000000">
      <w:pPr>
        <w:pStyle w:val="Heading2"/>
        <w:numPr>
          <w:ilvl w:val="0"/>
          <w:numId w:val="2"/>
        </w:numPr>
      </w:pPr>
      <w:bookmarkStart w:id="1" w:name="_1qokdrxocwt" w:colFirst="0" w:colLast="0"/>
      <w:bookmarkEnd w:id="1"/>
      <w:r>
        <w:lastRenderedPageBreak/>
        <w:t>Introduction</w:t>
      </w:r>
    </w:p>
    <w:p w14:paraId="26589787" w14:textId="5EAB8DEB" w:rsidR="001F12B0" w:rsidRDefault="00000000">
      <w:pPr>
        <w:spacing w:after="160" w:line="360" w:lineRule="auto"/>
        <w:jc w:val="both"/>
        <w:rPr>
          <w:sz w:val="24"/>
          <w:szCs w:val="24"/>
          <w:highlight w:val="white"/>
        </w:rPr>
      </w:pPr>
      <w:r>
        <w:rPr>
          <w:sz w:val="24"/>
          <w:szCs w:val="24"/>
          <w:highlight w:val="white"/>
        </w:rPr>
        <w:t>Armenia ratified the UN Convention against Torture (‘the Convention’) in 1993. In December 2020, the State Party submitted its fifth periodic report replying to the List of Issues prior to reporting (L</w:t>
      </w:r>
      <w:r w:rsidR="00AC7C3D">
        <w:rPr>
          <w:sz w:val="24"/>
          <w:szCs w:val="24"/>
          <w:highlight w:val="white"/>
        </w:rPr>
        <w:t>o</w:t>
      </w:r>
      <w:r>
        <w:rPr>
          <w:sz w:val="24"/>
          <w:szCs w:val="24"/>
          <w:highlight w:val="white"/>
        </w:rPr>
        <w:t>IPR). The State Party ratified the Optional Protocol to the Convention against Torture (‘OPCAT’) on 14/09/2006 and has established a National Preventive Mechanism (NPM).</w:t>
      </w:r>
    </w:p>
    <w:p w14:paraId="2FB9E458" w14:textId="53CD2359" w:rsidR="001F12B0" w:rsidRDefault="00000000">
      <w:pPr>
        <w:spacing w:after="160" w:line="360" w:lineRule="auto"/>
        <w:jc w:val="both"/>
        <w:rPr>
          <w:sz w:val="24"/>
          <w:szCs w:val="24"/>
          <w:highlight w:val="white"/>
        </w:rPr>
      </w:pPr>
      <w:r>
        <w:rPr>
          <w:sz w:val="24"/>
          <w:szCs w:val="24"/>
          <w:highlight w:val="white"/>
        </w:rPr>
        <w:t xml:space="preserve">The purpose of this report is to assist members of the Committee against Torture (hereafter referred to as ‘the Committee’) in the examination of the State Party report, including the dialogue with the State Party. The report is based on documents from previous and current treaty body reviews of the State Party, as well as on </w:t>
      </w:r>
      <w:r w:rsidR="00107BDF">
        <w:rPr>
          <w:sz w:val="24"/>
          <w:szCs w:val="24"/>
          <w:highlight w:val="white"/>
        </w:rPr>
        <w:t>open-source</w:t>
      </w:r>
      <w:r>
        <w:rPr>
          <w:sz w:val="24"/>
          <w:szCs w:val="24"/>
          <w:highlight w:val="white"/>
        </w:rPr>
        <w:t xml:space="preserve"> information and consultations with local and international stakeholders. The report does not address all topics in the State Party report but rather selected topics of </w:t>
      </w:r>
      <w:r w:rsidR="00107BDF">
        <w:rPr>
          <w:sz w:val="24"/>
          <w:szCs w:val="24"/>
          <w:highlight w:val="white"/>
        </w:rPr>
        <w:t>relevance</w:t>
      </w:r>
      <w:r>
        <w:rPr>
          <w:sz w:val="24"/>
          <w:szCs w:val="24"/>
          <w:highlight w:val="white"/>
        </w:rPr>
        <w:t xml:space="preserve"> to the health aspects of torture.    </w:t>
      </w:r>
    </w:p>
    <w:p w14:paraId="0979D6B1" w14:textId="77777777" w:rsidR="001F12B0" w:rsidRDefault="00000000">
      <w:pPr>
        <w:spacing w:before="240" w:after="240" w:line="360" w:lineRule="auto"/>
        <w:jc w:val="both"/>
        <w:rPr>
          <w:sz w:val="24"/>
          <w:szCs w:val="24"/>
          <w:highlight w:val="white"/>
        </w:rPr>
      </w:pPr>
      <w:r>
        <w:rPr>
          <w:sz w:val="24"/>
          <w:szCs w:val="24"/>
          <w:highlight w:val="white"/>
        </w:rPr>
        <w:t>In the time since its last review by the Committee, the Government of Armenia (hereafter referred to as ‘the State Party’) has made significant changes to the Criminal Code of Armenia (CC) which may have a notable impact on key human rights issues. The Government has laid out its action plan for judicial reform in the 2022-2026 Strategy for Judicial and Legal Reforms of the Republic of Armenia, developed in partnership with the Council of Europe</w:t>
      </w:r>
      <w:r>
        <w:rPr>
          <w:sz w:val="24"/>
          <w:szCs w:val="24"/>
          <w:highlight w:val="white"/>
          <w:vertAlign w:val="superscript"/>
        </w:rPr>
        <w:footnoteReference w:id="1"/>
      </w:r>
      <w:r>
        <w:rPr>
          <w:sz w:val="24"/>
          <w:szCs w:val="24"/>
          <w:highlight w:val="white"/>
        </w:rPr>
        <w:t>.</w:t>
      </w:r>
    </w:p>
    <w:p w14:paraId="222E0C29" w14:textId="77777777" w:rsidR="001F12B0" w:rsidRDefault="00000000">
      <w:pPr>
        <w:spacing w:before="240" w:after="240" w:line="360" w:lineRule="auto"/>
        <w:jc w:val="both"/>
        <w:rPr>
          <w:sz w:val="24"/>
          <w:szCs w:val="24"/>
          <w:highlight w:val="white"/>
        </w:rPr>
      </w:pPr>
      <w:r>
        <w:rPr>
          <w:sz w:val="24"/>
          <w:szCs w:val="24"/>
          <w:highlight w:val="white"/>
        </w:rPr>
        <w:t>Existing shadow report submissions from civil society organizations for the upcoming Committee session have not addressed the impact of the State Party’s 2022-2026 Strategy for Judicial and Legal Reform on human rights. We have consolidated information from a range of sources and proposed questions which, if the Committee chooses to include them, we hope will elucidate the impact that these reforms may have on human rights in Armenia.</w:t>
      </w:r>
    </w:p>
    <w:p w14:paraId="5B953BC9" w14:textId="77777777" w:rsidR="001F12B0" w:rsidRDefault="00000000">
      <w:pPr>
        <w:pStyle w:val="Heading2"/>
        <w:numPr>
          <w:ilvl w:val="0"/>
          <w:numId w:val="2"/>
        </w:numPr>
        <w:pBdr>
          <w:top w:val="nil"/>
          <w:left w:val="nil"/>
          <w:bottom w:val="nil"/>
          <w:right w:val="nil"/>
          <w:between w:val="nil"/>
        </w:pBdr>
        <w:ind w:left="0" w:firstLine="0"/>
      </w:pPr>
      <w:bookmarkStart w:id="2" w:name="_96il7dv0zew1" w:colFirst="0" w:colLast="0"/>
      <w:bookmarkEnd w:id="2"/>
      <w:r>
        <w:lastRenderedPageBreak/>
        <w:t>Pre-trial detention</w:t>
      </w:r>
    </w:p>
    <w:p w14:paraId="07238562" w14:textId="77777777" w:rsidR="001F12B0" w:rsidRDefault="00000000">
      <w:pPr>
        <w:pStyle w:val="Heading3"/>
      </w:pPr>
      <w:bookmarkStart w:id="3" w:name="_589akuj2r2c8" w:colFirst="0" w:colLast="0"/>
      <w:bookmarkEnd w:id="3"/>
      <w:r>
        <w:t>2.1. Alternatives to Pre-Trial Detention</w:t>
      </w:r>
    </w:p>
    <w:p w14:paraId="78C0C1A3" w14:textId="77777777" w:rsidR="001F12B0" w:rsidRDefault="00000000">
      <w:pPr>
        <w:spacing w:before="240" w:after="240" w:line="360" w:lineRule="auto"/>
        <w:jc w:val="both"/>
        <w:rPr>
          <w:sz w:val="24"/>
          <w:szCs w:val="24"/>
          <w:highlight w:val="white"/>
        </w:rPr>
      </w:pPr>
      <w:r>
        <w:rPr>
          <w:sz w:val="24"/>
          <w:szCs w:val="24"/>
          <w:highlight w:val="white"/>
        </w:rPr>
        <w:t>Pre-trial detention should be used as a last resort as it makes individuals subjected to it especially vulnerable to torture or ill-treatment, particularly if the detaining authorities are seeking a confession</w:t>
      </w:r>
      <w:r>
        <w:rPr>
          <w:sz w:val="24"/>
          <w:szCs w:val="24"/>
          <w:highlight w:val="white"/>
          <w:vertAlign w:val="superscript"/>
        </w:rPr>
        <w:footnoteReference w:id="2"/>
      </w:r>
      <w:r>
        <w:rPr>
          <w:sz w:val="24"/>
          <w:szCs w:val="24"/>
          <w:highlight w:val="white"/>
        </w:rPr>
        <w:t>. Notably, Armenia has the second highest proportion of pre-trial detainees in Europe at 53% (meaning that 53% of the people in Armenian prisons are being held in pre-trial detention). This proportion is much higher than the average European proportion of approximately 33% of the prison population being made up of pretrial detainees</w:t>
      </w:r>
      <w:r>
        <w:rPr>
          <w:sz w:val="24"/>
          <w:szCs w:val="24"/>
          <w:highlight w:val="white"/>
          <w:vertAlign w:val="superscript"/>
        </w:rPr>
        <w:footnoteReference w:id="3"/>
      </w:r>
      <w:r>
        <w:rPr>
          <w:sz w:val="24"/>
          <w:szCs w:val="24"/>
          <w:highlight w:val="white"/>
        </w:rPr>
        <w:t>. The Convention suggests actions and standards that the State Party should implement to prevent torture and ill-treatment in places of detention. In addition to the treatment that individuals may be subjected to at the hands of police during pre-trial detention, detained persons may suffer simply from being in a penal environment. Of particular concern here are the material conditions of some Armenian prisons and associated mental health impacts of incarceration. Armenia has one of the highest rates in Europe of suicide among incarcerated people, and the Council of Europe Annual Penal Statistics Report for 2023 states that one person died by suicide in an Armenian penal institution in 2022 while being held in pre-trial detention</w:t>
      </w:r>
      <w:r>
        <w:rPr>
          <w:sz w:val="24"/>
          <w:szCs w:val="24"/>
          <w:highlight w:val="white"/>
          <w:vertAlign w:val="superscript"/>
        </w:rPr>
        <w:footnoteReference w:id="4"/>
      </w:r>
      <w:r>
        <w:rPr>
          <w:sz w:val="24"/>
          <w:szCs w:val="24"/>
          <w:highlight w:val="white"/>
        </w:rPr>
        <w:t xml:space="preserve"> </w:t>
      </w:r>
      <w:r>
        <w:rPr>
          <w:sz w:val="24"/>
          <w:szCs w:val="24"/>
          <w:highlight w:val="white"/>
          <w:vertAlign w:val="superscript"/>
        </w:rPr>
        <w:footnoteReference w:id="5"/>
      </w:r>
      <w:r>
        <w:rPr>
          <w:sz w:val="24"/>
          <w:szCs w:val="24"/>
          <w:highlight w:val="white"/>
        </w:rPr>
        <w:t>. Considering the high proportion of pre-trial detainees, the obligation to prevent torture and ill-treatment according to the Convention should therefore include efforts to reduce the use of pre-trial detention.</w:t>
      </w:r>
    </w:p>
    <w:p w14:paraId="15D17D88" w14:textId="77777777" w:rsidR="001F12B0" w:rsidRDefault="00000000">
      <w:pPr>
        <w:spacing w:before="240" w:after="240" w:line="360" w:lineRule="auto"/>
        <w:jc w:val="both"/>
        <w:rPr>
          <w:sz w:val="24"/>
          <w:szCs w:val="24"/>
          <w:highlight w:val="white"/>
        </w:rPr>
      </w:pPr>
      <w:r>
        <w:rPr>
          <w:sz w:val="24"/>
          <w:szCs w:val="24"/>
          <w:highlight w:val="white"/>
        </w:rPr>
        <w:t>The Criminal Procedure Code of the Republic of Armenia</w:t>
      </w:r>
      <w:r>
        <w:rPr>
          <w:sz w:val="24"/>
          <w:szCs w:val="24"/>
          <w:highlight w:val="white"/>
          <w:vertAlign w:val="superscript"/>
        </w:rPr>
        <w:footnoteReference w:id="6"/>
      </w:r>
      <w:r>
        <w:rPr>
          <w:sz w:val="24"/>
          <w:szCs w:val="24"/>
          <w:highlight w:val="white"/>
        </w:rPr>
        <w:t xml:space="preserve"> Chapters 18 and 19 provide several types of alternative measures to ensure that people suspected of or charged with </w:t>
      </w:r>
      <w:r>
        <w:rPr>
          <w:sz w:val="24"/>
          <w:szCs w:val="24"/>
          <w:highlight w:val="white"/>
        </w:rPr>
        <w:lastRenderedPageBreak/>
        <w:t>a crime will present to court. For example, Article 134.2 suggests methods that provide an alternative to pre-trial detention, including: a written obligation not to leave a place, supervision, and bail. Articles 135, 151, 152, and 153 of the Criminal Procedure Code describe a variety of non-detention options for ensuring the appearance of the accused at court proceedings, as well as guidelines to limit the use and duration of arrest of a person who has been charged with a criminal offense prior to conviction. Despite these available alternatives the use of pretrial detention remains high in the State.</w:t>
      </w:r>
    </w:p>
    <w:p w14:paraId="20C992DD" w14:textId="77777777" w:rsidR="001F12B0" w:rsidRDefault="00000000">
      <w:pPr>
        <w:pStyle w:val="Heading3"/>
      </w:pPr>
      <w:bookmarkStart w:id="4" w:name="_5atyoaeaeu44" w:colFirst="0" w:colLast="0"/>
      <w:bookmarkEnd w:id="4"/>
      <w:r>
        <w:t>2.1.1 Recommended Questions for the State Party</w:t>
      </w:r>
    </w:p>
    <w:p w14:paraId="7013F48F" w14:textId="77777777" w:rsidR="001F12B0" w:rsidRDefault="00000000">
      <w:pPr>
        <w:numPr>
          <w:ilvl w:val="0"/>
          <w:numId w:val="5"/>
        </w:numPr>
        <w:spacing w:before="240" w:line="360" w:lineRule="auto"/>
        <w:jc w:val="both"/>
        <w:rPr>
          <w:sz w:val="24"/>
          <w:szCs w:val="24"/>
          <w:highlight w:val="white"/>
        </w:rPr>
      </w:pPr>
      <w:r>
        <w:rPr>
          <w:sz w:val="24"/>
          <w:szCs w:val="24"/>
          <w:highlight w:val="white"/>
        </w:rPr>
        <w:t>In light of the revision of the Criminal Procedure Code, which describes many alternatives to pre-trial detention, how will the State Party ensure that these alternatives are being used in order to reduce the proportion of pre-trial detention?</w:t>
      </w:r>
    </w:p>
    <w:p w14:paraId="489A0EB4" w14:textId="77777777" w:rsidR="001F12B0" w:rsidRDefault="00000000">
      <w:pPr>
        <w:numPr>
          <w:ilvl w:val="0"/>
          <w:numId w:val="5"/>
        </w:numPr>
        <w:spacing w:after="240" w:line="360" w:lineRule="auto"/>
        <w:jc w:val="both"/>
        <w:rPr>
          <w:sz w:val="24"/>
          <w:szCs w:val="24"/>
          <w:highlight w:val="white"/>
        </w:rPr>
      </w:pPr>
      <w:r>
        <w:rPr>
          <w:sz w:val="24"/>
          <w:szCs w:val="24"/>
          <w:highlight w:val="white"/>
        </w:rPr>
        <w:t>What specific actions are being taken by the State and Judicial Sectors to ensure the application of alternative coercive measures, as described in Chapter 19, Articles 152 and 153 of the Criminal Procedure Code?</w:t>
      </w:r>
    </w:p>
    <w:p w14:paraId="5932F9DD" w14:textId="77777777" w:rsidR="001F12B0" w:rsidRDefault="00000000">
      <w:pPr>
        <w:pStyle w:val="Heading3"/>
        <w:jc w:val="both"/>
      </w:pPr>
      <w:bookmarkStart w:id="5" w:name="_xboyvag8rux" w:colFirst="0" w:colLast="0"/>
      <w:bookmarkEnd w:id="5"/>
      <w:r>
        <w:t>2.2. Redress for Victims of Unduly Long Pretrial Detention</w:t>
      </w:r>
    </w:p>
    <w:p w14:paraId="13A87166" w14:textId="77777777" w:rsidR="001F12B0" w:rsidRDefault="00000000">
      <w:pPr>
        <w:spacing w:before="240" w:after="240" w:line="360" w:lineRule="auto"/>
        <w:jc w:val="both"/>
        <w:rPr>
          <w:sz w:val="24"/>
          <w:szCs w:val="24"/>
        </w:rPr>
      </w:pPr>
      <w:r>
        <w:rPr>
          <w:sz w:val="24"/>
          <w:szCs w:val="24"/>
        </w:rPr>
        <w:t xml:space="preserve">The </w:t>
      </w:r>
      <w:proofErr w:type="spellStart"/>
      <w:r>
        <w:rPr>
          <w:sz w:val="24"/>
          <w:szCs w:val="24"/>
        </w:rPr>
        <w:t>LoIPR</w:t>
      </w:r>
      <w:proofErr w:type="spellEnd"/>
      <w:r>
        <w:rPr>
          <w:sz w:val="24"/>
          <w:szCs w:val="24"/>
        </w:rPr>
        <w:t xml:space="preserve"> for this review session asks the State Party in point 5. (f): “</w:t>
      </w:r>
      <w:r>
        <w:rPr>
          <w:i/>
          <w:sz w:val="24"/>
          <w:szCs w:val="24"/>
        </w:rPr>
        <w:t>Please provide updated information on: Redress and compensation provided to victims of unjustifiably long pretrial detention and the number of such cases since the last reporting cycle”.</w:t>
      </w:r>
      <w:r>
        <w:rPr>
          <w:sz w:val="24"/>
          <w:szCs w:val="24"/>
        </w:rPr>
        <w:t xml:space="preserve"> The State Party did not respond to this question in their State Party Report. It is appropriate that the State Party provides redress for individuals who have been held in pre-trial detention in cases where non-detention measures were possible but not implemented, when individuals have been held in pre-trial detention for longer than the maximum period as detailed in the Criminal Procedure Code (the maximum pre-trial detention period is four months for crimes of “minor” gravity, six months for crimes of “medium” gravity, 10 months for grave crimes, and 12 months for particularly grave crimes), and/or when pre-trial detention has been used as a means of coercing self-incrimination or confession out of a person charged with a crime.</w:t>
      </w:r>
    </w:p>
    <w:p w14:paraId="40130EED" w14:textId="77777777" w:rsidR="001F12B0" w:rsidRDefault="00000000">
      <w:pPr>
        <w:spacing w:before="240" w:after="240" w:line="360" w:lineRule="auto"/>
        <w:jc w:val="both"/>
        <w:rPr>
          <w:sz w:val="24"/>
          <w:szCs w:val="24"/>
        </w:rPr>
      </w:pPr>
      <w:r>
        <w:rPr>
          <w:sz w:val="24"/>
          <w:szCs w:val="24"/>
        </w:rPr>
        <w:lastRenderedPageBreak/>
        <w:t>It is not clear how the State Party ensures that people are released from pre-trial detention in a time frame that is compliant with those stated in the Criminal Procedure Code. It is also unclear if there are any procedures or reporting mechanisms that exist to investigate, address, and provide compensation or redress for individuals complaining of excessively long or otherwise unjustifiable pre-trial detention periods and of harm or death that may have occurred while in pre-trial detention.</w:t>
      </w:r>
    </w:p>
    <w:p w14:paraId="36306EC4" w14:textId="77777777" w:rsidR="001F12B0" w:rsidRDefault="00000000">
      <w:pPr>
        <w:pStyle w:val="Heading3"/>
        <w:spacing w:line="360" w:lineRule="auto"/>
        <w:jc w:val="both"/>
      </w:pPr>
      <w:bookmarkStart w:id="6" w:name="_m8tlw9wf2nhp" w:colFirst="0" w:colLast="0"/>
      <w:bookmarkEnd w:id="6"/>
      <w:r>
        <w:t>2.2.1 Recommended Questions for the State Party</w:t>
      </w:r>
    </w:p>
    <w:p w14:paraId="7B1638C8" w14:textId="77777777" w:rsidR="001F12B0" w:rsidRDefault="00000000">
      <w:pPr>
        <w:numPr>
          <w:ilvl w:val="0"/>
          <w:numId w:val="3"/>
        </w:numPr>
        <w:spacing w:before="240" w:line="360" w:lineRule="auto"/>
        <w:rPr>
          <w:sz w:val="24"/>
          <w:szCs w:val="24"/>
          <w:highlight w:val="white"/>
        </w:rPr>
      </w:pPr>
      <w:r>
        <w:rPr>
          <w:sz w:val="24"/>
          <w:szCs w:val="24"/>
          <w:highlight w:val="white"/>
        </w:rPr>
        <w:t>Could the State Party please explain how it ensures that individuals are released from pre-trial detention within a timeframe that is compliant with those laid out in the Criminal Procedure Code?</w:t>
      </w:r>
    </w:p>
    <w:p w14:paraId="1E8D39DC" w14:textId="77777777" w:rsidR="001F12B0" w:rsidRDefault="00000000">
      <w:pPr>
        <w:numPr>
          <w:ilvl w:val="0"/>
          <w:numId w:val="3"/>
        </w:numPr>
        <w:spacing w:line="360" w:lineRule="auto"/>
        <w:rPr>
          <w:sz w:val="24"/>
          <w:szCs w:val="24"/>
          <w:highlight w:val="white"/>
        </w:rPr>
      </w:pPr>
      <w:r>
        <w:rPr>
          <w:sz w:val="24"/>
          <w:szCs w:val="24"/>
          <w:highlight w:val="white"/>
        </w:rPr>
        <w:t>Does the State Party collect data on cases of unjustifiably long pre-trial detention? If yes, could the State Party please make this data available to the Committee? If not, could the State Party please explain steps taken to create a system for collecting this information and implementing procedural changes based on it?</w:t>
      </w:r>
    </w:p>
    <w:p w14:paraId="2AF1614C" w14:textId="77777777" w:rsidR="001F12B0" w:rsidRDefault="00000000">
      <w:pPr>
        <w:numPr>
          <w:ilvl w:val="0"/>
          <w:numId w:val="3"/>
        </w:numPr>
        <w:spacing w:after="240" w:line="360" w:lineRule="auto"/>
        <w:rPr>
          <w:sz w:val="24"/>
          <w:szCs w:val="24"/>
          <w:highlight w:val="white"/>
        </w:rPr>
      </w:pPr>
      <w:r>
        <w:rPr>
          <w:sz w:val="24"/>
          <w:szCs w:val="24"/>
          <w:highlight w:val="white"/>
        </w:rPr>
        <w:t xml:space="preserve">To repeat the question from the </w:t>
      </w:r>
      <w:proofErr w:type="spellStart"/>
      <w:r>
        <w:rPr>
          <w:sz w:val="24"/>
          <w:szCs w:val="24"/>
          <w:highlight w:val="white"/>
        </w:rPr>
        <w:t>LoIPR</w:t>
      </w:r>
      <w:proofErr w:type="spellEnd"/>
      <w:r>
        <w:rPr>
          <w:sz w:val="24"/>
          <w:szCs w:val="24"/>
          <w:highlight w:val="white"/>
        </w:rPr>
        <w:t xml:space="preserve">, </w:t>
      </w:r>
      <w:r>
        <w:rPr>
          <w:sz w:val="24"/>
          <w:szCs w:val="24"/>
        </w:rPr>
        <w:t xml:space="preserve">please provide updated information on redress and compensation provided to victims of unjustifiably long pretrial detention, including </w:t>
      </w:r>
      <w:r>
        <w:rPr>
          <w:sz w:val="24"/>
          <w:szCs w:val="24"/>
          <w:highlight w:val="white"/>
        </w:rPr>
        <w:t>any complaints about excessively long pre-trial detention,</w:t>
      </w:r>
      <w:r>
        <w:rPr>
          <w:sz w:val="24"/>
          <w:szCs w:val="24"/>
        </w:rPr>
        <w:t xml:space="preserve"> and the number of such cases since the last reporting cycle.</w:t>
      </w:r>
    </w:p>
    <w:p w14:paraId="092E792E" w14:textId="77777777" w:rsidR="001F12B0" w:rsidRDefault="00000000">
      <w:pPr>
        <w:pStyle w:val="Heading3"/>
      </w:pPr>
      <w:bookmarkStart w:id="7" w:name="_2yypq9u3g62c" w:colFirst="0" w:colLast="0"/>
      <w:bookmarkEnd w:id="7"/>
      <w:r>
        <w:t>2.3. Inconsistency in Pre-trial Detention Figures</w:t>
      </w:r>
    </w:p>
    <w:p w14:paraId="56EB81A6" w14:textId="77777777" w:rsidR="001F12B0" w:rsidRDefault="00000000">
      <w:pPr>
        <w:spacing w:before="240" w:after="240" w:line="360" w:lineRule="auto"/>
        <w:jc w:val="both"/>
        <w:rPr>
          <w:sz w:val="24"/>
          <w:szCs w:val="24"/>
          <w:highlight w:val="white"/>
        </w:rPr>
      </w:pPr>
      <w:r>
        <w:rPr>
          <w:sz w:val="24"/>
          <w:szCs w:val="24"/>
        </w:rPr>
        <w:t xml:space="preserve">The Armenian State Party Report submitted for this review session states in its response to </w:t>
      </w:r>
      <w:proofErr w:type="spellStart"/>
      <w:r>
        <w:rPr>
          <w:sz w:val="24"/>
          <w:szCs w:val="24"/>
        </w:rPr>
        <w:t>LoIPR</w:t>
      </w:r>
      <w:proofErr w:type="spellEnd"/>
      <w:r>
        <w:rPr>
          <w:sz w:val="24"/>
          <w:szCs w:val="24"/>
        </w:rPr>
        <w:t xml:space="preserve"> 5(a) that “</w:t>
      </w:r>
      <w:r>
        <w:rPr>
          <w:i/>
          <w:sz w:val="24"/>
          <w:szCs w:val="24"/>
        </w:rPr>
        <w:t xml:space="preserve">27. </w:t>
      </w:r>
      <w:r>
        <w:rPr>
          <w:sz w:val="24"/>
          <w:szCs w:val="24"/>
        </w:rPr>
        <w:t>The unified statistics of the Judicial Department provides for the full digital information regarding the use of pre-trial detention</w:t>
      </w:r>
      <w:r>
        <w:rPr>
          <w:i/>
          <w:sz w:val="24"/>
          <w:szCs w:val="24"/>
        </w:rPr>
        <w:t xml:space="preserve">”. </w:t>
      </w:r>
      <w:r>
        <w:rPr>
          <w:sz w:val="24"/>
          <w:szCs w:val="24"/>
        </w:rPr>
        <w:t>However,</w:t>
      </w:r>
      <w:r>
        <w:rPr>
          <w:i/>
          <w:sz w:val="24"/>
          <w:szCs w:val="24"/>
        </w:rPr>
        <w:t xml:space="preserve"> </w:t>
      </w:r>
      <w:r>
        <w:rPr>
          <w:sz w:val="24"/>
          <w:szCs w:val="24"/>
          <w:highlight w:val="white"/>
        </w:rPr>
        <w:t>it does not seem possible to access reports online from the aforementioned monitoring body</w:t>
      </w:r>
      <w:r>
        <w:rPr>
          <w:sz w:val="24"/>
          <w:szCs w:val="24"/>
          <w:highlight w:val="white"/>
          <w:vertAlign w:val="superscript"/>
        </w:rPr>
        <w:footnoteReference w:id="7"/>
      </w:r>
      <w:r>
        <w:rPr>
          <w:sz w:val="24"/>
          <w:szCs w:val="24"/>
          <w:highlight w:val="white"/>
        </w:rPr>
        <w:t xml:space="preserve">. Therefore, </w:t>
      </w:r>
      <w:r>
        <w:rPr>
          <w:sz w:val="24"/>
          <w:szCs w:val="24"/>
          <w:highlight w:val="white"/>
        </w:rPr>
        <w:lastRenderedPageBreak/>
        <w:t xml:space="preserve">comprehensive data regarding the detention status of all people in State custody remain unavailable to both the general public and the Committee. </w:t>
      </w:r>
    </w:p>
    <w:p w14:paraId="23D99007" w14:textId="77777777" w:rsidR="001F12B0" w:rsidRDefault="00000000">
      <w:pPr>
        <w:spacing w:before="240" w:after="240" w:line="360" w:lineRule="auto"/>
        <w:jc w:val="both"/>
        <w:rPr>
          <w:sz w:val="24"/>
          <w:szCs w:val="24"/>
          <w:highlight w:val="cyan"/>
        </w:rPr>
      </w:pPr>
      <w:r>
        <w:rPr>
          <w:sz w:val="24"/>
          <w:szCs w:val="24"/>
        </w:rPr>
        <w:t>Article 11 of the Convention calls upon the State to keep information regarding custody arrangements of all persons subjected to arrest, detention, or imprisonment under systematic review.</w:t>
      </w:r>
    </w:p>
    <w:p w14:paraId="6C772466" w14:textId="77777777" w:rsidR="001F12B0" w:rsidRDefault="00000000">
      <w:pPr>
        <w:spacing w:before="240" w:after="240" w:line="360" w:lineRule="auto"/>
        <w:jc w:val="both"/>
        <w:rPr>
          <w:sz w:val="24"/>
          <w:szCs w:val="24"/>
        </w:rPr>
      </w:pPr>
      <w:r>
        <w:rPr>
          <w:sz w:val="24"/>
          <w:szCs w:val="24"/>
        </w:rPr>
        <w:t>According to the Ombudsman report</w:t>
      </w:r>
      <w:r>
        <w:rPr>
          <w:sz w:val="24"/>
          <w:szCs w:val="24"/>
          <w:vertAlign w:val="superscript"/>
        </w:rPr>
        <w:footnoteReference w:id="8"/>
      </w:r>
      <w:r>
        <w:rPr>
          <w:sz w:val="24"/>
          <w:szCs w:val="24"/>
        </w:rPr>
        <w:t>, 1,030 petitions to apply detention as a preventative measure were approved in 2021. This was a falling trend in comparison to previous years (see Figure 1). However, figures from the Supreme Judicial Council shared by EVN Report, an independent, non-profit Yerevan based magazine, suggest an increased usage of pre-trial detention from 2021 to 2022</w:t>
      </w:r>
      <w:r>
        <w:rPr>
          <w:sz w:val="24"/>
          <w:szCs w:val="24"/>
          <w:vertAlign w:val="superscript"/>
        </w:rPr>
        <w:t>3</w:t>
      </w:r>
      <w:r>
        <w:rPr>
          <w:sz w:val="24"/>
          <w:szCs w:val="24"/>
        </w:rPr>
        <w:t>. This is significant as the new reforms were brought into use in 2022. The available data from the first half of 2023 suggests a further rise in the rate of pre-trial detention use, with 1,084 detention orders in the first half of the year. However, we note that such statistics remain unclear and inconsistent, making it difficult to assess the situation at large.</w:t>
      </w:r>
    </w:p>
    <w:p w14:paraId="31BC3E50" w14:textId="77777777" w:rsidR="001F12B0" w:rsidRDefault="00000000">
      <w:pPr>
        <w:spacing w:before="240" w:after="240" w:line="360" w:lineRule="auto"/>
        <w:jc w:val="both"/>
        <w:rPr>
          <w:sz w:val="24"/>
          <w:szCs w:val="24"/>
        </w:rPr>
      </w:pPr>
      <w:r>
        <w:rPr>
          <w:sz w:val="24"/>
          <w:szCs w:val="24"/>
        </w:rPr>
        <w:t>We are seeking statistics that would elucidate the implementation of these reforms, specifically with regards to the approval rate of pretrial detention petitions.</w:t>
      </w:r>
    </w:p>
    <w:p w14:paraId="1DAF5436" w14:textId="77777777" w:rsidR="001F12B0" w:rsidRDefault="00000000">
      <w:pPr>
        <w:spacing w:before="240" w:after="240" w:line="360" w:lineRule="auto"/>
        <w:jc w:val="both"/>
        <w:rPr>
          <w:sz w:val="24"/>
          <w:szCs w:val="24"/>
        </w:rPr>
      </w:pPr>
      <w:r>
        <w:rPr>
          <w:sz w:val="24"/>
          <w:szCs w:val="24"/>
        </w:rPr>
        <w:t>Please note that information regarding 2023 is not included in Figure 1.</w:t>
      </w:r>
    </w:p>
    <w:p w14:paraId="6A3E6A97" w14:textId="77777777" w:rsidR="001F12B0" w:rsidRDefault="00000000">
      <w:pPr>
        <w:spacing w:line="360" w:lineRule="auto"/>
        <w:jc w:val="both"/>
      </w:pPr>
      <w:r>
        <w:rPr>
          <w:noProof/>
        </w:rPr>
        <w:lastRenderedPageBreak/>
        <w:drawing>
          <wp:inline distT="114300" distB="114300" distL="114300" distR="114300" wp14:anchorId="4F0FA1D5" wp14:editId="25C04837">
            <wp:extent cx="5943600" cy="3390900"/>
            <wp:effectExtent l="0" t="0" r="0" b="0"/>
            <wp:docPr id="1" name="image1.png" descr="Points scored"/>
            <wp:cNvGraphicFramePr/>
            <a:graphic xmlns:a="http://schemas.openxmlformats.org/drawingml/2006/main">
              <a:graphicData uri="http://schemas.openxmlformats.org/drawingml/2006/picture">
                <pic:pic xmlns:pic="http://schemas.openxmlformats.org/drawingml/2006/picture">
                  <pic:nvPicPr>
                    <pic:cNvPr id="0" name="image1.png" descr="Points scored"/>
                    <pic:cNvPicPr preferRelativeResize="0"/>
                  </pic:nvPicPr>
                  <pic:blipFill>
                    <a:blip r:embed="rId8"/>
                    <a:srcRect t="4276" b="3478"/>
                    <a:stretch>
                      <a:fillRect/>
                    </a:stretch>
                  </pic:blipFill>
                  <pic:spPr>
                    <a:xfrm>
                      <a:off x="0" y="0"/>
                      <a:ext cx="5943600" cy="3390900"/>
                    </a:xfrm>
                    <a:prstGeom prst="rect">
                      <a:avLst/>
                    </a:prstGeom>
                    <a:ln/>
                  </pic:spPr>
                </pic:pic>
              </a:graphicData>
            </a:graphic>
          </wp:inline>
        </w:drawing>
      </w:r>
      <w:r>
        <w:t>Figure 1</w:t>
      </w:r>
      <w:r>
        <w:rPr>
          <w:vertAlign w:val="superscript"/>
        </w:rPr>
        <w:footnoteReference w:id="9"/>
      </w:r>
    </w:p>
    <w:p w14:paraId="778C0DED" w14:textId="77777777" w:rsidR="001F12B0" w:rsidRDefault="00000000">
      <w:pPr>
        <w:pStyle w:val="Heading3"/>
        <w:spacing w:line="360" w:lineRule="auto"/>
        <w:jc w:val="both"/>
      </w:pPr>
      <w:bookmarkStart w:id="8" w:name="_jp1c05qplqrx" w:colFirst="0" w:colLast="0"/>
      <w:bookmarkEnd w:id="8"/>
      <w:r>
        <w:rPr>
          <w:highlight w:val="white"/>
        </w:rPr>
        <w:t>2.3.1</w:t>
      </w:r>
      <w:r>
        <w:t xml:space="preserve"> Recommended Questions for the State Party</w:t>
      </w:r>
    </w:p>
    <w:p w14:paraId="52FF2C97" w14:textId="77777777" w:rsidR="001F12B0" w:rsidRDefault="00000000">
      <w:pPr>
        <w:numPr>
          <w:ilvl w:val="0"/>
          <w:numId w:val="3"/>
        </w:numPr>
        <w:spacing w:before="240" w:line="360" w:lineRule="auto"/>
        <w:jc w:val="both"/>
        <w:rPr>
          <w:sz w:val="24"/>
          <w:szCs w:val="24"/>
          <w:highlight w:val="white"/>
        </w:rPr>
      </w:pPr>
      <w:r>
        <w:rPr>
          <w:sz w:val="24"/>
          <w:szCs w:val="24"/>
          <w:highlight w:val="white"/>
        </w:rPr>
        <w:t>Would the State Party please provide figures regarding the usage of pre-trial detention and its alternatives to the Committee?</w:t>
      </w:r>
    </w:p>
    <w:p w14:paraId="225E817C" w14:textId="77777777" w:rsidR="001F12B0" w:rsidRDefault="00000000">
      <w:pPr>
        <w:numPr>
          <w:ilvl w:val="0"/>
          <w:numId w:val="3"/>
        </w:numPr>
        <w:pBdr>
          <w:top w:val="nil"/>
          <w:left w:val="nil"/>
          <w:bottom w:val="nil"/>
          <w:right w:val="nil"/>
          <w:between w:val="nil"/>
        </w:pBdr>
        <w:spacing w:line="360" w:lineRule="auto"/>
        <w:jc w:val="both"/>
        <w:rPr>
          <w:sz w:val="24"/>
          <w:szCs w:val="24"/>
          <w:highlight w:val="white"/>
        </w:rPr>
      </w:pPr>
      <w:r>
        <w:rPr>
          <w:sz w:val="24"/>
          <w:szCs w:val="24"/>
          <w:highlight w:val="white"/>
        </w:rPr>
        <w:t>What action is the State Party taking to make data, regarding the detention status of all people in State custody, publicly available?</w:t>
      </w:r>
    </w:p>
    <w:p w14:paraId="1E9A49B7" w14:textId="77777777" w:rsidR="001F12B0" w:rsidRDefault="00000000">
      <w:pPr>
        <w:numPr>
          <w:ilvl w:val="0"/>
          <w:numId w:val="3"/>
        </w:numPr>
        <w:pBdr>
          <w:top w:val="nil"/>
          <w:left w:val="nil"/>
          <w:bottom w:val="nil"/>
          <w:right w:val="nil"/>
          <w:between w:val="nil"/>
        </w:pBdr>
        <w:spacing w:line="360" w:lineRule="auto"/>
        <w:jc w:val="both"/>
        <w:rPr>
          <w:sz w:val="24"/>
          <w:szCs w:val="24"/>
          <w:highlight w:val="white"/>
        </w:rPr>
      </w:pPr>
      <w:r>
        <w:rPr>
          <w:sz w:val="24"/>
          <w:szCs w:val="24"/>
          <w:highlight w:val="white"/>
        </w:rPr>
        <w:t>Would the State Party please provide an explanation for the inconsistencies in pre-trial detention statistics?</w:t>
      </w:r>
    </w:p>
    <w:p w14:paraId="200AB8E4" w14:textId="77777777" w:rsidR="001F12B0" w:rsidRDefault="00000000">
      <w:pPr>
        <w:numPr>
          <w:ilvl w:val="0"/>
          <w:numId w:val="3"/>
        </w:numPr>
        <w:pBdr>
          <w:top w:val="nil"/>
          <w:left w:val="nil"/>
          <w:bottom w:val="nil"/>
          <w:right w:val="nil"/>
          <w:between w:val="nil"/>
        </w:pBdr>
        <w:spacing w:line="360" w:lineRule="auto"/>
        <w:jc w:val="both"/>
        <w:rPr>
          <w:sz w:val="24"/>
          <w:szCs w:val="24"/>
          <w:highlight w:val="white"/>
        </w:rPr>
      </w:pPr>
      <w:r>
        <w:rPr>
          <w:sz w:val="24"/>
          <w:szCs w:val="24"/>
          <w:highlight w:val="white"/>
        </w:rPr>
        <w:t>Would the State Party please provide the approval rates for pretrial detention requests for 2023 and 2024?</w:t>
      </w:r>
    </w:p>
    <w:p w14:paraId="5663BA46" w14:textId="77777777" w:rsidR="001F12B0" w:rsidRDefault="00000000">
      <w:pPr>
        <w:numPr>
          <w:ilvl w:val="0"/>
          <w:numId w:val="3"/>
        </w:numPr>
        <w:pBdr>
          <w:top w:val="nil"/>
          <w:left w:val="nil"/>
          <w:bottom w:val="nil"/>
          <w:right w:val="nil"/>
          <w:between w:val="nil"/>
        </w:pBdr>
        <w:spacing w:after="240" w:line="360" w:lineRule="auto"/>
        <w:jc w:val="both"/>
        <w:rPr>
          <w:sz w:val="24"/>
          <w:szCs w:val="24"/>
          <w:highlight w:val="white"/>
        </w:rPr>
      </w:pPr>
      <w:r>
        <w:rPr>
          <w:sz w:val="24"/>
          <w:szCs w:val="24"/>
          <w:highlight w:val="white"/>
        </w:rPr>
        <w:t>How is the State Party collecting data to evaluate the implementation of judicial reform?</w:t>
      </w:r>
    </w:p>
    <w:p w14:paraId="4AEDF927" w14:textId="77777777" w:rsidR="001F12B0" w:rsidRDefault="001F12B0">
      <w:pPr>
        <w:pBdr>
          <w:top w:val="nil"/>
          <w:left w:val="nil"/>
          <w:bottom w:val="nil"/>
          <w:right w:val="nil"/>
          <w:between w:val="nil"/>
        </w:pBdr>
        <w:spacing w:before="240" w:after="240" w:line="360" w:lineRule="auto"/>
        <w:jc w:val="both"/>
        <w:rPr>
          <w:sz w:val="24"/>
          <w:szCs w:val="24"/>
          <w:highlight w:val="white"/>
        </w:rPr>
      </w:pPr>
    </w:p>
    <w:p w14:paraId="267C3253" w14:textId="77777777" w:rsidR="001F12B0" w:rsidRDefault="00000000">
      <w:pPr>
        <w:pStyle w:val="Heading2"/>
      </w:pPr>
      <w:bookmarkStart w:id="9" w:name="_e5r78ssh38sn" w:colFirst="0" w:colLast="0"/>
      <w:bookmarkEnd w:id="9"/>
      <w:r>
        <w:t>3.     Measures to prevent excessive use of force and ill-treatment by police</w:t>
      </w:r>
    </w:p>
    <w:p w14:paraId="05A355E0" w14:textId="56F2544A" w:rsidR="001F12B0" w:rsidRDefault="00000000">
      <w:pPr>
        <w:spacing w:before="240" w:after="240" w:line="360" w:lineRule="auto"/>
        <w:jc w:val="both"/>
        <w:rPr>
          <w:b/>
          <w:i/>
          <w:sz w:val="24"/>
          <w:szCs w:val="24"/>
          <w:highlight w:val="white"/>
        </w:rPr>
      </w:pPr>
      <w:r>
        <w:rPr>
          <w:sz w:val="24"/>
          <w:szCs w:val="24"/>
          <w:highlight w:val="white"/>
        </w:rPr>
        <w:t xml:space="preserve">In their 2016 Concluding Observations, the Committee called on the State Party to ensure that ‘prompt, impartial and effective investigations’ are undertaken into all allegations of excessive use of force by police. Since 2016, there have been several incidents of excessive use of force by police during demonstrations that have led to calls for further investigations into police conduct. Most recently, the use of </w:t>
      </w:r>
      <w:r w:rsidR="00250567">
        <w:rPr>
          <w:sz w:val="24"/>
          <w:szCs w:val="24"/>
          <w:highlight w:val="white"/>
        </w:rPr>
        <w:t>unauthorized</w:t>
      </w:r>
      <w:r>
        <w:rPr>
          <w:sz w:val="24"/>
          <w:szCs w:val="24"/>
          <w:highlight w:val="white"/>
        </w:rPr>
        <w:t xml:space="preserve"> Zarya-3 stun grenades during the June 12th 2024 demonstrations resulted in several people attending hospital due to shrapnel wounds</w:t>
      </w:r>
      <w:r>
        <w:rPr>
          <w:sz w:val="24"/>
          <w:szCs w:val="24"/>
          <w:highlight w:val="white"/>
          <w:vertAlign w:val="superscript"/>
        </w:rPr>
        <w:footnoteReference w:id="10"/>
      </w:r>
      <w:r>
        <w:rPr>
          <w:sz w:val="24"/>
          <w:szCs w:val="24"/>
          <w:highlight w:val="white"/>
        </w:rPr>
        <w:t>. Poor crowd control has led to serious health implications for demonstrators, and reported injuries include concussion, leg contusion, and amputation. The actions of the Police Guards on June 12th and their aftermath underscore ongoing issues with a culture of excessive use of force by police and impunity of police officers. By allowing impunity of police officers, efforts to address patterns of abuse fall short and limited advancements can be made to provide redress for victims of abuse.</w:t>
      </w:r>
    </w:p>
    <w:p w14:paraId="66221CEF" w14:textId="77777777" w:rsidR="001F12B0" w:rsidRDefault="00000000">
      <w:pPr>
        <w:pStyle w:val="Heading3"/>
      </w:pPr>
      <w:bookmarkStart w:id="10" w:name="_lmmwkjrl2qmf" w:colFirst="0" w:colLast="0"/>
      <w:bookmarkEnd w:id="10"/>
      <w:r>
        <w:t>3.1 Impunity of Police Guard</w:t>
      </w:r>
    </w:p>
    <w:p w14:paraId="45BCDD42" w14:textId="77777777" w:rsidR="001F12B0" w:rsidRDefault="00000000">
      <w:pPr>
        <w:spacing w:before="240" w:after="240" w:line="360" w:lineRule="auto"/>
        <w:jc w:val="both"/>
        <w:rPr>
          <w:sz w:val="24"/>
          <w:szCs w:val="24"/>
          <w:highlight w:val="white"/>
        </w:rPr>
      </w:pPr>
      <w:r>
        <w:rPr>
          <w:sz w:val="24"/>
          <w:szCs w:val="24"/>
          <w:highlight w:val="white"/>
        </w:rPr>
        <w:t>The recorded use of police force in street-based demonstrations has raised concerns around the capacity of the police guard to manage demonstrations in compliance with the Convention, including the obligations to prevent ill-treatment (Article 16)</w:t>
      </w:r>
      <w:r>
        <w:rPr>
          <w:sz w:val="24"/>
          <w:szCs w:val="24"/>
          <w:highlight w:val="white"/>
          <w:vertAlign w:val="superscript"/>
        </w:rPr>
        <w:footnoteReference w:id="11"/>
      </w:r>
      <w:r>
        <w:rPr>
          <w:sz w:val="24"/>
          <w:szCs w:val="24"/>
          <w:highlight w:val="white"/>
        </w:rPr>
        <w:t xml:space="preserve"> </w:t>
      </w:r>
      <w:r>
        <w:rPr>
          <w:sz w:val="24"/>
          <w:szCs w:val="24"/>
          <w:highlight w:val="white"/>
          <w:vertAlign w:val="superscript"/>
        </w:rPr>
        <w:footnoteReference w:id="12"/>
      </w:r>
      <w:r>
        <w:rPr>
          <w:sz w:val="24"/>
          <w:szCs w:val="24"/>
          <w:highlight w:val="white"/>
        </w:rPr>
        <w:t>. The Armenian Bar Association expressed a concern over the reports of excessive use of force used by police against the demonstrators in June 2024</w:t>
      </w:r>
      <w:r>
        <w:rPr>
          <w:sz w:val="24"/>
          <w:szCs w:val="24"/>
          <w:highlight w:val="white"/>
          <w:vertAlign w:val="superscript"/>
        </w:rPr>
        <w:footnoteReference w:id="13"/>
      </w:r>
      <w:r>
        <w:rPr>
          <w:sz w:val="24"/>
          <w:szCs w:val="24"/>
          <w:highlight w:val="white"/>
        </w:rPr>
        <w:t xml:space="preserve">. Despite the adoption of the </w:t>
      </w:r>
      <w:r>
        <w:rPr>
          <w:sz w:val="24"/>
          <w:szCs w:val="24"/>
          <w:highlight w:val="white"/>
        </w:rPr>
        <w:lastRenderedPageBreak/>
        <w:t>legislative October 2024 package, the Law on Police Guards, which seeks to better enable police guards to maintain public order and protect citizens’ to freely participate in demonstrations</w:t>
      </w:r>
      <w:r>
        <w:rPr>
          <w:sz w:val="24"/>
          <w:szCs w:val="24"/>
          <w:highlight w:val="white"/>
          <w:vertAlign w:val="superscript"/>
        </w:rPr>
        <w:footnoteReference w:id="14"/>
      </w:r>
      <w:r>
        <w:rPr>
          <w:sz w:val="24"/>
          <w:szCs w:val="24"/>
          <w:highlight w:val="white"/>
        </w:rPr>
        <w:t>, concern around the implementation of these laws remains. The CSO Meter 2023 Armenia Country Report</w:t>
      </w:r>
      <w:r>
        <w:rPr>
          <w:sz w:val="24"/>
          <w:szCs w:val="24"/>
          <w:highlight w:val="white"/>
          <w:vertAlign w:val="superscript"/>
        </w:rPr>
        <w:footnoteReference w:id="15"/>
      </w:r>
      <w:r>
        <w:rPr>
          <w:sz w:val="24"/>
          <w:szCs w:val="24"/>
          <w:highlight w:val="white"/>
        </w:rPr>
        <w:t xml:space="preserve"> highlights that no police officers were charged or held accountable for incidents involving excessive use of force in 2022, even in cases where the violence was captured on camera. Furthermore, The Human Rights Defender (HRD) of Armenia</w:t>
      </w:r>
      <w:r>
        <w:rPr>
          <w:sz w:val="24"/>
          <w:szCs w:val="24"/>
          <w:highlight w:val="white"/>
          <w:vertAlign w:val="superscript"/>
        </w:rPr>
        <w:footnoteReference w:id="16"/>
      </w:r>
      <w:r>
        <w:rPr>
          <w:sz w:val="24"/>
          <w:szCs w:val="24"/>
          <w:highlight w:val="white"/>
        </w:rPr>
        <w:t xml:space="preserve"> reported identifying several unlawful actions during their monitoring activities. Notably, they documented instances where use of force was used against individuals who were already under police control</w:t>
      </w:r>
      <w:r>
        <w:rPr>
          <w:sz w:val="24"/>
          <w:szCs w:val="24"/>
          <w:highlight w:val="white"/>
          <w:vertAlign w:val="superscript"/>
        </w:rPr>
        <w:t>17, 19</w:t>
      </w:r>
      <w:r>
        <w:rPr>
          <w:sz w:val="24"/>
          <w:szCs w:val="24"/>
          <w:highlight w:val="white"/>
        </w:rPr>
        <w:t>. Only one perpetrator has faced consequences</w:t>
      </w:r>
      <w:r>
        <w:rPr>
          <w:sz w:val="24"/>
          <w:szCs w:val="24"/>
          <w:highlight w:val="white"/>
          <w:vertAlign w:val="superscript"/>
        </w:rPr>
        <w:footnoteReference w:id="17"/>
      </w:r>
      <w:r>
        <w:rPr>
          <w:sz w:val="24"/>
          <w:szCs w:val="24"/>
          <w:highlight w:val="white"/>
        </w:rPr>
        <w:t>, pushing civil society to call for more transparency to allow for monitoring of cases. A lack of accountability for the numerous instances of excessive use of force and ill-treatment undermines the recent reforms, erodes the public’s trust in police, and deters civil society from collaborating on changes</w:t>
      </w:r>
      <w:r>
        <w:rPr>
          <w:sz w:val="24"/>
          <w:szCs w:val="24"/>
          <w:highlight w:val="white"/>
          <w:vertAlign w:val="superscript"/>
        </w:rPr>
        <w:footnoteReference w:id="18"/>
      </w:r>
      <w:r>
        <w:rPr>
          <w:sz w:val="24"/>
          <w:szCs w:val="24"/>
          <w:highlight w:val="white"/>
        </w:rPr>
        <w:t>.</w:t>
      </w:r>
    </w:p>
    <w:p w14:paraId="7980FE0C" w14:textId="77777777" w:rsidR="001F12B0" w:rsidRDefault="00000000">
      <w:pPr>
        <w:pStyle w:val="Heading3"/>
        <w:rPr>
          <w:highlight w:val="white"/>
        </w:rPr>
      </w:pPr>
      <w:bookmarkStart w:id="11" w:name="_gv5tv2xx6oxq" w:colFirst="0" w:colLast="0"/>
      <w:bookmarkEnd w:id="11"/>
      <w:r>
        <w:t>3.1.1 Recommended Questions for the State Party</w:t>
      </w:r>
    </w:p>
    <w:p w14:paraId="649F00BA" w14:textId="77777777" w:rsidR="001F12B0" w:rsidRDefault="00000000">
      <w:pPr>
        <w:numPr>
          <w:ilvl w:val="0"/>
          <w:numId w:val="1"/>
        </w:numPr>
        <w:spacing w:before="240" w:line="360" w:lineRule="auto"/>
        <w:jc w:val="both"/>
        <w:rPr>
          <w:sz w:val="24"/>
          <w:szCs w:val="24"/>
          <w:highlight w:val="white"/>
        </w:rPr>
      </w:pPr>
      <w:r>
        <w:rPr>
          <w:sz w:val="24"/>
          <w:szCs w:val="24"/>
          <w:highlight w:val="white"/>
        </w:rPr>
        <w:t>Has the State Party conducted thorough and impartial investigations into the mentioned reported incidents of excessive use of force and ill-treatment by the police? If so, what was the outcome?</w:t>
      </w:r>
    </w:p>
    <w:p w14:paraId="42EBCED7" w14:textId="77777777" w:rsidR="001F12B0" w:rsidRDefault="00000000">
      <w:pPr>
        <w:numPr>
          <w:ilvl w:val="0"/>
          <w:numId w:val="1"/>
        </w:numPr>
        <w:spacing w:line="360" w:lineRule="auto"/>
        <w:jc w:val="both"/>
        <w:rPr>
          <w:sz w:val="24"/>
          <w:szCs w:val="24"/>
          <w:highlight w:val="white"/>
        </w:rPr>
      </w:pPr>
      <w:r>
        <w:rPr>
          <w:sz w:val="24"/>
          <w:szCs w:val="24"/>
          <w:highlight w:val="white"/>
        </w:rPr>
        <w:t>How does the new Law on Police Guards enhance accountability for police officers suspected of using excessive force and ill-treatment, including through conducting timely, impartial and comprehensive investigations and ensuring proportionate consequences?</w:t>
      </w:r>
    </w:p>
    <w:p w14:paraId="6B6ADDD4" w14:textId="77777777" w:rsidR="001F12B0" w:rsidRDefault="00000000">
      <w:pPr>
        <w:numPr>
          <w:ilvl w:val="0"/>
          <w:numId w:val="1"/>
        </w:numPr>
        <w:spacing w:line="360" w:lineRule="auto"/>
        <w:jc w:val="both"/>
        <w:rPr>
          <w:sz w:val="24"/>
          <w:szCs w:val="24"/>
          <w:highlight w:val="white"/>
        </w:rPr>
      </w:pPr>
      <w:r>
        <w:rPr>
          <w:sz w:val="24"/>
          <w:szCs w:val="24"/>
          <w:highlight w:val="white"/>
        </w:rPr>
        <w:lastRenderedPageBreak/>
        <w:t>Does the State Party intend to investigate claims made by the Human Rights Defender of Armenia, that disproportionate uses of force have been documented against individuals already under police control?</w:t>
      </w:r>
    </w:p>
    <w:p w14:paraId="7DCCF20B" w14:textId="77777777" w:rsidR="001F12B0" w:rsidRDefault="00000000">
      <w:pPr>
        <w:numPr>
          <w:ilvl w:val="0"/>
          <w:numId w:val="1"/>
        </w:numPr>
        <w:spacing w:after="240" w:line="360" w:lineRule="auto"/>
        <w:jc w:val="both"/>
        <w:rPr>
          <w:sz w:val="24"/>
          <w:szCs w:val="24"/>
          <w:highlight w:val="white"/>
        </w:rPr>
      </w:pPr>
      <w:r>
        <w:rPr>
          <w:sz w:val="24"/>
          <w:szCs w:val="24"/>
          <w:highlight w:val="white"/>
        </w:rPr>
        <w:t>How will the State party ensure that measures taken to sanction excessive use of force by the police become known to the public?</w:t>
      </w:r>
    </w:p>
    <w:p w14:paraId="3A6E7CB8" w14:textId="77777777" w:rsidR="001F12B0" w:rsidRDefault="00000000">
      <w:pPr>
        <w:pStyle w:val="Heading3"/>
      </w:pPr>
      <w:bookmarkStart w:id="12" w:name="_8clmre62wuin" w:colFirst="0" w:colLast="0"/>
      <w:bookmarkEnd w:id="12"/>
      <w:r>
        <w:t>3.2 Independent Monitoring of Police Guard</w:t>
      </w:r>
    </w:p>
    <w:p w14:paraId="3BB367E6" w14:textId="2FF34D92" w:rsidR="001F12B0" w:rsidRDefault="00000000">
      <w:pPr>
        <w:spacing w:before="240" w:after="240" w:line="360" w:lineRule="auto"/>
        <w:jc w:val="both"/>
        <w:rPr>
          <w:sz w:val="24"/>
          <w:szCs w:val="24"/>
          <w:highlight w:val="white"/>
        </w:rPr>
      </w:pPr>
      <w:r>
        <w:rPr>
          <w:sz w:val="24"/>
          <w:szCs w:val="24"/>
          <w:highlight w:val="white"/>
        </w:rPr>
        <w:t>Independent monitoring of the police may be a cornerstone in the prevention of the use of excessive force, ill-treatment, and even torture by the police. Concerningly, reports that deployment of the Zarya-3 grenades used during the June 2024 demonstrations was targeted towards journalists have not been investigated</w:t>
      </w:r>
      <w:r>
        <w:rPr>
          <w:sz w:val="24"/>
          <w:szCs w:val="24"/>
          <w:highlight w:val="white"/>
          <w:vertAlign w:val="superscript"/>
        </w:rPr>
        <w:footnoteReference w:id="19"/>
      </w:r>
      <w:r>
        <w:rPr>
          <w:sz w:val="24"/>
          <w:szCs w:val="24"/>
          <w:highlight w:val="white"/>
        </w:rPr>
        <w:t xml:space="preserve"> </w:t>
      </w:r>
      <w:r>
        <w:rPr>
          <w:sz w:val="24"/>
          <w:szCs w:val="24"/>
          <w:highlight w:val="white"/>
          <w:vertAlign w:val="superscript"/>
        </w:rPr>
        <w:footnoteReference w:id="20"/>
      </w:r>
      <w:r>
        <w:rPr>
          <w:sz w:val="24"/>
          <w:szCs w:val="24"/>
          <w:highlight w:val="white"/>
        </w:rPr>
        <w:t xml:space="preserve">. The lack of an independent police monitoring body obscures the decision making process with regards to the post-use </w:t>
      </w:r>
      <w:r w:rsidR="00250567">
        <w:rPr>
          <w:sz w:val="24"/>
          <w:szCs w:val="24"/>
          <w:highlight w:val="white"/>
        </w:rPr>
        <w:t>authorization</w:t>
      </w:r>
      <w:r>
        <w:rPr>
          <w:sz w:val="24"/>
          <w:szCs w:val="24"/>
          <w:highlight w:val="white"/>
        </w:rPr>
        <w:t xml:space="preserve"> of the Zarya-3 stun grenade, whose use resulted in civilian injury and may have been targeted deployment against a particular group. Lack of investigation and accountability for the police officers responsible for these alleged abuses calls into question the impartiality of the Ministry of Justice and Ministry of Internal affairs, emphasizing the need for an independent monitoring body.</w:t>
      </w:r>
    </w:p>
    <w:p w14:paraId="6CA5C036" w14:textId="77777777" w:rsidR="001F12B0" w:rsidRDefault="00000000">
      <w:pPr>
        <w:pStyle w:val="Heading3"/>
        <w:spacing w:before="240" w:after="240" w:line="360" w:lineRule="auto"/>
        <w:jc w:val="both"/>
      </w:pPr>
      <w:bookmarkStart w:id="13" w:name="_5lmsjlr6yy4" w:colFirst="0" w:colLast="0"/>
      <w:bookmarkEnd w:id="13"/>
      <w:r>
        <w:t>3.2.1 Recommended Questions for the State Party</w:t>
      </w:r>
    </w:p>
    <w:p w14:paraId="2DCBD9C5" w14:textId="77777777" w:rsidR="001F12B0" w:rsidRDefault="00000000">
      <w:pPr>
        <w:numPr>
          <w:ilvl w:val="0"/>
          <w:numId w:val="4"/>
        </w:numPr>
        <w:spacing w:before="240" w:line="360" w:lineRule="auto"/>
        <w:jc w:val="both"/>
        <w:rPr>
          <w:color w:val="000000"/>
          <w:highlight w:val="white"/>
        </w:rPr>
      </w:pPr>
      <w:r>
        <w:rPr>
          <w:sz w:val="24"/>
          <w:szCs w:val="24"/>
          <w:highlight w:val="white"/>
        </w:rPr>
        <w:t>Does the State Party intend to establish an independent monitoring body of the police?</w:t>
      </w:r>
    </w:p>
    <w:p w14:paraId="006E21AD" w14:textId="4ADD3EDD" w:rsidR="001F12B0" w:rsidRDefault="00000000">
      <w:pPr>
        <w:numPr>
          <w:ilvl w:val="0"/>
          <w:numId w:val="4"/>
        </w:numPr>
        <w:spacing w:after="240" w:line="360" w:lineRule="auto"/>
        <w:jc w:val="both"/>
        <w:rPr>
          <w:color w:val="000000"/>
          <w:highlight w:val="white"/>
        </w:rPr>
      </w:pPr>
      <w:r>
        <w:rPr>
          <w:sz w:val="24"/>
          <w:szCs w:val="24"/>
          <w:highlight w:val="white"/>
        </w:rPr>
        <w:t xml:space="preserve">Does the State Party intend to investigate the above claims that journalists were targeted with </w:t>
      </w:r>
      <w:r w:rsidR="00250567">
        <w:rPr>
          <w:sz w:val="24"/>
          <w:szCs w:val="24"/>
          <w:highlight w:val="white"/>
        </w:rPr>
        <w:t>unauthorized</w:t>
      </w:r>
      <w:r>
        <w:rPr>
          <w:sz w:val="24"/>
          <w:szCs w:val="24"/>
          <w:highlight w:val="white"/>
        </w:rPr>
        <w:t xml:space="preserve"> grenades, causing serious bodily injury, during the June 2024 demonstrations?</w:t>
      </w:r>
    </w:p>
    <w:p w14:paraId="1C0EABC9" w14:textId="77777777" w:rsidR="001F12B0" w:rsidRDefault="00000000">
      <w:pPr>
        <w:pStyle w:val="Heading3"/>
      </w:pPr>
      <w:bookmarkStart w:id="14" w:name="_xmbv5kf5njj6" w:colFirst="0" w:colLast="0"/>
      <w:bookmarkEnd w:id="14"/>
      <w:r>
        <w:lastRenderedPageBreak/>
        <w:t>3.3 Police Guard Training</w:t>
      </w:r>
    </w:p>
    <w:p w14:paraId="79E111DD" w14:textId="77777777" w:rsidR="001F12B0" w:rsidRDefault="00000000">
      <w:pPr>
        <w:spacing w:before="240" w:after="240" w:line="360" w:lineRule="auto"/>
        <w:jc w:val="both"/>
        <w:rPr>
          <w:sz w:val="24"/>
          <w:szCs w:val="24"/>
          <w:highlight w:val="white"/>
        </w:rPr>
      </w:pPr>
      <w:r>
        <w:rPr>
          <w:sz w:val="24"/>
          <w:szCs w:val="24"/>
          <w:highlight w:val="white"/>
        </w:rPr>
        <w:t>Adequate training of the Police Guard is vital to managing long standing concerns around excessive use of police force, and Article 10 of the Convention mandates that the State provides education and information to law enforcement regarding the prohibition of torture and ill-treatment. In their 2016 Concluding Observations, the Committee called on the State Party to ensure that law enforcement officers receive systematic training on the use of force. To this end, the new legislative package passed in October 2024, Law on Police Guards, establishes a revised Police Guard with stated intentions to provide a “new standard in terms of the use of force by the police system” and a “retraining process”</w:t>
      </w:r>
      <w:r>
        <w:rPr>
          <w:sz w:val="24"/>
          <w:szCs w:val="24"/>
          <w:highlight w:val="white"/>
          <w:vertAlign w:val="superscript"/>
        </w:rPr>
        <w:footnoteReference w:id="21"/>
      </w:r>
      <w:r>
        <w:rPr>
          <w:sz w:val="24"/>
          <w:szCs w:val="24"/>
          <w:highlight w:val="white"/>
          <w:vertAlign w:val="superscript"/>
        </w:rPr>
        <w:t xml:space="preserve"> </w:t>
      </w:r>
      <w:r>
        <w:rPr>
          <w:sz w:val="24"/>
          <w:szCs w:val="24"/>
          <w:highlight w:val="white"/>
          <w:vertAlign w:val="superscript"/>
        </w:rPr>
        <w:footnoteReference w:id="22"/>
      </w:r>
      <w:r>
        <w:rPr>
          <w:sz w:val="24"/>
          <w:szCs w:val="24"/>
          <w:highlight w:val="white"/>
        </w:rPr>
        <w:t>. Although the new laws will come into action in late 2025, the State Party’s obligation to prevent abuse and ill treatment by law enforcement officers mandates action in the meantime and prompts careful consideration of the contents of the new Police reforms. Although police trainings take place, key information remains unclear including the scope of such trainings, timelines, and intended purposes, particularly in relation to the aforementioned issues of excessive use of force and impunity.</w:t>
      </w:r>
    </w:p>
    <w:p w14:paraId="4A773A71" w14:textId="77777777" w:rsidR="001F12B0" w:rsidRDefault="00000000">
      <w:pPr>
        <w:pStyle w:val="Heading3"/>
        <w:spacing w:before="240" w:after="240" w:line="360" w:lineRule="auto"/>
        <w:jc w:val="both"/>
      </w:pPr>
      <w:bookmarkStart w:id="15" w:name="_94jbdi91xjz2" w:colFirst="0" w:colLast="0"/>
      <w:bookmarkEnd w:id="15"/>
      <w:r>
        <w:t>3.3.1 Recommended Questions for the State Party</w:t>
      </w:r>
    </w:p>
    <w:p w14:paraId="5B09D98A" w14:textId="77777777" w:rsidR="001F12B0" w:rsidRDefault="00000000">
      <w:pPr>
        <w:numPr>
          <w:ilvl w:val="0"/>
          <w:numId w:val="3"/>
        </w:numPr>
        <w:pBdr>
          <w:top w:val="nil"/>
          <w:left w:val="nil"/>
          <w:bottom w:val="nil"/>
          <w:right w:val="nil"/>
          <w:between w:val="nil"/>
        </w:pBdr>
        <w:spacing w:before="240" w:line="360" w:lineRule="auto"/>
        <w:rPr>
          <w:sz w:val="24"/>
          <w:szCs w:val="24"/>
          <w:highlight w:val="white"/>
        </w:rPr>
      </w:pPr>
      <w:r>
        <w:rPr>
          <w:sz w:val="24"/>
          <w:szCs w:val="24"/>
          <w:highlight w:val="white"/>
        </w:rPr>
        <w:t xml:space="preserve">Please provide to the Committee details of what the training programs entail, specifically with regards to proportionate methods of crowd control.  </w:t>
      </w:r>
    </w:p>
    <w:p w14:paraId="23EB70D4" w14:textId="77777777" w:rsidR="001F12B0" w:rsidRDefault="00000000">
      <w:pPr>
        <w:numPr>
          <w:ilvl w:val="0"/>
          <w:numId w:val="3"/>
        </w:numPr>
        <w:pBdr>
          <w:top w:val="nil"/>
          <w:left w:val="nil"/>
          <w:bottom w:val="nil"/>
          <w:right w:val="nil"/>
          <w:between w:val="nil"/>
        </w:pBdr>
        <w:spacing w:after="240" w:line="360" w:lineRule="auto"/>
        <w:rPr>
          <w:sz w:val="24"/>
          <w:szCs w:val="24"/>
          <w:highlight w:val="white"/>
        </w:rPr>
      </w:pPr>
      <w:r>
        <w:rPr>
          <w:sz w:val="24"/>
          <w:szCs w:val="24"/>
          <w:highlight w:val="white"/>
        </w:rPr>
        <w:t>How will the newly established mandatory training on the use of extraordinary measures safeguard against the use of excessive force during demonstrations?</w:t>
      </w:r>
    </w:p>
    <w:p w14:paraId="1A544BDC" w14:textId="77777777" w:rsidR="001F12B0" w:rsidRDefault="00000000">
      <w:pPr>
        <w:pStyle w:val="Heading3"/>
        <w:spacing w:before="240" w:after="240" w:line="360" w:lineRule="auto"/>
        <w:jc w:val="both"/>
      </w:pPr>
      <w:bookmarkStart w:id="16" w:name="_5fxv3tfu3x6n" w:colFirst="0" w:colLast="0"/>
      <w:bookmarkEnd w:id="16"/>
      <w:r>
        <w:t>3.4 The Use of Audio-Video Recording by Police</w:t>
      </w:r>
    </w:p>
    <w:p w14:paraId="2EEEFE68" w14:textId="77777777" w:rsidR="001F12B0" w:rsidRDefault="00000000">
      <w:pPr>
        <w:spacing w:line="360" w:lineRule="auto"/>
        <w:jc w:val="both"/>
        <w:rPr>
          <w:sz w:val="24"/>
          <w:szCs w:val="24"/>
          <w:highlight w:val="white"/>
        </w:rPr>
      </w:pPr>
      <w:r>
        <w:rPr>
          <w:sz w:val="24"/>
          <w:szCs w:val="24"/>
          <w:highlight w:val="white"/>
        </w:rPr>
        <w:t xml:space="preserve">Audio-video recording </w:t>
      </w:r>
      <w:r>
        <w:rPr>
          <w:sz w:val="24"/>
          <w:szCs w:val="24"/>
        </w:rPr>
        <w:t>in police establishments</w:t>
      </w:r>
      <w:r>
        <w:rPr>
          <w:sz w:val="24"/>
          <w:szCs w:val="24"/>
          <w:highlight w:val="white"/>
        </w:rPr>
        <w:t xml:space="preserve"> is a key legal safeguard, and in ensuring authentic records, particularly to facilitate investigations of allegations of ill-treatment</w:t>
      </w:r>
      <w:r>
        <w:rPr>
          <w:sz w:val="24"/>
          <w:szCs w:val="24"/>
          <w:highlight w:val="white"/>
          <w:vertAlign w:val="superscript"/>
        </w:rPr>
        <w:footnoteReference w:id="23"/>
      </w:r>
      <w:r>
        <w:rPr>
          <w:sz w:val="24"/>
          <w:szCs w:val="24"/>
          <w:highlight w:val="white"/>
        </w:rPr>
        <w:t xml:space="preserve">. </w:t>
      </w:r>
      <w:r>
        <w:rPr>
          <w:sz w:val="24"/>
          <w:szCs w:val="24"/>
          <w:highlight w:val="white"/>
        </w:rPr>
        <w:lastRenderedPageBreak/>
        <w:t>Key legal safeguards guide authorities to reduce the risk of ill-treatment and torture</w:t>
      </w:r>
      <w:r>
        <w:rPr>
          <w:sz w:val="24"/>
          <w:szCs w:val="24"/>
          <w:highlight w:val="white"/>
          <w:vertAlign w:val="superscript"/>
        </w:rPr>
        <w:footnoteReference w:id="24"/>
      </w:r>
      <w:r>
        <w:rPr>
          <w:sz w:val="24"/>
          <w:szCs w:val="24"/>
          <w:highlight w:val="white"/>
        </w:rPr>
        <w:t>, and are legislatively enforceable in Armenia through the amendments to the Criminal Procedure Code (2022)</w:t>
      </w:r>
      <w:r>
        <w:rPr>
          <w:sz w:val="24"/>
          <w:szCs w:val="24"/>
          <w:highlight w:val="white"/>
          <w:vertAlign w:val="superscript"/>
        </w:rPr>
        <w:footnoteReference w:id="25"/>
      </w:r>
      <w:r>
        <w:rPr>
          <w:sz w:val="24"/>
          <w:szCs w:val="24"/>
          <w:highlight w:val="white"/>
        </w:rPr>
        <w:t>. According to Article 5.1 of the Law of the Republic of Armenia</w:t>
      </w:r>
      <w:r>
        <w:rPr>
          <w:sz w:val="24"/>
          <w:szCs w:val="24"/>
          <w:highlight w:val="white"/>
          <w:vertAlign w:val="superscript"/>
        </w:rPr>
        <w:footnoteReference w:id="26"/>
      </w:r>
      <w:r>
        <w:rPr>
          <w:sz w:val="24"/>
          <w:szCs w:val="24"/>
          <w:highlight w:val="white"/>
        </w:rPr>
        <w:t>, police units should now be fully equipped with audio and video devices as they were to be implemented within three years following the entry into force of the Law, 27 December 2019. In its September 2023 visit to the State, the CPT found that audio and video recording is not used by operational (plainclothes) police officers</w:t>
      </w:r>
      <w:r>
        <w:rPr>
          <w:sz w:val="24"/>
          <w:szCs w:val="24"/>
          <w:highlight w:val="white"/>
          <w:vertAlign w:val="superscript"/>
        </w:rPr>
        <w:footnoteReference w:id="27"/>
      </w:r>
      <w:r>
        <w:rPr>
          <w:sz w:val="24"/>
          <w:szCs w:val="24"/>
          <w:highlight w:val="white"/>
        </w:rPr>
        <w:t>. In the State’s response to the report, on November 13th 2024, they state that audio and video recording is not required when operational intelligence measures and secret investigative actions are carried out</w:t>
      </w:r>
      <w:r>
        <w:rPr>
          <w:sz w:val="24"/>
          <w:szCs w:val="24"/>
          <w:highlight w:val="white"/>
          <w:vertAlign w:val="superscript"/>
        </w:rPr>
        <w:footnoteReference w:id="28"/>
      </w:r>
      <w:r>
        <w:rPr>
          <w:sz w:val="24"/>
          <w:szCs w:val="24"/>
          <w:highlight w:val="white"/>
        </w:rPr>
        <w:t>. This contradicts the State’s previous plan to equip all police officers with body cams</w:t>
      </w:r>
      <w:r>
        <w:rPr>
          <w:sz w:val="24"/>
          <w:szCs w:val="24"/>
          <w:highlight w:val="white"/>
          <w:vertAlign w:val="superscript"/>
        </w:rPr>
        <w:t>11</w:t>
      </w:r>
      <w:r>
        <w:rPr>
          <w:sz w:val="24"/>
          <w:szCs w:val="24"/>
          <w:highlight w:val="white"/>
        </w:rPr>
        <w:t>, to align with the Criminal Procedure Code</w:t>
      </w:r>
      <w:r>
        <w:rPr>
          <w:sz w:val="24"/>
          <w:szCs w:val="24"/>
          <w:highlight w:val="white"/>
          <w:vertAlign w:val="superscript"/>
        </w:rPr>
        <w:t>13</w:t>
      </w:r>
      <w:r>
        <w:rPr>
          <w:sz w:val="24"/>
          <w:szCs w:val="24"/>
          <w:highlight w:val="white"/>
        </w:rPr>
        <w:t xml:space="preserve"> of audiovisual recording from the moment of the beginning of the investigative action, without interruption.</w:t>
      </w:r>
    </w:p>
    <w:p w14:paraId="21A29A33" w14:textId="77777777" w:rsidR="001F12B0" w:rsidRDefault="00000000">
      <w:pPr>
        <w:pStyle w:val="Heading3"/>
      </w:pPr>
      <w:bookmarkStart w:id="17" w:name="_5j0svbm3yrfb" w:colFirst="0" w:colLast="0"/>
      <w:bookmarkEnd w:id="17"/>
      <w:r>
        <w:t>3.4.1 Recommended Questions for the State Party</w:t>
      </w:r>
    </w:p>
    <w:p w14:paraId="760255C4" w14:textId="77777777" w:rsidR="001F12B0" w:rsidRDefault="00000000">
      <w:pPr>
        <w:numPr>
          <w:ilvl w:val="0"/>
          <w:numId w:val="6"/>
        </w:numPr>
        <w:spacing w:before="240" w:line="360" w:lineRule="auto"/>
        <w:jc w:val="both"/>
        <w:rPr>
          <w:sz w:val="24"/>
          <w:szCs w:val="24"/>
          <w:highlight w:val="white"/>
        </w:rPr>
      </w:pPr>
      <w:r>
        <w:rPr>
          <w:sz w:val="24"/>
          <w:szCs w:val="24"/>
          <w:highlight w:val="white"/>
        </w:rPr>
        <w:t>What percentage of police establishments have been fully equipped with audio and video devices as in accordance with Article 5.1 of the Law?</w:t>
      </w:r>
    </w:p>
    <w:p w14:paraId="52A125BB" w14:textId="77777777" w:rsidR="001F12B0" w:rsidRDefault="00000000">
      <w:pPr>
        <w:numPr>
          <w:ilvl w:val="0"/>
          <w:numId w:val="6"/>
        </w:numPr>
        <w:spacing w:after="240" w:line="360" w:lineRule="auto"/>
        <w:jc w:val="both"/>
        <w:rPr>
          <w:sz w:val="24"/>
          <w:szCs w:val="24"/>
          <w:highlight w:val="white"/>
        </w:rPr>
      </w:pPr>
      <w:r>
        <w:rPr>
          <w:sz w:val="24"/>
          <w:szCs w:val="24"/>
          <w:highlight w:val="white"/>
        </w:rPr>
        <w:t>When carrying out operational intelligence measures and secret investigative actions, how will the State Party ensure the implementation of fundamental legal safeguards and accurate record keeping?</w:t>
      </w:r>
    </w:p>
    <w:p w14:paraId="43848C85" w14:textId="77777777" w:rsidR="001F12B0" w:rsidRDefault="001F12B0">
      <w:pPr>
        <w:widowControl w:val="0"/>
        <w:pBdr>
          <w:top w:val="nil"/>
          <w:left w:val="nil"/>
          <w:bottom w:val="nil"/>
          <w:right w:val="nil"/>
          <w:between w:val="nil"/>
        </w:pBdr>
        <w:spacing w:line="240" w:lineRule="auto"/>
        <w:rPr>
          <w:sz w:val="24"/>
          <w:szCs w:val="24"/>
          <w:highlight w:val="white"/>
        </w:rPr>
      </w:pPr>
      <w:bookmarkStart w:id="18" w:name="_7oa9rm7scpew" w:colFirst="0" w:colLast="0"/>
      <w:bookmarkEnd w:id="18"/>
    </w:p>
    <w:sectPr w:rsidR="001F12B0" w:rsidSect="00817B35">
      <w:headerReference w:type="default" r:id="rId9"/>
      <w:footerReference w:type="even" r:id="rId10"/>
      <w:foot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0BB4A" w14:textId="77777777" w:rsidR="003D3BD6" w:rsidRDefault="003D3BD6">
      <w:pPr>
        <w:spacing w:line="240" w:lineRule="auto"/>
      </w:pPr>
      <w:r>
        <w:separator/>
      </w:r>
    </w:p>
  </w:endnote>
  <w:endnote w:type="continuationSeparator" w:id="0">
    <w:p w14:paraId="31265C2A" w14:textId="77777777" w:rsidR="003D3BD6" w:rsidRDefault="003D3B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 w:name="Tahoma">
    <w:panose1 w:val="020B0604030504040204"/>
    <w:charset w:val="00"/>
    <w:family w:val="swiss"/>
    <w:pitch w:val="variable"/>
    <w:sig w:usb0="E1002EFF" w:usb1="C000605B" w:usb2="00000029" w:usb3="00000000" w:csb0="000101FF" w:csb1="00000000"/>
    <w:embedRegular r:id="rId1" w:fontKey="{410A083A-0CA9-4038-93BF-B918D2B9EFF7}"/>
    <w:embedItalic r:id="rId2" w:fontKey="{106A21CC-512A-407F-87BB-7BF3DC620161}"/>
  </w:font>
  <w:font w:name="Calibri">
    <w:panose1 w:val="020F0502020204030204"/>
    <w:charset w:val="00"/>
    <w:family w:val="swiss"/>
    <w:pitch w:val="variable"/>
    <w:sig w:usb0="E4002EFF" w:usb1="C000247B" w:usb2="00000009" w:usb3="00000000" w:csb0="000001FF" w:csb1="00000000"/>
    <w:embedRegular r:id="rId3" w:fontKey="{FF1AFC93-795E-4C85-8672-6EDEDB5DCEA6}"/>
  </w:font>
  <w:font w:name="Cambria">
    <w:panose1 w:val="02040503050406030204"/>
    <w:charset w:val="00"/>
    <w:family w:val="roman"/>
    <w:pitch w:val="variable"/>
    <w:sig w:usb0="E00006FF" w:usb1="420024FF" w:usb2="02000000" w:usb3="00000000" w:csb0="0000019F" w:csb1="00000000"/>
    <w:embedRegular r:id="rId4" w:fontKey="{97F15422-85AB-460D-800D-AB3341940E0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21092267"/>
      <w:docPartObj>
        <w:docPartGallery w:val="Page Numbers (Bottom of Page)"/>
        <w:docPartUnique/>
      </w:docPartObj>
    </w:sdtPr>
    <w:sdtContent>
      <w:p w14:paraId="517B390C" w14:textId="14FC6F6B" w:rsidR="00817B35" w:rsidRDefault="00817B35" w:rsidP="00464C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511ABA" w14:textId="77777777" w:rsidR="00817B35" w:rsidRDefault="00817B35" w:rsidP="00817B3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9779276"/>
      <w:docPartObj>
        <w:docPartGallery w:val="Page Numbers (Bottom of Page)"/>
        <w:docPartUnique/>
      </w:docPartObj>
    </w:sdtPr>
    <w:sdtContent>
      <w:p w14:paraId="519C3C13" w14:textId="4C415B2A" w:rsidR="00817B35" w:rsidRDefault="00817B35" w:rsidP="00464C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609E30F" w14:textId="77777777" w:rsidR="001F12B0" w:rsidRDefault="001F12B0" w:rsidP="00817B35">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68514" w14:textId="77777777" w:rsidR="003D3BD6" w:rsidRDefault="003D3BD6">
      <w:pPr>
        <w:spacing w:line="240" w:lineRule="auto"/>
      </w:pPr>
      <w:r>
        <w:separator/>
      </w:r>
    </w:p>
  </w:footnote>
  <w:footnote w:type="continuationSeparator" w:id="0">
    <w:p w14:paraId="7C531207" w14:textId="77777777" w:rsidR="003D3BD6" w:rsidRDefault="003D3BD6">
      <w:pPr>
        <w:spacing w:line="240" w:lineRule="auto"/>
      </w:pPr>
      <w:r>
        <w:continuationSeparator/>
      </w:r>
    </w:p>
  </w:footnote>
  <w:footnote w:id="1">
    <w:p w14:paraId="463CDD1F" w14:textId="77777777" w:rsidR="001F12B0" w:rsidRDefault="00000000">
      <w:pPr>
        <w:spacing w:line="240" w:lineRule="auto"/>
        <w:rPr>
          <w:sz w:val="20"/>
          <w:szCs w:val="20"/>
        </w:rPr>
      </w:pPr>
      <w:r>
        <w:rPr>
          <w:vertAlign w:val="superscript"/>
        </w:rPr>
        <w:footnoteRef/>
      </w:r>
      <w:r>
        <w:rPr>
          <w:sz w:val="20"/>
          <w:szCs w:val="20"/>
        </w:rPr>
        <w:t xml:space="preserve"> </w:t>
      </w:r>
      <w:r>
        <w:rPr>
          <w:sz w:val="16"/>
          <w:szCs w:val="16"/>
        </w:rPr>
        <w:t xml:space="preserve">Council of Europe (2023) </w:t>
      </w:r>
      <w:r>
        <w:rPr>
          <w:i/>
          <w:sz w:val="16"/>
          <w:szCs w:val="16"/>
        </w:rPr>
        <w:t>Armenia- Support to the Justice Reform in Armenia</w:t>
      </w:r>
      <w:r>
        <w:rPr>
          <w:sz w:val="16"/>
          <w:szCs w:val="16"/>
        </w:rPr>
        <w:t xml:space="preserve">, </w:t>
      </w:r>
      <w:r>
        <w:rPr>
          <w:i/>
          <w:sz w:val="16"/>
          <w:szCs w:val="16"/>
        </w:rPr>
        <w:t>Implementation of Human Rights, Justice and Legal Co-Operation Standards</w:t>
      </w:r>
      <w:r>
        <w:rPr>
          <w:sz w:val="16"/>
          <w:szCs w:val="16"/>
        </w:rPr>
        <w:t xml:space="preserve">. Available at: </w:t>
      </w:r>
      <w:hyperlink r:id="rId1">
        <w:r w:rsidR="001F12B0">
          <w:rPr>
            <w:color w:val="1155CC"/>
            <w:sz w:val="16"/>
            <w:szCs w:val="16"/>
            <w:u w:val="single"/>
          </w:rPr>
          <w:t>https://www.coe.int/en/web/implementation/armenia-support-to-the-justice-reform-in-armenia</w:t>
        </w:r>
      </w:hyperlink>
      <w:r>
        <w:rPr>
          <w:sz w:val="16"/>
          <w:szCs w:val="16"/>
        </w:rPr>
        <w:t>. (Accessed 1 December 2024)</w:t>
      </w:r>
    </w:p>
  </w:footnote>
  <w:footnote w:id="2">
    <w:p w14:paraId="27FBC16F" w14:textId="77777777" w:rsidR="001F12B0" w:rsidRDefault="00000000">
      <w:pPr>
        <w:spacing w:line="240" w:lineRule="auto"/>
        <w:rPr>
          <w:sz w:val="16"/>
          <w:szCs w:val="16"/>
        </w:rPr>
      </w:pPr>
      <w:r>
        <w:rPr>
          <w:vertAlign w:val="superscript"/>
        </w:rPr>
        <w:footnoteRef/>
      </w:r>
      <w:r>
        <w:rPr>
          <w:sz w:val="16"/>
          <w:szCs w:val="16"/>
        </w:rPr>
        <w:t xml:space="preserve"> Birk, M., Kozma, J., Schimdt, R., &amp; Watts, Z. O. (2011) </w:t>
      </w:r>
      <w:r>
        <w:rPr>
          <w:i/>
          <w:sz w:val="16"/>
          <w:szCs w:val="16"/>
        </w:rPr>
        <w:t>Pretrial Detention and Torture: Why Pretrial Detainees Face the Greatest Risk</w:t>
      </w:r>
      <w:r>
        <w:rPr>
          <w:sz w:val="16"/>
          <w:szCs w:val="16"/>
        </w:rPr>
        <w:t xml:space="preserve">. Available at: </w:t>
      </w:r>
      <w:hyperlink r:id="rId2">
        <w:r w:rsidR="001F12B0">
          <w:rPr>
            <w:sz w:val="16"/>
            <w:szCs w:val="16"/>
          </w:rPr>
          <w:t>https://www.justiceinitiative.org/uploads/4c3491a1-f7a1-48b2-9afd-3cd0a4f220f6/pretrial-detention-and-torture-06222011.pdf</w:t>
        </w:r>
      </w:hyperlink>
      <w:r>
        <w:rPr>
          <w:sz w:val="20"/>
          <w:szCs w:val="20"/>
        </w:rPr>
        <w:t xml:space="preserve">. </w:t>
      </w:r>
      <w:r>
        <w:rPr>
          <w:sz w:val="16"/>
          <w:szCs w:val="16"/>
        </w:rPr>
        <w:t>(Accessed 1 December 2024).</w:t>
      </w:r>
    </w:p>
  </w:footnote>
  <w:footnote w:id="3">
    <w:p w14:paraId="00388AA2" w14:textId="77777777" w:rsidR="001F12B0" w:rsidRDefault="00000000">
      <w:pPr>
        <w:spacing w:line="240" w:lineRule="auto"/>
        <w:rPr>
          <w:sz w:val="20"/>
          <w:szCs w:val="20"/>
        </w:rPr>
      </w:pPr>
      <w:r>
        <w:rPr>
          <w:vertAlign w:val="superscript"/>
        </w:rPr>
        <w:footnoteRef/>
      </w:r>
      <w:r>
        <w:rPr>
          <w:sz w:val="20"/>
          <w:szCs w:val="20"/>
        </w:rPr>
        <w:t xml:space="preserve"> </w:t>
      </w:r>
      <w:r>
        <w:rPr>
          <w:sz w:val="16"/>
          <w:szCs w:val="16"/>
        </w:rPr>
        <w:t xml:space="preserve">Council of Europe (2024) </w:t>
      </w:r>
      <w:r>
        <w:rPr>
          <w:i/>
          <w:sz w:val="16"/>
          <w:szCs w:val="16"/>
        </w:rPr>
        <w:t>Prison overcrowding remains a problem in Europe: Council of Europe’s annual penal statistics for 2023</w:t>
      </w:r>
      <w:r>
        <w:rPr>
          <w:sz w:val="16"/>
          <w:szCs w:val="16"/>
        </w:rPr>
        <w:t xml:space="preserve">. Available at: </w:t>
      </w:r>
      <w:hyperlink r:id="rId3">
        <w:r w:rsidR="001F12B0">
          <w:rPr>
            <w:color w:val="1155CC"/>
            <w:sz w:val="16"/>
            <w:szCs w:val="16"/>
            <w:u w:val="single"/>
          </w:rPr>
          <w:t>https://www.coe.int/en/web/portal/-/prison-overcrowding-remains-a-problem-in-europe-council-of-europe-s-annual-penal-statistics-for-2023</w:t>
        </w:r>
      </w:hyperlink>
      <w:r>
        <w:rPr>
          <w:sz w:val="16"/>
          <w:szCs w:val="16"/>
        </w:rPr>
        <w:t>. (Accessed 1 December 2024).</w:t>
      </w:r>
    </w:p>
  </w:footnote>
  <w:footnote w:id="4">
    <w:p w14:paraId="142B0B06" w14:textId="77777777" w:rsidR="001F12B0" w:rsidRDefault="00000000">
      <w:pPr>
        <w:spacing w:line="240" w:lineRule="auto"/>
        <w:rPr>
          <w:sz w:val="16"/>
          <w:szCs w:val="16"/>
        </w:rPr>
      </w:pPr>
      <w:r>
        <w:rPr>
          <w:vertAlign w:val="superscript"/>
        </w:rPr>
        <w:footnoteRef/>
      </w:r>
      <w:r>
        <w:rPr>
          <w:sz w:val="20"/>
          <w:szCs w:val="20"/>
        </w:rPr>
        <w:t xml:space="preserve"> </w:t>
      </w:r>
      <w:r>
        <w:rPr>
          <w:sz w:val="16"/>
          <w:szCs w:val="16"/>
        </w:rPr>
        <w:t xml:space="preserve">Council of Europe (2024) </w:t>
      </w:r>
      <w:r>
        <w:rPr>
          <w:i/>
          <w:sz w:val="16"/>
          <w:szCs w:val="16"/>
        </w:rPr>
        <w:t xml:space="preserve">Council of Europe anti-torture Committee (CPT) publishes report on its 2023 visit to Armenia. </w:t>
      </w:r>
      <w:r>
        <w:rPr>
          <w:sz w:val="16"/>
          <w:szCs w:val="16"/>
        </w:rPr>
        <w:t xml:space="preserve">Available at: </w:t>
      </w:r>
      <w:hyperlink r:id="rId4">
        <w:r w:rsidR="001F12B0">
          <w:rPr>
            <w:color w:val="1155CC"/>
            <w:sz w:val="16"/>
            <w:szCs w:val="16"/>
            <w:u w:val="single"/>
          </w:rPr>
          <w:t>https://www.coe.int/en/web/cpt/-/council-of-europe-anti-torture-committee-cpt-publishes-report-on-its-2023-periodic-visit-to-armenia</w:t>
        </w:r>
      </w:hyperlink>
      <w:r>
        <w:rPr>
          <w:sz w:val="16"/>
          <w:szCs w:val="16"/>
        </w:rPr>
        <w:t xml:space="preserve">. (Accessed 17 December 2024). </w:t>
      </w:r>
    </w:p>
  </w:footnote>
  <w:footnote w:id="5">
    <w:p w14:paraId="52529210" w14:textId="77777777" w:rsidR="001F12B0" w:rsidRDefault="00000000">
      <w:pPr>
        <w:spacing w:line="240" w:lineRule="auto"/>
        <w:rPr>
          <w:sz w:val="16"/>
          <w:szCs w:val="16"/>
        </w:rPr>
      </w:pPr>
      <w:r>
        <w:rPr>
          <w:vertAlign w:val="superscript"/>
        </w:rPr>
        <w:footnoteRef/>
      </w:r>
      <w:r>
        <w:rPr>
          <w:sz w:val="20"/>
          <w:szCs w:val="20"/>
        </w:rPr>
        <w:t xml:space="preserve"> </w:t>
      </w:r>
      <w:r>
        <w:rPr>
          <w:sz w:val="16"/>
          <w:szCs w:val="16"/>
        </w:rPr>
        <w:t xml:space="preserve">Aebi, M. F., &amp; Cocco, E. (2023) </w:t>
      </w:r>
      <w:r>
        <w:rPr>
          <w:i/>
          <w:sz w:val="16"/>
          <w:szCs w:val="16"/>
        </w:rPr>
        <w:t>Annual Penal Statistics SPACE I 2023: Prison Populations</w:t>
      </w:r>
      <w:r>
        <w:rPr>
          <w:sz w:val="16"/>
          <w:szCs w:val="16"/>
        </w:rPr>
        <w:t xml:space="preserve">. Available at: </w:t>
      </w:r>
      <w:hyperlink r:id="rId5">
        <w:r w:rsidR="001F12B0">
          <w:rPr>
            <w:color w:val="1155CC"/>
            <w:sz w:val="16"/>
            <w:szCs w:val="16"/>
            <w:u w:val="single"/>
          </w:rPr>
          <w:t>https://wp.unil.ch/space/files/2024/11/SPACE_I_2023_Report.pdf</w:t>
        </w:r>
      </w:hyperlink>
      <w:r>
        <w:rPr>
          <w:sz w:val="16"/>
          <w:szCs w:val="16"/>
        </w:rPr>
        <w:t xml:space="preserve"> (Accessed 17 December 2024). </w:t>
      </w:r>
    </w:p>
  </w:footnote>
  <w:footnote w:id="6">
    <w:p w14:paraId="44BA5074" w14:textId="77777777" w:rsidR="001F12B0" w:rsidRDefault="00000000">
      <w:pPr>
        <w:spacing w:line="240" w:lineRule="auto"/>
        <w:rPr>
          <w:sz w:val="16"/>
          <w:szCs w:val="16"/>
        </w:rPr>
      </w:pPr>
      <w:r>
        <w:rPr>
          <w:vertAlign w:val="superscript"/>
        </w:rPr>
        <w:footnoteRef/>
      </w:r>
      <w:r>
        <w:rPr>
          <w:sz w:val="20"/>
          <w:szCs w:val="20"/>
        </w:rPr>
        <w:t xml:space="preserve"> </w:t>
      </w:r>
      <w:hyperlink r:id="rId6">
        <w:r w:rsidR="001F12B0">
          <w:rPr>
            <w:sz w:val="16"/>
            <w:szCs w:val="16"/>
          </w:rPr>
          <w:t xml:space="preserve">Parliament (2022) </w:t>
        </w:r>
      </w:hyperlink>
      <w:hyperlink r:id="rId7">
        <w:r w:rsidR="001F12B0">
          <w:rPr>
            <w:i/>
            <w:sz w:val="16"/>
            <w:szCs w:val="16"/>
          </w:rPr>
          <w:t>Criminal Procedure Code of the Republic of Armenia</w:t>
        </w:r>
      </w:hyperlink>
      <w:hyperlink r:id="rId8">
        <w:r w:rsidR="001F12B0">
          <w:rPr>
            <w:sz w:val="16"/>
            <w:szCs w:val="16"/>
          </w:rPr>
          <w:t>. Available at:</w:t>
        </w:r>
      </w:hyperlink>
      <w:r>
        <w:t xml:space="preserve"> </w:t>
      </w:r>
      <w:hyperlink r:id="rId9">
        <w:r w:rsidR="001F12B0">
          <w:rPr>
            <w:color w:val="1155CC"/>
            <w:sz w:val="16"/>
            <w:szCs w:val="16"/>
            <w:u w:val="single"/>
          </w:rPr>
          <w:t>http://www.parliament.am/law_docs/010998HO248eng.pdf?lang=eng</w:t>
        </w:r>
      </w:hyperlink>
      <w:hyperlink r:id="rId10">
        <w:r w:rsidR="001F12B0">
          <w:rPr>
            <w:sz w:val="16"/>
            <w:szCs w:val="16"/>
          </w:rPr>
          <w:t>.</w:t>
        </w:r>
      </w:hyperlink>
      <w:r>
        <w:rPr>
          <w:sz w:val="16"/>
          <w:szCs w:val="16"/>
        </w:rPr>
        <w:t xml:space="preserve"> (Accessed 17 December 2024).</w:t>
      </w:r>
    </w:p>
  </w:footnote>
  <w:footnote w:id="7">
    <w:p w14:paraId="3AAD399F" w14:textId="77777777" w:rsidR="001F12B0" w:rsidRDefault="00000000">
      <w:pPr>
        <w:spacing w:line="240" w:lineRule="auto"/>
        <w:rPr>
          <w:sz w:val="16"/>
          <w:szCs w:val="16"/>
        </w:rPr>
      </w:pPr>
      <w:r>
        <w:rPr>
          <w:vertAlign w:val="superscript"/>
        </w:rPr>
        <w:footnoteRef/>
      </w:r>
      <w:r>
        <w:rPr>
          <w:sz w:val="20"/>
          <w:szCs w:val="20"/>
        </w:rPr>
        <w:t xml:space="preserve"> </w:t>
      </w:r>
      <w:r>
        <w:rPr>
          <w:sz w:val="16"/>
          <w:szCs w:val="16"/>
        </w:rPr>
        <w:t xml:space="preserve">Judicial Department of the Republic of Armenia (2024) </w:t>
      </w:r>
      <w:r>
        <w:rPr>
          <w:i/>
          <w:sz w:val="16"/>
          <w:szCs w:val="16"/>
        </w:rPr>
        <w:t>Monitoring</w:t>
      </w:r>
      <w:r>
        <w:rPr>
          <w:sz w:val="16"/>
          <w:szCs w:val="16"/>
        </w:rPr>
        <w:t xml:space="preserve">. Available at: </w:t>
      </w:r>
      <w:hyperlink r:id="rId11">
        <w:r w:rsidR="001F12B0">
          <w:rPr>
            <w:color w:val="1155CC"/>
            <w:sz w:val="16"/>
            <w:szCs w:val="16"/>
            <w:u w:val="single"/>
          </w:rPr>
          <w:t>https://court.am/hy/monitoring</w:t>
        </w:r>
      </w:hyperlink>
      <w:r>
        <w:rPr>
          <w:sz w:val="16"/>
          <w:szCs w:val="16"/>
        </w:rPr>
        <w:t>. (Accessed 4 December 2024).</w:t>
      </w:r>
    </w:p>
  </w:footnote>
  <w:footnote w:id="8">
    <w:p w14:paraId="22886D8B" w14:textId="77777777" w:rsidR="001F12B0" w:rsidRDefault="00000000">
      <w:pPr>
        <w:spacing w:line="360" w:lineRule="auto"/>
        <w:rPr>
          <w:sz w:val="16"/>
          <w:szCs w:val="16"/>
        </w:rPr>
      </w:pPr>
      <w:r>
        <w:rPr>
          <w:vertAlign w:val="superscript"/>
        </w:rPr>
        <w:footnoteRef/>
      </w:r>
      <w:r>
        <w:rPr>
          <w:sz w:val="16"/>
          <w:szCs w:val="16"/>
        </w:rPr>
        <w:t xml:space="preserve">Human Rights Defender of the Republic of Armenia (2021) </w:t>
      </w:r>
      <w:r>
        <w:rPr>
          <w:i/>
          <w:sz w:val="16"/>
          <w:szCs w:val="16"/>
        </w:rPr>
        <w:t>Annual Report on the State of Human Rights and Freedoms 2021.</w:t>
      </w:r>
      <w:r>
        <w:rPr>
          <w:sz w:val="16"/>
          <w:szCs w:val="16"/>
        </w:rPr>
        <w:t xml:space="preserve"> Available at: </w:t>
      </w:r>
      <w:hyperlink r:id="rId12">
        <w:r w:rsidR="001F12B0">
          <w:rPr>
            <w:sz w:val="16"/>
            <w:szCs w:val="16"/>
          </w:rPr>
          <w:t>https://ombuds.am/images/files/022666474d87ff84a86acf39be58bec8.pdf</w:t>
        </w:r>
      </w:hyperlink>
      <w:r>
        <w:rPr>
          <w:sz w:val="16"/>
          <w:szCs w:val="16"/>
        </w:rPr>
        <w:t>. (Accessed: 4 December 2024).</w:t>
      </w:r>
    </w:p>
    <w:p w14:paraId="66DF2CBC" w14:textId="77777777" w:rsidR="001F12B0" w:rsidRDefault="001F12B0">
      <w:pPr>
        <w:spacing w:line="240" w:lineRule="auto"/>
        <w:rPr>
          <w:sz w:val="20"/>
          <w:szCs w:val="20"/>
        </w:rPr>
      </w:pPr>
    </w:p>
  </w:footnote>
  <w:footnote w:id="9">
    <w:p w14:paraId="1AC40DD4" w14:textId="77777777" w:rsidR="001F12B0" w:rsidRDefault="00000000">
      <w:pPr>
        <w:spacing w:line="240" w:lineRule="auto"/>
        <w:rPr>
          <w:sz w:val="20"/>
          <w:szCs w:val="20"/>
        </w:rPr>
      </w:pPr>
      <w:r>
        <w:rPr>
          <w:vertAlign w:val="superscript"/>
        </w:rPr>
        <w:footnoteRef/>
      </w:r>
      <w:r>
        <w:rPr>
          <w:sz w:val="16"/>
          <w:szCs w:val="16"/>
        </w:rPr>
        <w:t xml:space="preserve"> Figures for Ombudsman are compiled from the 2021 Ombudsman report, The Supreme Judicial Council Statistics years 2018-2019 have been compiled from the Armenian State report. The Supreme Judicial Council figures for years 2021- 2022 have been compiled from EVN articles, as  provided to them via The Supreme Judicial Council (we have not been able to access the data directly due to the aforementioned issue).</w:t>
      </w:r>
    </w:p>
  </w:footnote>
  <w:footnote w:id="10">
    <w:p w14:paraId="6E533636" w14:textId="77777777" w:rsidR="001F12B0" w:rsidRDefault="00000000">
      <w:pPr>
        <w:spacing w:line="240" w:lineRule="auto"/>
        <w:rPr>
          <w:sz w:val="16"/>
          <w:szCs w:val="16"/>
        </w:rPr>
      </w:pPr>
      <w:r>
        <w:rPr>
          <w:vertAlign w:val="superscript"/>
        </w:rPr>
        <w:footnoteRef/>
      </w:r>
      <w:r>
        <w:rPr>
          <w:sz w:val="16"/>
          <w:szCs w:val="16"/>
        </w:rPr>
        <w:t xml:space="preserve"> </w:t>
      </w:r>
      <w:proofErr w:type="spellStart"/>
      <w:r>
        <w:rPr>
          <w:sz w:val="16"/>
          <w:szCs w:val="16"/>
        </w:rPr>
        <w:t>Bulghadarian</w:t>
      </w:r>
      <w:proofErr w:type="spellEnd"/>
      <w:r>
        <w:rPr>
          <w:sz w:val="16"/>
          <w:szCs w:val="16"/>
        </w:rPr>
        <w:t xml:space="preserve">, N. (2024) </w:t>
      </w:r>
      <w:r>
        <w:rPr>
          <w:i/>
          <w:sz w:val="16"/>
          <w:szCs w:val="16"/>
        </w:rPr>
        <w:t>Armenian Riot Police Formally Allowed To Use “Deadly” Stun Grenades.</w:t>
      </w:r>
      <w:r>
        <w:rPr>
          <w:sz w:val="16"/>
          <w:szCs w:val="16"/>
        </w:rPr>
        <w:t xml:space="preserve"> Available at: </w:t>
      </w:r>
      <w:hyperlink r:id="rId13">
        <w:r w:rsidR="001F12B0">
          <w:rPr>
            <w:color w:val="1155CC"/>
            <w:sz w:val="16"/>
            <w:szCs w:val="16"/>
            <w:u w:val="single"/>
          </w:rPr>
          <w:t>https://www.azatutyun.am/a/33029865.html</w:t>
        </w:r>
      </w:hyperlink>
      <w:r>
        <w:rPr>
          <w:sz w:val="16"/>
          <w:szCs w:val="16"/>
        </w:rPr>
        <w:t>. (Accessed 1 December 2024).</w:t>
      </w:r>
    </w:p>
  </w:footnote>
  <w:footnote w:id="11">
    <w:p w14:paraId="0953984D" w14:textId="77777777" w:rsidR="001F12B0" w:rsidRDefault="00000000">
      <w:pPr>
        <w:spacing w:line="240" w:lineRule="auto"/>
        <w:rPr>
          <w:sz w:val="14"/>
          <w:szCs w:val="14"/>
        </w:rPr>
      </w:pPr>
      <w:r>
        <w:rPr>
          <w:vertAlign w:val="superscript"/>
        </w:rPr>
        <w:footnoteRef/>
      </w:r>
      <w:r>
        <w:rPr>
          <w:sz w:val="20"/>
          <w:szCs w:val="20"/>
        </w:rPr>
        <w:t xml:space="preserve"> </w:t>
      </w:r>
      <w:r>
        <w:rPr>
          <w:sz w:val="16"/>
          <w:szCs w:val="16"/>
        </w:rPr>
        <w:t xml:space="preserve">Amnesty International (2024) </w:t>
      </w:r>
      <w:r>
        <w:rPr>
          <w:i/>
          <w:sz w:val="16"/>
          <w:szCs w:val="16"/>
        </w:rPr>
        <w:t>Armenia: Violence during street protests must be investigated</w:t>
      </w:r>
      <w:r>
        <w:rPr>
          <w:sz w:val="16"/>
          <w:szCs w:val="16"/>
        </w:rPr>
        <w:t xml:space="preserve">, </w:t>
      </w:r>
      <w:r>
        <w:rPr>
          <w:i/>
          <w:sz w:val="16"/>
          <w:szCs w:val="16"/>
        </w:rPr>
        <w:t>Amnesty International</w:t>
      </w:r>
      <w:r>
        <w:rPr>
          <w:sz w:val="16"/>
          <w:szCs w:val="16"/>
        </w:rPr>
        <w:t xml:space="preserve">. Available at: </w:t>
      </w:r>
      <w:hyperlink r:id="rId14">
        <w:r w:rsidR="001F12B0">
          <w:rPr>
            <w:color w:val="1155CC"/>
            <w:sz w:val="16"/>
            <w:szCs w:val="16"/>
            <w:u w:val="single"/>
          </w:rPr>
          <w:t>https://www.amnesty.org/en/latest/news/2024/06/armenia-violence-during-street-protests-must-be-investigated/</w:t>
        </w:r>
      </w:hyperlink>
      <w:r>
        <w:rPr>
          <w:sz w:val="16"/>
          <w:szCs w:val="16"/>
        </w:rPr>
        <w:t>. (Accessed 1 December 2024).</w:t>
      </w:r>
    </w:p>
  </w:footnote>
  <w:footnote w:id="12">
    <w:p w14:paraId="67067DFD" w14:textId="77777777" w:rsidR="001F12B0" w:rsidRDefault="00000000">
      <w:pPr>
        <w:spacing w:line="240" w:lineRule="auto"/>
        <w:rPr>
          <w:sz w:val="20"/>
          <w:szCs w:val="20"/>
        </w:rPr>
      </w:pPr>
      <w:r>
        <w:rPr>
          <w:vertAlign w:val="superscript"/>
        </w:rPr>
        <w:footnoteRef/>
      </w:r>
      <w:r>
        <w:rPr>
          <w:sz w:val="20"/>
          <w:szCs w:val="20"/>
        </w:rPr>
        <w:t xml:space="preserve"> </w:t>
      </w:r>
      <w:proofErr w:type="spellStart"/>
      <w:r>
        <w:rPr>
          <w:sz w:val="16"/>
          <w:szCs w:val="16"/>
        </w:rPr>
        <w:t>Bulghadarian</w:t>
      </w:r>
      <w:proofErr w:type="spellEnd"/>
      <w:r>
        <w:rPr>
          <w:sz w:val="16"/>
          <w:szCs w:val="16"/>
        </w:rPr>
        <w:t>, N. (2024)</w:t>
      </w:r>
      <w:r>
        <w:rPr>
          <w:i/>
          <w:sz w:val="16"/>
          <w:szCs w:val="16"/>
        </w:rPr>
        <w:t xml:space="preserve"> No One Charged Over Crackdown On Armenian Protesters.</w:t>
      </w:r>
      <w:r>
        <w:rPr>
          <w:sz w:val="16"/>
          <w:szCs w:val="16"/>
        </w:rPr>
        <w:t xml:space="preserve"> Available at: </w:t>
      </w:r>
      <w:hyperlink r:id="rId15">
        <w:r w:rsidR="001F12B0">
          <w:rPr>
            <w:color w:val="1155CC"/>
            <w:sz w:val="16"/>
            <w:szCs w:val="16"/>
            <w:u w:val="single"/>
          </w:rPr>
          <w:t>https://www.azatutyun.am/a/33117847.html</w:t>
        </w:r>
      </w:hyperlink>
      <w:r>
        <w:rPr>
          <w:sz w:val="16"/>
          <w:szCs w:val="16"/>
        </w:rPr>
        <w:t>. (Accessed 1 December 2024).</w:t>
      </w:r>
    </w:p>
  </w:footnote>
  <w:footnote w:id="13">
    <w:p w14:paraId="7F1C3FB4" w14:textId="77777777" w:rsidR="001F12B0" w:rsidRDefault="00000000">
      <w:pPr>
        <w:spacing w:line="240" w:lineRule="auto"/>
        <w:rPr>
          <w:sz w:val="14"/>
          <w:szCs w:val="14"/>
        </w:rPr>
      </w:pPr>
      <w:r>
        <w:rPr>
          <w:vertAlign w:val="superscript"/>
        </w:rPr>
        <w:footnoteRef/>
      </w:r>
      <w:r>
        <w:rPr>
          <w:sz w:val="20"/>
          <w:szCs w:val="20"/>
        </w:rPr>
        <w:t xml:space="preserve"> </w:t>
      </w:r>
      <w:r>
        <w:rPr>
          <w:sz w:val="16"/>
          <w:szCs w:val="16"/>
        </w:rPr>
        <w:t xml:space="preserve">The Armenian Bar Association (2024) </w:t>
      </w:r>
      <w:r>
        <w:rPr>
          <w:i/>
          <w:sz w:val="16"/>
          <w:szCs w:val="16"/>
        </w:rPr>
        <w:t>Statement by the Armenian Bar Association on the Excessive Use of Force Against Peaceful Protesters in Armenia</w:t>
      </w:r>
      <w:r>
        <w:rPr>
          <w:sz w:val="16"/>
          <w:szCs w:val="16"/>
        </w:rPr>
        <w:t xml:space="preserve">. Available at: </w:t>
      </w:r>
      <w:hyperlink r:id="rId16">
        <w:r w:rsidR="001F12B0">
          <w:rPr>
            <w:color w:val="1155CC"/>
            <w:sz w:val="16"/>
            <w:szCs w:val="16"/>
            <w:u w:val="single"/>
          </w:rPr>
          <w:t>https://armenianbar.org/2024/06/15/statement-by-the-armenian-bar-association-on-the-excessive-use-of-force-against-peaceful-protesters-in-armenia/</w:t>
        </w:r>
      </w:hyperlink>
      <w:r>
        <w:rPr>
          <w:sz w:val="16"/>
          <w:szCs w:val="16"/>
        </w:rPr>
        <w:t>. (Accessed 4 December 2024).</w:t>
      </w:r>
    </w:p>
  </w:footnote>
  <w:footnote w:id="14">
    <w:p w14:paraId="79C4D2B3" w14:textId="77777777" w:rsidR="001F12B0" w:rsidRDefault="00000000">
      <w:pPr>
        <w:spacing w:line="240" w:lineRule="auto"/>
        <w:rPr>
          <w:sz w:val="20"/>
          <w:szCs w:val="20"/>
        </w:rPr>
      </w:pPr>
      <w:r>
        <w:rPr>
          <w:vertAlign w:val="superscript"/>
        </w:rPr>
        <w:footnoteRef/>
      </w:r>
      <w:r>
        <w:rPr>
          <w:sz w:val="20"/>
          <w:szCs w:val="20"/>
        </w:rPr>
        <w:t xml:space="preserve"> </w:t>
      </w:r>
      <w:r>
        <w:rPr>
          <w:sz w:val="16"/>
          <w:szCs w:val="16"/>
        </w:rPr>
        <w:t xml:space="preserve">CSO Meter (2024) </w:t>
      </w:r>
      <w:r>
        <w:rPr>
          <w:i/>
          <w:sz w:val="16"/>
          <w:szCs w:val="16"/>
        </w:rPr>
        <w:t>Armenia: New law on Police Guards to improve policing of assemblies</w:t>
      </w:r>
      <w:r>
        <w:rPr>
          <w:sz w:val="16"/>
          <w:szCs w:val="16"/>
        </w:rPr>
        <w:t xml:space="preserve">. Available at: </w:t>
      </w:r>
      <w:hyperlink r:id="rId17">
        <w:r w:rsidR="001F12B0">
          <w:rPr>
            <w:color w:val="1155CC"/>
            <w:sz w:val="16"/>
            <w:szCs w:val="16"/>
            <w:u w:val="single"/>
          </w:rPr>
          <w:t>https://www.csometer.info/updates/armenia-new-law-police-guards-improve-policing-assemblies</w:t>
        </w:r>
      </w:hyperlink>
      <w:r>
        <w:rPr>
          <w:sz w:val="16"/>
          <w:szCs w:val="16"/>
        </w:rPr>
        <w:t>. (Accessed 1 December 2024).</w:t>
      </w:r>
    </w:p>
  </w:footnote>
  <w:footnote w:id="15">
    <w:p w14:paraId="0ED4160A" w14:textId="77777777" w:rsidR="001F12B0" w:rsidRDefault="00000000">
      <w:pPr>
        <w:spacing w:line="240" w:lineRule="auto"/>
        <w:rPr>
          <w:sz w:val="20"/>
          <w:szCs w:val="20"/>
        </w:rPr>
      </w:pPr>
      <w:r>
        <w:rPr>
          <w:vertAlign w:val="superscript"/>
        </w:rPr>
        <w:footnoteRef/>
      </w:r>
      <w:r>
        <w:rPr>
          <w:sz w:val="20"/>
          <w:szCs w:val="20"/>
        </w:rPr>
        <w:t xml:space="preserve"> </w:t>
      </w:r>
      <w:r>
        <w:rPr>
          <w:sz w:val="16"/>
          <w:szCs w:val="16"/>
        </w:rPr>
        <w:t xml:space="preserve">Hakobyan, A., Margaryan, T., &amp; Transparency International </w:t>
      </w:r>
      <w:proofErr w:type="spellStart"/>
      <w:r>
        <w:rPr>
          <w:sz w:val="16"/>
          <w:szCs w:val="16"/>
        </w:rPr>
        <w:t>Anti Corruption</w:t>
      </w:r>
      <w:proofErr w:type="spellEnd"/>
      <w:r>
        <w:rPr>
          <w:sz w:val="16"/>
          <w:szCs w:val="16"/>
        </w:rPr>
        <w:t xml:space="preserve"> Center (2023) </w:t>
      </w:r>
      <w:r>
        <w:rPr>
          <w:i/>
          <w:sz w:val="16"/>
          <w:szCs w:val="16"/>
        </w:rPr>
        <w:t>CSO Meter 2023: Armenia Country Report - Reporting period January–November 2023</w:t>
      </w:r>
      <w:r>
        <w:rPr>
          <w:sz w:val="16"/>
          <w:szCs w:val="16"/>
        </w:rPr>
        <w:t xml:space="preserve">. Available at: </w:t>
      </w:r>
      <w:hyperlink r:id="rId18">
        <w:r w:rsidR="001F12B0">
          <w:rPr>
            <w:color w:val="1155CC"/>
            <w:sz w:val="16"/>
            <w:szCs w:val="16"/>
            <w:u w:val="single"/>
          </w:rPr>
          <w:t>https://www.csometer.info/sites/default/files/2024-01/Armenia%202023%20CSO%20Meter%20Country%20Report%20ENG__0.pdf</w:t>
        </w:r>
      </w:hyperlink>
      <w:r>
        <w:rPr>
          <w:sz w:val="16"/>
          <w:szCs w:val="16"/>
        </w:rPr>
        <w:t>. (Accessed 2 December 2024).</w:t>
      </w:r>
    </w:p>
  </w:footnote>
  <w:footnote w:id="16">
    <w:p w14:paraId="795E3E98" w14:textId="77777777" w:rsidR="001F12B0" w:rsidRDefault="00000000">
      <w:pPr>
        <w:spacing w:line="240" w:lineRule="auto"/>
        <w:rPr>
          <w:sz w:val="20"/>
          <w:szCs w:val="20"/>
        </w:rPr>
      </w:pPr>
      <w:r>
        <w:rPr>
          <w:vertAlign w:val="superscript"/>
        </w:rPr>
        <w:footnoteRef/>
      </w:r>
      <w:r>
        <w:rPr>
          <w:sz w:val="20"/>
          <w:szCs w:val="20"/>
        </w:rPr>
        <w:t xml:space="preserve"> </w:t>
      </w:r>
      <w:r>
        <w:rPr>
          <w:sz w:val="16"/>
          <w:szCs w:val="16"/>
        </w:rPr>
        <w:t xml:space="preserve">CSO Meter (2024) </w:t>
      </w:r>
      <w:r>
        <w:rPr>
          <w:i/>
          <w:sz w:val="16"/>
          <w:szCs w:val="16"/>
        </w:rPr>
        <w:t>Armenia: Mass anti-government protests accompanied by unlawful detentions and police violence</w:t>
      </w:r>
      <w:r>
        <w:rPr>
          <w:sz w:val="16"/>
          <w:szCs w:val="16"/>
        </w:rPr>
        <w:t xml:space="preserve">. Available at: </w:t>
      </w:r>
      <w:hyperlink r:id="rId19">
        <w:r w:rsidR="001F12B0">
          <w:rPr>
            <w:color w:val="1155CC"/>
            <w:sz w:val="16"/>
            <w:szCs w:val="16"/>
            <w:u w:val="single"/>
          </w:rPr>
          <w:t>https://csometer.info/updates/armenia-mass-anti-government-protests-accompanied-unlawful-detentions-and-police-violence</w:t>
        </w:r>
      </w:hyperlink>
      <w:r>
        <w:rPr>
          <w:sz w:val="16"/>
          <w:szCs w:val="16"/>
        </w:rPr>
        <w:t>.  (Accessed 1 December 2024).</w:t>
      </w:r>
    </w:p>
  </w:footnote>
  <w:footnote w:id="17">
    <w:p w14:paraId="2F943991" w14:textId="77777777" w:rsidR="001F12B0" w:rsidRDefault="00000000">
      <w:pPr>
        <w:spacing w:line="240" w:lineRule="auto"/>
        <w:rPr>
          <w:sz w:val="20"/>
          <w:szCs w:val="20"/>
        </w:rPr>
      </w:pPr>
      <w:r>
        <w:rPr>
          <w:vertAlign w:val="superscript"/>
        </w:rPr>
        <w:footnoteRef/>
      </w:r>
      <w:r>
        <w:rPr>
          <w:sz w:val="14"/>
          <w:szCs w:val="14"/>
        </w:rPr>
        <w:t xml:space="preserve"> </w:t>
      </w:r>
      <w:r>
        <w:rPr>
          <w:sz w:val="16"/>
          <w:szCs w:val="16"/>
        </w:rPr>
        <w:t xml:space="preserve">Muradyan, L. (2024) </w:t>
      </w:r>
      <w:proofErr w:type="spellStart"/>
      <w:r>
        <w:rPr>
          <w:rFonts w:ascii="Tahoma" w:eastAsia="Tahoma" w:hAnsi="Tahoma" w:cs="Tahoma"/>
          <w:i/>
          <w:sz w:val="16"/>
          <w:szCs w:val="16"/>
        </w:rPr>
        <w:t>Վերջին</w:t>
      </w:r>
      <w:proofErr w:type="spellEnd"/>
      <w:r>
        <w:rPr>
          <w:rFonts w:ascii="Tahoma" w:eastAsia="Tahoma" w:hAnsi="Tahoma" w:cs="Tahoma"/>
          <w:i/>
          <w:sz w:val="16"/>
          <w:szCs w:val="16"/>
        </w:rPr>
        <w:t xml:space="preserve"> </w:t>
      </w:r>
      <w:proofErr w:type="spellStart"/>
      <w:r>
        <w:rPr>
          <w:rFonts w:ascii="Tahoma" w:eastAsia="Tahoma" w:hAnsi="Tahoma" w:cs="Tahoma"/>
          <w:i/>
          <w:sz w:val="16"/>
          <w:szCs w:val="16"/>
        </w:rPr>
        <w:t>հավաքների</w:t>
      </w:r>
      <w:proofErr w:type="spellEnd"/>
      <w:r>
        <w:rPr>
          <w:rFonts w:ascii="Tahoma" w:eastAsia="Tahoma" w:hAnsi="Tahoma" w:cs="Tahoma"/>
          <w:i/>
          <w:sz w:val="16"/>
          <w:szCs w:val="16"/>
        </w:rPr>
        <w:t xml:space="preserve"> </w:t>
      </w:r>
      <w:proofErr w:type="spellStart"/>
      <w:r>
        <w:rPr>
          <w:rFonts w:ascii="Tahoma" w:eastAsia="Tahoma" w:hAnsi="Tahoma" w:cs="Tahoma"/>
          <w:i/>
          <w:sz w:val="16"/>
          <w:szCs w:val="16"/>
        </w:rPr>
        <w:t>մասով</w:t>
      </w:r>
      <w:proofErr w:type="spellEnd"/>
      <w:r>
        <w:rPr>
          <w:rFonts w:ascii="Tahoma" w:eastAsia="Tahoma" w:hAnsi="Tahoma" w:cs="Tahoma"/>
          <w:i/>
          <w:sz w:val="16"/>
          <w:szCs w:val="16"/>
        </w:rPr>
        <w:t xml:space="preserve"> </w:t>
      </w:r>
      <w:proofErr w:type="spellStart"/>
      <w:r>
        <w:rPr>
          <w:rFonts w:ascii="Tahoma" w:eastAsia="Tahoma" w:hAnsi="Tahoma" w:cs="Tahoma"/>
          <w:i/>
          <w:sz w:val="16"/>
          <w:szCs w:val="16"/>
        </w:rPr>
        <w:t>իրականացվում</w:t>
      </w:r>
      <w:proofErr w:type="spellEnd"/>
      <w:r>
        <w:rPr>
          <w:rFonts w:ascii="Tahoma" w:eastAsia="Tahoma" w:hAnsi="Tahoma" w:cs="Tahoma"/>
          <w:i/>
          <w:sz w:val="16"/>
          <w:szCs w:val="16"/>
        </w:rPr>
        <w:t xml:space="preserve"> </w:t>
      </w:r>
      <w:proofErr w:type="spellStart"/>
      <w:r>
        <w:rPr>
          <w:rFonts w:ascii="Tahoma" w:eastAsia="Tahoma" w:hAnsi="Tahoma" w:cs="Tahoma"/>
          <w:i/>
          <w:sz w:val="16"/>
          <w:szCs w:val="16"/>
        </w:rPr>
        <w:t>են</w:t>
      </w:r>
      <w:proofErr w:type="spellEnd"/>
      <w:r>
        <w:rPr>
          <w:rFonts w:ascii="Tahoma" w:eastAsia="Tahoma" w:hAnsi="Tahoma" w:cs="Tahoma"/>
          <w:i/>
          <w:sz w:val="16"/>
          <w:szCs w:val="16"/>
        </w:rPr>
        <w:t xml:space="preserve"> </w:t>
      </w:r>
      <w:proofErr w:type="spellStart"/>
      <w:r>
        <w:rPr>
          <w:rFonts w:ascii="Tahoma" w:eastAsia="Tahoma" w:hAnsi="Tahoma" w:cs="Tahoma"/>
          <w:i/>
          <w:sz w:val="16"/>
          <w:szCs w:val="16"/>
        </w:rPr>
        <w:t>ծառայողական</w:t>
      </w:r>
      <w:proofErr w:type="spellEnd"/>
      <w:r>
        <w:rPr>
          <w:rFonts w:ascii="Tahoma" w:eastAsia="Tahoma" w:hAnsi="Tahoma" w:cs="Tahoma"/>
          <w:i/>
          <w:sz w:val="16"/>
          <w:szCs w:val="16"/>
        </w:rPr>
        <w:t xml:space="preserve"> </w:t>
      </w:r>
      <w:proofErr w:type="spellStart"/>
      <w:r>
        <w:rPr>
          <w:rFonts w:ascii="Tahoma" w:eastAsia="Tahoma" w:hAnsi="Tahoma" w:cs="Tahoma"/>
          <w:i/>
          <w:sz w:val="16"/>
          <w:szCs w:val="16"/>
        </w:rPr>
        <w:t>քննություններ</w:t>
      </w:r>
      <w:proofErr w:type="spellEnd"/>
      <w:r>
        <w:rPr>
          <w:rFonts w:ascii="Tahoma" w:eastAsia="Tahoma" w:hAnsi="Tahoma" w:cs="Tahoma"/>
          <w:i/>
          <w:sz w:val="16"/>
          <w:szCs w:val="16"/>
        </w:rPr>
        <w:t xml:space="preserve">. ՆԳ </w:t>
      </w:r>
      <w:proofErr w:type="spellStart"/>
      <w:r>
        <w:rPr>
          <w:rFonts w:ascii="Tahoma" w:eastAsia="Tahoma" w:hAnsi="Tahoma" w:cs="Tahoma"/>
          <w:i/>
          <w:sz w:val="16"/>
          <w:szCs w:val="16"/>
        </w:rPr>
        <w:t>նախարարի</w:t>
      </w:r>
      <w:proofErr w:type="spellEnd"/>
      <w:r>
        <w:rPr>
          <w:rFonts w:ascii="Tahoma" w:eastAsia="Tahoma" w:hAnsi="Tahoma" w:cs="Tahoma"/>
          <w:i/>
          <w:sz w:val="16"/>
          <w:szCs w:val="16"/>
        </w:rPr>
        <w:t xml:space="preserve"> </w:t>
      </w:r>
      <w:proofErr w:type="spellStart"/>
      <w:r>
        <w:rPr>
          <w:rFonts w:ascii="Tahoma" w:eastAsia="Tahoma" w:hAnsi="Tahoma" w:cs="Tahoma"/>
          <w:i/>
          <w:sz w:val="16"/>
          <w:szCs w:val="16"/>
        </w:rPr>
        <w:t>տեղակալ</w:t>
      </w:r>
      <w:proofErr w:type="spellEnd"/>
      <w:r>
        <w:rPr>
          <w:sz w:val="16"/>
          <w:szCs w:val="16"/>
        </w:rPr>
        <w:t xml:space="preserve">. Available at: </w:t>
      </w:r>
      <w:hyperlink r:id="rId20">
        <w:r w:rsidR="001F12B0">
          <w:rPr>
            <w:color w:val="1155CC"/>
            <w:sz w:val="16"/>
            <w:szCs w:val="16"/>
            <w:u w:val="single"/>
          </w:rPr>
          <w:t>https://www.1lurer.am/hy/2024/05/29/1/1132936</w:t>
        </w:r>
      </w:hyperlink>
      <w:r>
        <w:rPr>
          <w:sz w:val="16"/>
          <w:szCs w:val="16"/>
        </w:rPr>
        <w:t>. (Accessed: 1 December 2024).</w:t>
      </w:r>
    </w:p>
  </w:footnote>
  <w:footnote w:id="18">
    <w:p w14:paraId="64713C53" w14:textId="77777777" w:rsidR="001F12B0" w:rsidRDefault="00000000">
      <w:pPr>
        <w:spacing w:line="240" w:lineRule="auto"/>
        <w:rPr>
          <w:sz w:val="20"/>
          <w:szCs w:val="20"/>
        </w:rPr>
      </w:pPr>
      <w:r>
        <w:rPr>
          <w:vertAlign w:val="superscript"/>
        </w:rPr>
        <w:footnoteRef/>
      </w:r>
      <w:r>
        <w:rPr>
          <w:sz w:val="20"/>
          <w:szCs w:val="20"/>
        </w:rPr>
        <w:t xml:space="preserve"> </w:t>
      </w:r>
      <w:r>
        <w:rPr>
          <w:sz w:val="16"/>
          <w:szCs w:val="16"/>
        </w:rPr>
        <w:t>Giragosian, R. (2024)</w:t>
      </w:r>
      <w:r>
        <w:rPr>
          <w:i/>
          <w:sz w:val="16"/>
          <w:szCs w:val="16"/>
        </w:rPr>
        <w:t xml:space="preserve"> Armenia’s mixed-bag reformism: Despite considerable progress, challenges remain in Armenia's fight against organized crime and corruption.</w:t>
      </w:r>
      <w:r>
        <w:rPr>
          <w:sz w:val="16"/>
          <w:szCs w:val="16"/>
        </w:rPr>
        <w:t xml:space="preserve"> Available at: </w:t>
      </w:r>
      <w:hyperlink r:id="rId21">
        <w:r w:rsidR="001F12B0">
          <w:rPr>
            <w:color w:val="1155CC"/>
            <w:sz w:val="16"/>
            <w:szCs w:val="16"/>
            <w:u w:val="single"/>
          </w:rPr>
          <w:t>https://globalinitiative.net/analysis/armenia-organized-crime-corruption-ocindex/</w:t>
        </w:r>
      </w:hyperlink>
      <w:r>
        <w:rPr>
          <w:sz w:val="16"/>
          <w:szCs w:val="16"/>
        </w:rPr>
        <w:t>. (Accessed: 4 December 2024).</w:t>
      </w:r>
    </w:p>
  </w:footnote>
  <w:footnote w:id="19">
    <w:p w14:paraId="67243562" w14:textId="77777777" w:rsidR="001F12B0" w:rsidRDefault="00000000">
      <w:pPr>
        <w:spacing w:line="240" w:lineRule="auto"/>
        <w:rPr>
          <w:sz w:val="20"/>
          <w:szCs w:val="20"/>
        </w:rPr>
      </w:pPr>
      <w:r>
        <w:rPr>
          <w:vertAlign w:val="superscript"/>
        </w:rPr>
        <w:footnoteRef/>
      </w:r>
      <w:r>
        <w:rPr>
          <w:sz w:val="14"/>
          <w:szCs w:val="14"/>
        </w:rPr>
        <w:t xml:space="preserve"> </w:t>
      </w:r>
      <w:r>
        <w:rPr>
          <w:sz w:val="16"/>
          <w:szCs w:val="16"/>
          <w:highlight w:val="white"/>
        </w:rPr>
        <w:t xml:space="preserve">Zargarian, R. (2024) </w:t>
      </w:r>
      <w:r>
        <w:rPr>
          <w:i/>
          <w:sz w:val="16"/>
          <w:szCs w:val="16"/>
          <w:highlight w:val="white"/>
        </w:rPr>
        <w:t>Armenian Police Condemned for Injuring Journalists during Protest</w:t>
      </w:r>
      <w:r>
        <w:rPr>
          <w:sz w:val="16"/>
          <w:szCs w:val="16"/>
          <w:highlight w:val="white"/>
        </w:rPr>
        <w:t xml:space="preserve">. Available at: </w:t>
      </w:r>
      <w:hyperlink r:id="rId22">
        <w:r w:rsidR="001F12B0">
          <w:rPr>
            <w:color w:val="1155CC"/>
            <w:sz w:val="16"/>
            <w:szCs w:val="16"/>
            <w:highlight w:val="white"/>
            <w:u w:val="single"/>
          </w:rPr>
          <w:t>www.azatutyun.am/a/32991986.html</w:t>
        </w:r>
      </w:hyperlink>
      <w:r>
        <w:rPr>
          <w:sz w:val="16"/>
          <w:szCs w:val="16"/>
          <w:highlight w:val="white"/>
        </w:rPr>
        <w:t>. (Accessed 2 December 2024).</w:t>
      </w:r>
    </w:p>
  </w:footnote>
  <w:footnote w:id="20">
    <w:p w14:paraId="7320ECC1" w14:textId="77777777" w:rsidR="001F12B0" w:rsidRDefault="00000000">
      <w:pPr>
        <w:spacing w:line="240" w:lineRule="auto"/>
        <w:rPr>
          <w:sz w:val="18"/>
          <w:szCs w:val="18"/>
        </w:rPr>
      </w:pPr>
      <w:r>
        <w:rPr>
          <w:vertAlign w:val="superscript"/>
        </w:rPr>
        <w:footnoteRef/>
      </w:r>
      <w:r>
        <w:rPr>
          <w:sz w:val="16"/>
          <w:szCs w:val="16"/>
        </w:rPr>
        <w:t xml:space="preserve"> Reporters Without Borders (2024) </w:t>
      </w:r>
      <w:r>
        <w:rPr>
          <w:i/>
          <w:sz w:val="16"/>
          <w:szCs w:val="16"/>
        </w:rPr>
        <w:t>Reporters Injured by Targeted Police Violence While Covering Protest in Armenia</w:t>
      </w:r>
      <w:r>
        <w:rPr>
          <w:sz w:val="16"/>
          <w:szCs w:val="16"/>
        </w:rPr>
        <w:t xml:space="preserve">. Available at: </w:t>
      </w:r>
      <w:hyperlink r:id="rId23">
        <w:r w:rsidR="001F12B0">
          <w:rPr>
            <w:color w:val="1155CC"/>
            <w:sz w:val="16"/>
            <w:szCs w:val="16"/>
            <w:u w:val="single"/>
          </w:rPr>
          <w:t>rsf.org/en/reporters-injured-targeted-police-violence-while-covering-protest-armenia-0</w:t>
        </w:r>
      </w:hyperlink>
      <w:r>
        <w:rPr>
          <w:sz w:val="16"/>
          <w:szCs w:val="16"/>
        </w:rPr>
        <w:t>. (Accessed 1 December 2024).</w:t>
      </w:r>
    </w:p>
  </w:footnote>
  <w:footnote w:id="21">
    <w:p w14:paraId="5127A77E" w14:textId="77777777" w:rsidR="001F12B0" w:rsidRDefault="00000000">
      <w:pPr>
        <w:spacing w:line="240" w:lineRule="auto"/>
        <w:rPr>
          <w:sz w:val="16"/>
          <w:szCs w:val="16"/>
        </w:rPr>
      </w:pPr>
      <w:r>
        <w:rPr>
          <w:vertAlign w:val="superscript"/>
        </w:rPr>
        <w:footnoteRef/>
      </w:r>
      <w:r>
        <w:rPr>
          <w:sz w:val="16"/>
          <w:szCs w:val="16"/>
        </w:rPr>
        <w:t xml:space="preserve"> Avanesov, A. (2024) </w:t>
      </w:r>
      <w:proofErr w:type="spellStart"/>
      <w:r>
        <w:rPr>
          <w:i/>
          <w:sz w:val="16"/>
          <w:szCs w:val="16"/>
        </w:rPr>
        <w:t>Arminfo</w:t>
      </w:r>
      <w:proofErr w:type="spellEnd"/>
      <w:r>
        <w:rPr>
          <w:i/>
          <w:sz w:val="16"/>
          <w:szCs w:val="16"/>
        </w:rPr>
        <w:t>: Police guard will be established in Armenia - draft law</w:t>
      </w:r>
      <w:r>
        <w:rPr>
          <w:sz w:val="16"/>
          <w:szCs w:val="16"/>
        </w:rPr>
        <w:t xml:space="preserve">. Available at: </w:t>
      </w:r>
      <w:hyperlink r:id="rId24">
        <w:r w:rsidR="001F12B0">
          <w:rPr>
            <w:color w:val="1155CC"/>
            <w:sz w:val="16"/>
            <w:szCs w:val="16"/>
            <w:u w:val="single"/>
          </w:rPr>
          <w:t>https://arminfo.info/full_news.php?id=84279&amp;lang=3</w:t>
        </w:r>
      </w:hyperlink>
      <w:r>
        <w:rPr>
          <w:sz w:val="16"/>
          <w:szCs w:val="16"/>
        </w:rPr>
        <w:t xml:space="preserve"> (Accessed: 1 December 2024).</w:t>
      </w:r>
    </w:p>
  </w:footnote>
  <w:footnote w:id="22">
    <w:p w14:paraId="79515E84" w14:textId="77777777" w:rsidR="001F12B0" w:rsidRDefault="00000000">
      <w:pPr>
        <w:spacing w:line="240" w:lineRule="auto"/>
        <w:rPr>
          <w:sz w:val="14"/>
          <w:szCs w:val="14"/>
        </w:rPr>
      </w:pPr>
      <w:r>
        <w:rPr>
          <w:vertAlign w:val="superscript"/>
        </w:rPr>
        <w:footnoteRef/>
      </w:r>
      <w:r>
        <w:rPr>
          <w:sz w:val="14"/>
          <w:szCs w:val="14"/>
        </w:rPr>
        <w:t xml:space="preserve"> </w:t>
      </w:r>
      <w:r>
        <w:rPr>
          <w:sz w:val="16"/>
          <w:szCs w:val="16"/>
        </w:rPr>
        <w:t xml:space="preserve">National Assembly of the Republic of Armenia (2024) </w:t>
      </w:r>
      <w:r>
        <w:rPr>
          <w:i/>
          <w:sz w:val="16"/>
          <w:szCs w:val="16"/>
        </w:rPr>
        <w:t>It is designed to establish Police Guard</w:t>
      </w:r>
      <w:r>
        <w:rPr>
          <w:sz w:val="16"/>
          <w:szCs w:val="16"/>
        </w:rPr>
        <w:t xml:space="preserve">. Available at: </w:t>
      </w:r>
      <w:hyperlink r:id="rId25">
        <w:r w:rsidR="001F12B0">
          <w:rPr>
            <w:color w:val="1155CC"/>
            <w:sz w:val="16"/>
            <w:szCs w:val="16"/>
            <w:u w:val="single"/>
          </w:rPr>
          <w:t>http://www.parliament.am/news.php?cat_id=2&amp;NewsID=20725&amp;year=2024&amp;month=06&amp;day=07&amp;lang=eng</w:t>
        </w:r>
      </w:hyperlink>
      <w:r>
        <w:rPr>
          <w:sz w:val="16"/>
          <w:szCs w:val="16"/>
        </w:rPr>
        <w:t xml:space="preserve"> (Accessed: 1 December 2024).</w:t>
      </w:r>
    </w:p>
  </w:footnote>
  <w:footnote w:id="23">
    <w:p w14:paraId="41A3F4AD" w14:textId="77777777" w:rsidR="001F12B0" w:rsidRDefault="00000000">
      <w:pPr>
        <w:spacing w:line="240" w:lineRule="auto"/>
        <w:rPr>
          <w:sz w:val="16"/>
          <w:szCs w:val="16"/>
        </w:rPr>
      </w:pPr>
      <w:r>
        <w:rPr>
          <w:vertAlign w:val="superscript"/>
        </w:rPr>
        <w:footnoteRef/>
      </w:r>
      <w:r>
        <w:rPr>
          <w:sz w:val="16"/>
          <w:szCs w:val="16"/>
        </w:rPr>
        <w:t xml:space="preserve"> Council of Europe (2021) </w:t>
      </w:r>
      <w:r>
        <w:rPr>
          <w:i/>
          <w:sz w:val="16"/>
          <w:szCs w:val="16"/>
        </w:rPr>
        <w:t>Report to the Armenian Government on the visit to Armenia carried out by the European Committee for the Prevention of Torture and Inhuman Degrading Treatment or Punishment (CPT) from 2 to 12 December 2019</w:t>
      </w:r>
      <w:r>
        <w:rPr>
          <w:sz w:val="16"/>
          <w:szCs w:val="16"/>
        </w:rPr>
        <w:t xml:space="preserve">. Available at: </w:t>
      </w:r>
      <w:hyperlink r:id="rId26">
        <w:r w:rsidR="001F12B0">
          <w:rPr>
            <w:color w:val="1155CC"/>
            <w:sz w:val="16"/>
            <w:szCs w:val="16"/>
            <w:u w:val="single"/>
          </w:rPr>
          <w:t>https://rm.coe.int/1680a29ba1</w:t>
        </w:r>
      </w:hyperlink>
      <w:r>
        <w:rPr>
          <w:sz w:val="16"/>
          <w:szCs w:val="16"/>
        </w:rPr>
        <w:t>. (Accessed 2 December 2024).</w:t>
      </w:r>
    </w:p>
  </w:footnote>
  <w:footnote w:id="24">
    <w:p w14:paraId="49EE5B1A" w14:textId="77777777" w:rsidR="001F12B0" w:rsidRDefault="00000000">
      <w:pPr>
        <w:spacing w:line="240" w:lineRule="auto"/>
        <w:rPr>
          <w:sz w:val="20"/>
          <w:szCs w:val="20"/>
        </w:rPr>
      </w:pPr>
      <w:r>
        <w:rPr>
          <w:vertAlign w:val="superscript"/>
        </w:rPr>
        <w:footnoteRef/>
      </w:r>
      <w:r>
        <w:rPr>
          <w:sz w:val="16"/>
          <w:szCs w:val="16"/>
        </w:rPr>
        <w:t xml:space="preserve"> DIGNITY - Danish Institute Against Torture</w:t>
      </w:r>
      <w:r>
        <w:rPr>
          <w:i/>
          <w:sz w:val="16"/>
          <w:szCs w:val="16"/>
        </w:rPr>
        <w:t xml:space="preserve"> </w:t>
      </w:r>
      <w:r>
        <w:rPr>
          <w:sz w:val="16"/>
          <w:szCs w:val="16"/>
        </w:rPr>
        <w:t xml:space="preserve">(n.d.)  </w:t>
      </w:r>
      <w:r>
        <w:rPr>
          <w:i/>
          <w:sz w:val="16"/>
          <w:szCs w:val="16"/>
        </w:rPr>
        <w:t xml:space="preserve">Legal No 7 - Safeguards in Police Custody. </w:t>
      </w:r>
      <w:r>
        <w:rPr>
          <w:sz w:val="16"/>
          <w:szCs w:val="16"/>
        </w:rPr>
        <w:t>Available at:</w:t>
      </w:r>
      <w:r>
        <w:rPr>
          <w:i/>
          <w:sz w:val="16"/>
          <w:szCs w:val="16"/>
        </w:rPr>
        <w:t xml:space="preserve"> </w:t>
      </w:r>
      <w:hyperlink r:id="rId27">
        <w:r w:rsidR="001F12B0">
          <w:rPr>
            <w:i/>
            <w:color w:val="1155CC"/>
            <w:sz w:val="16"/>
            <w:szCs w:val="16"/>
            <w:u w:val="single"/>
          </w:rPr>
          <w:t>https://www.dignity.dk/wp-content/uploads/legal-fact-sheet-no-10.pdf</w:t>
        </w:r>
      </w:hyperlink>
      <w:r>
        <w:rPr>
          <w:i/>
          <w:sz w:val="16"/>
          <w:szCs w:val="16"/>
        </w:rPr>
        <w:t>. (</w:t>
      </w:r>
      <w:r>
        <w:rPr>
          <w:sz w:val="16"/>
          <w:szCs w:val="16"/>
        </w:rPr>
        <w:t>Accessed 18 December 2024).</w:t>
      </w:r>
    </w:p>
  </w:footnote>
  <w:footnote w:id="25">
    <w:p w14:paraId="5829CE82" w14:textId="77777777" w:rsidR="001F12B0" w:rsidRDefault="00000000">
      <w:pPr>
        <w:spacing w:line="240" w:lineRule="auto"/>
        <w:rPr>
          <w:sz w:val="16"/>
          <w:szCs w:val="16"/>
        </w:rPr>
      </w:pPr>
      <w:r>
        <w:rPr>
          <w:vertAlign w:val="superscript"/>
        </w:rPr>
        <w:footnoteRef/>
      </w:r>
      <w:r>
        <w:rPr>
          <w:sz w:val="16"/>
          <w:szCs w:val="16"/>
        </w:rPr>
        <w:t xml:space="preserve">Council of Europe (2024) </w:t>
      </w:r>
      <w:r>
        <w:rPr>
          <w:i/>
          <w:sz w:val="16"/>
          <w:szCs w:val="16"/>
        </w:rPr>
        <w:t>Preliminary Observations on the periodic visit to Armenia carried out by the European Committee for the Prevention of Torture and Inhuman or Degrading Treatment or Punishment (CPT) from 12 to 22 September 2023</w:t>
      </w:r>
      <w:r>
        <w:rPr>
          <w:sz w:val="16"/>
          <w:szCs w:val="16"/>
        </w:rPr>
        <w:t xml:space="preserve">. Available at: </w:t>
      </w:r>
      <w:hyperlink r:id="rId28">
        <w:r w:rsidR="001F12B0">
          <w:rPr>
            <w:color w:val="1155CC"/>
            <w:sz w:val="16"/>
            <w:szCs w:val="16"/>
            <w:u w:val="single"/>
          </w:rPr>
          <w:t>https://rm.coe.int/1680aeb3f7</w:t>
        </w:r>
      </w:hyperlink>
      <w:r>
        <w:rPr>
          <w:sz w:val="16"/>
          <w:szCs w:val="16"/>
        </w:rPr>
        <w:t>. (Accessed 18 December 2024).</w:t>
      </w:r>
    </w:p>
  </w:footnote>
  <w:footnote w:id="26">
    <w:p w14:paraId="56E437CD" w14:textId="77777777" w:rsidR="001F12B0" w:rsidRDefault="00000000">
      <w:pPr>
        <w:spacing w:line="240" w:lineRule="auto"/>
        <w:rPr>
          <w:sz w:val="16"/>
          <w:szCs w:val="16"/>
        </w:rPr>
      </w:pPr>
      <w:r>
        <w:rPr>
          <w:vertAlign w:val="superscript"/>
        </w:rPr>
        <w:footnoteRef/>
      </w:r>
      <w:r>
        <w:rPr>
          <w:sz w:val="16"/>
          <w:szCs w:val="16"/>
        </w:rPr>
        <w:t xml:space="preserve"> Council of Europe (2021) </w:t>
      </w:r>
      <w:r>
        <w:rPr>
          <w:i/>
          <w:sz w:val="16"/>
          <w:szCs w:val="16"/>
        </w:rPr>
        <w:t>Response of the Armenian Government to the Report of the European Committee for the Prevention of Torture and Inhuman or Degrading Treatment or Punishment (CPT) on its visit to Armenia from 2 to 12 December 2019</w:t>
      </w:r>
      <w:r>
        <w:rPr>
          <w:sz w:val="16"/>
          <w:szCs w:val="16"/>
        </w:rPr>
        <w:t xml:space="preserve">. Available at: </w:t>
      </w:r>
      <w:hyperlink r:id="rId29">
        <w:r w:rsidR="001F12B0">
          <w:rPr>
            <w:color w:val="1155CC"/>
            <w:sz w:val="16"/>
            <w:szCs w:val="16"/>
            <w:u w:val="single"/>
          </w:rPr>
          <w:t>https://rm.coe.int/1680a29ba1</w:t>
        </w:r>
      </w:hyperlink>
      <w:r>
        <w:rPr>
          <w:sz w:val="16"/>
          <w:szCs w:val="16"/>
        </w:rPr>
        <w:t>.(Accessed 2 December 2024).</w:t>
      </w:r>
    </w:p>
  </w:footnote>
  <w:footnote w:id="27">
    <w:p w14:paraId="0C3DA6DE" w14:textId="77777777" w:rsidR="001F12B0" w:rsidRDefault="00000000">
      <w:pPr>
        <w:spacing w:line="240" w:lineRule="auto"/>
        <w:rPr>
          <w:sz w:val="16"/>
          <w:szCs w:val="16"/>
        </w:rPr>
      </w:pPr>
      <w:r>
        <w:rPr>
          <w:vertAlign w:val="superscript"/>
        </w:rPr>
        <w:footnoteRef/>
      </w:r>
      <w:r>
        <w:rPr>
          <w:sz w:val="16"/>
          <w:szCs w:val="16"/>
        </w:rPr>
        <w:t xml:space="preserve"> Council of Europe (2023) </w:t>
      </w:r>
      <w:r>
        <w:rPr>
          <w:i/>
          <w:sz w:val="16"/>
          <w:szCs w:val="16"/>
        </w:rPr>
        <w:t>Report to the Armenian Government on the visit to Armenia carried out by the European Committee for the Prevention of Torture and Inhuman or Degrading Treatment or Punishment (CPT) from 12 to 22 September 2023</w:t>
      </w:r>
      <w:r>
        <w:rPr>
          <w:sz w:val="16"/>
          <w:szCs w:val="16"/>
        </w:rPr>
        <w:t xml:space="preserve">. Available at: </w:t>
      </w:r>
      <w:hyperlink r:id="rId30">
        <w:r w:rsidR="001F12B0">
          <w:rPr>
            <w:color w:val="1155CC"/>
            <w:sz w:val="16"/>
            <w:szCs w:val="16"/>
            <w:u w:val="single"/>
          </w:rPr>
          <w:t>https://rm.coe.int/1680b257b2</w:t>
        </w:r>
      </w:hyperlink>
      <w:r>
        <w:rPr>
          <w:sz w:val="16"/>
          <w:szCs w:val="16"/>
        </w:rPr>
        <w:t>. (Accessed 2 December 2024).</w:t>
      </w:r>
    </w:p>
  </w:footnote>
  <w:footnote w:id="28">
    <w:p w14:paraId="34373BA3" w14:textId="77777777" w:rsidR="001F12B0" w:rsidRDefault="00000000">
      <w:pPr>
        <w:spacing w:line="240" w:lineRule="auto"/>
        <w:rPr>
          <w:sz w:val="16"/>
          <w:szCs w:val="16"/>
        </w:rPr>
      </w:pPr>
      <w:r>
        <w:rPr>
          <w:vertAlign w:val="superscript"/>
        </w:rPr>
        <w:footnoteRef/>
      </w:r>
      <w:r>
        <w:rPr>
          <w:sz w:val="16"/>
          <w:szCs w:val="16"/>
        </w:rPr>
        <w:t xml:space="preserve"> Council of Europe (2023) </w:t>
      </w:r>
      <w:r>
        <w:rPr>
          <w:i/>
          <w:sz w:val="16"/>
          <w:szCs w:val="16"/>
        </w:rPr>
        <w:t>Response of the Armenian Government to the Report of the European Committee for the Prevention of Torture and Inhuman or Degrading Treatment or Punishment (CPT) on its visit to Armenia from 2 to 12 September 2023</w:t>
      </w:r>
      <w:r>
        <w:rPr>
          <w:sz w:val="16"/>
          <w:szCs w:val="16"/>
        </w:rPr>
        <w:t xml:space="preserve">. Available at: </w:t>
      </w:r>
      <w:hyperlink r:id="rId31">
        <w:r w:rsidR="001F12B0">
          <w:rPr>
            <w:color w:val="1155CC"/>
            <w:sz w:val="16"/>
            <w:szCs w:val="16"/>
            <w:u w:val="single"/>
          </w:rPr>
          <w:t>https://www.ecoi.net/en/file/local/2117921/2024-32-inf-en.docx.pdf</w:t>
        </w:r>
      </w:hyperlink>
      <w:r>
        <w:rPr>
          <w:sz w:val="16"/>
          <w:szCs w:val="16"/>
        </w:rPr>
        <w:t>. (Accessed 2 December 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4EE10" w14:textId="77777777" w:rsidR="001F12B0" w:rsidRDefault="001F12B0">
    <w:pPr>
      <w:spacing w:before="240" w:after="240"/>
      <w:jc w:val="center"/>
      <w:rPr>
        <w:b/>
        <w:sz w:val="24"/>
        <w:szCs w:val="24"/>
        <w:highlight w:val="white"/>
      </w:rPr>
    </w:pPr>
  </w:p>
  <w:p w14:paraId="17FDB38E" w14:textId="77777777" w:rsidR="001F12B0" w:rsidRDefault="001F12B0">
    <w:pPr>
      <w:rPr>
        <w:b/>
        <w:sz w:val="24"/>
        <w:szCs w:val="24"/>
        <w:highlight w:val="whit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A7516"/>
    <w:multiLevelType w:val="multilevel"/>
    <w:tmpl w:val="51269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B6811BB"/>
    <w:multiLevelType w:val="multilevel"/>
    <w:tmpl w:val="E1200F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D635FE"/>
    <w:multiLevelType w:val="multilevel"/>
    <w:tmpl w:val="442478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433F00"/>
    <w:multiLevelType w:val="multilevel"/>
    <w:tmpl w:val="68E23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377AC0"/>
    <w:multiLevelType w:val="multilevel"/>
    <w:tmpl w:val="C0B80B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7D7A7FC8"/>
    <w:multiLevelType w:val="multilevel"/>
    <w:tmpl w:val="CE18F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4787056">
    <w:abstractNumId w:val="2"/>
  </w:num>
  <w:num w:numId="2" w16cid:durableId="905604969">
    <w:abstractNumId w:val="4"/>
  </w:num>
  <w:num w:numId="3" w16cid:durableId="580917701">
    <w:abstractNumId w:val="3"/>
  </w:num>
  <w:num w:numId="4" w16cid:durableId="88084566">
    <w:abstractNumId w:val="0"/>
  </w:num>
  <w:num w:numId="5" w16cid:durableId="1971864012">
    <w:abstractNumId w:val="5"/>
  </w:num>
  <w:num w:numId="6" w16cid:durableId="982393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2B0"/>
    <w:rsid w:val="00107BDF"/>
    <w:rsid w:val="001453BE"/>
    <w:rsid w:val="00184550"/>
    <w:rsid w:val="001F12B0"/>
    <w:rsid w:val="0024640F"/>
    <w:rsid w:val="00250567"/>
    <w:rsid w:val="00376416"/>
    <w:rsid w:val="003D3BD6"/>
    <w:rsid w:val="004A472B"/>
    <w:rsid w:val="004C2EA3"/>
    <w:rsid w:val="00502F66"/>
    <w:rsid w:val="005759C4"/>
    <w:rsid w:val="00817B35"/>
    <w:rsid w:val="00877F15"/>
    <w:rsid w:val="00AC7C3D"/>
    <w:rsid w:val="00DA465B"/>
    <w:rsid w:val="00EA0E3E"/>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EBDD7"/>
  <w15:docId w15:val="{EFD24AB4-63D8-A34B-93B3-9D600993E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360" w:lineRule="auto"/>
      <w:ind w:left="720" w:hanging="360"/>
      <w:jc w:val="both"/>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0"/>
      <w:szCs w:val="30"/>
    </w:rPr>
  </w:style>
  <w:style w:type="paragraph" w:styleId="Heading3">
    <w:name w:val="heading 3"/>
    <w:basedOn w:val="Normal"/>
    <w:next w:val="Normal"/>
    <w:uiPriority w:val="9"/>
    <w:unhideWhenUsed/>
    <w:qFormat/>
    <w:pPr>
      <w:keepNext/>
      <w:keepLines/>
      <w:spacing w:before="320" w:after="80"/>
      <w:outlineLvl w:val="2"/>
    </w:pPr>
    <w:rPr>
      <w:i/>
      <w:color w:val="434343"/>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before="240" w:after="240" w:line="360" w:lineRule="auto"/>
      <w:jc w:val="both"/>
    </w:pPr>
    <w:rPr>
      <w:b/>
      <w:i/>
      <w:color w:val="666666"/>
      <w:sz w:val="24"/>
      <w:szCs w:val="24"/>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er">
    <w:name w:val="footer"/>
    <w:basedOn w:val="Normal"/>
    <w:link w:val="FooterChar"/>
    <w:uiPriority w:val="99"/>
    <w:unhideWhenUsed/>
    <w:rsid w:val="00817B35"/>
    <w:pPr>
      <w:tabs>
        <w:tab w:val="center" w:pos="4513"/>
        <w:tab w:val="right" w:pos="9026"/>
      </w:tabs>
      <w:spacing w:line="240" w:lineRule="auto"/>
    </w:pPr>
  </w:style>
  <w:style w:type="character" w:customStyle="1" w:styleId="FooterChar">
    <w:name w:val="Footer Char"/>
    <w:basedOn w:val="DefaultParagraphFont"/>
    <w:link w:val="Footer"/>
    <w:uiPriority w:val="99"/>
    <w:rsid w:val="00817B35"/>
  </w:style>
  <w:style w:type="character" w:styleId="PageNumber">
    <w:name w:val="page number"/>
    <w:basedOn w:val="DefaultParagraphFont"/>
    <w:uiPriority w:val="99"/>
    <w:semiHidden/>
    <w:unhideWhenUsed/>
    <w:rsid w:val="00817B35"/>
  </w:style>
  <w:style w:type="character" w:styleId="Hyperlink">
    <w:name w:val="Hyperlink"/>
    <w:basedOn w:val="DefaultParagraphFont"/>
    <w:uiPriority w:val="99"/>
    <w:unhideWhenUsed/>
    <w:rsid w:val="00502F66"/>
    <w:rPr>
      <w:color w:val="0000FF" w:themeColor="hyperlink"/>
      <w:u w:val="single"/>
    </w:rPr>
  </w:style>
  <w:style w:type="character" w:styleId="UnresolvedMention">
    <w:name w:val="Unresolved Mention"/>
    <w:basedOn w:val="DefaultParagraphFont"/>
    <w:uiPriority w:val="99"/>
    <w:semiHidden/>
    <w:unhideWhenUsed/>
    <w:rsid w:val="00502F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4360483">
      <w:bodyDiv w:val="1"/>
      <w:marLeft w:val="0"/>
      <w:marRight w:val="0"/>
      <w:marTop w:val="0"/>
      <w:marBottom w:val="0"/>
      <w:divBdr>
        <w:top w:val="none" w:sz="0" w:space="0" w:color="auto"/>
        <w:left w:val="none" w:sz="0" w:space="0" w:color="auto"/>
        <w:bottom w:val="none" w:sz="0" w:space="0" w:color="auto"/>
        <w:right w:val="none" w:sz="0" w:space="0" w:color="auto"/>
      </w:divBdr>
    </w:div>
    <w:div w:id="678774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mo@dignity.d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8" Type="http://schemas.openxmlformats.org/officeDocument/2006/relationships/hyperlink" Target="https://www.zotero.org/google-docs/?NLNeYH" TargetMode="External"/><Relationship Id="rId13" Type="http://schemas.openxmlformats.org/officeDocument/2006/relationships/hyperlink" Target="https://www.azatutyun.am/a/33029865.html" TargetMode="External"/><Relationship Id="rId18" Type="http://schemas.openxmlformats.org/officeDocument/2006/relationships/hyperlink" Target="https://www.csometer.info/sites/default/files/2024-01/Armenia%202023%20CSO%20Meter%20Country%20Report%20ENG__0.pdf" TargetMode="External"/><Relationship Id="rId26" Type="http://schemas.openxmlformats.org/officeDocument/2006/relationships/hyperlink" Target="https://rm.coe.int/1680a29ba1" TargetMode="External"/><Relationship Id="rId3" Type="http://schemas.openxmlformats.org/officeDocument/2006/relationships/hyperlink" Target="https://www.coe.int/en/web/portal/-/prison-overcrowding-remains-a-problem-in-europe-council-of-europe-s-annual-penal-statistics-for-2023" TargetMode="External"/><Relationship Id="rId21" Type="http://schemas.openxmlformats.org/officeDocument/2006/relationships/hyperlink" Target="https://globalinitiative.net/analysis/armenia-organized-crime-corruption-ocindex/" TargetMode="External"/><Relationship Id="rId7" Type="http://schemas.openxmlformats.org/officeDocument/2006/relationships/hyperlink" Target="https://www.zotero.org/google-docs/?NLNeYH" TargetMode="External"/><Relationship Id="rId12" Type="http://schemas.openxmlformats.org/officeDocument/2006/relationships/hyperlink" Target="https://ombuds.am/images/files/022666474d87ff84a86acf39be58bec8.pdf" TargetMode="External"/><Relationship Id="rId17" Type="http://schemas.openxmlformats.org/officeDocument/2006/relationships/hyperlink" Target="https://www.csometer.info/updates/armenia-new-law-police-guards-improve-policing-assemblies" TargetMode="External"/><Relationship Id="rId25" Type="http://schemas.openxmlformats.org/officeDocument/2006/relationships/hyperlink" Target="http://www.parliament.am/news.php?cat_id=2&amp;NewsID=20725&amp;year=2024&amp;month=06&amp;day=07&amp;lang=eng" TargetMode="External"/><Relationship Id="rId2" Type="http://schemas.openxmlformats.org/officeDocument/2006/relationships/hyperlink" Target="https://www.justiceinitiative.org/uploads/4c3491a1-f7a1-48b2-9afd-3cd0a4f220f6/pretrial-detention-and-torture-06222011.pdf" TargetMode="External"/><Relationship Id="rId16" Type="http://schemas.openxmlformats.org/officeDocument/2006/relationships/hyperlink" Target="https://armenianbar.org/2024/06/15/statement-by-the-armenian-bar-association-on-the-excessive-use-of-force-against-peaceful-protesters-in-armenia/" TargetMode="External"/><Relationship Id="rId20" Type="http://schemas.openxmlformats.org/officeDocument/2006/relationships/hyperlink" Target="https://www.1lurer.am/hy/2024/05/29/1/1132936" TargetMode="External"/><Relationship Id="rId29" Type="http://schemas.openxmlformats.org/officeDocument/2006/relationships/hyperlink" Target="https://rm.coe.int/1680a29ba1" TargetMode="External"/><Relationship Id="rId1" Type="http://schemas.openxmlformats.org/officeDocument/2006/relationships/hyperlink" Target="https://www.coe.int/en/web/implementation/armenia-support-to-the-justice-reform-in-armenia" TargetMode="External"/><Relationship Id="rId6" Type="http://schemas.openxmlformats.org/officeDocument/2006/relationships/hyperlink" Target="https://www.zotero.org/google-docs/?NLNeYH" TargetMode="External"/><Relationship Id="rId11" Type="http://schemas.openxmlformats.org/officeDocument/2006/relationships/hyperlink" Target="https://court.am/hy/monitoring" TargetMode="External"/><Relationship Id="rId24" Type="http://schemas.openxmlformats.org/officeDocument/2006/relationships/hyperlink" Target="https://arminfo.info/full_news.php?id=84279&amp;lang=3" TargetMode="External"/><Relationship Id="rId5" Type="http://schemas.openxmlformats.org/officeDocument/2006/relationships/hyperlink" Target="https://wp.unil.ch/space/files/2024/11/SPACE_I_2023_Report.pdf" TargetMode="External"/><Relationship Id="rId15" Type="http://schemas.openxmlformats.org/officeDocument/2006/relationships/hyperlink" Target="https://www.azatutyun.am/a/33117847.html" TargetMode="External"/><Relationship Id="rId23" Type="http://schemas.openxmlformats.org/officeDocument/2006/relationships/hyperlink" Target="http://rsf.org/en/reporters-injured-targeted-police-violence-while-covering-protest-armenia-0" TargetMode="External"/><Relationship Id="rId28" Type="http://schemas.openxmlformats.org/officeDocument/2006/relationships/hyperlink" Target="https://rm.coe.int/1680aeb3f7" TargetMode="External"/><Relationship Id="rId10" Type="http://schemas.openxmlformats.org/officeDocument/2006/relationships/hyperlink" Target="https://www.zotero.org/google-docs/?NLNeYH" TargetMode="External"/><Relationship Id="rId19" Type="http://schemas.openxmlformats.org/officeDocument/2006/relationships/hyperlink" Target="https://csometer.info/updates/armenia-mass-anti-government-protests-accompanied-unlawful-detentions-and-police-violence" TargetMode="External"/><Relationship Id="rId31" Type="http://schemas.openxmlformats.org/officeDocument/2006/relationships/hyperlink" Target="https://www.ecoi.net/en/file/local/2117921/2024-32-inf-en.docx.pdf" TargetMode="External"/><Relationship Id="rId4" Type="http://schemas.openxmlformats.org/officeDocument/2006/relationships/hyperlink" Target="https://www.coe.int/en/web/cpt/-/council-of-europe-anti-torture-committee-cpt-publishes-report-on-its-2023-periodic-visit-to-armenia" TargetMode="External"/><Relationship Id="rId9" Type="http://schemas.openxmlformats.org/officeDocument/2006/relationships/hyperlink" Target="http://www.parliament.am/law_docs/010998HO248eng.pdf?lang=eng" TargetMode="External"/><Relationship Id="rId14" Type="http://schemas.openxmlformats.org/officeDocument/2006/relationships/hyperlink" Target="https://www.amnesty.org/en/latest/news/2024/06/armenia-violence-during-street-protests-must-be-investigated/" TargetMode="External"/><Relationship Id="rId22" Type="http://schemas.openxmlformats.org/officeDocument/2006/relationships/hyperlink" Target="http://www.azatutyun.am/a/32991986.html" TargetMode="External"/><Relationship Id="rId27" Type="http://schemas.openxmlformats.org/officeDocument/2006/relationships/hyperlink" Target="https://www.dignity.dk/wp-content/uploads/legal-fact-sheet-no-10.pdf" TargetMode="External"/><Relationship Id="rId30" Type="http://schemas.openxmlformats.org/officeDocument/2006/relationships/hyperlink" Target="https://rm.coe.int/1680b257b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13</Pages>
  <Words>2782</Words>
  <Characters>16977</Characters>
  <Application>Microsoft Office Word</Application>
  <DocSecurity>0</DocSecurity>
  <Lines>141</Lines>
  <Paragraphs>39</Paragraphs>
  <ScaleCrop>false</ScaleCrop>
  <Company/>
  <LinksUpToDate>false</LinksUpToDate>
  <CharactersWithSpaces>19720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Jens Simon Modvig</cp:lastModifiedBy>
  <cp:revision>9</cp:revision>
  <cp:lastPrinted>2025-01-03T12:58:00Z</cp:lastPrinted>
  <dcterms:created xsi:type="dcterms:W3CDTF">2025-01-03T12:56:00Z</dcterms:created>
  <dcterms:modified xsi:type="dcterms:W3CDTF">2025-01-13T14:59:00Z</dcterms:modified>
</cp:coreProperties>
</file>