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62B" w:rsidRDefault="00E3600D" w:rsidP="00F246A8">
      <w:pPr>
        <w:spacing w:after="0" w:line="360" w:lineRule="auto"/>
        <w:jc w:val="both"/>
        <w:rPr>
          <w:rFonts w:ascii="Arial" w:hAnsi="Arial" w:cs="Arial"/>
          <w:b/>
          <w:sz w:val="24"/>
          <w:szCs w:val="24"/>
        </w:rPr>
      </w:pPr>
      <w:r w:rsidRPr="00E3600D">
        <w:rPr>
          <w:rFonts w:ascii="Arial" w:hAnsi="Arial" w:cs="Arial"/>
          <w:b/>
          <w:noProof/>
          <w:sz w:val="24"/>
          <w:szCs w:val="24"/>
          <w:lang w:eastAsia="fr-FR"/>
        </w:rPr>
        <w:drawing>
          <wp:anchor distT="0" distB="0" distL="114300" distR="114300" simplePos="0" relativeHeight="251658240" behindDoc="0" locked="0" layoutInCell="1" allowOverlap="1">
            <wp:simplePos x="0" y="0"/>
            <wp:positionH relativeFrom="column">
              <wp:posOffset>1938655</wp:posOffset>
            </wp:positionH>
            <wp:positionV relativeFrom="paragraph">
              <wp:posOffset>-337820</wp:posOffset>
            </wp:positionV>
            <wp:extent cx="2333625" cy="2333625"/>
            <wp:effectExtent l="0" t="0" r="0" b="0"/>
            <wp:wrapNone/>
            <wp:docPr id="1" name="Image 1" descr="C:\Users\ZOUGMORE\Documents\PRESI 3\VI - OUTILS ET INSTRUMENTS\logo_MBDHP new--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OUGMORE\Documents\PRESI 3\VI - OUTILS ET INSTRUMENTS\logo_MBDHP new--PN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662B" w:rsidRDefault="006E662B" w:rsidP="00F246A8">
      <w:pPr>
        <w:spacing w:after="0" w:line="360" w:lineRule="auto"/>
        <w:jc w:val="both"/>
        <w:rPr>
          <w:rFonts w:ascii="Arial" w:hAnsi="Arial" w:cs="Arial"/>
          <w:b/>
          <w:sz w:val="24"/>
          <w:szCs w:val="24"/>
        </w:rPr>
      </w:pPr>
    </w:p>
    <w:p w:rsidR="006E662B" w:rsidRDefault="006E662B" w:rsidP="00F246A8">
      <w:pPr>
        <w:spacing w:after="0" w:line="360" w:lineRule="auto"/>
        <w:jc w:val="both"/>
        <w:rPr>
          <w:rFonts w:ascii="Arial" w:hAnsi="Arial" w:cs="Arial"/>
          <w:b/>
          <w:sz w:val="24"/>
          <w:szCs w:val="24"/>
        </w:rPr>
      </w:pPr>
    </w:p>
    <w:p w:rsidR="006E662B" w:rsidRDefault="006E662B" w:rsidP="00F246A8">
      <w:pPr>
        <w:spacing w:after="0" w:line="360" w:lineRule="auto"/>
        <w:jc w:val="both"/>
        <w:rPr>
          <w:rFonts w:ascii="Arial" w:hAnsi="Arial" w:cs="Arial"/>
          <w:b/>
          <w:sz w:val="24"/>
          <w:szCs w:val="24"/>
        </w:rPr>
      </w:pPr>
    </w:p>
    <w:p w:rsidR="00E3600D" w:rsidRDefault="00E3600D" w:rsidP="00F246A8">
      <w:pPr>
        <w:spacing w:after="0" w:line="360" w:lineRule="auto"/>
        <w:jc w:val="both"/>
        <w:rPr>
          <w:rFonts w:ascii="Arial" w:hAnsi="Arial" w:cs="Arial"/>
          <w:b/>
          <w:sz w:val="24"/>
          <w:szCs w:val="24"/>
        </w:rPr>
      </w:pPr>
    </w:p>
    <w:p w:rsidR="00E3600D" w:rsidRDefault="00E3600D" w:rsidP="00F246A8">
      <w:pPr>
        <w:spacing w:after="0" w:line="360" w:lineRule="auto"/>
        <w:jc w:val="both"/>
        <w:rPr>
          <w:rFonts w:ascii="Arial" w:hAnsi="Arial" w:cs="Arial"/>
          <w:b/>
          <w:sz w:val="24"/>
          <w:szCs w:val="24"/>
        </w:rPr>
      </w:pPr>
    </w:p>
    <w:p w:rsidR="006E662B" w:rsidRDefault="006E662B" w:rsidP="00F246A8">
      <w:pPr>
        <w:spacing w:after="0" w:line="360" w:lineRule="auto"/>
        <w:jc w:val="both"/>
        <w:rPr>
          <w:rFonts w:ascii="Arial" w:hAnsi="Arial" w:cs="Arial"/>
          <w:b/>
          <w:sz w:val="24"/>
          <w:szCs w:val="24"/>
        </w:rPr>
      </w:pPr>
    </w:p>
    <w:p w:rsidR="00EC2214" w:rsidRDefault="00EC2214" w:rsidP="00EC2214">
      <w:pPr>
        <w:spacing w:after="0" w:line="360" w:lineRule="auto"/>
        <w:jc w:val="center"/>
        <w:rPr>
          <w:rFonts w:ascii="Arial" w:hAnsi="Arial" w:cs="Arial"/>
          <w:b/>
          <w:sz w:val="48"/>
          <w:szCs w:val="48"/>
        </w:rPr>
      </w:pPr>
      <w:r>
        <w:rPr>
          <w:rFonts w:ascii="Arial" w:hAnsi="Arial" w:cs="Arial"/>
          <w:b/>
          <w:sz w:val="48"/>
          <w:szCs w:val="48"/>
        </w:rPr>
        <w:t xml:space="preserve">MOUVEMENT BURKINABE DES DROITS </w:t>
      </w:r>
      <w:r w:rsidR="006E662B" w:rsidRPr="00EC2214">
        <w:rPr>
          <w:rFonts w:ascii="Arial" w:hAnsi="Arial" w:cs="Arial"/>
          <w:b/>
          <w:sz w:val="48"/>
          <w:szCs w:val="48"/>
        </w:rPr>
        <w:t>DE L’HOMMES ET DES PEUPLES</w:t>
      </w:r>
    </w:p>
    <w:p w:rsidR="006E662B" w:rsidRPr="00EC2214" w:rsidRDefault="006F66FD" w:rsidP="00EC2214">
      <w:pPr>
        <w:spacing w:after="0" w:line="360" w:lineRule="auto"/>
        <w:jc w:val="center"/>
        <w:rPr>
          <w:rFonts w:ascii="Arial" w:hAnsi="Arial" w:cs="Arial"/>
          <w:b/>
          <w:sz w:val="48"/>
          <w:szCs w:val="48"/>
        </w:rPr>
      </w:pPr>
      <w:r w:rsidRPr="00EC2214">
        <w:rPr>
          <w:rFonts w:ascii="Arial" w:hAnsi="Arial" w:cs="Arial"/>
          <w:b/>
          <w:sz w:val="48"/>
          <w:szCs w:val="48"/>
        </w:rPr>
        <w:t>(</w:t>
      </w:r>
      <w:r w:rsidR="006E662B" w:rsidRPr="00EC2214">
        <w:rPr>
          <w:rFonts w:ascii="Arial" w:hAnsi="Arial" w:cs="Arial"/>
          <w:b/>
          <w:sz w:val="48"/>
          <w:szCs w:val="48"/>
        </w:rPr>
        <w:t>MBDHP</w:t>
      </w:r>
      <w:r w:rsidRPr="00EC2214">
        <w:rPr>
          <w:rFonts w:ascii="Arial" w:hAnsi="Arial" w:cs="Arial"/>
          <w:b/>
          <w:sz w:val="48"/>
          <w:szCs w:val="48"/>
        </w:rPr>
        <w:t>)</w:t>
      </w:r>
    </w:p>
    <w:p w:rsidR="006E662B" w:rsidRPr="00EC2214" w:rsidRDefault="006E662B" w:rsidP="00EC2214">
      <w:pPr>
        <w:spacing w:after="0" w:line="360" w:lineRule="auto"/>
        <w:rPr>
          <w:rFonts w:ascii="Arial" w:hAnsi="Arial" w:cs="Arial"/>
          <w:b/>
          <w:sz w:val="48"/>
          <w:szCs w:val="48"/>
        </w:rPr>
      </w:pPr>
    </w:p>
    <w:p w:rsidR="006E662B" w:rsidRDefault="006E662B" w:rsidP="00F246A8">
      <w:pPr>
        <w:spacing w:after="0" w:line="360" w:lineRule="auto"/>
        <w:jc w:val="both"/>
        <w:rPr>
          <w:rFonts w:ascii="Arial" w:hAnsi="Arial" w:cs="Arial"/>
          <w:b/>
          <w:sz w:val="24"/>
          <w:szCs w:val="24"/>
        </w:rPr>
      </w:pPr>
    </w:p>
    <w:p w:rsidR="006E662B" w:rsidRDefault="006E662B" w:rsidP="00F246A8">
      <w:pPr>
        <w:spacing w:after="0" w:line="360" w:lineRule="auto"/>
        <w:jc w:val="both"/>
        <w:rPr>
          <w:rFonts w:ascii="Arial" w:hAnsi="Arial" w:cs="Arial"/>
          <w:b/>
          <w:sz w:val="24"/>
          <w:szCs w:val="24"/>
        </w:rPr>
      </w:pPr>
    </w:p>
    <w:p w:rsidR="006E662B" w:rsidRDefault="006E662B" w:rsidP="00F246A8">
      <w:pPr>
        <w:spacing w:after="0" w:line="360" w:lineRule="auto"/>
        <w:jc w:val="both"/>
        <w:rPr>
          <w:rFonts w:ascii="Arial" w:hAnsi="Arial" w:cs="Arial"/>
          <w:b/>
          <w:sz w:val="24"/>
          <w:szCs w:val="24"/>
        </w:rPr>
      </w:pPr>
    </w:p>
    <w:p w:rsidR="00F246A8" w:rsidRPr="00FE3B0E" w:rsidRDefault="00F246A8" w:rsidP="00FE3B0E">
      <w:pPr>
        <w:spacing w:after="0" w:line="360" w:lineRule="auto"/>
        <w:jc w:val="center"/>
        <w:rPr>
          <w:rFonts w:ascii="Arial" w:hAnsi="Arial" w:cs="Arial"/>
          <w:b/>
          <w:sz w:val="30"/>
          <w:szCs w:val="30"/>
        </w:rPr>
      </w:pPr>
      <w:r w:rsidRPr="00FE3B0E">
        <w:rPr>
          <w:rFonts w:ascii="Arial" w:hAnsi="Arial" w:cs="Arial"/>
          <w:b/>
          <w:sz w:val="30"/>
          <w:szCs w:val="30"/>
        </w:rPr>
        <w:t>RAPPORT ALTERNATIF SUR L’ETAT DES DROITS ECONOMIQUES, SOCIAUX  ET CULTURELS  AU BURKINA FASO</w:t>
      </w:r>
    </w:p>
    <w:p w:rsidR="006E662B" w:rsidRPr="00FE3B0E" w:rsidRDefault="00EC2214" w:rsidP="00EC2214">
      <w:pPr>
        <w:spacing w:after="0" w:line="360" w:lineRule="auto"/>
        <w:rPr>
          <w:rFonts w:ascii="Arial" w:hAnsi="Arial" w:cs="Arial"/>
          <w:b/>
          <w:sz w:val="30"/>
          <w:szCs w:val="30"/>
        </w:rPr>
      </w:pPr>
      <w:r w:rsidRPr="00FE3B0E">
        <w:rPr>
          <w:rFonts w:ascii="Arial" w:hAnsi="Arial" w:cs="Arial"/>
          <w:b/>
          <w:sz w:val="30"/>
          <w:szCs w:val="30"/>
        </w:rPr>
        <w:t xml:space="preserve">                                                     </w:t>
      </w:r>
      <w:r w:rsidR="006E662B" w:rsidRPr="00FE3B0E">
        <w:rPr>
          <w:rFonts w:ascii="Arial" w:hAnsi="Arial" w:cs="Arial"/>
          <w:b/>
          <w:sz w:val="30"/>
          <w:szCs w:val="30"/>
        </w:rPr>
        <w:t>2015</w:t>
      </w:r>
    </w:p>
    <w:p w:rsidR="00F246A8" w:rsidRDefault="00F246A8" w:rsidP="00F246A8">
      <w:pPr>
        <w:spacing w:after="0" w:line="360" w:lineRule="auto"/>
        <w:jc w:val="both"/>
        <w:rPr>
          <w:rFonts w:ascii="Arial"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B7403A" w:rsidRDefault="00B7403A" w:rsidP="00B7403A">
      <w:pPr>
        <w:jc w:val="center"/>
        <w:rPr>
          <w:rFonts w:ascii="Arial" w:eastAsia="Calibri" w:hAnsi="Arial" w:cs="Arial"/>
          <w:b/>
          <w:sz w:val="24"/>
          <w:szCs w:val="24"/>
        </w:rPr>
      </w:pPr>
    </w:p>
    <w:p w:rsidR="00F661A3" w:rsidRDefault="00F661A3" w:rsidP="00F661A3">
      <w:pPr>
        <w:jc w:val="center"/>
        <w:rPr>
          <w:rFonts w:ascii="Arial" w:eastAsia="Calibri" w:hAnsi="Arial" w:cs="Arial"/>
          <w:b/>
          <w:sz w:val="24"/>
          <w:szCs w:val="24"/>
        </w:rPr>
      </w:pPr>
    </w:p>
    <w:p w:rsidR="00F661A3" w:rsidRPr="00F661A3" w:rsidRDefault="00F661A3" w:rsidP="003D640E">
      <w:pPr>
        <w:jc w:val="center"/>
        <w:rPr>
          <w:rFonts w:ascii="Arial" w:eastAsia="Calibri" w:hAnsi="Arial" w:cs="Arial"/>
          <w:b/>
          <w:sz w:val="24"/>
          <w:szCs w:val="24"/>
        </w:rPr>
      </w:pPr>
      <w:r w:rsidRPr="00F661A3">
        <w:rPr>
          <w:rFonts w:ascii="Arial" w:eastAsia="Calibri" w:hAnsi="Arial" w:cs="Arial"/>
          <w:b/>
          <w:sz w:val="24"/>
          <w:szCs w:val="24"/>
        </w:rPr>
        <w:t>Table des matières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
        <w:gridCol w:w="9218"/>
        <w:gridCol w:w="704"/>
        <w:gridCol w:w="38"/>
      </w:tblGrid>
      <w:tr w:rsidR="006F66FD" w:rsidRPr="00527B77" w:rsidTr="003D640E">
        <w:tc>
          <w:tcPr>
            <w:tcW w:w="9256" w:type="dxa"/>
            <w:gridSpan w:val="2"/>
          </w:tcPr>
          <w:p w:rsidR="006F66FD" w:rsidRPr="00527B77" w:rsidRDefault="006F66FD" w:rsidP="003D640E">
            <w:pPr>
              <w:rPr>
                <w:rFonts w:ascii="Arial" w:eastAsia="Calibri" w:hAnsi="Arial" w:cs="Arial"/>
                <w:b/>
                <w:sz w:val="24"/>
                <w:szCs w:val="24"/>
              </w:rPr>
            </w:pPr>
            <w:r>
              <w:rPr>
                <w:rFonts w:ascii="Arial" w:eastAsia="Calibri" w:hAnsi="Arial" w:cs="Arial"/>
                <w:b/>
                <w:sz w:val="24"/>
                <w:szCs w:val="24"/>
              </w:rPr>
              <w:t>Table des matières…</w:t>
            </w:r>
            <w:r w:rsidRPr="00527B77">
              <w:rPr>
                <w:rFonts w:ascii="Arial" w:eastAsia="Calibri" w:hAnsi="Arial" w:cs="Arial"/>
                <w:b/>
                <w:sz w:val="24"/>
                <w:szCs w:val="24"/>
              </w:rPr>
              <w:t>…………………………………………………………………</w:t>
            </w:r>
            <w:r w:rsidR="005C1583">
              <w:rPr>
                <w:rFonts w:ascii="Arial" w:eastAsia="Calibri" w:hAnsi="Arial" w:cs="Arial"/>
                <w:b/>
                <w:sz w:val="24"/>
                <w:szCs w:val="24"/>
              </w:rPr>
              <w:t>……</w:t>
            </w:r>
            <w:r w:rsidRPr="00527B77">
              <w:rPr>
                <w:rFonts w:ascii="Arial" w:eastAsia="Calibri" w:hAnsi="Arial" w:cs="Arial"/>
                <w:b/>
                <w:sz w:val="24"/>
                <w:szCs w:val="24"/>
              </w:rPr>
              <w:t>2</w:t>
            </w:r>
          </w:p>
        </w:tc>
        <w:tc>
          <w:tcPr>
            <w:tcW w:w="742" w:type="dxa"/>
            <w:gridSpan w:val="2"/>
          </w:tcPr>
          <w:p w:rsidR="006F66FD" w:rsidRPr="00527B77" w:rsidRDefault="006F66FD" w:rsidP="003D640E">
            <w:pPr>
              <w:rPr>
                <w:rFonts w:ascii="Arial" w:eastAsia="Calibri" w:hAnsi="Arial" w:cs="Arial"/>
                <w:b/>
                <w:sz w:val="24"/>
                <w:szCs w:val="24"/>
              </w:rPr>
            </w:pPr>
          </w:p>
        </w:tc>
      </w:tr>
      <w:tr w:rsidR="006F66FD" w:rsidRPr="00527B77" w:rsidTr="003D640E">
        <w:tc>
          <w:tcPr>
            <w:tcW w:w="9256" w:type="dxa"/>
            <w:gridSpan w:val="2"/>
          </w:tcPr>
          <w:p w:rsidR="006F66FD" w:rsidRPr="00527B77" w:rsidRDefault="006F66FD" w:rsidP="003D640E">
            <w:pPr>
              <w:rPr>
                <w:rFonts w:ascii="Arial" w:eastAsia="Calibri" w:hAnsi="Arial" w:cs="Arial"/>
                <w:b/>
                <w:sz w:val="24"/>
                <w:szCs w:val="24"/>
              </w:rPr>
            </w:pPr>
            <w:r w:rsidRPr="00527B77">
              <w:rPr>
                <w:rFonts w:ascii="Arial" w:eastAsia="Calibri" w:hAnsi="Arial" w:cs="Arial"/>
                <w:b/>
                <w:sz w:val="24"/>
                <w:szCs w:val="24"/>
              </w:rPr>
              <w:t>Liste des sigles et abréviations…………</w:t>
            </w:r>
            <w:r>
              <w:rPr>
                <w:rFonts w:ascii="Arial" w:eastAsia="Calibri" w:hAnsi="Arial" w:cs="Arial"/>
                <w:b/>
                <w:sz w:val="24"/>
                <w:szCs w:val="24"/>
              </w:rPr>
              <w:t>………………………………..................</w:t>
            </w:r>
            <w:r w:rsidR="007160E9">
              <w:rPr>
                <w:rFonts w:ascii="Arial" w:eastAsia="Calibri" w:hAnsi="Arial" w:cs="Arial"/>
                <w:b/>
                <w:sz w:val="24"/>
                <w:szCs w:val="24"/>
              </w:rPr>
              <w:t>....</w:t>
            </w:r>
            <w:r w:rsidR="005C1583">
              <w:rPr>
                <w:rFonts w:ascii="Arial" w:eastAsia="Calibri" w:hAnsi="Arial" w:cs="Arial"/>
                <w:b/>
                <w:sz w:val="24"/>
                <w:szCs w:val="24"/>
              </w:rPr>
              <w:t>4</w:t>
            </w:r>
          </w:p>
        </w:tc>
        <w:tc>
          <w:tcPr>
            <w:tcW w:w="742" w:type="dxa"/>
            <w:gridSpan w:val="2"/>
          </w:tcPr>
          <w:p w:rsidR="006F66FD" w:rsidRPr="00527B77" w:rsidRDefault="006F66FD" w:rsidP="003D640E">
            <w:pPr>
              <w:rPr>
                <w:rFonts w:ascii="Arial" w:eastAsia="Calibri" w:hAnsi="Arial" w:cs="Arial"/>
                <w:b/>
                <w:sz w:val="24"/>
                <w:szCs w:val="24"/>
              </w:rPr>
            </w:pPr>
          </w:p>
        </w:tc>
      </w:tr>
      <w:tr w:rsidR="006F66FD" w:rsidRPr="00527B77" w:rsidTr="003D640E">
        <w:tc>
          <w:tcPr>
            <w:tcW w:w="9256" w:type="dxa"/>
            <w:gridSpan w:val="2"/>
          </w:tcPr>
          <w:p w:rsidR="006F66FD" w:rsidRPr="00527B77" w:rsidRDefault="006F66FD" w:rsidP="003D640E">
            <w:pPr>
              <w:rPr>
                <w:rFonts w:ascii="Arial" w:eastAsia="Calibri" w:hAnsi="Arial" w:cs="Arial"/>
                <w:b/>
                <w:sz w:val="24"/>
                <w:szCs w:val="24"/>
              </w:rPr>
            </w:pPr>
            <w:r w:rsidRPr="00527B77">
              <w:rPr>
                <w:rFonts w:ascii="Arial" w:eastAsia="Calibri" w:hAnsi="Arial" w:cs="Arial"/>
                <w:b/>
                <w:sz w:val="24"/>
                <w:szCs w:val="24"/>
              </w:rPr>
              <w:t>Introduction</w:t>
            </w:r>
            <w:r>
              <w:rPr>
                <w:rFonts w:ascii="Arial" w:eastAsia="Calibri" w:hAnsi="Arial" w:cs="Arial"/>
                <w:b/>
                <w:sz w:val="24"/>
                <w:szCs w:val="24"/>
              </w:rPr>
              <w:t>………………………………………………………………………………</w:t>
            </w:r>
            <w:r w:rsidR="005C1583">
              <w:rPr>
                <w:rFonts w:ascii="Arial" w:eastAsia="Calibri" w:hAnsi="Arial" w:cs="Arial"/>
                <w:b/>
                <w:sz w:val="24"/>
                <w:szCs w:val="24"/>
              </w:rPr>
              <w:t>….6</w:t>
            </w:r>
          </w:p>
        </w:tc>
        <w:tc>
          <w:tcPr>
            <w:tcW w:w="742" w:type="dxa"/>
            <w:gridSpan w:val="2"/>
          </w:tcPr>
          <w:p w:rsidR="006F66FD" w:rsidRPr="00527B77" w:rsidRDefault="006F66FD" w:rsidP="003D640E">
            <w:pPr>
              <w:rPr>
                <w:rFonts w:ascii="Arial" w:eastAsia="Calibri" w:hAnsi="Arial" w:cs="Arial"/>
                <w:b/>
                <w:sz w:val="24"/>
                <w:szCs w:val="24"/>
              </w:rPr>
            </w:pPr>
          </w:p>
        </w:tc>
      </w:tr>
      <w:tr w:rsidR="006F66FD" w:rsidRPr="00527B77" w:rsidTr="003D640E">
        <w:tc>
          <w:tcPr>
            <w:tcW w:w="9256" w:type="dxa"/>
            <w:gridSpan w:val="2"/>
          </w:tcPr>
          <w:p w:rsidR="006F66FD" w:rsidRPr="00527B77" w:rsidRDefault="006F66FD" w:rsidP="003D640E">
            <w:pPr>
              <w:rPr>
                <w:rFonts w:ascii="Arial" w:eastAsia="Calibri" w:hAnsi="Arial" w:cs="Arial"/>
                <w:b/>
                <w:sz w:val="24"/>
                <w:szCs w:val="24"/>
              </w:rPr>
            </w:pPr>
            <w:r w:rsidRPr="003D640E">
              <w:rPr>
                <w:rFonts w:ascii="Arial" w:eastAsia="Calibri" w:hAnsi="Arial" w:cs="Arial"/>
                <w:b/>
                <w:i/>
                <w:sz w:val="24"/>
                <w:szCs w:val="24"/>
              </w:rPr>
              <w:t>PREMIERE PARTIE : CONTEXTE POLITIQUE, ECONOMIQUE, SOCIAL                               ET CULTUREL DU BURKINA FASO</w:t>
            </w:r>
            <w:r w:rsidR="005C1583" w:rsidRPr="003D640E">
              <w:rPr>
                <w:rFonts w:ascii="Arial" w:eastAsia="Calibri" w:hAnsi="Arial" w:cs="Arial"/>
                <w:b/>
                <w:i/>
                <w:sz w:val="24"/>
                <w:szCs w:val="24"/>
              </w:rPr>
              <w:t>……………………………….………………...</w:t>
            </w:r>
            <w:r w:rsidR="007160E9" w:rsidRPr="003D640E">
              <w:rPr>
                <w:rFonts w:ascii="Arial" w:eastAsia="Calibri" w:hAnsi="Arial" w:cs="Arial"/>
                <w:b/>
                <w:i/>
                <w:sz w:val="24"/>
                <w:szCs w:val="24"/>
              </w:rPr>
              <w:t>....</w:t>
            </w:r>
            <w:r w:rsidR="005C1583">
              <w:rPr>
                <w:rFonts w:ascii="Arial" w:eastAsia="Calibri" w:hAnsi="Arial" w:cs="Arial"/>
                <w:b/>
                <w:sz w:val="24"/>
                <w:szCs w:val="24"/>
              </w:rPr>
              <w:t>7</w:t>
            </w:r>
          </w:p>
        </w:tc>
        <w:tc>
          <w:tcPr>
            <w:tcW w:w="742" w:type="dxa"/>
            <w:gridSpan w:val="2"/>
          </w:tcPr>
          <w:p w:rsidR="006F66FD" w:rsidRPr="00527B77" w:rsidRDefault="006F66FD" w:rsidP="003D640E">
            <w:pPr>
              <w:rPr>
                <w:rFonts w:ascii="Arial" w:eastAsia="Calibri" w:hAnsi="Arial" w:cs="Arial"/>
                <w:b/>
                <w:sz w:val="24"/>
                <w:szCs w:val="24"/>
              </w:rPr>
            </w:pPr>
          </w:p>
        </w:tc>
      </w:tr>
      <w:tr w:rsidR="006F66FD" w:rsidRPr="00527B77" w:rsidTr="003D640E">
        <w:tc>
          <w:tcPr>
            <w:tcW w:w="9256" w:type="dxa"/>
            <w:gridSpan w:val="2"/>
          </w:tcPr>
          <w:p w:rsidR="006F66FD" w:rsidRPr="00527B77" w:rsidRDefault="006F66FD" w:rsidP="003D640E">
            <w:pPr>
              <w:spacing w:after="0" w:line="360" w:lineRule="auto"/>
              <w:rPr>
                <w:rFonts w:ascii="Arial" w:hAnsi="Arial" w:cs="Arial"/>
                <w:b/>
                <w:sz w:val="24"/>
                <w:szCs w:val="24"/>
              </w:rPr>
            </w:pPr>
            <w:r w:rsidRPr="003D640E">
              <w:rPr>
                <w:rFonts w:ascii="Arial" w:hAnsi="Arial" w:cs="Arial"/>
                <w:b/>
                <w:i/>
                <w:sz w:val="24"/>
                <w:szCs w:val="24"/>
              </w:rPr>
              <w:t>DEUXIEME PARTIE : CADRE JURIDIQUE ET INSTITUTIONNEL DE MISE EN       ŒUVRE DES DROITS ECONOM</w:t>
            </w:r>
            <w:r w:rsidR="005C1583" w:rsidRPr="003D640E">
              <w:rPr>
                <w:rFonts w:ascii="Arial" w:hAnsi="Arial" w:cs="Arial"/>
                <w:b/>
                <w:i/>
                <w:sz w:val="24"/>
                <w:szCs w:val="24"/>
              </w:rPr>
              <w:t>IQUES, SOCIAUX ET CULTURELS……………...</w:t>
            </w:r>
            <w:r w:rsidR="005C1583">
              <w:rPr>
                <w:rFonts w:ascii="Arial" w:hAnsi="Arial" w:cs="Arial"/>
                <w:b/>
                <w:sz w:val="24"/>
                <w:szCs w:val="24"/>
              </w:rPr>
              <w:t>7</w:t>
            </w:r>
          </w:p>
        </w:tc>
        <w:tc>
          <w:tcPr>
            <w:tcW w:w="742" w:type="dxa"/>
            <w:gridSpan w:val="2"/>
          </w:tcPr>
          <w:p w:rsidR="006F66FD" w:rsidRPr="00527B77" w:rsidRDefault="006F66FD" w:rsidP="003D640E">
            <w:pPr>
              <w:spacing w:after="0" w:line="360" w:lineRule="auto"/>
              <w:rPr>
                <w:rFonts w:ascii="Arial" w:hAnsi="Arial" w:cs="Arial"/>
                <w:b/>
                <w:sz w:val="24"/>
                <w:szCs w:val="24"/>
              </w:rPr>
            </w:pPr>
          </w:p>
        </w:tc>
      </w:tr>
      <w:tr w:rsidR="006F66FD" w:rsidRPr="00527B77" w:rsidTr="003D640E">
        <w:tc>
          <w:tcPr>
            <w:tcW w:w="9256" w:type="dxa"/>
            <w:gridSpan w:val="2"/>
          </w:tcPr>
          <w:p w:rsidR="006F66FD" w:rsidRPr="00527B77" w:rsidRDefault="006F66FD" w:rsidP="00FE3B0E">
            <w:pPr>
              <w:spacing w:after="0" w:line="360" w:lineRule="auto"/>
              <w:rPr>
                <w:rFonts w:ascii="Arial" w:hAnsi="Arial" w:cs="Arial"/>
                <w:b/>
                <w:sz w:val="24"/>
                <w:szCs w:val="24"/>
              </w:rPr>
            </w:pPr>
            <w:r w:rsidRPr="003D640E">
              <w:rPr>
                <w:rFonts w:ascii="Arial" w:hAnsi="Arial" w:cs="Arial"/>
                <w:b/>
                <w:sz w:val="24"/>
                <w:szCs w:val="24"/>
              </w:rPr>
              <w:t>A. Cadre juridique……………………………………………………………………</w:t>
            </w:r>
            <w:r w:rsidR="005C1583" w:rsidRPr="003D640E">
              <w:rPr>
                <w:rFonts w:ascii="Arial" w:hAnsi="Arial" w:cs="Arial"/>
                <w:b/>
                <w:sz w:val="24"/>
                <w:szCs w:val="24"/>
              </w:rPr>
              <w:t>...</w:t>
            </w:r>
            <w:r w:rsidRPr="003D640E">
              <w:rPr>
                <w:rFonts w:ascii="Arial" w:hAnsi="Arial" w:cs="Arial"/>
                <w:b/>
                <w:sz w:val="24"/>
                <w:szCs w:val="24"/>
              </w:rPr>
              <w:t>.</w:t>
            </w:r>
            <w:r w:rsidR="007160E9" w:rsidRPr="003D640E">
              <w:rPr>
                <w:rFonts w:ascii="Arial" w:hAnsi="Arial" w:cs="Arial"/>
                <w:b/>
                <w:sz w:val="24"/>
                <w:szCs w:val="24"/>
              </w:rPr>
              <w:t>...</w:t>
            </w:r>
            <w:r w:rsidR="005C1583" w:rsidRPr="003D640E">
              <w:rPr>
                <w:rFonts w:ascii="Arial" w:hAnsi="Arial" w:cs="Arial"/>
                <w:b/>
                <w:sz w:val="24"/>
                <w:szCs w:val="24"/>
              </w:rPr>
              <w:t>.</w:t>
            </w:r>
            <w:r w:rsidR="005C1583">
              <w:rPr>
                <w:rFonts w:ascii="Arial" w:hAnsi="Arial" w:cs="Arial"/>
                <w:b/>
                <w:sz w:val="24"/>
                <w:szCs w:val="24"/>
              </w:rPr>
              <w:t>7</w:t>
            </w:r>
          </w:p>
        </w:tc>
        <w:tc>
          <w:tcPr>
            <w:tcW w:w="742" w:type="dxa"/>
            <w:gridSpan w:val="2"/>
          </w:tcPr>
          <w:p w:rsidR="006F66FD" w:rsidRPr="00527B77" w:rsidRDefault="006F66FD" w:rsidP="003D640E">
            <w:pPr>
              <w:spacing w:after="0" w:line="360" w:lineRule="auto"/>
              <w:jc w:val="both"/>
              <w:rPr>
                <w:rFonts w:ascii="Arial" w:hAnsi="Arial" w:cs="Arial"/>
                <w:b/>
                <w:sz w:val="24"/>
                <w:szCs w:val="24"/>
              </w:rPr>
            </w:pPr>
          </w:p>
        </w:tc>
      </w:tr>
      <w:tr w:rsidR="006F66FD" w:rsidRPr="00527B77" w:rsidTr="003D640E">
        <w:tc>
          <w:tcPr>
            <w:tcW w:w="9256" w:type="dxa"/>
            <w:gridSpan w:val="2"/>
          </w:tcPr>
          <w:p w:rsidR="006F66FD" w:rsidRPr="003D640E" w:rsidRDefault="006F66FD" w:rsidP="003D640E">
            <w:pPr>
              <w:spacing w:after="0" w:line="360" w:lineRule="auto"/>
              <w:jc w:val="both"/>
              <w:rPr>
                <w:rFonts w:ascii="Arial" w:hAnsi="Arial" w:cs="Arial"/>
                <w:b/>
                <w:sz w:val="24"/>
                <w:szCs w:val="24"/>
              </w:rPr>
            </w:pPr>
            <w:r w:rsidRPr="003D640E">
              <w:rPr>
                <w:rFonts w:ascii="Arial" w:hAnsi="Arial" w:cs="Arial"/>
                <w:b/>
                <w:sz w:val="24"/>
                <w:szCs w:val="24"/>
              </w:rPr>
              <w:t>a. La Constitution……………………………………………………………………</w:t>
            </w:r>
            <w:r w:rsidR="005C1583" w:rsidRPr="003D640E">
              <w:rPr>
                <w:rFonts w:ascii="Arial" w:hAnsi="Arial" w:cs="Arial"/>
                <w:b/>
                <w:sz w:val="24"/>
                <w:szCs w:val="24"/>
              </w:rPr>
              <w:t>……..7</w:t>
            </w:r>
          </w:p>
        </w:tc>
        <w:tc>
          <w:tcPr>
            <w:tcW w:w="742" w:type="dxa"/>
            <w:gridSpan w:val="2"/>
          </w:tcPr>
          <w:p w:rsidR="006F66FD" w:rsidRPr="00527B77" w:rsidRDefault="006F66FD" w:rsidP="003D640E">
            <w:pPr>
              <w:spacing w:after="0" w:line="360" w:lineRule="auto"/>
              <w:jc w:val="both"/>
              <w:rPr>
                <w:rFonts w:ascii="Arial" w:hAnsi="Arial" w:cs="Arial"/>
                <w:b/>
                <w:sz w:val="24"/>
                <w:szCs w:val="24"/>
              </w:rPr>
            </w:pPr>
          </w:p>
        </w:tc>
      </w:tr>
      <w:tr w:rsidR="005C1583" w:rsidRPr="00527B77" w:rsidTr="003D640E">
        <w:tc>
          <w:tcPr>
            <w:tcW w:w="9256" w:type="dxa"/>
            <w:gridSpan w:val="2"/>
          </w:tcPr>
          <w:p w:rsidR="005C1583" w:rsidRPr="003D640E" w:rsidRDefault="005C1583" w:rsidP="003D640E">
            <w:pPr>
              <w:spacing w:after="0" w:line="360" w:lineRule="auto"/>
              <w:rPr>
                <w:rFonts w:ascii="Arial" w:hAnsi="Arial" w:cs="Arial"/>
                <w:b/>
                <w:sz w:val="24"/>
                <w:szCs w:val="24"/>
              </w:rPr>
            </w:pPr>
            <w:r w:rsidRPr="003D640E">
              <w:rPr>
                <w:rFonts w:ascii="Arial" w:hAnsi="Arial" w:cs="Arial"/>
                <w:b/>
                <w:sz w:val="24"/>
                <w:szCs w:val="24"/>
              </w:rPr>
              <w:t>b. Autres textes législatifs ou règlementaires de promotion ou de protection                 des droits économiques, sociaux et culturels………………………………………..</w:t>
            </w:r>
            <w:r w:rsidR="008B786B" w:rsidRPr="003D640E">
              <w:rPr>
                <w:rFonts w:ascii="Arial" w:hAnsi="Arial" w:cs="Arial"/>
                <w:b/>
                <w:sz w:val="24"/>
                <w:szCs w:val="24"/>
              </w:rPr>
              <w:t>8</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B. Les institutions et politiques de mise en œuvre des droits économiques,      sociaux et culturels………………………………………………………………………</w:t>
            </w:r>
            <w:r>
              <w:rPr>
                <w:rFonts w:ascii="Arial" w:hAnsi="Arial" w:cs="Arial"/>
                <w:b/>
                <w:sz w:val="24"/>
                <w:szCs w:val="24"/>
              </w:rPr>
              <w:t>.</w:t>
            </w:r>
            <w:r w:rsidR="008B786B">
              <w:rPr>
                <w:rFonts w:ascii="Arial" w:hAnsi="Arial" w:cs="Arial"/>
                <w:b/>
                <w:sz w:val="24"/>
                <w:szCs w:val="24"/>
              </w:rPr>
              <w:t>.9</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3D640E">
              <w:rPr>
                <w:rFonts w:ascii="Arial" w:hAnsi="Arial" w:cs="Arial"/>
                <w:b/>
                <w:i/>
                <w:sz w:val="24"/>
                <w:szCs w:val="24"/>
              </w:rPr>
              <w:t>TROISIEME PARTIE : ETAT DE MISE EN ŒUVRE DES DROITS                   ECONOMIQUES, SOCIAUX ET CULTURELS AU BURKINA FASO………………</w:t>
            </w:r>
            <w:r w:rsidR="008B786B" w:rsidRPr="003D640E">
              <w:rPr>
                <w:rFonts w:ascii="Arial" w:hAnsi="Arial" w:cs="Arial"/>
                <w:b/>
                <w:i/>
                <w:sz w:val="24"/>
                <w:szCs w:val="24"/>
              </w:rPr>
              <w:t>..</w:t>
            </w:r>
            <w:r w:rsidR="008B786B">
              <w:rPr>
                <w:rFonts w:ascii="Arial" w:hAnsi="Arial" w:cs="Arial"/>
                <w:b/>
                <w:sz w:val="24"/>
                <w:szCs w:val="24"/>
              </w:rPr>
              <w:t>9</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3D640E">
              <w:rPr>
                <w:rFonts w:ascii="Arial" w:hAnsi="Arial" w:cs="Arial"/>
                <w:b/>
                <w:i/>
                <w:sz w:val="24"/>
                <w:szCs w:val="24"/>
              </w:rPr>
              <w:t>SECTION I : DES DROITS ECONOMIQUES ET SOCIAUX…………………………</w:t>
            </w:r>
            <w:r w:rsidR="008B786B" w:rsidRPr="003D640E">
              <w:rPr>
                <w:rFonts w:ascii="Arial" w:hAnsi="Arial" w:cs="Arial"/>
                <w:b/>
                <w:i/>
                <w:sz w:val="24"/>
                <w:szCs w:val="24"/>
              </w:rPr>
              <w:t>..</w:t>
            </w:r>
            <w:r w:rsidR="008B786B">
              <w:rPr>
                <w:rFonts w:ascii="Arial" w:hAnsi="Arial" w:cs="Arial"/>
                <w:b/>
                <w:sz w:val="24"/>
                <w:szCs w:val="24"/>
              </w:rPr>
              <w:t>9</w:t>
            </w:r>
          </w:p>
        </w:tc>
        <w:tc>
          <w:tcPr>
            <w:tcW w:w="742" w:type="dxa"/>
            <w:gridSpan w:val="2"/>
          </w:tcPr>
          <w:p w:rsidR="005C1583" w:rsidRPr="00527B77" w:rsidRDefault="005C1583" w:rsidP="003D640E">
            <w:pPr>
              <w:spacing w:after="0" w:line="360" w:lineRule="auto"/>
              <w:jc w:val="both"/>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I. Le droit au travail et la lutte contre le chômage (article 6)…………………..</w:t>
            </w:r>
            <w:r w:rsidR="007160E9">
              <w:rPr>
                <w:rFonts w:ascii="Arial" w:hAnsi="Arial" w:cs="Arial"/>
                <w:b/>
                <w:sz w:val="24"/>
                <w:szCs w:val="24"/>
              </w:rPr>
              <w:t>......</w:t>
            </w:r>
            <w:r w:rsidR="008B786B">
              <w:rPr>
                <w:rFonts w:ascii="Arial" w:hAnsi="Arial" w:cs="Arial"/>
                <w:b/>
                <w:sz w:val="24"/>
                <w:szCs w:val="24"/>
              </w:rPr>
              <w:t>9</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II. Le droit à des conditions de travail justes et favorables (article 7)…………</w:t>
            </w:r>
            <w:r w:rsidR="008B786B">
              <w:rPr>
                <w:rFonts w:ascii="Arial" w:hAnsi="Arial" w:cs="Arial"/>
                <w:b/>
                <w:sz w:val="24"/>
                <w:szCs w:val="24"/>
              </w:rPr>
              <w:t>..11</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III. La liberté syndicale et le droit de grève (article 8)……………………………</w:t>
            </w:r>
            <w:r w:rsidR="007160E9">
              <w:rPr>
                <w:rFonts w:ascii="Arial" w:hAnsi="Arial" w:cs="Arial"/>
                <w:b/>
                <w:sz w:val="24"/>
                <w:szCs w:val="24"/>
              </w:rPr>
              <w:t>...</w:t>
            </w:r>
            <w:r w:rsidR="008B786B">
              <w:rPr>
                <w:rFonts w:ascii="Arial" w:hAnsi="Arial" w:cs="Arial"/>
                <w:b/>
                <w:sz w:val="24"/>
                <w:szCs w:val="24"/>
              </w:rPr>
              <w:t>12</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IV. Le droit de la femme à une protection spéciale (article 10.2)………………</w:t>
            </w:r>
            <w:r w:rsidR="007160E9">
              <w:rPr>
                <w:rFonts w:ascii="Arial" w:hAnsi="Arial" w:cs="Arial"/>
                <w:b/>
                <w:sz w:val="24"/>
                <w:szCs w:val="24"/>
              </w:rPr>
              <w:t>...</w:t>
            </w:r>
            <w:r w:rsidR="008B786B">
              <w:rPr>
                <w:rFonts w:ascii="Arial" w:hAnsi="Arial" w:cs="Arial"/>
                <w:b/>
                <w:sz w:val="24"/>
                <w:szCs w:val="24"/>
              </w:rPr>
              <w:t>13</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pStyle w:val="Titre3"/>
              <w:spacing w:before="0" w:after="120"/>
              <w:outlineLvl w:val="2"/>
              <w:rPr>
                <w:sz w:val="24"/>
                <w:szCs w:val="24"/>
              </w:rPr>
            </w:pPr>
            <w:r w:rsidRPr="00527B77">
              <w:rPr>
                <w:sz w:val="24"/>
                <w:szCs w:val="24"/>
              </w:rPr>
              <w:t>V. Le droit à un niveau de vie suffisant (article 11)…………………………………</w:t>
            </w:r>
            <w:r w:rsidR="008B786B">
              <w:rPr>
                <w:sz w:val="24"/>
                <w:szCs w:val="24"/>
              </w:rPr>
              <w:t>14</w:t>
            </w:r>
          </w:p>
        </w:tc>
        <w:tc>
          <w:tcPr>
            <w:tcW w:w="742" w:type="dxa"/>
            <w:gridSpan w:val="2"/>
          </w:tcPr>
          <w:p w:rsidR="005C1583" w:rsidRPr="00527B77" w:rsidRDefault="005C1583" w:rsidP="003D640E">
            <w:pPr>
              <w:pStyle w:val="Titre3"/>
              <w:spacing w:before="0" w:after="120"/>
              <w:outlineLvl w:val="2"/>
              <w:rPr>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A. Le droit à l’eau et à l’assainissement……………………………………………</w:t>
            </w:r>
            <w:r w:rsidR="007160E9">
              <w:rPr>
                <w:rFonts w:ascii="Arial" w:hAnsi="Arial" w:cs="Arial"/>
                <w:b/>
                <w:sz w:val="24"/>
                <w:szCs w:val="24"/>
              </w:rPr>
              <w:t>...</w:t>
            </w:r>
            <w:r w:rsidR="008B786B">
              <w:rPr>
                <w:rFonts w:ascii="Arial" w:hAnsi="Arial" w:cs="Arial"/>
                <w:b/>
                <w:sz w:val="24"/>
                <w:szCs w:val="24"/>
              </w:rPr>
              <w:t>14</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B. Le droit au logement………………………………………………………………</w:t>
            </w:r>
            <w:r w:rsidR="008B786B">
              <w:rPr>
                <w:rFonts w:ascii="Arial" w:hAnsi="Arial" w:cs="Arial"/>
                <w:b/>
                <w:sz w:val="24"/>
                <w:szCs w:val="24"/>
              </w:rPr>
              <w:t>….</w:t>
            </w:r>
            <w:r w:rsidRPr="00527B77">
              <w:rPr>
                <w:rFonts w:ascii="Arial" w:hAnsi="Arial" w:cs="Arial"/>
                <w:b/>
                <w:sz w:val="24"/>
                <w:szCs w:val="24"/>
              </w:rPr>
              <w:t>15</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VI. Le droit à la santé (article 12)……………………………………………………</w:t>
            </w:r>
            <w:r w:rsidR="008B786B">
              <w:rPr>
                <w:rFonts w:ascii="Arial" w:hAnsi="Arial" w:cs="Arial"/>
                <w:b/>
                <w:sz w:val="24"/>
                <w:szCs w:val="24"/>
              </w:rPr>
              <w:t>…</w:t>
            </w:r>
            <w:r w:rsidRPr="00527B77">
              <w:rPr>
                <w:rFonts w:ascii="Arial" w:hAnsi="Arial" w:cs="Arial"/>
                <w:b/>
                <w:sz w:val="24"/>
                <w:szCs w:val="24"/>
              </w:rPr>
              <w:t>16</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VII. Le droit à l’éducation (article 14)…………………………………………………</w:t>
            </w:r>
            <w:r w:rsidR="008B786B">
              <w:rPr>
                <w:rFonts w:ascii="Arial" w:hAnsi="Arial" w:cs="Arial"/>
                <w:b/>
                <w:sz w:val="24"/>
                <w:szCs w:val="24"/>
              </w:rPr>
              <w:t>.</w:t>
            </w:r>
            <w:r w:rsidRPr="00527B77">
              <w:rPr>
                <w:rFonts w:ascii="Arial" w:hAnsi="Arial" w:cs="Arial"/>
                <w:b/>
                <w:sz w:val="24"/>
                <w:szCs w:val="24"/>
              </w:rPr>
              <w:t>20</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A. Le continuum………………………………………………………………………</w:t>
            </w:r>
            <w:r w:rsidR="007160E9">
              <w:rPr>
                <w:rFonts w:ascii="Arial" w:hAnsi="Arial" w:cs="Arial"/>
                <w:b/>
                <w:sz w:val="24"/>
                <w:szCs w:val="24"/>
              </w:rPr>
              <w:t>.</w:t>
            </w:r>
            <w:r w:rsidRPr="00527B77">
              <w:rPr>
                <w:rFonts w:ascii="Arial" w:hAnsi="Arial" w:cs="Arial"/>
                <w:b/>
                <w:sz w:val="24"/>
                <w:szCs w:val="24"/>
              </w:rPr>
              <w:t>….22</w:t>
            </w:r>
          </w:p>
        </w:tc>
        <w:tc>
          <w:tcPr>
            <w:tcW w:w="742" w:type="dxa"/>
            <w:gridSpan w:val="2"/>
          </w:tcPr>
          <w:p w:rsidR="005C1583" w:rsidRPr="00527B77" w:rsidRDefault="005C1583" w:rsidP="003D640E">
            <w:pPr>
              <w:spacing w:after="0" w:line="360" w:lineRule="auto"/>
              <w:jc w:val="both"/>
              <w:rPr>
                <w:rFonts w:ascii="Arial" w:hAnsi="Arial" w:cs="Arial"/>
                <w:b/>
                <w:sz w:val="24"/>
                <w:szCs w:val="24"/>
              </w:rPr>
            </w:pPr>
          </w:p>
        </w:tc>
      </w:tr>
      <w:tr w:rsidR="005C1583" w:rsidRPr="00527B77" w:rsidTr="003D640E">
        <w:tc>
          <w:tcPr>
            <w:tcW w:w="9256" w:type="dxa"/>
            <w:gridSpan w:val="2"/>
          </w:tcPr>
          <w:p w:rsidR="005C1583" w:rsidRPr="00527B77" w:rsidRDefault="005C1583" w:rsidP="003D640E">
            <w:pPr>
              <w:spacing w:after="0" w:line="360" w:lineRule="auto"/>
              <w:rPr>
                <w:rFonts w:ascii="Arial" w:hAnsi="Arial" w:cs="Arial"/>
                <w:b/>
                <w:sz w:val="24"/>
                <w:szCs w:val="24"/>
              </w:rPr>
            </w:pPr>
            <w:r w:rsidRPr="00527B77">
              <w:rPr>
                <w:rFonts w:ascii="Arial" w:hAnsi="Arial" w:cs="Arial"/>
                <w:b/>
                <w:sz w:val="24"/>
                <w:szCs w:val="24"/>
              </w:rPr>
              <w:t>B. Le système Licence-Master-Doctorat (LMD)……………………………………</w:t>
            </w:r>
            <w:r w:rsidR="007160E9">
              <w:rPr>
                <w:rFonts w:ascii="Arial" w:hAnsi="Arial" w:cs="Arial"/>
                <w:b/>
                <w:sz w:val="24"/>
                <w:szCs w:val="24"/>
              </w:rPr>
              <w:t>..</w:t>
            </w:r>
            <w:r w:rsidR="0086519F">
              <w:rPr>
                <w:rFonts w:ascii="Arial" w:hAnsi="Arial" w:cs="Arial"/>
                <w:b/>
                <w:sz w:val="24"/>
                <w:szCs w:val="24"/>
              </w:rPr>
              <w:t>25</w:t>
            </w:r>
          </w:p>
        </w:tc>
        <w:tc>
          <w:tcPr>
            <w:tcW w:w="742" w:type="dxa"/>
            <w:gridSpan w:val="2"/>
          </w:tcPr>
          <w:p w:rsidR="005C1583" w:rsidRPr="00527B77" w:rsidRDefault="005C1583" w:rsidP="003D640E">
            <w:pPr>
              <w:spacing w:after="0" w:line="360" w:lineRule="auto"/>
              <w:rPr>
                <w:rFonts w:ascii="Arial" w:hAnsi="Arial" w:cs="Arial"/>
                <w:b/>
                <w:sz w:val="24"/>
                <w:szCs w:val="24"/>
              </w:rPr>
            </w:pPr>
          </w:p>
        </w:tc>
      </w:tr>
      <w:tr w:rsidR="007160E9" w:rsidRPr="00527B77" w:rsidTr="003D640E">
        <w:tc>
          <w:tcPr>
            <w:tcW w:w="9256" w:type="dxa"/>
            <w:gridSpan w:val="2"/>
          </w:tcPr>
          <w:p w:rsidR="007160E9" w:rsidRPr="00527B77" w:rsidRDefault="007160E9" w:rsidP="003D640E">
            <w:pPr>
              <w:spacing w:after="0" w:line="360" w:lineRule="auto"/>
              <w:rPr>
                <w:rFonts w:ascii="Arial" w:hAnsi="Arial" w:cs="Arial"/>
                <w:b/>
                <w:sz w:val="24"/>
                <w:szCs w:val="24"/>
              </w:rPr>
            </w:pPr>
            <w:r w:rsidRPr="00527B77">
              <w:rPr>
                <w:rFonts w:ascii="Arial" w:hAnsi="Arial" w:cs="Arial"/>
                <w:b/>
                <w:sz w:val="24"/>
                <w:szCs w:val="24"/>
              </w:rPr>
              <w:t xml:space="preserve">VIII. DES DROITS ECONOMIQUES ET SOCIAUX DE GROUPES </w:t>
            </w:r>
            <w:r w:rsidR="0086519F">
              <w:rPr>
                <w:rFonts w:ascii="Arial" w:hAnsi="Arial" w:cs="Arial"/>
                <w:b/>
                <w:sz w:val="24"/>
                <w:szCs w:val="24"/>
              </w:rPr>
              <w:t xml:space="preserve">          </w:t>
            </w:r>
            <w:r w:rsidRPr="00527B77">
              <w:rPr>
                <w:rFonts w:ascii="Arial" w:hAnsi="Arial" w:cs="Arial"/>
                <w:b/>
                <w:sz w:val="24"/>
                <w:szCs w:val="24"/>
              </w:rPr>
              <w:lastRenderedPageBreak/>
              <w:t>VULNERABLES</w:t>
            </w:r>
            <w:r w:rsidR="0086519F">
              <w:rPr>
                <w:rFonts w:ascii="Arial" w:hAnsi="Arial" w:cs="Arial"/>
                <w:b/>
                <w:sz w:val="24"/>
                <w:szCs w:val="24"/>
              </w:rPr>
              <w:t xml:space="preserve"> …………………………………………………………………………..</w:t>
            </w:r>
            <w:r w:rsidRPr="00527B77">
              <w:rPr>
                <w:rFonts w:ascii="Arial" w:hAnsi="Arial" w:cs="Arial"/>
                <w:b/>
                <w:sz w:val="24"/>
                <w:szCs w:val="24"/>
              </w:rPr>
              <w:t xml:space="preserve">26  </w:t>
            </w:r>
          </w:p>
        </w:tc>
        <w:tc>
          <w:tcPr>
            <w:tcW w:w="742" w:type="dxa"/>
            <w:gridSpan w:val="2"/>
          </w:tcPr>
          <w:p w:rsidR="007160E9" w:rsidRPr="00527B77" w:rsidRDefault="007160E9" w:rsidP="003D640E">
            <w:pPr>
              <w:spacing w:after="0" w:line="360" w:lineRule="auto"/>
              <w:jc w:val="both"/>
              <w:rPr>
                <w:rFonts w:ascii="Arial" w:hAnsi="Arial" w:cs="Arial"/>
                <w:b/>
                <w:sz w:val="24"/>
                <w:szCs w:val="24"/>
              </w:rPr>
            </w:pPr>
          </w:p>
        </w:tc>
      </w:tr>
      <w:tr w:rsidR="007160E9" w:rsidRPr="00527B77" w:rsidTr="003D640E">
        <w:tc>
          <w:tcPr>
            <w:tcW w:w="9256" w:type="dxa"/>
            <w:gridSpan w:val="2"/>
          </w:tcPr>
          <w:p w:rsidR="007160E9" w:rsidRPr="00527B77" w:rsidRDefault="007160E9" w:rsidP="003D640E">
            <w:pPr>
              <w:spacing w:after="0" w:line="360" w:lineRule="auto"/>
              <w:rPr>
                <w:rFonts w:ascii="Arial" w:hAnsi="Arial" w:cs="Arial"/>
                <w:b/>
                <w:sz w:val="24"/>
                <w:szCs w:val="24"/>
              </w:rPr>
            </w:pPr>
            <w:r w:rsidRPr="00527B77">
              <w:rPr>
                <w:rFonts w:ascii="Arial" w:hAnsi="Arial" w:cs="Arial"/>
                <w:b/>
                <w:sz w:val="24"/>
                <w:szCs w:val="24"/>
              </w:rPr>
              <w:lastRenderedPageBreak/>
              <w:t>A. Des droits de la femme……………………………………………………………</w:t>
            </w:r>
            <w:r w:rsidR="0086519F">
              <w:rPr>
                <w:rFonts w:ascii="Arial" w:hAnsi="Arial" w:cs="Arial"/>
                <w:b/>
                <w:sz w:val="24"/>
                <w:szCs w:val="24"/>
              </w:rPr>
              <w:t>….</w:t>
            </w:r>
            <w:r w:rsidRPr="00527B77">
              <w:rPr>
                <w:rFonts w:ascii="Arial" w:hAnsi="Arial" w:cs="Arial"/>
                <w:b/>
                <w:sz w:val="24"/>
                <w:szCs w:val="24"/>
              </w:rPr>
              <w:t>26</w:t>
            </w:r>
          </w:p>
        </w:tc>
        <w:tc>
          <w:tcPr>
            <w:tcW w:w="742" w:type="dxa"/>
            <w:gridSpan w:val="2"/>
          </w:tcPr>
          <w:p w:rsidR="007160E9" w:rsidRPr="00527B77" w:rsidRDefault="007160E9" w:rsidP="003D640E">
            <w:pPr>
              <w:spacing w:after="0" w:line="360" w:lineRule="auto"/>
              <w:rPr>
                <w:rFonts w:ascii="Arial" w:hAnsi="Arial" w:cs="Arial"/>
                <w:b/>
                <w:sz w:val="24"/>
                <w:szCs w:val="24"/>
              </w:rPr>
            </w:pPr>
          </w:p>
        </w:tc>
      </w:tr>
      <w:tr w:rsidR="007160E9" w:rsidRPr="00527B77" w:rsidTr="003D640E">
        <w:tc>
          <w:tcPr>
            <w:tcW w:w="9256" w:type="dxa"/>
            <w:gridSpan w:val="2"/>
          </w:tcPr>
          <w:p w:rsidR="007160E9" w:rsidRPr="00527B77" w:rsidRDefault="007160E9" w:rsidP="003D640E">
            <w:pPr>
              <w:spacing w:after="0" w:line="360" w:lineRule="auto"/>
              <w:rPr>
                <w:rFonts w:ascii="Arial" w:hAnsi="Arial" w:cs="Arial"/>
                <w:b/>
                <w:sz w:val="24"/>
                <w:szCs w:val="24"/>
              </w:rPr>
            </w:pPr>
            <w:r w:rsidRPr="00527B77">
              <w:rPr>
                <w:rFonts w:ascii="Arial" w:hAnsi="Arial" w:cs="Arial"/>
                <w:b/>
                <w:sz w:val="24"/>
                <w:szCs w:val="24"/>
              </w:rPr>
              <w:t>B. Des droits de l’enfant…………………………………………………………………</w:t>
            </w:r>
            <w:r w:rsidR="0086519F">
              <w:rPr>
                <w:rFonts w:ascii="Arial" w:hAnsi="Arial" w:cs="Arial"/>
                <w:b/>
                <w:sz w:val="24"/>
                <w:szCs w:val="24"/>
              </w:rPr>
              <w:t>30</w:t>
            </w:r>
          </w:p>
        </w:tc>
        <w:tc>
          <w:tcPr>
            <w:tcW w:w="742" w:type="dxa"/>
            <w:gridSpan w:val="2"/>
          </w:tcPr>
          <w:p w:rsidR="007160E9" w:rsidRPr="00527B77" w:rsidRDefault="007160E9" w:rsidP="003D640E">
            <w:pPr>
              <w:spacing w:after="0" w:line="360" w:lineRule="auto"/>
              <w:rPr>
                <w:rFonts w:ascii="Arial" w:hAnsi="Arial" w:cs="Arial"/>
                <w:b/>
                <w:sz w:val="24"/>
                <w:szCs w:val="24"/>
              </w:rPr>
            </w:pPr>
          </w:p>
        </w:tc>
      </w:tr>
      <w:tr w:rsidR="007160E9" w:rsidRPr="00527B77" w:rsidTr="003D640E">
        <w:tc>
          <w:tcPr>
            <w:tcW w:w="9256" w:type="dxa"/>
            <w:gridSpan w:val="2"/>
          </w:tcPr>
          <w:p w:rsidR="007160E9" w:rsidRPr="00527B77" w:rsidRDefault="007160E9" w:rsidP="003D640E">
            <w:pPr>
              <w:spacing w:after="0" w:line="360" w:lineRule="auto"/>
              <w:rPr>
                <w:rFonts w:ascii="Arial" w:hAnsi="Arial" w:cs="Arial"/>
                <w:b/>
                <w:sz w:val="24"/>
                <w:szCs w:val="24"/>
              </w:rPr>
            </w:pPr>
            <w:r w:rsidRPr="00527B77">
              <w:rPr>
                <w:rFonts w:ascii="Arial" w:hAnsi="Arial" w:cs="Arial"/>
                <w:b/>
                <w:sz w:val="24"/>
                <w:szCs w:val="24"/>
              </w:rPr>
              <w:t>C. Des droits des personnes vivant avec un handicap……………………………</w:t>
            </w:r>
            <w:r w:rsidR="00CF2136">
              <w:rPr>
                <w:rFonts w:ascii="Arial" w:hAnsi="Arial" w:cs="Arial"/>
                <w:b/>
                <w:sz w:val="24"/>
                <w:szCs w:val="24"/>
              </w:rPr>
              <w:t>32</w:t>
            </w:r>
          </w:p>
        </w:tc>
        <w:tc>
          <w:tcPr>
            <w:tcW w:w="742" w:type="dxa"/>
            <w:gridSpan w:val="2"/>
          </w:tcPr>
          <w:p w:rsidR="007160E9" w:rsidRPr="00527B77" w:rsidRDefault="007160E9" w:rsidP="003D640E">
            <w:pPr>
              <w:spacing w:after="0" w:line="360" w:lineRule="auto"/>
              <w:rPr>
                <w:rFonts w:ascii="Arial" w:hAnsi="Arial" w:cs="Arial"/>
                <w:b/>
                <w:sz w:val="24"/>
                <w:szCs w:val="24"/>
              </w:rPr>
            </w:pPr>
          </w:p>
        </w:tc>
      </w:tr>
      <w:tr w:rsidR="00CF2136" w:rsidRPr="00527B77" w:rsidTr="003D640E">
        <w:tc>
          <w:tcPr>
            <w:tcW w:w="9255" w:type="dxa"/>
            <w:gridSpan w:val="2"/>
          </w:tcPr>
          <w:p w:rsidR="00CF2136" w:rsidRPr="003D640E" w:rsidRDefault="00CF2136" w:rsidP="003D640E">
            <w:pPr>
              <w:spacing w:after="0" w:line="360" w:lineRule="auto"/>
              <w:rPr>
                <w:rFonts w:ascii="Arial" w:hAnsi="Arial" w:cs="Arial"/>
                <w:b/>
                <w:i/>
                <w:sz w:val="24"/>
                <w:szCs w:val="24"/>
              </w:rPr>
            </w:pPr>
            <w:r w:rsidRPr="003D640E">
              <w:rPr>
                <w:rFonts w:ascii="Arial" w:hAnsi="Arial" w:cs="Arial"/>
                <w:b/>
                <w:i/>
                <w:sz w:val="24"/>
                <w:szCs w:val="24"/>
              </w:rPr>
              <w:t>SECTION II : DES DROITS CULTURELS (ARTICLE 15)……………………………34</w:t>
            </w:r>
          </w:p>
        </w:tc>
        <w:tc>
          <w:tcPr>
            <w:tcW w:w="743" w:type="dxa"/>
            <w:gridSpan w:val="2"/>
          </w:tcPr>
          <w:p w:rsidR="00CF2136" w:rsidRPr="00527B77" w:rsidRDefault="00CF2136" w:rsidP="003D640E">
            <w:pPr>
              <w:spacing w:after="0" w:line="360" w:lineRule="auto"/>
              <w:jc w:val="both"/>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I. Au niveau institutionnel………………………………………………………………3</w:t>
            </w:r>
            <w:r>
              <w:rPr>
                <w:rFonts w:ascii="Arial" w:hAnsi="Arial" w:cs="Arial"/>
                <w:b/>
                <w:sz w:val="24"/>
                <w:szCs w:val="24"/>
              </w:rPr>
              <w:t>4</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II. Des infrastructures……………………………………………………………………3</w:t>
            </w:r>
            <w:r>
              <w:rPr>
                <w:rFonts w:ascii="Arial" w:hAnsi="Arial" w:cs="Arial"/>
                <w:b/>
                <w:sz w:val="24"/>
                <w:szCs w:val="24"/>
              </w:rPr>
              <w:t>4</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III. De l’accès aux activités culturelles………………………………………………</w:t>
            </w:r>
            <w:r>
              <w:rPr>
                <w:rFonts w:ascii="Arial" w:hAnsi="Arial" w:cs="Arial"/>
                <w:b/>
                <w:sz w:val="24"/>
                <w:szCs w:val="24"/>
              </w:rPr>
              <w:t>.</w:t>
            </w:r>
            <w:r w:rsidRPr="00CF2136">
              <w:rPr>
                <w:rFonts w:ascii="Arial" w:hAnsi="Arial" w:cs="Arial"/>
                <w:b/>
                <w:sz w:val="24"/>
                <w:szCs w:val="24"/>
              </w:rPr>
              <w:t>3</w:t>
            </w:r>
            <w:r>
              <w:rPr>
                <w:rFonts w:ascii="Arial" w:hAnsi="Arial" w:cs="Arial"/>
                <w:b/>
                <w:sz w:val="24"/>
                <w:szCs w:val="24"/>
              </w:rPr>
              <w:t>5</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IV. Du bénéfice du progrès scientifique et de ses applications…………………3</w:t>
            </w:r>
            <w:r>
              <w:rPr>
                <w:rFonts w:ascii="Arial" w:hAnsi="Arial" w:cs="Arial"/>
                <w:b/>
                <w:sz w:val="24"/>
                <w:szCs w:val="24"/>
              </w:rPr>
              <w:t>6</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V. De la participation des enfants à la vie culturelle………………………………3</w:t>
            </w:r>
            <w:r>
              <w:rPr>
                <w:rFonts w:ascii="Arial" w:hAnsi="Arial" w:cs="Arial"/>
                <w:b/>
                <w:sz w:val="24"/>
                <w:szCs w:val="24"/>
              </w:rPr>
              <w:t>6</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VI. De la participation des personnes âgées et des personnes handicapées                  à la vie culturelle………………………………………………………………………</w:t>
            </w:r>
            <w:r>
              <w:rPr>
                <w:rFonts w:ascii="Arial" w:hAnsi="Arial" w:cs="Arial"/>
                <w:b/>
                <w:sz w:val="24"/>
                <w:szCs w:val="24"/>
              </w:rPr>
              <w:t>....</w:t>
            </w:r>
            <w:r w:rsidRPr="00CF2136">
              <w:rPr>
                <w:rFonts w:ascii="Arial" w:hAnsi="Arial" w:cs="Arial"/>
                <w:b/>
                <w:sz w:val="24"/>
                <w:szCs w:val="24"/>
              </w:rPr>
              <w:t>3</w:t>
            </w:r>
            <w:r>
              <w:rPr>
                <w:rFonts w:ascii="Arial" w:hAnsi="Arial" w:cs="Arial"/>
                <w:b/>
                <w:sz w:val="24"/>
                <w:szCs w:val="24"/>
              </w:rPr>
              <w:t>7</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VII. De la promotion et la protection du patrimoine culturel……………………</w:t>
            </w:r>
            <w:r>
              <w:rPr>
                <w:rFonts w:ascii="Arial" w:hAnsi="Arial" w:cs="Arial"/>
                <w:b/>
                <w:sz w:val="24"/>
                <w:szCs w:val="24"/>
              </w:rPr>
              <w:t>..</w:t>
            </w:r>
            <w:r w:rsidRPr="00CF2136">
              <w:rPr>
                <w:rFonts w:ascii="Arial" w:hAnsi="Arial" w:cs="Arial"/>
                <w:b/>
                <w:sz w:val="24"/>
                <w:szCs w:val="24"/>
              </w:rPr>
              <w:t>3</w:t>
            </w:r>
            <w:r>
              <w:rPr>
                <w:rFonts w:ascii="Arial" w:hAnsi="Arial" w:cs="Arial"/>
                <w:b/>
                <w:sz w:val="24"/>
                <w:szCs w:val="24"/>
              </w:rPr>
              <w:t>7</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 xml:space="preserve">VIII. De l’enseignement scolaire et professionnel dans le domaine culturel… </w:t>
            </w:r>
            <w:r w:rsidR="003D640E">
              <w:rPr>
                <w:rFonts w:ascii="Arial" w:hAnsi="Arial" w:cs="Arial"/>
                <w:b/>
                <w:sz w:val="24"/>
                <w:szCs w:val="24"/>
              </w:rPr>
              <w:t>39</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CF2136">
              <w:rPr>
                <w:rFonts w:ascii="Arial" w:hAnsi="Arial" w:cs="Arial"/>
                <w:b/>
                <w:sz w:val="24"/>
                <w:szCs w:val="24"/>
              </w:rPr>
              <w:t>IX. De la protection des intérêts moraux et matériels des créateurs…………</w:t>
            </w:r>
            <w:r w:rsidR="003D640E">
              <w:rPr>
                <w:rFonts w:ascii="Arial" w:hAnsi="Arial" w:cs="Arial"/>
                <w:b/>
                <w:sz w:val="24"/>
                <w:szCs w:val="24"/>
              </w:rPr>
              <w:t>...39</w:t>
            </w:r>
          </w:p>
        </w:tc>
        <w:tc>
          <w:tcPr>
            <w:tcW w:w="705" w:type="dxa"/>
          </w:tcPr>
          <w:p w:rsidR="00CF2136" w:rsidRPr="00CF2136" w:rsidRDefault="00CF2136" w:rsidP="003D640E">
            <w:pPr>
              <w:spacing w:after="0" w:line="360" w:lineRule="auto"/>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r w:rsidRPr="003D640E">
              <w:rPr>
                <w:rFonts w:ascii="Arial" w:hAnsi="Arial" w:cs="Arial"/>
                <w:b/>
                <w:i/>
                <w:sz w:val="24"/>
                <w:szCs w:val="24"/>
              </w:rPr>
              <w:t>QUATRIEME PARTIE : RECOMMANDATIONS………………………………………</w:t>
            </w:r>
            <w:r w:rsidR="003D640E">
              <w:rPr>
                <w:rFonts w:ascii="Arial" w:hAnsi="Arial" w:cs="Arial"/>
                <w:b/>
                <w:sz w:val="24"/>
                <w:szCs w:val="24"/>
              </w:rPr>
              <w:t>40</w:t>
            </w:r>
          </w:p>
        </w:tc>
        <w:tc>
          <w:tcPr>
            <w:tcW w:w="705" w:type="dxa"/>
          </w:tcPr>
          <w:p w:rsidR="00CF2136" w:rsidRPr="00CF2136" w:rsidRDefault="00CF2136" w:rsidP="003D640E">
            <w:pPr>
              <w:spacing w:after="0" w:line="360" w:lineRule="auto"/>
              <w:jc w:val="both"/>
              <w:rPr>
                <w:rFonts w:ascii="Arial" w:hAnsi="Arial" w:cs="Arial"/>
                <w:b/>
                <w:sz w:val="24"/>
                <w:szCs w:val="24"/>
              </w:rPr>
            </w:pPr>
          </w:p>
        </w:tc>
      </w:tr>
      <w:tr w:rsidR="00CF2136" w:rsidRPr="00CF2136" w:rsidTr="003D640E">
        <w:trPr>
          <w:gridBefore w:val="1"/>
          <w:gridAfter w:val="1"/>
          <w:wBefore w:w="38" w:type="dxa"/>
          <w:wAfter w:w="38" w:type="dxa"/>
        </w:trPr>
        <w:tc>
          <w:tcPr>
            <w:tcW w:w="9217" w:type="dxa"/>
          </w:tcPr>
          <w:p w:rsidR="00CF2136" w:rsidRPr="00CF2136" w:rsidRDefault="00CF2136" w:rsidP="003D640E">
            <w:pPr>
              <w:spacing w:after="0" w:line="360" w:lineRule="auto"/>
              <w:rPr>
                <w:rFonts w:ascii="Arial" w:hAnsi="Arial" w:cs="Arial"/>
                <w:b/>
                <w:sz w:val="24"/>
                <w:szCs w:val="24"/>
              </w:rPr>
            </w:pPr>
          </w:p>
        </w:tc>
        <w:tc>
          <w:tcPr>
            <w:tcW w:w="705" w:type="dxa"/>
          </w:tcPr>
          <w:p w:rsidR="00CF2136" w:rsidRPr="00CF2136" w:rsidRDefault="00CF2136" w:rsidP="003D640E">
            <w:pPr>
              <w:spacing w:after="0" w:line="360" w:lineRule="auto"/>
              <w:rPr>
                <w:rFonts w:ascii="Arial" w:hAnsi="Arial" w:cs="Arial"/>
                <w:b/>
                <w:sz w:val="24"/>
                <w:szCs w:val="24"/>
              </w:rPr>
            </w:pPr>
          </w:p>
        </w:tc>
      </w:tr>
    </w:tbl>
    <w:p w:rsidR="00527B77" w:rsidRPr="00527B77" w:rsidRDefault="00527B77" w:rsidP="00527B77">
      <w:pPr>
        <w:spacing w:after="0" w:line="360" w:lineRule="auto"/>
        <w:rPr>
          <w:rFonts w:ascii="Arial" w:hAnsi="Arial" w:cs="Arial"/>
          <w:b/>
          <w:sz w:val="24"/>
          <w:szCs w:val="24"/>
        </w:rPr>
      </w:pPr>
    </w:p>
    <w:p w:rsidR="00527B77" w:rsidRPr="00005930" w:rsidRDefault="00527B77" w:rsidP="00005930">
      <w:pPr>
        <w:spacing w:after="0" w:line="360" w:lineRule="auto"/>
        <w:rPr>
          <w:rFonts w:ascii="Arial" w:hAnsi="Arial" w:cs="Arial"/>
          <w:b/>
          <w:sz w:val="24"/>
          <w:szCs w:val="24"/>
        </w:rPr>
      </w:pPr>
    </w:p>
    <w:p w:rsidR="00005930" w:rsidRPr="00005930" w:rsidRDefault="00005930" w:rsidP="00005930">
      <w:pPr>
        <w:spacing w:after="0" w:line="360" w:lineRule="auto"/>
        <w:rPr>
          <w:rFonts w:ascii="Arial" w:hAnsi="Arial" w:cs="Arial"/>
          <w:b/>
          <w:sz w:val="24"/>
          <w:szCs w:val="24"/>
        </w:rPr>
      </w:pPr>
    </w:p>
    <w:p w:rsidR="00005930" w:rsidRPr="00005930" w:rsidRDefault="00005930" w:rsidP="00005930">
      <w:pPr>
        <w:spacing w:after="0" w:line="360" w:lineRule="auto"/>
        <w:rPr>
          <w:rFonts w:ascii="Arial" w:hAnsi="Arial" w:cs="Arial"/>
          <w:b/>
          <w:sz w:val="24"/>
          <w:szCs w:val="24"/>
        </w:rPr>
      </w:pPr>
    </w:p>
    <w:p w:rsidR="0005099B" w:rsidRDefault="0005099B" w:rsidP="0005099B">
      <w:pPr>
        <w:spacing w:after="0" w:line="360" w:lineRule="auto"/>
        <w:rPr>
          <w:rFonts w:ascii="Arial" w:hAnsi="Arial" w:cs="Arial"/>
          <w:b/>
          <w:sz w:val="24"/>
          <w:szCs w:val="24"/>
        </w:rPr>
      </w:pPr>
    </w:p>
    <w:p w:rsidR="005C1583" w:rsidRPr="0005099B" w:rsidRDefault="005C1583" w:rsidP="0005099B">
      <w:pPr>
        <w:spacing w:after="0" w:line="360" w:lineRule="auto"/>
        <w:rPr>
          <w:rFonts w:ascii="Arial" w:hAnsi="Arial" w:cs="Arial"/>
          <w:b/>
          <w:sz w:val="24"/>
          <w:szCs w:val="24"/>
        </w:rPr>
      </w:pPr>
    </w:p>
    <w:p w:rsidR="005C1583" w:rsidRDefault="005C1583" w:rsidP="005C1583">
      <w:pPr>
        <w:rPr>
          <w:rFonts w:ascii="Arial"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5C1583">
      <w:pPr>
        <w:jc w:val="center"/>
        <w:rPr>
          <w:rFonts w:ascii="Arial" w:eastAsia="Calibri" w:hAnsi="Arial" w:cs="Arial"/>
          <w:b/>
          <w:sz w:val="24"/>
          <w:szCs w:val="24"/>
        </w:rPr>
      </w:pPr>
    </w:p>
    <w:p w:rsidR="003D640E" w:rsidRDefault="003D640E" w:rsidP="00FE3B0E">
      <w:pPr>
        <w:rPr>
          <w:rFonts w:ascii="Arial" w:eastAsia="Calibri" w:hAnsi="Arial" w:cs="Arial"/>
          <w:b/>
          <w:sz w:val="24"/>
          <w:szCs w:val="24"/>
        </w:rPr>
      </w:pPr>
    </w:p>
    <w:p w:rsidR="006F66FD" w:rsidRPr="006F66FD" w:rsidRDefault="006F66FD" w:rsidP="005C1583">
      <w:pPr>
        <w:jc w:val="center"/>
        <w:rPr>
          <w:rFonts w:ascii="Arial" w:eastAsia="Calibri" w:hAnsi="Arial" w:cs="Arial"/>
          <w:b/>
          <w:sz w:val="24"/>
          <w:szCs w:val="24"/>
        </w:rPr>
      </w:pPr>
      <w:r w:rsidRPr="006F66FD">
        <w:rPr>
          <w:rFonts w:ascii="Arial" w:eastAsia="Calibri" w:hAnsi="Arial" w:cs="Arial"/>
          <w:b/>
          <w:sz w:val="24"/>
          <w:szCs w:val="24"/>
        </w:rPr>
        <w:lastRenderedPageBreak/>
        <w:t>Sigles et abréviations</w:t>
      </w:r>
    </w:p>
    <w:p w:rsidR="005C1583" w:rsidRDefault="005C1583" w:rsidP="006F66FD">
      <w:pPr>
        <w:rPr>
          <w:rFonts w:ascii="Arial" w:eastAsia="Calibri" w:hAnsi="Arial" w:cs="Arial"/>
          <w:b/>
          <w:sz w:val="24"/>
          <w:szCs w:val="24"/>
        </w:rPr>
      </w:pP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ABPAM</w:t>
      </w:r>
      <w:r w:rsidRPr="006F66FD">
        <w:rPr>
          <w:rFonts w:ascii="Arial" w:eastAsia="Calibri" w:hAnsi="Arial" w:cs="Arial"/>
          <w:sz w:val="24"/>
          <w:szCs w:val="24"/>
        </w:rPr>
        <w:t xml:space="preserve"> : Association Burkinabè de Promotion des Aveugles et Malvoyants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AJB </w:t>
      </w:r>
      <w:r w:rsidRPr="006F66FD">
        <w:rPr>
          <w:rFonts w:ascii="Arial" w:eastAsia="Calibri" w:hAnsi="Arial" w:cs="Arial"/>
          <w:sz w:val="24"/>
          <w:szCs w:val="24"/>
        </w:rPr>
        <w:t>: Association des Journalistes du Burkina</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ANPE</w:t>
      </w:r>
      <w:r w:rsidRPr="006F66FD">
        <w:rPr>
          <w:rFonts w:ascii="Arial" w:eastAsia="Calibri" w:hAnsi="Arial" w:cs="Arial"/>
          <w:sz w:val="24"/>
          <w:szCs w:val="24"/>
        </w:rPr>
        <w:t xml:space="preserve"> : Agence Nationale de Promotion de l’Emploi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ASAB </w:t>
      </w:r>
      <w:r w:rsidRPr="006F66FD">
        <w:rPr>
          <w:rFonts w:ascii="Arial" w:eastAsia="Calibri" w:hAnsi="Arial" w:cs="Arial"/>
          <w:sz w:val="24"/>
          <w:szCs w:val="24"/>
        </w:rPr>
        <w:t>: Antenne Social Alert Burkina</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BEPC</w:t>
      </w:r>
      <w:r w:rsidRPr="006F66FD">
        <w:rPr>
          <w:rFonts w:ascii="Arial" w:eastAsia="Calibri" w:hAnsi="Arial" w:cs="Arial"/>
          <w:sz w:val="24"/>
          <w:szCs w:val="24"/>
        </w:rPr>
        <w:t> : Brevet d’Etudes du Premier Cycle</w:t>
      </w:r>
    </w:p>
    <w:p w:rsidR="006F66FD" w:rsidRPr="006F66FD" w:rsidRDefault="006F66FD" w:rsidP="006F66FD">
      <w:pPr>
        <w:rPr>
          <w:rFonts w:ascii="Arial" w:eastAsia="Times New Roman" w:hAnsi="Arial" w:cs="Arial"/>
          <w:kern w:val="24"/>
          <w:sz w:val="24"/>
          <w:szCs w:val="24"/>
        </w:rPr>
      </w:pPr>
      <w:r w:rsidRPr="006F66FD">
        <w:rPr>
          <w:rFonts w:ascii="Arial" w:eastAsia="Calibri" w:hAnsi="Arial" w:cs="Arial"/>
          <w:b/>
          <w:sz w:val="24"/>
          <w:szCs w:val="24"/>
        </w:rPr>
        <w:t>BRAO/HCDH </w:t>
      </w:r>
      <w:r w:rsidRPr="006F66FD">
        <w:rPr>
          <w:rFonts w:ascii="Arial" w:eastAsia="Calibri" w:hAnsi="Arial" w:cs="Arial"/>
          <w:sz w:val="24"/>
          <w:szCs w:val="24"/>
        </w:rPr>
        <w:t>:</w:t>
      </w:r>
      <w:r w:rsidRPr="006F66FD">
        <w:rPr>
          <w:rFonts w:ascii="Arial" w:eastAsia="Times New Roman" w:hAnsi="Arial" w:cs="Arial"/>
          <w:b/>
          <w:kern w:val="24"/>
          <w:sz w:val="24"/>
          <w:szCs w:val="24"/>
        </w:rPr>
        <w:t xml:space="preserve"> </w:t>
      </w:r>
      <w:r w:rsidR="00E23908">
        <w:rPr>
          <w:rFonts w:ascii="Arial" w:eastAsia="Times New Roman" w:hAnsi="Arial" w:cs="Arial"/>
          <w:kern w:val="24"/>
          <w:sz w:val="24"/>
          <w:szCs w:val="24"/>
        </w:rPr>
        <w:t xml:space="preserve">Bureau Régional Afrique de l’Ouest du Haut-Commissariat aux Droits de l’Homme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CADHP </w:t>
      </w:r>
      <w:r w:rsidRPr="006F66FD">
        <w:rPr>
          <w:rFonts w:ascii="Arial" w:eastAsia="Calibri" w:hAnsi="Arial" w:cs="Arial"/>
          <w:sz w:val="24"/>
          <w:szCs w:val="24"/>
        </w:rPr>
        <w:t>: Commission Africaine des Droits de l’Homme et des Peuples</w:t>
      </w:r>
    </w:p>
    <w:p w:rsidR="006F66FD" w:rsidRPr="006F66FD" w:rsidRDefault="006F66FD" w:rsidP="006F66FD">
      <w:pPr>
        <w:rPr>
          <w:rFonts w:ascii="Arial" w:eastAsia="Calibri" w:hAnsi="Arial" w:cs="Arial"/>
          <w:b/>
          <w:sz w:val="24"/>
          <w:szCs w:val="24"/>
        </w:rPr>
      </w:pPr>
      <w:r w:rsidRPr="006F66FD">
        <w:rPr>
          <w:rFonts w:ascii="Arial" w:eastAsia="Calibri" w:hAnsi="Arial" w:cs="Arial"/>
          <w:b/>
          <w:sz w:val="24"/>
          <w:szCs w:val="24"/>
        </w:rPr>
        <w:t>CCVC </w:t>
      </w:r>
      <w:r w:rsidRPr="006F66FD">
        <w:rPr>
          <w:rFonts w:ascii="Arial" w:eastAsia="Calibri" w:hAnsi="Arial" w:cs="Arial"/>
          <w:sz w:val="24"/>
          <w:szCs w:val="24"/>
        </w:rPr>
        <w:t>: Coalition Nationale de lutte Contre la Vie chère, la Corruption, la fraude, l’impunité et pour les libertés</w:t>
      </w:r>
      <w:r w:rsidRPr="006F66FD">
        <w:rPr>
          <w:rFonts w:ascii="Arial" w:eastAsia="Calibri" w:hAnsi="Arial" w:cs="Arial"/>
          <w:b/>
          <w:sz w:val="24"/>
          <w:szCs w:val="24"/>
        </w:rPr>
        <w:t xml:space="preserve">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CD</w:t>
      </w:r>
      <w:r w:rsidRPr="006F66FD">
        <w:rPr>
          <w:rFonts w:ascii="Arial" w:eastAsia="Calibri" w:hAnsi="Arial" w:cs="Arial"/>
          <w:sz w:val="24"/>
          <w:szCs w:val="24"/>
        </w:rPr>
        <w:t> :</w:t>
      </w:r>
      <w:r w:rsidRPr="006F66FD">
        <w:rPr>
          <w:rFonts w:ascii="Calibri" w:eastAsia="Calibri" w:hAnsi="Calibri" w:cs="Times New Roman"/>
        </w:rPr>
        <w:t xml:space="preserve"> </w:t>
      </w:r>
      <w:r w:rsidRPr="006F66FD">
        <w:rPr>
          <w:rFonts w:ascii="Arial" w:eastAsia="Calibri" w:hAnsi="Arial" w:cs="Arial"/>
          <w:sz w:val="24"/>
          <w:szCs w:val="24"/>
        </w:rPr>
        <w:t>Disque compact</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CEG </w:t>
      </w:r>
      <w:r w:rsidRPr="006F66FD">
        <w:rPr>
          <w:rFonts w:ascii="Arial" w:eastAsia="Calibri" w:hAnsi="Arial" w:cs="Arial"/>
          <w:sz w:val="24"/>
          <w:szCs w:val="24"/>
        </w:rPr>
        <w:t xml:space="preserve">: Collèges d’Enseignement Général </w:t>
      </w:r>
    </w:p>
    <w:p w:rsidR="006F66FD" w:rsidRPr="006F66FD" w:rsidRDefault="006F66FD" w:rsidP="006F66FD">
      <w:pPr>
        <w:rPr>
          <w:rFonts w:ascii="Arial" w:eastAsia="Calibri" w:hAnsi="Arial" w:cs="Arial"/>
          <w:b/>
          <w:sz w:val="24"/>
          <w:szCs w:val="24"/>
        </w:rPr>
      </w:pPr>
      <w:r w:rsidRPr="006F66FD">
        <w:rPr>
          <w:rFonts w:ascii="Arial" w:eastAsia="Times New Roman" w:hAnsi="Arial" w:cs="Arial"/>
          <w:b/>
          <w:kern w:val="24"/>
          <w:sz w:val="24"/>
          <w:szCs w:val="24"/>
        </w:rPr>
        <w:t>CEN </w:t>
      </w:r>
      <w:r w:rsidRPr="006F66FD">
        <w:rPr>
          <w:rFonts w:ascii="Arial" w:eastAsia="Times New Roman" w:hAnsi="Arial" w:cs="Arial"/>
          <w:kern w:val="24"/>
          <w:sz w:val="24"/>
          <w:szCs w:val="24"/>
        </w:rPr>
        <w:t>: Comité Exécutif National</w:t>
      </w:r>
      <w:r w:rsidRPr="006F66FD">
        <w:rPr>
          <w:rFonts w:ascii="Arial" w:eastAsia="Calibri" w:hAnsi="Arial" w:cs="Arial"/>
          <w:b/>
          <w:sz w:val="24"/>
          <w:szCs w:val="24"/>
        </w:rPr>
        <w:t xml:space="preserve">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CEP</w:t>
      </w:r>
      <w:r w:rsidRPr="006F66FD">
        <w:rPr>
          <w:rFonts w:ascii="Arial" w:eastAsia="Calibri" w:hAnsi="Arial" w:cs="Arial"/>
          <w:sz w:val="24"/>
          <w:szCs w:val="24"/>
        </w:rPr>
        <w:t xml:space="preserve"> : certificat d’études primaires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CIFEDHOP </w:t>
      </w:r>
      <w:r w:rsidRPr="006F66FD">
        <w:rPr>
          <w:rFonts w:ascii="Arial" w:eastAsia="Calibri" w:hAnsi="Arial" w:cs="Arial"/>
          <w:sz w:val="24"/>
          <w:szCs w:val="24"/>
        </w:rPr>
        <w:t>:</w:t>
      </w:r>
      <w:r w:rsidR="00E06C6E">
        <w:rPr>
          <w:rFonts w:ascii="Arial" w:eastAsia="Calibri" w:hAnsi="Arial" w:cs="Arial"/>
          <w:sz w:val="24"/>
          <w:szCs w:val="24"/>
        </w:rPr>
        <w:t xml:space="preserve"> Centre International de Formation à l'Enseignement des Droits de l'Homme et de la P</w:t>
      </w:r>
      <w:r w:rsidR="00E06C6E" w:rsidRPr="00E06C6E">
        <w:rPr>
          <w:rFonts w:ascii="Arial" w:eastAsia="Calibri" w:hAnsi="Arial" w:cs="Arial"/>
          <w:sz w:val="24"/>
          <w:szCs w:val="24"/>
        </w:rPr>
        <w:t>aix</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CIJ </w:t>
      </w:r>
      <w:r w:rsidRPr="006F66FD">
        <w:rPr>
          <w:rFonts w:ascii="Arial" w:eastAsia="Calibri" w:hAnsi="Arial" w:cs="Arial"/>
          <w:sz w:val="24"/>
          <w:szCs w:val="24"/>
        </w:rPr>
        <w:t>:</w:t>
      </w:r>
      <w:r w:rsidRPr="006F66FD">
        <w:rPr>
          <w:rFonts w:ascii="Arial" w:eastAsia="Calibri" w:hAnsi="Arial" w:cs="Arial"/>
          <w:b/>
          <w:sz w:val="24"/>
          <w:szCs w:val="24"/>
        </w:rPr>
        <w:t xml:space="preserve"> </w:t>
      </w:r>
      <w:r w:rsidRPr="006F66FD">
        <w:rPr>
          <w:rFonts w:ascii="Arial" w:eastAsia="Calibri" w:hAnsi="Arial" w:cs="Arial"/>
          <w:sz w:val="24"/>
          <w:szCs w:val="24"/>
        </w:rPr>
        <w:t>Commission internationale des Juristes de Genève</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CMA</w:t>
      </w:r>
      <w:r w:rsidRPr="006F66FD">
        <w:rPr>
          <w:rFonts w:ascii="Arial" w:eastAsia="Calibri" w:hAnsi="Arial" w:cs="Arial"/>
          <w:sz w:val="24"/>
          <w:szCs w:val="24"/>
        </w:rPr>
        <w:t xml:space="preserve"> : Centres Médicaux avec Antenne chirurgicale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CODAP </w:t>
      </w:r>
      <w:r w:rsidRPr="006F66FD">
        <w:rPr>
          <w:rFonts w:ascii="Arial" w:eastAsia="Calibri" w:hAnsi="Arial" w:cs="Arial"/>
          <w:sz w:val="24"/>
          <w:szCs w:val="24"/>
        </w:rPr>
        <w:t>: Centre de conseils et d’appui pour les jeunes en matière de droits de l’homme</w:t>
      </w:r>
    </w:p>
    <w:p w:rsidR="006F66FD" w:rsidRPr="006F66FD" w:rsidRDefault="006F66FD" w:rsidP="006F66FD">
      <w:pPr>
        <w:rPr>
          <w:rFonts w:ascii="Arial" w:eastAsia="Calibri" w:hAnsi="Arial" w:cs="Arial"/>
          <w:b/>
          <w:sz w:val="24"/>
          <w:szCs w:val="24"/>
        </w:rPr>
      </w:pPr>
      <w:r w:rsidRPr="006F66FD">
        <w:rPr>
          <w:rFonts w:ascii="Arial" w:eastAsia="Calibri" w:hAnsi="Arial" w:cs="Arial"/>
          <w:b/>
          <w:sz w:val="24"/>
          <w:szCs w:val="24"/>
        </w:rPr>
        <w:t>CODMPP </w:t>
      </w:r>
      <w:r w:rsidRPr="006F66FD">
        <w:rPr>
          <w:rFonts w:ascii="Arial" w:eastAsia="Calibri" w:hAnsi="Arial" w:cs="Arial"/>
          <w:sz w:val="24"/>
          <w:szCs w:val="24"/>
        </w:rPr>
        <w:t>: Collectif des organisations démocratiques de masse et de partis politiques</w:t>
      </w:r>
      <w:r w:rsidRPr="006F66FD">
        <w:rPr>
          <w:rFonts w:ascii="Arial" w:eastAsia="Calibri" w:hAnsi="Arial" w:cs="Arial"/>
          <w:b/>
          <w:sz w:val="24"/>
          <w:szCs w:val="24"/>
        </w:rPr>
        <w:t xml:space="preserve"> </w:t>
      </w:r>
    </w:p>
    <w:p w:rsidR="006F66FD" w:rsidRPr="006F66FD" w:rsidRDefault="006F66FD" w:rsidP="006F66FD">
      <w:pPr>
        <w:rPr>
          <w:rFonts w:ascii="Arial" w:eastAsia="Calibri" w:hAnsi="Arial" w:cs="Arial"/>
          <w:b/>
          <w:sz w:val="24"/>
          <w:szCs w:val="24"/>
        </w:rPr>
      </w:pPr>
      <w:r w:rsidRPr="006F66FD">
        <w:rPr>
          <w:rFonts w:ascii="Arial" w:eastAsia="Calibri" w:hAnsi="Arial" w:cs="Arial"/>
          <w:b/>
          <w:sz w:val="24"/>
          <w:szCs w:val="24"/>
        </w:rPr>
        <w:t>CSPS</w:t>
      </w:r>
      <w:r w:rsidRPr="006F66FD">
        <w:rPr>
          <w:rFonts w:ascii="Arial" w:eastAsia="Calibri" w:hAnsi="Arial" w:cs="Arial"/>
          <w:sz w:val="24"/>
          <w:szCs w:val="24"/>
        </w:rPr>
        <w:t> : Centre de Santé et de la Promotion Sociale</w:t>
      </w:r>
      <w:r w:rsidRPr="006F66FD">
        <w:rPr>
          <w:rFonts w:ascii="Arial" w:eastAsia="Calibri" w:hAnsi="Arial" w:cs="Arial"/>
          <w:b/>
          <w:sz w:val="24"/>
          <w:szCs w:val="24"/>
        </w:rPr>
        <w:t xml:space="preserve"> </w:t>
      </w:r>
    </w:p>
    <w:p w:rsidR="006F66FD" w:rsidRPr="006F66FD" w:rsidRDefault="006F66FD" w:rsidP="006F66FD">
      <w:pPr>
        <w:rPr>
          <w:rFonts w:ascii="Arial" w:eastAsia="Calibri" w:hAnsi="Arial" w:cs="Arial"/>
          <w:sz w:val="24"/>
          <w:szCs w:val="24"/>
        </w:rPr>
      </w:pPr>
      <w:r w:rsidRPr="006F66FD">
        <w:rPr>
          <w:rFonts w:ascii="Arial" w:eastAsia="Calibri" w:hAnsi="Arial" w:cs="Arial"/>
          <w:b/>
          <w:sz w:val="24"/>
          <w:szCs w:val="24"/>
        </w:rPr>
        <w:t>DEUG</w:t>
      </w:r>
      <w:r w:rsidRPr="006F66FD">
        <w:rPr>
          <w:rFonts w:ascii="Arial" w:eastAsia="Calibri" w:hAnsi="Arial" w:cs="Arial"/>
          <w:sz w:val="24"/>
          <w:szCs w:val="24"/>
        </w:rPr>
        <w:t xml:space="preserve"> : Diplôme d’études universitaires générales </w:t>
      </w:r>
    </w:p>
    <w:p w:rsidR="006F66FD" w:rsidRPr="006F66FD" w:rsidRDefault="006F66FD" w:rsidP="006F66FD">
      <w:pPr>
        <w:rPr>
          <w:rFonts w:ascii="Arial" w:eastAsia="Calibri" w:hAnsi="Arial" w:cs="Arial"/>
          <w:b/>
          <w:sz w:val="24"/>
          <w:szCs w:val="24"/>
        </w:rPr>
      </w:pPr>
      <w:r w:rsidRPr="006F66FD">
        <w:rPr>
          <w:rFonts w:ascii="Arial" w:eastAsia="Calibri" w:hAnsi="Arial" w:cs="Arial"/>
          <w:b/>
          <w:sz w:val="24"/>
          <w:szCs w:val="24"/>
        </w:rPr>
        <w:t>DUDH</w:t>
      </w:r>
      <w:r w:rsidRPr="006F66FD">
        <w:rPr>
          <w:rFonts w:ascii="Arial" w:eastAsia="Calibri" w:hAnsi="Arial" w:cs="Arial"/>
          <w:sz w:val="24"/>
          <w:szCs w:val="24"/>
        </w:rPr>
        <w:t> : Déclaration universelle des droits de l’homme</w:t>
      </w:r>
      <w:r w:rsidRPr="006F66FD">
        <w:rPr>
          <w:rFonts w:ascii="Arial" w:eastAsia="Calibri" w:hAnsi="Arial" w:cs="Arial"/>
          <w:b/>
          <w:sz w:val="24"/>
          <w:szCs w:val="24"/>
        </w:rPr>
        <w:t xml:space="preserve"> </w:t>
      </w:r>
    </w:p>
    <w:p w:rsidR="006F66FD" w:rsidRPr="006F66FD" w:rsidRDefault="006F66FD" w:rsidP="006F66FD">
      <w:pPr>
        <w:rPr>
          <w:rFonts w:ascii="Arial" w:eastAsia="Calibri" w:hAnsi="Arial" w:cs="Arial"/>
          <w:b/>
          <w:sz w:val="24"/>
          <w:szCs w:val="24"/>
        </w:rPr>
      </w:pPr>
      <w:r w:rsidRPr="006F66FD">
        <w:rPr>
          <w:rFonts w:ascii="Arial" w:eastAsia="Calibri" w:hAnsi="Arial" w:cs="Arial"/>
          <w:b/>
          <w:sz w:val="24"/>
          <w:szCs w:val="24"/>
        </w:rPr>
        <w:t>DVD</w:t>
      </w:r>
      <w:r w:rsidRPr="006F66FD">
        <w:rPr>
          <w:rFonts w:ascii="Arial" w:eastAsia="Calibri" w:hAnsi="Arial" w:cs="Arial"/>
          <w:sz w:val="24"/>
          <w:szCs w:val="24"/>
        </w:rPr>
        <w:t> :</w:t>
      </w:r>
      <w:r w:rsidRPr="006F66FD">
        <w:rPr>
          <w:rFonts w:ascii="Calibri" w:eastAsia="Calibri" w:hAnsi="Calibri" w:cs="Times New Roman"/>
        </w:rPr>
        <w:t xml:space="preserve"> </w:t>
      </w:r>
      <w:r w:rsidRPr="006F66FD">
        <w:rPr>
          <w:rFonts w:ascii="Arial" w:eastAsia="Calibri" w:hAnsi="Arial" w:cs="Arial"/>
          <w:sz w:val="24"/>
          <w:szCs w:val="24"/>
        </w:rPr>
        <w:t>Disque compact numérique de grande capacité</w:t>
      </w:r>
      <w:r w:rsidRPr="006F66FD">
        <w:rPr>
          <w:rFonts w:ascii="Arial" w:eastAsia="Calibri" w:hAnsi="Arial" w:cs="Arial"/>
          <w:b/>
          <w:sz w:val="24"/>
          <w:szCs w:val="24"/>
        </w:rPr>
        <w:t xml:space="preserve"> </w:t>
      </w:r>
    </w:p>
    <w:p w:rsidR="006F66FD" w:rsidRPr="006F66FD" w:rsidRDefault="006F66FD" w:rsidP="006F66FD">
      <w:pPr>
        <w:rPr>
          <w:rFonts w:ascii="Arial" w:eastAsia="Calibri" w:hAnsi="Arial" w:cs="Arial"/>
          <w:b/>
          <w:sz w:val="24"/>
          <w:szCs w:val="24"/>
        </w:rPr>
      </w:pPr>
      <w:r w:rsidRPr="006F66FD">
        <w:rPr>
          <w:rFonts w:ascii="Arial" w:eastAsia="Calibri" w:hAnsi="Arial" w:cs="Arial"/>
          <w:b/>
          <w:sz w:val="24"/>
          <w:szCs w:val="24"/>
        </w:rPr>
        <w:t>EIP-monde </w:t>
      </w:r>
      <w:r w:rsidRPr="006F66FD">
        <w:rPr>
          <w:rFonts w:ascii="Arial" w:eastAsia="Calibri" w:hAnsi="Arial" w:cs="Arial"/>
          <w:sz w:val="24"/>
          <w:szCs w:val="24"/>
        </w:rPr>
        <w:t>:</w:t>
      </w:r>
      <w:r w:rsidRPr="006F66FD">
        <w:rPr>
          <w:rFonts w:ascii="Arial" w:eastAsia="Calibri" w:hAnsi="Arial" w:cs="Arial"/>
          <w:b/>
          <w:sz w:val="24"/>
          <w:szCs w:val="24"/>
        </w:rPr>
        <w:t xml:space="preserve"> </w:t>
      </w:r>
      <w:r w:rsidR="00E23908">
        <w:rPr>
          <w:rFonts w:ascii="Arial" w:eastAsia="Calibri" w:hAnsi="Arial" w:cs="Arial"/>
          <w:sz w:val="24"/>
          <w:szCs w:val="24"/>
        </w:rPr>
        <w:t>Association mondiale pour l’</w:t>
      </w:r>
      <w:r w:rsidR="00E23908" w:rsidRPr="00E23908">
        <w:rPr>
          <w:rFonts w:ascii="Arial" w:eastAsia="Calibri" w:hAnsi="Arial" w:cs="Arial"/>
          <w:sz w:val="24"/>
          <w:szCs w:val="24"/>
        </w:rPr>
        <w:t xml:space="preserve">Ecole </w:t>
      </w:r>
      <w:r w:rsidR="00E23908">
        <w:rPr>
          <w:rFonts w:ascii="Arial" w:eastAsia="Calibri" w:hAnsi="Arial" w:cs="Arial"/>
          <w:sz w:val="24"/>
          <w:szCs w:val="24"/>
        </w:rPr>
        <w:t xml:space="preserve"> Instrument de Paix</w:t>
      </w:r>
    </w:p>
    <w:p w:rsidR="006F66FD" w:rsidRPr="006F66FD" w:rsidRDefault="006F66FD" w:rsidP="006F66FD">
      <w:pPr>
        <w:spacing w:line="360" w:lineRule="auto"/>
        <w:jc w:val="both"/>
        <w:rPr>
          <w:rFonts w:ascii="Arial" w:eastAsia="Calibri" w:hAnsi="Arial" w:cs="Arial"/>
          <w:b/>
          <w:sz w:val="24"/>
          <w:szCs w:val="24"/>
        </w:rPr>
      </w:pPr>
      <w:r w:rsidRPr="006F66FD">
        <w:rPr>
          <w:rFonts w:ascii="Arial" w:eastAsia="Calibri" w:hAnsi="Arial" w:cs="Arial"/>
          <w:b/>
          <w:sz w:val="24"/>
          <w:szCs w:val="24"/>
        </w:rPr>
        <w:t>FIDH </w:t>
      </w:r>
      <w:r w:rsidRPr="006F66FD">
        <w:rPr>
          <w:rFonts w:ascii="Arial" w:eastAsia="Calibri" w:hAnsi="Arial" w:cs="Arial"/>
          <w:sz w:val="24"/>
          <w:szCs w:val="24"/>
        </w:rPr>
        <w:t>:</w:t>
      </w:r>
      <w:r w:rsidRPr="006F66FD">
        <w:rPr>
          <w:rFonts w:ascii="Arial" w:eastAsia="Calibri" w:hAnsi="Arial" w:cs="Arial"/>
          <w:b/>
          <w:sz w:val="24"/>
          <w:szCs w:val="24"/>
        </w:rPr>
        <w:t xml:space="preserve"> </w:t>
      </w:r>
      <w:r w:rsidRPr="006F66FD">
        <w:rPr>
          <w:rFonts w:ascii="Arial" w:eastAsia="Calibri" w:hAnsi="Arial" w:cs="Arial"/>
          <w:sz w:val="24"/>
          <w:szCs w:val="24"/>
        </w:rPr>
        <w:t>Fédération Internationale des Ligues de Droits de l’Homme</w:t>
      </w:r>
    </w:p>
    <w:p w:rsidR="006E662B" w:rsidRPr="00E06C6E" w:rsidRDefault="006F66FD" w:rsidP="00E06C6E">
      <w:pPr>
        <w:rPr>
          <w:rFonts w:ascii="Arial" w:eastAsia="Calibri" w:hAnsi="Arial" w:cs="Arial"/>
          <w:b/>
          <w:sz w:val="24"/>
          <w:szCs w:val="24"/>
        </w:rPr>
      </w:pPr>
      <w:r w:rsidRPr="006F66FD">
        <w:rPr>
          <w:rFonts w:ascii="Arial" w:eastAsia="Calibri" w:hAnsi="Arial" w:cs="Arial"/>
          <w:b/>
          <w:sz w:val="24"/>
          <w:szCs w:val="24"/>
        </w:rPr>
        <w:lastRenderedPageBreak/>
        <w:t>HG </w:t>
      </w:r>
      <w:r w:rsidRPr="006F66FD">
        <w:rPr>
          <w:rFonts w:ascii="Arial" w:eastAsia="Calibri" w:hAnsi="Arial" w:cs="Arial"/>
          <w:sz w:val="24"/>
          <w:szCs w:val="24"/>
        </w:rPr>
        <w:t>: Histoire-géographie</w:t>
      </w:r>
      <w:r w:rsidR="00E06C6E">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HIMO </w:t>
      </w:r>
      <w:r w:rsidRPr="00B7403A">
        <w:rPr>
          <w:rFonts w:ascii="Arial" w:eastAsia="Calibri" w:hAnsi="Arial" w:cs="Arial"/>
          <w:sz w:val="24"/>
          <w:szCs w:val="24"/>
        </w:rPr>
        <w:t>: Haute intensité de main d’œuvre</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IDH </w:t>
      </w:r>
      <w:r w:rsidRPr="00B7403A">
        <w:rPr>
          <w:rFonts w:ascii="Arial" w:eastAsia="Calibri" w:hAnsi="Arial" w:cs="Arial"/>
          <w:sz w:val="24"/>
          <w:szCs w:val="24"/>
        </w:rPr>
        <w:t>: Indice de développement humain</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ISBN</w:t>
      </w:r>
      <w:r w:rsidRPr="00B7403A">
        <w:rPr>
          <w:rFonts w:ascii="Arial" w:eastAsia="Calibri" w:hAnsi="Arial" w:cs="Arial"/>
          <w:sz w:val="24"/>
          <w:szCs w:val="24"/>
        </w:rPr>
        <w:t> : Numéro d'identification attestant l'enregistrement international d'une publication</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Km</w:t>
      </w:r>
      <w:r w:rsidRPr="00B7403A">
        <w:rPr>
          <w:rFonts w:ascii="Arial" w:eastAsia="Calibri" w:hAnsi="Arial" w:cs="Arial"/>
          <w:sz w:val="24"/>
          <w:szCs w:val="24"/>
        </w:rPr>
        <w:t> : Kilomètre</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LMD</w:t>
      </w:r>
      <w:r w:rsidRPr="00B7403A">
        <w:rPr>
          <w:rFonts w:ascii="Arial" w:eastAsia="Calibri" w:hAnsi="Arial" w:cs="Arial"/>
          <w:sz w:val="24"/>
          <w:szCs w:val="24"/>
        </w:rPr>
        <w:t xml:space="preserve"> : Licence Master Doctorat </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LONAB </w:t>
      </w:r>
      <w:r w:rsidRPr="00B7403A">
        <w:rPr>
          <w:rFonts w:ascii="Arial" w:eastAsia="Calibri" w:hAnsi="Arial" w:cs="Arial"/>
          <w:sz w:val="24"/>
          <w:szCs w:val="24"/>
        </w:rPr>
        <w:t>: Loterie nationale burkinabè</w:t>
      </w:r>
    </w:p>
    <w:p w:rsidR="00B7403A" w:rsidRPr="00B7403A" w:rsidRDefault="00B7403A" w:rsidP="00B7403A">
      <w:pPr>
        <w:spacing w:line="360" w:lineRule="auto"/>
        <w:jc w:val="both"/>
        <w:rPr>
          <w:rFonts w:ascii="Arial" w:eastAsia="Calibri" w:hAnsi="Arial" w:cs="Arial"/>
          <w:sz w:val="24"/>
          <w:szCs w:val="24"/>
        </w:rPr>
      </w:pPr>
      <w:r w:rsidRPr="00B7403A">
        <w:rPr>
          <w:rFonts w:ascii="Arial" w:eastAsia="Calibri" w:hAnsi="Arial" w:cs="Arial"/>
          <w:b/>
          <w:sz w:val="24"/>
          <w:szCs w:val="24"/>
        </w:rPr>
        <w:t>M </w:t>
      </w:r>
      <w:r w:rsidRPr="00B7403A">
        <w:rPr>
          <w:rFonts w:ascii="Arial" w:eastAsia="Calibri" w:hAnsi="Arial" w:cs="Arial"/>
          <w:sz w:val="24"/>
          <w:szCs w:val="24"/>
        </w:rPr>
        <w:t>:</w:t>
      </w:r>
      <w:r w:rsidRPr="00B7403A">
        <w:rPr>
          <w:rFonts w:ascii="Arial" w:eastAsia="Calibri" w:hAnsi="Arial" w:cs="Arial"/>
          <w:b/>
          <w:sz w:val="24"/>
          <w:szCs w:val="24"/>
        </w:rPr>
        <w:t xml:space="preserve"> </w:t>
      </w:r>
      <w:r w:rsidRPr="00B7403A">
        <w:rPr>
          <w:rFonts w:ascii="Arial" w:eastAsia="Calibri" w:hAnsi="Arial" w:cs="Arial"/>
          <w:sz w:val="24"/>
          <w:szCs w:val="24"/>
        </w:rPr>
        <w:t>Mathématiques</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MBDHP </w:t>
      </w:r>
      <w:r w:rsidRPr="00B7403A">
        <w:rPr>
          <w:rFonts w:ascii="Arial" w:eastAsia="Calibri" w:hAnsi="Arial" w:cs="Arial"/>
          <w:sz w:val="24"/>
          <w:szCs w:val="24"/>
        </w:rPr>
        <w:t>: Mouvement Burkinabè des Droits de l’Homme et des Peuples</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MENA</w:t>
      </w:r>
      <w:r w:rsidRPr="00B7403A">
        <w:rPr>
          <w:rFonts w:ascii="Arial" w:eastAsia="Calibri" w:hAnsi="Arial" w:cs="Arial"/>
          <w:sz w:val="24"/>
          <w:szCs w:val="24"/>
        </w:rPr>
        <w:t> : Ministère de l’éducation nationale</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OMCT </w:t>
      </w:r>
      <w:r w:rsidRPr="00B7403A">
        <w:rPr>
          <w:rFonts w:ascii="Arial" w:eastAsia="Calibri" w:hAnsi="Arial" w:cs="Arial"/>
          <w:sz w:val="24"/>
          <w:szCs w:val="24"/>
        </w:rPr>
        <w:t>:</w:t>
      </w:r>
      <w:r w:rsidRPr="00B7403A">
        <w:rPr>
          <w:rFonts w:ascii="Calibri" w:eastAsia="Calibri" w:hAnsi="Calibri" w:cs="Times New Roman"/>
        </w:rPr>
        <w:t xml:space="preserve"> </w:t>
      </w:r>
      <w:r w:rsidRPr="00B7403A">
        <w:rPr>
          <w:rFonts w:ascii="Arial" w:eastAsia="Calibri" w:hAnsi="Arial" w:cs="Arial"/>
          <w:sz w:val="24"/>
          <w:szCs w:val="24"/>
        </w:rPr>
        <w:t>Organisation Mondiale de Lutte Contre la Torture</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OMS</w:t>
      </w:r>
      <w:r w:rsidRPr="00B7403A">
        <w:rPr>
          <w:rFonts w:ascii="Arial" w:eastAsia="Calibri" w:hAnsi="Arial" w:cs="Arial"/>
          <w:sz w:val="24"/>
          <w:szCs w:val="24"/>
        </w:rPr>
        <w:t xml:space="preserve"> : Organisation mondiale de la santé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ONEA</w:t>
      </w:r>
      <w:r w:rsidRPr="00B7403A">
        <w:rPr>
          <w:rFonts w:ascii="Arial" w:eastAsia="Calibri" w:hAnsi="Arial" w:cs="Arial"/>
          <w:sz w:val="24"/>
          <w:szCs w:val="24"/>
        </w:rPr>
        <w:t> : Office national de l’eau et de l’assainissement</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PAS </w:t>
      </w:r>
      <w:r w:rsidRPr="00B7403A">
        <w:rPr>
          <w:rFonts w:ascii="Arial" w:eastAsia="Calibri" w:hAnsi="Arial" w:cs="Arial"/>
          <w:sz w:val="24"/>
          <w:szCs w:val="24"/>
        </w:rPr>
        <w:t>: Programmes d’Ajustement Structurel</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PC </w:t>
      </w:r>
      <w:r w:rsidRPr="00B7403A">
        <w:rPr>
          <w:rFonts w:ascii="Arial" w:eastAsia="Calibri" w:hAnsi="Arial" w:cs="Arial"/>
          <w:sz w:val="24"/>
          <w:szCs w:val="24"/>
        </w:rPr>
        <w:t>: Physique-chimie</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PDDEB</w:t>
      </w:r>
      <w:r w:rsidRPr="00B7403A">
        <w:rPr>
          <w:rFonts w:ascii="Arial" w:eastAsia="Calibri" w:hAnsi="Arial" w:cs="Arial"/>
          <w:sz w:val="24"/>
          <w:szCs w:val="24"/>
        </w:rPr>
        <w:t xml:space="preserve"> : Plan Décennal de Développement de l’Education de Base </w:t>
      </w:r>
    </w:p>
    <w:p w:rsidR="00B7403A" w:rsidRDefault="00B7403A" w:rsidP="00B7403A">
      <w:pPr>
        <w:rPr>
          <w:rFonts w:ascii="Arial" w:eastAsia="Calibri" w:hAnsi="Arial" w:cs="Arial"/>
          <w:sz w:val="24"/>
          <w:szCs w:val="24"/>
        </w:rPr>
      </w:pPr>
      <w:r w:rsidRPr="00B7403A">
        <w:rPr>
          <w:rFonts w:ascii="Arial" w:eastAsia="Calibri" w:hAnsi="Arial" w:cs="Arial"/>
          <w:b/>
          <w:sz w:val="24"/>
          <w:szCs w:val="24"/>
        </w:rPr>
        <w:t>PIDESC </w:t>
      </w:r>
      <w:r w:rsidRPr="00B7403A">
        <w:rPr>
          <w:rFonts w:ascii="Arial" w:eastAsia="Calibri" w:hAnsi="Arial" w:cs="Arial"/>
          <w:sz w:val="24"/>
          <w:szCs w:val="24"/>
        </w:rPr>
        <w:t>: Pacte international relatif aux Droits Economiques, Sociaux et Culturels</w:t>
      </w:r>
    </w:p>
    <w:p w:rsidR="00B7403A" w:rsidRPr="00B7403A" w:rsidRDefault="00B7403A" w:rsidP="00B7403A">
      <w:pPr>
        <w:rPr>
          <w:rFonts w:ascii="Arial" w:eastAsia="Calibri" w:hAnsi="Arial" w:cs="Arial"/>
          <w:sz w:val="24"/>
          <w:szCs w:val="24"/>
        </w:rPr>
      </w:pPr>
      <w:r w:rsidRPr="00B7403A">
        <w:rPr>
          <w:rFonts w:ascii="Arial" w:eastAsia="Calibri" w:hAnsi="Arial" w:cs="Arial"/>
          <w:sz w:val="24"/>
          <w:szCs w:val="24"/>
        </w:rPr>
        <w:t xml:space="preserve"> </w:t>
      </w:r>
      <w:r w:rsidRPr="00B7403A">
        <w:rPr>
          <w:rFonts w:ascii="Arial" w:eastAsia="Calibri" w:hAnsi="Arial" w:cs="Arial"/>
          <w:b/>
          <w:sz w:val="24"/>
          <w:szCs w:val="24"/>
        </w:rPr>
        <w:t>PNUD </w:t>
      </w:r>
      <w:r w:rsidRPr="00B7403A">
        <w:rPr>
          <w:rFonts w:ascii="Arial" w:eastAsia="Calibri" w:hAnsi="Arial" w:cs="Arial"/>
          <w:sz w:val="24"/>
          <w:szCs w:val="24"/>
        </w:rPr>
        <w:t>: Programme des nations unies pour le développement</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REN-LAC </w:t>
      </w:r>
      <w:r w:rsidRPr="00B7403A">
        <w:rPr>
          <w:rFonts w:ascii="Arial" w:eastAsia="Calibri" w:hAnsi="Arial" w:cs="Arial"/>
          <w:sz w:val="24"/>
          <w:szCs w:val="24"/>
        </w:rPr>
        <w:t>: Réseau national de lutte anti-corruption</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SCADD </w:t>
      </w:r>
      <w:r w:rsidRPr="00B7403A">
        <w:rPr>
          <w:rFonts w:ascii="Arial" w:eastAsia="Calibri" w:hAnsi="Arial" w:cs="Arial"/>
          <w:sz w:val="24"/>
          <w:szCs w:val="24"/>
        </w:rPr>
        <w:t>: Stratégie de Croissance Accélérée et de Développement Durable</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SVT </w:t>
      </w:r>
      <w:r w:rsidRPr="00B7403A">
        <w:rPr>
          <w:rFonts w:ascii="Arial" w:eastAsia="Calibri" w:hAnsi="Arial" w:cs="Arial"/>
          <w:sz w:val="24"/>
          <w:szCs w:val="24"/>
        </w:rPr>
        <w:t>: Sciences de la Vie et de la Terre</w:t>
      </w:r>
      <w:r w:rsidRPr="00B7403A">
        <w:rPr>
          <w:rFonts w:ascii="Arial" w:eastAsia="Calibri" w:hAnsi="Arial" w:cs="Arial"/>
          <w:b/>
          <w:sz w:val="24"/>
          <w:szCs w:val="24"/>
        </w:rPr>
        <w:t xml:space="preserve"> </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SYNTSHA</w:t>
      </w:r>
      <w:r w:rsidRPr="00B7403A">
        <w:rPr>
          <w:rFonts w:ascii="Arial" w:eastAsia="Calibri" w:hAnsi="Arial" w:cs="Arial"/>
          <w:sz w:val="24"/>
          <w:szCs w:val="24"/>
        </w:rPr>
        <w:t> : Syndicat National des Travailleurs de la Santé Humaine et Animale</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TBS</w:t>
      </w:r>
      <w:r w:rsidRPr="00B7403A">
        <w:rPr>
          <w:rFonts w:ascii="Arial" w:eastAsia="Calibri" w:hAnsi="Arial" w:cs="Arial"/>
          <w:sz w:val="24"/>
          <w:szCs w:val="24"/>
        </w:rPr>
        <w:t xml:space="preserve"> : Taux Brut de Scolarisation </w:t>
      </w:r>
    </w:p>
    <w:p w:rsidR="00B7403A" w:rsidRPr="00B7403A" w:rsidRDefault="00B7403A" w:rsidP="00B7403A">
      <w:pPr>
        <w:rPr>
          <w:rFonts w:ascii="Arial" w:eastAsia="Calibri" w:hAnsi="Arial" w:cs="Arial"/>
          <w:sz w:val="24"/>
          <w:szCs w:val="24"/>
        </w:rPr>
      </w:pPr>
      <w:r w:rsidRPr="00B7403A">
        <w:rPr>
          <w:rFonts w:ascii="Arial" w:eastAsia="Calibri" w:hAnsi="Arial" w:cs="Arial"/>
          <w:b/>
          <w:sz w:val="24"/>
          <w:szCs w:val="24"/>
        </w:rPr>
        <w:t>UIDH </w:t>
      </w:r>
      <w:r w:rsidRPr="00B7403A">
        <w:rPr>
          <w:rFonts w:ascii="Arial" w:eastAsia="Calibri" w:hAnsi="Arial" w:cs="Arial"/>
          <w:sz w:val="24"/>
          <w:szCs w:val="24"/>
        </w:rPr>
        <w:t>: Union Interafricaine des Droits de l’Homme</w:t>
      </w:r>
    </w:p>
    <w:p w:rsidR="00B7403A" w:rsidRPr="00B7403A" w:rsidRDefault="00B7403A" w:rsidP="00B7403A">
      <w:pPr>
        <w:rPr>
          <w:rFonts w:ascii="Arial" w:eastAsia="Calibri" w:hAnsi="Arial" w:cs="Arial"/>
          <w:b/>
          <w:sz w:val="24"/>
          <w:szCs w:val="24"/>
        </w:rPr>
      </w:pPr>
      <w:r w:rsidRPr="00B7403A">
        <w:rPr>
          <w:rFonts w:ascii="Arial" w:eastAsia="Calibri" w:hAnsi="Arial" w:cs="Arial"/>
          <w:b/>
          <w:sz w:val="24"/>
          <w:szCs w:val="24"/>
        </w:rPr>
        <w:t>UNAFEHB</w:t>
      </w:r>
      <w:r w:rsidRPr="00B7403A">
        <w:rPr>
          <w:rFonts w:ascii="Arial" w:eastAsia="Calibri" w:hAnsi="Arial" w:cs="Arial"/>
          <w:sz w:val="24"/>
          <w:szCs w:val="24"/>
        </w:rPr>
        <w:t> : Union nationale des associations de femmes handicapées du Burkina Faso</w:t>
      </w:r>
      <w:r w:rsidRPr="00B7403A">
        <w:rPr>
          <w:rFonts w:ascii="Arial" w:eastAsia="Calibri" w:hAnsi="Arial" w:cs="Arial"/>
          <w:b/>
          <w:sz w:val="24"/>
          <w:szCs w:val="24"/>
        </w:rPr>
        <w:t xml:space="preserve"> </w:t>
      </w:r>
    </w:p>
    <w:p w:rsidR="00B7403A" w:rsidRPr="008B786B" w:rsidRDefault="00B7403A" w:rsidP="008B786B">
      <w:pPr>
        <w:rPr>
          <w:rFonts w:ascii="Arial" w:eastAsia="Calibri" w:hAnsi="Arial" w:cs="Arial"/>
          <w:sz w:val="24"/>
          <w:szCs w:val="24"/>
        </w:rPr>
      </w:pPr>
      <w:r w:rsidRPr="00B7403A">
        <w:rPr>
          <w:rFonts w:ascii="Arial" w:eastAsia="Calibri" w:hAnsi="Arial" w:cs="Arial"/>
          <w:b/>
          <w:sz w:val="24"/>
          <w:szCs w:val="24"/>
        </w:rPr>
        <w:t>UNESCO</w:t>
      </w:r>
      <w:r w:rsidRPr="00B7403A">
        <w:rPr>
          <w:rFonts w:ascii="Arial" w:eastAsia="Calibri" w:hAnsi="Arial" w:cs="Arial"/>
          <w:sz w:val="24"/>
          <w:szCs w:val="24"/>
        </w:rPr>
        <w:t> : Organisation des nations unies pour l’éducation, la science et la culture</w:t>
      </w:r>
    </w:p>
    <w:p w:rsidR="00E06C6E" w:rsidRDefault="00E06C6E" w:rsidP="005C1583">
      <w:pPr>
        <w:spacing w:after="0" w:line="360" w:lineRule="auto"/>
        <w:jc w:val="center"/>
        <w:rPr>
          <w:rFonts w:ascii="Arial" w:hAnsi="Arial" w:cs="Arial"/>
          <w:b/>
          <w:sz w:val="24"/>
          <w:szCs w:val="24"/>
        </w:rPr>
      </w:pPr>
    </w:p>
    <w:p w:rsidR="00F246A8" w:rsidRPr="002E31CA" w:rsidRDefault="00F246A8" w:rsidP="005C1583">
      <w:pPr>
        <w:spacing w:after="0" w:line="360" w:lineRule="auto"/>
        <w:jc w:val="center"/>
        <w:rPr>
          <w:rFonts w:ascii="Arial" w:hAnsi="Arial" w:cs="Arial"/>
          <w:b/>
          <w:sz w:val="24"/>
          <w:szCs w:val="24"/>
        </w:rPr>
      </w:pPr>
      <w:r w:rsidRPr="002E31CA">
        <w:rPr>
          <w:rFonts w:ascii="Arial" w:hAnsi="Arial" w:cs="Arial"/>
          <w:b/>
          <w:sz w:val="24"/>
          <w:szCs w:val="24"/>
        </w:rPr>
        <w:lastRenderedPageBreak/>
        <w:t>INTRODUCTION</w:t>
      </w:r>
    </w:p>
    <w:p w:rsidR="00F246A8" w:rsidRPr="009706A0" w:rsidRDefault="00F246A8" w:rsidP="00F246A8">
      <w:pPr>
        <w:pStyle w:val="Paragraphedeliste"/>
        <w:jc w:val="both"/>
        <w:rPr>
          <w:rFonts w:ascii="Arial" w:eastAsiaTheme="minorEastAsia" w:hAnsi="Arial" w:cs="Arial"/>
          <w:kern w:val="24"/>
          <w:sz w:val="24"/>
          <w:szCs w:val="24"/>
        </w:rPr>
      </w:pPr>
    </w:p>
    <w:p w:rsidR="00F246A8" w:rsidRPr="009706A0" w:rsidRDefault="00F246A8" w:rsidP="00F246A8">
      <w:pPr>
        <w:pStyle w:val="Paragraphedeliste"/>
        <w:spacing w:after="0" w:line="360" w:lineRule="auto"/>
        <w:jc w:val="both"/>
        <w:rPr>
          <w:rFonts w:ascii="Arial" w:hAnsi="Arial" w:cs="Arial"/>
          <w:sz w:val="24"/>
          <w:szCs w:val="24"/>
        </w:rPr>
      </w:pPr>
    </w:p>
    <w:p w:rsidR="00F246A8"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 cette année 2015, le Burkina Faso présente devant le Comité </w:t>
      </w:r>
      <w:r>
        <w:rPr>
          <w:rFonts w:ascii="Arial" w:hAnsi="Arial" w:cs="Arial"/>
          <w:sz w:val="24"/>
          <w:szCs w:val="24"/>
        </w:rPr>
        <w:t>des</w:t>
      </w:r>
      <w:r w:rsidRPr="009706A0">
        <w:rPr>
          <w:rFonts w:ascii="Arial" w:hAnsi="Arial" w:cs="Arial"/>
          <w:sz w:val="24"/>
          <w:szCs w:val="24"/>
        </w:rPr>
        <w:t xml:space="preserve"> droits économiques, sociaux et culturels son </w:t>
      </w:r>
      <w:r>
        <w:rPr>
          <w:rFonts w:ascii="Arial" w:hAnsi="Arial" w:cs="Arial"/>
          <w:sz w:val="24"/>
          <w:szCs w:val="24"/>
        </w:rPr>
        <w:t>deuxième</w:t>
      </w:r>
      <w:r w:rsidRPr="009706A0">
        <w:rPr>
          <w:rFonts w:ascii="Arial" w:hAnsi="Arial" w:cs="Arial"/>
          <w:sz w:val="24"/>
          <w:szCs w:val="24"/>
        </w:rPr>
        <w:t xml:space="preserve"> rapport </w:t>
      </w:r>
      <w:r>
        <w:rPr>
          <w:rFonts w:ascii="Arial" w:hAnsi="Arial" w:cs="Arial"/>
          <w:sz w:val="24"/>
          <w:szCs w:val="24"/>
        </w:rPr>
        <w:t xml:space="preserve">initial </w:t>
      </w:r>
      <w:r w:rsidRPr="009706A0">
        <w:rPr>
          <w:rFonts w:ascii="Arial" w:hAnsi="Arial" w:cs="Arial"/>
          <w:sz w:val="24"/>
          <w:szCs w:val="24"/>
        </w:rPr>
        <w:t xml:space="preserve">sur </w:t>
      </w:r>
      <w:r>
        <w:rPr>
          <w:rFonts w:ascii="Arial" w:hAnsi="Arial" w:cs="Arial"/>
          <w:sz w:val="24"/>
          <w:szCs w:val="24"/>
        </w:rPr>
        <w:t xml:space="preserve">le </w:t>
      </w:r>
      <w:r w:rsidRPr="009706A0">
        <w:rPr>
          <w:rFonts w:ascii="Arial" w:hAnsi="Arial" w:cs="Arial"/>
          <w:sz w:val="24"/>
          <w:szCs w:val="24"/>
        </w:rPr>
        <w:t>Pacte international relatif aux Droits Economiques, Sociaux et Culturels (PIDESC)</w:t>
      </w:r>
      <w:r>
        <w:rPr>
          <w:rFonts w:ascii="Arial" w:hAnsi="Arial" w:cs="Arial"/>
          <w:sz w:val="24"/>
          <w:szCs w:val="24"/>
        </w:rPr>
        <w:t xml:space="preserve"> et ce, en application des articles 16 et 17 dudit pacte</w:t>
      </w:r>
      <w:r w:rsidRPr="009706A0">
        <w:rPr>
          <w:rFonts w:ascii="Arial" w:hAnsi="Arial" w:cs="Arial"/>
          <w:sz w:val="24"/>
          <w:szCs w:val="24"/>
        </w:rPr>
        <w:t xml:space="preserve">. </w:t>
      </w:r>
      <w:r>
        <w:rPr>
          <w:rFonts w:ascii="Arial" w:hAnsi="Arial" w:cs="Arial"/>
          <w:sz w:val="24"/>
          <w:szCs w:val="24"/>
        </w:rPr>
        <w:t>Saisissant, la possibilité offerte par le comité aux organisations de la société civile de soumettre des rapports, le Mouvement Burkinabè des Droits de l’Homme et des Peuples (MBDHP) se donne les moyens de donner des informations pertinentes sur l’état de mise en œuvre du Pacte par l’Etat du Burkina Faso.</w:t>
      </w:r>
    </w:p>
    <w:p w:rsidR="00F246A8" w:rsidRPr="009706A0" w:rsidRDefault="00F246A8" w:rsidP="00F246A8">
      <w:pPr>
        <w:spacing w:after="0" w:line="360" w:lineRule="auto"/>
        <w:jc w:val="both"/>
        <w:rPr>
          <w:rFonts w:ascii="Arial" w:hAnsi="Arial" w:cs="Arial"/>
          <w:sz w:val="24"/>
          <w:szCs w:val="24"/>
        </w:rPr>
      </w:pPr>
      <w:r w:rsidRPr="009706A0">
        <w:rPr>
          <w:rFonts w:ascii="Arial" w:hAnsi="Arial" w:cs="Arial"/>
          <w:sz w:val="24"/>
          <w:szCs w:val="24"/>
        </w:rPr>
        <w:t xml:space="preserve">. </w:t>
      </w:r>
    </w:p>
    <w:p w:rsidR="00F246A8" w:rsidRDefault="00F246A8" w:rsidP="00F246A8">
      <w:pPr>
        <w:pStyle w:val="Paragraphedeliste"/>
        <w:numPr>
          <w:ilvl w:val="0"/>
          <w:numId w:val="7"/>
        </w:numPr>
        <w:spacing w:after="0" w:line="360" w:lineRule="auto"/>
        <w:jc w:val="both"/>
        <w:rPr>
          <w:rFonts w:ascii="Arial" w:hAnsi="Arial" w:cs="Arial"/>
          <w:sz w:val="24"/>
          <w:szCs w:val="24"/>
        </w:rPr>
      </w:pPr>
      <w:r>
        <w:rPr>
          <w:rFonts w:ascii="Arial" w:eastAsiaTheme="minorEastAsia" w:hAnsi="Arial" w:cs="Arial"/>
          <w:kern w:val="24"/>
          <w:sz w:val="24"/>
          <w:szCs w:val="24"/>
        </w:rPr>
        <w:t>A toutes fins utiles, l</w:t>
      </w:r>
      <w:r w:rsidRPr="00EC372C">
        <w:rPr>
          <w:rFonts w:ascii="Arial" w:eastAsiaTheme="minorEastAsia" w:hAnsi="Arial" w:cs="Arial"/>
          <w:kern w:val="24"/>
          <w:sz w:val="24"/>
          <w:szCs w:val="24"/>
        </w:rPr>
        <w:t>e MBDHP est une association de droit burkinabè de promotion, de protection et de défense des droits humains et de la démocratie créée le 19 février 1989.</w:t>
      </w:r>
      <w:r>
        <w:rPr>
          <w:rFonts w:ascii="Arial" w:eastAsiaTheme="minorEastAsia" w:hAnsi="Arial" w:cs="Arial"/>
          <w:kern w:val="24"/>
          <w:sz w:val="24"/>
          <w:szCs w:val="24"/>
        </w:rPr>
        <w:t xml:space="preserve"> </w:t>
      </w:r>
      <w:r w:rsidRPr="006F1BE2">
        <w:rPr>
          <w:rFonts w:ascii="Arial" w:eastAsiaTheme="minorEastAsia" w:hAnsi="Arial" w:cs="Arial"/>
          <w:kern w:val="24"/>
          <w:sz w:val="24"/>
          <w:szCs w:val="24"/>
        </w:rPr>
        <w:t>Il compte</w:t>
      </w:r>
      <w:r w:rsidR="00CE432C">
        <w:rPr>
          <w:rFonts w:ascii="Arial" w:eastAsiaTheme="minorEastAsia" w:hAnsi="Arial" w:cs="Arial"/>
          <w:kern w:val="24"/>
          <w:sz w:val="24"/>
          <w:szCs w:val="24"/>
        </w:rPr>
        <w:t xml:space="preserve"> </w:t>
      </w:r>
      <w:bookmarkStart w:id="0" w:name="_GoBack"/>
      <w:bookmarkEnd w:id="0"/>
      <w:r w:rsidR="00E3600D">
        <w:rPr>
          <w:rFonts w:ascii="Arial" w:eastAsiaTheme="minorEastAsia" w:hAnsi="Arial" w:cs="Arial"/>
          <w:kern w:val="24"/>
          <w:sz w:val="24"/>
          <w:szCs w:val="24"/>
        </w:rPr>
        <w:t>45</w:t>
      </w:r>
      <w:r w:rsidR="00E3600D" w:rsidRPr="006F1BE2">
        <w:rPr>
          <w:rFonts w:ascii="Arial" w:eastAsiaTheme="minorEastAsia" w:hAnsi="Arial" w:cs="Arial"/>
          <w:kern w:val="24"/>
          <w:sz w:val="24"/>
          <w:szCs w:val="24"/>
        </w:rPr>
        <w:t xml:space="preserve"> sections</w:t>
      </w:r>
      <w:r w:rsidRPr="006F1BE2">
        <w:rPr>
          <w:rFonts w:ascii="Arial" w:eastAsiaTheme="minorEastAsia" w:hAnsi="Arial" w:cs="Arial"/>
          <w:kern w:val="24"/>
          <w:sz w:val="24"/>
          <w:szCs w:val="24"/>
        </w:rPr>
        <w:t xml:space="preserve"> nationales et 3 sections étrangères (France, Côte d’Ivoire, Sénégal) avec plus de 15 000 membres.</w:t>
      </w:r>
      <w:r w:rsidRPr="006F1BE2">
        <w:rPr>
          <w:rFonts w:ascii="Arial" w:hAnsi="Arial" w:cs="Arial"/>
          <w:sz w:val="24"/>
          <w:szCs w:val="24"/>
        </w:rPr>
        <w:t xml:space="preserve"> </w:t>
      </w:r>
      <w:r w:rsidRPr="006F1BE2">
        <w:rPr>
          <w:rFonts w:ascii="Arial" w:eastAsiaTheme="minorEastAsia" w:hAnsi="Arial" w:cs="Arial"/>
          <w:kern w:val="24"/>
          <w:sz w:val="24"/>
          <w:szCs w:val="24"/>
        </w:rPr>
        <w:t xml:space="preserve">Dirigé par un CEN de 11 membres qui est assisté par une commission arbitrale (15 experts répartis dans 5 divisions). Il a contribué activement à </w:t>
      </w:r>
      <w:r w:rsidRPr="006F1BE2">
        <w:rPr>
          <w:rFonts w:ascii="Arial" w:hAnsi="Arial" w:cs="Arial"/>
          <w:sz w:val="24"/>
          <w:szCs w:val="24"/>
        </w:rPr>
        <w:t>l’écriture de la Constitution du 02 juin 1991</w:t>
      </w:r>
      <w:r w:rsidR="00CE432C">
        <w:rPr>
          <w:rFonts w:ascii="Arial" w:hAnsi="Arial" w:cs="Arial"/>
          <w:sz w:val="24"/>
          <w:szCs w:val="24"/>
        </w:rPr>
        <w:t>.</w:t>
      </w:r>
      <w:r w:rsidR="00CE432C" w:rsidRPr="00CE432C">
        <w:rPr>
          <w:rFonts w:ascii="Arial" w:hAnsi="Arial" w:cs="Arial"/>
          <w:color w:val="FF0000"/>
          <w:sz w:val="24"/>
          <w:szCs w:val="24"/>
        </w:rPr>
        <w:t xml:space="preserve"> </w:t>
      </w:r>
      <w:r w:rsidRPr="006F1BE2">
        <w:rPr>
          <w:rFonts w:ascii="Arial" w:hAnsi="Arial" w:cs="Arial"/>
          <w:sz w:val="24"/>
          <w:szCs w:val="24"/>
        </w:rPr>
        <w:t xml:space="preserve">Sur le plan national, le MBDHP entretient des relations de partenariat avec les structures publiques (ministères et institutions) et les autres organisations de la société civile. Avec des syndicats et autres organisations de jeunes et de femmes, il a contribué à la création de réseaux tels que </w:t>
      </w:r>
      <w:r>
        <w:rPr>
          <w:rFonts w:ascii="Arial" w:hAnsi="Arial" w:cs="Arial"/>
          <w:sz w:val="24"/>
          <w:szCs w:val="24"/>
        </w:rPr>
        <w:t xml:space="preserve">le </w:t>
      </w:r>
      <w:r w:rsidRPr="006F1BE2">
        <w:rPr>
          <w:rFonts w:ascii="Arial" w:hAnsi="Arial" w:cs="Arial"/>
          <w:sz w:val="24"/>
          <w:szCs w:val="24"/>
        </w:rPr>
        <w:t>REN-LAC, l’ASAB, le CODMPP et la CCVC.  Au niveau africain, il est membre de l’UIDH, a le statut d’observateur auprès de la CADHP et travaille avec le BRAO/HCDH</w:t>
      </w:r>
      <w:r>
        <w:rPr>
          <w:rFonts w:ascii="Arial" w:hAnsi="Arial" w:cs="Arial"/>
          <w:sz w:val="24"/>
          <w:szCs w:val="24"/>
        </w:rPr>
        <w:t xml:space="preserve">. </w:t>
      </w:r>
      <w:r w:rsidRPr="006F1BE2">
        <w:rPr>
          <w:rFonts w:ascii="Arial" w:hAnsi="Arial" w:cs="Arial"/>
          <w:sz w:val="24"/>
          <w:szCs w:val="24"/>
        </w:rPr>
        <w:t>Sur le plan international, il est membre de la FIDH et de l’OMCT, affilié à la CIJ et travaille avec EIP-monde, le CIFEDHOP et le CODAP</w:t>
      </w:r>
      <w:r>
        <w:rPr>
          <w:rFonts w:ascii="Arial" w:hAnsi="Arial" w:cs="Arial"/>
          <w:sz w:val="24"/>
          <w:szCs w:val="24"/>
        </w:rPr>
        <w:t>.</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Par le Présent rapport alternatif, le </w:t>
      </w:r>
      <w:r>
        <w:rPr>
          <w:rFonts w:ascii="Arial" w:hAnsi="Arial" w:cs="Arial"/>
          <w:sz w:val="24"/>
          <w:szCs w:val="24"/>
        </w:rPr>
        <w:t xml:space="preserve">MBDHP </w:t>
      </w:r>
      <w:r w:rsidRPr="009706A0">
        <w:rPr>
          <w:rFonts w:ascii="Arial" w:hAnsi="Arial" w:cs="Arial"/>
          <w:sz w:val="24"/>
          <w:szCs w:val="24"/>
        </w:rPr>
        <w:t>donne son analyse sur la situation des droits économiques, sociaux et culturels au Burkina Faso.</w:t>
      </w:r>
    </w:p>
    <w:p w:rsidR="00F246A8" w:rsidRDefault="00F246A8" w:rsidP="00F246A8">
      <w:pPr>
        <w:spacing w:after="0" w:line="360" w:lineRule="auto"/>
        <w:jc w:val="both"/>
        <w:rPr>
          <w:rFonts w:ascii="Arial" w:hAnsi="Arial" w:cs="Arial"/>
          <w:sz w:val="24"/>
          <w:szCs w:val="24"/>
        </w:rPr>
      </w:pPr>
    </w:p>
    <w:p w:rsidR="00F246A8" w:rsidRDefault="00F246A8">
      <w:pPr>
        <w:spacing w:after="160" w:line="259" w:lineRule="auto"/>
        <w:rPr>
          <w:rFonts w:ascii="Arial" w:hAnsi="Arial" w:cs="Arial"/>
          <w:b/>
          <w:sz w:val="24"/>
          <w:szCs w:val="24"/>
        </w:rPr>
      </w:pPr>
      <w:r>
        <w:rPr>
          <w:rFonts w:ascii="Arial" w:hAnsi="Arial" w:cs="Arial"/>
          <w:b/>
          <w:sz w:val="24"/>
          <w:szCs w:val="24"/>
        </w:rPr>
        <w:br w:type="page"/>
      </w:r>
    </w:p>
    <w:p w:rsidR="00F246A8" w:rsidRDefault="00F246A8" w:rsidP="00F246A8">
      <w:pPr>
        <w:spacing w:after="0" w:line="360" w:lineRule="auto"/>
        <w:jc w:val="both"/>
        <w:rPr>
          <w:rFonts w:ascii="Arial" w:hAnsi="Arial" w:cs="Arial"/>
          <w:b/>
          <w:sz w:val="24"/>
          <w:szCs w:val="24"/>
        </w:rPr>
      </w:pPr>
      <w:r>
        <w:rPr>
          <w:rFonts w:ascii="Arial" w:hAnsi="Arial" w:cs="Arial"/>
          <w:b/>
          <w:sz w:val="24"/>
          <w:szCs w:val="24"/>
        </w:rPr>
        <w:lastRenderedPageBreak/>
        <w:t>PREMIERE PARTIE : CONTEXTE POLITIQUE, ECONOMIQUE, SOCIAL ET CULTUREL DU BURKINA FASO</w:t>
      </w:r>
    </w:p>
    <w:p w:rsidR="00F246A8" w:rsidRPr="009706A0" w:rsidRDefault="00F246A8" w:rsidP="00F246A8">
      <w:pPr>
        <w:spacing w:after="0" w:line="360" w:lineRule="auto"/>
        <w:jc w:val="both"/>
        <w:rPr>
          <w:rFonts w:ascii="Arial" w:hAnsi="Arial" w:cs="Arial"/>
          <w:b/>
          <w:sz w:val="24"/>
          <w:szCs w:val="24"/>
        </w:rPr>
      </w:pPr>
    </w:p>
    <w:p w:rsidR="00F246A8" w:rsidRPr="009706A0" w:rsidRDefault="00F246A8" w:rsidP="00F246A8">
      <w:pPr>
        <w:pStyle w:val="Paragraphedeliste"/>
        <w:numPr>
          <w:ilvl w:val="0"/>
          <w:numId w:val="7"/>
        </w:numPr>
        <w:spacing w:after="0" w:line="360" w:lineRule="auto"/>
        <w:jc w:val="both"/>
        <w:rPr>
          <w:rFonts w:ascii="Arial" w:hAnsi="Arial" w:cs="Arial"/>
          <w:b/>
          <w:sz w:val="24"/>
          <w:szCs w:val="24"/>
        </w:rPr>
      </w:pPr>
      <w:r w:rsidRPr="009706A0">
        <w:rPr>
          <w:rFonts w:ascii="Arial" w:hAnsi="Arial" w:cs="Arial"/>
          <w:sz w:val="24"/>
          <w:szCs w:val="24"/>
        </w:rPr>
        <w:t>Depuis le 4 janvier 1999, le Burkina Faso est partie au Pacte International relatif aux Droits Economiques, Sociaux et Culturels (PIDESC), prenant ainsi l’engagement contraignant de promouvoir et de protéger le droit des burkinabè à un niveau de vie suffisant (santé, éducation, nourriture, eau, logement, travail, sécurité sociale, etc.) et d’assurer une amélioration constante des conditions d’existence des personnes.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Burkina Faso est un pays aux ressources limitées. Généralement classé parmi les derniers pays du monde </w:t>
      </w:r>
      <w:r>
        <w:rPr>
          <w:rFonts w:ascii="Arial" w:hAnsi="Arial" w:cs="Arial"/>
          <w:sz w:val="24"/>
          <w:szCs w:val="24"/>
        </w:rPr>
        <w:t>selon l</w:t>
      </w:r>
      <w:r w:rsidRPr="009706A0">
        <w:rPr>
          <w:rFonts w:ascii="Arial" w:hAnsi="Arial" w:cs="Arial"/>
          <w:sz w:val="24"/>
          <w:szCs w:val="24"/>
        </w:rPr>
        <w:t xml:space="preserve">’indice de développement </w:t>
      </w:r>
      <w:r>
        <w:rPr>
          <w:rFonts w:ascii="Arial" w:hAnsi="Arial" w:cs="Arial"/>
          <w:sz w:val="24"/>
          <w:szCs w:val="24"/>
        </w:rPr>
        <w:t xml:space="preserve">humain </w:t>
      </w:r>
      <w:r w:rsidRPr="009706A0">
        <w:rPr>
          <w:rFonts w:ascii="Arial" w:hAnsi="Arial" w:cs="Arial"/>
          <w:sz w:val="24"/>
          <w:szCs w:val="24"/>
        </w:rPr>
        <w:t xml:space="preserve">durable </w:t>
      </w:r>
      <w:r>
        <w:rPr>
          <w:rFonts w:ascii="Arial" w:hAnsi="Arial" w:cs="Arial"/>
          <w:sz w:val="24"/>
          <w:szCs w:val="24"/>
        </w:rPr>
        <w:t>du</w:t>
      </w:r>
      <w:r w:rsidRPr="009706A0">
        <w:rPr>
          <w:rFonts w:ascii="Arial" w:hAnsi="Arial" w:cs="Arial"/>
          <w:sz w:val="24"/>
          <w:szCs w:val="24"/>
        </w:rPr>
        <w:t xml:space="preserve"> Programme des Nations Unies pour le Développement, le pays peine, en tant qu’Etat et en vertu du PIDESC, à mettre en œuvre les droits économiques, sociaux et culturels. Pire, la mal gouvernance politique et économique, la corruption et le chômage endémiques, la privatisation des secteurs sociaux de base, notamment le désengagement de l’Etat des domaines fondamentaux de la santé, l’éducation et l’enseignement, le pillage des ressources naturelles, notamment l’or par des sociétés multinationales et leurs acolytes nationaux, etc. sont autant d’entraves qui hypothèquent et annihilent  l’effectivité des droits des burkinabè à un niveau de vie décent conformément au rôle régalien de l’Etat et des prescriptions du PIDESC.</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Pour autant, sur les plans normatif et institutionnel, le pays s’est doté d’assez importants instruments, adopté des politiques et initié des stratégies et mécanismes de mise en œuvre des droits économiques, sociaux et culturels.</w:t>
      </w:r>
    </w:p>
    <w:p w:rsidR="00F246A8" w:rsidRDefault="00F246A8" w:rsidP="00F246A8">
      <w:pPr>
        <w:spacing w:after="0" w:line="360" w:lineRule="auto"/>
        <w:jc w:val="both"/>
        <w:rPr>
          <w:rFonts w:ascii="Arial" w:hAnsi="Arial" w:cs="Arial"/>
          <w:sz w:val="24"/>
          <w:szCs w:val="24"/>
        </w:rPr>
      </w:pPr>
    </w:p>
    <w:p w:rsidR="00F246A8" w:rsidRDefault="00F246A8" w:rsidP="00F246A8">
      <w:pPr>
        <w:spacing w:after="0" w:line="360" w:lineRule="auto"/>
        <w:jc w:val="both"/>
        <w:rPr>
          <w:rFonts w:ascii="Arial" w:hAnsi="Arial" w:cs="Arial"/>
          <w:b/>
          <w:sz w:val="24"/>
          <w:szCs w:val="24"/>
        </w:rPr>
      </w:pPr>
      <w:r>
        <w:rPr>
          <w:rFonts w:ascii="Arial" w:hAnsi="Arial" w:cs="Arial"/>
          <w:b/>
          <w:sz w:val="24"/>
          <w:szCs w:val="24"/>
        </w:rPr>
        <w:t>DEUXIEME PARTIE : CADRE JURIDIQUE ET INSTITUTIONNEL DE MISE EN ŒUVRE DES DROITS ECONOMIQUES, SOCIAUX ET CULTURELS</w:t>
      </w:r>
    </w:p>
    <w:p w:rsidR="00F246A8" w:rsidRPr="00F246A8" w:rsidRDefault="00F246A8" w:rsidP="00F246A8">
      <w:pPr>
        <w:spacing w:after="0" w:line="360" w:lineRule="auto"/>
        <w:jc w:val="both"/>
        <w:rPr>
          <w:rFonts w:ascii="Arial" w:hAnsi="Arial" w:cs="Arial"/>
          <w:b/>
          <w:sz w:val="24"/>
          <w:szCs w:val="24"/>
        </w:rPr>
      </w:pPr>
    </w:p>
    <w:p w:rsidR="00F246A8" w:rsidRPr="00F246A8" w:rsidRDefault="00F246A8" w:rsidP="00F246A8">
      <w:pPr>
        <w:pStyle w:val="Paragraphedeliste"/>
        <w:numPr>
          <w:ilvl w:val="0"/>
          <w:numId w:val="8"/>
        </w:numPr>
        <w:spacing w:after="0" w:line="360" w:lineRule="auto"/>
        <w:jc w:val="both"/>
        <w:rPr>
          <w:rFonts w:ascii="Arial" w:hAnsi="Arial" w:cs="Arial"/>
          <w:b/>
          <w:sz w:val="24"/>
          <w:szCs w:val="24"/>
        </w:rPr>
      </w:pPr>
      <w:r w:rsidRPr="00B209AC">
        <w:rPr>
          <w:rFonts w:ascii="Arial" w:hAnsi="Arial" w:cs="Arial"/>
          <w:b/>
          <w:sz w:val="24"/>
          <w:szCs w:val="24"/>
        </w:rPr>
        <w:t>Cadre juridique</w:t>
      </w:r>
    </w:p>
    <w:p w:rsidR="00F246A8" w:rsidRDefault="00F246A8" w:rsidP="00F246A8">
      <w:pPr>
        <w:pStyle w:val="Paragraphedeliste"/>
        <w:numPr>
          <w:ilvl w:val="0"/>
          <w:numId w:val="1"/>
        </w:numPr>
        <w:spacing w:after="0" w:line="360" w:lineRule="auto"/>
        <w:jc w:val="both"/>
        <w:rPr>
          <w:rFonts w:ascii="Arial" w:hAnsi="Arial" w:cs="Arial"/>
          <w:sz w:val="24"/>
          <w:szCs w:val="24"/>
        </w:rPr>
      </w:pPr>
      <w:r w:rsidRPr="00616EAC">
        <w:rPr>
          <w:rFonts w:ascii="Arial" w:hAnsi="Arial" w:cs="Arial"/>
          <w:b/>
          <w:sz w:val="24"/>
          <w:szCs w:val="24"/>
        </w:rPr>
        <w:t>La Constitution</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 Constitution du Burkina Faso garantit certains droits économiques, sociaux et culturels, mais la plupart fait l’objet d’une simple reconnaissance dans ce texte.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Les droits économiques, sociaux et culturels garantis sont la propriété, la liberté d’entreprise, la liberté d’association, le droit de grève et la propriété intellectuelle. Mais pour l’immense majorité et de loin les droits économiques les plus importants pour le citoyen, la Constitution n’en formule que le principe de la simple </w:t>
      </w:r>
      <w:r w:rsidRPr="009706A0">
        <w:rPr>
          <w:rFonts w:ascii="Arial" w:hAnsi="Arial" w:cs="Arial"/>
          <w:sz w:val="24"/>
          <w:szCs w:val="24"/>
        </w:rPr>
        <w:lastRenderedPageBreak/>
        <w:t xml:space="preserve">reconnaissance. C’est ainsi que les droits fondamentaux de l’homme tels l’éducation, la santé, l’instruction, la formation, le travail, la sécurité sociale, le logement, le sport, les loisirs, la protection de la maternité et de l’enfance, la création artistique et scientifique, le droit à un environnement sain ne sont que reconnus dans ladite </w:t>
      </w:r>
      <w:r>
        <w:rPr>
          <w:rFonts w:ascii="Arial" w:hAnsi="Arial" w:cs="Arial"/>
          <w:sz w:val="24"/>
          <w:szCs w:val="24"/>
        </w:rPr>
        <w:t>C</w:t>
      </w:r>
      <w:r w:rsidRPr="009706A0">
        <w:rPr>
          <w:rFonts w:ascii="Arial" w:hAnsi="Arial" w:cs="Arial"/>
          <w:sz w:val="24"/>
          <w:szCs w:val="24"/>
        </w:rPr>
        <w:t>onstitution. Il en résulte une simple obligation de moyen pour l’Etat avec en prime l’ineffectivité de ces droits. Reconnus et non garantis, il</w:t>
      </w:r>
      <w:r w:rsidR="00CE432C">
        <w:rPr>
          <w:rFonts w:ascii="Arial" w:hAnsi="Arial" w:cs="Arial"/>
          <w:sz w:val="24"/>
          <w:szCs w:val="24"/>
        </w:rPr>
        <w:t xml:space="preserve"> s’ensuit</w:t>
      </w:r>
      <w:r w:rsidRPr="009706A0">
        <w:rPr>
          <w:rFonts w:ascii="Arial" w:hAnsi="Arial" w:cs="Arial"/>
          <w:sz w:val="24"/>
          <w:szCs w:val="24"/>
        </w:rPr>
        <w:t xml:space="preserve"> que de nombreux droits économiques, sociaux et culturels sont </w:t>
      </w:r>
      <w:r>
        <w:rPr>
          <w:rFonts w:ascii="Arial" w:hAnsi="Arial" w:cs="Arial"/>
          <w:sz w:val="24"/>
          <w:szCs w:val="24"/>
        </w:rPr>
        <w:t>difficilement</w:t>
      </w:r>
      <w:r w:rsidRPr="009706A0">
        <w:rPr>
          <w:rFonts w:ascii="Arial" w:hAnsi="Arial" w:cs="Arial"/>
          <w:sz w:val="24"/>
          <w:szCs w:val="24"/>
        </w:rPr>
        <w:t xml:space="preserve"> justiciables devant les juridictions nationales.</w:t>
      </w:r>
    </w:p>
    <w:p w:rsidR="00F246A8" w:rsidRDefault="00F246A8" w:rsidP="00F246A8">
      <w:pPr>
        <w:spacing w:after="0" w:line="360" w:lineRule="auto"/>
        <w:jc w:val="both"/>
        <w:rPr>
          <w:rFonts w:ascii="Arial" w:hAnsi="Arial" w:cs="Arial"/>
          <w:sz w:val="24"/>
          <w:szCs w:val="24"/>
        </w:rPr>
      </w:pPr>
    </w:p>
    <w:p w:rsidR="00F246A8" w:rsidRDefault="00F246A8" w:rsidP="00F246A8">
      <w:pPr>
        <w:pStyle w:val="Paragraphedeliste"/>
        <w:numPr>
          <w:ilvl w:val="0"/>
          <w:numId w:val="1"/>
        </w:numPr>
        <w:spacing w:after="0" w:line="360" w:lineRule="auto"/>
        <w:jc w:val="both"/>
        <w:rPr>
          <w:rFonts w:ascii="Arial" w:hAnsi="Arial" w:cs="Arial"/>
          <w:b/>
          <w:sz w:val="24"/>
          <w:szCs w:val="24"/>
        </w:rPr>
      </w:pPr>
      <w:r w:rsidRPr="00616EAC">
        <w:rPr>
          <w:rFonts w:ascii="Arial" w:hAnsi="Arial" w:cs="Arial"/>
          <w:b/>
          <w:sz w:val="24"/>
          <w:szCs w:val="24"/>
        </w:rPr>
        <w:t>Autres textes législatifs ou règlementaires de promotion ou de protection des droits économiques, sociaux et culturels</w:t>
      </w:r>
    </w:p>
    <w:p w:rsidR="00F246A8" w:rsidRPr="00616EAC" w:rsidRDefault="00F246A8" w:rsidP="00F246A8">
      <w:pPr>
        <w:pStyle w:val="Paragraphedeliste"/>
        <w:spacing w:after="0" w:line="360" w:lineRule="auto"/>
        <w:jc w:val="both"/>
        <w:rPr>
          <w:rFonts w:ascii="Arial" w:hAnsi="Arial" w:cs="Arial"/>
          <w:b/>
          <w:sz w:val="24"/>
          <w:szCs w:val="24"/>
        </w:rPr>
      </w:pP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vue de mettre en œuvre les droits ci-dessus garantis ou reconnus, l’Etat burkinabè a adopté un certain nombre de textes dont entre autres le code du travail, le régime des emplois, le régime de la sécurité sociale et la liberté d’association, le code de santé publique et la loi relative à la santé de la reproduction, les lois d’orientation de l’éducation, du tourisme et de la protection du patrimoine culturel, de la gestion de l’eau et du foncier, le code des personnes et de la famille, etc.</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 législation nationale de mise en œuvre des droits économiques, sociaux et culturels est certes abondante, mais il manque une mise en œuvre effective de ces droits au profit des populations. Ces textes de lois devraient en effet être soutenus par de véritables politiques et stratégies de mise en œuvre. Des Programmes d’Ajustement Structurel (PAS) menés dans les années 1990 à la Stratégie de Croissance Accélérée et de Développement Durable (SCADD) adoptée en 2010, en passant par le Plan Décennal de Développement de l’Education de Base (PDDEB) et les diverses initiatives nationales sur l’aménagement du territoire, les programmes nationaux de solidarité et de santé publique, les progrès dans la réalisation des droits économiques, sociaux et culturels ne sont pas tangibles.  En lieu et place d’une jouissance effective de ces droits, les Burkinabè font plutôt face à des préoccupations majeures sur l’inaccessibilité des soins de santé, la baisse de la qualité de l’éducation, de l’enseignement et de la formation,  la hantise du chômage, le surenchérissement du coût de la vie et la faim, la pauvreté ambiante et croissante, le manque d’eau potable</w:t>
      </w:r>
      <w:r>
        <w:rPr>
          <w:rFonts w:ascii="Arial" w:hAnsi="Arial" w:cs="Arial"/>
          <w:sz w:val="24"/>
          <w:szCs w:val="24"/>
        </w:rPr>
        <w:t>,</w:t>
      </w:r>
      <w:r w:rsidR="00CE432C">
        <w:rPr>
          <w:rFonts w:ascii="Arial" w:hAnsi="Arial" w:cs="Arial"/>
          <w:sz w:val="24"/>
          <w:szCs w:val="24"/>
        </w:rPr>
        <w:t xml:space="preserve"> </w:t>
      </w:r>
      <w:r w:rsidRPr="009706A0">
        <w:rPr>
          <w:rFonts w:ascii="Arial" w:hAnsi="Arial" w:cs="Arial"/>
          <w:sz w:val="24"/>
          <w:szCs w:val="24"/>
        </w:rPr>
        <w:t>le pillage des ressources naturelles</w:t>
      </w:r>
      <w:r>
        <w:rPr>
          <w:rFonts w:ascii="Arial" w:hAnsi="Arial" w:cs="Arial"/>
          <w:sz w:val="24"/>
          <w:szCs w:val="24"/>
        </w:rPr>
        <w:t xml:space="preserve"> et l’expropriation des paysans pauvres de leurs terres</w:t>
      </w:r>
      <w:r w:rsidRPr="009706A0">
        <w:rPr>
          <w:rFonts w:ascii="Arial" w:hAnsi="Arial" w:cs="Arial"/>
          <w:sz w:val="24"/>
          <w:szCs w:val="24"/>
        </w:rPr>
        <w:t>, etc.</w:t>
      </w:r>
    </w:p>
    <w:p w:rsidR="00F246A8" w:rsidRDefault="00F246A8" w:rsidP="00F246A8">
      <w:pPr>
        <w:spacing w:after="0" w:line="360" w:lineRule="auto"/>
        <w:jc w:val="both"/>
        <w:rPr>
          <w:rFonts w:ascii="Arial" w:hAnsi="Arial" w:cs="Arial"/>
          <w:sz w:val="24"/>
          <w:szCs w:val="24"/>
        </w:rPr>
      </w:pPr>
    </w:p>
    <w:p w:rsidR="00F246A8" w:rsidRPr="009706A0" w:rsidRDefault="00F246A8" w:rsidP="00F246A8">
      <w:pPr>
        <w:pStyle w:val="Paragraphedeliste"/>
        <w:numPr>
          <w:ilvl w:val="0"/>
          <w:numId w:val="8"/>
        </w:numPr>
        <w:spacing w:after="0" w:line="360" w:lineRule="auto"/>
        <w:jc w:val="both"/>
        <w:rPr>
          <w:rFonts w:ascii="Arial" w:hAnsi="Arial" w:cs="Arial"/>
          <w:b/>
          <w:sz w:val="24"/>
          <w:szCs w:val="24"/>
        </w:rPr>
      </w:pPr>
      <w:r w:rsidRPr="009706A0">
        <w:rPr>
          <w:rFonts w:ascii="Arial" w:hAnsi="Arial" w:cs="Arial"/>
          <w:b/>
          <w:sz w:val="24"/>
          <w:szCs w:val="24"/>
        </w:rPr>
        <w:t>Les institutions et politiques de mise en œuvre des droits économiques, sociaux et culturels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Au titre des institutions nationales de mise en œuvre des droits économiques, sociaux et culturels, il faut déjà noter la création d’un ministère des droits humains, tantôt distinct, tantôt fusionné au ministère de la Justice selon les contingences sociopolitiques. Il faut ensuite souligner le rôle que joue le Pa</w:t>
      </w:r>
      <w:r w:rsidR="00021C3C">
        <w:rPr>
          <w:rFonts w:ascii="Arial" w:hAnsi="Arial" w:cs="Arial"/>
          <w:sz w:val="24"/>
          <w:szCs w:val="24"/>
        </w:rPr>
        <w:t>rlement à travers l</w:t>
      </w:r>
      <w:r w:rsidRPr="009706A0">
        <w:rPr>
          <w:rFonts w:ascii="Arial" w:hAnsi="Arial" w:cs="Arial"/>
          <w:sz w:val="24"/>
          <w:szCs w:val="24"/>
        </w:rPr>
        <w:t xml:space="preserve">a commission </w:t>
      </w:r>
      <w:r w:rsidR="00021C3C">
        <w:rPr>
          <w:rFonts w:ascii="Arial" w:hAnsi="Arial" w:cs="Arial"/>
          <w:sz w:val="24"/>
          <w:szCs w:val="24"/>
        </w:rPr>
        <w:t xml:space="preserve">des affaires générales, institutionnelles et des </w:t>
      </w:r>
      <w:r w:rsidRPr="009706A0">
        <w:rPr>
          <w:rFonts w:ascii="Arial" w:hAnsi="Arial" w:cs="Arial"/>
          <w:sz w:val="24"/>
          <w:szCs w:val="24"/>
        </w:rPr>
        <w:t>droits humains dont l’action permet l’adoption des lois y relatives. En outre, la Commission Nationale des Droits Humains a été reformée ces dernières années conformément aux principes de Paris et tend à présent à jouer son rôle de structure technique indépendante qui assiste les pouvoirs publics dans la protection et la promotion des droits de l’homme. Il en est</w:t>
      </w:r>
      <w:r w:rsidR="00021C3C">
        <w:rPr>
          <w:rFonts w:ascii="Arial" w:hAnsi="Arial" w:cs="Arial"/>
          <w:sz w:val="24"/>
          <w:szCs w:val="24"/>
        </w:rPr>
        <w:t xml:space="preserve"> aussi</w:t>
      </w:r>
      <w:r w:rsidRPr="009706A0">
        <w:rPr>
          <w:rFonts w:ascii="Arial" w:hAnsi="Arial" w:cs="Arial"/>
          <w:sz w:val="24"/>
          <w:szCs w:val="24"/>
        </w:rPr>
        <w:t xml:space="preserve"> ainsi du Comité interministériel des droits humains et du droit international humanitaire. En plus de ces structures publiques, il faut relever le rôle combien important des organisations de la société civile dont le MBDHP qui, depuis </w:t>
      </w:r>
      <w:r w:rsidR="00021C3C">
        <w:rPr>
          <w:rFonts w:ascii="Arial" w:hAnsi="Arial" w:cs="Arial"/>
          <w:sz w:val="24"/>
          <w:szCs w:val="24"/>
        </w:rPr>
        <w:t>plus de vingt-cinq ans</w:t>
      </w:r>
      <w:r w:rsidRPr="009706A0">
        <w:rPr>
          <w:rFonts w:ascii="Arial" w:hAnsi="Arial" w:cs="Arial"/>
          <w:sz w:val="24"/>
          <w:szCs w:val="24"/>
        </w:rPr>
        <w:t xml:space="preserve"> se bat avec constance dans la promotion, la protection et la défense des droits de l’homme en général.</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Les politiques sociales sur l’emploi, le logement, l’approvisionnement en eau potable, la culture, etc. ont enregistré des résultats nettement insuffisants. </w:t>
      </w:r>
    </w:p>
    <w:p w:rsidR="00F246A8" w:rsidRPr="00D361FF" w:rsidRDefault="00F246A8" w:rsidP="00F246A8">
      <w:pPr>
        <w:spacing w:after="0" w:line="360" w:lineRule="auto"/>
        <w:jc w:val="both"/>
        <w:rPr>
          <w:rFonts w:ascii="Arial" w:hAnsi="Arial" w:cs="Arial"/>
          <w:sz w:val="24"/>
          <w:szCs w:val="24"/>
        </w:rPr>
      </w:pPr>
    </w:p>
    <w:p w:rsidR="00F246A8" w:rsidRDefault="00F246A8" w:rsidP="00F246A8">
      <w:pPr>
        <w:spacing w:after="0" w:line="360" w:lineRule="auto"/>
        <w:jc w:val="both"/>
        <w:rPr>
          <w:rFonts w:ascii="Arial" w:hAnsi="Arial" w:cs="Arial"/>
          <w:b/>
          <w:sz w:val="24"/>
          <w:szCs w:val="24"/>
        </w:rPr>
      </w:pPr>
      <w:r>
        <w:rPr>
          <w:rFonts w:ascii="Arial" w:hAnsi="Arial" w:cs="Arial"/>
          <w:b/>
          <w:sz w:val="24"/>
          <w:szCs w:val="24"/>
        </w:rPr>
        <w:t>TROISIEME PARTIE : ETAT DE MISE EN ŒUVRE DES DROITS ECONOMIQUES, SOCIAUX ET CULTURELS AU BURKINA FASO</w:t>
      </w:r>
    </w:p>
    <w:p w:rsidR="00F246A8" w:rsidRPr="00021C3C" w:rsidRDefault="00F246A8" w:rsidP="00021C3C">
      <w:pPr>
        <w:spacing w:after="0" w:line="360" w:lineRule="auto"/>
        <w:jc w:val="both"/>
        <w:rPr>
          <w:rFonts w:ascii="Arial" w:hAnsi="Arial" w:cs="Arial"/>
          <w:b/>
          <w:sz w:val="24"/>
          <w:szCs w:val="24"/>
        </w:rPr>
      </w:pPr>
    </w:p>
    <w:p w:rsidR="00F246A8" w:rsidRPr="00462230" w:rsidRDefault="00462230" w:rsidP="00462230">
      <w:pPr>
        <w:spacing w:after="0" w:line="360" w:lineRule="auto"/>
        <w:jc w:val="both"/>
        <w:rPr>
          <w:rFonts w:ascii="Arial" w:hAnsi="Arial" w:cs="Arial"/>
          <w:b/>
          <w:sz w:val="24"/>
          <w:szCs w:val="24"/>
        </w:rPr>
      </w:pPr>
      <w:r>
        <w:rPr>
          <w:rFonts w:ascii="Arial" w:hAnsi="Arial" w:cs="Arial"/>
          <w:b/>
          <w:sz w:val="24"/>
          <w:szCs w:val="24"/>
        </w:rPr>
        <w:t xml:space="preserve">SECTION I : </w:t>
      </w:r>
      <w:r w:rsidRPr="00462230">
        <w:rPr>
          <w:rFonts w:ascii="Arial" w:hAnsi="Arial" w:cs="Arial"/>
          <w:b/>
          <w:sz w:val="24"/>
          <w:szCs w:val="24"/>
        </w:rPr>
        <w:t>DES DROITS ECONOMIQUES ET SOCIAUX</w:t>
      </w:r>
    </w:p>
    <w:p w:rsidR="00F246A8" w:rsidRPr="00DF6F82" w:rsidRDefault="00F246A8" w:rsidP="00F246A8">
      <w:pPr>
        <w:pStyle w:val="Paragraphedeliste"/>
        <w:numPr>
          <w:ilvl w:val="0"/>
          <w:numId w:val="5"/>
        </w:numPr>
        <w:spacing w:after="0" w:line="360" w:lineRule="auto"/>
        <w:rPr>
          <w:rFonts w:ascii="Arial" w:hAnsi="Arial" w:cs="Arial"/>
          <w:b/>
          <w:sz w:val="24"/>
          <w:szCs w:val="24"/>
        </w:rPr>
      </w:pPr>
      <w:r w:rsidRPr="00DF6F82">
        <w:rPr>
          <w:rFonts w:ascii="Arial" w:hAnsi="Arial" w:cs="Arial"/>
          <w:b/>
          <w:sz w:val="24"/>
          <w:szCs w:val="24"/>
        </w:rPr>
        <w:t>Le droit au travail et la lutte contre le chômage</w:t>
      </w:r>
      <w:r>
        <w:rPr>
          <w:rFonts w:ascii="Arial" w:hAnsi="Arial" w:cs="Arial"/>
          <w:b/>
          <w:sz w:val="24"/>
          <w:szCs w:val="24"/>
        </w:rPr>
        <w:t xml:space="preserve"> (article 6)</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Pour lutter contre le</w:t>
      </w:r>
      <w:r w:rsidRPr="009706A0">
        <w:rPr>
          <w:rFonts w:ascii="Arial" w:hAnsi="Arial" w:cs="Arial"/>
          <w:color w:val="FF0000"/>
          <w:sz w:val="24"/>
          <w:szCs w:val="24"/>
        </w:rPr>
        <w:t xml:space="preserve"> </w:t>
      </w:r>
      <w:r w:rsidRPr="009706A0">
        <w:rPr>
          <w:rFonts w:ascii="Arial" w:hAnsi="Arial" w:cs="Arial"/>
          <w:sz w:val="24"/>
          <w:szCs w:val="24"/>
        </w:rPr>
        <w:t xml:space="preserve">chômage qui frappe la frange juvénile de la population du pays, le Gouvernement, en plus des concours de la fonction publique qu’il organise chaque année, a institué un certain nombre de fonds nationaux de financement, créé une Agence Nationale de promotion de l’emploi (ANPE) et ces dernières années, il a remis au goût du jour  les projets à Haute Intensité de Main d’œuvre (HIMO). Mais quel est l’impact réel de ces initiatives dans la résolution de la question du chômage, le degré d’absorption des demandeurs d’emploi toutes catégories confondues étant très faible ?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lastRenderedPageBreak/>
        <w:t>En ce qui concerne les concours de la fonction publique, l’annuaire statistique du marché de l’emploi 2012, renseigne qu’au titre de l’année 2012, 411.510 candidatures ont été enregistrées pour un total de 8.469 postes à pourvoir. En 2013, ils étaient 523.000 candidats au total pour 8.157 postes soit un ratio d’un poste pour plus de 64 candidats. En 2014, il a été enregistré, 588 042 candidatures pour 14 605 postes à pourvoir, soit un ratio</w:t>
      </w:r>
      <w:r w:rsidRPr="00A72EAC">
        <w:t xml:space="preserve"> </w:t>
      </w:r>
      <w:r w:rsidRPr="009706A0">
        <w:rPr>
          <w:rFonts w:ascii="Arial" w:hAnsi="Arial" w:cs="Arial"/>
          <w:sz w:val="24"/>
          <w:szCs w:val="24"/>
        </w:rPr>
        <w:t>d’un poste pour plus de 40 candidats.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L’Agence Nationale de Promotion de l’Emploi (ANPE) ne publie par an qu’un (01) millier de postes à pourvoir ce qui ne représente pas grand-chose</w:t>
      </w:r>
      <w:r w:rsidRPr="009706A0">
        <w:rPr>
          <w:rFonts w:ascii="Arial" w:hAnsi="Arial" w:cs="Arial"/>
          <w:color w:val="FF0000"/>
          <w:sz w:val="24"/>
          <w:szCs w:val="24"/>
        </w:rPr>
        <w:t xml:space="preserve"> </w:t>
      </w:r>
      <w:r w:rsidRPr="009706A0">
        <w:rPr>
          <w:rFonts w:ascii="Arial" w:hAnsi="Arial" w:cs="Arial"/>
          <w:sz w:val="24"/>
          <w:szCs w:val="24"/>
        </w:rPr>
        <w:t xml:space="preserve">devant l’ampleur du </w:t>
      </w:r>
      <w:r w:rsidR="003268D9">
        <w:rPr>
          <w:rFonts w:ascii="Arial" w:hAnsi="Arial" w:cs="Arial"/>
          <w:sz w:val="24"/>
          <w:szCs w:val="24"/>
        </w:rPr>
        <w:t>chômage</w:t>
      </w:r>
      <w:r w:rsidRPr="009706A0">
        <w:rPr>
          <w:rFonts w:ascii="Arial" w:hAnsi="Arial" w:cs="Arial"/>
          <w:sz w:val="24"/>
          <w:szCs w:val="24"/>
        </w:rPr>
        <w:t xml:space="preserve">. Plus </w:t>
      </w:r>
      <w:r w:rsidR="003268D9">
        <w:rPr>
          <w:rFonts w:ascii="Arial" w:hAnsi="Arial" w:cs="Arial"/>
          <w:sz w:val="24"/>
          <w:szCs w:val="24"/>
        </w:rPr>
        <w:t xml:space="preserve">de </w:t>
      </w:r>
      <w:r w:rsidRPr="009706A0">
        <w:rPr>
          <w:rFonts w:ascii="Arial" w:hAnsi="Arial" w:cs="Arial"/>
          <w:sz w:val="24"/>
          <w:szCs w:val="24"/>
        </w:rPr>
        <w:t>80% de ces postes concernent la Région du Centre alors que les douze (12) autres régions du pays regorgent un nombre assez important de demandeurs d’emplois. En 2012, l’ANPE a publié 1. 354 offres, dont 84% dans la région du Centre.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Devant cette insuffisance de l’offre, les autorités ont multiplié les fonds et les programmes spéciaux de création d’emplois. On note notamment le Fond d’Appui à la Promotion de l’Emploi (FAPE), le Fonds d’Appui au Secteur Informel (FASI), le Fonds d’Appui</w:t>
      </w:r>
      <w:r w:rsidR="003268D9">
        <w:rPr>
          <w:rFonts w:ascii="Arial" w:hAnsi="Arial" w:cs="Arial"/>
          <w:sz w:val="24"/>
          <w:szCs w:val="24"/>
        </w:rPr>
        <w:t xml:space="preserve"> aux initiatives des Jeunes (FA</w:t>
      </w:r>
      <w:r w:rsidRPr="009706A0">
        <w:rPr>
          <w:rFonts w:ascii="Arial" w:hAnsi="Arial" w:cs="Arial"/>
          <w:sz w:val="24"/>
          <w:szCs w:val="24"/>
        </w:rPr>
        <w:t>I</w:t>
      </w:r>
      <w:r w:rsidR="003268D9">
        <w:rPr>
          <w:rFonts w:ascii="Arial" w:hAnsi="Arial" w:cs="Arial"/>
          <w:sz w:val="24"/>
          <w:szCs w:val="24"/>
        </w:rPr>
        <w:t>J</w:t>
      </w:r>
      <w:r w:rsidRPr="009706A0">
        <w:rPr>
          <w:rFonts w:ascii="Arial" w:hAnsi="Arial" w:cs="Arial"/>
          <w:sz w:val="24"/>
          <w:szCs w:val="24"/>
        </w:rPr>
        <w:t xml:space="preserve">), le Fonds National d’Appui aux Travailleurs Déflatés (FONA-DR), le Fonds d’appui à la formation professionnelle et à l’apprentissage (FAFPA) et le Programme Spécial de Création d’Emplois pour les Jeunes et les Femmes (PSCE/JF). Les conditions d’octroi de ces fonds ont été à maintes reprises critiquées par les destinataires </w:t>
      </w:r>
      <w:r w:rsidR="003268D9">
        <w:rPr>
          <w:rFonts w:ascii="Arial" w:hAnsi="Arial" w:cs="Arial"/>
          <w:sz w:val="24"/>
          <w:szCs w:val="24"/>
        </w:rPr>
        <w:t xml:space="preserve">et les organisations authentiques des jeunes et des femmes </w:t>
      </w:r>
      <w:r w:rsidRPr="009706A0">
        <w:rPr>
          <w:rFonts w:ascii="Arial" w:hAnsi="Arial" w:cs="Arial"/>
          <w:sz w:val="24"/>
          <w:szCs w:val="24"/>
        </w:rPr>
        <w:t>qui les trouvent draconiennes et non transparentes. En outre, un bilan sérieux n’est pas fait par le Gouvernement sur l’impact réel de ces projets et programmes dans la situation des bénéficiaires. Les autorités se satisfont simplement des chiffres alors que bon nombre de bénéficiaires</w:t>
      </w:r>
      <w:r w:rsidR="003268D9">
        <w:rPr>
          <w:rFonts w:ascii="Arial" w:hAnsi="Arial" w:cs="Arial"/>
          <w:sz w:val="24"/>
          <w:szCs w:val="24"/>
        </w:rPr>
        <w:t>,</w:t>
      </w:r>
      <w:r w:rsidRPr="009706A0">
        <w:rPr>
          <w:rFonts w:ascii="Arial" w:hAnsi="Arial" w:cs="Arial"/>
          <w:sz w:val="24"/>
          <w:szCs w:val="24"/>
        </w:rPr>
        <w:t xml:space="preserve"> par manque de suivi et du fait de bien d’autres aléas</w:t>
      </w:r>
      <w:r w:rsidR="003268D9">
        <w:rPr>
          <w:rFonts w:ascii="Arial" w:hAnsi="Arial" w:cs="Arial"/>
          <w:sz w:val="24"/>
          <w:szCs w:val="24"/>
        </w:rPr>
        <w:t>,</w:t>
      </w:r>
      <w:r w:rsidRPr="009706A0">
        <w:rPr>
          <w:rFonts w:ascii="Arial" w:hAnsi="Arial" w:cs="Arial"/>
          <w:sz w:val="24"/>
          <w:szCs w:val="24"/>
        </w:rPr>
        <w:t xml:space="preserve"> </w:t>
      </w:r>
      <w:r w:rsidR="003268D9">
        <w:rPr>
          <w:rFonts w:ascii="Arial" w:hAnsi="Arial" w:cs="Arial"/>
          <w:sz w:val="24"/>
          <w:szCs w:val="24"/>
        </w:rPr>
        <w:t>font</w:t>
      </w:r>
      <w:r w:rsidRPr="009706A0">
        <w:rPr>
          <w:rFonts w:ascii="Arial" w:hAnsi="Arial" w:cs="Arial"/>
          <w:sz w:val="24"/>
          <w:szCs w:val="24"/>
        </w:rPr>
        <w:t xml:space="preserve"> faillite et peinent à rembourser ces fonds qui sont en réalité des prêts.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C’est certainement l’échec de ces différentes initiatives à résorber la question du chômage qui a amené le Gouvernement à ressusciter le projet HIMO (Haute Intensité de Main d’œuvre). Ceux-ci, loin de répondre aux impératifs du travail décent, font la promotion d’emplois précaires.</w:t>
      </w:r>
      <w:r w:rsidR="003268D9">
        <w:rPr>
          <w:rFonts w:ascii="Arial" w:hAnsi="Arial" w:cs="Arial"/>
          <w:sz w:val="24"/>
          <w:szCs w:val="24"/>
        </w:rPr>
        <w:t xml:space="preserve"> A noter aussi que les recrutements dans le cadre de ces projets se font dans les communes par les conseillers municipaux sur des bases politiques, ethniques ou clientélistes.</w:t>
      </w:r>
    </w:p>
    <w:p w:rsidR="00F246A8" w:rsidRPr="009706A0" w:rsidRDefault="003268D9" w:rsidP="00F246A8">
      <w:pPr>
        <w:pStyle w:val="Paragraphedeliste"/>
        <w:numPr>
          <w:ilvl w:val="0"/>
          <w:numId w:val="7"/>
        </w:numPr>
        <w:spacing w:after="0" w:line="360" w:lineRule="auto"/>
        <w:jc w:val="both"/>
        <w:rPr>
          <w:rFonts w:ascii="Arial" w:hAnsi="Arial" w:cs="Arial"/>
          <w:sz w:val="24"/>
          <w:szCs w:val="24"/>
        </w:rPr>
      </w:pPr>
      <w:r>
        <w:rPr>
          <w:rFonts w:ascii="Arial" w:hAnsi="Arial" w:cs="Arial"/>
          <w:sz w:val="24"/>
          <w:szCs w:val="24"/>
        </w:rPr>
        <w:lastRenderedPageBreak/>
        <w:t>Le Burkina Faso</w:t>
      </w:r>
      <w:r w:rsidR="00F246A8" w:rsidRPr="009706A0">
        <w:rPr>
          <w:rFonts w:ascii="Arial" w:hAnsi="Arial" w:cs="Arial"/>
          <w:sz w:val="24"/>
          <w:szCs w:val="24"/>
        </w:rPr>
        <w:t xml:space="preserve"> a donc besoin d’une véritable politique de l’emploi qui puisse résoudre de façon durable la question du chômage au grand bonheur des jeunes</w:t>
      </w:r>
      <w:r>
        <w:rPr>
          <w:rFonts w:ascii="Arial" w:hAnsi="Arial" w:cs="Arial"/>
          <w:sz w:val="24"/>
          <w:szCs w:val="24"/>
        </w:rPr>
        <w:t xml:space="preserve"> et des femmes</w:t>
      </w:r>
      <w:r w:rsidR="00F246A8" w:rsidRPr="009706A0">
        <w:rPr>
          <w:rFonts w:ascii="Arial" w:hAnsi="Arial" w:cs="Arial"/>
          <w:sz w:val="24"/>
          <w:szCs w:val="24"/>
        </w:rPr>
        <w:t>.</w:t>
      </w:r>
    </w:p>
    <w:p w:rsidR="00F246A8"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Malgré les dispositifs juridiques destinés à protéger les travailleurs contre les licenciements abusifs comme souligné dans le rapport gouvernemental, les travailleurs burkinabè vivent toujours dans la peur de telles menaces compte tenu des cas de licenciements abusifs restés jusque-là impunis. Les sociétés minières se sont le plus illustrées dans ces forfaitures. L’Etat bien que reconnaissant le caractère excessif de ces licenciements reste laxiste face à ces compagnies qui foulent au pied la législation sociale. A titre illustratif, nous pouvons citer le licenciement de 300 travailleurs dont des délégués du personnel en décembre 2014 par la Société des Mines de Belahouro (S</w:t>
      </w:r>
      <w:r w:rsidR="008E02CD">
        <w:rPr>
          <w:rFonts w:ascii="Arial" w:hAnsi="Arial" w:cs="Arial"/>
          <w:sz w:val="24"/>
          <w:szCs w:val="24"/>
        </w:rPr>
        <w:t>MB</w:t>
      </w:r>
      <w:r w:rsidRPr="009706A0">
        <w:rPr>
          <w:rFonts w:ascii="Arial" w:hAnsi="Arial" w:cs="Arial"/>
          <w:sz w:val="24"/>
          <w:szCs w:val="24"/>
        </w:rPr>
        <w:t>), celui d’ouvriers à la mine d’or de Youga en 2013. Bien d’autres mines comme Kalsaka mining, Taparko, Essakane, etc. ont procédé à des licenciements massifs. Ils sont le plus souvent dirigés contre des délégués syndicaux ou des militants syndicaux ; ce qui démontre leur caractère abusif, le motif réel étant la liquidation des structures syndicales et l’étouffement des revendications des travailleurs.</w:t>
      </w:r>
    </w:p>
    <w:p w:rsidR="008E02CD" w:rsidRPr="009706A0" w:rsidRDefault="008E02CD" w:rsidP="00F246A8">
      <w:pPr>
        <w:pStyle w:val="Paragraphedeliste"/>
        <w:numPr>
          <w:ilvl w:val="0"/>
          <w:numId w:val="7"/>
        </w:numPr>
        <w:spacing w:after="0" w:line="360" w:lineRule="auto"/>
        <w:jc w:val="both"/>
        <w:rPr>
          <w:rFonts w:ascii="Arial" w:hAnsi="Arial" w:cs="Arial"/>
          <w:sz w:val="24"/>
          <w:szCs w:val="24"/>
        </w:rPr>
      </w:pPr>
      <w:r>
        <w:rPr>
          <w:rFonts w:ascii="Arial" w:hAnsi="Arial" w:cs="Arial"/>
          <w:sz w:val="24"/>
          <w:szCs w:val="24"/>
        </w:rPr>
        <w:t>Outre les violations du droit au travail par les licenciements abusifs, il est à noter que le co</w:t>
      </w:r>
      <w:r w:rsidR="00E52EC5">
        <w:rPr>
          <w:rFonts w:ascii="Arial" w:hAnsi="Arial" w:cs="Arial"/>
          <w:sz w:val="24"/>
          <w:szCs w:val="24"/>
        </w:rPr>
        <w:t>de du travail incite en réalité aux licenciements abusifs puisqu’il plafonne à la demande du patronat, le montant de l’indemnité de licenciement à 18 mois de salaire. De plus, en permettant le renouvellement à souhait du contrat à durée déterminée, le code du travail encourage le travail précaire. Des entreprises comme les banques, les mines et même certaines société d’Etat, en use fortement.</w:t>
      </w:r>
    </w:p>
    <w:p w:rsidR="00F246A8" w:rsidRPr="008E02CD" w:rsidRDefault="00F246A8" w:rsidP="00F246A8">
      <w:pPr>
        <w:pStyle w:val="Paragraphedeliste"/>
        <w:numPr>
          <w:ilvl w:val="0"/>
          <w:numId w:val="5"/>
        </w:numPr>
        <w:spacing w:after="0" w:line="360" w:lineRule="auto"/>
        <w:rPr>
          <w:rFonts w:ascii="Arial" w:hAnsi="Arial" w:cs="Arial"/>
          <w:b/>
          <w:sz w:val="24"/>
          <w:szCs w:val="24"/>
        </w:rPr>
      </w:pPr>
      <w:bookmarkStart w:id="1" w:name="_Toc314122181"/>
      <w:bookmarkStart w:id="2" w:name="_Toc314122763"/>
      <w:bookmarkStart w:id="3" w:name="_Toc314122939"/>
      <w:bookmarkStart w:id="4" w:name="_Toc314123120"/>
      <w:bookmarkStart w:id="5" w:name="_Toc314220631"/>
      <w:bookmarkStart w:id="6" w:name="_Toc412366390"/>
      <w:r w:rsidRPr="008E02CD">
        <w:rPr>
          <w:rFonts w:ascii="Arial" w:hAnsi="Arial" w:cs="Arial"/>
          <w:b/>
          <w:sz w:val="24"/>
          <w:szCs w:val="24"/>
        </w:rPr>
        <w:t>Le droit à des conditions de travail justes et favorables</w:t>
      </w:r>
      <w:bookmarkEnd w:id="1"/>
      <w:bookmarkEnd w:id="2"/>
      <w:bookmarkEnd w:id="3"/>
      <w:bookmarkEnd w:id="4"/>
      <w:bookmarkEnd w:id="5"/>
      <w:bookmarkEnd w:id="6"/>
      <w:r w:rsidR="008E02CD" w:rsidRPr="008E02CD">
        <w:rPr>
          <w:rFonts w:ascii="Arial" w:hAnsi="Arial" w:cs="Arial"/>
          <w:b/>
          <w:sz w:val="24"/>
          <w:szCs w:val="24"/>
        </w:rPr>
        <w:t xml:space="preserve"> (article 7)</w:t>
      </w:r>
    </w:p>
    <w:p w:rsidR="00183087" w:rsidRDefault="00183087" w:rsidP="00183087">
      <w:pPr>
        <w:pStyle w:val="Paragraphedeliste"/>
        <w:numPr>
          <w:ilvl w:val="0"/>
          <w:numId w:val="7"/>
        </w:numPr>
        <w:spacing w:after="0" w:line="360" w:lineRule="auto"/>
        <w:jc w:val="both"/>
        <w:rPr>
          <w:rFonts w:ascii="Arial" w:hAnsi="Arial" w:cs="Arial"/>
          <w:sz w:val="24"/>
          <w:szCs w:val="24"/>
        </w:rPr>
      </w:pPr>
      <w:r w:rsidRPr="00183087">
        <w:rPr>
          <w:rFonts w:ascii="Arial" w:hAnsi="Arial" w:cs="Arial"/>
          <w:sz w:val="24"/>
          <w:szCs w:val="24"/>
        </w:rPr>
        <w:t>Il s’agit essentiellement de la garantie d’un salaire minimum.</w:t>
      </w:r>
      <w:r>
        <w:rPr>
          <w:rFonts w:ascii="Arial" w:hAnsi="Arial" w:cs="Arial"/>
          <w:b/>
          <w:sz w:val="24"/>
          <w:szCs w:val="24"/>
        </w:rPr>
        <w:t xml:space="preserve"> </w:t>
      </w:r>
      <w:r w:rsidR="00F246A8" w:rsidRPr="009706A0">
        <w:rPr>
          <w:rFonts w:ascii="Arial" w:hAnsi="Arial" w:cs="Arial"/>
          <w:sz w:val="24"/>
          <w:szCs w:val="24"/>
        </w:rPr>
        <w:t>Ce salaire est fixé par décret n°2006-655/PRES/PM du 29 décembre 2006 à 30 684 FCFA par mois. Ce taux est très faible vu la situation sociale actuelle du pays caractérisée par la cherté de la vie. Déjà en 2008, soit 2 ans après la fixation de ce taux, le Burkina connaissait ses premières émeutes de la faim qui ont secoué plusieurs villes. Aujourd’hui, la situation s’est exacerbée et les burkinabè sont même unanimes à reconnaitre la vie chère comme l’une des causes fondamentales de l’insurrection d’octobre 2014. Il est devenu pratiquement impossible pour les nombreux travailleurs concernés de vivre et d’entretenir une famille avec ce montant dérisoire, le loyer minimal a</w:t>
      </w:r>
      <w:r>
        <w:rPr>
          <w:rFonts w:ascii="Arial" w:hAnsi="Arial" w:cs="Arial"/>
          <w:sz w:val="24"/>
          <w:szCs w:val="24"/>
        </w:rPr>
        <w:t xml:space="preserve">tteignant 15.000 FCFA par mois. </w:t>
      </w:r>
      <w:r w:rsidRPr="00183087">
        <w:rPr>
          <w:rFonts w:ascii="Arial" w:hAnsi="Arial" w:cs="Arial"/>
          <w:sz w:val="24"/>
          <w:szCs w:val="24"/>
        </w:rPr>
        <w:t>A noter qu’il n’existe pas d’ajustement à intervalles réguliers.</w:t>
      </w:r>
    </w:p>
    <w:p w:rsidR="00183087" w:rsidRPr="00183087" w:rsidRDefault="00183087" w:rsidP="00183087">
      <w:pPr>
        <w:pStyle w:val="Paragraphedeliste"/>
        <w:numPr>
          <w:ilvl w:val="0"/>
          <w:numId w:val="7"/>
        </w:numPr>
        <w:spacing w:after="0" w:line="360" w:lineRule="auto"/>
        <w:jc w:val="both"/>
        <w:rPr>
          <w:rFonts w:ascii="Arial" w:hAnsi="Arial" w:cs="Arial"/>
          <w:sz w:val="24"/>
          <w:szCs w:val="24"/>
        </w:rPr>
      </w:pPr>
      <w:r>
        <w:rPr>
          <w:rFonts w:ascii="Arial" w:hAnsi="Arial" w:cs="Arial"/>
          <w:sz w:val="24"/>
          <w:szCs w:val="24"/>
        </w:rPr>
        <w:lastRenderedPageBreak/>
        <w:t>Outre la garantie du salaire minimum, les conditions de travail notamm</w:t>
      </w:r>
      <w:r w:rsidR="005E2BF9">
        <w:rPr>
          <w:rFonts w:ascii="Arial" w:hAnsi="Arial" w:cs="Arial"/>
          <w:sz w:val="24"/>
          <w:szCs w:val="24"/>
        </w:rPr>
        <w:t>ent les conditions salariales, sont exécrables. Le salaire moyen ne permet pas au travailleur de faire face au coût de la vie.</w:t>
      </w:r>
      <w:r w:rsidR="003678BD">
        <w:rPr>
          <w:rFonts w:ascii="Arial" w:hAnsi="Arial" w:cs="Arial"/>
          <w:sz w:val="24"/>
          <w:szCs w:val="24"/>
        </w:rPr>
        <w:t xml:space="preserve"> De plus, les horaires de travail dans certaines entreprises sont en déphasage avec la règlementation en matière d’heures supplémentaires.</w:t>
      </w:r>
    </w:p>
    <w:p w:rsidR="00F246A8" w:rsidRPr="009706A0" w:rsidRDefault="00F246A8" w:rsidP="00183087">
      <w:pPr>
        <w:pStyle w:val="Paragraphedeliste"/>
        <w:spacing w:after="0" w:line="360" w:lineRule="auto"/>
        <w:jc w:val="both"/>
        <w:rPr>
          <w:rFonts w:ascii="Arial" w:hAnsi="Arial" w:cs="Arial"/>
          <w:sz w:val="24"/>
          <w:szCs w:val="24"/>
        </w:rPr>
      </w:pPr>
      <w:r w:rsidRPr="009706A0">
        <w:rPr>
          <w:rFonts w:ascii="Arial" w:hAnsi="Arial" w:cs="Arial"/>
          <w:sz w:val="24"/>
          <w:szCs w:val="24"/>
        </w:rPr>
        <w:t xml:space="preserve"> </w:t>
      </w:r>
    </w:p>
    <w:p w:rsidR="00F246A8" w:rsidRPr="00CE3A3F" w:rsidRDefault="00F246A8" w:rsidP="00F246A8">
      <w:pPr>
        <w:pStyle w:val="Paragraphedeliste"/>
        <w:numPr>
          <w:ilvl w:val="0"/>
          <w:numId w:val="5"/>
        </w:numPr>
        <w:spacing w:after="0" w:line="360" w:lineRule="auto"/>
        <w:rPr>
          <w:rFonts w:ascii="Arial" w:hAnsi="Arial" w:cs="Arial"/>
          <w:b/>
          <w:sz w:val="24"/>
          <w:szCs w:val="24"/>
        </w:rPr>
      </w:pPr>
      <w:r w:rsidRPr="00CE3A3F">
        <w:rPr>
          <w:rFonts w:ascii="Arial" w:hAnsi="Arial" w:cs="Arial"/>
          <w:b/>
          <w:sz w:val="24"/>
          <w:szCs w:val="24"/>
        </w:rPr>
        <w:t>La liberté syndicale et le droit de grève</w:t>
      </w:r>
      <w:r w:rsidR="00183087">
        <w:rPr>
          <w:rFonts w:ascii="Arial" w:hAnsi="Arial" w:cs="Arial"/>
          <w:b/>
          <w:sz w:val="24"/>
          <w:szCs w:val="24"/>
        </w:rPr>
        <w:t xml:space="preserve"> (article 8)</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 liberté syndicale au Burkina Faso est garantie par la Constitution en son article 21. Les conditions de son exercice sont fixées par la loi n°10-92/ADP du 15 décembre 1992 portant liberté d’association, la loi n°013-1998/AN du 28 avril 1998 portant régime juridique applicable aux emplois et aux agents de la Fonction Publique et son modificatif n˚ 019-2005/AN  du 18 mai 2005, la loi n°028-2008/AN du 13 mai 2008 portant code du travail au Burkina Faso.</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Ces textes bien que consacrant la liberté syndicale et le droit de grève, contiennent de nombreuses restrictions qui portent atteintes à ceux-ci. Il s’agit notamment de l’interdiction du droit de grève aux magistrats, aux fonctionnaires de police et aux fonctionnaires stagiaires. La levée d’une telle interdiction pourrait permettre non seulement de renforcer l’exercice de cette liberté mais aussi aux travailleurs concernés de disposer de plus de possibilités pour poser leurs préoccupations.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outre, ces dernières années, les syndicats ne cessent de dénoncer les réquisitions intempestives de travailleurs par les autorités lors des manifestations, ce qui enlève à la grève tout son sens. A cela s’ajoutent les retenues sur salaire par rapport au nombre de jours de grève observé par le travailleur, qui constituent « une intimidation » pour certains travailleurs.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Par ailleurs, on assiste par moment à des tentatives  de remise en cause du droit de grève par le Gouvernement. En effet, suite à une grève du syndicat national des travailleurs de la santé humaine et animale (SYNTSHA), le Gouvernement décidait en Conseil des ministres tenu le 06 mars 2013 de licencier monsieur </w:t>
      </w:r>
      <w:hyperlink r:id="rId8" w:tgtFrame="_blank" w:history="1">
        <w:r w:rsidRPr="009706A0">
          <w:rPr>
            <w:rFonts w:ascii="Arial" w:hAnsi="Arial" w:cs="Arial"/>
            <w:sz w:val="24"/>
            <w:szCs w:val="24"/>
          </w:rPr>
          <w:t>Nonguézanga KABO</w:t>
        </w:r>
      </w:hyperlink>
      <w:r w:rsidRPr="009706A0">
        <w:rPr>
          <w:rFonts w:ascii="Arial" w:hAnsi="Arial" w:cs="Arial"/>
          <w:sz w:val="24"/>
          <w:szCs w:val="24"/>
        </w:rPr>
        <w:t xml:space="preserve">RE accusé de non-assistance à une patiente ayant entrainé un décès maternel le 17 décembre 2012 dans le district sanitaire de Séguénéga. Pourtant, monsieur KABORE observait une grève légalement décrétée par son syndicat. Sous la pression du syndicat, le gouvernement fut obligé de revenir sur sa décision le 17 avril 2013.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lastRenderedPageBreak/>
        <w:t>Aussi, les travailleurs des médias publics observaient un sit-in de protestation le 16 juillet 2013 pour exiger l’arrêt de l’immixtion des autorités du ministère de la Communication dans le traitement de l’information au niveau des médias publics ainsi que l’amélioration de leurs conditions de vie et de travail à travers l’élaboration d’un statut particulier pour les travailleurs des médias publics. A l’issue de cette manifestation, le président de l'Association des journalistes du Burkina (AJB) était entendu le 17 juillet 2013 par la Direction générale des libertés publiques du ministère de l'Administration territoriale et de la Sécurité. Il lui était reproché de s’être associé à un syndicat pour organiser un sit-in de protestation; ce qui serait contraire aux articles 39 et 47 de la loi 10-92 portant liberté d’association au Burkina Faso. Pour cette raison, selon le Directeur général des libertés publiques, l’AJB devrait être dissoute. Cette mise en garde ouverte constitue une intimidation en vue de restreindre le droit de grève mais aussi une atteinte aux libertés d’association et de manifestation.</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Après l’insurrection populaire des 30 et 31 octobre 2014, les nouvelles autorités de la transition ont, à plusieurs reprises</w:t>
      </w:r>
      <w:r w:rsidRPr="009706A0">
        <w:rPr>
          <w:rFonts w:ascii="Arial" w:hAnsi="Arial" w:cs="Arial"/>
          <w:color w:val="FF0000"/>
          <w:sz w:val="24"/>
          <w:szCs w:val="24"/>
        </w:rPr>
        <w:t>,</w:t>
      </w:r>
      <w:r w:rsidRPr="009706A0">
        <w:rPr>
          <w:rFonts w:ascii="Arial" w:hAnsi="Arial" w:cs="Arial"/>
          <w:sz w:val="24"/>
          <w:szCs w:val="24"/>
        </w:rPr>
        <w:t xml:space="preserve"> à travers des déclarations, proféré des menaces contre les travailleurs en lutte. Suite à une grève des transporteurs routiers et des travailleurs de la BRAKINA, le Premier Ministre Yacouba Isaac ZIDA déclarait le 1</w:t>
      </w:r>
      <w:r w:rsidRPr="009706A0">
        <w:rPr>
          <w:rFonts w:ascii="Arial" w:hAnsi="Arial" w:cs="Arial"/>
          <w:sz w:val="24"/>
          <w:szCs w:val="24"/>
          <w:vertAlign w:val="superscript"/>
        </w:rPr>
        <w:t>er</w:t>
      </w:r>
      <w:r w:rsidRPr="009706A0">
        <w:rPr>
          <w:rFonts w:ascii="Arial" w:hAnsi="Arial" w:cs="Arial"/>
          <w:sz w:val="24"/>
          <w:szCs w:val="24"/>
        </w:rPr>
        <w:t xml:space="preserve"> avril 2015 ceci : « le Gouvernement appelle au discernement et à la vigilance de tous, afin de contrer ceux qui tentent de greffer à la légitime insurrection de notre peuple, leurs agendas égoïstes, en instrumentalisant certaines revendications, et en poussant certains de nos compatriotes à la surenchère ». </w:t>
      </w:r>
    </w:p>
    <w:p w:rsidR="00F246A8"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Tous ces actes démontrent que  le droit de grève et la liberté syndicale bien que proclamés font l’objet d’incessantes remises en cause tant de nombreuses difficultés freinent encore leur effectivité.</w:t>
      </w:r>
    </w:p>
    <w:p w:rsidR="003678BD" w:rsidRDefault="003678BD" w:rsidP="003678BD">
      <w:pPr>
        <w:pStyle w:val="Paragraphedeliste"/>
        <w:spacing w:after="0" w:line="360" w:lineRule="auto"/>
        <w:jc w:val="both"/>
        <w:rPr>
          <w:rFonts w:ascii="Arial" w:hAnsi="Arial" w:cs="Arial"/>
          <w:sz w:val="24"/>
          <w:szCs w:val="24"/>
        </w:rPr>
      </w:pPr>
    </w:p>
    <w:p w:rsidR="003678BD" w:rsidRPr="00462230" w:rsidRDefault="003678BD" w:rsidP="00462230">
      <w:pPr>
        <w:pStyle w:val="Paragraphedeliste"/>
        <w:numPr>
          <w:ilvl w:val="0"/>
          <w:numId w:val="5"/>
        </w:numPr>
        <w:spacing w:after="0" w:line="360" w:lineRule="auto"/>
        <w:jc w:val="both"/>
        <w:rPr>
          <w:rFonts w:ascii="Arial" w:hAnsi="Arial" w:cs="Arial"/>
          <w:b/>
          <w:sz w:val="24"/>
          <w:szCs w:val="24"/>
        </w:rPr>
      </w:pPr>
      <w:r w:rsidRPr="00462230">
        <w:rPr>
          <w:rFonts w:ascii="Arial" w:hAnsi="Arial" w:cs="Arial"/>
          <w:b/>
          <w:sz w:val="24"/>
          <w:szCs w:val="24"/>
        </w:rPr>
        <w:t>Le droit de la femme à une protection spéciale (article 10.2)</w:t>
      </w:r>
    </w:p>
    <w:p w:rsidR="00667298" w:rsidRDefault="00667298" w:rsidP="00667298">
      <w:pPr>
        <w:pStyle w:val="Paragraphedeliste"/>
        <w:numPr>
          <w:ilvl w:val="0"/>
          <w:numId w:val="7"/>
        </w:numPr>
        <w:spacing w:after="0" w:line="360" w:lineRule="auto"/>
        <w:jc w:val="both"/>
        <w:rPr>
          <w:rFonts w:ascii="Arial" w:hAnsi="Arial" w:cs="Arial"/>
          <w:sz w:val="24"/>
          <w:szCs w:val="24"/>
        </w:rPr>
      </w:pPr>
      <w:r>
        <w:rPr>
          <w:rFonts w:ascii="Arial" w:hAnsi="Arial" w:cs="Arial"/>
          <w:sz w:val="24"/>
          <w:szCs w:val="24"/>
        </w:rPr>
        <w:t>Ce droit fait l’objet de remise en cause par certaines entreprises privées et surtout par l’armée nationale. En effet, l’état de grossesse est fréquemment le motif réel du non renouvellement des contrats de travail à durée déterminée ou même de certains licenciements. S’agissant de l’armée nationale, elle interdit aux femmes de contracter des grossesses pendant un certain temps à compter de leur incorporation. Plusieurs jeunes militaires de sexe féminin en ont été victimes et même les décisions de justice rendues en leur faveur</w:t>
      </w:r>
      <w:r w:rsidR="007E46B0">
        <w:rPr>
          <w:rFonts w:ascii="Arial" w:hAnsi="Arial" w:cs="Arial"/>
          <w:sz w:val="24"/>
          <w:szCs w:val="24"/>
        </w:rPr>
        <w:t xml:space="preserve"> souffrent </w:t>
      </w:r>
      <w:r w:rsidR="00C85A6E">
        <w:rPr>
          <w:rFonts w:ascii="Arial" w:hAnsi="Arial" w:cs="Arial"/>
          <w:sz w:val="24"/>
          <w:szCs w:val="24"/>
        </w:rPr>
        <w:t>d’inexécution</w:t>
      </w:r>
      <w:r w:rsidR="007E46B0">
        <w:rPr>
          <w:rFonts w:ascii="Arial" w:hAnsi="Arial" w:cs="Arial"/>
          <w:sz w:val="24"/>
          <w:szCs w:val="24"/>
        </w:rPr>
        <w:t xml:space="preserve">. Le problème est que ces atteintes </w:t>
      </w:r>
      <w:r w:rsidR="007E46B0">
        <w:rPr>
          <w:rFonts w:ascii="Arial" w:hAnsi="Arial" w:cs="Arial"/>
          <w:sz w:val="24"/>
          <w:szCs w:val="24"/>
        </w:rPr>
        <w:lastRenderedPageBreak/>
        <w:t>sont maintenant portées dans la nouvelle loi relative aux forces armées nationales adoptée en 2015.</w:t>
      </w:r>
    </w:p>
    <w:p w:rsidR="002C6C54" w:rsidRPr="002C6C54" w:rsidRDefault="002C6C54" w:rsidP="00462230">
      <w:pPr>
        <w:pStyle w:val="Titre3"/>
        <w:numPr>
          <w:ilvl w:val="0"/>
          <w:numId w:val="5"/>
        </w:numPr>
        <w:spacing w:before="0" w:after="120"/>
        <w:rPr>
          <w:sz w:val="24"/>
          <w:szCs w:val="24"/>
        </w:rPr>
      </w:pPr>
      <w:bookmarkStart w:id="7" w:name="_Toc412366445"/>
      <w:bookmarkStart w:id="8" w:name="_Toc314220688"/>
      <w:bookmarkStart w:id="9" w:name="_Toc314123177"/>
      <w:bookmarkStart w:id="10" w:name="_Toc314122997"/>
      <w:bookmarkStart w:id="11" w:name="_Toc314122821"/>
      <w:bookmarkStart w:id="12" w:name="_Toc314122239"/>
      <w:r w:rsidRPr="002C6C54">
        <w:rPr>
          <w:sz w:val="24"/>
          <w:szCs w:val="24"/>
        </w:rPr>
        <w:t>Le droit à un niveau de vie suffisant</w:t>
      </w:r>
      <w:bookmarkEnd w:id="7"/>
      <w:bookmarkEnd w:id="8"/>
      <w:bookmarkEnd w:id="9"/>
      <w:bookmarkEnd w:id="10"/>
      <w:bookmarkEnd w:id="11"/>
      <w:bookmarkEnd w:id="12"/>
      <w:r w:rsidRPr="002C6C54">
        <w:rPr>
          <w:sz w:val="24"/>
          <w:szCs w:val="24"/>
        </w:rPr>
        <w:t xml:space="preserve"> (article 11)</w:t>
      </w:r>
    </w:p>
    <w:p w:rsidR="002C6C54" w:rsidRPr="002C6C54" w:rsidRDefault="002C6C54" w:rsidP="002C6C54">
      <w:pPr>
        <w:pStyle w:val="Paragraphedeliste"/>
        <w:numPr>
          <w:ilvl w:val="0"/>
          <w:numId w:val="16"/>
        </w:numPr>
        <w:spacing w:after="0" w:line="360" w:lineRule="auto"/>
        <w:rPr>
          <w:rFonts w:ascii="Arial" w:hAnsi="Arial" w:cs="Arial"/>
          <w:b/>
          <w:sz w:val="24"/>
          <w:szCs w:val="24"/>
        </w:rPr>
      </w:pPr>
      <w:r w:rsidRPr="002C6C54">
        <w:rPr>
          <w:rFonts w:ascii="Arial" w:hAnsi="Arial" w:cs="Arial"/>
          <w:b/>
          <w:sz w:val="24"/>
          <w:szCs w:val="24"/>
        </w:rPr>
        <w:t>Le droit à l’eau</w:t>
      </w:r>
      <w:r w:rsidR="007B3151">
        <w:rPr>
          <w:rFonts w:ascii="Arial" w:hAnsi="Arial" w:cs="Arial"/>
          <w:b/>
          <w:sz w:val="24"/>
          <w:szCs w:val="24"/>
        </w:rPr>
        <w:t xml:space="preserve"> et à l’assainissement</w:t>
      </w:r>
    </w:p>
    <w:p w:rsidR="002C6C54" w:rsidRPr="006F1BE2" w:rsidRDefault="002C6C54" w:rsidP="002C6C54">
      <w:pPr>
        <w:pStyle w:val="Paragraphedeliste"/>
        <w:numPr>
          <w:ilvl w:val="0"/>
          <w:numId w:val="7"/>
        </w:numPr>
        <w:spacing w:after="0" w:line="360" w:lineRule="auto"/>
        <w:jc w:val="both"/>
        <w:rPr>
          <w:rFonts w:ascii="Arial" w:hAnsi="Arial" w:cs="Arial"/>
          <w:sz w:val="24"/>
          <w:szCs w:val="24"/>
        </w:rPr>
      </w:pPr>
      <w:r w:rsidRPr="006F1BE2">
        <w:rPr>
          <w:rFonts w:ascii="Arial" w:hAnsi="Arial" w:cs="Arial"/>
          <w:sz w:val="24"/>
          <w:szCs w:val="24"/>
        </w:rPr>
        <w:t>L’article 1 de la loi n°002-2001/AN du 08 février 2001 portant loi d’orientation relative à la gestion de l’eau « reconnaît le droit de chacun à disposer de l’eau correspondant à ses besoins et aux exigences élémentaires de sa vie et de sa dignité ». Cependant, l’accès à l’eau potable est de plus en plus difficile pour les populations aussi bien dans les villes que dans les campagnes. De même, les mesures proposées par les autorités n’arrivent pas à contribuer à la réduction de l’écart entre la demande et l’offre d’eau potable.</w:t>
      </w:r>
    </w:p>
    <w:p w:rsidR="002C6C54" w:rsidRPr="00D00EC0" w:rsidRDefault="002C6C54" w:rsidP="00EC7D02">
      <w:pPr>
        <w:pStyle w:val="Paragraphedeliste"/>
        <w:numPr>
          <w:ilvl w:val="0"/>
          <w:numId w:val="18"/>
        </w:numPr>
        <w:spacing w:after="0" w:line="360" w:lineRule="auto"/>
        <w:rPr>
          <w:rFonts w:ascii="Arial" w:hAnsi="Arial" w:cs="Arial"/>
          <w:b/>
          <w:sz w:val="24"/>
          <w:szCs w:val="24"/>
        </w:rPr>
      </w:pPr>
      <w:r w:rsidRPr="00D00EC0">
        <w:rPr>
          <w:rFonts w:ascii="Arial" w:hAnsi="Arial" w:cs="Arial"/>
          <w:b/>
          <w:sz w:val="24"/>
          <w:szCs w:val="24"/>
        </w:rPr>
        <w:t>Sur l’accès à l’eau</w:t>
      </w:r>
    </w:p>
    <w:p w:rsidR="002C6C54" w:rsidRPr="006F1BE2" w:rsidRDefault="002C6C54" w:rsidP="002C6C54">
      <w:pPr>
        <w:pStyle w:val="Paragraphedeliste"/>
        <w:numPr>
          <w:ilvl w:val="0"/>
          <w:numId w:val="7"/>
        </w:numPr>
        <w:spacing w:after="0" w:line="360" w:lineRule="auto"/>
        <w:jc w:val="both"/>
        <w:rPr>
          <w:rFonts w:ascii="Arial" w:hAnsi="Arial" w:cs="Arial"/>
          <w:sz w:val="24"/>
          <w:szCs w:val="24"/>
        </w:rPr>
      </w:pPr>
      <w:r w:rsidRPr="006F1BE2">
        <w:rPr>
          <w:rFonts w:ascii="Arial" w:hAnsi="Arial" w:cs="Arial"/>
          <w:sz w:val="24"/>
          <w:szCs w:val="24"/>
        </w:rPr>
        <w:t>Le standard conventionnel de 20 litres d’eau potable par jour et par habitant est encore loin des quantités servies au Burkina Faso qui s’estiment en moyenne à 7,5 litres par jour et par personne. A côté de cette insuffisance dans l’alimentation des populations en eau potable s’ajoute la non permanence de cette ressource dans les villes et les campagnes. Les chiffres annoncés pour désigner le taux d’accès à l’eau en milieu urbain (78%) cache une réalité importante : la rupture dans l’approvisionnement en eau potable par les services de l’Office national de l’Eau et de l’Assainissement (ONEA) est devenue quasi systématique. Ainsi, dans les villes du Burkina Faso l’eau n’est pas toujours disponible pour toute une journée. Dans les quartiers périurbains, cette situation est davantage inquiétante. En effet, l’eau n’y est disponible (pour une grande partie de l’année) que très tard dans la nuit avec une très forte affluence autour des bornes fontaines. Les femmes sont de ce fait,</w:t>
      </w:r>
      <w:r w:rsidR="00C85A6E">
        <w:rPr>
          <w:rFonts w:ascii="Arial" w:hAnsi="Arial" w:cs="Arial"/>
          <w:sz w:val="24"/>
          <w:szCs w:val="24"/>
        </w:rPr>
        <w:t xml:space="preserve"> eu</w:t>
      </w:r>
      <w:r w:rsidR="006533B8">
        <w:rPr>
          <w:rFonts w:ascii="Arial" w:hAnsi="Arial" w:cs="Arial"/>
          <w:color w:val="FF0000"/>
          <w:sz w:val="24"/>
          <w:szCs w:val="24"/>
        </w:rPr>
        <w:t xml:space="preserve"> </w:t>
      </w:r>
      <w:r w:rsidRPr="00C85A6E">
        <w:rPr>
          <w:rFonts w:ascii="Arial" w:hAnsi="Arial" w:cs="Arial"/>
          <w:color w:val="FF0000"/>
          <w:sz w:val="24"/>
          <w:szCs w:val="24"/>
        </w:rPr>
        <w:t xml:space="preserve"> </w:t>
      </w:r>
      <w:r w:rsidRPr="006F1BE2">
        <w:rPr>
          <w:rFonts w:ascii="Arial" w:hAnsi="Arial" w:cs="Arial"/>
          <w:sz w:val="24"/>
          <w:szCs w:val="24"/>
        </w:rPr>
        <w:t>égard à leur rôle dans l’utilisation de l’eau, les plus exposées à l’insécurité. Pour illustration, dans la commune rurale de Saba, les populations ont organisé une marche de protestation sur la Gendarmerie de Bendogo (courant début Mai 2015) contre des meurtres à répétition de femme due en grande partie à la coïncidence entre la pénurie et les crimes observés.</w:t>
      </w:r>
    </w:p>
    <w:p w:rsidR="002C6C54" w:rsidRPr="00D00EC0" w:rsidRDefault="002C6C54" w:rsidP="00EC7D02">
      <w:pPr>
        <w:pStyle w:val="Paragraphedeliste"/>
        <w:numPr>
          <w:ilvl w:val="0"/>
          <w:numId w:val="18"/>
        </w:numPr>
        <w:spacing w:after="0" w:line="360" w:lineRule="auto"/>
        <w:rPr>
          <w:rFonts w:ascii="Arial" w:hAnsi="Arial" w:cs="Arial"/>
          <w:b/>
          <w:sz w:val="24"/>
          <w:szCs w:val="24"/>
        </w:rPr>
      </w:pPr>
      <w:r w:rsidRPr="00D00EC0">
        <w:rPr>
          <w:rFonts w:ascii="Arial" w:hAnsi="Arial" w:cs="Arial"/>
          <w:b/>
          <w:sz w:val="24"/>
          <w:szCs w:val="24"/>
        </w:rPr>
        <w:t>Les mesures proposées pour faciliter l’accès à l’eau</w:t>
      </w:r>
    </w:p>
    <w:p w:rsidR="002C6C54" w:rsidRPr="006F1BE2" w:rsidRDefault="002C6C54" w:rsidP="002C6C54">
      <w:pPr>
        <w:pStyle w:val="Paragraphedeliste"/>
        <w:numPr>
          <w:ilvl w:val="0"/>
          <w:numId w:val="7"/>
        </w:numPr>
        <w:spacing w:after="0" w:line="360" w:lineRule="auto"/>
        <w:jc w:val="both"/>
        <w:rPr>
          <w:rFonts w:ascii="Arial" w:hAnsi="Arial" w:cs="Arial"/>
          <w:sz w:val="24"/>
          <w:szCs w:val="24"/>
        </w:rPr>
      </w:pPr>
      <w:r w:rsidRPr="006F1BE2">
        <w:rPr>
          <w:rFonts w:ascii="Arial" w:hAnsi="Arial" w:cs="Arial"/>
          <w:sz w:val="24"/>
          <w:szCs w:val="24"/>
        </w:rPr>
        <w:t xml:space="preserve">Depuis 2009, une loi (La loi 058-2009/AN du 15 décembre 2009 portant institution d’une taxe parafiscale au profit des Agences de l’eau) a été prise afin de faire </w:t>
      </w:r>
      <w:r w:rsidR="00C85A6E">
        <w:rPr>
          <w:rFonts w:ascii="Arial" w:hAnsi="Arial" w:cs="Arial"/>
          <w:sz w:val="24"/>
          <w:szCs w:val="24"/>
        </w:rPr>
        <w:t xml:space="preserve">participer </w:t>
      </w:r>
      <w:r w:rsidRPr="006F1BE2">
        <w:rPr>
          <w:rFonts w:ascii="Arial" w:hAnsi="Arial" w:cs="Arial"/>
          <w:sz w:val="24"/>
          <w:szCs w:val="24"/>
        </w:rPr>
        <w:t xml:space="preserve">le contribuable à l’amélioration de la qualité et la quantité des ressources en eau. Cette loi comprend trois taxes dont la taxe de prélèvement de l’eau brute. </w:t>
      </w:r>
      <w:r w:rsidRPr="006F1BE2">
        <w:rPr>
          <w:rFonts w:ascii="Arial" w:hAnsi="Arial" w:cs="Arial"/>
          <w:sz w:val="24"/>
          <w:szCs w:val="24"/>
        </w:rPr>
        <w:lastRenderedPageBreak/>
        <w:t xml:space="preserve">Ainsi, l’ONEA, les sociétés minières, les activités de bâtiments et travaux publics (BTP), les activités de commercialisation de l’eau payent effectivement les taxes qui leur sont imposées. Toutefois depuis 2009, non seulement le contribuable n’arrive pas à voir les résultats concrets de sa contribution, les populations non plus ne la ressentent. Qui plus est, il est à se demander sur la destination véritable de cette somme collectée qui </w:t>
      </w:r>
      <w:r w:rsidR="00C85A6E">
        <w:rPr>
          <w:rFonts w:ascii="Arial" w:hAnsi="Arial" w:cs="Arial"/>
          <w:sz w:val="24"/>
          <w:szCs w:val="24"/>
        </w:rPr>
        <w:t xml:space="preserve">devrait </w:t>
      </w:r>
      <w:r w:rsidRPr="006F1BE2">
        <w:rPr>
          <w:rFonts w:ascii="Arial" w:hAnsi="Arial" w:cs="Arial"/>
          <w:sz w:val="24"/>
          <w:szCs w:val="24"/>
        </w:rPr>
        <w:t xml:space="preserve">contribuer à amoindrir la souffrance des populations vis-à-vis de l’approvisionnement en eau potable. </w:t>
      </w:r>
    </w:p>
    <w:p w:rsidR="002C6C54" w:rsidRPr="00D00EC0" w:rsidRDefault="002C6C54" w:rsidP="00EC7D02">
      <w:pPr>
        <w:pStyle w:val="Paragraphedeliste"/>
        <w:numPr>
          <w:ilvl w:val="0"/>
          <w:numId w:val="18"/>
        </w:numPr>
        <w:spacing w:after="0" w:line="360" w:lineRule="auto"/>
        <w:rPr>
          <w:rFonts w:ascii="Arial" w:hAnsi="Arial" w:cs="Arial"/>
          <w:b/>
          <w:sz w:val="24"/>
          <w:szCs w:val="24"/>
        </w:rPr>
      </w:pPr>
      <w:r w:rsidRPr="00D00EC0">
        <w:rPr>
          <w:rFonts w:ascii="Arial" w:hAnsi="Arial" w:cs="Arial"/>
          <w:b/>
          <w:sz w:val="24"/>
          <w:szCs w:val="24"/>
        </w:rPr>
        <w:t>Sur l’assainissement</w:t>
      </w:r>
    </w:p>
    <w:p w:rsidR="002C6C54" w:rsidRPr="002C6C54" w:rsidRDefault="002C6C54" w:rsidP="002C6C54">
      <w:pPr>
        <w:pStyle w:val="Paragraphedeliste"/>
        <w:numPr>
          <w:ilvl w:val="0"/>
          <w:numId w:val="7"/>
        </w:numPr>
        <w:spacing w:after="0" w:line="360" w:lineRule="auto"/>
        <w:jc w:val="both"/>
        <w:rPr>
          <w:rFonts w:ascii="Arial" w:hAnsi="Arial" w:cs="Arial"/>
          <w:sz w:val="24"/>
          <w:szCs w:val="24"/>
        </w:rPr>
      </w:pPr>
      <w:r w:rsidRPr="006F1BE2">
        <w:rPr>
          <w:rFonts w:ascii="Arial" w:hAnsi="Arial" w:cs="Arial"/>
          <w:sz w:val="24"/>
          <w:szCs w:val="24"/>
        </w:rPr>
        <w:t>Dans les villes et campagnes du Burkina Faso, le déversement des déchets notamment les boues de vidange se fait de façon anarchique</w:t>
      </w:r>
      <w:r w:rsidR="00C85A6E">
        <w:rPr>
          <w:rFonts w:ascii="Arial" w:hAnsi="Arial" w:cs="Arial"/>
          <w:sz w:val="24"/>
          <w:szCs w:val="24"/>
        </w:rPr>
        <w:t>,</w:t>
      </w:r>
      <w:r w:rsidRPr="006F1BE2">
        <w:rPr>
          <w:rFonts w:ascii="Arial" w:hAnsi="Arial" w:cs="Arial"/>
          <w:sz w:val="24"/>
          <w:szCs w:val="24"/>
        </w:rPr>
        <w:t xml:space="preserve"> démultipliant ainsi les sources potentielles de maladies. Cette situation est la conséquence de l’absence de système et de stratégie permanents et cohérents d’évacuation et de traitement  des déchets.</w:t>
      </w:r>
    </w:p>
    <w:p w:rsidR="002C6C54" w:rsidRPr="002C6C54" w:rsidRDefault="002C6C54" w:rsidP="002C6C54">
      <w:pPr>
        <w:pStyle w:val="Paragraphedeliste"/>
        <w:numPr>
          <w:ilvl w:val="0"/>
          <w:numId w:val="16"/>
        </w:numPr>
        <w:spacing w:after="0" w:line="360" w:lineRule="auto"/>
        <w:rPr>
          <w:rFonts w:ascii="Arial" w:hAnsi="Arial" w:cs="Arial"/>
          <w:b/>
          <w:sz w:val="24"/>
          <w:szCs w:val="24"/>
        </w:rPr>
      </w:pPr>
      <w:r w:rsidRPr="002C6C54">
        <w:rPr>
          <w:rFonts w:ascii="Arial" w:hAnsi="Arial" w:cs="Arial"/>
          <w:b/>
          <w:sz w:val="24"/>
          <w:szCs w:val="24"/>
        </w:rPr>
        <w:t>Le droit au logement</w:t>
      </w:r>
    </w:p>
    <w:p w:rsidR="002C6C54" w:rsidRPr="009706A0" w:rsidRDefault="002C6C54" w:rsidP="002C6C54">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droit au logement constitue un droit fondamental. Toutefois, à l’instar des autres droits économiques, sociaux et culturels, il connaît le désengagement de fait de l’Etat. Les populations surtout dans les grandes villes sont livrées à des coûts (les coûts des loyers ne sont pas règlementés par l’Etat) de loyers exorbitants grevant ainsi une bonne part du budget familial. Cette situation est due aux spéculations des opérateurs privés intervenant dans ce domaine. </w:t>
      </w:r>
    </w:p>
    <w:p w:rsidR="002C6C54" w:rsidRPr="009706A0" w:rsidRDefault="002C6C54" w:rsidP="002C6C54">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Par ailleurs, le Burkina Faso ne dispose pas de politique appropriée de logement pour soulager les populations dont l’une des préoccupations majeures demeure la question de l’habitat. En dépit de l’adoption de la politique nationale de l’habitat et du développement urbain et du programme dix mille logements en 2008, la crise du logement demeure avec acuité.  La gestion mafieuse des processus de lotissement par les différentes mairies a eu pour conséquence de barrer l’accès aux parcelles à bon nombre de résidents réels des zones non-loties qui sont pour la plupart des personnes démunies à la recherche d’un toit pour leurs familles. Pendant ce temps, des personnes non résidentes sont attributaires de parcelles dans les mêmes zones et y bâtissent des villas et autres duplex. Les cris de détresse des populations qui s’organisent contre ces pratiques n’ont pas encore eu d’oreilles attentives. Les états généraux des lotissements annoncés à grand renfort de publicité et tenus les 24 et 25 octobre 2013 n’ont pas produits les résultats souhaités, des mesures concrètes </w:t>
      </w:r>
      <w:r w:rsidRPr="009706A0">
        <w:rPr>
          <w:rFonts w:ascii="Arial" w:hAnsi="Arial" w:cs="Arial"/>
          <w:sz w:val="24"/>
          <w:szCs w:val="24"/>
        </w:rPr>
        <w:lastRenderedPageBreak/>
        <w:t xml:space="preserve">de résolution des problèmes pendants et pour la mise en œuvre d’une véritable politique de logements n’ayant été prises.  </w:t>
      </w:r>
    </w:p>
    <w:p w:rsidR="002C6C54" w:rsidRPr="009706A0" w:rsidRDefault="002C6C54" w:rsidP="002C6C54">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outre, lors de l’opération tombola parcelles, pour l’obtention de parcelles viabilisées à Saponé, organisée par le ministère en charge de l’habitat et de l’urbanisme en collaboration avec la LONAB, on enregistrait une demande tellement forte que les postulants étaient obligés de passer des nuits au stade municipal ou au stade du 4 août pour pouvoir déposer leurs dossiers de candidature.</w:t>
      </w:r>
    </w:p>
    <w:p w:rsidR="002C6C54" w:rsidRDefault="002C6C54" w:rsidP="002C6C54">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réalité, l’extension démesurée des grandes villes comme Ouagadougou et Bobo-Dioulasso traduit l’échec de cette politique de l’habitat caractérisée par la réalisation de lotissements à perte de vue sur fond de détournements, de spéculations et d’attributions clientélistes de parcelles. A cela s’ajoute la non viabilisation des zones nouvellement loties qui manquent cruellement d’infrastructures sociales (établissements scolaires, sanitaires, etc.) d’adduction d’eau potable, d’électricité, etc. Cette situation interpelle les autorités qui devraient mettre un terme à la spéculation foncière qui engendre une extension insoutenable des villes. En lieu et place, une véritable politique sociale d’attribution de logements devrait être mise en œuvre.</w:t>
      </w:r>
    </w:p>
    <w:p w:rsidR="00F246A8" w:rsidRPr="00055EAB" w:rsidRDefault="00F246A8" w:rsidP="00F246A8">
      <w:pPr>
        <w:spacing w:after="0" w:line="360" w:lineRule="auto"/>
        <w:jc w:val="both"/>
        <w:rPr>
          <w:rFonts w:ascii="Arial" w:hAnsi="Arial" w:cs="Arial"/>
          <w:sz w:val="24"/>
          <w:szCs w:val="24"/>
        </w:rPr>
      </w:pPr>
    </w:p>
    <w:p w:rsidR="00F246A8" w:rsidRPr="00CE3A3F" w:rsidRDefault="00F246A8" w:rsidP="00F246A8">
      <w:pPr>
        <w:pStyle w:val="Paragraphedeliste"/>
        <w:numPr>
          <w:ilvl w:val="0"/>
          <w:numId w:val="5"/>
        </w:numPr>
        <w:spacing w:after="0" w:line="360" w:lineRule="auto"/>
        <w:rPr>
          <w:rFonts w:ascii="Arial" w:hAnsi="Arial" w:cs="Arial"/>
          <w:b/>
          <w:sz w:val="24"/>
          <w:szCs w:val="24"/>
        </w:rPr>
      </w:pPr>
      <w:r w:rsidRPr="00CE3A3F">
        <w:rPr>
          <w:rFonts w:ascii="Arial" w:hAnsi="Arial" w:cs="Arial"/>
          <w:b/>
          <w:sz w:val="24"/>
          <w:szCs w:val="24"/>
        </w:rPr>
        <w:t>Le droit à la santé</w:t>
      </w:r>
      <w:r w:rsidR="002C6C54">
        <w:rPr>
          <w:rFonts w:ascii="Arial" w:hAnsi="Arial" w:cs="Arial"/>
          <w:b/>
          <w:sz w:val="24"/>
          <w:szCs w:val="24"/>
        </w:rPr>
        <w:t xml:space="preserve"> (article 12)</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droit à la santé fait partie intégrante des droits sociaux consacrés par les instruments juridiques internationaux et nationaux des droits de l’homme ayant force contraignante au Burkina Faso. Il s’agit entre autres de la Déclaration universelle des droits de l’homme (DUDH), du Pacte international relatif aux droits économiques, sociaux et culturels (PIDESC), de la Charte africaine des droits de l’homme et des peuples (CADHP), de la constitution du 02 juin 1991, etc.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Selon l’Organisation mondiale de la santé (OMS), « La possession du meilleur état qu’il est capable d’atteindre constitue l’un des droits fondamentaux de tout être humain quelles que soient sa race, sa religion, ses opinions politiques, sa condition économique et sociale ». La même Organisation définit la santé comme étant «  un état de complet bien-être physique, mental et social, et qui ne consiste pas seulement en l’absence de maladie ou d’infirmité ».</w:t>
      </w:r>
    </w:p>
    <w:p w:rsidR="00F246A8" w:rsidRPr="00D26B35" w:rsidRDefault="00F246A8" w:rsidP="00D26B35">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Aux termes de l’article 25 de la DUDH, toute personne a droit à un niveau de vie suffisant pour assurer sa santé, son bien-être et ceux de sa famille, notamment pour les soins médicaux ainsi que pour les services sociaux nécessaires. Le PIDESC, en </w:t>
      </w:r>
      <w:r w:rsidRPr="009706A0">
        <w:rPr>
          <w:rFonts w:ascii="Arial" w:hAnsi="Arial" w:cs="Arial"/>
          <w:sz w:val="24"/>
          <w:szCs w:val="24"/>
        </w:rPr>
        <w:lastRenderedPageBreak/>
        <w:t>son article 12, fait obligation aux Etats parties de prendre les mes</w:t>
      </w:r>
      <w:r w:rsidR="00D26B35">
        <w:rPr>
          <w:rFonts w:ascii="Arial" w:hAnsi="Arial" w:cs="Arial"/>
          <w:sz w:val="24"/>
          <w:szCs w:val="24"/>
        </w:rPr>
        <w:t>ures nécessaires pour  assurer l</w:t>
      </w:r>
      <w:r w:rsidRPr="00D26B35">
        <w:rPr>
          <w:rFonts w:ascii="Arial" w:hAnsi="Arial" w:cs="Arial"/>
          <w:sz w:val="24"/>
          <w:szCs w:val="24"/>
        </w:rPr>
        <w:t xml:space="preserve">a diminution de la morbidité et de la mortalité infantile, ainsi que le </w:t>
      </w:r>
      <w:r w:rsidR="00D26B35">
        <w:rPr>
          <w:rFonts w:ascii="Arial" w:hAnsi="Arial" w:cs="Arial"/>
          <w:sz w:val="24"/>
          <w:szCs w:val="24"/>
        </w:rPr>
        <w:t>développement sain de l’enfant, l</w:t>
      </w:r>
      <w:r w:rsidRPr="00D26B35">
        <w:rPr>
          <w:rFonts w:ascii="Arial" w:hAnsi="Arial" w:cs="Arial"/>
          <w:sz w:val="24"/>
          <w:szCs w:val="24"/>
        </w:rPr>
        <w:t>’amélioration de tous les aspects de l’hygiène du milie</w:t>
      </w:r>
      <w:r w:rsidR="00D26B35">
        <w:rPr>
          <w:rFonts w:ascii="Arial" w:hAnsi="Arial" w:cs="Arial"/>
          <w:sz w:val="24"/>
          <w:szCs w:val="24"/>
        </w:rPr>
        <w:t>u et de l’hygiène industrielle, l</w:t>
      </w:r>
      <w:r w:rsidRPr="00D26B35">
        <w:rPr>
          <w:rFonts w:ascii="Arial" w:hAnsi="Arial" w:cs="Arial"/>
          <w:sz w:val="24"/>
          <w:szCs w:val="24"/>
        </w:rPr>
        <w:t>a prophylaxie et le traitement des maladies épidémiques, endémiques, professionnelles et autres, ainsi qu</w:t>
      </w:r>
      <w:r w:rsidR="00D26B35">
        <w:rPr>
          <w:rFonts w:ascii="Arial" w:hAnsi="Arial" w:cs="Arial"/>
          <w:sz w:val="24"/>
          <w:szCs w:val="24"/>
        </w:rPr>
        <w:t>e la lutte contre ces maladies, l</w:t>
      </w:r>
      <w:r w:rsidRPr="00D26B35">
        <w:rPr>
          <w:rFonts w:ascii="Arial" w:hAnsi="Arial" w:cs="Arial"/>
          <w:sz w:val="24"/>
          <w:szCs w:val="24"/>
        </w:rPr>
        <w:t>a création de conditions propres à assurer à tous des services médicaux et une aide médicale en cas de maladie.</w:t>
      </w:r>
    </w:p>
    <w:p w:rsidR="00F246A8" w:rsidRPr="00D26B35" w:rsidRDefault="00F246A8" w:rsidP="00D26B35">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Dans le même sens, l’article 16 de la CADHP énonce que «  Toute personne a le droit de jouir du meilleur état de santé physique et mentale qu’elle soit capable d’atteindre. Les Etats parties à la présente Charte s’engagent à prendre les mesures nécessaires en vue de protéger la santé de leurs populations et de leur assurer l’assistance médicale en cas de maladie ».</w:t>
      </w:r>
      <w:r w:rsidR="00D26B35">
        <w:rPr>
          <w:rFonts w:ascii="Arial" w:hAnsi="Arial" w:cs="Arial"/>
          <w:sz w:val="24"/>
          <w:szCs w:val="24"/>
        </w:rPr>
        <w:t xml:space="preserve"> </w:t>
      </w:r>
      <w:r w:rsidRPr="00D26B35">
        <w:rPr>
          <w:rFonts w:ascii="Arial" w:hAnsi="Arial" w:cs="Arial"/>
          <w:sz w:val="24"/>
          <w:szCs w:val="24"/>
        </w:rPr>
        <w:t>Au plan interne, l’article 18 de la constitution du 02 juin 1991 consacre le droit à la santé et l’obligation pour l’Etat de veiller à sa promotion.</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dépit de ces textes, l’état de santé des populations n’est pas reluisant au Burkina Faso. Dans la réalité, de nombreux obstacles entravent l’effectivité du droit à la santé. L’extrême pauvreté des populations, la faiblesse numérique des infrastructures sanitaires, le manque d’équipement et de personnel médical, l’absence d’une politique d’assistance  médicale adéquate, etc. excluent les groupes pauvres des soins de santé. Laissés à eux-mêmes, ces groupes vulnérables se rabattent sur les médicaments de la rue et les praticiens illégaux de médecine.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Concernant d’abord les infrastructures, il ressort de l’annuaire statistique 2013 du Ministère de la santé que le pays compte 70 districts sanitaires dont 63 opérationnels, 1606 Centre de Santé et de la Promotion Sociale </w:t>
      </w:r>
      <w:r w:rsidR="002C6C54" w:rsidRPr="009706A0">
        <w:rPr>
          <w:rFonts w:ascii="Arial" w:hAnsi="Arial" w:cs="Arial"/>
          <w:sz w:val="24"/>
          <w:szCs w:val="24"/>
        </w:rPr>
        <w:t>(CSPS</w:t>
      </w:r>
      <w:r w:rsidRPr="009706A0">
        <w:rPr>
          <w:rFonts w:ascii="Arial" w:hAnsi="Arial" w:cs="Arial"/>
          <w:sz w:val="24"/>
          <w:szCs w:val="24"/>
        </w:rPr>
        <w:t xml:space="preserve">) publics, 45 Centres Médicaux avec Antenne chirurgicale (CMA) fonctionnels, 03 centres hospitaliers universitaires et 01 centre hospitalier national. En plus des structures publiques, il y a 384 structures privées de soins concentrées dans les villes de Ouagadougou et de Bobo-Dioulasso.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nombre des infrastructures reste largement en deçà des besoins réels des populations. Cette situation complique l’accessibilité géographique des populations aux structures de santé. Ainsi, le rayon d’action moyen théorique sans le privé est de 7 Km, sans oublier  les énormes disparités en matière de couverture sanitaire aussi bien entre les régions sanitaires qu’à l’intérieur des régions. A titre illustratif, Le rayon </w:t>
      </w:r>
      <w:r w:rsidRPr="009706A0">
        <w:rPr>
          <w:rFonts w:ascii="Arial" w:hAnsi="Arial" w:cs="Arial"/>
          <w:sz w:val="24"/>
          <w:szCs w:val="24"/>
        </w:rPr>
        <w:lastRenderedPageBreak/>
        <w:t>d’action moyen théorique atteint les pics de 11, 5 km dans la région du Sahel et 10,9 Km</w:t>
      </w:r>
      <w:r w:rsidRPr="009706A0">
        <w:rPr>
          <w:rFonts w:ascii="Arial" w:hAnsi="Arial" w:cs="Arial"/>
          <w:color w:val="FF0000"/>
          <w:sz w:val="24"/>
          <w:szCs w:val="24"/>
        </w:rPr>
        <w:t xml:space="preserve"> </w:t>
      </w:r>
      <w:r w:rsidRPr="009706A0">
        <w:rPr>
          <w:rFonts w:ascii="Arial" w:hAnsi="Arial" w:cs="Arial"/>
          <w:sz w:val="24"/>
          <w:szCs w:val="24"/>
        </w:rPr>
        <w:t>dans la région de l’Est. Le ratio habitants/CSPS est de 9 759.</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L’insuffisance en structures de santé se conjugue par ailleurs avec un dénuement en équipement des centres existants. De nombreuses formations sont confrontées à un manque de lits d’hospitalisation, d’ambulance, d’éclairage pour les locaux, etc. De même, la disponibilité des médicaments et consommables médicaux n’est pas toujours effective. Selon l’annuaire statistique ci-dessus cité, 24,1% des dépôts de médicament essentiel générique ont connu des ruptures de médicaments traceurs en 2013. En outre, la maintenance des équipements existants est loin d’être satisfaisante. Ces insuffisances impactent gravement sur la qualité des soins dispensés aux patients.</w:t>
      </w:r>
    </w:p>
    <w:p w:rsidR="00F246A8" w:rsidRPr="00055EAB" w:rsidRDefault="00F246A8" w:rsidP="00F246A8">
      <w:pPr>
        <w:spacing w:after="0" w:line="360" w:lineRule="auto"/>
        <w:jc w:val="both"/>
        <w:rPr>
          <w:rFonts w:ascii="Arial" w:hAnsi="Arial" w:cs="Arial"/>
          <w:sz w:val="24"/>
          <w:szCs w:val="24"/>
        </w:rPr>
      </w:pP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matière de ressources humaines, le déficit numérique et qualitatif du personnel persiste. Il faut noter aussi la faible motivation des agents avec pour corollaire le dysfonctionnement criard dans les formations sanitaires publiques. Toujours selon l’annuaire statistique 2013 du ministère de la santé, 13,9 % des CSPS au plan national ne remplissaient pas la norme minimale en personnel en 2013. Ainsi, 19,5% des accouchements n’ont pas été assistés par un personnel qualifié.</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 tableau ci-après indique les effectifs de personnel de santé et les ratios personnel de santé/ habitants en 2013.</w:t>
      </w:r>
    </w:p>
    <w:tbl>
      <w:tblPr>
        <w:tblStyle w:val="Grilledutableau"/>
        <w:tblW w:w="9781" w:type="dxa"/>
        <w:tblInd w:w="-5" w:type="dxa"/>
        <w:tblLook w:val="04A0" w:firstRow="1" w:lastRow="0" w:firstColumn="1" w:lastColumn="0" w:noHBand="0" w:noVBand="1"/>
      </w:tblPr>
      <w:tblGrid>
        <w:gridCol w:w="2552"/>
        <w:gridCol w:w="1559"/>
        <w:gridCol w:w="2693"/>
        <w:gridCol w:w="2977"/>
      </w:tblGrid>
      <w:tr w:rsidR="00F246A8" w:rsidRPr="00055EAB" w:rsidTr="00D26B35">
        <w:trPr>
          <w:trHeight w:val="406"/>
        </w:trPr>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Personnel de santé en 2013</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Effectif</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Ratio</w:t>
            </w:r>
          </w:p>
        </w:tc>
        <w:tc>
          <w:tcPr>
            <w:tcW w:w="2977"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Normes OMS</w:t>
            </w: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Médecins</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805</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médecin pour  21653 habitants</w:t>
            </w:r>
          </w:p>
        </w:tc>
        <w:tc>
          <w:tcPr>
            <w:tcW w:w="2977"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médecin pour 10 000 habitants</w:t>
            </w: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Infirmiers d’Etat (IDE)</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3489</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IDE pour 4965 habitants</w:t>
            </w:r>
          </w:p>
        </w:tc>
        <w:tc>
          <w:tcPr>
            <w:tcW w:w="2977"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IDE pour 5 000 habitants</w:t>
            </w: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Sages-femmes/   Maïeuticiens (SF/ME)</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1591</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SF/M pour 10 888 habitants</w:t>
            </w:r>
          </w:p>
        </w:tc>
        <w:tc>
          <w:tcPr>
            <w:tcW w:w="2977"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SF/ME pour 5 000 habitants</w:t>
            </w: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Agents Itinérants de Santé (AIS)</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2231</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w:t>
            </w:r>
          </w:p>
        </w:tc>
        <w:tc>
          <w:tcPr>
            <w:tcW w:w="2977" w:type="dxa"/>
            <w:tcBorders>
              <w:top w:val="single" w:sz="4" w:space="0" w:color="auto"/>
              <w:left w:val="single" w:sz="4" w:space="0" w:color="auto"/>
              <w:bottom w:val="single" w:sz="4" w:space="0" w:color="auto"/>
              <w:right w:val="single" w:sz="4" w:space="0" w:color="auto"/>
            </w:tcBorders>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w:t>
            </w:r>
          </w:p>
          <w:p w:rsidR="00F246A8" w:rsidRPr="00055EAB" w:rsidRDefault="00F246A8" w:rsidP="003268D9">
            <w:pPr>
              <w:spacing w:after="0" w:line="360" w:lineRule="auto"/>
              <w:jc w:val="both"/>
              <w:rPr>
                <w:rFonts w:ascii="Arial" w:hAnsi="Arial" w:cs="Arial"/>
                <w:sz w:val="24"/>
                <w:szCs w:val="24"/>
              </w:rPr>
            </w:pPr>
          </w:p>
          <w:p w:rsidR="00F246A8" w:rsidRPr="00055EAB" w:rsidRDefault="00F246A8" w:rsidP="003268D9">
            <w:pPr>
              <w:spacing w:after="0" w:line="360" w:lineRule="auto"/>
              <w:jc w:val="both"/>
              <w:rPr>
                <w:rFonts w:ascii="Arial" w:hAnsi="Arial" w:cs="Arial"/>
                <w:sz w:val="24"/>
                <w:szCs w:val="24"/>
              </w:rPr>
            </w:pP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Infirmiers Brevetés (IB)</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2369</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2 957</w:t>
            </w:r>
          </w:p>
        </w:tc>
        <w:tc>
          <w:tcPr>
            <w:tcW w:w="2977" w:type="dxa"/>
            <w:tcBorders>
              <w:top w:val="single" w:sz="4" w:space="0" w:color="auto"/>
              <w:left w:val="single" w:sz="4" w:space="0" w:color="auto"/>
              <w:bottom w:val="single" w:sz="4" w:space="0" w:color="auto"/>
              <w:right w:val="single" w:sz="4" w:space="0" w:color="auto"/>
            </w:tcBorders>
          </w:tcPr>
          <w:p w:rsidR="00F246A8" w:rsidRPr="00055EAB" w:rsidRDefault="00F246A8" w:rsidP="003268D9">
            <w:pPr>
              <w:spacing w:after="0" w:line="360" w:lineRule="auto"/>
              <w:jc w:val="both"/>
              <w:rPr>
                <w:rFonts w:ascii="Arial" w:hAnsi="Arial" w:cs="Arial"/>
                <w:sz w:val="24"/>
                <w:szCs w:val="24"/>
              </w:rPr>
            </w:pP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lastRenderedPageBreak/>
              <w:t>Chirurgiens-Dentistes</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33</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w:t>
            </w:r>
          </w:p>
        </w:tc>
        <w:tc>
          <w:tcPr>
            <w:tcW w:w="2977"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w:t>
            </w:r>
          </w:p>
        </w:tc>
      </w:tr>
      <w:tr w:rsidR="00F246A8" w:rsidRPr="00055EAB" w:rsidTr="00D26B35">
        <w:tc>
          <w:tcPr>
            <w:tcW w:w="2552"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Pharmaciens</w:t>
            </w:r>
          </w:p>
        </w:tc>
        <w:tc>
          <w:tcPr>
            <w:tcW w:w="1559"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207</w:t>
            </w:r>
          </w:p>
        </w:tc>
        <w:tc>
          <w:tcPr>
            <w:tcW w:w="2693"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w:t>
            </w:r>
          </w:p>
        </w:tc>
        <w:tc>
          <w:tcPr>
            <w:tcW w:w="2977"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w:t>
            </w:r>
          </w:p>
        </w:tc>
      </w:tr>
    </w:tbl>
    <w:p w:rsidR="00F246A8" w:rsidRPr="00214679" w:rsidRDefault="00F246A8" w:rsidP="00F246A8">
      <w:pPr>
        <w:spacing w:after="0" w:line="360" w:lineRule="auto"/>
        <w:rPr>
          <w:rFonts w:ascii="Arial" w:hAnsi="Arial" w:cs="Arial"/>
          <w:sz w:val="24"/>
          <w:szCs w:val="24"/>
        </w:rPr>
      </w:pPr>
      <w:r w:rsidRPr="00214679">
        <w:rPr>
          <w:rFonts w:ascii="Arial" w:hAnsi="Arial" w:cs="Arial"/>
          <w:sz w:val="24"/>
          <w:szCs w:val="24"/>
        </w:rPr>
        <w:t xml:space="preserve">                                   Source : Ministère de la santé, Annuaire statistique 2013</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 dépit des multiples défis auxquels demeure confronté le secteur de la santé au Burkina Faso, il faut regretter le fait qu’il ne semble pas constituer une réelle priorité pour le gouvernement. En effet, La part du budget national consacrée à la santé reste dérisoire. De plus, le financement de la santé est fortement dépendant de l’aide extérieure. La dépense de santé par habitant est en deçà des 30 à 40 $US que recommande l’OMS. </w:t>
      </w:r>
    </w:p>
    <w:p w:rsidR="00F246A8" w:rsidRPr="00055EAB" w:rsidRDefault="00F246A8" w:rsidP="00F246A8">
      <w:pPr>
        <w:spacing w:after="0" w:line="360" w:lineRule="auto"/>
        <w:jc w:val="both"/>
        <w:rPr>
          <w:rFonts w:ascii="Arial" w:hAnsi="Arial" w:cs="Arial"/>
          <w:b/>
          <w:sz w:val="24"/>
          <w:szCs w:val="24"/>
          <w:u w:val="single"/>
        </w:rPr>
      </w:pPr>
      <w:r w:rsidRPr="00055EAB">
        <w:rPr>
          <w:rFonts w:ascii="Arial" w:hAnsi="Arial" w:cs="Arial"/>
          <w:b/>
          <w:sz w:val="24"/>
          <w:szCs w:val="24"/>
          <w:u w:val="single"/>
        </w:rPr>
        <w:t>Tableau des ressources financières du ministère de la santé en 2013</w:t>
      </w:r>
    </w:p>
    <w:tbl>
      <w:tblPr>
        <w:tblStyle w:val="Grilledutableau"/>
        <w:tblW w:w="0" w:type="auto"/>
        <w:tblLook w:val="04A0" w:firstRow="1" w:lastRow="0" w:firstColumn="1" w:lastColumn="0" w:noHBand="0" w:noVBand="1"/>
      </w:tblPr>
      <w:tblGrid>
        <w:gridCol w:w="4606"/>
        <w:gridCol w:w="4606"/>
      </w:tblGrid>
      <w:tr w:rsidR="00F246A8" w:rsidRPr="00055EAB" w:rsidTr="003268D9">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Total budget Ministère de la santé</w:t>
            </w:r>
          </w:p>
        </w:tc>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160 169 000 000 FCFA</w:t>
            </w:r>
          </w:p>
        </w:tc>
      </w:tr>
      <w:tr w:rsidR="00F246A8" w:rsidRPr="00055EAB" w:rsidTr="003268D9">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Budget de l’Etat</w:t>
            </w:r>
          </w:p>
        </w:tc>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1 654 967 000 000 FCFA</w:t>
            </w:r>
          </w:p>
        </w:tc>
      </w:tr>
      <w:tr w:rsidR="00F246A8" w:rsidRPr="00055EAB" w:rsidTr="003268D9">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Pourcentage du budget du ministère de la santé par rapport au budget de l’Etat</w:t>
            </w:r>
          </w:p>
        </w:tc>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12,5%</w:t>
            </w:r>
          </w:p>
        </w:tc>
      </w:tr>
      <w:tr w:rsidR="00F246A8" w:rsidRPr="00055EAB" w:rsidTr="003268D9">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 xml:space="preserve">Taux d’exécution budgétaire du ministère de la santé </w:t>
            </w:r>
          </w:p>
        </w:tc>
        <w:tc>
          <w:tcPr>
            <w:tcW w:w="4606" w:type="dxa"/>
            <w:tcBorders>
              <w:top w:val="single" w:sz="4" w:space="0" w:color="auto"/>
              <w:left w:val="single" w:sz="4" w:space="0" w:color="auto"/>
              <w:bottom w:val="single" w:sz="4" w:space="0" w:color="auto"/>
              <w:right w:val="single" w:sz="4" w:space="0" w:color="auto"/>
            </w:tcBorders>
            <w:hideMark/>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87,2%</w:t>
            </w:r>
          </w:p>
        </w:tc>
      </w:tr>
    </w:tbl>
    <w:p w:rsidR="00F246A8" w:rsidRPr="00055EAB" w:rsidRDefault="00F246A8" w:rsidP="00F246A8">
      <w:pPr>
        <w:spacing w:after="0" w:line="360" w:lineRule="auto"/>
        <w:jc w:val="both"/>
        <w:rPr>
          <w:rFonts w:ascii="Arial" w:hAnsi="Arial" w:cs="Arial"/>
          <w:sz w:val="24"/>
          <w:szCs w:val="24"/>
        </w:rPr>
      </w:pPr>
    </w:p>
    <w:p w:rsidR="00F246A8"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Les conséquences de ce désengagement de l’Etat vis-à-vis du secteur de la santé sont désastreuses. Comme le relève le Plan Triennal 2011-2013 du Ministère de la santé, le profil épidémiologique du pays reste marqué par la persistance d’une forte charge de morbidité due aux endémo-épidémies y compris l’infection à VIH et par l’augmentation progressive du fardeau des maladies non transmissibles. Aussi, la mortalité reste-t-elle encore élevée (11,8/1000 en 2013). La tuberculose et le paludisme demeurent encore des problèmes de santé publique. Selon le même annuaire statistique 7 146 026 cas de paludisme ont été enregistrés par les formations sanitaires en 2013 dont 6 294 décès. Les maladies non transmissibles sont en augmentation. Elles regroupent, entre autres, les affections cardio-vasculaires, les troubles et maladies mentales, les maladies métaboliques comme le diabète, la malnutrition et autres carences nutritionnelles, les cancers. De plus, les accidents de la voie publique prennent de l’importance en tant que problème de santé publique.</w:t>
      </w:r>
    </w:p>
    <w:p w:rsidR="00741712" w:rsidRDefault="00741712" w:rsidP="00741712">
      <w:pPr>
        <w:pStyle w:val="Paragraphedeliste"/>
        <w:spacing w:after="0" w:line="360" w:lineRule="auto"/>
        <w:jc w:val="both"/>
        <w:rPr>
          <w:rFonts w:ascii="Arial" w:hAnsi="Arial" w:cs="Arial"/>
          <w:sz w:val="24"/>
          <w:szCs w:val="24"/>
        </w:rPr>
      </w:pPr>
    </w:p>
    <w:p w:rsidR="00EC7D02" w:rsidRPr="009706A0" w:rsidRDefault="00EC7D02" w:rsidP="00EC7D02">
      <w:pPr>
        <w:pStyle w:val="Paragraphedeliste"/>
        <w:spacing w:after="0" w:line="360" w:lineRule="auto"/>
        <w:jc w:val="both"/>
        <w:rPr>
          <w:rFonts w:ascii="Arial" w:hAnsi="Arial" w:cs="Arial"/>
          <w:sz w:val="24"/>
          <w:szCs w:val="24"/>
        </w:rPr>
      </w:pPr>
    </w:p>
    <w:p w:rsidR="00F246A8" w:rsidRPr="00214679" w:rsidRDefault="00F246A8" w:rsidP="00462230">
      <w:pPr>
        <w:pStyle w:val="Paragraphedeliste"/>
        <w:numPr>
          <w:ilvl w:val="0"/>
          <w:numId w:val="5"/>
        </w:numPr>
        <w:spacing w:after="0" w:line="360" w:lineRule="auto"/>
        <w:rPr>
          <w:rFonts w:ascii="Arial" w:hAnsi="Arial" w:cs="Arial"/>
          <w:b/>
          <w:sz w:val="24"/>
          <w:szCs w:val="24"/>
        </w:rPr>
      </w:pPr>
      <w:r w:rsidRPr="00214679">
        <w:rPr>
          <w:rFonts w:ascii="Arial" w:hAnsi="Arial" w:cs="Arial"/>
          <w:b/>
          <w:sz w:val="24"/>
          <w:szCs w:val="24"/>
        </w:rPr>
        <w:lastRenderedPageBreak/>
        <w:t>Le droit à l’éducation</w:t>
      </w:r>
      <w:r w:rsidR="00D26B35">
        <w:rPr>
          <w:rFonts w:ascii="Arial" w:hAnsi="Arial" w:cs="Arial"/>
          <w:b/>
          <w:sz w:val="24"/>
          <w:szCs w:val="24"/>
        </w:rPr>
        <w:t xml:space="preserve"> (article 14)</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Depuis l’entrée du pays dans le Programme d’Ajustement Structurel, il y a eu un désengagement progressif de l’Etat des secteurs sociaux dont l’éducation, toute chose qui a plongé le système éducatif dans une crise qui n’est pas prête de s’estomper. La situation générale peu reluisante du système a été aggravée ces dernières années  par la mise en œuvre </w:t>
      </w:r>
      <w:r w:rsidR="000F3F88">
        <w:rPr>
          <w:rFonts w:ascii="Arial" w:hAnsi="Arial" w:cs="Arial"/>
          <w:sz w:val="24"/>
          <w:szCs w:val="24"/>
        </w:rPr>
        <w:t xml:space="preserve">précipitée </w:t>
      </w:r>
      <w:r w:rsidRPr="009706A0">
        <w:rPr>
          <w:rFonts w:ascii="Arial" w:hAnsi="Arial" w:cs="Arial"/>
          <w:sz w:val="24"/>
          <w:szCs w:val="24"/>
        </w:rPr>
        <w:t>de nouvelles réformes à savoir le système Licence Master Doctorat (LMD) et le Continuum de l’éducation de base.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Au niveau du préscolaire, le taux de scolarisation demeure faible, il est de 3,2%. Les grands centres urbains (Ouagadougou et Bobo-Dioulasso) concentrent le plus grand nombre de centres d’éveil et d’éducation préscolaires. La plupart de ces structures émane d’initiatives privées dans la mesure où l’Etat n’en fait pas une priorité.</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Au primaire, le taux brut de scolarisation (TBS) a connu une légère hausse passant de 79,6% en 2012 à 81,3% en 2013. Malgré cette légère augmentation, une frange importante des enfants burkinabè reste toujours en dehors du système éducatif.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Par ailleurs, il existe une disparité entre les régions en matière de scolarisation. La Région du Sahel demeure à la queue du classement, avec 43,5% contre 101,8% pour la Région du Nord qui connaît le taux le plus élevé. Il est de ce fait important que des actions vigoureuses soient entreprises en direction des zones où le taux de scolarisation est très faible pour que ces dernières puissent rattraper leur retard dans ce domaine.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déficit en salles de classes est toujours énorme. La construction de nouvelles salles de classes a connu un recul surtout, avec la fin du plan décennal de développement de l’éducation de base (PDDEB) qui avait contribué à augmenter l’offre éducative.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Les classes sous paillottes sont toujours une réalité dans beaucoup de régions : on en compte un peu plus de 4.000 dans le pays dont 666 dans les 43 communes dites prioritaires. Cette situation ne favorise pas un bon encadrement des élèves. Le déficit en personnel enseignant reste élevé, malgré le recrutement massif exceptionnel de 5 000 instituteurs adjoints certifiés en 2013. Les enseignants travaillent le plus souvent dans des conditions éprouvantes : effectifs pléthoriques dans les salles de classes, avec des pics dans certaines classes allant au-delà de 100 élèves, traitement salarial insuffisant comparé aux efforts demandés, adoption de système de double-flux ou de classes multigrades pas toujours efficace, etc. La gratuité des</w:t>
      </w:r>
      <w:r w:rsidRPr="009706A0">
        <w:rPr>
          <w:rFonts w:ascii="Arial" w:hAnsi="Arial" w:cs="Arial"/>
          <w:color w:val="FF0000"/>
          <w:sz w:val="24"/>
          <w:szCs w:val="24"/>
        </w:rPr>
        <w:t xml:space="preserve"> </w:t>
      </w:r>
      <w:r w:rsidRPr="009706A0">
        <w:rPr>
          <w:rFonts w:ascii="Arial" w:hAnsi="Arial" w:cs="Arial"/>
          <w:sz w:val="24"/>
          <w:szCs w:val="24"/>
        </w:rPr>
        <w:t xml:space="preserve">manuels scolaires annoncée par l’Etat s’est accompagnée d’une insuffisance desdits manuels  pour les </w:t>
      </w:r>
      <w:r w:rsidRPr="009706A0">
        <w:rPr>
          <w:rFonts w:ascii="Arial" w:hAnsi="Arial" w:cs="Arial"/>
          <w:sz w:val="24"/>
          <w:szCs w:val="24"/>
        </w:rPr>
        <w:lastRenderedPageBreak/>
        <w:t>élèves ; ce qui constitue également un handicap : en 2012-2013, pour un effectif de 2.466.379 élèves, 2. 316.938 livres de lecture, 1.619.903 livres de calcul et 19.638 livres de grammaire-conjugaison-langage étaient disponibles. Le taux d’achèvement au primaire est très faible : 59,5% c’est dire que beaucoup d’élèves se retrouvent de ce fait prématurément exclus du système.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Au post primaire et au secondaire, la situation n’est pas très satisfaisante bien qu’il y ait eu une légère hausse du taux brut de scolarisation (TBS). Ainsi ce taux est passé au post primaire de 34,9% en 2011-2012 à 36,7% en 2012-2013 et pour le secondaire de 11,3% à 13,9% pour les mêmes périodes. D’énormes disparités existent également entre les Régions : pendant que la Région du Centre a un TBS de 59,9% et 30,3% respectivement au post primaire et au secondaire, la Région du Sahel en affiche  11,6% et 02,5%. Dans la plupart des régions, l’offre éducative est nettement inférieure à la demande : de nombreux élèves admis au certificat d’études primaires (CEP) ou au brevet d’études du premier cycle (BEPC) n’arrivent pas à poursuivre leurs études par manque de places dans les structures publiques. Les ressources financières des parents étant limitées, ceux-ci ne peuvent pas non plus inscrire leurs enfants dans les établissements privés. Les effectifs des élèves par classe sont élevés en raison du grand déficit en infrastructures. Pour l’année 2012-2013, le ratio élèves/classes ne s’est pas amélioré comme l’atteste le tableau ci-dessous :</w:t>
      </w:r>
    </w:p>
    <w:p w:rsidR="00F246A8" w:rsidRPr="00055EAB" w:rsidRDefault="00F246A8" w:rsidP="00F246A8">
      <w:pPr>
        <w:spacing w:after="0" w:line="360" w:lineRule="auto"/>
        <w:jc w:val="both"/>
        <w:rPr>
          <w:rFonts w:ascii="Arial" w:hAnsi="Arial" w:cs="Arial"/>
          <w:sz w:val="24"/>
          <w:szCs w:val="24"/>
        </w:rPr>
      </w:pPr>
      <w:r w:rsidRPr="00055EAB">
        <w:rPr>
          <w:rFonts w:ascii="Arial" w:hAnsi="Arial" w:cs="Arial"/>
          <w:sz w:val="24"/>
          <w:szCs w:val="24"/>
        </w:rPr>
        <w:t>Classes</w:t>
      </w:r>
    </w:p>
    <w:tbl>
      <w:tblPr>
        <w:tblStyle w:val="Grilledutableau"/>
        <w:tblW w:w="0" w:type="auto"/>
        <w:tblLook w:val="04A0" w:firstRow="1" w:lastRow="0" w:firstColumn="1" w:lastColumn="0" w:noHBand="0" w:noVBand="1"/>
      </w:tblPr>
      <w:tblGrid>
        <w:gridCol w:w="1151"/>
        <w:gridCol w:w="1151"/>
        <w:gridCol w:w="1151"/>
        <w:gridCol w:w="1151"/>
        <w:gridCol w:w="1152"/>
        <w:gridCol w:w="1152"/>
        <w:gridCol w:w="1152"/>
        <w:gridCol w:w="1152"/>
      </w:tblGrid>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Elèves</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6ème</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w:t>
            </w:r>
            <w:r w:rsidRPr="00055EAB">
              <w:rPr>
                <w:rFonts w:ascii="Arial" w:hAnsi="Arial" w:cs="Arial"/>
                <w:sz w:val="24"/>
                <w:szCs w:val="24"/>
                <w:vertAlign w:val="superscript"/>
              </w:rPr>
              <w:t>ème</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4ème</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3ème</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2nd</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1ère</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Tle</w:t>
            </w:r>
          </w:p>
        </w:tc>
      </w:tr>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Public</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91</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81</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70</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61</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69</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49</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56</w:t>
            </w:r>
          </w:p>
        </w:tc>
      </w:tr>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Privé</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59</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56</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55</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64</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53</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39</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52</w:t>
            </w:r>
          </w:p>
        </w:tc>
      </w:tr>
    </w:tbl>
    <w:p w:rsidR="00F246A8" w:rsidRPr="00214679" w:rsidRDefault="00F246A8" w:rsidP="00F246A8">
      <w:pPr>
        <w:spacing w:after="0" w:line="360" w:lineRule="auto"/>
        <w:rPr>
          <w:rFonts w:ascii="Arial" w:hAnsi="Arial" w:cs="Arial"/>
          <w:sz w:val="24"/>
          <w:szCs w:val="24"/>
        </w:rPr>
      </w:pPr>
      <w:r>
        <w:rPr>
          <w:sz w:val="24"/>
          <w:szCs w:val="24"/>
        </w:rPr>
        <w:t xml:space="preserve">                                      </w:t>
      </w:r>
      <w:r w:rsidRPr="00214679">
        <w:rPr>
          <w:rFonts w:ascii="Arial" w:hAnsi="Arial" w:cs="Arial"/>
          <w:sz w:val="24"/>
          <w:szCs w:val="24"/>
        </w:rPr>
        <w:t>Source : Annuaire statistiques 2012-2013 du MESS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Rappelons que le décret n°74-123/PRES/EN du 19 avril 1994 fixe les effectifs au post primaire (6ème à la 3ème) à  70 élèves par classe et à 60 élèves pour le secondaire (2nde à la terminale) tandis que les normes de l’UNESCO les fixent à 25 élèves par classe, c’est dire la surcharge de travail que les enseignants effectuent. En plus de ces effectifs, les enseignants se retrouvent parfois à exécuter des volumes horaires hebdomadaires élevés, ce qui nuit considérablement à la qualité des enseignements dispensés. Le manque d’enseignants est assez criard dans les établissements publics obligeant les chefs d’établissement à faire recours à du personnel non qualifié pour dispenser les cours.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lastRenderedPageBreak/>
        <w:t>Les établissements privés occupent une place importante dans le système éducatif burkinabè. Pour l’année scolaire 2012-2013, au post primaire et au secondaire, sur un nombre total de 10 275 classes, le privé en compte 4452, malheureusement du fait de la pauvreté de la population, des parents n’arrivent pas à inscrire leurs enfants dans ces privés, ces enfants se trouvent de ce fait exclus du système.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L’alphabétisation est reléguée au second plan, peu d’actions concrètes sont menées pour baisser le taux d’analphabétisme qui demeure l’un des taux les plus élevés au monde 70%. Autant de tares qui font que le Burkina Faso peine à s’extirper des derniers rangs qu’il occupe dans le classement IDH  du PNUD.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L’année 2013 aura vu le transfert effectif du préscolaire et du post primaire au MENA malgré les protestations des syndicats d’enseignants. Ceci ne manquera pas de créer des dysfonctionnements dans la mesure où tous les mécanismes n’ont pas été mis en place pour la réussite de ce transfert (construction de salles de classe, recrutement du personnel et statut  du personnel transféré…).</w:t>
      </w:r>
    </w:p>
    <w:p w:rsidR="00F246A8" w:rsidRPr="00EC7D02" w:rsidRDefault="00F246A8" w:rsidP="00EC7D02">
      <w:pPr>
        <w:pStyle w:val="Paragraphedeliste"/>
        <w:numPr>
          <w:ilvl w:val="0"/>
          <w:numId w:val="19"/>
        </w:numPr>
        <w:spacing w:after="0" w:line="360" w:lineRule="auto"/>
        <w:jc w:val="both"/>
        <w:rPr>
          <w:rFonts w:ascii="Arial" w:hAnsi="Arial" w:cs="Arial"/>
          <w:b/>
          <w:sz w:val="24"/>
          <w:szCs w:val="24"/>
        </w:rPr>
      </w:pPr>
      <w:r w:rsidRPr="00EC7D02">
        <w:rPr>
          <w:rFonts w:ascii="Arial" w:hAnsi="Arial" w:cs="Arial"/>
          <w:b/>
          <w:sz w:val="24"/>
          <w:szCs w:val="24"/>
        </w:rPr>
        <w:t>Le continuum</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système éducatif burkinabé a connu pour l’année 2014, la mise en œuvre d’une nouvelle réforme appelée « continuum ». Adopté en conseil de ministres par </w:t>
      </w:r>
      <w:r w:rsidR="00EC7D02">
        <w:rPr>
          <w:rFonts w:ascii="Arial" w:hAnsi="Arial" w:cs="Arial"/>
          <w:sz w:val="24"/>
          <w:szCs w:val="24"/>
        </w:rPr>
        <w:t>décret N° 2013-542/PRES/PM/MENA</w:t>
      </w:r>
      <w:r w:rsidRPr="009706A0">
        <w:rPr>
          <w:rFonts w:ascii="Arial" w:hAnsi="Arial" w:cs="Arial"/>
          <w:sz w:val="24"/>
          <w:szCs w:val="24"/>
        </w:rPr>
        <w:t>/MESS/MASSN/MEF  du 05 juillet 2013, le continuum consacre le transfert du préscolaire et du post-primaire (anciennement premier cycle de l’enseignement secondaire) au Ministère de l’Education Nationale (MENA). Le 30 décembre 2013, le Ministre des Enseignements secondaire et supérieur, monsieur Moussa OUATTARA signait l’acte de transfert de 350 Collèges d’Enseignement Général (CEG) au MENA, consacrant ainsi la mise en œuvre effective du continuum. Cette réforme vise, selon les initiateurs, à répondre aux exigences de la loi d’orientation de l’éducation au Burkina Faso qui, en son article 2 rend l’école obligatoire et gratuite pour la période d’âge de 6 ans à 16 ans. Avec ce nouveau système, l’éducation de base comprend désormais le préscolaire, le primaire et le post-primaire qui forment un cycle unique appelé continuum d’une durée de treize ans au sein d’un Complexe intégré d’éducation de base (CIEB).</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continuum devait donc se concrétiser par la réalisation de Complexes intégrés d’éducation de base (CIEB) qui verraient les trois ordres d’enseignement --préscolaire-primaire-post primaire-- fusionnés et se traduire par la construction d’infrastructures socio-éducatives.  Malheureusement pour l’année 2014, il ne n’est traduit par aucune mesure forte d’accompagnement.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lastRenderedPageBreak/>
        <w:t>Le préscolaire n’a vu, de la part de l’Etat, la réalisation d’aucune nouvelle infrastructure alors qu’il était prévu pour l’année scolaire 2013-2014, la construction de 10 centres d’éveil et d’éducation préscolaire et 11 bisongos. C’est dire que la situation à ce niveau ne s’est nullement améliorée en termes de taux de scolarisation par rapport aux années antérieures.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Au post-primaire, il avait été question de la construction de 150 nouveaux CEG pour accueillir les élèves admis au certificat d’études primaires, là également rien n’a été réalisé, avec pour conséquences le fait que de nombreux élèves ayant obtenu le CEP n’ont pu s’inscrire en 6ème, alors qu’il avait été question d’absorber dans un pre</w:t>
      </w:r>
      <w:r w:rsidR="00CA5942">
        <w:rPr>
          <w:rFonts w:ascii="Arial" w:hAnsi="Arial" w:cs="Arial"/>
          <w:sz w:val="24"/>
          <w:szCs w:val="24"/>
        </w:rPr>
        <w:t>mier temps 90% des admis au CEP</w:t>
      </w:r>
      <w:r w:rsidRPr="009706A0">
        <w:rPr>
          <w:rFonts w:ascii="Arial" w:hAnsi="Arial" w:cs="Arial"/>
          <w:sz w:val="24"/>
          <w:szCs w:val="24"/>
        </w:rPr>
        <w:t xml:space="preserve"> et ensuite 70%. On aura constaté la création « anarchique » de collèges consistant tout juste en la détermination de sites mais n’ayant aucune infrastructure. Bon nombre d’élèves, orientés en 6ème se retrouvent en train de faire des cours sous des paillotes de fortune ou même sont sans classes et sans professeurs. </w:t>
      </w:r>
    </w:p>
    <w:p w:rsidR="00F246A8"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manque d’enseignants, déjà criard, s’est accentué du fait de l’ouverture de plus de mille CEG sur des sites nus, sans local précis. Il a fallu pour certains d’entre eux faire recours à des  « locaux d’emprunt » : tout bâtiment disponible dans la localité où le collège est créé est utilisé comme salle de classe même si ledit bâtiment ne répond pas aux normes d’une classe habituelle. L’ouverture d’une salle de classe nécessite logiquement le recrutement d’au moins 4 enseignants. Par communiqués N°14-720 et 14-721/MFPTSS/SG/AGRE/DOC du 29 septembre 2014, le ministère de la Fonction publique du Travail et de la Sécurité sociale lançait un concours de recrutement sur mesures nouvelles de mille cinq cents (1500) professeurs des lycées et collèges et la reconversion de mille (1000) enseignants du primaire pour le compte du Ministère de l’Education nationale (MENA). Les communiqués d’admission du 29 décembre 2014 font ressortir 394 admis pour le recrutement sur mesures nouvelles et 174, dans le cadre de la reconversion des enseignants du primaire titulaires d’’un diplôme académique ; des chiffres nettement en deçà des postes à pourvoir comme le montrent les tableaux ci-après. </w:t>
      </w:r>
    </w:p>
    <w:p w:rsidR="000F3F88" w:rsidRDefault="000F3F88" w:rsidP="000F3F88">
      <w:pPr>
        <w:spacing w:after="0" w:line="360" w:lineRule="auto"/>
        <w:jc w:val="both"/>
        <w:rPr>
          <w:rFonts w:ascii="Arial" w:hAnsi="Arial" w:cs="Arial"/>
          <w:sz w:val="24"/>
          <w:szCs w:val="24"/>
        </w:rPr>
      </w:pPr>
    </w:p>
    <w:p w:rsidR="007160E9" w:rsidRDefault="007160E9" w:rsidP="000F3F88">
      <w:pPr>
        <w:spacing w:after="0" w:line="360" w:lineRule="auto"/>
        <w:jc w:val="both"/>
        <w:rPr>
          <w:rFonts w:ascii="Arial" w:hAnsi="Arial" w:cs="Arial"/>
          <w:sz w:val="24"/>
          <w:szCs w:val="24"/>
        </w:rPr>
      </w:pPr>
    </w:p>
    <w:p w:rsidR="007160E9" w:rsidRDefault="007160E9" w:rsidP="000F3F88">
      <w:pPr>
        <w:spacing w:after="0" w:line="360" w:lineRule="auto"/>
        <w:jc w:val="both"/>
        <w:rPr>
          <w:rFonts w:ascii="Arial" w:hAnsi="Arial" w:cs="Arial"/>
          <w:sz w:val="24"/>
          <w:szCs w:val="24"/>
        </w:rPr>
      </w:pPr>
    </w:p>
    <w:p w:rsidR="000F3F88" w:rsidRPr="000F3F88" w:rsidRDefault="000F3F88" w:rsidP="000F3F88">
      <w:pPr>
        <w:spacing w:after="0" w:line="360" w:lineRule="auto"/>
        <w:jc w:val="both"/>
        <w:rPr>
          <w:rFonts w:ascii="Arial" w:hAnsi="Arial" w:cs="Arial"/>
          <w:sz w:val="24"/>
          <w:szCs w:val="24"/>
        </w:rPr>
      </w:pP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lastRenderedPageBreak/>
        <w:t xml:space="preserve">Concours pour la reconversion de mille (1000) enseignants du post-primaire titulaires d’un diplôme universitaire </w:t>
      </w:r>
    </w:p>
    <w:p w:rsidR="00F246A8" w:rsidRPr="00055EAB" w:rsidRDefault="00F246A8" w:rsidP="00F246A8">
      <w:pPr>
        <w:spacing w:after="0" w:line="360" w:lineRule="auto"/>
        <w:jc w:val="both"/>
        <w:rPr>
          <w:rFonts w:ascii="Arial" w:hAnsi="Arial" w:cs="Arial"/>
          <w:sz w:val="24"/>
          <w:szCs w:val="24"/>
        </w:rPr>
      </w:pPr>
    </w:p>
    <w:tbl>
      <w:tblPr>
        <w:tblStyle w:val="Grilledutableau"/>
        <w:tblW w:w="0" w:type="auto"/>
        <w:tblLook w:val="04A0" w:firstRow="1" w:lastRow="0" w:firstColumn="1" w:lastColumn="0" w:noHBand="0" w:noVBand="1"/>
      </w:tblPr>
      <w:tblGrid>
        <w:gridCol w:w="1084"/>
        <w:gridCol w:w="767"/>
        <w:gridCol w:w="830"/>
        <w:gridCol w:w="767"/>
        <w:gridCol w:w="768"/>
        <w:gridCol w:w="768"/>
        <w:gridCol w:w="768"/>
        <w:gridCol w:w="768"/>
        <w:gridCol w:w="790"/>
        <w:gridCol w:w="950"/>
        <w:gridCol w:w="816"/>
        <w:gridCol w:w="768"/>
      </w:tblGrid>
      <w:tr w:rsidR="00F246A8" w:rsidRPr="00055EAB" w:rsidTr="003268D9">
        <w:tc>
          <w:tcPr>
            <w:tcW w:w="767" w:type="dxa"/>
          </w:tcPr>
          <w:p w:rsidR="00F246A8" w:rsidRPr="00055EAB" w:rsidRDefault="00F246A8" w:rsidP="003268D9">
            <w:pPr>
              <w:spacing w:after="0" w:line="360" w:lineRule="auto"/>
              <w:jc w:val="both"/>
              <w:rPr>
                <w:rFonts w:ascii="Arial" w:hAnsi="Arial" w:cs="Arial"/>
                <w:sz w:val="24"/>
                <w:szCs w:val="24"/>
              </w:rPr>
            </w:pP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 xml:space="preserve">Angl </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Franç</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HG</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M</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SVT</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PC</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F/A</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F/HG</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M/SVT</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M/PC</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Total</w:t>
            </w:r>
          </w:p>
        </w:tc>
      </w:tr>
      <w:tr w:rsidR="00F246A8" w:rsidRPr="00055EAB" w:rsidTr="003268D9">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Postes à pourvoir</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120</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121</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117</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93</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92</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85</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106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106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84</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76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1000</w:t>
            </w:r>
          </w:p>
        </w:tc>
      </w:tr>
      <w:tr w:rsidR="00F246A8" w:rsidRPr="00055EAB" w:rsidTr="003268D9">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Postes pourvus</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113</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23</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0</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0</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12</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0</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0</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174</w:t>
            </w:r>
          </w:p>
        </w:tc>
      </w:tr>
      <w:tr w:rsidR="00F246A8" w:rsidRPr="00055EAB" w:rsidTr="003268D9">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 xml:space="preserve">Ecart </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-112</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w:t>
            </w:r>
          </w:p>
        </w:tc>
        <w:tc>
          <w:tcPr>
            <w:tcW w:w="767"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-91</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-92</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-85</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-90</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-84</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-76</w:t>
            </w:r>
          </w:p>
        </w:tc>
        <w:tc>
          <w:tcPr>
            <w:tcW w:w="768"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-826</w:t>
            </w:r>
          </w:p>
        </w:tc>
      </w:tr>
    </w:tbl>
    <w:p w:rsidR="00F246A8" w:rsidRPr="00055EAB" w:rsidRDefault="00F246A8" w:rsidP="00F246A8">
      <w:pPr>
        <w:spacing w:after="0" w:line="360" w:lineRule="auto"/>
        <w:jc w:val="both"/>
        <w:rPr>
          <w:rFonts w:ascii="Arial" w:hAnsi="Arial" w:cs="Arial"/>
          <w:sz w:val="24"/>
          <w:szCs w:val="24"/>
        </w:rPr>
      </w:pPr>
    </w:p>
    <w:p w:rsidR="007B3151" w:rsidRDefault="007B3151">
      <w:pPr>
        <w:spacing w:after="160" w:line="259" w:lineRule="auto"/>
        <w:rPr>
          <w:rFonts w:ascii="Arial" w:hAnsi="Arial" w:cs="Arial"/>
          <w:sz w:val="24"/>
          <w:szCs w:val="24"/>
        </w:rPr>
      </w:pPr>
    </w:p>
    <w:p w:rsidR="00F246A8" w:rsidRPr="007B3151" w:rsidRDefault="00F246A8" w:rsidP="007B3151">
      <w:pPr>
        <w:pStyle w:val="Paragraphedeliste"/>
        <w:numPr>
          <w:ilvl w:val="0"/>
          <w:numId w:val="7"/>
        </w:numPr>
        <w:spacing w:after="0" w:line="360" w:lineRule="auto"/>
        <w:jc w:val="both"/>
        <w:rPr>
          <w:rFonts w:ascii="Arial" w:hAnsi="Arial" w:cs="Arial"/>
          <w:sz w:val="24"/>
          <w:szCs w:val="24"/>
        </w:rPr>
      </w:pPr>
      <w:r w:rsidRPr="007B3151">
        <w:rPr>
          <w:rFonts w:ascii="Arial" w:hAnsi="Arial" w:cs="Arial"/>
          <w:sz w:val="24"/>
          <w:szCs w:val="24"/>
        </w:rPr>
        <w:t>Concours sur mesures nouvelles au titre de l’année 2014 pour le recrutement de mille cinq cents (1500) professeurs de lycées et collèges pour le compte du MENA:</w:t>
      </w:r>
    </w:p>
    <w:p w:rsidR="00F246A8" w:rsidRPr="00055EAB" w:rsidRDefault="00F246A8" w:rsidP="00F246A8">
      <w:pPr>
        <w:spacing w:after="0" w:line="360" w:lineRule="auto"/>
        <w:jc w:val="both"/>
        <w:rPr>
          <w:rFonts w:ascii="Arial" w:hAnsi="Arial" w:cs="Arial"/>
          <w:sz w:val="24"/>
          <w:szCs w:val="24"/>
        </w:rPr>
      </w:pPr>
    </w:p>
    <w:tbl>
      <w:tblPr>
        <w:tblStyle w:val="Grilledutableau"/>
        <w:tblW w:w="0" w:type="auto"/>
        <w:tblLook w:val="04A0" w:firstRow="1" w:lastRow="0" w:firstColumn="1" w:lastColumn="0" w:noHBand="0" w:noVBand="1"/>
      </w:tblPr>
      <w:tblGrid>
        <w:gridCol w:w="1151"/>
        <w:gridCol w:w="1151"/>
        <w:gridCol w:w="1151"/>
        <w:gridCol w:w="1151"/>
        <w:gridCol w:w="1152"/>
        <w:gridCol w:w="1152"/>
        <w:gridCol w:w="1152"/>
        <w:gridCol w:w="1152"/>
      </w:tblGrid>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Angl</w:t>
            </w:r>
            <w:r>
              <w:rPr>
                <w:rFonts w:ascii="Arial" w:hAnsi="Arial" w:cs="Arial"/>
                <w:sz w:val="24"/>
                <w:szCs w:val="24"/>
              </w:rPr>
              <w:t>ais</w:t>
            </w:r>
            <w:r w:rsidRPr="00055EAB">
              <w:rPr>
                <w:rFonts w:ascii="Arial" w:hAnsi="Arial" w:cs="Arial"/>
                <w:sz w:val="24"/>
                <w:szCs w:val="24"/>
              </w:rPr>
              <w:t xml:space="preserve"> </w:t>
            </w:r>
          </w:p>
        </w:tc>
        <w:tc>
          <w:tcPr>
            <w:tcW w:w="1151" w:type="dxa"/>
          </w:tcPr>
          <w:p w:rsidR="00F246A8" w:rsidRPr="00055EAB" w:rsidRDefault="00F246A8" w:rsidP="003268D9">
            <w:pPr>
              <w:spacing w:after="0" w:line="360" w:lineRule="auto"/>
              <w:jc w:val="both"/>
              <w:rPr>
                <w:rFonts w:ascii="Arial" w:hAnsi="Arial" w:cs="Arial"/>
                <w:sz w:val="24"/>
                <w:szCs w:val="24"/>
              </w:rPr>
            </w:pPr>
            <w:r>
              <w:rPr>
                <w:rFonts w:ascii="Arial" w:hAnsi="Arial" w:cs="Arial"/>
                <w:sz w:val="24"/>
                <w:szCs w:val="24"/>
              </w:rPr>
              <w:t>Français</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HG</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M</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SVT</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PC</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Total</w:t>
            </w:r>
          </w:p>
        </w:tc>
      </w:tr>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Postes à pourvoir</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323</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300</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281</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230</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188</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178</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1500</w:t>
            </w:r>
          </w:p>
        </w:tc>
      </w:tr>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Postes pourvus</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24</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181</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150</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4</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30</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5</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394</w:t>
            </w:r>
          </w:p>
        </w:tc>
      </w:tr>
      <w:tr w:rsidR="00F246A8" w:rsidRPr="00055EAB" w:rsidTr="003268D9">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 xml:space="preserve">Ecart </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-299</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-119</w:t>
            </w:r>
          </w:p>
        </w:tc>
        <w:tc>
          <w:tcPr>
            <w:tcW w:w="1151"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131</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-226</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158</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-173</w:t>
            </w:r>
          </w:p>
        </w:tc>
        <w:tc>
          <w:tcPr>
            <w:tcW w:w="1152" w:type="dxa"/>
          </w:tcPr>
          <w:p w:rsidR="00F246A8" w:rsidRPr="00055EAB" w:rsidRDefault="00F246A8" w:rsidP="003268D9">
            <w:pPr>
              <w:spacing w:after="0" w:line="360" w:lineRule="auto"/>
              <w:jc w:val="both"/>
              <w:rPr>
                <w:rFonts w:ascii="Arial" w:hAnsi="Arial" w:cs="Arial"/>
                <w:sz w:val="24"/>
                <w:szCs w:val="24"/>
              </w:rPr>
            </w:pPr>
            <w:r w:rsidRPr="00055EAB">
              <w:rPr>
                <w:rFonts w:ascii="Arial" w:hAnsi="Arial" w:cs="Arial"/>
                <w:sz w:val="24"/>
                <w:szCs w:val="24"/>
              </w:rPr>
              <w:t>-1106</w:t>
            </w:r>
          </w:p>
        </w:tc>
      </w:tr>
    </w:tbl>
    <w:p w:rsidR="00F246A8" w:rsidRPr="00055EAB" w:rsidRDefault="00F246A8" w:rsidP="007160E9">
      <w:pPr>
        <w:spacing w:after="0" w:line="360" w:lineRule="auto"/>
        <w:rPr>
          <w:rFonts w:ascii="Arial" w:hAnsi="Arial" w:cs="Arial"/>
          <w:sz w:val="24"/>
          <w:szCs w:val="24"/>
        </w:rPr>
      </w:pPr>
      <w:r w:rsidRPr="00D56432">
        <w:rPr>
          <w:rFonts w:ascii="Arial" w:hAnsi="Arial" w:cs="Arial"/>
          <w:sz w:val="24"/>
          <w:szCs w:val="24"/>
        </w:rPr>
        <w:t xml:space="preserve">Sources : Compilation des postes des communiqués de lancement et des résultats des concours de recrutement de professeurs pour le compte du MENA </w:t>
      </w:r>
      <w:r w:rsidR="007160E9">
        <w:rPr>
          <w:rFonts w:ascii="Arial" w:hAnsi="Arial" w:cs="Arial"/>
          <w:sz w:val="24"/>
          <w:szCs w:val="24"/>
        </w:rPr>
        <w:t>pour le compte de l’année 2014.</w:t>
      </w:r>
    </w:p>
    <w:p w:rsidR="00F246A8" w:rsidRPr="009706A0" w:rsidRDefault="00F246A8" w:rsidP="0086519F">
      <w:pPr>
        <w:pStyle w:val="Paragraphedeliste"/>
        <w:numPr>
          <w:ilvl w:val="0"/>
          <w:numId w:val="7"/>
        </w:numPr>
        <w:spacing w:after="0" w:line="360" w:lineRule="auto"/>
        <w:ind w:left="709" w:hanging="1069"/>
        <w:jc w:val="both"/>
        <w:rPr>
          <w:rFonts w:ascii="Arial" w:hAnsi="Arial" w:cs="Arial"/>
          <w:sz w:val="24"/>
          <w:szCs w:val="24"/>
        </w:rPr>
      </w:pPr>
      <w:r w:rsidRPr="009706A0">
        <w:rPr>
          <w:rFonts w:ascii="Arial" w:hAnsi="Arial" w:cs="Arial"/>
          <w:sz w:val="24"/>
          <w:szCs w:val="24"/>
        </w:rPr>
        <w:t xml:space="preserve">De tels résultats s’expliquent par le fait d’une part, que le vivier dans lequel recruter ce personnel manque mais également par le peu d’attrait qu’exerce l’enseignement sur les étudiants burkinabè compte tenu des conditions difficiles dans lesquelles évoluent les enseignants. Dans les disciplines scientifiques, nombre de ceux qui réussissent leur cursus universitaire préfèrent se tourner vers d’autres offres plus attrayantes que l’enseignement. Par ailleurs, le système LMD en vigueur dans les universités burkinabè ne reconnaît que la licence comme premier diplôme universitaire par conséquent le DEUG qui permettait de recruter des professeurs de CEG n’existe plus. L’autre problème posé par ce dernier recrutement est le </w:t>
      </w:r>
      <w:r w:rsidRPr="009706A0">
        <w:rPr>
          <w:rFonts w:ascii="Arial" w:hAnsi="Arial" w:cs="Arial"/>
          <w:sz w:val="24"/>
          <w:szCs w:val="24"/>
        </w:rPr>
        <w:lastRenderedPageBreak/>
        <w:t>recrutement de professeurs de lycées pour enseigner dans les établissements du post-primaire, alors que théoriquement comme le nom l’indique le professeur de lycée se doit d’intervenir dans les lycées.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 manque de ressources financières se pose également avec acuité : des vacataires et des contractuels recrutés pour combler le déficit, peinent à rentrer en possession de leur dû. Certains sont obligés soit d’abandonner soit de se clochardiser ce qui déteint sur la qualité de l’enseignement dans la mesure où il est très difficile pour ces derniers de donner le meilleur d’eux-mêmes.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Présageant ces difficultés, les syndicats d’enseignants avaient dans leur majorité rejeté le « continuum » dans la mesure où selon eux c’est  « la politique de la charrue avant les bœufs. » au regard des énormes difficultés en termes de personnels et d’infrastructures auxquelles était déjà confronté le système éducatif.</w:t>
      </w:r>
    </w:p>
    <w:p w:rsidR="00F246A8" w:rsidRPr="00EC7D02" w:rsidRDefault="00F246A8" w:rsidP="00EC7D02">
      <w:pPr>
        <w:pStyle w:val="Paragraphedeliste"/>
        <w:numPr>
          <w:ilvl w:val="0"/>
          <w:numId w:val="19"/>
        </w:numPr>
        <w:spacing w:after="0" w:line="360" w:lineRule="auto"/>
        <w:jc w:val="both"/>
        <w:rPr>
          <w:rFonts w:ascii="Arial" w:hAnsi="Arial" w:cs="Arial"/>
          <w:b/>
          <w:sz w:val="24"/>
          <w:szCs w:val="24"/>
        </w:rPr>
      </w:pPr>
      <w:r w:rsidRPr="00EC7D02">
        <w:rPr>
          <w:rFonts w:ascii="Arial" w:hAnsi="Arial" w:cs="Arial"/>
          <w:b/>
          <w:sz w:val="24"/>
          <w:szCs w:val="24"/>
        </w:rPr>
        <w:t>Le système Licence-Master-Doctorat (LMD)</w:t>
      </w:r>
    </w:p>
    <w:p w:rsidR="007B3151"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Au niveau de l’enseignement supérieur, la mise en œuvre du système LMD a engendré d’énormes difficultés du fait non seulement de sa non maîtrise par les principaux acteurs mais également du peu de moyens accordés par l’Etat pour sa réussite. À l’Université de Ouagadougou, cette situation a créé des chevauchements entre trois (3) promotions d’étudiants à savoir celles de 2010/2011, de 2011/2012 et de 2012/2013 ; ce qui a conduit le Gouvernement à imposer le « blanchiment technique » desdites années. Le ministre des enseignements secondaire et supérieur et ses collaborateurs ont, dans un point de presse, animé à l’Université de Ouagadougou le 25 mars 2013, tenté d’expliquer la mesure de « blanchiment technique » qui en réalité ne résout pas fondamentalement le problème de chevauchement mais le repousse à plus tard. La vraie cause de cette situation est l’application précipitée du système LMD sans la prise de mesures d’accompagnement nécessaires à sa réussite (infrastructures suffisantes et adéquates, moyens informatiques, laboratoires, bibliothèques, enseignants qualifiés et en nombre suffisant, etc.). La preuve est que l’Université Ouaga II qui s’est abstenue d’appliquer précipitamment  le système LMD connaît des années académiques plus ou moins normales. La grande mobilisation des étudiants en avril 2015 lors de la marche organisée par leur syndicat pour exiger la suspension du système LMD est symptomatique des déboires que ladite réforme leur fait subir.</w:t>
      </w:r>
    </w:p>
    <w:p w:rsidR="007B3151" w:rsidRDefault="007B3151" w:rsidP="007B3151">
      <w:pPr>
        <w:spacing w:after="0" w:line="360" w:lineRule="auto"/>
        <w:jc w:val="both"/>
        <w:rPr>
          <w:rFonts w:ascii="Arial" w:hAnsi="Arial" w:cs="Arial"/>
          <w:sz w:val="24"/>
          <w:szCs w:val="24"/>
        </w:rPr>
      </w:pPr>
    </w:p>
    <w:p w:rsidR="0086519F" w:rsidRDefault="0086519F" w:rsidP="007B3151">
      <w:pPr>
        <w:spacing w:after="0" w:line="360" w:lineRule="auto"/>
        <w:jc w:val="both"/>
        <w:rPr>
          <w:rFonts w:ascii="Arial" w:hAnsi="Arial" w:cs="Arial"/>
          <w:sz w:val="24"/>
          <w:szCs w:val="24"/>
        </w:rPr>
      </w:pPr>
    </w:p>
    <w:p w:rsidR="00F246A8" w:rsidRPr="00EC7D02" w:rsidRDefault="007B3151" w:rsidP="00EC7D02">
      <w:pPr>
        <w:pStyle w:val="Paragraphedeliste"/>
        <w:numPr>
          <w:ilvl w:val="0"/>
          <w:numId w:val="5"/>
        </w:numPr>
        <w:spacing w:after="0" w:line="360" w:lineRule="auto"/>
        <w:jc w:val="both"/>
        <w:rPr>
          <w:rFonts w:ascii="Arial" w:hAnsi="Arial" w:cs="Arial"/>
          <w:b/>
          <w:sz w:val="24"/>
          <w:szCs w:val="24"/>
        </w:rPr>
      </w:pPr>
      <w:r w:rsidRPr="00EC7D02">
        <w:rPr>
          <w:rFonts w:ascii="Arial" w:hAnsi="Arial" w:cs="Arial"/>
          <w:b/>
          <w:sz w:val="24"/>
          <w:szCs w:val="24"/>
        </w:rPr>
        <w:lastRenderedPageBreak/>
        <w:t>DES DROITS ECONOMIQUES ET SOCIAUX DE GROUPES VULNERABLES</w:t>
      </w:r>
      <w:r w:rsidR="00F246A8" w:rsidRPr="00EC7D02">
        <w:rPr>
          <w:rFonts w:ascii="Arial" w:hAnsi="Arial" w:cs="Arial"/>
          <w:b/>
          <w:sz w:val="24"/>
          <w:szCs w:val="24"/>
        </w:rPr>
        <w:t xml:space="preserve">  </w:t>
      </w:r>
    </w:p>
    <w:p w:rsidR="00F246A8" w:rsidRPr="00EC7D02" w:rsidRDefault="00F246A8" w:rsidP="00EC7D02">
      <w:pPr>
        <w:pStyle w:val="Paragraphedeliste"/>
        <w:numPr>
          <w:ilvl w:val="0"/>
          <w:numId w:val="20"/>
        </w:numPr>
        <w:spacing w:after="0" w:line="360" w:lineRule="auto"/>
        <w:rPr>
          <w:rFonts w:ascii="Arial" w:hAnsi="Arial" w:cs="Arial"/>
          <w:b/>
          <w:sz w:val="24"/>
          <w:szCs w:val="24"/>
        </w:rPr>
      </w:pPr>
      <w:r w:rsidRPr="00EC7D02">
        <w:rPr>
          <w:rFonts w:ascii="Arial" w:hAnsi="Arial" w:cs="Arial"/>
          <w:b/>
          <w:sz w:val="24"/>
          <w:szCs w:val="24"/>
        </w:rPr>
        <w:t>Des droits de la femme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 matière de promotion et de protection des droits de la femme, le Burkina Faso dispose d’un cadre juridique acceptable. Le pays a en effet souscrit aux pertinentes conventions internationales et régionales relatives aux droits de la femme  et a édicté au niveau interne de nombreux textes favorables à l’épanouissement des femmes. De même, le pays compte de nombreux institutions et services publics de promotion de la femme.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dépit de cette abondance normative, la réalité concrète des femmes n’a pas connu d’évolution positive notable au Burkina Faso. Elle est restée pour l’essentiel déplorable. La stigmatisation, l’exclusion sociale, les mariages forcés et/ou précoces, les violences conjugales et domestiques, les mutilations génitales, la pauvreté, la prostitution, l’analphabétisme, la mortalité maternelle, etc. ont entravé l’épanouissement et le bien-être de bien de femmes.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matière sanitaire, l’accès des femmes aux services de santé reste faible. Elles n’y ont pas un bon accès du fait de certaines contraintes économiques et sociales, mais aussi du fait que le rayon moyen d’action théorique demeure encore élevé. En dépit des initiatives de subvention et de gratuité de certains services de santé pour les femmes enceintes, l’accès financier des femmes aux soins reste encore un défi majeur. Ainsi, la mortalité maternelle demeure alarmante. Elle est estimée à trois cent quarante un (341) décès pour cent mille naissances (100.000) vivantes et représente 19 % de la totalité des décès</w:t>
      </w:r>
      <w:r w:rsidRPr="00055EAB">
        <w:rPr>
          <w:vertAlign w:val="superscript"/>
        </w:rPr>
        <w:footnoteReference w:id="1"/>
      </w:r>
      <w:r w:rsidRPr="009706A0">
        <w:rPr>
          <w:rFonts w:ascii="Arial" w:hAnsi="Arial" w:cs="Arial"/>
          <w:sz w:val="24"/>
          <w:szCs w:val="24"/>
        </w:rPr>
        <w:t>. Ses principales causes sont les hémorragies, les infections, l'anémie ou encore les complications de l'hypertension artérielle. A ces causes s'ajoutent des facteurs aggravant tels que le faible pouvoir d'achat de nombreux ménages (surtout en milieu rural), les ruptures de stocks des kits opératoires qui retardent les interventions chirurgicales ou encore la pénurie de sang dans les banques d'urgence.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Ensuite, les violences à l’encontre des femmes se posent toujours avec acuité. Ces violences revêtent diverses formes : violences physiques, sexuelles, morales, économiques, etc. Dans  une étude menée par le Ministère de la promotion de la femme et du genre, 33,5% des femmes enquêtées ont déclaré avoir subi des violences et 30,6% des hommes ont reconnu avoir commis des actes de violences </w:t>
      </w:r>
      <w:r w:rsidRPr="009706A0">
        <w:rPr>
          <w:rFonts w:ascii="Arial" w:hAnsi="Arial" w:cs="Arial"/>
          <w:sz w:val="24"/>
          <w:szCs w:val="24"/>
        </w:rPr>
        <w:lastRenderedPageBreak/>
        <w:t>sur leurs femmes et filles. Par exemple, dans les régions comme le Plateau central et le nord, des femmes victimes d'accusation de sorcellerie sont publiquement violentées et subissent les sévices les plus inhumains : violences physiques, destruction de leurs biens, bannissement. Ces femmes violentées et chassées de leur communauté sont pour la plupart accueillies dans des centres privés et sans accompagnement conséquent de la part de l’Etat. Au Sahel et dans les Hauts-Bassins, de nombreuses femmes sont victimes de mariage précoce et/ou forcé.</w:t>
      </w:r>
      <w:r w:rsidRPr="00055EAB">
        <w:rPr>
          <w:vertAlign w:val="superscript"/>
        </w:rPr>
        <w:footnoteReference w:id="2"/>
      </w:r>
      <w:r w:rsidRPr="009706A0">
        <w:rPr>
          <w:rFonts w:ascii="Arial" w:hAnsi="Arial" w:cs="Arial"/>
          <w:sz w:val="24"/>
          <w:szCs w:val="24"/>
        </w:rPr>
        <w:t xml:space="preserve"> La lutte contre les violences faites aux femmes demeure donc un grand défi à relever.</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De même, les mutilations génitales féminines persistent. Malgré son interdiction par la loi et l’existence de projets et programmes intervenant en la matière, le taux national de prévalence du phénomène reste élevé avec des différences selon les régions. Les statistiques  indiquent  un taux national de 76% de femmes âgées de 15 à 49 ans excisées contre 13.3% en ce qui concerne les jeunes filles (0-14 ans). Les taux les plus élevés se rencontrent dans les régions du Centre Est (89,5%), des Hauts Bassins (88,2%), du Nord (87,7%), du Plateau Central (87,7% ) et du Centre Nord (86,8%). La pratique est plus répandue dans les zones rurales que dans les zones urbaines avec un taux respectif de 78,4% contre 68,7%.</w:t>
      </w:r>
      <w:r w:rsidRPr="00055EAB">
        <w:rPr>
          <w:vertAlign w:val="superscript"/>
        </w:rPr>
        <w:footnoteReference w:id="3"/>
      </w:r>
      <w:r w:rsidRPr="009706A0">
        <w:rPr>
          <w:rFonts w:ascii="Arial" w:hAnsi="Arial" w:cs="Arial"/>
          <w:sz w:val="24"/>
          <w:szCs w:val="24"/>
        </w:rPr>
        <w:t xml:space="preserve"> En ce qui concerne particulièrement la région du nord, trente-six filles au moins, âgées de 05 à 19 ans ont été victimes d’excision entre la période d’août à octobre 2014. Il s’agit de 17 filles au Yatenga, 11 au Zondoma, 06 au Loroum et 02 au Passoré.</w:t>
      </w:r>
      <w:r w:rsidRPr="00055EAB">
        <w:rPr>
          <w:vertAlign w:val="superscript"/>
        </w:rPr>
        <w:footnoteReference w:id="4"/>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Aussi, les phénomènes de prostitution et de trafic sexuel ont pris de l’ampleur au Burkina Faso. Le pays constitue une plaque tournante du trafic sexuel. Il est une zone pourvoyeuse, de transit et de destination des femmes victimes de travail forcé et de trafic sexuel. Elles  sont transportées en Côte d’Ivoire, au Mali et au Niger pour le travail forcé ou le trafic sexuel. Des trafiquants recrutent des femmes pour des emplois supposés légitimes au Liban, en Arabie saoudite et dans différents pays d’Europe, pour ensuite les forcer à la prostitution ou au travail forcé. Un trafiquant de femmes, interpellé par les forces de sécurité, a déclaré avoir fait partir une quarantaine de femmes Burkinabè au Liban en 2014. De l’aveu d’une de ses victimes, elles y sont livrées à l’esclavage : « </w:t>
      </w:r>
      <w:r w:rsidRPr="009706A0">
        <w:rPr>
          <w:rFonts w:ascii="Arial" w:hAnsi="Arial" w:cs="Arial"/>
          <w:i/>
          <w:sz w:val="24"/>
          <w:szCs w:val="24"/>
        </w:rPr>
        <w:t xml:space="preserve">C’est de l’esclavage. Tu n’as pas le droit de sortir de la maison. Quand tu te lèves le matin, c’est peut-être à minuit que tu </w:t>
      </w:r>
      <w:r w:rsidRPr="009706A0">
        <w:rPr>
          <w:rFonts w:ascii="Arial" w:hAnsi="Arial" w:cs="Arial"/>
          <w:i/>
          <w:sz w:val="24"/>
          <w:szCs w:val="24"/>
        </w:rPr>
        <w:lastRenderedPageBreak/>
        <w:t xml:space="preserve">vas dormir, tu vas te réveiller à cinq heures. Tu n’as même pas le temps. Les dimanches, tu ne te reposes pas, c’est le travail ou rien. Des femmes enceintes à leur départ du Burkina auraient été obligées d’avorter en terre libanaise pour pouvoir continuer à y travailler, d’autres auraient été violées par leurs patrons. </w:t>
      </w:r>
      <w:r w:rsidRPr="009706A0">
        <w:rPr>
          <w:rFonts w:ascii="Arial" w:hAnsi="Arial" w:cs="Arial"/>
          <w:sz w:val="24"/>
          <w:szCs w:val="24"/>
        </w:rPr>
        <w:t>»</w:t>
      </w:r>
      <w:r w:rsidRPr="00055EAB">
        <w:rPr>
          <w:vertAlign w:val="superscript"/>
        </w:rPr>
        <w:footnoteReference w:id="5"/>
      </w:r>
      <w:r w:rsidRPr="009706A0">
        <w:rPr>
          <w:rFonts w:ascii="Arial" w:hAnsi="Arial" w:cs="Arial"/>
          <w:sz w:val="24"/>
          <w:szCs w:val="24"/>
        </w:rPr>
        <w:t>. La même source sécuritaire cite également la Chine et le Qatar parmi les pays de destination des femmes burkinabè victimes de trafic. Des femmes venant d’autres pays d’Afrique de l’ouest, dont le Nigeria, le Togo, le Bénin et le Niger, sont recrutées frauduleusement pour des emplois au Burkina Faso et ensuite forcées à se prostituer, à travailler dans des restaurants ou comme main-d’œuvre domestique chez des particuliers. De même 16 femmes adultes de nationalité Burkinabè  victimes de travail forcé à l’intérieur du pays ont été identifiées ainsi que deux femmes Tibétaines soumises à la prostitution forcée.</w:t>
      </w:r>
      <w:r w:rsidRPr="00055EAB">
        <w:rPr>
          <w:vertAlign w:val="superscript"/>
        </w:rPr>
        <w:footnoteReference w:id="6"/>
      </w:r>
      <w:r w:rsidRPr="009706A0">
        <w:rPr>
          <w:rFonts w:ascii="Arial" w:hAnsi="Arial" w:cs="Arial"/>
          <w:sz w:val="24"/>
          <w:szCs w:val="24"/>
        </w:rPr>
        <w:t xml:space="preserve">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Par ailleurs, la réalisation des droits socio-économiques des femmes est mise à mal par l’extrême pauvreté à laquelle elles sont confrontées. De façon générale, elles sont caractérisées par une précarité aussi bien économique que sociale. La pauvreté des femmes dépasse celle de l’ensemble des adultes aussi bien en milieu rural qu’urbain. Selon les données de l’enquête démographique et de santé et à indicateurs multiples (EDSBF-MICS IV) de 2010, parmi  les 44% de la population vivant en dessous du seuil de pauvreté, les femmes représentent 47,1% contre 45,7% pour les hommes. L’incidence et la profondeur de la pauvreté monétaire des femmes de 15 à 49 ans sont respectivement de 38,4% et 13,9%.</w:t>
      </w:r>
      <w:r w:rsidRPr="00055EAB">
        <w:rPr>
          <w:vertAlign w:val="superscript"/>
        </w:rPr>
        <w:footnoteReference w:id="7"/>
      </w:r>
      <w:r w:rsidRPr="009706A0">
        <w:rPr>
          <w:rFonts w:ascii="Arial" w:hAnsi="Arial" w:cs="Arial"/>
          <w:sz w:val="24"/>
          <w:szCs w:val="24"/>
        </w:rPr>
        <w:t xml:space="preserve"> On note une augmentation de la sévérité de la pauvreté, dénotant une détérioration de la situation des femmes les plus pauvres. L’accès des femmes au crédit au Burkina-Faso est très limité. Il est estimé à moins d’une femme sur 10. Bien qu’il y ait une certaine variation régionale, ce taux d’accès n’excède 15% dans aucune région</w:t>
      </w:r>
      <w:r w:rsidRPr="00055EAB">
        <w:rPr>
          <w:vertAlign w:val="superscript"/>
        </w:rPr>
        <w:footnoteReference w:id="8"/>
      </w:r>
      <w:r w:rsidRPr="009706A0">
        <w:rPr>
          <w:rFonts w:ascii="Arial" w:hAnsi="Arial" w:cs="Arial"/>
          <w:sz w:val="24"/>
          <w:szCs w:val="24"/>
        </w:rPr>
        <w:t>. 3 sur 4 des femmes n’ont jamais fréquenté l’école formelle. Lorsqu’on ajoute celles qui ont déjà fréquenté l’école, mais qui n’ont pas achevé le niveau primaire, le taux devient  plus alarmant (84,9%</w:t>
      </w:r>
      <w:r w:rsidR="00AF6B9B">
        <w:rPr>
          <w:rFonts w:ascii="Arial" w:hAnsi="Arial" w:cs="Arial"/>
          <w:sz w:val="24"/>
          <w:szCs w:val="24"/>
        </w:rPr>
        <w:t>)</w:t>
      </w:r>
      <w:r w:rsidRPr="009706A0">
        <w:rPr>
          <w:rFonts w:ascii="Arial" w:hAnsi="Arial" w:cs="Arial"/>
          <w:sz w:val="24"/>
          <w:szCs w:val="24"/>
        </w:rPr>
        <w:t xml:space="preserve">. Ce faible niveau d’instruction des femmes s’explique par les pesanteurs socioculturelles et semble imputable à la pauvreté. On constate, par </w:t>
      </w:r>
      <w:r w:rsidRPr="009706A0">
        <w:rPr>
          <w:rFonts w:ascii="Arial" w:hAnsi="Arial" w:cs="Arial"/>
          <w:sz w:val="24"/>
          <w:szCs w:val="24"/>
        </w:rPr>
        <w:lastRenderedPageBreak/>
        <w:t>ailleurs, des taux presque deux fois plus élevés de femmes analphabètes en milieu rural. Plus de 60,0% des filles âgées de 15 à 19 ans n’ont jamais fréquenté l’école</w:t>
      </w:r>
      <w:r w:rsidRPr="00055EAB">
        <w:rPr>
          <w:vertAlign w:val="superscript"/>
        </w:rPr>
        <w:footnoteReference w:id="9"/>
      </w:r>
      <w:r w:rsidRPr="009706A0">
        <w:rPr>
          <w:rFonts w:ascii="Arial" w:hAnsi="Arial" w:cs="Arial"/>
          <w:sz w:val="24"/>
          <w:szCs w:val="24"/>
        </w:rPr>
        <w:t xml:space="preserve">.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Une proportion importante de femmes ne possède pas d’acte d’état civil. En effet, plus de la moitié des femmes de 15 à 49 ans ne possèdent pas de carte nationale d’identité et au moins une femme sur trois n’a pas d’acte de naissance. De même, en zone rurale, la non possession d’actes d’état civil est un problème sérieux affectant six femmes sur 10 contre un quart en milieu urbain</w:t>
      </w:r>
      <w:r w:rsidRPr="00055EAB">
        <w:rPr>
          <w:vertAlign w:val="superscript"/>
        </w:rPr>
        <w:footnoteReference w:id="10"/>
      </w:r>
      <w:r w:rsidRPr="009706A0">
        <w:rPr>
          <w:rFonts w:ascii="Arial" w:hAnsi="Arial" w:cs="Arial"/>
          <w:sz w:val="24"/>
          <w:szCs w:val="24"/>
        </w:rPr>
        <w:t>.</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Concernant la situation des droits politiques des femmes, elle n’</w:t>
      </w:r>
      <w:r w:rsidR="00AF6B9B">
        <w:rPr>
          <w:rFonts w:ascii="Arial" w:hAnsi="Arial" w:cs="Arial"/>
          <w:sz w:val="24"/>
          <w:szCs w:val="24"/>
        </w:rPr>
        <w:t xml:space="preserve">est </w:t>
      </w:r>
      <w:r w:rsidRPr="00AF6B9B">
        <w:rPr>
          <w:rFonts w:ascii="Arial" w:hAnsi="Arial" w:cs="Arial"/>
          <w:color w:val="FF0000"/>
          <w:sz w:val="24"/>
          <w:szCs w:val="24"/>
        </w:rPr>
        <w:t xml:space="preserve"> </w:t>
      </w:r>
      <w:r w:rsidRPr="009706A0">
        <w:rPr>
          <w:rFonts w:ascii="Arial" w:hAnsi="Arial" w:cs="Arial"/>
          <w:sz w:val="24"/>
          <w:szCs w:val="24"/>
        </w:rPr>
        <w:t>pas  reluisante.  Si les femmes ont vaillamment participé au changement politique intervenu en octobre 2014, leur représentation dans les sphères de décision reste très faible. Le rôle politique de la femme n’est pas encore bien accepté. Peu de femmes occupent des postes de responsabilité dans l’administration burkinabè. De même, dans les institutions politico-administratives  de prise de décision où prévaut le système de représentation, il existe une discrimination de fait en défaveur des femmes. Les institutions mises en place après l’insurrection populaire n’ont fondamentalement rien changé en la matière. Contrairement au discours des autorités de la Transition, en ce domaine, tout est resté comme avant. A titre illustratif, sur les 26 membres que compte le gouvernement mis en place en novembre 2014, il n’y a que 04 femmes, soit un taux de 15,38%. Le Conseil National de la Transition comprend 11 femmes sur les 90 membres, soit un taux de 12,22%. Par ailleurs, tous ces deux organes sont dirigés par des hommes.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milieu rural, alors que les femmes continuent à ployer sous le fardeau des travaux domestiques et agricoles, elles sont de façon paradoxale et systématique qualifiées de ménagères par l’administration. Chargées en outre de l’entretien et de l’éducation des enfants, elles sont écartées des grands débats politiques et économiques qui régulent leur sort. Elles sont confinées dans un système de domination où le poids des traditions, des coutumes et  des religions entrainent en elles une grande marginalisation et leur relégation au second plan de l’échelle sociale.</w:t>
      </w:r>
    </w:p>
    <w:p w:rsidR="00F246A8" w:rsidRDefault="00F246A8" w:rsidP="00F246A8">
      <w:pPr>
        <w:spacing w:after="0" w:line="360" w:lineRule="auto"/>
        <w:jc w:val="both"/>
        <w:rPr>
          <w:rFonts w:ascii="Arial" w:hAnsi="Arial" w:cs="Arial"/>
          <w:sz w:val="24"/>
          <w:szCs w:val="24"/>
        </w:rPr>
      </w:pPr>
    </w:p>
    <w:p w:rsidR="0086519F" w:rsidRDefault="0086519F" w:rsidP="00F246A8">
      <w:pPr>
        <w:spacing w:after="0" w:line="360" w:lineRule="auto"/>
        <w:jc w:val="both"/>
        <w:rPr>
          <w:rFonts w:ascii="Arial" w:hAnsi="Arial" w:cs="Arial"/>
          <w:sz w:val="24"/>
          <w:szCs w:val="24"/>
        </w:rPr>
      </w:pPr>
    </w:p>
    <w:p w:rsidR="0086519F" w:rsidRDefault="0086519F" w:rsidP="00F246A8">
      <w:pPr>
        <w:spacing w:after="0" w:line="360" w:lineRule="auto"/>
        <w:jc w:val="both"/>
        <w:rPr>
          <w:rFonts w:ascii="Arial" w:hAnsi="Arial" w:cs="Arial"/>
          <w:sz w:val="24"/>
          <w:szCs w:val="24"/>
        </w:rPr>
      </w:pPr>
    </w:p>
    <w:p w:rsidR="0086519F" w:rsidRPr="00055EAB" w:rsidRDefault="0086519F" w:rsidP="00F246A8">
      <w:pPr>
        <w:spacing w:after="0" w:line="360" w:lineRule="auto"/>
        <w:jc w:val="both"/>
        <w:rPr>
          <w:rFonts w:ascii="Arial" w:hAnsi="Arial" w:cs="Arial"/>
          <w:sz w:val="24"/>
          <w:szCs w:val="24"/>
        </w:rPr>
      </w:pPr>
    </w:p>
    <w:p w:rsidR="00F246A8" w:rsidRPr="00D56432" w:rsidRDefault="00F246A8" w:rsidP="00EC7D02">
      <w:pPr>
        <w:pStyle w:val="Paragraphedeliste"/>
        <w:numPr>
          <w:ilvl w:val="0"/>
          <w:numId w:val="20"/>
        </w:numPr>
        <w:spacing w:after="0" w:line="360" w:lineRule="auto"/>
        <w:rPr>
          <w:rFonts w:ascii="Arial" w:hAnsi="Arial" w:cs="Arial"/>
          <w:b/>
          <w:sz w:val="24"/>
          <w:szCs w:val="24"/>
        </w:rPr>
      </w:pPr>
      <w:r w:rsidRPr="00D56432">
        <w:rPr>
          <w:rFonts w:ascii="Arial" w:hAnsi="Arial" w:cs="Arial"/>
          <w:b/>
          <w:sz w:val="24"/>
          <w:szCs w:val="24"/>
        </w:rPr>
        <w:lastRenderedPageBreak/>
        <w:t>Des droits de l’enfant</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 la matière, le Burkina Faso dispose d’un cadre juridique assez fourni. Sur le plan normatif, le pays a souscrit à divers instruments juridiques internationaux et régionaux de protection de l’enfance de même qu’il a adopté au plan interne de nombreux textes favorables à l’enfant. Il en est ainsi  entre autres de la Convention des Nations Unies sur les droits de l’enfant, la Charte africaine des droits et du bien-être de l’enfant, le Code des personnes et de la famille, le code du travail et ses textes d’application, etc. Concernant particulièrement l’année 2014, le cadre normatif de protection de l’enfance a été renforcé par l’adoption de deux nouvelles lois. Il s’agit de la  loi n° 011-2014/AN du 17 avril 2014 portant répression de la vente d’enfants, de la prostitution des enfants et de la pornographie mettant en scène des enfants et de la loi n° 015-2014/AN du 13 mai 2014 portant protection de l’enfant en conflit avec la loi ou en danger.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 dépit de ce cadre juridique bienveillant, la situation concrète des enfants demeure précaire à plusieurs égards. En effet, ils sont confrontés à des réalités très difficiles mettant gravement en péril la jouissance effective de leurs droits. Comme l’a relevé l’étude sur la cartographie et l’évaluation du système de protection de l’enfant au Burkina réalisée en 2014 par le ministère de l’action sociale et de la solidarité nationale, </w:t>
      </w:r>
      <w:r w:rsidRPr="009706A0">
        <w:rPr>
          <w:rFonts w:ascii="Arial" w:hAnsi="Arial" w:cs="Arial"/>
          <w:bCs/>
          <w:sz w:val="24"/>
          <w:szCs w:val="24"/>
        </w:rPr>
        <w:t>la faim, les mauvais traitements,</w:t>
      </w:r>
      <w:r w:rsidRPr="009706A0">
        <w:rPr>
          <w:rFonts w:ascii="Arial" w:hAnsi="Arial" w:cs="Arial"/>
          <w:sz w:val="24"/>
          <w:szCs w:val="24"/>
        </w:rPr>
        <w:t xml:space="preserve"> la mendicité, les mariages précoces et/ou forcés , les enlèvements, les abandons, les mutilations génitales féminines, les violences physiques et morales, les pires formes de travail, la traite, la situation de rue sont entre autres situations de vulnérabilité auxquelles des milliers d’enfants sont confrontés au Burkina.</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D’abord, sur le plan de l’alimentation, la situation nutritionnelle des enfants reste préoccupante. La malnutrition demeure le vécu quotidien de milliers d’enfants. Au niveau national, la prévalence de la malnutrition aiguë est de 8,2 % dont 1,7% de forme sévère. Elle varie de 5,5% dans la région du Centre-Est à 9,7% dans la région du Sud- Ouest. Cependant, il existe des disparités de prévalences parfois importantes à l’intérieur de la même région. L’écart de la prévalence de la malnutrition aiguë entre provinces varie de 1,4% (Sissili (8,8%) et Sanguié (10,2%) dans la région du Centre Ouest) à 9,2% (Poni (4,8) et Ioba (14,0%) dans la région du Sud-Ouest).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La prévalence nationale de la malnutrition chronique est de 31,5% dont 9,2% de forme sévère. Elle varie selon les régions de 17,2% dans la région du Centre à </w:t>
      </w:r>
      <w:r w:rsidRPr="009706A0">
        <w:rPr>
          <w:rFonts w:ascii="Arial" w:hAnsi="Arial" w:cs="Arial"/>
          <w:sz w:val="24"/>
          <w:szCs w:val="24"/>
        </w:rPr>
        <w:lastRenderedPageBreak/>
        <w:t>40,9% dans la région des Cascades. A l’exception des régions du Centre, du Centre Sud, des Hauts Bassins et de la Boucle du Mouhoun, toutes les autres régions présentent une prévalence dépassant le seuil de l’endémie sévère qui est de 30% selon l’OMS. La région des Cascades (40,9%) présente une prévalence dépassant 40% qui est le seuil d’urgence selon l’OMS.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 prévalence nationale de l’insuffisance pondérale est de 21,0% dont 4,5% de forme sévère. Elle varie de 12,7% dans la région du Centre à 26,5% dans la région de l’Est. Toutes les régions présentent une prévalence dépassant le seuil d’endémie sévère défini par l’OMS (20%) hormis celles des Hauts bassins, du Centre Sud, du Centre et de la Boucle du Mouhoun. Des disparités existent à l’intérieur des provinces de la même région. La plus remarquable est observée dans la région du Sud-Ouest entre les provinces du Poni (16,3%) et du Ioba (36,4%), soit un écart de 20,1%</w:t>
      </w:r>
      <w:r w:rsidRPr="00055EAB">
        <w:rPr>
          <w:vertAlign w:val="superscript"/>
        </w:rPr>
        <w:footnoteReference w:id="11"/>
      </w:r>
      <w:r w:rsidRPr="009706A0">
        <w:rPr>
          <w:rFonts w:ascii="Arial" w:hAnsi="Arial" w:cs="Arial"/>
          <w:sz w:val="24"/>
          <w:szCs w:val="24"/>
        </w:rPr>
        <w:t>.</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Environ cinq cent quatorze mille (514 000) enfants de moins de cinq (05) ans ont souffert de malnutrition aiguë en 2014 dont 144 000 enfants de malnutrition aiguë sévère contre 370 000 enfants pour la malnutrition aiguë modérée</w:t>
      </w:r>
      <w:r w:rsidRPr="00055EAB">
        <w:rPr>
          <w:vertAlign w:val="superscript"/>
        </w:rPr>
        <w:footnoteReference w:id="12"/>
      </w:r>
      <w:r w:rsidRPr="009706A0">
        <w:rPr>
          <w:rFonts w:ascii="Arial" w:hAnsi="Arial" w:cs="Arial"/>
          <w:sz w:val="24"/>
          <w:szCs w:val="24"/>
        </w:rPr>
        <w:t>. Le Burkina Faso fait partie des dix pays ayant les taux de mortalité infantile les plus élevés au monde en 2014</w:t>
      </w:r>
      <w:r w:rsidRPr="00055EAB">
        <w:rPr>
          <w:vertAlign w:val="superscript"/>
        </w:rPr>
        <w:footnoteReference w:id="13"/>
      </w:r>
      <w:r w:rsidRPr="009706A0">
        <w:rPr>
          <w:rFonts w:ascii="Arial" w:hAnsi="Arial" w:cs="Arial"/>
          <w:sz w:val="24"/>
          <w:szCs w:val="24"/>
        </w:rPr>
        <w:t>. Le taux national de mortalité infantile est de l’ordre 76,8 décès pour mille naissances. En somme, la situation nutritionnelle des enfants au Burkina Faso a été caractérisée en 2014 par une persistance de la malnutrition sous toutes ses formes. Plus de 35% des décès d’enfants de moins de cinq ans sont attribuables à la malnutrition en général dont 15 à 17% à la malnutrition chronique</w:t>
      </w:r>
      <w:r w:rsidRPr="00055EAB">
        <w:rPr>
          <w:vertAlign w:val="superscript"/>
        </w:rPr>
        <w:footnoteReference w:id="14"/>
      </w:r>
      <w:r w:rsidRPr="009706A0">
        <w:rPr>
          <w:rFonts w:ascii="Arial" w:hAnsi="Arial" w:cs="Arial"/>
          <w:sz w:val="24"/>
          <w:szCs w:val="24"/>
        </w:rPr>
        <w:t>.</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outre, la mendicité et le phénomène des enfants en situation de rue persistent. Concernant particulièrement le phénomène des enfants en situation de rue, on estime qu’il touche plus de 7.000 enfants</w:t>
      </w:r>
      <w:r w:rsidRPr="00055EAB">
        <w:rPr>
          <w:vertAlign w:val="superscript"/>
        </w:rPr>
        <w:footnoteReference w:id="15"/>
      </w:r>
      <w:r w:rsidRPr="009706A0">
        <w:rPr>
          <w:rFonts w:ascii="Arial" w:hAnsi="Arial" w:cs="Arial"/>
          <w:sz w:val="24"/>
          <w:szCs w:val="24"/>
        </w:rPr>
        <w:t xml:space="preserve">. Ces milliers d’enfants, totalement délaissés par leurs familles ou confiés à des maîtres coraniques sans scrupule,  écument en longueur des journées les rues des centres urbains et semi-urbains du pays. Ils  se retrouvent seuls sur les carrefours des grandes voies et les lieux de rassemblement pour vendre de petits articles, proposer leurs services aux passants </w:t>
      </w:r>
      <w:r w:rsidRPr="009706A0">
        <w:rPr>
          <w:rFonts w:ascii="Arial" w:hAnsi="Arial" w:cs="Arial"/>
          <w:sz w:val="24"/>
          <w:szCs w:val="24"/>
        </w:rPr>
        <w:lastRenderedPageBreak/>
        <w:t xml:space="preserve">ou mendier de quoi vivre  et faire vivre leurs maîtres. Ainsi exposés  aux abus et violences divers, certains d’entre eux sombrent dans la délinquance en raison de l’absence d’une prise en charge adéquate de la part des services sociaux. Abandonnés à eux-mêmes, ils ont de plus en plus recours aux stupéfiants.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De même, le trafic d’enfants est alarmant. Le nombre d’enfants victimes de ce fléau est estimé à plus de 2000. Le pays est considéré comme une plaque tournante du phénomène. Il est pourvoyeur de transit et de destination de filles et de femmes victimes de trafic sexuel. Des enfants burkinabè sont transportés dans les pays voisins pour des travaux dangereux ou le trafic sexuel. Le Burkina Faso est un pays de transit pour les trafiquants transportant des enfants du Mali vers la Côte d’Ivoire et est une destination pour les enfants victimes de trafic venant d’autres pays de la région, y compris du Ghana, de Guinée, du Mali, du Bénin et du Nigeria</w:t>
      </w:r>
      <w:r w:rsidRPr="00055EAB">
        <w:rPr>
          <w:vertAlign w:val="superscript"/>
        </w:rPr>
        <w:footnoteReference w:id="16"/>
      </w:r>
      <w:r w:rsidRPr="009706A0">
        <w:rPr>
          <w:rFonts w:ascii="Arial" w:hAnsi="Arial" w:cs="Arial"/>
          <w:sz w:val="24"/>
          <w:szCs w:val="24"/>
        </w:rPr>
        <w:t xml:space="preserve">. Le rapport national sur les violences faites aux enfants fait état de 1.692 enfants victimes dont 904 garçons et 788 filles.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Par ailleurs, le travail des enfants reste une triste réalité. Il va au-delà du cadre de l’initiation sociale ou de l’apprentissage. L’enfant est de plus en plus un maillon important du travail économique. Les enfants burkinabè font l’objet de pires formes de travail dans de nombreux secteurs informels, les travaux domestiques, le secteur agropastoral, les carrières et les sites aurifères, etc. Ce phénomène constitue une entrave sérieuse pour leur scolarisation, leur sécurité, leur santé mentale et physique ainsi que leur moralité. On estime à plus de 100.000 le nombre des enfants qui travaillent dans les mines artisanales.</w:t>
      </w:r>
      <w:r w:rsidRPr="00055EAB">
        <w:rPr>
          <w:vertAlign w:val="superscript"/>
        </w:rPr>
        <w:footnoteReference w:id="17"/>
      </w:r>
    </w:p>
    <w:p w:rsidR="00F246A8" w:rsidRPr="00D56432" w:rsidRDefault="00F246A8" w:rsidP="00EC7D02">
      <w:pPr>
        <w:pStyle w:val="Paragraphedeliste"/>
        <w:numPr>
          <w:ilvl w:val="0"/>
          <w:numId w:val="20"/>
        </w:numPr>
        <w:spacing w:after="0" w:line="360" w:lineRule="auto"/>
        <w:rPr>
          <w:rFonts w:ascii="Arial" w:hAnsi="Arial" w:cs="Arial"/>
          <w:b/>
          <w:sz w:val="24"/>
          <w:szCs w:val="24"/>
        </w:rPr>
      </w:pPr>
      <w:r w:rsidRPr="00D56432">
        <w:rPr>
          <w:rFonts w:ascii="Arial" w:hAnsi="Arial" w:cs="Arial"/>
          <w:b/>
          <w:sz w:val="24"/>
          <w:szCs w:val="24"/>
        </w:rPr>
        <w:t>Des droits des personnes vivant avec un handicap</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Notre pays dispose d’une législation bien fournie en matière de protection des droits des personnes vivant avec un handicap. La loi 12-2010/AN du 1</w:t>
      </w:r>
      <w:r w:rsidRPr="009706A0">
        <w:rPr>
          <w:rFonts w:ascii="Arial" w:hAnsi="Arial" w:cs="Arial"/>
          <w:sz w:val="24"/>
          <w:szCs w:val="24"/>
          <w:vertAlign w:val="superscript"/>
        </w:rPr>
        <w:t>er</w:t>
      </w:r>
      <w:r w:rsidRPr="009706A0">
        <w:rPr>
          <w:rFonts w:ascii="Arial" w:hAnsi="Arial" w:cs="Arial"/>
          <w:sz w:val="24"/>
          <w:szCs w:val="24"/>
        </w:rPr>
        <w:t xml:space="preserve"> avril 2010 portant protection et promotion des droits des personnes handicapées au Burkina Faso, ainsi que ses décrets d’application accordent une série d’avantages à cette couche de la population à la seule condition de détenir une carte d’invalidité délivrée par l’autorité compétente.</w:t>
      </w:r>
      <w:r w:rsidRPr="00055EAB">
        <w:rPr>
          <w:vertAlign w:val="superscript"/>
        </w:rPr>
        <w:footnoteReference w:id="18"/>
      </w:r>
      <w:r w:rsidR="00212D53">
        <w:rPr>
          <w:rFonts w:ascii="Arial" w:hAnsi="Arial" w:cs="Arial"/>
          <w:sz w:val="24"/>
          <w:szCs w:val="24"/>
        </w:rPr>
        <w:t xml:space="preserve"> Mais qu</w:t>
      </w:r>
      <w:r w:rsidRPr="009706A0">
        <w:rPr>
          <w:rFonts w:ascii="Arial" w:hAnsi="Arial" w:cs="Arial"/>
          <w:sz w:val="24"/>
          <w:szCs w:val="24"/>
        </w:rPr>
        <w:t>’</w:t>
      </w:r>
      <w:r w:rsidR="00212D53">
        <w:rPr>
          <w:rFonts w:ascii="Arial" w:hAnsi="Arial" w:cs="Arial"/>
          <w:sz w:val="24"/>
          <w:szCs w:val="24"/>
        </w:rPr>
        <w:t xml:space="preserve">en </w:t>
      </w:r>
      <w:r w:rsidRPr="009706A0">
        <w:rPr>
          <w:rFonts w:ascii="Arial" w:hAnsi="Arial" w:cs="Arial"/>
          <w:sz w:val="24"/>
          <w:szCs w:val="24"/>
        </w:rPr>
        <w:t>est-il du quotidien de cette frange de la population dans notre pays ?</w:t>
      </w:r>
    </w:p>
    <w:p w:rsidR="00F246A8" w:rsidRPr="0046223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lastRenderedPageBreak/>
        <w:t>Dans sa déclaration à la 7</w:t>
      </w:r>
      <w:r w:rsidRPr="009706A0">
        <w:rPr>
          <w:rFonts w:ascii="Arial" w:hAnsi="Arial" w:cs="Arial"/>
          <w:sz w:val="24"/>
          <w:szCs w:val="24"/>
          <w:vertAlign w:val="superscript"/>
        </w:rPr>
        <w:t>e</w:t>
      </w:r>
      <w:r w:rsidRPr="009706A0">
        <w:rPr>
          <w:rFonts w:ascii="Arial" w:hAnsi="Arial" w:cs="Arial"/>
          <w:sz w:val="24"/>
          <w:szCs w:val="24"/>
        </w:rPr>
        <w:t xml:space="preserve"> session de la Conférence des Etats Parties à la Convention des Nations Unies relative aux Droits des Personnes Handicapées qui s’est tenue au siège des Nations Unies du 10 au 12 juin 2014 à New York le Ministre de l’Action sociale et de la Solidarité nationale Alain ZOUBGA a donné un aperçu de l’engagement du Burkina Faso à travers des actions concrètes permettant de répondre efficacement aux besoins spécifiques et inclusifs des personnes vivant avec un</w:t>
      </w:r>
      <w:r w:rsidR="007B3151">
        <w:rPr>
          <w:rFonts w:ascii="Arial" w:hAnsi="Arial" w:cs="Arial"/>
          <w:sz w:val="24"/>
          <w:szCs w:val="24"/>
        </w:rPr>
        <w:t xml:space="preserve"> handicap. Il s’agit notamment</w:t>
      </w:r>
      <w:r w:rsidR="00462230">
        <w:rPr>
          <w:rFonts w:ascii="Arial" w:hAnsi="Arial" w:cs="Arial"/>
          <w:sz w:val="24"/>
          <w:szCs w:val="24"/>
        </w:rPr>
        <w:t xml:space="preserve"> </w:t>
      </w:r>
      <w:r w:rsidRPr="007B3151">
        <w:rPr>
          <w:rFonts w:ascii="Arial" w:hAnsi="Arial" w:cs="Arial"/>
          <w:sz w:val="24"/>
          <w:szCs w:val="24"/>
        </w:rPr>
        <w:t>de la disponibilité de la carte d’invalidité pour personne en situation de handicap, permettant aux titulaires de bénéficier des avantages et mesures favorables pr</w:t>
      </w:r>
      <w:r w:rsidR="00462230">
        <w:rPr>
          <w:rFonts w:ascii="Arial" w:hAnsi="Arial" w:cs="Arial"/>
          <w:sz w:val="24"/>
          <w:szCs w:val="24"/>
        </w:rPr>
        <w:t xml:space="preserve">évues par les textes en vigueur, </w:t>
      </w:r>
      <w:r w:rsidRPr="00462230">
        <w:rPr>
          <w:rFonts w:ascii="Arial" w:hAnsi="Arial" w:cs="Arial"/>
          <w:sz w:val="24"/>
          <w:szCs w:val="24"/>
        </w:rPr>
        <w:t>de la mise en œuvre effective du premier plan d’action triennal glissant de la stratégie nationale de protection et de promo</w:t>
      </w:r>
      <w:r w:rsidR="00462230">
        <w:rPr>
          <w:rFonts w:ascii="Arial" w:hAnsi="Arial" w:cs="Arial"/>
          <w:sz w:val="24"/>
          <w:szCs w:val="24"/>
        </w:rPr>
        <w:t>tion des personnes handicapées</w:t>
      </w:r>
      <w:r w:rsidRPr="00462230">
        <w:rPr>
          <w:rFonts w:ascii="Arial" w:hAnsi="Arial" w:cs="Arial"/>
          <w:sz w:val="24"/>
          <w:szCs w:val="24"/>
        </w:rPr>
        <w:t xml:space="preserve"> et de l’organisation de l’opération de recensement général des enfants handicapés au Burkina Faso (RGEH 2013).</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Mais hélas, les années se succèdent et les difficultés rencontrées par ces personnes persistent. En  2014, la carte d’invalidité, présentée comme un document à multiples avantages s’est encore </w:t>
      </w:r>
      <w:r w:rsidR="00212D53" w:rsidRPr="009706A0">
        <w:rPr>
          <w:rFonts w:ascii="Arial" w:hAnsi="Arial" w:cs="Arial"/>
          <w:sz w:val="24"/>
          <w:szCs w:val="24"/>
        </w:rPr>
        <w:t>heurté</w:t>
      </w:r>
      <w:r w:rsidRPr="009706A0">
        <w:rPr>
          <w:rFonts w:ascii="Arial" w:hAnsi="Arial" w:cs="Arial"/>
          <w:sz w:val="24"/>
          <w:szCs w:val="24"/>
        </w:rPr>
        <w:t xml:space="preserve"> à la réalité du terrain. Les personnes détentrices de cette carte sont peu nombreuses. Sur un effectif estimé à 168 094 personnes vivant avec un handicap seulement 547 personnes étaient détentrices de la carte à la date du 19 août 2014 soit 0,34%</w:t>
      </w:r>
      <w:r w:rsidRPr="00055EAB">
        <w:rPr>
          <w:vertAlign w:val="superscript"/>
        </w:rPr>
        <w:footnoteReference w:id="19"/>
      </w:r>
      <w:r w:rsidRPr="009706A0">
        <w:rPr>
          <w:rFonts w:ascii="Arial" w:hAnsi="Arial" w:cs="Arial"/>
          <w:sz w:val="24"/>
          <w:szCs w:val="24"/>
        </w:rPr>
        <w:t>. Les personnes vivant avec un handicap, même celles détentrices de la carte rencontrent toujours les problèmes d’accès à l’éducation, à la santé, au transport et à l’emploi car le contexte de privatisation de ces secteurs ne favorisent pas une prise en compte de leurs besoins. En effet, les établissements d’enseignements et de santé ne disposent pas suffisamment de matériels et équipements nécessaires permettant leur prise en charge. Dans le domaine du transport, le transport public est quasi-inexistant. C’est le même constat que fait Ismaël Traoré, secrétaire permanent de l’Association des élèves et étudiants handicapés du Burkina, lorsqu’il relève que : «Aujourd’hui, nous n’arrivons pas à nous soigner. Au Burkina, il est difficile d’avoir un fauteuil roulant, une canne blanche, bref de prendre en charge les préoccupations des personnes handicapées»</w:t>
      </w:r>
      <w:r w:rsidRPr="00055EAB">
        <w:rPr>
          <w:vertAlign w:val="superscript"/>
        </w:rPr>
        <w:footnoteReference w:id="20"/>
      </w:r>
      <w:r w:rsidRPr="009706A0">
        <w:rPr>
          <w:rFonts w:ascii="Arial" w:hAnsi="Arial" w:cs="Arial"/>
          <w:sz w:val="24"/>
          <w:szCs w:val="24"/>
        </w:rPr>
        <w:t xml:space="preserve">. Et le secrétaire général de l’Association Burkinabè de Promotion des Aveugles et Malvoyants (ABPAM) d’ajouter que ces personnes font l’objet de </w:t>
      </w:r>
      <w:r w:rsidRPr="009706A0">
        <w:rPr>
          <w:rFonts w:ascii="Arial" w:hAnsi="Arial" w:cs="Arial"/>
          <w:sz w:val="24"/>
          <w:szCs w:val="24"/>
        </w:rPr>
        <w:lastRenderedPageBreak/>
        <w:t xml:space="preserve">discrimination même dans leur propre famille et n’ont véritablement pas accès à l’information et aux services sociaux de base.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Cette triste réalité du terrain commande qu’au-delà des discours, les autorités prennent des mesures concrètes à même de soulager ces personnes qui ne demandent qu’à jouir de leurs droits</w:t>
      </w:r>
    </w:p>
    <w:p w:rsidR="00F246A8" w:rsidRPr="009706A0" w:rsidRDefault="00F246A8" w:rsidP="00462230">
      <w:pPr>
        <w:pStyle w:val="Paragraphedeliste"/>
        <w:spacing w:after="0" w:line="360" w:lineRule="auto"/>
        <w:jc w:val="both"/>
        <w:rPr>
          <w:rFonts w:ascii="Arial" w:hAnsi="Arial" w:cs="Arial"/>
          <w:sz w:val="24"/>
          <w:szCs w:val="24"/>
        </w:rPr>
      </w:pPr>
    </w:p>
    <w:p w:rsidR="00F246A8" w:rsidRPr="00055EAB" w:rsidRDefault="00F246A8" w:rsidP="00F246A8">
      <w:pPr>
        <w:spacing w:after="0" w:line="360" w:lineRule="auto"/>
        <w:jc w:val="both"/>
        <w:rPr>
          <w:rFonts w:ascii="Arial" w:hAnsi="Arial" w:cs="Arial"/>
          <w:sz w:val="24"/>
          <w:szCs w:val="24"/>
        </w:rPr>
      </w:pPr>
    </w:p>
    <w:p w:rsidR="00F246A8" w:rsidRPr="00EC7D02" w:rsidRDefault="00EC7D02" w:rsidP="00EC7D02">
      <w:pPr>
        <w:spacing w:after="0" w:line="360" w:lineRule="auto"/>
        <w:jc w:val="both"/>
        <w:rPr>
          <w:rFonts w:ascii="Arial" w:hAnsi="Arial" w:cs="Arial"/>
          <w:b/>
          <w:sz w:val="24"/>
          <w:szCs w:val="24"/>
        </w:rPr>
      </w:pPr>
      <w:r>
        <w:rPr>
          <w:rFonts w:ascii="Arial" w:hAnsi="Arial" w:cs="Arial"/>
          <w:b/>
          <w:sz w:val="24"/>
          <w:szCs w:val="24"/>
        </w:rPr>
        <w:t xml:space="preserve">SECTION II : </w:t>
      </w:r>
      <w:r w:rsidRPr="00EC7D02">
        <w:rPr>
          <w:rFonts w:ascii="Arial" w:hAnsi="Arial" w:cs="Arial"/>
          <w:b/>
          <w:sz w:val="24"/>
          <w:szCs w:val="24"/>
        </w:rPr>
        <w:t>DES DROITS CULTURELS (ARTICLE 15)</w:t>
      </w:r>
    </w:p>
    <w:p w:rsidR="00F246A8"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En dépit de l’existence d’institutions chargées de la promotion de la culture et des droits culturels dans leurs diversités, les conditions d’un plein exercice des droits culturels sont loin d’être assurées au Burkina Faso. </w:t>
      </w:r>
    </w:p>
    <w:p w:rsidR="007C2BCA" w:rsidRPr="007C2BCA" w:rsidRDefault="007C2BCA" w:rsidP="007C2BCA">
      <w:pPr>
        <w:spacing w:after="0" w:line="360" w:lineRule="auto"/>
        <w:ind w:left="360"/>
        <w:jc w:val="both"/>
        <w:rPr>
          <w:rFonts w:ascii="Arial" w:hAnsi="Arial" w:cs="Arial"/>
          <w:sz w:val="24"/>
          <w:szCs w:val="24"/>
        </w:rPr>
      </w:pPr>
    </w:p>
    <w:p w:rsidR="00F246A8" w:rsidRPr="00D00EC0" w:rsidRDefault="00F246A8" w:rsidP="00F246A8">
      <w:pPr>
        <w:pStyle w:val="Paragraphedeliste"/>
        <w:numPr>
          <w:ilvl w:val="0"/>
          <w:numId w:val="6"/>
        </w:numPr>
        <w:spacing w:after="0" w:line="360" w:lineRule="auto"/>
        <w:rPr>
          <w:rFonts w:ascii="Arial" w:hAnsi="Arial" w:cs="Arial"/>
          <w:b/>
          <w:sz w:val="24"/>
          <w:szCs w:val="24"/>
        </w:rPr>
      </w:pPr>
      <w:r w:rsidRPr="00D00EC0">
        <w:rPr>
          <w:rFonts w:ascii="Arial" w:hAnsi="Arial" w:cs="Arial"/>
          <w:b/>
          <w:sz w:val="24"/>
          <w:szCs w:val="24"/>
        </w:rPr>
        <w:t>Au niveau institutionnel</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Au niveau institutionnel, il convient de souligner la faible déconcentration de l’administration culturelle, une décentralisation embryonnaire de l’action culturelle et un manque de coordination aux niveaux local et national. Les directions régionales et provinciales, prévues dans le dispositif organisationnel du Ministère en charge de la culture ne sont pas encore toutes installées. Le Secrétariat permanent de la Semaine Nationale de la Culture demeure le seul service central du ministère se trouvant hors de Ouagadougou, précisément à Bobo-Dioulasso. De même, il a été fréquemment observé une instabilité institutionnelle se traduisant par de fréquents rattachements de la culture à d’autres secteurs</w:t>
      </w:r>
      <w:r w:rsidRPr="006811E8">
        <w:rPr>
          <w:vertAlign w:val="superscript"/>
        </w:rPr>
        <w:footnoteReference w:id="21"/>
      </w:r>
      <w:r w:rsidRPr="009706A0">
        <w:rPr>
          <w:rFonts w:ascii="Arial" w:hAnsi="Arial" w:cs="Arial"/>
          <w:sz w:val="24"/>
          <w:szCs w:val="24"/>
        </w:rPr>
        <w:t xml:space="preserve">. </w:t>
      </w:r>
    </w:p>
    <w:p w:rsidR="00F246A8" w:rsidRDefault="00F246A8" w:rsidP="00462230">
      <w:pPr>
        <w:spacing w:after="0" w:line="360" w:lineRule="auto"/>
        <w:rPr>
          <w:rFonts w:ascii="Arial" w:hAnsi="Arial" w:cs="Arial"/>
          <w:b/>
          <w:sz w:val="24"/>
          <w:szCs w:val="24"/>
        </w:rPr>
      </w:pPr>
    </w:p>
    <w:p w:rsidR="00F246A8" w:rsidRPr="00EC7D02" w:rsidRDefault="00F246A8" w:rsidP="00EC7D02">
      <w:pPr>
        <w:pStyle w:val="Paragraphedeliste"/>
        <w:numPr>
          <w:ilvl w:val="0"/>
          <w:numId w:val="6"/>
        </w:numPr>
        <w:spacing w:after="0" w:line="360" w:lineRule="auto"/>
        <w:rPr>
          <w:rFonts w:ascii="Arial" w:hAnsi="Arial" w:cs="Arial"/>
          <w:b/>
          <w:sz w:val="24"/>
          <w:szCs w:val="24"/>
        </w:rPr>
      </w:pPr>
      <w:r w:rsidRPr="00EC7D02">
        <w:rPr>
          <w:rFonts w:ascii="Arial" w:hAnsi="Arial" w:cs="Arial"/>
          <w:b/>
          <w:sz w:val="24"/>
          <w:szCs w:val="24"/>
        </w:rPr>
        <w:t xml:space="preserve">Des infrastructures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L’existence d’infrastructures et d’équipements de qualité est indispensable pour la création et la diffusion des œuvres artistiques. Cependant, les efforts consentis par l’Etat en la matière demeurent faibles et le cadre infrastructurel problématique. En effet, mis à part les grands centres urbains comme Ouagadougou, Bobo-Dioulasso</w:t>
      </w:r>
      <w:r w:rsidR="007C2BCA">
        <w:rPr>
          <w:rFonts w:ascii="Arial" w:hAnsi="Arial" w:cs="Arial"/>
          <w:sz w:val="24"/>
          <w:szCs w:val="24"/>
        </w:rPr>
        <w:t>, Koudougou</w:t>
      </w:r>
      <w:r w:rsidRPr="009706A0">
        <w:rPr>
          <w:rFonts w:ascii="Arial" w:hAnsi="Arial" w:cs="Arial"/>
          <w:sz w:val="24"/>
          <w:szCs w:val="24"/>
        </w:rPr>
        <w:t xml:space="preserve"> et Ouahigouya qui disposent de salles adaptées à des productions de grande facture, les autres localités restent complètement démunies et les salles qu’on y rencontre sont désuètes et sous équipées. Selon les données disponibles, seulement 23,9% des salles répertoriées disposent d’un équipement technique en </w:t>
      </w:r>
      <w:r w:rsidRPr="009706A0">
        <w:rPr>
          <w:rFonts w:ascii="Arial" w:hAnsi="Arial" w:cs="Arial"/>
          <w:sz w:val="24"/>
          <w:szCs w:val="24"/>
        </w:rPr>
        <w:lastRenderedPageBreak/>
        <w:t>son et lumière. Moins du sixième de l’ensemble des salles recensées comme pouvant accueillir des specta</w:t>
      </w:r>
      <w:r w:rsidR="007C2BCA">
        <w:rPr>
          <w:rFonts w:ascii="Arial" w:hAnsi="Arial" w:cs="Arial"/>
          <w:sz w:val="24"/>
          <w:szCs w:val="24"/>
        </w:rPr>
        <w:t>cles a été effectivement conçu</w:t>
      </w:r>
      <w:r w:rsidRPr="009706A0">
        <w:rPr>
          <w:rFonts w:ascii="Arial" w:hAnsi="Arial" w:cs="Arial"/>
          <w:sz w:val="24"/>
          <w:szCs w:val="24"/>
        </w:rPr>
        <w:t xml:space="preserve"> à cet effet. Le reste est constitué de lieux transformés en salles d’exposition ou de spectacles pour pallier le manque d’infrastructures dans la plupart des différentes localités du pays</w:t>
      </w:r>
      <w:r w:rsidRPr="006811E8">
        <w:rPr>
          <w:vertAlign w:val="superscript"/>
        </w:rPr>
        <w:footnoteReference w:id="22"/>
      </w:r>
      <w:r w:rsidRPr="009706A0">
        <w:rPr>
          <w:rFonts w:ascii="Arial" w:hAnsi="Arial" w:cs="Arial"/>
          <w:sz w:val="24"/>
          <w:szCs w:val="24"/>
        </w:rPr>
        <w:t>.</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Quant au secteur de l’édition, il manque de maison digne de ce nom et est marqué par la présence de structures informelles et instables qui pénalisent la qualité des productions offertes sur le marché local. De nombreux ouvrages auto édités se retrouvent ainsi sur le marché (ouvrages souvent sans ISBN et sans copyright). La densité de production éditoriale reste relativement faible et les maisons d’édition publient en moyenne 5 ouvrages par an.</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Concernant l’imprimerie, la situation est mitigée. Elle est abandonnée aux opérateurs économiques privés qui se sont dotés d’équipements numériques peu adaptés surtout lorsqu’il s’agit d’ouvrages autres que les travaux de ville et l’impression de journaux. La finition du livre demande encore davantage de compétences et de programmes de formation adaptés pour les professionnels de ce secteur.</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 maillon de la librairie est, quant à lui, peu développé et de nombreuses boutiques portant l’enseigne de librairie sont en réalité des papeteries offrant des fournitures et quelques livres scolaires. Ce maillon connaît par ailleurs le phénomène des librairies par terre</w:t>
      </w:r>
      <w:r w:rsidRPr="006811E8">
        <w:rPr>
          <w:vertAlign w:val="superscript"/>
        </w:rPr>
        <w:footnoteReference w:id="23"/>
      </w:r>
      <w:r w:rsidRPr="009706A0">
        <w:rPr>
          <w:rFonts w:ascii="Arial" w:hAnsi="Arial" w:cs="Arial"/>
          <w:sz w:val="24"/>
          <w:szCs w:val="24"/>
        </w:rPr>
        <w:t>.</w:t>
      </w:r>
    </w:p>
    <w:p w:rsidR="00F246A8" w:rsidRDefault="00F246A8" w:rsidP="00F246A8">
      <w:pPr>
        <w:spacing w:after="0" w:line="360" w:lineRule="auto"/>
        <w:jc w:val="both"/>
        <w:rPr>
          <w:rFonts w:ascii="Arial" w:hAnsi="Arial" w:cs="Arial"/>
          <w:b/>
          <w:bCs/>
          <w:i/>
          <w:sz w:val="24"/>
          <w:szCs w:val="24"/>
        </w:rPr>
      </w:pPr>
    </w:p>
    <w:p w:rsidR="00F246A8" w:rsidRPr="00EC7D02" w:rsidRDefault="00F246A8" w:rsidP="00EC7D02">
      <w:pPr>
        <w:pStyle w:val="Paragraphedeliste"/>
        <w:numPr>
          <w:ilvl w:val="0"/>
          <w:numId w:val="6"/>
        </w:numPr>
        <w:spacing w:after="0" w:line="360" w:lineRule="auto"/>
        <w:rPr>
          <w:rFonts w:ascii="Arial" w:hAnsi="Arial" w:cs="Arial"/>
          <w:b/>
          <w:sz w:val="24"/>
          <w:szCs w:val="24"/>
        </w:rPr>
      </w:pPr>
      <w:r w:rsidRPr="00EC7D02">
        <w:rPr>
          <w:rFonts w:ascii="Arial" w:hAnsi="Arial" w:cs="Arial"/>
          <w:b/>
          <w:sz w:val="24"/>
          <w:szCs w:val="24"/>
        </w:rPr>
        <w:t>De l’accès aux activités culturelles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L’accès aux activités culturelles au Burkina Faso est fortement limité par  la pauvreté généralisée des populations dont environ 46% vivent en dessous du seuil de pauvreté. Dans les zones rurales où vivent près de 90% des populations, les activités culturelles demeurent un luxe et se mènent généralement lors des périodes sacrées et des évènements particuliers : fêtes traditionnelles, fêtes de nouvel an, rites coutumiers, etc. Ainsi,  la grande majorité de la population reste en marge de la vie culturelle au niveau national.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Dans les centres urbains et semi-urbains, les activités culturelles restent l’affaire des couches favorisées. Pour le reste des citoyens en quête de survie, il n’y </w:t>
      </w:r>
      <w:r w:rsidRPr="009706A0">
        <w:rPr>
          <w:rFonts w:ascii="Arial" w:hAnsi="Arial" w:cs="Arial"/>
          <w:sz w:val="24"/>
          <w:szCs w:val="24"/>
        </w:rPr>
        <w:lastRenderedPageBreak/>
        <w:t xml:space="preserve">a ni de temps ni de moyens à consacrer à la culture. Ainsi, les activités culturelles à accès payant rencontrent peu de succès en dépit du potentiel culturel et humain du pays.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En somme, contrairement aux mentions du rapport du gouvernement burkinabè, les concerts, le théâtre, le cinéma, les manifestations sportives et autres activités culturelles ne sont pas à la portée de toutes les couches sociales.</w:t>
      </w:r>
    </w:p>
    <w:p w:rsidR="00F246A8" w:rsidRPr="00D00EC0" w:rsidRDefault="00F246A8" w:rsidP="00EC7D02">
      <w:pPr>
        <w:pStyle w:val="Paragraphedeliste"/>
        <w:numPr>
          <w:ilvl w:val="0"/>
          <w:numId w:val="6"/>
        </w:numPr>
        <w:spacing w:after="0" w:line="360" w:lineRule="auto"/>
        <w:rPr>
          <w:rFonts w:ascii="Arial" w:hAnsi="Arial" w:cs="Arial"/>
          <w:b/>
          <w:sz w:val="24"/>
          <w:szCs w:val="24"/>
        </w:rPr>
      </w:pPr>
      <w:r w:rsidRPr="00D00EC0">
        <w:rPr>
          <w:rFonts w:ascii="Arial" w:hAnsi="Arial" w:cs="Arial"/>
          <w:b/>
          <w:sz w:val="24"/>
          <w:szCs w:val="24"/>
        </w:rPr>
        <w:t>Du bénéfice du progrès scientifique et de ses applications</w:t>
      </w:r>
    </w:p>
    <w:p w:rsidR="00F246A8" w:rsidRPr="009706A0" w:rsidRDefault="00F246A8" w:rsidP="00F246A8">
      <w:pPr>
        <w:pStyle w:val="Paragraphedeliste"/>
        <w:numPr>
          <w:ilvl w:val="0"/>
          <w:numId w:val="7"/>
        </w:numPr>
        <w:spacing w:after="0" w:line="360" w:lineRule="auto"/>
        <w:jc w:val="both"/>
        <w:rPr>
          <w:rFonts w:ascii="Arial" w:hAnsi="Arial" w:cs="Arial"/>
          <w:bCs/>
          <w:sz w:val="24"/>
          <w:szCs w:val="24"/>
        </w:rPr>
      </w:pPr>
      <w:r w:rsidRPr="009706A0">
        <w:rPr>
          <w:rFonts w:ascii="Arial" w:hAnsi="Arial" w:cs="Arial"/>
          <w:bCs/>
          <w:sz w:val="24"/>
          <w:szCs w:val="24"/>
        </w:rPr>
        <w:t>Au Burkina Faso, l’accès au patrimoine mondial de l’humanité est loin d’être satisfaisant. Le faible développement des nouvelles technologies de l’information dans le pays conjugué à leur coût élevé au regard de la faiblesse du pouvoir d’achat des populations ainsi qu’au taux élevé d’analphabétisme de celles-ci entravent sérieusement le bénéfice du progrès scientifique et de ses applications. En ce qui concerne particulièrement l’accès à internet, il convient de relever qu’il demeure extrêmement faible en ville et est pratiquement inconnu en milieu rural. A titre illustratif, au 31 décembre 2012, le pays comptait :</w:t>
      </w:r>
    </w:p>
    <w:p w:rsidR="00F246A8" w:rsidRPr="006811E8" w:rsidRDefault="00F246A8" w:rsidP="00F246A8">
      <w:pPr>
        <w:numPr>
          <w:ilvl w:val="0"/>
          <w:numId w:val="4"/>
        </w:numPr>
        <w:spacing w:after="0" w:line="360" w:lineRule="auto"/>
        <w:jc w:val="both"/>
        <w:rPr>
          <w:rFonts w:ascii="Arial" w:hAnsi="Arial" w:cs="Arial"/>
          <w:bCs/>
          <w:sz w:val="24"/>
          <w:szCs w:val="24"/>
        </w:rPr>
      </w:pPr>
      <w:r w:rsidRPr="006811E8">
        <w:rPr>
          <w:rFonts w:ascii="Arial" w:hAnsi="Arial" w:cs="Arial"/>
          <w:bCs/>
          <w:sz w:val="24"/>
          <w:szCs w:val="24"/>
        </w:rPr>
        <w:t>594 498 abonnés Internet, soit 3,54 % de la population totale estimée à 16 779 206 habitants à la même date ;</w:t>
      </w:r>
    </w:p>
    <w:p w:rsidR="00F246A8" w:rsidRPr="006811E8" w:rsidRDefault="00EC7D02" w:rsidP="00F246A8">
      <w:pPr>
        <w:numPr>
          <w:ilvl w:val="0"/>
          <w:numId w:val="4"/>
        </w:numPr>
        <w:spacing w:after="0" w:line="360" w:lineRule="auto"/>
        <w:jc w:val="both"/>
        <w:rPr>
          <w:rFonts w:ascii="Arial" w:hAnsi="Arial" w:cs="Arial"/>
          <w:bCs/>
          <w:sz w:val="24"/>
          <w:szCs w:val="24"/>
        </w:rPr>
      </w:pPr>
      <w:r>
        <w:rPr>
          <w:rFonts w:ascii="Arial" w:hAnsi="Arial" w:cs="Arial"/>
          <w:bCs/>
          <w:sz w:val="24"/>
          <w:szCs w:val="24"/>
        </w:rPr>
        <w:t xml:space="preserve">14 318 </w:t>
      </w:r>
      <w:r w:rsidR="00F246A8" w:rsidRPr="006811E8">
        <w:rPr>
          <w:rFonts w:ascii="Arial" w:hAnsi="Arial" w:cs="Arial"/>
          <w:bCs/>
          <w:sz w:val="24"/>
          <w:szCs w:val="24"/>
        </w:rPr>
        <w:t xml:space="preserve">abonnés Internet haut débit </w:t>
      </w:r>
      <w:r w:rsidR="00F246A8" w:rsidRPr="006811E8">
        <w:rPr>
          <w:rFonts w:ascii="Arial" w:hAnsi="Arial" w:cs="Arial"/>
          <w:bCs/>
          <w:sz w:val="24"/>
          <w:szCs w:val="24"/>
          <w:vertAlign w:val="superscript"/>
        </w:rPr>
        <w:footnoteReference w:id="24"/>
      </w:r>
      <w:r w:rsidR="00F246A8" w:rsidRPr="006811E8">
        <w:rPr>
          <w:rFonts w:ascii="Arial" w:hAnsi="Arial" w:cs="Arial"/>
          <w:bCs/>
          <w:sz w:val="24"/>
          <w:szCs w:val="24"/>
        </w:rPr>
        <w:t>;</w:t>
      </w:r>
    </w:p>
    <w:p w:rsidR="00F246A8" w:rsidRPr="006811E8" w:rsidRDefault="00F246A8" w:rsidP="00F246A8">
      <w:pPr>
        <w:numPr>
          <w:ilvl w:val="0"/>
          <w:numId w:val="4"/>
        </w:numPr>
        <w:spacing w:after="0" w:line="360" w:lineRule="auto"/>
        <w:jc w:val="both"/>
        <w:rPr>
          <w:rFonts w:ascii="Arial" w:hAnsi="Arial" w:cs="Arial"/>
          <w:bCs/>
          <w:sz w:val="24"/>
          <w:szCs w:val="24"/>
        </w:rPr>
      </w:pPr>
      <w:r w:rsidRPr="006811E8">
        <w:rPr>
          <w:rFonts w:ascii="Arial" w:hAnsi="Arial" w:cs="Arial"/>
          <w:bCs/>
          <w:sz w:val="24"/>
          <w:szCs w:val="24"/>
        </w:rPr>
        <w:t>Et seulement 10 serveurs internet sécurisés</w:t>
      </w:r>
      <w:r w:rsidRPr="006811E8">
        <w:rPr>
          <w:rFonts w:ascii="Arial" w:hAnsi="Arial" w:cs="Arial"/>
          <w:bCs/>
          <w:sz w:val="24"/>
          <w:szCs w:val="24"/>
          <w:vertAlign w:val="superscript"/>
        </w:rPr>
        <w:footnoteReference w:id="25"/>
      </w:r>
      <w:r w:rsidRPr="006811E8">
        <w:rPr>
          <w:rFonts w:ascii="Arial" w:hAnsi="Arial" w:cs="Arial"/>
          <w:bCs/>
          <w:sz w:val="24"/>
          <w:szCs w:val="24"/>
        </w:rPr>
        <w:t>.</w:t>
      </w:r>
    </w:p>
    <w:p w:rsidR="00F246A8" w:rsidRPr="009706A0" w:rsidRDefault="00F246A8" w:rsidP="00F246A8">
      <w:pPr>
        <w:pStyle w:val="Paragraphedeliste"/>
        <w:numPr>
          <w:ilvl w:val="0"/>
          <w:numId w:val="7"/>
        </w:numPr>
        <w:spacing w:after="0" w:line="360" w:lineRule="auto"/>
        <w:jc w:val="both"/>
        <w:rPr>
          <w:rFonts w:ascii="Arial" w:hAnsi="Arial" w:cs="Arial"/>
          <w:bCs/>
          <w:sz w:val="24"/>
          <w:szCs w:val="24"/>
        </w:rPr>
      </w:pPr>
      <w:r w:rsidRPr="009706A0">
        <w:rPr>
          <w:rFonts w:ascii="Arial" w:hAnsi="Arial" w:cs="Arial"/>
          <w:bCs/>
          <w:sz w:val="24"/>
          <w:szCs w:val="24"/>
        </w:rPr>
        <w:t>Aussi, bien d’administrations publiques ne sont pas encore dotées de connexion internet et celles qui en bénéficient souffrent de sa mauvaise qualité.</w:t>
      </w:r>
    </w:p>
    <w:p w:rsidR="00F246A8" w:rsidRPr="009706A0" w:rsidRDefault="00F246A8" w:rsidP="00F246A8">
      <w:pPr>
        <w:pStyle w:val="Paragraphedeliste"/>
        <w:numPr>
          <w:ilvl w:val="0"/>
          <w:numId w:val="7"/>
        </w:numPr>
        <w:spacing w:after="0" w:line="360" w:lineRule="auto"/>
        <w:jc w:val="both"/>
        <w:rPr>
          <w:rFonts w:ascii="Arial" w:hAnsi="Arial" w:cs="Arial"/>
          <w:bCs/>
          <w:sz w:val="24"/>
          <w:szCs w:val="24"/>
        </w:rPr>
      </w:pPr>
      <w:r w:rsidRPr="009706A0">
        <w:rPr>
          <w:rFonts w:ascii="Arial" w:hAnsi="Arial" w:cs="Arial"/>
          <w:bCs/>
          <w:sz w:val="24"/>
          <w:szCs w:val="24"/>
        </w:rPr>
        <w:t>Par ailleurs, de nombreuses localités du pays sont privées de radio et de télévision en raison de la faible couverture du territoire national par ces moyens de communication, y compris la radio et la télévision nationale</w:t>
      </w:r>
      <w:r w:rsidR="007C2BCA">
        <w:rPr>
          <w:rFonts w:ascii="Arial" w:hAnsi="Arial" w:cs="Arial"/>
          <w:bCs/>
          <w:sz w:val="24"/>
          <w:szCs w:val="24"/>
        </w:rPr>
        <w:t>s</w:t>
      </w:r>
      <w:r w:rsidRPr="009706A0">
        <w:rPr>
          <w:rFonts w:ascii="Arial" w:hAnsi="Arial" w:cs="Arial"/>
          <w:bCs/>
          <w:sz w:val="24"/>
          <w:szCs w:val="24"/>
        </w:rPr>
        <w:t xml:space="preserve"> du Burkina </w:t>
      </w:r>
    </w:p>
    <w:p w:rsidR="00F246A8" w:rsidRPr="00594BA2" w:rsidRDefault="00F246A8" w:rsidP="00594BA2">
      <w:pPr>
        <w:pStyle w:val="Paragraphedeliste"/>
        <w:numPr>
          <w:ilvl w:val="0"/>
          <w:numId w:val="6"/>
        </w:numPr>
        <w:spacing w:after="0" w:line="360" w:lineRule="auto"/>
        <w:rPr>
          <w:rFonts w:ascii="Arial" w:hAnsi="Arial" w:cs="Arial"/>
          <w:b/>
          <w:sz w:val="24"/>
          <w:szCs w:val="24"/>
        </w:rPr>
      </w:pPr>
      <w:r w:rsidRPr="00594BA2">
        <w:rPr>
          <w:rFonts w:ascii="Arial" w:hAnsi="Arial" w:cs="Arial"/>
          <w:b/>
          <w:sz w:val="24"/>
          <w:szCs w:val="24"/>
        </w:rPr>
        <w:t>De la participation des enfants à la vie culturelle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A l’image de leurs parents, peu d’enfants participent effectivement à la vie culturelle nationale. Les enfants participant aux colonies ou club de vacances et aux grandes manifestations culturelles sont constitués essentiellement  de ceux des cadres supérieurs de l’administration publique et privée ainsi que des hommes d’affaires. La grande majorité des enfants vivent donc en marge des activités culturelles formelles.</w:t>
      </w:r>
    </w:p>
    <w:p w:rsidR="00F246A8" w:rsidRPr="00594BA2" w:rsidRDefault="00F246A8" w:rsidP="00594BA2">
      <w:pPr>
        <w:pStyle w:val="Paragraphedeliste"/>
        <w:numPr>
          <w:ilvl w:val="0"/>
          <w:numId w:val="6"/>
        </w:numPr>
        <w:spacing w:after="0" w:line="360" w:lineRule="auto"/>
        <w:rPr>
          <w:rFonts w:ascii="Arial" w:hAnsi="Arial" w:cs="Arial"/>
          <w:b/>
          <w:sz w:val="24"/>
          <w:szCs w:val="24"/>
        </w:rPr>
      </w:pPr>
      <w:r w:rsidRPr="00594BA2">
        <w:rPr>
          <w:rFonts w:ascii="Arial" w:hAnsi="Arial" w:cs="Arial"/>
          <w:b/>
          <w:sz w:val="24"/>
          <w:szCs w:val="24"/>
        </w:rPr>
        <w:lastRenderedPageBreak/>
        <w:t>De la participation des personnes âgées et des personnes handicapées à la vie culturelle</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Si au plan juridique et institutionnel, des mécanismes et structures de promotion et de protection des droits des personnes handicapées et des personnes âgées existent, dans la réalité, il est à déplorer la faible implication de ces couches sociales dans la vie culturelle nationale. En effet, couramment appelées </w:t>
      </w:r>
      <w:r w:rsidRPr="00594BA2">
        <w:rPr>
          <w:rFonts w:ascii="Arial" w:hAnsi="Arial" w:cs="Arial"/>
          <w:sz w:val="24"/>
          <w:szCs w:val="24"/>
        </w:rPr>
        <w:t>gardiens des traditions</w:t>
      </w:r>
      <w:r w:rsidRPr="009706A0">
        <w:rPr>
          <w:rFonts w:ascii="Arial" w:hAnsi="Arial" w:cs="Arial"/>
          <w:b/>
          <w:sz w:val="24"/>
          <w:szCs w:val="24"/>
        </w:rPr>
        <w:t xml:space="preserve">, </w:t>
      </w:r>
      <w:r w:rsidRPr="009706A0">
        <w:rPr>
          <w:rFonts w:ascii="Arial" w:hAnsi="Arial" w:cs="Arial"/>
          <w:sz w:val="24"/>
          <w:szCs w:val="24"/>
        </w:rPr>
        <w:t>le rôle des personnes âgées se limitent essentiellement à la pratique des rites coutumiers particulièrement dans les zones rurales où ils ont cours.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Quant aux personnes handicapées, marginalisées pour la plupart du temps, leur participation à la vie culturelle n’est pas reluisante. L’Etat fait peu d’efforts en la matière sur le terrain. Laissant la question aux bonnes volontés privées. Ainsi, le 03 décembre 2014, à l’occasion de la célébration de la journée mondiale de la personne handicapée, sur le plan national aucune activité n’a été entreprise</w:t>
      </w:r>
      <w:r w:rsidR="007C2BCA">
        <w:rPr>
          <w:rFonts w:ascii="Arial" w:hAnsi="Arial" w:cs="Arial"/>
          <w:sz w:val="24"/>
          <w:szCs w:val="24"/>
        </w:rPr>
        <w:t xml:space="preserve"> par l’Etat</w:t>
      </w:r>
      <w:r w:rsidRPr="009706A0">
        <w:rPr>
          <w:rFonts w:ascii="Arial" w:hAnsi="Arial" w:cs="Arial"/>
          <w:sz w:val="24"/>
          <w:szCs w:val="24"/>
        </w:rPr>
        <w:t>. L’Union nationale des associations de femmes handicapées du Burkina Faso (UNAFEHB) qui n’a pas voulu rester en marge de ladite journée a organisé une série d’activités au nombre desquelles, une conférence de presse où elle a interpellé les décideurs et les dirigeants à prendre en compte la personne handicapée dans l’utilisation de des technologies, notamment à travers l’installation de logiciels adaptés à leur handicap, l’installation de systèmes de sonorisation, d’appareillage dans les salles lors des cérémonies, la mise en place d’une structure de formation publique au profit des personnes handicapées, les structures existantes étant toutes des privées que l’Etat accompagne. Pour les membres de l’Union, la situation de la femme handicapée est marquée par une discrimination fondée sur le sexe et le handicap, et est ressentie sur de nombreux plans : famille, société, éducation, santé, formation professionnelle, emploi</w:t>
      </w:r>
      <w:r w:rsidRPr="006811E8">
        <w:rPr>
          <w:vertAlign w:val="superscript"/>
        </w:rPr>
        <w:footnoteReference w:id="26"/>
      </w:r>
      <w:r w:rsidRPr="009706A0">
        <w:rPr>
          <w:rFonts w:ascii="Arial" w:hAnsi="Arial" w:cs="Arial"/>
          <w:sz w:val="24"/>
          <w:szCs w:val="24"/>
        </w:rPr>
        <w:t xml:space="preserve">. </w:t>
      </w:r>
    </w:p>
    <w:p w:rsidR="00F246A8" w:rsidRPr="00594BA2" w:rsidRDefault="00F246A8" w:rsidP="00594BA2">
      <w:pPr>
        <w:pStyle w:val="Paragraphedeliste"/>
        <w:numPr>
          <w:ilvl w:val="0"/>
          <w:numId w:val="6"/>
        </w:numPr>
        <w:spacing w:after="0" w:line="360" w:lineRule="auto"/>
        <w:rPr>
          <w:rFonts w:ascii="Arial" w:hAnsi="Arial" w:cs="Arial"/>
          <w:b/>
          <w:sz w:val="24"/>
          <w:szCs w:val="24"/>
        </w:rPr>
      </w:pPr>
      <w:r w:rsidRPr="00594BA2">
        <w:rPr>
          <w:rFonts w:ascii="Arial" w:hAnsi="Arial" w:cs="Arial"/>
          <w:b/>
          <w:sz w:val="24"/>
          <w:szCs w:val="24"/>
        </w:rPr>
        <w:t>De la promotion et la protection du patrimoine culturel</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 xml:space="preserve">Le Burkina Faso dispose d’un environnement juridique et institutionnel assez favorable à la promotion et la protection de son patrimoine culturel. Si effectivement, comme le relève le gouvernement dans son rapport, la cohabitation d’une action culturelle publique à caractère étatique et des initiatives privées a fait éclore des manifestations culturelles qui, aujourd’hui, figurent parmi les plus importantes et les </w:t>
      </w:r>
      <w:r w:rsidRPr="009706A0">
        <w:rPr>
          <w:rFonts w:ascii="Arial" w:hAnsi="Arial" w:cs="Arial"/>
          <w:sz w:val="24"/>
          <w:szCs w:val="24"/>
        </w:rPr>
        <w:lastRenderedPageBreak/>
        <w:t xml:space="preserve">plus reconnues du continent africain, il n’en demeure pas moins que de nombreuses insuffisances  restent à relever. </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La plupart des structures culturelles nationales ne développent leurs actions que vers les acteurs culturels vivant dans les centres urbains et semi urbains. De nombreux artistes et artisans vivant dans les zones rurales, notamment les femmes, ne sont généralement pas pris en compte, ou de façon isolée, par manque de moyens financiers et techniques. Il convient de signaler également qu’il existe très peu d’agences nationales privées de production culturelle au Burkina Faso. La difficulté d’accès au crédit bancaire pour financer les projets culturels bloque l’émergence d’un corps de promoteurs privés aptes à détecter et à lancer de jeunes talents. La majorité des opérateurs privés culturels, les artistes, et les artisans n’ont pas toujours accès aux ressources nécessaires et surtout au crédit. Malgré sa richesse culturelle reconnue, le secteur de la culture burkinabè reste toujours un domaine difficile à gérer et à rentabiliser. En effet les nombreuses productions artistiques et les nombreux festivals à travers le pays ne drainent toujours pas assez de touristes au Burkina Faso. Le patrimoine culturel burkinabè est mal connu par les burkinabè et par les autres peuples. Il y a une faible corrélation entre les filières culturelles et le tourisme. En outre, le manque de coordination au niveau local et national conduit à un manque de capitalisation des expériences et de prise en compte des expertises nationales</w:t>
      </w:r>
      <w:r w:rsidRPr="006811E8">
        <w:rPr>
          <w:vertAlign w:val="superscript"/>
        </w:rPr>
        <w:footnoteReference w:id="27"/>
      </w:r>
      <w:r w:rsidRPr="009706A0">
        <w:rPr>
          <w:rFonts w:ascii="Arial" w:hAnsi="Arial" w:cs="Arial"/>
          <w:sz w:val="24"/>
          <w:szCs w:val="24"/>
        </w:rPr>
        <w:t>. Si l’on ajoute à cela le manque de documentation sur les initiatives culturelles et la faiblesse des évaluations des actions menées, on peut affirmer que la culture burkinabè est confrontée aux difficultés non exhaustives suivantes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 faiblesse des ressources humaines, matérielles et financières allouées jusqu’à présent au secteur de la culture. En effet, le budget du Ministère de la culture représente environ 0,3% du budget national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Le manque criard d’infrastructures culturelles de qualité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 faible déconcentration de l’administration culturelle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 faible prise en compte de la culture dans la politique de développement social et économique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 faible connaissance et la faible maîtrise de l’économie de la culture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 protection insuffisante des sites culturels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lastRenderedPageBreak/>
        <w:t xml:space="preserve">La faible vulgarisation des technologies de l’information et de la communication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L’absence d’une véritable politique de popularisation des activités culturelles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L’inaccessibilité de la majorité des populations aux activités culturelles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 L’absence de statut professionnel et de protection sociale au profit des artistes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 faiblesse de l’offre de formation et d’éducation ainsi que la recherche en matière culturelle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 xml:space="preserve">L’absence d’une politique d’incitation à la consommation des produits culturels nationaux ;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L’absence de mesures fiscales incitatives aux investissements culturels ;</w:t>
      </w:r>
    </w:p>
    <w:p w:rsidR="00F246A8" w:rsidRPr="006811E8" w:rsidRDefault="00F246A8" w:rsidP="00F246A8">
      <w:pPr>
        <w:numPr>
          <w:ilvl w:val="0"/>
          <w:numId w:val="4"/>
        </w:numPr>
        <w:spacing w:after="0" w:line="360" w:lineRule="auto"/>
        <w:jc w:val="both"/>
        <w:rPr>
          <w:rFonts w:ascii="Arial" w:hAnsi="Arial" w:cs="Arial"/>
          <w:sz w:val="24"/>
          <w:szCs w:val="24"/>
        </w:rPr>
      </w:pPr>
      <w:r w:rsidRPr="006811E8">
        <w:rPr>
          <w:rFonts w:ascii="Arial" w:hAnsi="Arial" w:cs="Arial"/>
          <w:sz w:val="24"/>
          <w:szCs w:val="24"/>
        </w:rPr>
        <w:t>Etc.</w:t>
      </w:r>
    </w:p>
    <w:p w:rsidR="00F246A8" w:rsidRPr="00594BA2" w:rsidRDefault="00F246A8" w:rsidP="00594BA2">
      <w:pPr>
        <w:pStyle w:val="Paragraphedeliste"/>
        <w:numPr>
          <w:ilvl w:val="0"/>
          <w:numId w:val="6"/>
        </w:numPr>
        <w:spacing w:after="0" w:line="360" w:lineRule="auto"/>
        <w:rPr>
          <w:rFonts w:ascii="Arial" w:hAnsi="Arial" w:cs="Arial"/>
          <w:b/>
          <w:sz w:val="24"/>
          <w:szCs w:val="24"/>
        </w:rPr>
      </w:pPr>
      <w:r w:rsidRPr="00594BA2">
        <w:rPr>
          <w:rFonts w:ascii="Arial" w:hAnsi="Arial" w:cs="Arial"/>
          <w:b/>
          <w:sz w:val="24"/>
          <w:szCs w:val="24"/>
        </w:rPr>
        <w:t>De l’enseignement scolaire et professionnel dans le domaine culturel</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Les programmes d’enseignement au Burkina Faso valorisent peu les cultures locales. Ainsi, en l’absence de curricula spécifiques à la culture dans l’enseignement classique, les élèves sont abandonnés à eux-mêmes en la matière ou au meilleur des cas aux convictions culturelles de certains enseignants qui les encadrent en dehors des heures règlementaires de classe dans certains domaines tels le théâtre, la musique, la danse, etc.</w:t>
      </w:r>
    </w:p>
    <w:p w:rsidR="00F246A8" w:rsidRPr="009706A0" w:rsidRDefault="00F246A8" w:rsidP="00F246A8">
      <w:pPr>
        <w:pStyle w:val="Paragraphedeliste"/>
        <w:numPr>
          <w:ilvl w:val="0"/>
          <w:numId w:val="7"/>
        </w:numPr>
        <w:spacing w:after="0" w:line="360" w:lineRule="auto"/>
        <w:jc w:val="both"/>
        <w:rPr>
          <w:rFonts w:ascii="Arial" w:hAnsi="Arial" w:cs="Arial"/>
          <w:b/>
          <w:sz w:val="24"/>
          <w:szCs w:val="24"/>
        </w:rPr>
      </w:pPr>
      <w:r w:rsidRPr="009706A0">
        <w:rPr>
          <w:rFonts w:ascii="Arial" w:hAnsi="Arial" w:cs="Arial"/>
          <w:sz w:val="24"/>
          <w:szCs w:val="24"/>
        </w:rPr>
        <w:t xml:space="preserve">Quant aux centres de formation spécialisés dans les arts culturels, ils sont très peu nombreux et se concentrent dans les deux plus grandes villes du pays que sont Ouagadougou et Bobo-Dioulasso. </w:t>
      </w:r>
    </w:p>
    <w:p w:rsidR="00F246A8" w:rsidRPr="00594BA2" w:rsidRDefault="00F246A8" w:rsidP="00594BA2">
      <w:pPr>
        <w:pStyle w:val="Paragraphedeliste"/>
        <w:numPr>
          <w:ilvl w:val="0"/>
          <w:numId w:val="6"/>
        </w:numPr>
        <w:spacing w:after="0" w:line="360" w:lineRule="auto"/>
        <w:rPr>
          <w:rFonts w:ascii="Arial" w:hAnsi="Arial" w:cs="Arial"/>
          <w:b/>
          <w:sz w:val="24"/>
          <w:szCs w:val="24"/>
        </w:rPr>
      </w:pPr>
      <w:r w:rsidRPr="00594BA2">
        <w:rPr>
          <w:rFonts w:ascii="Arial" w:hAnsi="Arial" w:cs="Arial"/>
          <w:b/>
          <w:sz w:val="24"/>
          <w:szCs w:val="24"/>
        </w:rPr>
        <w:t>De la protection des intérêts moraux et matériels des créateurs</w:t>
      </w:r>
    </w:p>
    <w:p w:rsidR="00F246A8" w:rsidRPr="009706A0" w:rsidRDefault="00F246A8" w:rsidP="00F246A8">
      <w:pPr>
        <w:pStyle w:val="Paragraphedeliste"/>
        <w:numPr>
          <w:ilvl w:val="0"/>
          <w:numId w:val="7"/>
        </w:numPr>
        <w:spacing w:after="0" w:line="360" w:lineRule="auto"/>
        <w:jc w:val="both"/>
        <w:rPr>
          <w:rFonts w:ascii="Arial" w:hAnsi="Arial" w:cs="Arial"/>
          <w:sz w:val="24"/>
          <w:szCs w:val="24"/>
        </w:rPr>
      </w:pPr>
      <w:r w:rsidRPr="009706A0">
        <w:rPr>
          <w:rFonts w:ascii="Arial" w:hAnsi="Arial" w:cs="Arial"/>
          <w:sz w:val="24"/>
          <w:szCs w:val="24"/>
        </w:rPr>
        <w:t>Dans le domaine de la protection des intérêts moraux et matériels des créateurs, l’Etat fait preuve d’impuissance. Laissant alors les auteurs des œuvres scientifiques, culturelles et artistiques à la merci des fraudeurs et de la misère. En effet, en dépit de l’existence de normes juridiques  protectrices de la propriété littéraire et artistique et du Bureau Burkinabé du Droit d'Auteur ainsi que des structures classiques de lutte contre la fraude, les intérêts moraux et matériels des créateurs sont mis à mal par la piraterie, la contrefaçon, la fraude et la concurrence déloyale. A titre illustratif, cette fraude représe</w:t>
      </w:r>
      <w:r w:rsidR="00EE3DE7">
        <w:rPr>
          <w:rFonts w:ascii="Arial" w:hAnsi="Arial" w:cs="Arial"/>
          <w:sz w:val="24"/>
          <w:szCs w:val="24"/>
        </w:rPr>
        <w:t>nte plus de 80% du marché des cassettes</w:t>
      </w:r>
      <w:r w:rsidRPr="009706A0">
        <w:rPr>
          <w:rFonts w:ascii="Arial" w:hAnsi="Arial" w:cs="Arial"/>
          <w:sz w:val="24"/>
          <w:szCs w:val="24"/>
        </w:rPr>
        <w:t xml:space="preserve"> et 90% du marché de CD et films DVD</w:t>
      </w:r>
      <w:r w:rsidRPr="006811E8">
        <w:rPr>
          <w:vertAlign w:val="superscript"/>
        </w:rPr>
        <w:footnoteReference w:id="28"/>
      </w:r>
      <w:r w:rsidRPr="009706A0">
        <w:rPr>
          <w:rFonts w:ascii="Arial" w:hAnsi="Arial" w:cs="Arial"/>
          <w:sz w:val="24"/>
          <w:szCs w:val="24"/>
        </w:rPr>
        <w:t>. Par ailleurs, de nombreux biens culturels sont l’objet de pillage dans les zones rurales.</w:t>
      </w:r>
    </w:p>
    <w:p w:rsidR="00462230" w:rsidRDefault="00462230" w:rsidP="00F246A8">
      <w:pPr>
        <w:spacing w:after="0" w:line="360" w:lineRule="auto"/>
        <w:jc w:val="both"/>
        <w:rPr>
          <w:rFonts w:ascii="Arial" w:hAnsi="Arial" w:cs="Arial"/>
          <w:b/>
          <w:sz w:val="24"/>
          <w:szCs w:val="24"/>
        </w:rPr>
      </w:pPr>
    </w:p>
    <w:p w:rsidR="00F246A8" w:rsidRDefault="00F246A8" w:rsidP="00F246A8">
      <w:pPr>
        <w:spacing w:after="0" w:line="360" w:lineRule="auto"/>
        <w:jc w:val="both"/>
        <w:rPr>
          <w:rFonts w:ascii="Arial" w:hAnsi="Arial" w:cs="Arial"/>
          <w:b/>
          <w:sz w:val="24"/>
          <w:szCs w:val="24"/>
        </w:rPr>
      </w:pPr>
      <w:r w:rsidRPr="009706A0">
        <w:rPr>
          <w:rFonts w:ascii="Arial" w:hAnsi="Arial" w:cs="Arial"/>
          <w:b/>
          <w:sz w:val="24"/>
          <w:szCs w:val="24"/>
        </w:rPr>
        <w:lastRenderedPageBreak/>
        <w:t>QUATRIEME PARTIE : RECOMMANDATIONS</w:t>
      </w:r>
    </w:p>
    <w:p w:rsidR="00462230" w:rsidRDefault="00462230" w:rsidP="00F246A8">
      <w:pPr>
        <w:spacing w:after="0" w:line="360" w:lineRule="auto"/>
        <w:jc w:val="both"/>
        <w:rPr>
          <w:rFonts w:ascii="Arial" w:hAnsi="Arial" w:cs="Arial"/>
          <w:b/>
          <w:sz w:val="24"/>
          <w:szCs w:val="24"/>
        </w:rPr>
      </w:pPr>
    </w:p>
    <w:p w:rsidR="00F246A8" w:rsidRPr="00462230" w:rsidRDefault="00F246A8" w:rsidP="00F246A8">
      <w:pPr>
        <w:pStyle w:val="Paragraphedeliste"/>
        <w:numPr>
          <w:ilvl w:val="0"/>
          <w:numId w:val="7"/>
        </w:numPr>
        <w:spacing w:after="0" w:line="360" w:lineRule="auto"/>
        <w:jc w:val="both"/>
        <w:rPr>
          <w:rFonts w:ascii="Arial" w:hAnsi="Arial" w:cs="Arial"/>
          <w:sz w:val="24"/>
          <w:szCs w:val="24"/>
        </w:rPr>
      </w:pPr>
      <w:r w:rsidRPr="00462230">
        <w:rPr>
          <w:rFonts w:ascii="Arial" w:hAnsi="Arial" w:cs="Arial"/>
          <w:sz w:val="24"/>
          <w:szCs w:val="24"/>
        </w:rPr>
        <w:t>Au bénéfice de tous les précédents constats, le MBDHP sollicite du Comité qu’il prenne les éléments qui suivent dans ses</w:t>
      </w:r>
      <w:r w:rsidRPr="00462230">
        <w:rPr>
          <w:rFonts w:ascii="Arial" w:eastAsia="SimSun" w:hAnsi="Arial" w:cs="Arial"/>
          <w:color w:val="000000"/>
          <w:sz w:val="24"/>
          <w:szCs w:val="24"/>
          <w:lang w:val="fr-CH" w:eastAsia="zh-CN"/>
        </w:rPr>
        <w:t xml:space="preserve"> observations finales</w:t>
      </w:r>
      <w:r w:rsidR="00F35EA3">
        <w:rPr>
          <w:rFonts w:ascii="Arial" w:eastAsia="SimSun" w:hAnsi="Arial" w:cs="Arial"/>
          <w:color w:val="000000"/>
          <w:sz w:val="24"/>
          <w:szCs w:val="24"/>
          <w:lang w:val="fr-CH" w:eastAsia="zh-CN"/>
        </w:rPr>
        <w:t xml:space="preserve"> à l’issue de l’examen du rapport de l’Etat du Burkina Faso</w:t>
      </w:r>
      <w:r w:rsidRPr="00462230">
        <w:rPr>
          <w:rFonts w:ascii="Arial" w:eastAsia="SimSun" w:hAnsi="Arial" w:cs="Arial"/>
          <w:color w:val="000000"/>
          <w:sz w:val="24"/>
          <w:szCs w:val="24"/>
          <w:lang w:val="fr-CH" w:eastAsia="zh-CN"/>
        </w:rPr>
        <w:t>.</w:t>
      </w:r>
    </w:p>
    <w:p w:rsidR="00F246A8" w:rsidRPr="00462230" w:rsidRDefault="00F246A8" w:rsidP="00F246A8">
      <w:pPr>
        <w:pStyle w:val="Paragraphedeliste"/>
        <w:numPr>
          <w:ilvl w:val="0"/>
          <w:numId w:val="7"/>
        </w:numPr>
        <w:spacing w:after="0" w:line="360" w:lineRule="auto"/>
        <w:jc w:val="both"/>
        <w:rPr>
          <w:rFonts w:ascii="Arial" w:hAnsi="Arial" w:cs="Arial"/>
          <w:sz w:val="24"/>
          <w:szCs w:val="24"/>
        </w:rPr>
      </w:pPr>
      <w:r w:rsidRPr="00462230">
        <w:rPr>
          <w:rFonts w:ascii="Arial" w:hAnsi="Arial" w:cs="Arial"/>
          <w:sz w:val="24"/>
          <w:szCs w:val="24"/>
        </w:rPr>
        <w:t>Il s’agit </w:t>
      </w:r>
      <w:r w:rsidR="00BA3F2E">
        <w:rPr>
          <w:rFonts w:ascii="Arial" w:hAnsi="Arial" w:cs="Arial"/>
          <w:sz w:val="24"/>
          <w:szCs w:val="24"/>
        </w:rPr>
        <w:t xml:space="preserve">de </w:t>
      </w:r>
      <w:r w:rsidRPr="00462230">
        <w:rPr>
          <w:rFonts w:ascii="Arial" w:hAnsi="Arial" w:cs="Arial"/>
          <w:sz w:val="24"/>
          <w:szCs w:val="24"/>
        </w:rPr>
        <w:t>:</w:t>
      </w:r>
    </w:p>
    <w:p w:rsidR="00F246A8" w:rsidRPr="00462230" w:rsidRDefault="00F246A8" w:rsidP="00F246A8">
      <w:pPr>
        <w:pStyle w:val="Paragraphedeliste"/>
        <w:numPr>
          <w:ilvl w:val="0"/>
          <w:numId w:val="10"/>
        </w:numPr>
        <w:spacing w:after="0" w:line="360" w:lineRule="auto"/>
        <w:jc w:val="both"/>
        <w:rPr>
          <w:rFonts w:ascii="Arial" w:hAnsi="Arial" w:cs="Arial"/>
          <w:sz w:val="24"/>
          <w:szCs w:val="24"/>
        </w:rPr>
      </w:pPr>
      <w:r w:rsidRPr="00462230">
        <w:rPr>
          <w:rFonts w:ascii="Arial" w:hAnsi="Arial" w:cs="Arial"/>
          <w:sz w:val="24"/>
          <w:szCs w:val="24"/>
        </w:rPr>
        <w:t>la ratification du protocole facultatif</w:t>
      </w:r>
      <w:r w:rsidR="00462230">
        <w:rPr>
          <w:rFonts w:ascii="Arial" w:hAnsi="Arial" w:cs="Arial"/>
          <w:sz w:val="24"/>
          <w:szCs w:val="24"/>
        </w:rPr>
        <w:t xml:space="preserve"> au Pacte international relatif aux droits économiques, sociaux et culturels</w:t>
      </w:r>
      <w:r w:rsidRPr="00462230">
        <w:rPr>
          <w:rFonts w:ascii="Arial" w:hAnsi="Arial" w:cs="Arial"/>
          <w:sz w:val="24"/>
          <w:szCs w:val="24"/>
        </w:rPr>
        <w:t> ;</w:t>
      </w:r>
    </w:p>
    <w:p w:rsidR="00F246A8" w:rsidRPr="00462230" w:rsidRDefault="00F246A8" w:rsidP="00F246A8">
      <w:pPr>
        <w:pStyle w:val="Paragraphedeliste"/>
        <w:numPr>
          <w:ilvl w:val="0"/>
          <w:numId w:val="10"/>
        </w:numPr>
        <w:spacing w:after="0" w:line="360" w:lineRule="auto"/>
        <w:jc w:val="both"/>
        <w:rPr>
          <w:rFonts w:ascii="Arial" w:hAnsi="Arial" w:cs="Arial"/>
          <w:sz w:val="24"/>
          <w:szCs w:val="24"/>
        </w:rPr>
      </w:pPr>
      <w:r w:rsidRPr="00462230">
        <w:rPr>
          <w:rFonts w:ascii="Arial" w:hAnsi="Arial" w:cs="Arial"/>
          <w:sz w:val="24"/>
          <w:szCs w:val="24"/>
        </w:rPr>
        <w:t xml:space="preserve"> la relecture du code du travail</w:t>
      </w:r>
      <w:r w:rsidR="00462230">
        <w:rPr>
          <w:rFonts w:ascii="Arial" w:hAnsi="Arial" w:cs="Arial"/>
          <w:sz w:val="24"/>
          <w:szCs w:val="24"/>
        </w:rPr>
        <w:t xml:space="preserve"> et de la loi sur les forces armées nationales en leurs dispositions attentatoire</w:t>
      </w:r>
      <w:r w:rsidR="00BA3F2E">
        <w:rPr>
          <w:rFonts w:ascii="Arial" w:hAnsi="Arial" w:cs="Arial"/>
          <w:sz w:val="24"/>
          <w:szCs w:val="24"/>
        </w:rPr>
        <w:t>s</w:t>
      </w:r>
      <w:r w:rsidR="00462230">
        <w:rPr>
          <w:rFonts w:ascii="Arial" w:hAnsi="Arial" w:cs="Arial"/>
          <w:sz w:val="24"/>
          <w:szCs w:val="24"/>
        </w:rPr>
        <w:t xml:space="preserve"> au droit au travail</w:t>
      </w:r>
      <w:r w:rsidRPr="00462230">
        <w:rPr>
          <w:rFonts w:ascii="Arial" w:hAnsi="Arial" w:cs="Arial"/>
          <w:sz w:val="24"/>
          <w:szCs w:val="24"/>
        </w:rPr>
        <w:t> ;</w:t>
      </w:r>
    </w:p>
    <w:p w:rsidR="00F246A8" w:rsidRPr="00462230" w:rsidRDefault="00F246A8" w:rsidP="00F246A8">
      <w:pPr>
        <w:pStyle w:val="Paragraphedeliste"/>
        <w:numPr>
          <w:ilvl w:val="0"/>
          <w:numId w:val="10"/>
        </w:numPr>
        <w:spacing w:after="0" w:line="360" w:lineRule="auto"/>
        <w:jc w:val="both"/>
        <w:rPr>
          <w:rFonts w:ascii="Arial" w:hAnsi="Arial" w:cs="Arial"/>
          <w:sz w:val="24"/>
          <w:szCs w:val="24"/>
        </w:rPr>
      </w:pPr>
      <w:r w:rsidRPr="00462230">
        <w:rPr>
          <w:rFonts w:ascii="Arial" w:hAnsi="Arial" w:cs="Arial"/>
          <w:sz w:val="24"/>
          <w:szCs w:val="24"/>
        </w:rPr>
        <w:t>l’augmentation de la part de l’éducation et de la santé dans le budget national ;</w:t>
      </w:r>
    </w:p>
    <w:p w:rsidR="00F246A8" w:rsidRPr="00462230" w:rsidRDefault="00F246A8" w:rsidP="00F246A8">
      <w:pPr>
        <w:pStyle w:val="Paragraphedeliste"/>
        <w:numPr>
          <w:ilvl w:val="0"/>
          <w:numId w:val="10"/>
        </w:numPr>
        <w:spacing w:after="0" w:line="360" w:lineRule="auto"/>
        <w:jc w:val="both"/>
        <w:rPr>
          <w:rFonts w:ascii="Arial" w:hAnsi="Arial" w:cs="Arial"/>
          <w:sz w:val="24"/>
          <w:szCs w:val="24"/>
        </w:rPr>
      </w:pPr>
      <w:r w:rsidRPr="00462230">
        <w:rPr>
          <w:rFonts w:ascii="Arial" w:hAnsi="Arial" w:cs="Arial"/>
          <w:sz w:val="24"/>
          <w:szCs w:val="24"/>
        </w:rPr>
        <w:t>l’effectivité du transfert des ressources financières aux collectivités locales</w:t>
      </w:r>
      <w:r w:rsidR="006533B8">
        <w:rPr>
          <w:rFonts w:ascii="Arial" w:hAnsi="Arial" w:cs="Arial"/>
          <w:sz w:val="24"/>
          <w:szCs w:val="24"/>
        </w:rPr>
        <w:t>.</w:t>
      </w:r>
    </w:p>
    <w:p w:rsidR="008A4122" w:rsidRDefault="008A4122"/>
    <w:sectPr w:rsidR="008A4122" w:rsidSect="003268D9">
      <w:footerReference w:type="default" r:id="rId9"/>
      <w:pgSz w:w="11906" w:h="16838"/>
      <w:pgMar w:top="1417" w:right="70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7AF" w:rsidRDefault="007217AF" w:rsidP="00F246A8">
      <w:pPr>
        <w:spacing w:after="0" w:line="240" w:lineRule="auto"/>
      </w:pPr>
      <w:r>
        <w:separator/>
      </w:r>
    </w:p>
  </w:endnote>
  <w:endnote w:type="continuationSeparator" w:id="0">
    <w:p w:rsidR="007217AF" w:rsidRDefault="007217AF" w:rsidP="00F24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536744"/>
      <w:docPartObj>
        <w:docPartGallery w:val="Page Numbers (Bottom of Page)"/>
        <w:docPartUnique/>
      </w:docPartObj>
    </w:sdtPr>
    <w:sdtEndPr/>
    <w:sdtContent>
      <w:p w:rsidR="00EC2214" w:rsidRDefault="00EC2214">
        <w:pPr>
          <w:pStyle w:val="Pieddepage"/>
          <w:jc w:val="right"/>
        </w:pPr>
        <w:r>
          <w:fldChar w:fldCharType="begin"/>
        </w:r>
        <w:r>
          <w:instrText>PAGE   \* MERGEFORMAT</w:instrText>
        </w:r>
        <w:r>
          <w:fldChar w:fldCharType="separate"/>
        </w:r>
        <w:r w:rsidR="00E3600D">
          <w:rPr>
            <w:noProof/>
          </w:rPr>
          <w:t>22</w:t>
        </w:r>
        <w:r>
          <w:fldChar w:fldCharType="end"/>
        </w:r>
      </w:p>
    </w:sdtContent>
  </w:sdt>
  <w:p w:rsidR="00EC2214" w:rsidRDefault="00EC221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7AF" w:rsidRDefault="007217AF" w:rsidP="00F246A8">
      <w:pPr>
        <w:spacing w:after="0" w:line="240" w:lineRule="auto"/>
      </w:pPr>
      <w:r>
        <w:separator/>
      </w:r>
    </w:p>
  </w:footnote>
  <w:footnote w:type="continuationSeparator" w:id="0">
    <w:p w:rsidR="007217AF" w:rsidRDefault="007217AF" w:rsidP="00F246A8">
      <w:pPr>
        <w:spacing w:after="0" w:line="240" w:lineRule="auto"/>
      </w:pPr>
      <w:r>
        <w:continuationSeparator/>
      </w:r>
    </w:p>
  </w:footnote>
  <w:footnote w:id="1">
    <w:p w:rsidR="00EC2214" w:rsidRDefault="00EC2214" w:rsidP="00F246A8">
      <w:pPr>
        <w:pStyle w:val="Notedebasdepage"/>
      </w:pPr>
      <w:r>
        <w:rPr>
          <w:rStyle w:val="Appelnotedebasdep"/>
        </w:rPr>
        <w:footnoteRef/>
      </w:r>
      <w:r>
        <w:t xml:space="preserve"> UNFPA BURKINA FASO, Santé de la reproduction, 20/01/2014</w:t>
      </w:r>
    </w:p>
  </w:footnote>
  <w:footnote w:id="2">
    <w:p w:rsidR="00EC2214" w:rsidRDefault="00EC2214" w:rsidP="00F246A8">
      <w:pPr>
        <w:pStyle w:val="Notedebasdepage"/>
      </w:pPr>
      <w:r>
        <w:rPr>
          <w:rStyle w:val="Appelnotedebasdep"/>
        </w:rPr>
        <w:footnoteRef/>
      </w:r>
      <w:r>
        <w:t xml:space="preserve"> V. Sidwaya Quotidien du 29 octobre 2014</w:t>
      </w:r>
    </w:p>
  </w:footnote>
  <w:footnote w:id="3">
    <w:p w:rsidR="00EC2214" w:rsidRDefault="00EC2214" w:rsidP="00F246A8">
      <w:pPr>
        <w:pStyle w:val="Notedebasdepage"/>
      </w:pPr>
      <w:r>
        <w:rPr>
          <w:rStyle w:val="Appelnotedebasdep"/>
        </w:rPr>
        <w:footnoteRef/>
      </w:r>
      <w:r>
        <w:t xml:space="preserve"> V. </w:t>
      </w:r>
      <w:r w:rsidRPr="00D37A70">
        <w:t>Évaluation conjointe du Programme conjoint UNFPA-UNICEF sur les mutilations géni</w:t>
      </w:r>
      <w:r>
        <w:t xml:space="preserve">tales féminines/excision : </w:t>
      </w:r>
      <w:r w:rsidRPr="00D37A70">
        <w:t>Accélé</w:t>
      </w:r>
      <w:r>
        <w:t>rer le changement (2008-2012, Mai 2013</w:t>
      </w:r>
    </w:p>
  </w:footnote>
  <w:footnote w:id="4">
    <w:p w:rsidR="00EC2214" w:rsidRDefault="00EC2214" w:rsidP="00F246A8">
      <w:pPr>
        <w:pStyle w:val="Notedebasdepage"/>
      </w:pPr>
      <w:r>
        <w:rPr>
          <w:rStyle w:val="Appelnotedebasdep"/>
        </w:rPr>
        <w:footnoteRef/>
      </w:r>
      <w:r>
        <w:t xml:space="preserve"> Lefaso.net, 24 octobre 2014</w:t>
      </w:r>
    </w:p>
  </w:footnote>
  <w:footnote w:id="5">
    <w:p w:rsidR="00EC2214" w:rsidRDefault="00EC2214" w:rsidP="00F246A8">
      <w:pPr>
        <w:pStyle w:val="Notedebasdepage"/>
      </w:pPr>
      <w:r>
        <w:rPr>
          <w:rStyle w:val="Appelnotedebasdep"/>
        </w:rPr>
        <w:footnoteRef/>
      </w:r>
      <w:r>
        <w:t xml:space="preserve"> Conférence de presse de la Compagnie de Gendarmerie du Kadiogo, 10 janvier 2015</w:t>
      </w:r>
    </w:p>
  </w:footnote>
  <w:footnote w:id="6">
    <w:p w:rsidR="00EC2214" w:rsidRDefault="00EC2214" w:rsidP="00F246A8">
      <w:pPr>
        <w:pStyle w:val="Notedebasdepage"/>
      </w:pPr>
      <w:r>
        <w:rPr>
          <w:rStyle w:val="Appelnotedebasdep"/>
        </w:rPr>
        <w:footnoteRef/>
      </w:r>
      <w:r>
        <w:t xml:space="preserve"> </w:t>
      </w:r>
      <w:r w:rsidRPr="00161CC7">
        <w:t>Rapport 2014 sur la traite des personnes au Burkina Faso</w:t>
      </w:r>
    </w:p>
  </w:footnote>
  <w:footnote w:id="7">
    <w:p w:rsidR="00EC2214" w:rsidRDefault="00EC2214" w:rsidP="00F246A8">
      <w:pPr>
        <w:pStyle w:val="Notedebasdepage"/>
      </w:pPr>
      <w:r>
        <w:rPr>
          <w:rStyle w:val="Appelnotedebasdep"/>
        </w:rPr>
        <w:footnoteRef/>
      </w:r>
      <w:r>
        <w:t xml:space="preserve"> Profil de l’équité et de la pauvreté des enfants et des femmes au Burkina Faso en 2010, septembre 2012, PEP-INSD-UNICEF</w:t>
      </w:r>
    </w:p>
  </w:footnote>
  <w:footnote w:id="8">
    <w:p w:rsidR="00EC2214" w:rsidRDefault="00EC2214" w:rsidP="00F246A8">
      <w:pPr>
        <w:pStyle w:val="Notedebasdepage"/>
      </w:pPr>
      <w:r>
        <w:rPr>
          <w:rStyle w:val="Appelnotedebasdep"/>
        </w:rPr>
        <w:footnoteRef/>
      </w:r>
      <w:r>
        <w:t xml:space="preserve"> Ibidem</w:t>
      </w:r>
    </w:p>
  </w:footnote>
  <w:footnote w:id="9">
    <w:p w:rsidR="00EC2214" w:rsidRDefault="00EC2214" w:rsidP="00F246A8">
      <w:pPr>
        <w:pStyle w:val="Notedebasdepage"/>
      </w:pPr>
      <w:r>
        <w:rPr>
          <w:rStyle w:val="Appelnotedebasdep"/>
        </w:rPr>
        <w:footnoteRef/>
      </w:r>
      <w:r>
        <w:t xml:space="preserve"> Ibidem</w:t>
      </w:r>
    </w:p>
  </w:footnote>
  <w:footnote w:id="10">
    <w:p w:rsidR="00EC2214" w:rsidRDefault="00EC2214" w:rsidP="00F246A8">
      <w:pPr>
        <w:pStyle w:val="Notedebasdepage"/>
      </w:pPr>
      <w:r>
        <w:rPr>
          <w:rStyle w:val="Appelnotedebasdep"/>
        </w:rPr>
        <w:footnoteRef/>
      </w:r>
      <w:r>
        <w:t xml:space="preserve"> Ibidem</w:t>
      </w:r>
    </w:p>
  </w:footnote>
  <w:footnote w:id="11">
    <w:p w:rsidR="00EC2214" w:rsidRDefault="00EC2214" w:rsidP="00F246A8">
      <w:pPr>
        <w:pStyle w:val="Notedebasdepage"/>
      </w:pPr>
      <w:r>
        <w:rPr>
          <w:rStyle w:val="Appelnotedebasdep"/>
        </w:rPr>
        <w:footnoteRef/>
      </w:r>
      <w:r>
        <w:t xml:space="preserve"> Ministère de l’agriculture et de la sécurité alimentaire, Résultats définitifs de la campagne agricole et de la situation alimentaire et nutritionnelle 2013/2014, Mars 2014</w:t>
      </w:r>
    </w:p>
  </w:footnote>
  <w:footnote w:id="12">
    <w:p w:rsidR="00EC2214" w:rsidRDefault="00EC2214" w:rsidP="00F246A8">
      <w:pPr>
        <w:pStyle w:val="Notedebasdepage"/>
      </w:pPr>
      <w:r>
        <w:rPr>
          <w:rStyle w:val="Appelnotedebasdep"/>
        </w:rPr>
        <w:footnoteRef/>
      </w:r>
      <w:r>
        <w:t xml:space="preserve"> Humanitarian Needs Overview 2014</w:t>
      </w:r>
    </w:p>
  </w:footnote>
  <w:footnote w:id="13">
    <w:p w:rsidR="00EC2214" w:rsidRDefault="00EC2214" w:rsidP="00F246A8">
      <w:pPr>
        <w:pStyle w:val="Notedebasdepage"/>
      </w:pPr>
      <w:r>
        <w:rPr>
          <w:rStyle w:val="Appelnotedebasdep"/>
        </w:rPr>
        <w:footnoteRef/>
      </w:r>
      <w:r>
        <w:t xml:space="preserve"> Aide humanitaire et protection sociale de la Commission européenne, Fiche-info ECHO-Burkina Faso, octobre 2014</w:t>
      </w:r>
    </w:p>
  </w:footnote>
  <w:footnote w:id="14">
    <w:p w:rsidR="00EC2214" w:rsidRDefault="00EC2214" w:rsidP="00F246A8">
      <w:pPr>
        <w:pStyle w:val="Notedebasdepage"/>
      </w:pPr>
      <w:r>
        <w:rPr>
          <w:rStyle w:val="Appelnotedebasdep"/>
        </w:rPr>
        <w:footnoteRef/>
      </w:r>
      <w:r>
        <w:t xml:space="preserve"> R</w:t>
      </w:r>
      <w:r w:rsidRPr="00BB3C09">
        <w:t>apport du conseil des ministres du 17 septembre 2014</w:t>
      </w:r>
    </w:p>
  </w:footnote>
  <w:footnote w:id="15">
    <w:p w:rsidR="00EC2214" w:rsidRDefault="00EC2214" w:rsidP="00F246A8">
      <w:pPr>
        <w:pStyle w:val="Notedebasdepage"/>
      </w:pPr>
      <w:r>
        <w:rPr>
          <w:rStyle w:val="Appelnotedebasdep"/>
        </w:rPr>
        <w:footnoteRef/>
      </w:r>
      <w:r>
        <w:t xml:space="preserve"> Burkina Faso, aperçu des besoins humanitaires, décembre 2014</w:t>
      </w:r>
    </w:p>
  </w:footnote>
  <w:footnote w:id="16">
    <w:p w:rsidR="00EC2214" w:rsidRDefault="00EC2214" w:rsidP="00F246A8">
      <w:pPr>
        <w:pStyle w:val="Notedebasdepage"/>
      </w:pPr>
      <w:r>
        <w:rPr>
          <w:rStyle w:val="Appelnotedebasdep"/>
        </w:rPr>
        <w:footnoteRef/>
      </w:r>
      <w:r>
        <w:t xml:space="preserve"> Rapport 2014 sur la traite des personnes au Burkina Faso</w:t>
      </w:r>
    </w:p>
  </w:footnote>
  <w:footnote w:id="17">
    <w:p w:rsidR="00EC2214" w:rsidRDefault="00EC2214" w:rsidP="00F246A8">
      <w:pPr>
        <w:pStyle w:val="Notedebasdepage"/>
      </w:pPr>
      <w:r>
        <w:rPr>
          <w:rStyle w:val="Appelnotedebasdep"/>
        </w:rPr>
        <w:footnoteRef/>
      </w:r>
      <w:r>
        <w:t xml:space="preserve"> Rapport sur la visite au Burkina Faso des membres du Bureau du conseil d’administration de l’UNICEF, avril-mai 2014</w:t>
      </w:r>
    </w:p>
  </w:footnote>
  <w:footnote w:id="18">
    <w:p w:rsidR="00EC2214" w:rsidRDefault="00EC2214" w:rsidP="00F246A8">
      <w:pPr>
        <w:pStyle w:val="Notedebasdepage"/>
      </w:pPr>
      <w:r>
        <w:rPr>
          <w:rStyle w:val="Appelnotedebasdep"/>
        </w:rPr>
        <w:footnoteRef/>
      </w:r>
      <w:r>
        <w:t xml:space="preserve"> Ministère de l’Action sociale et de la Solidarité nationale</w:t>
      </w:r>
    </w:p>
  </w:footnote>
  <w:footnote w:id="19">
    <w:p w:rsidR="00EC2214" w:rsidRDefault="00EC2214" w:rsidP="00F246A8">
      <w:pPr>
        <w:pStyle w:val="Notedebasdepage"/>
      </w:pPr>
      <w:r>
        <w:rPr>
          <w:rStyle w:val="Appelnotedebasdep"/>
        </w:rPr>
        <w:footnoteRef/>
      </w:r>
      <w:r>
        <w:t xml:space="preserve"> Voir Sidwaya N°7740 du 3 septembre 2014 à la page 12</w:t>
      </w:r>
    </w:p>
  </w:footnote>
  <w:footnote w:id="20">
    <w:p w:rsidR="00EC2214" w:rsidRDefault="00EC2214" w:rsidP="00F246A8">
      <w:pPr>
        <w:pStyle w:val="Notedebasdepage"/>
      </w:pPr>
      <w:r>
        <w:rPr>
          <w:rStyle w:val="Appelnotedebasdep"/>
        </w:rPr>
        <w:footnoteRef/>
      </w:r>
      <w:r>
        <w:t xml:space="preserve"> Entretien accordé à Ismaël Traoré le 26 novembre 2014 sur Faso.net.</w:t>
      </w:r>
    </w:p>
  </w:footnote>
  <w:footnote w:id="21">
    <w:p w:rsidR="00EC2214" w:rsidRDefault="00EC2214" w:rsidP="00F246A8">
      <w:pPr>
        <w:pStyle w:val="Notedebasdepage"/>
      </w:pPr>
      <w:r>
        <w:rPr>
          <w:rStyle w:val="Appelnotedebasdep"/>
        </w:rPr>
        <w:footnoteRef/>
      </w:r>
      <w:r>
        <w:t xml:space="preserve"> Cf. Politique Nationale de la culture, Ministère de la culture 2008</w:t>
      </w:r>
    </w:p>
  </w:footnote>
  <w:footnote w:id="22">
    <w:p w:rsidR="00EC2214" w:rsidRDefault="00EC2214" w:rsidP="00F246A8">
      <w:pPr>
        <w:pStyle w:val="Notedebasdepage"/>
      </w:pPr>
      <w:r>
        <w:rPr>
          <w:rStyle w:val="Appelnotedebasdep"/>
        </w:rPr>
        <w:footnoteRef/>
      </w:r>
      <w:r>
        <w:t xml:space="preserve"> Ministère de la Culture et du Tourisme Bureau Burkinabè d’Etudes &amp; d’Appui-conseils (BBEA), Rapport final, Mai 2012</w:t>
      </w:r>
    </w:p>
  </w:footnote>
  <w:footnote w:id="23">
    <w:p w:rsidR="00EC2214" w:rsidRDefault="00EC2214" w:rsidP="00F246A8">
      <w:pPr>
        <w:pStyle w:val="Notedebasdepage"/>
      </w:pPr>
      <w:r>
        <w:rPr>
          <w:rStyle w:val="Appelnotedebasdep"/>
        </w:rPr>
        <w:footnoteRef/>
      </w:r>
      <w:r>
        <w:t xml:space="preserve"> Profil culturel des pays du Sud membres de la Francophonie,</w:t>
      </w:r>
      <w:r w:rsidRPr="008545E5">
        <w:t xml:space="preserve"> Un aperçu de trois pays de l’UEMOA, Le Burkina Faso, la Côte d’Ivoire, le Sénégal,</w:t>
      </w:r>
      <w:r>
        <w:t xml:space="preserve"> OIF</w:t>
      </w:r>
    </w:p>
    <w:p w:rsidR="00EC2214" w:rsidRDefault="00EC2214" w:rsidP="00F246A8">
      <w:pPr>
        <w:pStyle w:val="Notedebasdepage"/>
      </w:pPr>
    </w:p>
  </w:footnote>
  <w:footnote w:id="24">
    <w:p w:rsidR="00EC2214" w:rsidRDefault="00EC2214" w:rsidP="00F246A8">
      <w:pPr>
        <w:pStyle w:val="Notedebasdepage"/>
      </w:pPr>
      <w:r>
        <w:rPr>
          <w:rStyle w:val="Appelnotedebasdep"/>
        </w:rPr>
        <w:footnoteRef/>
      </w:r>
      <w:r>
        <w:t xml:space="preserve"> Rapport annuel d’activités 2012, Autorité de Régulation des Communications Electroniques et des Postes, Juillet 2013</w:t>
      </w:r>
    </w:p>
  </w:footnote>
  <w:footnote w:id="25">
    <w:p w:rsidR="00EC2214" w:rsidRDefault="00EC2214" w:rsidP="00F246A8">
      <w:pPr>
        <w:pStyle w:val="Notedebasdepage"/>
      </w:pPr>
      <w:r>
        <w:rPr>
          <w:rStyle w:val="Appelnotedebasdep"/>
        </w:rPr>
        <w:footnoteRef/>
      </w:r>
      <w:r>
        <w:t xml:space="preserve"> Journal de l’internet (JDN)</w:t>
      </w:r>
    </w:p>
  </w:footnote>
  <w:footnote w:id="26">
    <w:p w:rsidR="00EC2214" w:rsidRDefault="00EC2214" w:rsidP="00F246A8">
      <w:pPr>
        <w:pStyle w:val="Notedebasdepage"/>
      </w:pPr>
      <w:r>
        <w:rPr>
          <w:rStyle w:val="Appelnotedebasdep"/>
        </w:rPr>
        <w:footnoteRef/>
      </w:r>
      <w:r>
        <w:t xml:space="preserve"> </w:t>
      </w:r>
      <w:r w:rsidRPr="004C02FE">
        <w:t>Christine SAWADOGO</w:t>
      </w:r>
      <w:r>
        <w:t>, Journal Le Pays</w:t>
      </w:r>
    </w:p>
  </w:footnote>
  <w:footnote w:id="27">
    <w:p w:rsidR="00EC2214" w:rsidRDefault="00EC2214" w:rsidP="00F246A8">
      <w:pPr>
        <w:pStyle w:val="Notedebasdepage"/>
      </w:pPr>
      <w:r>
        <w:rPr>
          <w:rStyle w:val="Appelnotedebasdep"/>
        </w:rPr>
        <w:footnoteRef/>
      </w:r>
      <w:r>
        <w:t xml:space="preserve"> Ministère de la Culture et du Tourisme Bureau Burkinabè d’Etudes &amp; d’Appui-conseils (BBEA), Rapport final, Mai 2012</w:t>
      </w:r>
    </w:p>
  </w:footnote>
  <w:footnote w:id="28">
    <w:p w:rsidR="00EC2214" w:rsidRDefault="00EC2214" w:rsidP="00F246A8">
      <w:pPr>
        <w:pStyle w:val="Notedebasdepage"/>
      </w:pPr>
      <w:r>
        <w:rPr>
          <w:rStyle w:val="Appelnotedebasdep"/>
        </w:rPr>
        <w:footnoteRef/>
      </w:r>
      <w:r>
        <w:t xml:space="preserve"> THEME I : Les motifs qui limitent l’action des Etats dans le développement de politiques culturelles et des programmes culturels : le cas du Burkina Faso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86F21"/>
    <w:multiLevelType w:val="hybridMultilevel"/>
    <w:tmpl w:val="C4A23594"/>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11F770DF"/>
    <w:multiLevelType w:val="hybridMultilevel"/>
    <w:tmpl w:val="043CD602"/>
    <w:lvl w:ilvl="0" w:tplc="74CC1654">
      <w:start w:val="1"/>
      <w:numFmt w:val="decimal"/>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24D3ACF"/>
    <w:multiLevelType w:val="hybridMultilevel"/>
    <w:tmpl w:val="11B0EA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3001A00"/>
    <w:multiLevelType w:val="hybridMultilevel"/>
    <w:tmpl w:val="1E96CFE0"/>
    <w:lvl w:ilvl="0" w:tplc="588EB682">
      <w:start w:val="68"/>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14B469CE"/>
    <w:multiLevelType w:val="hybridMultilevel"/>
    <w:tmpl w:val="E2C67564"/>
    <w:lvl w:ilvl="0" w:tplc="040C0013">
      <w:start w:val="1"/>
      <w:numFmt w:val="upperRoman"/>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C6802DA"/>
    <w:multiLevelType w:val="hybridMultilevel"/>
    <w:tmpl w:val="75BC499C"/>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15:restartNumberingAfterBreak="0">
    <w:nsid w:val="2BB16817"/>
    <w:multiLevelType w:val="hybridMultilevel"/>
    <w:tmpl w:val="7786BEE2"/>
    <w:lvl w:ilvl="0" w:tplc="040C0013">
      <w:start w:val="1"/>
      <w:numFmt w:val="upperRoman"/>
      <w:lvlText w:val="%1."/>
      <w:lvlJc w:val="right"/>
      <w:pPr>
        <w:ind w:left="720" w:hanging="360"/>
      </w:pPr>
      <w:rPr>
        <w:rFont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15:restartNumberingAfterBreak="0">
    <w:nsid w:val="2D294560"/>
    <w:multiLevelType w:val="hybridMultilevel"/>
    <w:tmpl w:val="9118B190"/>
    <w:lvl w:ilvl="0" w:tplc="040C0013">
      <w:start w:val="1"/>
      <w:numFmt w:val="upp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15:restartNumberingAfterBreak="0">
    <w:nsid w:val="3183197F"/>
    <w:multiLevelType w:val="hybridMultilevel"/>
    <w:tmpl w:val="FDB46D68"/>
    <w:lvl w:ilvl="0" w:tplc="CC3EF6F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8A012F3"/>
    <w:multiLevelType w:val="hybridMultilevel"/>
    <w:tmpl w:val="6EF070C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9C504BE"/>
    <w:multiLevelType w:val="hybridMultilevel"/>
    <w:tmpl w:val="6DE210D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98776C5"/>
    <w:multiLevelType w:val="hybridMultilevel"/>
    <w:tmpl w:val="5D1EBF52"/>
    <w:lvl w:ilvl="0" w:tplc="2CD2BFB4">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AF262CA"/>
    <w:multiLevelType w:val="hybridMultilevel"/>
    <w:tmpl w:val="310E4A0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3" w15:restartNumberingAfterBreak="0">
    <w:nsid w:val="4D4C2756"/>
    <w:multiLevelType w:val="hybridMultilevel"/>
    <w:tmpl w:val="4A0AC5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E0B1D48"/>
    <w:multiLevelType w:val="hybridMultilevel"/>
    <w:tmpl w:val="43823B2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57763A3"/>
    <w:multiLevelType w:val="hybridMultilevel"/>
    <w:tmpl w:val="4C54818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15:restartNumberingAfterBreak="0">
    <w:nsid w:val="66A218C1"/>
    <w:multiLevelType w:val="hybridMultilevel"/>
    <w:tmpl w:val="12547E5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74B732D"/>
    <w:multiLevelType w:val="hybridMultilevel"/>
    <w:tmpl w:val="38186D34"/>
    <w:lvl w:ilvl="0" w:tplc="040C0013">
      <w:start w:val="1"/>
      <w:numFmt w:val="upperRoman"/>
      <w:lvlText w:val="%1."/>
      <w:lvlJc w:val="righ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9C75621"/>
    <w:multiLevelType w:val="hybridMultilevel"/>
    <w:tmpl w:val="A7E69F64"/>
    <w:lvl w:ilvl="0" w:tplc="2F5670A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D3A2A77"/>
    <w:multiLevelType w:val="hybridMultilevel"/>
    <w:tmpl w:val="4E3CD748"/>
    <w:lvl w:ilvl="0" w:tplc="AD4231E4">
      <w:start w:val="5"/>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0193263"/>
    <w:multiLevelType w:val="hybridMultilevel"/>
    <w:tmpl w:val="3F12117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1" w15:restartNumberingAfterBreak="0">
    <w:nsid w:val="7149527E"/>
    <w:multiLevelType w:val="hybridMultilevel"/>
    <w:tmpl w:val="EF24CD00"/>
    <w:lvl w:ilvl="0" w:tplc="4E06A40C">
      <w:start w:val="2"/>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7658654C"/>
    <w:multiLevelType w:val="hybridMultilevel"/>
    <w:tmpl w:val="F6A8503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B3F750F"/>
    <w:multiLevelType w:val="hybridMultilevel"/>
    <w:tmpl w:val="2ACAF6D6"/>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7EF43926"/>
    <w:multiLevelType w:val="hybridMultilevel"/>
    <w:tmpl w:val="4D9A6EAA"/>
    <w:lvl w:ilvl="0" w:tplc="DA1AC0D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8"/>
  </w:num>
  <w:num w:numId="4">
    <w:abstractNumId w:val="18"/>
  </w:num>
  <w:num w:numId="5">
    <w:abstractNumId w:val="17"/>
  </w:num>
  <w:num w:numId="6">
    <w:abstractNumId w:val="4"/>
  </w:num>
  <w:num w:numId="7">
    <w:abstractNumId w:val="1"/>
  </w:num>
  <w:num w:numId="8">
    <w:abstractNumId w:val="12"/>
  </w:num>
  <w:num w:numId="9">
    <w:abstractNumId w:val="7"/>
  </w:num>
  <w:num w:numId="10">
    <w:abstractNumId w:val="21"/>
  </w:num>
  <w:num w:numId="11">
    <w:abstractNumId w:val="6"/>
  </w:num>
  <w:num w:numId="12">
    <w:abstractNumId w:val="24"/>
  </w:num>
  <w:num w:numId="13">
    <w:abstractNumId w:val="5"/>
  </w:num>
  <w:num w:numId="14">
    <w:abstractNumId w:val="13"/>
  </w:num>
  <w:num w:numId="15">
    <w:abstractNumId w:val="23"/>
  </w:num>
  <w:num w:numId="16">
    <w:abstractNumId w:val="15"/>
  </w:num>
  <w:num w:numId="17">
    <w:abstractNumId w:val="2"/>
  </w:num>
  <w:num w:numId="18">
    <w:abstractNumId w:val="3"/>
  </w:num>
  <w:num w:numId="19">
    <w:abstractNumId w:val="20"/>
  </w:num>
  <w:num w:numId="20">
    <w:abstractNumId w:val="0"/>
  </w:num>
  <w:num w:numId="21">
    <w:abstractNumId w:val="14"/>
  </w:num>
  <w:num w:numId="22">
    <w:abstractNumId w:val="22"/>
  </w:num>
  <w:num w:numId="23">
    <w:abstractNumId w:val="10"/>
  </w:num>
  <w:num w:numId="24">
    <w:abstractNumId w:val="9"/>
  </w:num>
  <w:num w:numId="25">
    <w:abstractNumId w:val="1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6A8"/>
    <w:rsid w:val="00005930"/>
    <w:rsid w:val="00021C3C"/>
    <w:rsid w:val="0005099B"/>
    <w:rsid w:val="000F3F88"/>
    <w:rsid w:val="00183087"/>
    <w:rsid w:val="00212D53"/>
    <w:rsid w:val="00262D81"/>
    <w:rsid w:val="002C6C54"/>
    <w:rsid w:val="003268D9"/>
    <w:rsid w:val="003678BD"/>
    <w:rsid w:val="003D640E"/>
    <w:rsid w:val="00462230"/>
    <w:rsid w:val="00527B77"/>
    <w:rsid w:val="00594BA2"/>
    <w:rsid w:val="005C1583"/>
    <w:rsid w:val="005E2BF9"/>
    <w:rsid w:val="006533B8"/>
    <w:rsid w:val="00667298"/>
    <w:rsid w:val="006E662B"/>
    <w:rsid w:val="006F66FD"/>
    <w:rsid w:val="007160E9"/>
    <w:rsid w:val="007217AF"/>
    <w:rsid w:val="00741712"/>
    <w:rsid w:val="007B3151"/>
    <w:rsid w:val="007C2BCA"/>
    <w:rsid w:val="007E46B0"/>
    <w:rsid w:val="008415E0"/>
    <w:rsid w:val="0086519F"/>
    <w:rsid w:val="008A4122"/>
    <w:rsid w:val="008B786B"/>
    <w:rsid w:val="008E02CD"/>
    <w:rsid w:val="00AF6B9B"/>
    <w:rsid w:val="00B7403A"/>
    <w:rsid w:val="00BA3F2E"/>
    <w:rsid w:val="00BF10E8"/>
    <w:rsid w:val="00C85A6E"/>
    <w:rsid w:val="00C94B76"/>
    <w:rsid w:val="00CA5942"/>
    <w:rsid w:val="00CC21FE"/>
    <w:rsid w:val="00CE432C"/>
    <w:rsid w:val="00CF2136"/>
    <w:rsid w:val="00D222C7"/>
    <w:rsid w:val="00D26B35"/>
    <w:rsid w:val="00E06C6E"/>
    <w:rsid w:val="00E23908"/>
    <w:rsid w:val="00E3600D"/>
    <w:rsid w:val="00E368D2"/>
    <w:rsid w:val="00E52EC5"/>
    <w:rsid w:val="00EC2214"/>
    <w:rsid w:val="00EC2D5B"/>
    <w:rsid w:val="00EC7D02"/>
    <w:rsid w:val="00EE3DE7"/>
    <w:rsid w:val="00F246A8"/>
    <w:rsid w:val="00F35EA3"/>
    <w:rsid w:val="00F661A3"/>
    <w:rsid w:val="00FE3B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06B538-9379-4FCF-B300-87B208CF9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6A8"/>
    <w:pPr>
      <w:spacing w:after="200" w:line="276" w:lineRule="auto"/>
    </w:pPr>
  </w:style>
  <w:style w:type="paragraph" w:styleId="Titre3">
    <w:name w:val="heading 3"/>
    <w:basedOn w:val="Normal"/>
    <w:next w:val="Normal"/>
    <w:link w:val="Titre3Car"/>
    <w:semiHidden/>
    <w:unhideWhenUsed/>
    <w:qFormat/>
    <w:rsid w:val="00F246A8"/>
    <w:pPr>
      <w:keepNext/>
      <w:spacing w:before="240" w:after="60" w:line="240" w:lineRule="auto"/>
      <w:outlineLvl w:val="2"/>
    </w:pPr>
    <w:rPr>
      <w:rFonts w:ascii="Arial" w:eastAsia="Times New Roman" w:hAnsi="Arial" w:cs="Arial"/>
      <w:b/>
      <w:bCs/>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semiHidden/>
    <w:rsid w:val="00F246A8"/>
    <w:rPr>
      <w:rFonts w:ascii="Arial" w:eastAsia="Times New Roman" w:hAnsi="Arial" w:cs="Arial"/>
      <w:b/>
      <w:bCs/>
      <w:sz w:val="26"/>
      <w:szCs w:val="26"/>
      <w:lang w:eastAsia="fr-FR"/>
    </w:rPr>
  </w:style>
  <w:style w:type="paragraph" w:styleId="Paragraphedeliste">
    <w:name w:val="List Paragraph"/>
    <w:basedOn w:val="Normal"/>
    <w:uiPriority w:val="34"/>
    <w:qFormat/>
    <w:rsid w:val="00F246A8"/>
    <w:pPr>
      <w:ind w:left="720"/>
      <w:contextualSpacing/>
    </w:pPr>
  </w:style>
  <w:style w:type="table" w:styleId="Grilledutableau">
    <w:name w:val="Table Grid"/>
    <w:basedOn w:val="TableauNormal"/>
    <w:uiPriority w:val="59"/>
    <w:rsid w:val="00F24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F246A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246A8"/>
    <w:rPr>
      <w:sz w:val="20"/>
      <w:szCs w:val="20"/>
    </w:rPr>
  </w:style>
  <w:style w:type="character" w:styleId="Appelnotedebasdep">
    <w:name w:val="footnote reference"/>
    <w:basedOn w:val="Policepardfaut"/>
    <w:uiPriority w:val="99"/>
    <w:semiHidden/>
    <w:unhideWhenUsed/>
    <w:rsid w:val="00F246A8"/>
    <w:rPr>
      <w:vertAlign w:val="superscript"/>
    </w:rPr>
  </w:style>
  <w:style w:type="paragraph" w:styleId="Pieddepage">
    <w:name w:val="footer"/>
    <w:basedOn w:val="Normal"/>
    <w:link w:val="PieddepageCar"/>
    <w:uiPriority w:val="99"/>
    <w:unhideWhenUsed/>
    <w:rsid w:val="00F246A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246A8"/>
  </w:style>
  <w:style w:type="character" w:styleId="Marquedecommentaire">
    <w:name w:val="annotation reference"/>
    <w:basedOn w:val="Policepardfaut"/>
    <w:uiPriority w:val="99"/>
    <w:semiHidden/>
    <w:unhideWhenUsed/>
    <w:rsid w:val="00F246A8"/>
    <w:rPr>
      <w:sz w:val="16"/>
      <w:szCs w:val="16"/>
    </w:rPr>
  </w:style>
  <w:style w:type="paragraph" w:styleId="Commentaire">
    <w:name w:val="annotation text"/>
    <w:basedOn w:val="Normal"/>
    <w:link w:val="CommentaireCar"/>
    <w:uiPriority w:val="99"/>
    <w:semiHidden/>
    <w:unhideWhenUsed/>
    <w:rsid w:val="00F246A8"/>
    <w:pPr>
      <w:spacing w:line="240" w:lineRule="auto"/>
    </w:pPr>
    <w:rPr>
      <w:sz w:val="20"/>
      <w:szCs w:val="20"/>
    </w:rPr>
  </w:style>
  <w:style w:type="character" w:customStyle="1" w:styleId="CommentaireCar">
    <w:name w:val="Commentaire Car"/>
    <w:basedOn w:val="Policepardfaut"/>
    <w:link w:val="Commentaire"/>
    <w:uiPriority w:val="99"/>
    <w:semiHidden/>
    <w:rsid w:val="00F246A8"/>
    <w:rPr>
      <w:sz w:val="20"/>
      <w:szCs w:val="20"/>
    </w:rPr>
  </w:style>
  <w:style w:type="paragraph" w:styleId="Textedebulles">
    <w:name w:val="Balloon Text"/>
    <w:basedOn w:val="Normal"/>
    <w:link w:val="TextedebullesCar"/>
    <w:uiPriority w:val="99"/>
    <w:semiHidden/>
    <w:unhideWhenUsed/>
    <w:rsid w:val="00F246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46A8"/>
    <w:rPr>
      <w:rFonts w:ascii="Segoe UI" w:hAnsi="Segoe UI" w:cs="Segoe UI"/>
      <w:sz w:val="18"/>
      <w:szCs w:val="18"/>
    </w:rPr>
  </w:style>
  <w:style w:type="paragraph" w:styleId="En-tte">
    <w:name w:val="header"/>
    <w:basedOn w:val="Normal"/>
    <w:link w:val="En-tteCar"/>
    <w:uiPriority w:val="99"/>
    <w:unhideWhenUsed/>
    <w:rsid w:val="00EC2214"/>
    <w:pPr>
      <w:tabs>
        <w:tab w:val="center" w:pos="4536"/>
        <w:tab w:val="right" w:pos="9072"/>
      </w:tabs>
      <w:spacing w:after="0" w:line="240" w:lineRule="auto"/>
    </w:pPr>
  </w:style>
  <w:style w:type="character" w:customStyle="1" w:styleId="En-tteCar">
    <w:name w:val="En-tête Car"/>
    <w:basedOn w:val="Policepardfaut"/>
    <w:link w:val="En-tte"/>
    <w:uiPriority w:val="99"/>
    <w:rsid w:val="00EC2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urkina24.com/news/2013/04/burkina-le-secteur-de-la-sante-en-greve-du-2-au-5-avril/"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7B6CF5-9ACB-4812-BF57-92B03E9AECA4}"/>
</file>

<file path=customXml/itemProps2.xml><?xml version="1.0" encoding="utf-8"?>
<ds:datastoreItem xmlns:ds="http://schemas.openxmlformats.org/officeDocument/2006/customXml" ds:itemID="{22734322-051A-4053-B8A7-8DD967002AB3}"/>
</file>

<file path=customXml/itemProps3.xml><?xml version="1.0" encoding="utf-8"?>
<ds:datastoreItem xmlns:ds="http://schemas.openxmlformats.org/officeDocument/2006/customXml" ds:itemID="{8190B072-A224-4FB3-9293-913EBE998B54}"/>
</file>

<file path=docProps/app.xml><?xml version="1.0" encoding="utf-8"?>
<Properties xmlns="http://schemas.openxmlformats.org/officeDocument/2006/extended-properties" xmlns:vt="http://schemas.openxmlformats.org/officeDocument/2006/docPropsVTypes">
  <Template>Normal</Template>
  <TotalTime>946</TotalTime>
  <Pages>40</Pages>
  <Words>13199</Words>
  <Characters>72597</Characters>
  <Application>Microsoft Office Word</Application>
  <DocSecurity>0</DocSecurity>
  <Lines>604</Lines>
  <Paragraphs>171</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Le droit à un niveau de vie suffisant (article 11)</vt:lpstr>
    </vt:vector>
  </TitlesOfParts>
  <Company/>
  <LinksUpToDate>false</LinksUpToDate>
  <CharactersWithSpaces>85625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GNANOU</dc:creator>
  <cp:keywords/>
  <dc:description/>
  <cp:lastModifiedBy>ZOUGMORE</cp:lastModifiedBy>
  <cp:revision>10</cp:revision>
  <dcterms:created xsi:type="dcterms:W3CDTF">2015-07-26T10:57:00Z</dcterms:created>
  <dcterms:modified xsi:type="dcterms:W3CDTF">2015-09-02T12:19:00Z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