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D621B" w14:textId="77777777" w:rsidR="00151C6C" w:rsidRDefault="00BF564B">
      <w:pPr>
        <w:rPr>
          <w:b/>
          <w:bCs/>
        </w:rPr>
      </w:pPr>
      <w:r>
        <w:rPr>
          <w:rFonts w:eastAsia="SimSun"/>
          <w:b/>
          <w:noProof/>
        </w:rPr>
        <w:drawing>
          <wp:anchor distT="0" distB="0" distL="114300" distR="114300" simplePos="0" relativeHeight="2" behindDoc="0" locked="0" layoutInCell="1" allowOverlap="1" wp14:anchorId="31B622C7" wp14:editId="33610CF4">
            <wp:simplePos x="0" y="0"/>
            <wp:positionH relativeFrom="column">
              <wp:posOffset>0</wp:posOffset>
            </wp:positionH>
            <wp:positionV relativeFrom="paragraph">
              <wp:posOffset>186690</wp:posOffset>
            </wp:positionV>
            <wp:extent cx="2083242" cy="777343"/>
            <wp:effectExtent l="0" t="0" r="0" b="0"/>
            <wp:wrapSquare wrapText="bothSides"/>
            <wp:docPr id="1026" name="Picture 2"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cstate="print"/>
                    <a:srcRect/>
                    <a:stretch/>
                  </pic:blipFill>
                  <pic:spPr>
                    <a:xfrm>
                      <a:off x="0" y="0"/>
                      <a:ext cx="2083242" cy="777343"/>
                    </a:xfrm>
                    <a:prstGeom prst="rect">
                      <a:avLst/>
                    </a:prstGeom>
                  </pic:spPr>
                </pic:pic>
              </a:graphicData>
            </a:graphic>
            <wp14:sizeRelH relativeFrom="margin">
              <wp14:pctWidth>0</wp14:pctWidth>
            </wp14:sizeRelH>
            <wp14:sizeRelV relativeFrom="margin">
              <wp14:pctHeight>0</wp14:pctHeight>
            </wp14:sizeRelV>
          </wp:anchor>
        </w:drawing>
      </w:r>
    </w:p>
    <w:p w14:paraId="42996BB8" w14:textId="77777777" w:rsidR="00151C6C" w:rsidRDefault="00BF564B">
      <w:pPr>
        <w:jc w:val="center"/>
        <w:rPr>
          <w:b/>
          <w:bCs/>
        </w:rPr>
      </w:pPr>
      <w:r>
        <w:rPr>
          <w:noProof/>
        </w:rPr>
        <w:drawing>
          <wp:anchor distT="0" distB="0" distL="114300" distR="114300" simplePos="0" relativeHeight="3" behindDoc="0" locked="0" layoutInCell="1" allowOverlap="1" wp14:anchorId="2D3AAC42" wp14:editId="3EEF1B9F">
            <wp:simplePos x="0" y="0"/>
            <wp:positionH relativeFrom="column">
              <wp:posOffset>3477259</wp:posOffset>
            </wp:positionH>
            <wp:positionV relativeFrom="paragraph">
              <wp:posOffset>57785</wp:posOffset>
            </wp:positionV>
            <wp:extent cx="2076449" cy="561975"/>
            <wp:effectExtent l="0" t="0" r="6350" b="0"/>
            <wp:wrapThrough wrapText="bothSides">
              <wp:wrapPolygon edited="0">
                <wp:start x="3699" y="0"/>
                <wp:lineTo x="0" y="6834"/>
                <wp:lineTo x="0" y="20502"/>
                <wp:lineTo x="12154" y="20502"/>
                <wp:lineTo x="14004" y="20502"/>
                <wp:lineTo x="19288" y="20502"/>
                <wp:lineTo x="20081" y="16597"/>
                <wp:lineTo x="18231" y="15620"/>
                <wp:lineTo x="21402" y="10739"/>
                <wp:lineTo x="21402" y="5858"/>
                <wp:lineTo x="5549" y="0"/>
                <wp:lineTo x="3699" y="0"/>
              </wp:wrapPolygon>
            </wp:wrapThrough>
            <wp:docPr id="1027" name="Picture 3" descr="C:\Users\Naa\Downloads\Untitled-1 copy-1 (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3"/>
                    <pic:cNvPicPr/>
                  </pic:nvPicPr>
                  <pic:blipFill>
                    <a:blip r:embed="rId9" cstate="print"/>
                    <a:srcRect/>
                    <a:stretch/>
                  </pic:blipFill>
                  <pic:spPr>
                    <a:xfrm>
                      <a:off x="0" y="0"/>
                      <a:ext cx="2076449" cy="561975"/>
                    </a:xfrm>
                    <a:prstGeom prst="rect">
                      <a:avLst/>
                    </a:prstGeom>
                    <a:ln>
                      <a:noFill/>
                    </a:ln>
                  </pic:spPr>
                </pic:pic>
              </a:graphicData>
            </a:graphic>
            <wp14:sizeRelH relativeFrom="page">
              <wp14:pctWidth>0</wp14:pctWidth>
            </wp14:sizeRelH>
            <wp14:sizeRelV relativeFrom="page">
              <wp14:pctHeight>0</wp14:pctHeight>
            </wp14:sizeRelV>
          </wp:anchor>
        </w:drawing>
      </w:r>
    </w:p>
    <w:p w14:paraId="12C63761" w14:textId="77777777" w:rsidR="00151C6C" w:rsidRDefault="00151C6C">
      <w:pPr>
        <w:jc w:val="center"/>
        <w:rPr>
          <w:b/>
          <w:bCs/>
        </w:rPr>
      </w:pPr>
    </w:p>
    <w:p w14:paraId="59474D4B" w14:textId="77777777" w:rsidR="00151C6C" w:rsidRDefault="00151C6C">
      <w:pPr>
        <w:jc w:val="center"/>
        <w:rPr>
          <w:b/>
          <w:bCs/>
        </w:rPr>
      </w:pPr>
    </w:p>
    <w:p w14:paraId="1F6D13E9" w14:textId="77777777" w:rsidR="00151C6C" w:rsidRDefault="00151C6C">
      <w:pPr>
        <w:jc w:val="center"/>
        <w:rPr>
          <w:b/>
          <w:bCs/>
        </w:rPr>
      </w:pPr>
    </w:p>
    <w:p w14:paraId="36A18712" w14:textId="77777777" w:rsidR="00151C6C" w:rsidRDefault="00151C6C">
      <w:pPr>
        <w:jc w:val="center"/>
        <w:rPr>
          <w:b/>
          <w:bCs/>
        </w:rPr>
      </w:pPr>
    </w:p>
    <w:p w14:paraId="6DC78492" w14:textId="77777777" w:rsidR="00151C6C" w:rsidRDefault="00BF564B">
      <w:pPr>
        <w:jc w:val="center"/>
        <w:rPr>
          <w:b/>
          <w:bCs/>
        </w:rPr>
      </w:pPr>
      <w:r>
        <w:rPr>
          <w:b/>
          <w:bCs/>
        </w:rPr>
        <w:t>Submission to the CRPD Committee for its Review of Ghana:</w:t>
      </w:r>
    </w:p>
    <w:p w14:paraId="1A35B660" w14:textId="77777777" w:rsidR="00151C6C" w:rsidRDefault="00BF564B">
      <w:pPr>
        <w:jc w:val="center"/>
        <w:rPr>
          <w:b/>
          <w:bCs/>
        </w:rPr>
      </w:pPr>
      <w:r>
        <w:rPr>
          <w:b/>
          <w:bCs/>
        </w:rPr>
        <w:t>Situation of Women and Girls with Disabilities in Ghana</w:t>
      </w:r>
    </w:p>
    <w:p w14:paraId="19A2328E" w14:textId="77777777" w:rsidR="00151C6C" w:rsidRDefault="00BF564B">
      <w:pPr>
        <w:jc w:val="center"/>
        <w:rPr>
          <w:b/>
          <w:bCs/>
        </w:rPr>
      </w:pPr>
      <w:r>
        <w:rPr>
          <w:b/>
          <w:bCs/>
        </w:rPr>
        <w:t>12</w:t>
      </w:r>
      <w:r>
        <w:rPr>
          <w:b/>
          <w:bCs/>
          <w:vertAlign w:val="superscript"/>
        </w:rPr>
        <w:t>th</w:t>
      </w:r>
      <w:r>
        <w:rPr>
          <w:b/>
          <w:bCs/>
        </w:rPr>
        <w:t xml:space="preserve"> July 2024</w:t>
      </w:r>
    </w:p>
    <w:p w14:paraId="7E7A3578" w14:textId="77777777" w:rsidR="00151C6C" w:rsidRDefault="00151C6C">
      <w:pPr>
        <w:jc w:val="center"/>
        <w:rPr>
          <w:b/>
          <w:bCs/>
        </w:rPr>
      </w:pPr>
    </w:p>
    <w:p w14:paraId="31622C2A" w14:textId="77777777" w:rsidR="00151C6C" w:rsidRDefault="00BF564B">
      <w:r>
        <w:rPr>
          <w:i/>
          <w:iCs/>
        </w:rPr>
        <w:t>This submission was compiled by the Women’s Committee of the Ghana Federation of Disability Organisations and by Women Enabled International, a global organization of feminists with disabilities and allies working to advance rights at the intersection of gender and disability</w:t>
      </w:r>
      <w:r>
        <w:t xml:space="preserve">. </w:t>
      </w:r>
    </w:p>
    <w:p w14:paraId="1E450C92" w14:textId="77777777" w:rsidR="00151C6C" w:rsidRDefault="00151C6C"/>
    <w:p w14:paraId="59FFF130" w14:textId="77777777" w:rsidR="00151C6C" w:rsidRDefault="00BF564B">
      <w:pPr>
        <w:pStyle w:val="ListParagraph"/>
        <w:numPr>
          <w:ilvl w:val="0"/>
          <w:numId w:val="1"/>
        </w:numPr>
        <w:rPr>
          <w:b/>
          <w:bCs/>
        </w:rPr>
      </w:pPr>
      <w:r>
        <w:rPr>
          <w:b/>
          <w:bCs/>
        </w:rPr>
        <w:t>Introduction</w:t>
      </w:r>
    </w:p>
    <w:p w14:paraId="4AD4A876" w14:textId="77777777" w:rsidR="00151C6C" w:rsidRDefault="00151C6C"/>
    <w:p w14:paraId="5B4F9187" w14:textId="77777777" w:rsidR="00151C6C" w:rsidRDefault="00BF564B">
      <w:pPr>
        <w:jc w:val="both"/>
      </w:pPr>
      <w:r>
        <w:t>Ghana Federation of Disability Organisations (GFD) and Women Enabled International (WEI)</w:t>
      </w:r>
      <w:r>
        <w:rPr>
          <w:rStyle w:val="FootnoteReference"/>
        </w:rPr>
        <w:footnoteReference w:id="1"/>
      </w:r>
      <w:r>
        <w:t xml:space="preserve"> appreciate the opportunity to provide this information to the Committee on the Rights of Persons with Disabilities (CRPD Committee) ahead of its state review of Ghana.</w:t>
      </w:r>
    </w:p>
    <w:p w14:paraId="168EE002" w14:textId="77777777" w:rsidR="00151C6C" w:rsidRDefault="00151C6C">
      <w:pPr>
        <w:jc w:val="both"/>
      </w:pPr>
    </w:p>
    <w:p w14:paraId="023458CA" w14:textId="77777777" w:rsidR="00151C6C" w:rsidRDefault="00BF564B">
      <w:pPr>
        <w:jc w:val="both"/>
      </w:pPr>
      <w:r>
        <w:t xml:space="preserve">Women and girls with disabilities in Ghana face persistent violations of their human rights, due to stigma, stereotypes, and discrimination at the intersection of gender and disability. This report highlights some of the ways women and girls with disabilities experience violations of their rights under the Convention on the Rights of Persons with Disabilities (CRPD) with regard to participation in public life, employment and social protection, sexual and reproductive health and rights, and freedom from violence. Laws, policies, and programmes in Ghana do not yet adequately support rights at the intersection of gender and disability, which leads to and reinforces these violations. </w:t>
      </w:r>
    </w:p>
    <w:p w14:paraId="2D3EE95E" w14:textId="77777777" w:rsidR="00151C6C" w:rsidRDefault="00151C6C"/>
    <w:p w14:paraId="618B8687" w14:textId="77777777" w:rsidR="00151C6C" w:rsidRDefault="00BF564B">
      <w:pPr>
        <w:jc w:val="both"/>
      </w:pPr>
      <w:r>
        <w:t>Information in this report was gathered through both desk research and through focus group discussions with 32 women and girls with disabilities from 16 administrative regions of Ghana in June 2024 (June 2024 focus groups). We thank the women with disabilities who participated in these focus groups for sharing their insights and experiences with us.</w:t>
      </w:r>
    </w:p>
    <w:p w14:paraId="40B4CF8C" w14:textId="77777777" w:rsidR="00151C6C" w:rsidRDefault="00151C6C">
      <w:pPr>
        <w:jc w:val="both"/>
      </w:pPr>
    </w:p>
    <w:p w14:paraId="738AF3EA" w14:textId="77777777" w:rsidR="00151C6C" w:rsidRDefault="00BF564B">
      <w:pPr>
        <w:jc w:val="both"/>
      </w:pPr>
      <w:r>
        <w:t>Based on the legal and policy framework and the experiences of women and girls with disabilities in Ghana, we would like to suggest the following key recommendations to the CRPD Committee (please see Section VI below for a full list of recommendations):</w:t>
      </w:r>
    </w:p>
    <w:p w14:paraId="34BC51D8" w14:textId="77777777" w:rsidR="00151C6C" w:rsidRDefault="00BF564B">
      <w:pPr>
        <w:pStyle w:val="ListParagraph"/>
        <w:numPr>
          <w:ilvl w:val="0"/>
          <w:numId w:val="15"/>
        </w:numPr>
        <w:jc w:val="both"/>
      </w:pPr>
      <w:r>
        <w:t>Gather disaggregated data that includes gender, disability, age, and other factors, across all sectors including health, education, employment, political participation, access to justice, social protection, violence, migration and internal displacement, and analyze this data through an intersectional lens in order to better understand the lived experiences of women and girls with disabilities in Ghana.</w:t>
      </w:r>
    </w:p>
    <w:p w14:paraId="379C8C6F" w14:textId="77777777" w:rsidR="00151C6C" w:rsidRDefault="00BF564B">
      <w:pPr>
        <w:pStyle w:val="ListParagraph"/>
        <w:numPr>
          <w:ilvl w:val="0"/>
          <w:numId w:val="15"/>
        </w:numPr>
        <w:jc w:val="both"/>
      </w:pPr>
      <w:r>
        <w:t xml:space="preserve">Engage women with disabilities, including through their representative organizations, in the development, implementation, monitoring, and evaluation of all laws, policies, and </w:t>
      </w:r>
      <w:r>
        <w:lastRenderedPageBreak/>
        <w:t>programmes that will impact their rights, including those developed through the National Council for Persons with Disabilities.</w:t>
      </w:r>
    </w:p>
    <w:p w14:paraId="0BC44450" w14:textId="77777777" w:rsidR="00151C6C" w:rsidRDefault="00BF564B">
      <w:pPr>
        <w:pStyle w:val="ListParagraph"/>
        <w:numPr>
          <w:ilvl w:val="0"/>
          <w:numId w:val="15"/>
        </w:numPr>
        <w:jc w:val="both"/>
      </w:pPr>
      <w:r>
        <w:t>Ensure better access to accessible education and equality employment opportunities for women with disabilities and that social protection programs reach women and girls with disabilities and their families.</w:t>
      </w:r>
    </w:p>
    <w:p w14:paraId="037D5734" w14:textId="77777777" w:rsidR="00151C6C" w:rsidRDefault="00BF564B">
      <w:pPr>
        <w:pStyle w:val="ListParagraph"/>
        <w:numPr>
          <w:ilvl w:val="0"/>
          <w:numId w:val="15"/>
        </w:numPr>
        <w:jc w:val="both"/>
      </w:pPr>
      <w:r>
        <w:t>Reform the 2014 National Reproductive Health Policy and Standards to (1) include guidance to ensure the disability-related accessibility, availability, and quality of sexual and reproductive health services for women, girls, and other persons with disabilities, including disability training for reproductive healthcare providers; and (2) remove provisions that discriminate against women with disabilities. Monitor and report on the implementation of this policy as it impacts access to quality and respectful SRH information, goods, and services for women and girls with disabilities.</w:t>
      </w:r>
    </w:p>
    <w:p w14:paraId="7A872AD2" w14:textId="77777777" w:rsidR="00151C6C" w:rsidRDefault="00BF564B">
      <w:pPr>
        <w:pStyle w:val="ListParagraph"/>
        <w:numPr>
          <w:ilvl w:val="0"/>
          <w:numId w:val="15"/>
        </w:numPr>
        <w:jc w:val="both"/>
      </w:pPr>
      <w:r>
        <w:t>Reform laws and policies related to violence, including gender-based violence, to ensure that they include and address the specific risk factors and forms of violence experienced by women and girls with disabilities. Provide guidance to violence service providers and justice systems actors on ensuring that their services are fully accessible and are disability inclusive and responsive. Reform the Evidence Act of 1975 to remove provisions that allow judges to disqualify some witnesses with disabilities based on communication barriers.</w:t>
      </w:r>
    </w:p>
    <w:p w14:paraId="2E82BEB0" w14:textId="77777777" w:rsidR="00151C6C" w:rsidRDefault="00151C6C">
      <w:pPr>
        <w:jc w:val="both"/>
      </w:pPr>
    </w:p>
    <w:p w14:paraId="68DA3E47" w14:textId="77777777" w:rsidR="00151C6C" w:rsidRDefault="00BF564B">
      <w:pPr>
        <w:pStyle w:val="ListParagraph"/>
        <w:numPr>
          <w:ilvl w:val="0"/>
          <w:numId w:val="1"/>
        </w:numPr>
        <w:jc w:val="both"/>
        <w:rPr>
          <w:b/>
          <w:bCs/>
        </w:rPr>
      </w:pPr>
      <w:r>
        <w:rPr>
          <w:b/>
          <w:bCs/>
        </w:rPr>
        <w:t>Situation of women and girls with disabilities in legal and policy frameworks (art. 6) and participation of women and girls with disabilities in decision-making (art. 29)</w:t>
      </w:r>
    </w:p>
    <w:p w14:paraId="1794098E" w14:textId="77777777" w:rsidR="00151C6C" w:rsidRDefault="00151C6C">
      <w:pPr>
        <w:jc w:val="both"/>
      </w:pPr>
    </w:p>
    <w:p w14:paraId="253F454F" w14:textId="77777777" w:rsidR="00151C6C" w:rsidRDefault="00BF564B">
      <w:pPr>
        <w:jc w:val="both"/>
      </w:pPr>
      <w:r>
        <w:t xml:space="preserve">Ghana has adopted several key legislative and policy measures addressing gender, disability, and inclusion. </w:t>
      </w:r>
    </w:p>
    <w:p w14:paraId="0752AE6F" w14:textId="77777777" w:rsidR="00151C6C" w:rsidRDefault="00BF564B">
      <w:pPr>
        <w:pStyle w:val="ListParagraph"/>
        <w:numPr>
          <w:ilvl w:val="0"/>
          <w:numId w:val="23"/>
        </w:numPr>
        <w:jc w:val="both"/>
      </w:pPr>
      <w:r>
        <w:t>The Ghanaian Constitution, specifically Articles 17 and 27, prohibits gender discrimination and guarantees equal rights for women.</w:t>
      </w:r>
      <w:r>
        <w:rPr>
          <w:rStyle w:val="FootnoteReference"/>
        </w:rPr>
        <w:footnoteReference w:id="2"/>
      </w:r>
      <w:r>
        <w:t xml:space="preserve"> </w:t>
      </w:r>
    </w:p>
    <w:p w14:paraId="09FA9DC9" w14:textId="77777777" w:rsidR="00151C6C" w:rsidRDefault="00BF564B">
      <w:pPr>
        <w:pStyle w:val="ListParagraph"/>
        <w:numPr>
          <w:ilvl w:val="0"/>
          <w:numId w:val="23"/>
        </w:numPr>
        <w:jc w:val="both"/>
      </w:pPr>
      <w:r>
        <w:t>Ghana’s National Gender Policy aims to promote gender equality and specifically addresses the needs of women and girls with disabilities.</w:t>
      </w:r>
      <w:r>
        <w:rPr>
          <w:rStyle w:val="FootnoteReference"/>
        </w:rPr>
        <w:footnoteReference w:id="3"/>
      </w:r>
      <w:r>
        <w:t xml:space="preserve">  The Ghana National Gender Policy (NGP) addresses gender inequalities, emphasizing the inclusion and empowerment of women and girls with disabilities. The policy underscores the importance of accessible education, healthcare services tailored to specific needs, and economic empowerment through skills training and employment opportunities. It calls for enforcing laws protecting the rights of women and girls with disabilities and awareness campaigns to combat stigma and discrimination. Furthermore, the NGP outlines the need to include women with disabilities in decision-making processes. While the policy provides a solid framework, its success depends on effective implementation, adequate resources, comprehensive support systems, community engagement, and continuous feedback and improvement. Ultimately, the NGP's effectiveness hinges on robust implementation and active government and stakeholder engagement.</w:t>
      </w:r>
    </w:p>
    <w:p w14:paraId="6E83EA1B" w14:textId="77777777" w:rsidR="00151C6C" w:rsidRDefault="00BF564B">
      <w:pPr>
        <w:pStyle w:val="ListParagraph"/>
        <w:numPr>
          <w:ilvl w:val="0"/>
          <w:numId w:val="23"/>
        </w:numPr>
        <w:jc w:val="both"/>
      </w:pPr>
      <w:r>
        <w:t xml:space="preserve">The Persons with Disability Act of 2006 (Act 715) ensures equal rights and non-discrimination, mandates accessibility, promotes equal employment opportunities, and guarantees educational access for persons with disabilities, encompassing men and women with disabilities; however the provisions of the Persons with Disability Act of 2006 are not </w:t>
      </w:r>
      <w:r>
        <w:lastRenderedPageBreak/>
        <w:t>yet aligned with the CRPD as regards important issues impacting women and girls with disabilities, including freedom from violence, sexual and reproductive health and rights, and intersectional discrimination.</w:t>
      </w:r>
      <w:r>
        <w:rPr>
          <w:rStyle w:val="FootnoteReference"/>
        </w:rPr>
        <w:footnoteReference w:id="4"/>
      </w:r>
      <w:r>
        <w:t xml:space="preserve"> Recently, Parliament began its consideration of a new Persons with Disabilities Bill 2024 that would mirror many CRPD provisions, including as they relate to gender and disability.</w:t>
      </w:r>
    </w:p>
    <w:p w14:paraId="55B8EF97" w14:textId="77777777" w:rsidR="00151C6C" w:rsidRDefault="00151C6C">
      <w:pPr>
        <w:jc w:val="both"/>
      </w:pPr>
    </w:p>
    <w:p w14:paraId="32CC4F58" w14:textId="77777777" w:rsidR="00151C6C" w:rsidRDefault="00BF564B">
      <w:pPr>
        <w:spacing w:line="276" w:lineRule="auto"/>
        <w:jc w:val="both"/>
      </w:pPr>
      <w:r>
        <w:t>Women and girls with disabilities are often not involved in the development of laws and policies that affect them. Generally in Ghana, women’s participation in decision-making processes remains low.</w:t>
      </w:r>
      <w:r>
        <w:rPr>
          <w:rStyle w:val="FootnoteReference"/>
        </w:rPr>
        <w:footnoteReference w:id="5"/>
      </w:r>
      <w:r>
        <w:t xml:space="preserve"> Qualitative and quantitative data specifically on the participation of women with disabilities in decision-making roles is limited, reflecting broader societal barriers such as stigma, lack of accessibility, and limited educational and economic opportunities.</w:t>
      </w:r>
      <w:r>
        <w:rPr>
          <w:rStyle w:val="FootnoteReference"/>
        </w:rPr>
        <w:footnoteReference w:id="6"/>
      </w:r>
      <w:r>
        <w:t xml:space="preserve"> In 2023, an Affirmative Action Bill, which was aimed at increasing the participation of women in public office in Ghana, had its first reading in Parliament. The yet-to-be-adopted Affirmative Action Bill (Gender Equality Bill, 2024) does not make provisions to include women with disabilities. </w:t>
      </w:r>
    </w:p>
    <w:p w14:paraId="630CB47D" w14:textId="77777777" w:rsidR="00151C6C" w:rsidRDefault="00151C6C">
      <w:pPr>
        <w:jc w:val="both"/>
      </w:pPr>
    </w:p>
    <w:p w14:paraId="79751139" w14:textId="77777777" w:rsidR="00151C6C" w:rsidRDefault="00BF564B">
      <w:pPr>
        <w:jc w:val="both"/>
      </w:pPr>
      <w:r>
        <w:t>Women and girls with disabilities face further exclusion from decision-making, including in political participation. As GFD and partners outlined in its “</w:t>
      </w:r>
      <w:r>
        <w:rPr>
          <w:i/>
          <w:iCs/>
        </w:rPr>
        <w:t>Leave No Woman Behind National Report on the Situation of Women with Disabilities in Ghana,</w:t>
      </w:r>
      <w:r>
        <w:t xml:space="preserve"> women with disabilities are not considered for high-level positions in the Ministry of Gender Children, and Social Protection—the Ministry that is primarily charged with ensuring the promotion of both gender and disability rights. Furthermore, there is no guidance to political parties on the inclusion of women with disabilities in their work, nor the financial backing and resources for women with disabilities to run for office. Women with disabilities also face stigma and discrimination when considering running for political office. As one woman reported in the 2020 Leave no Woman Behind report:</w:t>
      </w:r>
    </w:p>
    <w:p w14:paraId="1B22B48A" w14:textId="77777777" w:rsidR="00151C6C" w:rsidRDefault="00151C6C">
      <w:pPr>
        <w:jc w:val="both"/>
      </w:pPr>
    </w:p>
    <w:p w14:paraId="1D74DD4A" w14:textId="77777777" w:rsidR="00151C6C" w:rsidRDefault="00BF564B">
      <w:pPr>
        <w:ind w:left="720"/>
        <w:jc w:val="both"/>
      </w:pPr>
      <w:r>
        <w:t>“‘I attended meetings in my community, learnt a lot and I shared my grievances with the MPs, including that being a woman with disability is not easy in this country. I was asked by a male whether I was popular, whether I had money, and would I be able to stand the discrimination? I concluded I did not have the finances and, although I was popular in the community, as I am a wheelchair user and need support to get around, I could not succeed.” She added that she had reached out to the party secretary for financing, but the party was not willing because ‘they don’t do it for women with disabilities.’”</w:t>
      </w:r>
      <w:r>
        <w:rPr>
          <w:rStyle w:val="FootnoteReference"/>
        </w:rPr>
        <w:footnoteReference w:id="7"/>
      </w:r>
    </w:p>
    <w:p w14:paraId="275A1A7B" w14:textId="77777777" w:rsidR="00151C6C" w:rsidRDefault="00151C6C"/>
    <w:p w14:paraId="46B695CF" w14:textId="77777777" w:rsidR="00151C6C" w:rsidRDefault="00BF564B">
      <w:pPr>
        <w:pStyle w:val="ListParagraph"/>
        <w:numPr>
          <w:ilvl w:val="0"/>
          <w:numId w:val="1"/>
        </w:numPr>
        <w:jc w:val="both"/>
      </w:pPr>
      <w:r>
        <w:rPr>
          <w:b/>
          <w:bCs/>
        </w:rPr>
        <w:t>Work, employment, social protection, and adequate standard of living for women and girls with disabilities (arts. 27 and 28</w:t>
      </w:r>
      <w:r>
        <w:t>)</w:t>
      </w:r>
    </w:p>
    <w:p w14:paraId="659DF7B8" w14:textId="77777777" w:rsidR="00151C6C" w:rsidRDefault="00151C6C">
      <w:pPr>
        <w:jc w:val="both"/>
      </w:pPr>
    </w:p>
    <w:p w14:paraId="78353FA8" w14:textId="77777777" w:rsidR="00151C6C" w:rsidRDefault="00BF564B">
      <w:pPr>
        <w:jc w:val="both"/>
      </w:pPr>
      <w:r>
        <w:t>Women and girls with disabilities in Ghana face significant barriers to employment and social protection. The Labour Act of 2003 prohibits discrimination based on gender and disability, including ensuring equal pay for equal work.</w:t>
      </w:r>
      <w:r>
        <w:rPr>
          <w:rStyle w:val="FootnoteReference"/>
        </w:rPr>
        <w:footnoteReference w:id="8"/>
      </w:r>
      <w:r>
        <w:t xml:space="preserve"> Existing data indicates that despite this legislation, both gender and disability have a negative impact on employment for all people in Ghana. For instance, although women and men have similar levels of employment, women are much less likely to be employed in the formal sector (25% of men vs. 8.2% of women), while women are much more likely to be employed in what is considered “vulnerable” employment such as street trading and work for the family (78% of employed women vs. 58.3% of employed men).</w:t>
      </w:r>
      <w:r>
        <w:rPr>
          <w:rStyle w:val="FootnoteReference"/>
        </w:rPr>
        <w:footnoteReference w:id="9"/>
      </w:r>
      <w:r>
        <w:t xml:space="preserve"> These gender disparities may then be compounded for women with disabilities in Ghana, who also experience disparities in employment due to disability.</w:t>
      </w:r>
    </w:p>
    <w:p w14:paraId="2DD80CDD" w14:textId="77777777" w:rsidR="00151C6C" w:rsidRDefault="00151C6C">
      <w:pPr>
        <w:jc w:val="both"/>
      </w:pPr>
    </w:p>
    <w:p w14:paraId="54724570" w14:textId="77777777" w:rsidR="00151C6C" w:rsidRDefault="00BF564B">
      <w:pPr>
        <w:spacing w:line="276" w:lineRule="auto"/>
        <w:jc w:val="both"/>
      </w:pPr>
      <w:r>
        <w:t>Participants in the June 2024 focus groups reported that women with disabilities face challenges in accessing information and resources. Participants mentioned a lack of accessible information regarding their rights, available support services, and opportunities. Participants also shared their experiences on how societal stigma and lack of understanding surrounding women with disabilities prevented them from securing employment, and about denial of reasonable accommodations in employment.</w:t>
      </w:r>
    </w:p>
    <w:p w14:paraId="3EDEBAA5" w14:textId="77777777" w:rsidR="00151C6C" w:rsidRDefault="00BF564B">
      <w:pPr>
        <w:pStyle w:val="ListParagraph"/>
        <w:numPr>
          <w:ilvl w:val="0"/>
          <w:numId w:val="21"/>
        </w:numPr>
        <w:spacing w:line="276" w:lineRule="auto"/>
        <w:jc w:val="both"/>
      </w:pPr>
      <w:r>
        <w:t xml:space="preserve">A woman with albinism shared her experience on how a company was hesitant to hire her due to perceived concerns about customer's reactions to her being a person with albinism, demonstrating a lack of awareness and empathy. She also shared her experience on reasonable accommodation from her previous job. Due to the lack of understanding and willingness from her previous employers to accommodate her disability needs, the employer failed to recognize the importance of protecting her from excessive heat, which negatively impacted her health and ultimately led to her resignation. </w:t>
      </w:r>
    </w:p>
    <w:p w14:paraId="01AB276F" w14:textId="77777777" w:rsidR="00151C6C" w:rsidRDefault="00BF564B">
      <w:pPr>
        <w:pStyle w:val="ListParagraph"/>
        <w:numPr>
          <w:ilvl w:val="0"/>
          <w:numId w:val="21"/>
        </w:numPr>
        <w:spacing w:line="276" w:lineRule="auto"/>
        <w:jc w:val="both"/>
      </w:pPr>
      <w:r>
        <w:t xml:space="preserve">Some shared experiences of exploitative practices by companies seeking to benefit from diversity initiatives by employing persons with disabilities to get more funding from donors but not taking into consideration their need for reasonable accommodation to enable them effectively carry out their duties. </w:t>
      </w:r>
    </w:p>
    <w:p w14:paraId="1E14787C" w14:textId="77777777" w:rsidR="00151C6C" w:rsidRDefault="00151C6C">
      <w:pPr>
        <w:spacing w:line="276" w:lineRule="auto"/>
        <w:jc w:val="both"/>
      </w:pPr>
    </w:p>
    <w:p w14:paraId="125EF881" w14:textId="77777777" w:rsidR="00151C6C" w:rsidRDefault="00BF564B">
      <w:pPr>
        <w:spacing w:line="276" w:lineRule="auto"/>
        <w:jc w:val="both"/>
      </w:pPr>
      <w:r>
        <w:t xml:space="preserve">Participants in the June 2024 focus groups also reported that deaf persons and persons with hearing impairment often face discrimination in the workplace. A deaf woman shared that an employer was hesitant to hire a as sign language interpreter who will support her to communicate with the other staff. Some women with disabilities also shared experiences of sexual harassment and abuse from employers who promised them jobs in exchange of Sexual favors. Also, due to stigma and misconceptions of issues surrounding deaf persons, deaf graduates are mostly posted to deaf </w:t>
      </w:r>
      <w:r>
        <w:lastRenderedPageBreak/>
        <w:t xml:space="preserve">schools because no employer wants to bear the cost of sign language interpreter to support their work. This limits the opportunity of deaf persons beyond the teaching field and beyond schools for the Deaf. </w:t>
      </w:r>
    </w:p>
    <w:p w14:paraId="607033F8" w14:textId="77777777" w:rsidR="00151C6C" w:rsidRDefault="00151C6C">
      <w:pPr>
        <w:jc w:val="both"/>
      </w:pPr>
    </w:p>
    <w:p w14:paraId="4B869965" w14:textId="77777777" w:rsidR="00151C6C" w:rsidRDefault="00BF564B">
      <w:pPr>
        <w:jc w:val="both"/>
      </w:pPr>
      <w:r>
        <w:t>Barriers to accessible and inclusive education, including vocational and technical education, for women and girls with disabilities significantly hinder their access to employment.</w:t>
      </w:r>
      <w:r>
        <w:rPr>
          <w:rStyle w:val="FootnoteReference"/>
        </w:rPr>
        <w:footnoteReference w:id="10"/>
      </w:r>
      <w:r>
        <w:t xml:space="preserve"> For instance, one woman with epilepsy who participated in a focus groups form a report published by GFD and partners in 2020, </w:t>
      </w:r>
      <w:r>
        <w:rPr>
          <w:i/>
          <w:iCs/>
        </w:rPr>
        <w:t>Leave No Woman Behind National Report on the Situation of Women with Disabilities in Ghana</w:t>
      </w:r>
      <w:r>
        <w:t>, reported that “her doctor advised her to drop out of normal school because the curriculum was considered heavy.”</w:t>
      </w:r>
      <w:r>
        <w:rPr>
          <w:rStyle w:val="FootnoteReference"/>
        </w:rPr>
        <w:footnoteReference w:id="11"/>
      </w:r>
      <w:r>
        <w:t xml:space="preserve"> The report asserts that visually-impaired people lack accessible instructional materials and methods of instructions, while women and girls with mental disabilities do not even learn basic skills in education systems.</w:t>
      </w:r>
      <w:r>
        <w:rPr>
          <w:rStyle w:val="FootnoteReference"/>
        </w:rPr>
        <w:footnoteReference w:id="12"/>
      </w:r>
    </w:p>
    <w:p w14:paraId="05B78B8A" w14:textId="77777777" w:rsidR="00151C6C" w:rsidRDefault="00151C6C">
      <w:pPr>
        <w:jc w:val="both"/>
      </w:pPr>
    </w:p>
    <w:p w14:paraId="6D70EA6C" w14:textId="77777777" w:rsidR="00151C6C" w:rsidRDefault="00BF564B">
      <w:pPr>
        <w:jc w:val="both"/>
      </w:pPr>
      <w:r>
        <w:t xml:space="preserve">Recent legislation adopted to ensure social protection for persons with disabilities has the potential to have a substantial positive impact on women and girls with disabilities, with some gaps. For instance, one blind woman who participated in focus groups to inform the 2020 </w:t>
      </w:r>
      <w:r>
        <w:rPr>
          <w:i/>
          <w:iCs/>
        </w:rPr>
        <w:t>Leave No Woman Behind</w:t>
      </w:r>
      <w:r>
        <w:t xml:space="preserve"> report reported that the Livelihoods Empowerment Against Poverty (LEAP) Programme allowed her to stop begging on the streets for money and allowed her to purchase food to adequately feed both her and her family.</w:t>
      </w:r>
      <w:r>
        <w:rPr>
          <w:rStyle w:val="FootnoteReference"/>
        </w:rPr>
        <w:footnoteReference w:id="13"/>
      </w:r>
      <w:r>
        <w:t xml:space="preserve"> However, access to LEAP and other social protection programs remained. Of the 11 women with disabilities who participated in the focus groups for the 2020 </w:t>
      </w:r>
      <w:r>
        <w:rPr>
          <w:i/>
          <w:iCs/>
        </w:rPr>
        <w:t>Leave No Woman Behind</w:t>
      </w:r>
      <w:r>
        <w:t xml:space="preserve"> report, only 6 had been able to access needed social protection.</w:t>
      </w:r>
      <w:r>
        <w:rPr>
          <w:rStyle w:val="FootnoteReference"/>
        </w:rPr>
        <w:footnoteReference w:id="14"/>
      </w:r>
      <w:r>
        <w:t xml:space="preserve">  According to the participants in the June 2024 focus groups, access to essential information about social protection programs is a significant barrier. Women with hearing impairments, in particular, struggle to obtain clear and accessible information about programs like the National Health Insurance and the Disability component of the District Common Fund. They often do not know how to renew their benefits or where to find the necessary information. One deaf woman from the focus group discussion shared, "I missed out on renewing my health insurance because when I went to the center for renewal, there was no sign language interpreter to support me in communicating to the officers." </w:t>
      </w:r>
    </w:p>
    <w:p w14:paraId="1FDE2168" w14:textId="77777777" w:rsidR="00151C6C" w:rsidRDefault="00151C6C">
      <w:pPr>
        <w:jc w:val="both"/>
      </w:pPr>
    </w:p>
    <w:p w14:paraId="27B4431D" w14:textId="77777777" w:rsidR="00151C6C" w:rsidRDefault="00BF564B">
      <w:pPr>
        <w:pStyle w:val="ListParagraph"/>
        <w:numPr>
          <w:ilvl w:val="0"/>
          <w:numId w:val="1"/>
        </w:numPr>
        <w:jc w:val="both"/>
        <w:rPr>
          <w:b/>
          <w:bCs/>
        </w:rPr>
      </w:pPr>
      <w:r>
        <w:rPr>
          <w:b/>
          <w:bCs/>
        </w:rPr>
        <w:t>Sexual and reproductive health and rights, including respect for home and family for women and girls with disabilities (arts. 23 and 25)</w:t>
      </w:r>
    </w:p>
    <w:p w14:paraId="497F6914" w14:textId="77777777" w:rsidR="00151C6C" w:rsidRDefault="00151C6C">
      <w:pPr>
        <w:jc w:val="both"/>
      </w:pPr>
    </w:p>
    <w:p w14:paraId="37EF1149" w14:textId="77777777" w:rsidR="00151C6C" w:rsidRDefault="00BF564B">
      <w:pPr>
        <w:jc w:val="both"/>
      </w:pPr>
      <w:r>
        <w:t xml:space="preserve">Women and girls with disabilities in Ghana have the same sexual and reproductive rights and the same need for sexual and reproductive health (SRH) information, goods, and services as do other women. The experience of women and girls with disabilities in exercising these rights and receiving SRH, however, is considerably different, due to factors based on their disability, gender, age, and other statuses. </w:t>
      </w:r>
    </w:p>
    <w:p w14:paraId="6977025F" w14:textId="77777777" w:rsidR="00151C6C" w:rsidRDefault="00151C6C">
      <w:pPr>
        <w:jc w:val="both"/>
      </w:pPr>
    </w:p>
    <w:p w14:paraId="15A2E316" w14:textId="77777777" w:rsidR="00151C6C" w:rsidRDefault="00BF564B">
      <w:pPr>
        <w:pStyle w:val="ListParagraph"/>
        <w:numPr>
          <w:ilvl w:val="0"/>
          <w:numId w:val="7"/>
        </w:numPr>
        <w:jc w:val="both"/>
        <w:rPr>
          <w:i/>
          <w:iCs/>
        </w:rPr>
      </w:pPr>
      <w:r>
        <w:rPr>
          <w:i/>
          <w:iCs/>
        </w:rPr>
        <w:t>Availability, Accessibility, Affordability, and Quality of SRH Information, Goods, and Services</w:t>
      </w:r>
    </w:p>
    <w:p w14:paraId="24EE7E0A" w14:textId="77777777" w:rsidR="00151C6C" w:rsidRDefault="00151C6C">
      <w:pPr>
        <w:jc w:val="both"/>
      </w:pPr>
    </w:p>
    <w:p w14:paraId="6C65FE34" w14:textId="77777777" w:rsidR="00151C6C" w:rsidRDefault="00BF564B">
      <w:pPr>
        <w:jc w:val="both"/>
      </w:pPr>
      <w:r>
        <w:t>In 2014, Ghana adopted a National Reproductive Health Policy and Standards (Policy and Standards), which guide the provision of reproductive health care in the country. The Policy and Standards outline actions to ensure access to a range of sexual and reproductive health services, including abortion, contraception, maternal health services, menopause services, infertility treatment, and cancer screening and treatment.</w:t>
      </w:r>
      <w:r>
        <w:rPr>
          <w:rStyle w:val="FootnoteReference"/>
        </w:rPr>
        <w:footnoteReference w:id="15"/>
      </w:r>
      <w:r>
        <w:t xml:space="preserve"> Critically, however, the Policy and Standards do not specifically address women and girls with disabilities, nor do their provisions adequately address the particular barriers that women and girls with disabilities face in accessing sexual and reproductive health information, goods, and services in Ghana. </w:t>
      </w:r>
    </w:p>
    <w:p w14:paraId="1FD5F00D" w14:textId="77777777" w:rsidR="00151C6C" w:rsidRDefault="00BF564B">
      <w:pPr>
        <w:pStyle w:val="ListParagraph"/>
        <w:numPr>
          <w:ilvl w:val="0"/>
          <w:numId w:val="8"/>
        </w:numPr>
        <w:jc w:val="both"/>
      </w:pPr>
      <w:r>
        <w:t xml:space="preserve">For instance, to the extent that the Policy and Standards address the issue of accessibility, it appears to be with a broad understanding of “access” rather than disability-related accessibility. </w:t>
      </w:r>
    </w:p>
    <w:p w14:paraId="6D66F092" w14:textId="77777777" w:rsidR="00151C6C" w:rsidRDefault="00BF564B">
      <w:pPr>
        <w:pStyle w:val="ListParagraph"/>
        <w:numPr>
          <w:ilvl w:val="0"/>
          <w:numId w:val="8"/>
        </w:numPr>
        <w:jc w:val="both"/>
      </w:pPr>
      <w:r>
        <w:t xml:space="preserve">Furthermore, while the section focused on “Training of Reproductive Health Service Providers” notes that these providers should be trained on gender issues, it does not include provisions for training on gender as it intersects with other identities (beyond adolescents), on disability, or on human rights standards broadly that impact reproductive health and rights. </w:t>
      </w:r>
      <w:r>
        <w:rPr>
          <w:rStyle w:val="FootnoteReference"/>
        </w:rPr>
        <w:footnoteReference w:id="16"/>
      </w:r>
    </w:p>
    <w:p w14:paraId="212806AE" w14:textId="77777777" w:rsidR="00151C6C" w:rsidRDefault="00151C6C">
      <w:pPr>
        <w:jc w:val="both"/>
      </w:pPr>
    </w:p>
    <w:p w14:paraId="1794FB95" w14:textId="77777777" w:rsidR="00151C6C" w:rsidRDefault="00BF564B">
      <w:pPr>
        <w:jc w:val="both"/>
      </w:pPr>
      <w:r>
        <w:t>In 2018, GFD published an important report on barriers to sexual and reproductive health and rights of persons with disabilities in Ghana. This report, alongside other research into SRH for persons with disabilities, indicates that physical inaccessibility of health facilities, lack of disability-sensitive training for healthcare providers, and inadequate availability of information in accessible formats (e.g., Braille, sign language) remain barriers to the full realization of SRHR for women and girls with disabilities in Ghana.</w:t>
      </w:r>
      <w:r>
        <w:rPr>
          <w:rStyle w:val="FootnoteReference"/>
        </w:rPr>
        <w:footnoteReference w:id="17"/>
      </w:r>
      <w:r>
        <w:t xml:space="preserve"> </w:t>
      </w:r>
    </w:p>
    <w:p w14:paraId="498449B6" w14:textId="77777777" w:rsidR="00151C6C" w:rsidRDefault="00151C6C">
      <w:pPr>
        <w:jc w:val="both"/>
      </w:pPr>
    </w:p>
    <w:p w14:paraId="730CA900" w14:textId="77777777" w:rsidR="00151C6C" w:rsidRDefault="00BF564B">
      <w:pPr>
        <w:jc w:val="both"/>
      </w:pPr>
      <w:r>
        <w:t>In GFD’s 2018 report, persons with disabilities identified several major barriers to accessing SRH services, including lack of accessible information about sexual and reproductive health (57%), lack of money for transportation to services (55%), the unaffordability of SRH services (52%), and that the attitudes of health providers (50%).</w:t>
      </w:r>
      <w:r>
        <w:rPr>
          <w:rStyle w:val="FootnoteReference"/>
        </w:rPr>
        <w:footnoteReference w:id="18"/>
      </w:r>
      <w:r>
        <w:t xml:space="preserve"> Nearly half (47%) of the study participants also identified that SRH facilities were far away from their homes or that the built environment (42%) posed a barrier to their accessing services.</w:t>
      </w:r>
      <w:r>
        <w:rPr>
          <w:rStyle w:val="FootnoteReference"/>
        </w:rPr>
        <w:t xml:space="preserve"> </w:t>
      </w:r>
      <w:r>
        <w:rPr>
          <w:rStyle w:val="FootnoteReference"/>
        </w:rPr>
        <w:footnoteReference w:id="19"/>
      </w:r>
      <w:r>
        <w:t xml:space="preserve"> More than two-thirds of the  study participants (67%) indicated that they did not have access to sexuality education or counseling.</w:t>
      </w:r>
      <w:r>
        <w:rPr>
          <w:rStyle w:val="FootnoteReference"/>
        </w:rPr>
        <w:footnoteReference w:id="20"/>
      </w:r>
      <w:r>
        <w:t xml:space="preserve"> As a result of these barriers:</w:t>
      </w:r>
    </w:p>
    <w:p w14:paraId="47BC55B1" w14:textId="77777777" w:rsidR="00151C6C" w:rsidRDefault="00BF564B">
      <w:pPr>
        <w:pStyle w:val="ListParagraph"/>
        <w:numPr>
          <w:ilvl w:val="0"/>
          <w:numId w:val="6"/>
        </w:numPr>
        <w:jc w:val="both"/>
      </w:pPr>
      <w:r>
        <w:t>Nearly three-quarters (71%) of women with disabilities who participated in the study said they had never been screened for SRH-related cancers.</w:t>
      </w:r>
      <w:r>
        <w:rPr>
          <w:rStyle w:val="FootnoteReference"/>
        </w:rPr>
        <w:footnoteReference w:id="21"/>
      </w:r>
      <w:r>
        <w:t xml:space="preserve"> </w:t>
      </w:r>
    </w:p>
    <w:p w14:paraId="1F304856" w14:textId="77777777" w:rsidR="00151C6C" w:rsidRDefault="00BF564B">
      <w:pPr>
        <w:pStyle w:val="ListParagraph"/>
        <w:numPr>
          <w:ilvl w:val="0"/>
          <w:numId w:val="6"/>
        </w:numPr>
        <w:jc w:val="both"/>
      </w:pPr>
      <w:r>
        <w:t xml:space="preserve">While knowledge of oral and other forms of contraceptives was high amongst study participants (68%), use of these contraceptives was not. Only 8% of women with </w:t>
      </w:r>
      <w:r>
        <w:lastRenderedPageBreak/>
        <w:t>disabilities who participated in the study had used oral contraceptives, and only 6% had used intrauterine devices (IUDs).</w:t>
      </w:r>
      <w:r>
        <w:rPr>
          <w:rStyle w:val="FootnoteReference"/>
        </w:rPr>
        <w:footnoteReference w:id="22"/>
      </w:r>
      <w:r>
        <w:t xml:space="preserve">  </w:t>
      </w:r>
    </w:p>
    <w:p w14:paraId="1A53C756" w14:textId="77777777" w:rsidR="00151C6C" w:rsidRDefault="00151C6C">
      <w:pPr>
        <w:jc w:val="both"/>
      </w:pPr>
    </w:p>
    <w:p w14:paraId="1B12FBA5" w14:textId="77777777" w:rsidR="00151C6C" w:rsidRDefault="00BF564B">
      <w:pPr>
        <w:jc w:val="both"/>
      </w:pPr>
      <w:r>
        <w:t>Further support for these findings comes from a 2023 academic study that assessed the awareness of persons with disabilities about SRH services and whether these services met their needs. Participants in this 2023 study reported major barriers to accessing needed SRH services.</w:t>
      </w:r>
    </w:p>
    <w:p w14:paraId="424CB4C5" w14:textId="77777777" w:rsidR="00151C6C" w:rsidRDefault="00BF564B">
      <w:pPr>
        <w:pStyle w:val="ListParagraph"/>
        <w:numPr>
          <w:ilvl w:val="0"/>
          <w:numId w:val="3"/>
        </w:numPr>
        <w:jc w:val="both"/>
      </w:pPr>
      <w:r>
        <w:rPr>
          <w:b/>
          <w:bCs/>
        </w:rPr>
        <w:t>Accessibility barriers:</w:t>
      </w:r>
      <w:r>
        <w:t xml:space="preserve">  Study participants reported that SRH facilities may not be physically accessible and may lack physically accessible beds and equipment, which makes navigating these services much more difficult. As one study participant put it, these barriers made it so that SRH services are not perceived as “disability-friendly.”</w:t>
      </w:r>
      <w:r>
        <w:rPr>
          <w:rStyle w:val="FootnoteReference"/>
        </w:rPr>
        <w:footnoteReference w:id="23"/>
      </w:r>
    </w:p>
    <w:p w14:paraId="13BFBC84" w14:textId="77777777" w:rsidR="00151C6C" w:rsidRDefault="00BF564B">
      <w:pPr>
        <w:pStyle w:val="ListParagraph"/>
        <w:numPr>
          <w:ilvl w:val="0"/>
          <w:numId w:val="3"/>
        </w:numPr>
        <w:jc w:val="both"/>
      </w:pPr>
      <w:r>
        <w:rPr>
          <w:b/>
          <w:bCs/>
        </w:rPr>
        <w:t>Affordability:</w:t>
      </w:r>
      <w:r>
        <w:t xml:space="preserve"> Many participants reported that the high direct costs—such as the costs of services and medications that may not be fully covered by the national health system—and indirect costs—such as time and costs for transportation to get to accessible health facilities—of accessing SRH services posed a barrier to access. </w:t>
      </w:r>
    </w:p>
    <w:p w14:paraId="3DAFCA5A" w14:textId="77777777" w:rsidR="00151C6C" w:rsidRDefault="00BF564B">
      <w:pPr>
        <w:pStyle w:val="ListParagraph"/>
        <w:numPr>
          <w:ilvl w:val="0"/>
          <w:numId w:val="3"/>
        </w:numPr>
        <w:jc w:val="both"/>
      </w:pPr>
      <w:r>
        <w:rPr>
          <w:b/>
          <w:bCs/>
        </w:rPr>
        <w:t>Negative treatment of persons with disabilities:</w:t>
      </w:r>
      <w:r>
        <w:t xml:space="preserve"> A visually impaired woman from Offinso North reported that, when accessing SRH services, “there are still challenges like how the healthcare providers talk to us.”</w:t>
      </w:r>
      <w:r>
        <w:rPr>
          <w:rStyle w:val="FootnoteReference"/>
        </w:rPr>
        <w:footnoteReference w:id="24"/>
      </w:r>
      <w:r>
        <w:t xml:space="preserve">  </w:t>
      </w:r>
    </w:p>
    <w:p w14:paraId="1BF2B397" w14:textId="77777777" w:rsidR="00151C6C" w:rsidRDefault="00151C6C">
      <w:pPr>
        <w:ind w:left="360"/>
        <w:jc w:val="both"/>
      </w:pPr>
    </w:p>
    <w:p w14:paraId="48E079FA" w14:textId="77777777" w:rsidR="00151C6C" w:rsidRDefault="00BF564B">
      <w:pPr>
        <w:jc w:val="both"/>
      </w:pPr>
      <w:r>
        <w:t xml:space="preserve">As regards </w:t>
      </w:r>
      <w:r>
        <w:rPr>
          <w:b/>
          <w:bCs/>
          <w:i/>
          <w:iCs/>
        </w:rPr>
        <w:t>maternal health services</w:t>
      </w:r>
      <w:r>
        <w:t>, the 2018 GFD report found that women with disabilities were more likely to access maternal health-related SRH services than they would other SRH services including screening for breast cancer, cervical cancer, etc and researchers reported that this may be because “the willingness of the family or partner to support because a baby is in the equation.”</w:t>
      </w:r>
      <w:r>
        <w:rPr>
          <w:rStyle w:val="FootnoteReference"/>
        </w:rPr>
        <w:footnoteReference w:id="25"/>
      </w:r>
      <w:r>
        <w:t xml:space="preserve"> At the same time, 17% of women with disabilities who participated in the study noted that they had experienced “pregnancy-related abuses.”</w:t>
      </w:r>
      <w:r>
        <w:rPr>
          <w:rStyle w:val="FootnoteReference"/>
        </w:rPr>
        <w:footnoteReference w:id="26"/>
      </w:r>
      <w:r>
        <w:t xml:space="preserve"> One participant in the 2023 study cited above, a physically disabled woman from Kumasi, further reported affordability barriers related to labor and delivery: “When you are going to deliver a baby at the hospital, you have to buy a lot of things. These things are very expensive. So, these things are major challenges especially when you don’t have money or people to support you financially.”</w:t>
      </w:r>
      <w:r>
        <w:rPr>
          <w:rStyle w:val="FootnoteReference"/>
        </w:rPr>
        <w:footnoteReference w:id="27"/>
      </w:r>
    </w:p>
    <w:p w14:paraId="66B448A8" w14:textId="77777777" w:rsidR="00151C6C" w:rsidRDefault="00151C6C">
      <w:pPr>
        <w:jc w:val="both"/>
      </w:pPr>
    </w:p>
    <w:p w14:paraId="2D5430E5" w14:textId="77777777" w:rsidR="00151C6C" w:rsidRDefault="00BF564B">
      <w:pPr>
        <w:pStyle w:val="ListParagraph"/>
        <w:numPr>
          <w:ilvl w:val="0"/>
          <w:numId w:val="7"/>
        </w:numPr>
        <w:jc w:val="both"/>
        <w:rPr>
          <w:i/>
          <w:iCs/>
        </w:rPr>
      </w:pPr>
      <w:r>
        <w:rPr>
          <w:i/>
          <w:iCs/>
        </w:rPr>
        <w:t xml:space="preserve">Stigma and stereotypes impacting access to SRH information, goods, and services </w:t>
      </w:r>
    </w:p>
    <w:p w14:paraId="11E48F32" w14:textId="77777777" w:rsidR="00151C6C" w:rsidRDefault="00151C6C">
      <w:pPr>
        <w:jc w:val="both"/>
        <w:rPr>
          <w:i/>
          <w:iCs/>
        </w:rPr>
      </w:pPr>
    </w:p>
    <w:p w14:paraId="08562804" w14:textId="77777777" w:rsidR="00151C6C" w:rsidRDefault="00BF564B">
      <w:pPr>
        <w:spacing w:line="276" w:lineRule="auto"/>
        <w:jc w:val="both"/>
      </w:pPr>
      <w:r>
        <w:t xml:space="preserve">Stigma and stereotypes at the intersection of gender and disability contribute to the barriers and abuses women and girls with disabilities face when accessing SRH information, goods, and services in Ghana. Participants in the June 2024 focus groups reported that Stigma associated with disability leads to societal expectations that women with disabilities should not be sexually active or seek romantic relationships. The stigma and pressure can make it feel like women with </w:t>
      </w:r>
      <w:r>
        <w:lastRenderedPageBreak/>
        <w:t xml:space="preserve">disabilities have limited options. They feel compelled to enter into relationships, even if they are not prepared or feel pressured by family and societal expectations as a result, they are financially and emotionally exploited by the men they go into relationships with. </w:t>
      </w:r>
    </w:p>
    <w:p w14:paraId="6C49D36E" w14:textId="77777777" w:rsidR="00151C6C" w:rsidRDefault="00151C6C">
      <w:pPr>
        <w:spacing w:line="276" w:lineRule="auto"/>
        <w:jc w:val="both"/>
      </w:pPr>
    </w:p>
    <w:p w14:paraId="674102B8" w14:textId="77777777" w:rsidR="00151C6C" w:rsidRDefault="00BF564B">
      <w:pPr>
        <w:spacing w:line="276" w:lineRule="auto"/>
        <w:jc w:val="both"/>
      </w:pPr>
      <w:r>
        <w:t>Furthermore, women with disabilities who become pregnant often face discrimination and lack of respect in healthcare settings. They may be subjected to biased attitudes and insufficient medical care, impacting their overall health and well-being.</w:t>
      </w:r>
      <w:r>
        <w:rPr>
          <w:rStyle w:val="FootnoteReference"/>
        </w:rPr>
        <w:footnoteReference w:id="28"/>
      </w:r>
      <w:r>
        <w:t xml:space="preserve"> Most of the women with disabilities who participated in the June 2024 focus group discussions shared experiences of the treatment they receive from health professional who question them being pregnant as women with disabilities, “why and how they got pregnant.” As a result, women with disabilities are frequently excluded from family planning programs and discussions. Most women with disabilities also highlighted the discrimination they face in the context of pregnancy and childbirth and contraceptive access, among other areas. In particular, women with disabilities have reported mistreatment during antenatal clinics and delivery and postnatal services, stemming from negative stereotypes about women with disabilities' ability or right to parenthood.</w:t>
      </w:r>
    </w:p>
    <w:p w14:paraId="44122C14" w14:textId="77777777" w:rsidR="00151C6C" w:rsidRDefault="00151C6C">
      <w:pPr>
        <w:jc w:val="both"/>
      </w:pPr>
    </w:p>
    <w:p w14:paraId="0831CFF0" w14:textId="77777777" w:rsidR="00151C6C" w:rsidRDefault="00BF564B">
      <w:pPr>
        <w:jc w:val="both"/>
      </w:pPr>
      <w:r>
        <w:t>These observations about the poor treatment of women with disabilities in maternal healthcare settings are reaffirmed by academic research. In 2024, researchers published a study that explored Ghanaian healthcare professionals’ perceptions of women with disabilities when providing maternal healthcare to these women.</w:t>
      </w:r>
      <w:r>
        <w:rPr>
          <w:rStyle w:val="FootnoteReference"/>
        </w:rPr>
        <w:footnoteReference w:id="29"/>
      </w:r>
      <w:r>
        <w:t xml:space="preserve"> Overall, using an intersectional analysis, the researchers found that although many healthcare professionals have a positive view of women with disabilities in maternal healthcare settings, stigma and stereotypes remain. </w:t>
      </w:r>
    </w:p>
    <w:p w14:paraId="7A02E767" w14:textId="77777777" w:rsidR="00151C6C" w:rsidRDefault="00BF564B">
      <w:pPr>
        <w:pStyle w:val="ListParagraph"/>
        <w:numPr>
          <w:ilvl w:val="0"/>
          <w:numId w:val="5"/>
        </w:numPr>
        <w:jc w:val="both"/>
      </w:pPr>
      <w:r>
        <w:t>Some health professionals still perceived that “it was very problematic and unnecessary for disabled women to get pregnant and maintain it regardless of the type of disability.”</w:t>
      </w:r>
      <w:r>
        <w:rPr>
          <w:rStyle w:val="FootnoteReference"/>
        </w:rPr>
        <w:footnoteReference w:id="30"/>
      </w:r>
      <w:r>
        <w:t xml:space="preserve"> </w:t>
      </w:r>
    </w:p>
    <w:p w14:paraId="5C74439E" w14:textId="77777777" w:rsidR="00151C6C" w:rsidRDefault="00BF564B">
      <w:pPr>
        <w:pStyle w:val="ListParagraph"/>
        <w:numPr>
          <w:ilvl w:val="0"/>
          <w:numId w:val="4"/>
        </w:numPr>
        <w:jc w:val="both"/>
      </w:pPr>
      <w:r>
        <w:t>Some healthcare professionals reported that, in becoming pregnant, women with disabilities were either burdening themselves (e.g. by adding an additional stress to their bodies that they perceived could worsen women with disabilities’ health) or burdening healthcare professionals. As one healthcare professional put it, “I don’t think disabled women should be pregnant because of the burden it brings on us working here.”</w:t>
      </w:r>
      <w:r>
        <w:rPr>
          <w:rStyle w:val="FootnoteReference"/>
        </w:rPr>
        <w:footnoteReference w:id="31"/>
      </w:r>
      <w:r>
        <w:t xml:space="preserve"> </w:t>
      </w:r>
    </w:p>
    <w:p w14:paraId="7352DF22" w14:textId="77777777" w:rsidR="00151C6C" w:rsidRDefault="00BF564B">
      <w:pPr>
        <w:pStyle w:val="ListParagraph"/>
        <w:numPr>
          <w:ilvl w:val="0"/>
          <w:numId w:val="4"/>
        </w:numPr>
        <w:jc w:val="both"/>
      </w:pPr>
      <w:r>
        <w:t xml:space="preserve">Researchers reported that, even when healthcare professionals held positive views about pregnant women with disabilities, “these positive perceptions require continuously educating disabled pregnant women to reinforce norms of appearing ‘strong’ and ‘capable’ when seeking care.” This indicates that even those healthcare professionals who hold positive views of pregnant disabled women may also simultaneously hold negative viewpoints about disabled women generally (that they are typically “weak” or “incapable”). As the researchers put it, “The findings suggest that positive health </w:t>
      </w:r>
      <w:r>
        <w:lastRenderedPageBreak/>
        <w:t>professional attitudes rest on presumptions of able-bodiedness and resilience and not necessarily the recognition of disabled women’s autonomy and rights.”</w:t>
      </w:r>
      <w:r>
        <w:rPr>
          <w:rStyle w:val="FootnoteReference"/>
        </w:rPr>
        <w:footnoteReference w:id="32"/>
      </w:r>
    </w:p>
    <w:p w14:paraId="4D471A48" w14:textId="77777777" w:rsidR="00151C6C" w:rsidRDefault="00151C6C">
      <w:pPr>
        <w:jc w:val="both"/>
      </w:pPr>
    </w:p>
    <w:p w14:paraId="3BC80A9B" w14:textId="77777777" w:rsidR="00151C6C" w:rsidRDefault="00BF564B">
      <w:pPr>
        <w:spacing w:line="276" w:lineRule="auto"/>
        <w:jc w:val="both"/>
      </w:pPr>
      <w:r>
        <w:t>Beyond this, the stigma associated with giving birth to a child with a disability can also profoundly affect families and lead to further SRH-related abuses. For instance, one participant in the June 2024 focus groups shared a story of a woman who gave birth to a blind girl and faced discrimination and stigma from neighbors. As a result, when the girl grew up, the women indulged her daughter into indiscriminate sexual activities. The girl got pregnant and gave birth with a child without disability. The woman did this to prove to the people that her family is not cursed to bear children with disabilities.</w:t>
      </w:r>
    </w:p>
    <w:p w14:paraId="044BBCF8" w14:textId="77777777" w:rsidR="00151C6C" w:rsidRDefault="00151C6C">
      <w:pPr>
        <w:jc w:val="both"/>
      </w:pPr>
    </w:p>
    <w:p w14:paraId="689D35B5" w14:textId="77777777" w:rsidR="00151C6C" w:rsidRDefault="00BF564B">
      <w:pPr>
        <w:pStyle w:val="ListParagraph"/>
        <w:numPr>
          <w:ilvl w:val="0"/>
          <w:numId w:val="7"/>
        </w:numPr>
        <w:jc w:val="both"/>
        <w:rPr>
          <w:i/>
          <w:iCs/>
        </w:rPr>
      </w:pPr>
      <w:r>
        <w:rPr>
          <w:i/>
          <w:iCs/>
        </w:rPr>
        <w:t>Forced Reproductive Health Interventions and Exercising Bodily Autonomy</w:t>
      </w:r>
    </w:p>
    <w:p w14:paraId="722242C2" w14:textId="77777777" w:rsidR="00151C6C" w:rsidRDefault="00151C6C">
      <w:pPr>
        <w:ind w:left="1440"/>
        <w:jc w:val="both"/>
      </w:pPr>
    </w:p>
    <w:p w14:paraId="2767FCCC" w14:textId="77777777" w:rsidR="00151C6C" w:rsidRDefault="00BF564B">
      <w:pPr>
        <w:jc w:val="both"/>
      </w:pPr>
      <w:r>
        <w:t>Women and girls with disabilities around the world are often subjected to forced reproductive health interventions, including forced sterilization, forced contraception, and forced abortion. These interventions should be considered “forced” because they carried out without the informed consent of the women or girls with disabilities themselves, and often with the informal or formal substituted consent of a family member, guardian, doctor, institution director, or other actor.</w:t>
      </w:r>
      <w:r>
        <w:rPr>
          <w:rStyle w:val="FootnoteReference"/>
        </w:rPr>
        <w:footnoteReference w:id="33"/>
      </w:r>
      <w:r>
        <w:t xml:space="preserve"> Forced reproductive health interventions have a profound impact on the lives and well-being of women and girls with disabilities, may permanently strip them of the opportunity to become parents, and are considered forms of cruel, inhuman, and degrading treatment, among other human rights abuses.</w:t>
      </w:r>
      <w:r>
        <w:rPr>
          <w:rStyle w:val="FootnoteReference"/>
        </w:rPr>
        <w:footnoteReference w:id="34"/>
      </w:r>
      <w:r>
        <w:t xml:space="preserve"> </w:t>
      </w:r>
    </w:p>
    <w:p w14:paraId="5B59DC60" w14:textId="77777777" w:rsidR="00151C6C" w:rsidRDefault="00151C6C">
      <w:pPr>
        <w:jc w:val="both"/>
      </w:pPr>
    </w:p>
    <w:p w14:paraId="2168268B" w14:textId="77777777" w:rsidR="00151C6C" w:rsidRDefault="00BF564B">
      <w:pPr>
        <w:spacing w:line="276" w:lineRule="auto"/>
        <w:jc w:val="both"/>
      </w:pPr>
      <w:r>
        <w:t xml:space="preserve">Often women with disabilities are faced with challenges of independence and autonomy in decision making to their sexual and reproductive health and rights. For instance, a woman with psychosocial disability from the June 2024 focus group discussion shared that, "Often decisions are made for us because of lack of confidence and lack of self-awareness." </w:t>
      </w:r>
    </w:p>
    <w:p w14:paraId="339B69E7" w14:textId="77777777" w:rsidR="00151C6C" w:rsidRDefault="00151C6C">
      <w:pPr>
        <w:jc w:val="both"/>
      </w:pPr>
    </w:p>
    <w:p w14:paraId="6C3AA0BA" w14:textId="77777777" w:rsidR="00151C6C" w:rsidRDefault="00BF564B">
      <w:pPr>
        <w:jc w:val="both"/>
      </w:pPr>
      <w:r>
        <w:t>There are no legal provisions in Ghana that prohibit forced reproductive health interventions performed on women and girls with disabilities. Although the Persons with Disabilities Bill 2024 contains a provision on retaining fertility aligned with Article 23 of the CRPD, it is unclear when this bill will be adopted and whether it will contain this provision when it is adopted.</w:t>
      </w:r>
    </w:p>
    <w:p w14:paraId="2034E94C" w14:textId="77777777" w:rsidR="00151C6C" w:rsidRDefault="00151C6C">
      <w:pPr>
        <w:jc w:val="both"/>
      </w:pPr>
    </w:p>
    <w:p w14:paraId="28E6C77A" w14:textId="77777777" w:rsidR="00151C6C" w:rsidRDefault="00BF564B">
      <w:pPr>
        <w:spacing w:line="276" w:lineRule="auto"/>
        <w:jc w:val="both"/>
      </w:pPr>
      <w:r>
        <w:t xml:space="preserve">By contrast, the 2014 National Reproductive Health Policy and Standards specifically </w:t>
      </w:r>
      <w:r>
        <w:rPr>
          <w:i/>
          <w:iCs/>
        </w:rPr>
        <w:t xml:space="preserve">allow </w:t>
      </w:r>
      <w:r>
        <w:t xml:space="preserve">forced reproductive health interventions against some women and girls with disabilities. For instance, in the section on comprehensive abortion care, the Policy and Standards note that “If a client suffering from mental illness lacks the capacity to give consent for the procedure [abortion], such consent </w:t>
      </w:r>
      <w:r>
        <w:lastRenderedPageBreak/>
        <w:t>shall be given on her behalf by the person with legal responsibility (her next of kin, parents, or person acting in loco parentis).”</w:t>
      </w:r>
      <w:r>
        <w:rPr>
          <w:rStyle w:val="FootnoteReference"/>
        </w:rPr>
        <w:footnoteReference w:id="35"/>
      </w:r>
      <w:r>
        <w:t xml:space="preserve"> The Policy and Standards contain a similar provision that allows for forced contraception for women with “mental disability or severe psychiatric disease.”</w:t>
      </w:r>
      <w:r>
        <w:rPr>
          <w:rStyle w:val="FootnoteReference"/>
        </w:rPr>
        <w:footnoteReference w:id="36"/>
      </w:r>
      <w:r>
        <w:t xml:space="preserve"> A woman with disability from the focused group discussion shared a story of a mother with psychosocial disability that was denied to breast feed her child because they said she will transfer the disability to her child.</w:t>
      </w:r>
    </w:p>
    <w:p w14:paraId="387F5602" w14:textId="77777777" w:rsidR="00151C6C" w:rsidRDefault="00151C6C">
      <w:pPr>
        <w:jc w:val="both"/>
      </w:pPr>
    </w:p>
    <w:p w14:paraId="08135788" w14:textId="77777777" w:rsidR="00151C6C" w:rsidRDefault="00BF564B">
      <w:pPr>
        <w:spacing w:line="276" w:lineRule="auto"/>
        <w:jc w:val="both"/>
      </w:pPr>
      <w:r>
        <w:t>According to the 2018 study by GFD, 18% of women with disabilities who participated in the study had experienced forced abortion, had had the procedure attempted on them, or knew of another woman with a disability who had experienced this.</w:t>
      </w:r>
      <w:r>
        <w:rPr>
          <w:rStyle w:val="FootnoteReference"/>
        </w:rPr>
        <w:footnoteReference w:id="37"/>
      </w:r>
      <w:r>
        <w:t xml:space="preserve"> A participant from the June 2024 focus group discussions shared that most women with psychosocial disability have fear of being sterilized if they try to access contraception at health centers.</w:t>
      </w:r>
    </w:p>
    <w:p w14:paraId="6911B6D9" w14:textId="77777777" w:rsidR="00151C6C" w:rsidRDefault="00151C6C">
      <w:pPr>
        <w:jc w:val="both"/>
      </w:pPr>
    </w:p>
    <w:p w14:paraId="67A096BE" w14:textId="77777777" w:rsidR="00151C6C" w:rsidRDefault="00BF564B">
      <w:pPr>
        <w:pStyle w:val="ListParagraph"/>
        <w:numPr>
          <w:ilvl w:val="0"/>
          <w:numId w:val="1"/>
        </w:numPr>
        <w:jc w:val="both"/>
        <w:rPr>
          <w:b/>
          <w:bCs/>
        </w:rPr>
      </w:pPr>
      <w:r>
        <w:rPr>
          <w:b/>
          <w:bCs/>
        </w:rPr>
        <w:t>Freedom from violence, including gender-based violence, and access to justice for women and girls with disabilities (arts. 13 and 16)</w:t>
      </w:r>
    </w:p>
    <w:p w14:paraId="16C3F727" w14:textId="77777777" w:rsidR="00151C6C" w:rsidRDefault="00151C6C">
      <w:pPr>
        <w:pStyle w:val="ListParagraph"/>
        <w:jc w:val="both"/>
        <w:rPr>
          <w:b/>
          <w:bCs/>
        </w:rPr>
      </w:pPr>
    </w:p>
    <w:p w14:paraId="76ED5DDE" w14:textId="77777777" w:rsidR="00151C6C" w:rsidRDefault="00BF564B">
      <w:pPr>
        <w:pStyle w:val="ListParagraph"/>
        <w:numPr>
          <w:ilvl w:val="0"/>
          <w:numId w:val="13"/>
        </w:numPr>
        <w:jc w:val="both"/>
        <w:rPr>
          <w:b/>
          <w:bCs/>
          <w:i/>
          <w:iCs/>
        </w:rPr>
      </w:pPr>
      <w:r>
        <w:rPr>
          <w:i/>
          <w:iCs/>
        </w:rPr>
        <w:t>Prevalence and forms of violence, including gender-based violence, against women and girls with disabilities</w:t>
      </w:r>
    </w:p>
    <w:p w14:paraId="0B371187" w14:textId="77777777" w:rsidR="00151C6C" w:rsidRDefault="00151C6C">
      <w:pPr>
        <w:jc w:val="both"/>
      </w:pPr>
    </w:p>
    <w:p w14:paraId="5AA80F87" w14:textId="77777777" w:rsidR="00151C6C" w:rsidRDefault="00BF564B">
      <w:pPr>
        <w:spacing w:line="276" w:lineRule="auto"/>
        <w:jc w:val="both"/>
      </w:pPr>
      <w:r>
        <w:t>Women and girls with disabilities in Ghana experience gender-based violence (GBV) at twice the rate of other women, in a context where GBV rates are generally high.</w:t>
      </w:r>
      <w:r>
        <w:rPr>
          <w:rStyle w:val="FootnoteReference"/>
        </w:rPr>
        <w:footnoteReference w:id="38"/>
      </w:r>
      <w:r>
        <w:t xml:space="preserve"> Women and girls with disabilities in Ghana may experience higher rates of violence because they may be dependent on a partner for care and support, have less income and education, and otherwise be seen as more vulnerable by those who may commit violence.</w:t>
      </w:r>
      <w:r>
        <w:rPr>
          <w:rStyle w:val="FootnoteReference"/>
        </w:rPr>
        <w:footnoteReference w:id="39"/>
      </w:r>
      <w:r>
        <w:t xml:space="preserve"> Women with disabilities who participated in the June 2024 focus groups reported that women and girls with disabilities in Ghana often face the most violence from their immediate families, care-takers and doctors. This includes physical, emotional, verbal and financial violence. Though women and girls with disabilities face violence and abuse and exploitation, there are no clear studies on the extent of Gender Based Violence against women and girls with disabilities to determine the necessary interventions and inclusion in the Gender Based Violence response programs.</w:t>
      </w:r>
    </w:p>
    <w:p w14:paraId="7C68A3AD" w14:textId="77777777" w:rsidR="00151C6C" w:rsidRDefault="00151C6C">
      <w:pPr>
        <w:spacing w:line="276" w:lineRule="auto"/>
        <w:jc w:val="both"/>
      </w:pPr>
    </w:p>
    <w:p w14:paraId="555C2ACB" w14:textId="77777777" w:rsidR="00151C6C" w:rsidRDefault="00BF564B">
      <w:pPr>
        <w:jc w:val="both"/>
      </w:pPr>
      <w:r>
        <w:lastRenderedPageBreak/>
        <w:t>Stigma and discrimination, including common myths that persons with disabilities are ‘weak’, ‘stupid’, or ‘asexual’,</w:t>
      </w:r>
      <w:r>
        <w:rPr>
          <w:vertAlign w:val="superscript"/>
        </w:rPr>
        <w:footnoteReference w:id="40"/>
      </w:r>
      <w:r>
        <w:t xml:space="preserve"> contribute to social isolation and foster an environment that is conducive to both heightened rates of, and impunity for, violence against women and girls with disabilities. A 2013 recent study on violence against women with disabilities in Ghana notes that “Lower self-confidence and fewer friendship also heightened the vulnerability” of women with disabilities to sexual violence.</w:t>
      </w:r>
      <w:r>
        <w:rPr>
          <w:vertAlign w:val="superscript"/>
        </w:rPr>
        <w:footnoteReference w:id="41"/>
      </w:r>
      <w:r>
        <w:t xml:space="preserve"> The perception of Ghanaian women with disabilities, especially those in the rural areas,</w:t>
      </w:r>
      <w:r>
        <w:rPr>
          <w:vertAlign w:val="superscript"/>
        </w:rPr>
        <w:footnoteReference w:id="42"/>
      </w:r>
      <w:r>
        <w:t xml:space="preserve"> is further influenced by a religious and traditional worldview under which disability is seen as a punishment from the gods.</w:t>
      </w:r>
      <w:r>
        <w:rPr>
          <w:vertAlign w:val="superscript"/>
        </w:rPr>
        <w:footnoteReference w:id="43"/>
      </w:r>
      <w:r>
        <w:t xml:space="preserve"> The persistence of this belief can make women with disabilities more vulnerable to abuse, as abusive treatment is justified by the belief that they deserve to be punished.</w:t>
      </w:r>
      <w:r>
        <w:rPr>
          <w:vertAlign w:val="superscript"/>
        </w:rPr>
        <w:footnoteReference w:id="44"/>
      </w:r>
    </w:p>
    <w:p w14:paraId="4BE28CD4" w14:textId="77777777" w:rsidR="00151C6C" w:rsidRDefault="00151C6C">
      <w:pPr>
        <w:jc w:val="both"/>
      </w:pPr>
    </w:p>
    <w:p w14:paraId="4D418E1C" w14:textId="77777777" w:rsidR="00151C6C" w:rsidRDefault="00BF564B">
      <w:pPr>
        <w:jc w:val="both"/>
      </w:pPr>
      <w:r>
        <w:t>A 2013 survey of women with disabilities in the Ashanti region of Ghana revealed that women with disabilities in that region encounter sexual violence at a frequency of one to four times the violence experienced by their non-disabled peers.</w:t>
      </w:r>
      <w:r>
        <w:rPr>
          <w:rStyle w:val="FootnoteReference"/>
        </w:rPr>
        <w:footnoteReference w:id="45"/>
      </w:r>
      <w:r>
        <w:t xml:space="preserve"> One woman with a disability said,</w:t>
      </w:r>
      <w:r>
        <w:rPr>
          <w:b/>
        </w:rPr>
        <w:t xml:space="preserve"> </w:t>
      </w:r>
      <w:r>
        <w:t>“Because people see us as if we are sick so when there is something, they do not regard us as humans.”</w:t>
      </w:r>
      <w:r>
        <w:rPr>
          <w:vertAlign w:val="superscript"/>
        </w:rPr>
        <w:footnoteReference w:id="46"/>
      </w:r>
      <w:r>
        <w:t xml:space="preserve"> </w:t>
      </w:r>
      <w:r>
        <w:rPr>
          <w:bCs/>
        </w:rPr>
        <w:t>A</w:t>
      </w:r>
      <w:r>
        <w:t xml:space="preserve"> visually impaired woman, noted a significant difference in how she was treated before she became disabled, saying: “Before I became blind, they use to involve me in the community activities but since I became blind they have not even called me. It seems they don’t even know me. They neglect me and they don’t tell me anything.”</w:t>
      </w:r>
      <w:r>
        <w:rPr>
          <w:vertAlign w:val="superscript"/>
        </w:rPr>
        <w:footnoteReference w:id="47"/>
      </w:r>
      <w:r>
        <w:t xml:space="preserve"> </w:t>
      </w:r>
    </w:p>
    <w:p w14:paraId="66F5B3FE" w14:textId="77777777" w:rsidR="00151C6C" w:rsidRDefault="00151C6C">
      <w:pPr>
        <w:jc w:val="both"/>
        <w:rPr>
          <w:b/>
          <w:bCs/>
        </w:rPr>
      </w:pPr>
    </w:p>
    <w:p w14:paraId="7B06FFB8" w14:textId="77777777" w:rsidR="00151C6C" w:rsidRDefault="00BF564B">
      <w:pPr>
        <w:jc w:val="both"/>
      </w:pPr>
      <w:r>
        <w:t>The current legal and policy framework surrounding violence in Ghana does not yet take a fully gender and disability intersectional approach to the issue. For instance:</w:t>
      </w:r>
    </w:p>
    <w:p w14:paraId="568D3DFD" w14:textId="77777777" w:rsidR="00151C6C" w:rsidRDefault="00BF564B">
      <w:pPr>
        <w:pStyle w:val="ListParagraph"/>
        <w:numPr>
          <w:ilvl w:val="0"/>
          <w:numId w:val="10"/>
        </w:numPr>
        <w:jc w:val="both"/>
      </w:pPr>
      <w:r>
        <w:t xml:space="preserve">The Domestic Violence Law, 2007, does not include women and girls with disabilities and does not address important risk factors for and forms of violence that uniquely affect them, including violence by care and support providers, the withholding of care and support as a </w:t>
      </w:r>
      <w:r>
        <w:lastRenderedPageBreak/>
        <w:t>form of violence, barriers to accessing justice, and the dependence on women with disabilities on their partners and family members—who may also be the perpetrators of violence.</w:t>
      </w:r>
      <w:r>
        <w:rPr>
          <w:rStyle w:val="FootnoteReference"/>
        </w:rPr>
        <w:footnoteReference w:id="48"/>
      </w:r>
      <w:r>
        <w:t xml:space="preserve"> </w:t>
      </w:r>
    </w:p>
    <w:p w14:paraId="038FEE67" w14:textId="77777777" w:rsidR="00151C6C" w:rsidRDefault="00BF564B">
      <w:pPr>
        <w:pStyle w:val="ListParagraph"/>
        <w:numPr>
          <w:ilvl w:val="0"/>
          <w:numId w:val="10"/>
        </w:numPr>
        <w:jc w:val="both"/>
      </w:pPr>
      <w:r>
        <w:t>The Persons with Disability Act, 2006 (Act 715) addresses the issue of violence against persons with disabilities but does not outline the ways in which this violence may also be based on gender and how it should be addressed from an intersectional perspective.</w:t>
      </w:r>
      <w:r>
        <w:rPr>
          <w:rStyle w:val="FootnoteReference"/>
        </w:rPr>
        <w:footnoteReference w:id="49"/>
      </w:r>
      <w:r>
        <w:t xml:space="preserve"> The pending Persons with Disabilities Bill, 2024, does provide a framework for ensuring freedom from violence from a gender and disability intersectional perspective and, if adopted and implemented, may lead to improvements in this regard. </w:t>
      </w:r>
    </w:p>
    <w:p w14:paraId="43B99094" w14:textId="77777777" w:rsidR="00151C6C" w:rsidRDefault="00151C6C">
      <w:pPr>
        <w:jc w:val="both"/>
      </w:pPr>
    </w:p>
    <w:p w14:paraId="40EC4938" w14:textId="77777777" w:rsidR="00151C6C" w:rsidRDefault="00BF564B">
      <w:pPr>
        <w:pStyle w:val="ListParagraph"/>
        <w:numPr>
          <w:ilvl w:val="1"/>
          <w:numId w:val="13"/>
        </w:numPr>
        <w:jc w:val="both"/>
        <w:rPr>
          <w:i/>
          <w:iCs/>
        </w:rPr>
      </w:pPr>
      <w:r>
        <w:rPr>
          <w:i/>
          <w:iCs/>
        </w:rPr>
        <w:t>Access to justice and support services following violence against women and girls with disabilities</w:t>
      </w:r>
    </w:p>
    <w:p w14:paraId="43C1BFD0" w14:textId="77777777" w:rsidR="00151C6C" w:rsidRDefault="00151C6C">
      <w:pPr>
        <w:jc w:val="both"/>
      </w:pPr>
    </w:p>
    <w:p w14:paraId="7AE85990" w14:textId="77777777" w:rsidR="00151C6C" w:rsidRDefault="00BF564B">
      <w:pPr>
        <w:spacing w:line="276" w:lineRule="auto"/>
        <w:jc w:val="both"/>
      </w:pPr>
      <w:r>
        <w:t>Gender-based violence against women and girls with disabilities is vastly underreported in Ghana.</w:t>
      </w:r>
      <w:r>
        <w:rPr>
          <w:vertAlign w:val="superscript"/>
        </w:rPr>
        <w:footnoteReference w:id="50"/>
      </w:r>
      <w:r>
        <w:t xml:space="preserve"> The stigma associated with gender-based and sexual violence is one factor that impedes reporting. </w:t>
      </w:r>
    </w:p>
    <w:p w14:paraId="3EC0E2B2" w14:textId="77777777" w:rsidR="00151C6C" w:rsidRDefault="00BF564B">
      <w:pPr>
        <w:pStyle w:val="ListParagraph"/>
        <w:numPr>
          <w:ilvl w:val="0"/>
          <w:numId w:val="22"/>
        </w:numPr>
        <w:spacing w:line="276" w:lineRule="auto"/>
        <w:jc w:val="both"/>
      </w:pPr>
      <w:r>
        <w:t>In a report published in 2015, a woman living in the Ashanti Region who experienced sexual violence narrated how members of the participant’s family told her to keep the sexual abuse a secret so as not to disgrace the family.</w:t>
      </w:r>
      <w:r>
        <w:rPr>
          <w:vertAlign w:val="superscript"/>
        </w:rPr>
        <w:footnoteReference w:id="51"/>
      </w:r>
      <w:r>
        <w:t xml:space="preserve"> She said, “They told me you should keep it as a secret, you should not tell anybody.”</w:t>
      </w:r>
      <w:r>
        <w:rPr>
          <w:vertAlign w:val="superscript"/>
        </w:rPr>
        <w:footnoteReference w:id="52"/>
      </w:r>
      <w:r>
        <w:t xml:space="preserve"> </w:t>
      </w:r>
    </w:p>
    <w:p w14:paraId="08C5AA66" w14:textId="77777777" w:rsidR="00151C6C" w:rsidRDefault="00BF564B">
      <w:pPr>
        <w:pStyle w:val="ListParagraph"/>
        <w:numPr>
          <w:ilvl w:val="0"/>
          <w:numId w:val="22"/>
        </w:numPr>
        <w:spacing w:line="276" w:lineRule="auto"/>
        <w:jc w:val="both"/>
      </w:pPr>
      <w:r>
        <w:t>A participant from the focus group discussion that was held in June 2024 shared that there is less sensitization on the appropriate channels to report these cases. One participant shared a case in a district in Tamale in the Northern Region where a girl with multiple disabilities was constantly abused sexually by a neighbor any time the family was not around. This case is not being diligently followed by the family because of the threats from the abuser. This highlights systemic problem of violence and abuse against women with disabilities, rooted in societal attitudes and a lack of legal protections.</w:t>
      </w:r>
    </w:p>
    <w:p w14:paraId="2226B577" w14:textId="77777777" w:rsidR="00151C6C" w:rsidRDefault="00151C6C">
      <w:pPr>
        <w:jc w:val="both"/>
      </w:pPr>
    </w:p>
    <w:p w14:paraId="420C68BA" w14:textId="77777777" w:rsidR="00151C6C" w:rsidRDefault="00BF564B">
      <w:pPr>
        <w:jc w:val="both"/>
      </w:pPr>
      <w:r>
        <w:t xml:space="preserve">Financial constraints and inadequate social protection for women with disabilities combine to create additional barriers to reporting as well. </w:t>
      </w:r>
    </w:p>
    <w:p w14:paraId="711A80E2" w14:textId="77777777" w:rsidR="00151C6C" w:rsidRDefault="00BF564B">
      <w:pPr>
        <w:pStyle w:val="ListParagraph"/>
        <w:numPr>
          <w:ilvl w:val="0"/>
          <w:numId w:val="14"/>
        </w:numPr>
        <w:jc w:val="both"/>
      </w:pPr>
      <w:r>
        <w:rPr>
          <w:bCs/>
        </w:rPr>
        <w:t>A</w:t>
      </w:r>
      <w:r>
        <w:t xml:space="preserve"> mother of a woman with intellectual disability who participated in the 2013 study cited above explained, “I am not having money so to be able to get to the police station, the means of transport and also when you go to the police station they ask you to get proof of that and all of this involves money.”</w:t>
      </w:r>
      <w:r>
        <w:rPr>
          <w:vertAlign w:val="superscript"/>
        </w:rPr>
        <w:footnoteReference w:id="53"/>
      </w:r>
    </w:p>
    <w:p w14:paraId="20CF4BB9" w14:textId="77777777" w:rsidR="00151C6C" w:rsidRDefault="00BF564B">
      <w:pPr>
        <w:pStyle w:val="ListParagraph"/>
        <w:numPr>
          <w:ilvl w:val="0"/>
          <w:numId w:val="14"/>
        </w:numPr>
        <w:jc w:val="both"/>
      </w:pPr>
      <w:r>
        <w:t>Another woman indicated that the need for child support trumped a desire to report sexual violence. As</w:t>
      </w:r>
      <w:r>
        <w:rPr>
          <w:b/>
        </w:rPr>
        <w:t xml:space="preserve"> </w:t>
      </w:r>
      <w:r>
        <w:rPr>
          <w:bCs/>
        </w:rPr>
        <w:t>she</w:t>
      </w:r>
      <w:r>
        <w:rPr>
          <w:b/>
        </w:rPr>
        <w:t xml:space="preserve"> </w:t>
      </w:r>
      <w:r>
        <w:t xml:space="preserve">explained: “I informed my mother and she approached the man who raped </w:t>
      </w:r>
      <w:r>
        <w:lastRenderedPageBreak/>
        <w:t>me. She informed him that I am [pregnant] and the man agreed to take care of me and the baby. So that was the end and nothing was done about it again. We didn’t report since there was no one to take care of me if he is imprisoned.”</w:t>
      </w:r>
      <w:r>
        <w:rPr>
          <w:vertAlign w:val="superscript"/>
        </w:rPr>
        <w:footnoteReference w:id="54"/>
      </w:r>
      <w:r>
        <w:t xml:space="preserve"> </w:t>
      </w:r>
    </w:p>
    <w:p w14:paraId="4B98C828" w14:textId="77777777" w:rsidR="00151C6C" w:rsidRDefault="00BF564B">
      <w:pPr>
        <w:pStyle w:val="ListParagraph"/>
        <w:numPr>
          <w:ilvl w:val="0"/>
          <w:numId w:val="14"/>
        </w:numPr>
        <w:jc w:val="both"/>
      </w:pPr>
      <w:r>
        <w:rPr>
          <w:bCs/>
        </w:rPr>
        <w:t>Another 2013 study participant</w:t>
      </w:r>
      <w:r>
        <w:t xml:space="preserve"> noted that geographic distribution of police stations is another barrier: “We (the community) don’t have a police station here. I’m blind and there are people taking care of me. They have to go to work in order for us to get food to eat. They can’t leave work and follow me to the police station in the next town. What are we going to eat if they have to follow me every day to see the police?”</w:t>
      </w:r>
      <w:r>
        <w:rPr>
          <w:vertAlign w:val="superscript"/>
        </w:rPr>
        <w:footnoteReference w:id="55"/>
      </w:r>
    </w:p>
    <w:p w14:paraId="3F43791A" w14:textId="77777777" w:rsidR="00151C6C" w:rsidRDefault="00151C6C">
      <w:pPr>
        <w:jc w:val="both"/>
        <w:rPr>
          <w:b/>
        </w:rPr>
      </w:pPr>
    </w:p>
    <w:p w14:paraId="1A89BABB" w14:textId="77777777" w:rsidR="00151C6C" w:rsidRDefault="00BF564B">
      <w:pPr>
        <w:jc w:val="both"/>
        <w:rPr>
          <w:bCs/>
        </w:rPr>
      </w:pPr>
      <w:r>
        <w:rPr>
          <w:bCs/>
        </w:rPr>
        <w:t>Another 2013 study participant recounted how the vacuum of support systems further contributes to the lack of reporting: “When I was going to school, I was close to my mother. When someone proposed to me or said something to me, I would go to my mother and she would confront them. Since she died, I don’t have anyone to talk to and I have been staying alone. That is why I wasn’t able to report.”</w:t>
      </w:r>
      <w:r>
        <w:rPr>
          <w:bCs/>
          <w:vertAlign w:val="superscript"/>
        </w:rPr>
        <w:footnoteReference w:id="56"/>
      </w:r>
      <w:r>
        <w:rPr>
          <w:bCs/>
        </w:rPr>
        <w:t xml:space="preserve"> </w:t>
      </w:r>
    </w:p>
    <w:p w14:paraId="30CD5B12" w14:textId="77777777" w:rsidR="00151C6C" w:rsidRDefault="00151C6C">
      <w:pPr>
        <w:jc w:val="both"/>
      </w:pPr>
    </w:p>
    <w:p w14:paraId="512B91C9" w14:textId="77777777" w:rsidR="00151C6C" w:rsidRDefault="00BF564B">
      <w:pPr>
        <w:jc w:val="both"/>
      </w:pPr>
      <w:r>
        <w:t>For deaf women and women with intellectual disabilities in particular, communication barriers, serve as a huge obstacle to accessing justice. The Ghana National Association of the Deaf has emphasized the need for sign language interpreters to be available at police stations, courts, hospitals and other locations, noting that the absence of such interpreters can effectively deny deaf individuals access to essential information and services.</w:t>
      </w:r>
      <w:r>
        <w:rPr>
          <w:vertAlign w:val="superscript"/>
        </w:rPr>
        <w:footnoteReference w:id="57"/>
      </w:r>
      <w:r>
        <w:t xml:space="preserve"> </w:t>
      </w:r>
      <w:r>
        <w:rPr>
          <w:bCs/>
        </w:rPr>
        <w:t>A</w:t>
      </w:r>
      <w:r>
        <w:t xml:space="preserve"> mother of a woman with intellectual disability who participated in the 2013 study cited above shared, “Such people with such conditions, they can’t talk. So based on that even if you go and report… they will not follow up and just throw the case out.</w:t>
      </w:r>
      <w:r>
        <w:rPr>
          <w:vertAlign w:val="superscript"/>
        </w:rPr>
        <w:footnoteReference w:id="58"/>
      </w:r>
      <w:r>
        <w:t xml:space="preserve"> </w:t>
      </w:r>
      <w:r>
        <w:rPr>
          <w:bCs/>
        </w:rPr>
        <w:t>Another participant in this study</w:t>
      </w:r>
      <w:r>
        <w:rPr>
          <w:b/>
        </w:rPr>
        <w:t xml:space="preserve"> </w:t>
      </w:r>
      <w:r>
        <w:t>expressed similar concerns about communication barriers, noting, “When I went to the police station, they couldn’t understand me because none of the policemen knew sign language. I tried to explain it to my parents too but they didn’t understand. I have not been able to report any of the men [who committed acts of sexual violence against me] because of the language barrier.”</w:t>
      </w:r>
      <w:r>
        <w:rPr>
          <w:vertAlign w:val="superscript"/>
        </w:rPr>
        <w:footnoteReference w:id="59"/>
      </w:r>
      <w:r>
        <w:t xml:space="preserve"> </w:t>
      </w:r>
    </w:p>
    <w:p w14:paraId="0F84BA78" w14:textId="77777777" w:rsidR="00151C6C" w:rsidRDefault="00151C6C">
      <w:pPr>
        <w:jc w:val="both"/>
      </w:pPr>
    </w:p>
    <w:p w14:paraId="71F23707" w14:textId="77777777" w:rsidR="00151C6C" w:rsidRDefault="00BF564B">
      <w:pPr>
        <w:jc w:val="both"/>
      </w:pPr>
      <w:r>
        <w:t>The Evidence Act of 1975 regulates the competency of witnesses to testify in Ghanaian courts. The Act provides that every person is competent to be a witness. However, under the Act, judges have the discretion to disqualify testimony of persons incapable of expressing themselves so as to be understood, either directly or through an interpreter, such as a sign language interpreter for deaf witnesses.</w:t>
      </w:r>
      <w:r>
        <w:rPr>
          <w:rStyle w:val="FootnoteReference"/>
        </w:rPr>
        <w:footnoteReference w:id="60"/>
      </w:r>
      <w:r>
        <w:t xml:space="preserve"> Moreover, the Act does not guarantee to individuals who rely on alternative methods of communication the option to use an interpreter. This lack of a legal guarantee serves to effectively preclude women with certain disabilities, such as deaf and hard of hearing women who rely on sign language interpretation and many women with intellectual disabilities, from being seen as credible witnesses when reporting their experiences of gender-based violence. This is </w:t>
      </w:r>
      <w:r>
        <w:lastRenderedPageBreak/>
        <w:t>particularly problematic in cases involving sexual assault or other forms of gender-based violence where the complaining witness’s testimony may provide the only evidence against the assailant.</w:t>
      </w:r>
    </w:p>
    <w:p w14:paraId="7435F28A" w14:textId="77777777" w:rsidR="00151C6C" w:rsidRDefault="00151C6C">
      <w:pPr>
        <w:jc w:val="both"/>
      </w:pPr>
    </w:p>
    <w:p w14:paraId="54A680A8" w14:textId="77777777" w:rsidR="00151C6C" w:rsidRDefault="00BF564B">
      <w:pPr>
        <w:spacing w:line="276" w:lineRule="auto"/>
        <w:jc w:val="both"/>
      </w:pPr>
      <w:r>
        <w:t xml:space="preserve">The Domestic Violence Act of 2006 provides for the setup of a Domestic Violence Fund to support victims of domestic violence, but the fund is under resourced to cater for women including women with disabilities. Currently there are no waivers on any of the services that victims will have to access to achieve full recovery and hence depriving them of the needed healthcare support. </w:t>
      </w:r>
    </w:p>
    <w:p w14:paraId="12A295DC" w14:textId="77777777" w:rsidR="00151C6C" w:rsidRDefault="00151C6C">
      <w:pPr>
        <w:jc w:val="both"/>
      </w:pPr>
    </w:p>
    <w:p w14:paraId="025BD0D3" w14:textId="77777777" w:rsidR="00151C6C" w:rsidRDefault="00BF564B">
      <w:pPr>
        <w:pStyle w:val="ListParagraph"/>
        <w:numPr>
          <w:ilvl w:val="0"/>
          <w:numId w:val="1"/>
        </w:numPr>
        <w:jc w:val="both"/>
        <w:rPr>
          <w:b/>
          <w:bCs/>
        </w:rPr>
      </w:pPr>
      <w:r>
        <w:rPr>
          <w:b/>
          <w:bCs/>
        </w:rPr>
        <w:t>Conclusions and Recommendations</w:t>
      </w:r>
    </w:p>
    <w:p w14:paraId="1766CF19" w14:textId="77777777" w:rsidR="00151C6C" w:rsidRDefault="00151C6C">
      <w:pPr>
        <w:jc w:val="both"/>
        <w:rPr>
          <w:b/>
          <w:bCs/>
        </w:rPr>
      </w:pPr>
    </w:p>
    <w:p w14:paraId="5E23BE82" w14:textId="77777777" w:rsidR="00151C6C" w:rsidRDefault="00BF564B">
      <w:pPr>
        <w:jc w:val="both"/>
      </w:pPr>
      <w:r>
        <w:t>Thank you for your consideration of this report. Based on the information outlined above, GFD and WEI recommend that the CRPD Committee include the following recommendations to Ghana during the upcoming state review.</w:t>
      </w:r>
    </w:p>
    <w:p w14:paraId="1C507C90" w14:textId="77777777" w:rsidR="00151C6C" w:rsidRDefault="00151C6C">
      <w:pPr>
        <w:jc w:val="both"/>
      </w:pPr>
    </w:p>
    <w:p w14:paraId="56C7530A" w14:textId="77777777" w:rsidR="00151C6C" w:rsidRDefault="00BF564B">
      <w:pPr>
        <w:pStyle w:val="ListParagraph"/>
        <w:numPr>
          <w:ilvl w:val="0"/>
          <w:numId w:val="16"/>
        </w:numPr>
        <w:jc w:val="both"/>
      </w:pPr>
      <w:r>
        <w:t>Overall Legal and Policy Framework, and Participation in Decision-Making</w:t>
      </w:r>
    </w:p>
    <w:p w14:paraId="37C97F59" w14:textId="77777777" w:rsidR="00151C6C" w:rsidRDefault="00BF564B">
      <w:pPr>
        <w:pStyle w:val="ListParagraph"/>
        <w:numPr>
          <w:ilvl w:val="0"/>
          <w:numId w:val="17"/>
        </w:numPr>
        <w:jc w:val="both"/>
      </w:pPr>
      <w:r>
        <w:t>Gather disaggregated data that includes gender, disability, age, and other factors, across all sectors including health, education, employment, political participation, access to justice, social protection, violence, migration and internal displacement.</w:t>
      </w:r>
    </w:p>
    <w:p w14:paraId="48275592" w14:textId="77777777" w:rsidR="00151C6C" w:rsidRDefault="00BF564B">
      <w:pPr>
        <w:pStyle w:val="ListParagraph"/>
        <w:numPr>
          <w:ilvl w:val="0"/>
          <w:numId w:val="17"/>
        </w:numPr>
        <w:jc w:val="both"/>
      </w:pPr>
      <w:r>
        <w:t>Analyze data through an intersectional lens in order to better understand the lived experiences of women and girls with disabilities in Ghana.</w:t>
      </w:r>
    </w:p>
    <w:p w14:paraId="280A8C85" w14:textId="77777777" w:rsidR="00151C6C" w:rsidRDefault="00BF564B">
      <w:pPr>
        <w:pStyle w:val="ListParagraph"/>
        <w:numPr>
          <w:ilvl w:val="0"/>
          <w:numId w:val="17"/>
        </w:numPr>
        <w:jc w:val="both"/>
      </w:pPr>
      <w:r>
        <w:t>Engage women with disabilities, including through their representative organizations, in the development, implementation, monitoring, and evaluation of all laws, policies, and programmes that will impact their rights, including those developed through the National Council for Persons with Disabilities.</w:t>
      </w:r>
    </w:p>
    <w:p w14:paraId="37BD92EC" w14:textId="77777777" w:rsidR="00151C6C" w:rsidRDefault="00BF564B">
      <w:pPr>
        <w:pStyle w:val="ListParagraph"/>
        <w:numPr>
          <w:ilvl w:val="0"/>
          <w:numId w:val="17"/>
        </w:numPr>
        <w:jc w:val="both"/>
      </w:pPr>
      <w:r>
        <w:rPr>
          <w:color w:val="000000"/>
        </w:rPr>
        <w:t>Eliminate stigma targeted towards all disabilities and not just albinism and develop a proper plan for outreach and awareness raising on stigma, stereotypes, attitudes and harmful practices regarding disability.</w:t>
      </w:r>
    </w:p>
    <w:p w14:paraId="7EBA41F2" w14:textId="77777777" w:rsidR="00151C6C" w:rsidRDefault="00BF564B">
      <w:pPr>
        <w:pStyle w:val="ListParagraph"/>
        <w:numPr>
          <w:ilvl w:val="0"/>
          <w:numId w:val="16"/>
        </w:numPr>
        <w:jc w:val="both"/>
      </w:pPr>
      <w:r>
        <w:t>Work, Employment, Livelihoods, and Social Protection</w:t>
      </w:r>
    </w:p>
    <w:p w14:paraId="4A80D56D" w14:textId="77777777" w:rsidR="00151C6C" w:rsidRDefault="00BF564B">
      <w:pPr>
        <w:pStyle w:val="ListParagraph"/>
        <w:numPr>
          <w:ilvl w:val="0"/>
          <w:numId w:val="18"/>
        </w:numPr>
        <w:jc w:val="both"/>
      </w:pPr>
      <w:r>
        <w:t>Ensure better access to accessible education and equality employment opportunities for women with disabilities and that social protection programs reach women and girls with disabilities and their families.</w:t>
      </w:r>
    </w:p>
    <w:p w14:paraId="4B88A1D2" w14:textId="77777777" w:rsidR="00151C6C" w:rsidRDefault="00BF564B">
      <w:pPr>
        <w:pStyle w:val="ListParagraph"/>
        <w:numPr>
          <w:ilvl w:val="0"/>
          <w:numId w:val="18"/>
        </w:numPr>
        <w:jc w:val="both"/>
      </w:pPr>
      <w:r>
        <w:rPr>
          <w:rFonts w:eastAsia="Calibri"/>
          <w:lang w:val="en-GB"/>
        </w:rPr>
        <w:t>Conscious efforts should be made to include provisions targeting women and girls with disabilities in the affirmative action bill before it becomes law.</w:t>
      </w:r>
    </w:p>
    <w:p w14:paraId="53B4CC5B" w14:textId="77777777" w:rsidR="00151C6C" w:rsidRDefault="00BF564B">
      <w:pPr>
        <w:pStyle w:val="ListParagraph"/>
        <w:numPr>
          <w:ilvl w:val="0"/>
          <w:numId w:val="16"/>
        </w:numPr>
        <w:jc w:val="both"/>
      </w:pPr>
      <w:r>
        <w:t>Sexual and Reproductive Health and Rights</w:t>
      </w:r>
    </w:p>
    <w:p w14:paraId="5A109B72" w14:textId="77777777" w:rsidR="00151C6C" w:rsidRDefault="00BF564B">
      <w:pPr>
        <w:pStyle w:val="ListParagraph"/>
        <w:numPr>
          <w:ilvl w:val="0"/>
          <w:numId w:val="18"/>
        </w:numPr>
        <w:jc w:val="both"/>
      </w:pPr>
      <w:r>
        <w:t>Reform the 2014 National Reproductive Health Policy and Standards to (1) include guidance to ensure the disability-related accessibility, availability, and quality of sexual and reproductive health services for women, girls, and other persons with disabilities, including disability training for reproductive healthcare providers; and (2) remove provisions that discriminate against women with disabilities, including in decision-making about their sexual and reproductive health.</w:t>
      </w:r>
    </w:p>
    <w:p w14:paraId="4A283CD4" w14:textId="77777777" w:rsidR="00151C6C" w:rsidRDefault="00BF564B">
      <w:pPr>
        <w:pStyle w:val="ListParagraph"/>
        <w:numPr>
          <w:ilvl w:val="0"/>
          <w:numId w:val="18"/>
        </w:numPr>
        <w:jc w:val="both"/>
      </w:pPr>
      <w:r>
        <w:t>Monitor and report on the implementation of the Policy and Standards as it impacts access to quality and respectful SRH information, goods, and services for women and girls with disabilities.</w:t>
      </w:r>
    </w:p>
    <w:p w14:paraId="04B277BF" w14:textId="77777777" w:rsidR="00151C6C" w:rsidRDefault="00BF564B">
      <w:pPr>
        <w:pStyle w:val="ListParagraph"/>
        <w:numPr>
          <w:ilvl w:val="0"/>
          <w:numId w:val="18"/>
        </w:numPr>
        <w:jc w:val="both"/>
      </w:pPr>
      <w:r>
        <w:t xml:space="preserve">Amend laws, policies, and practices that allow third parties (such as guardians, family members, or doctors) to provide consent for reproductive health </w:t>
      </w:r>
      <w:r>
        <w:lastRenderedPageBreak/>
        <w:t>interventions such as sterilization, abortion, and contraception. Monitor the provision of these services to women and girls with disabilities to ensure that these women themselves provide informed consent, and sanction healthcare providers and others who violate their rights in this regard.</w:t>
      </w:r>
    </w:p>
    <w:p w14:paraId="4DA88EFC" w14:textId="77777777" w:rsidR="00151C6C" w:rsidRDefault="00BF564B">
      <w:pPr>
        <w:pStyle w:val="ListParagraph"/>
        <w:numPr>
          <w:ilvl w:val="0"/>
          <w:numId w:val="16"/>
        </w:numPr>
        <w:jc w:val="both"/>
      </w:pPr>
      <w:r>
        <w:t>Freedom from Violence, including Gender-Based Violence, and Access to Justice</w:t>
      </w:r>
    </w:p>
    <w:p w14:paraId="56824704" w14:textId="77777777" w:rsidR="00151C6C" w:rsidRDefault="00BF564B">
      <w:pPr>
        <w:pStyle w:val="ListParagraph"/>
        <w:numPr>
          <w:ilvl w:val="0"/>
          <w:numId w:val="19"/>
        </w:numPr>
        <w:ind w:left="1440"/>
        <w:jc w:val="both"/>
      </w:pPr>
      <w:r>
        <w:t xml:space="preserve">Reform laws and policies related to violence, including gender-based violence, to ensure that they include and address the specific risk factors for and forms of violence experienced by women and girls with disabilities. </w:t>
      </w:r>
    </w:p>
    <w:p w14:paraId="5EEB4CC0" w14:textId="77777777" w:rsidR="00151C6C" w:rsidRDefault="00BF564B">
      <w:pPr>
        <w:pStyle w:val="ListParagraph"/>
        <w:numPr>
          <w:ilvl w:val="0"/>
          <w:numId w:val="19"/>
        </w:numPr>
        <w:ind w:left="1440"/>
        <w:jc w:val="both"/>
      </w:pPr>
      <w:r>
        <w:t>Establish mechanisms in the Domestic Violence Fund to target women and girls with disabilities, and ensure that information about, and means to apply for this funding are fully accessible and inclusive.</w:t>
      </w:r>
    </w:p>
    <w:p w14:paraId="03EC5BF6" w14:textId="77777777" w:rsidR="00151C6C" w:rsidRDefault="00BF564B">
      <w:pPr>
        <w:pStyle w:val="ListParagraph"/>
        <w:numPr>
          <w:ilvl w:val="0"/>
          <w:numId w:val="19"/>
        </w:numPr>
        <w:ind w:left="1440"/>
        <w:jc w:val="both"/>
      </w:pPr>
      <w:r>
        <w:t xml:space="preserve">Provide guidance to violence service providers and justice systems actors on ensuring that their services are fully accessible and are disability inclusive and responsive. </w:t>
      </w:r>
    </w:p>
    <w:p w14:paraId="1D90A9A9" w14:textId="77777777" w:rsidR="00151C6C" w:rsidRDefault="00BF564B">
      <w:pPr>
        <w:pStyle w:val="ListParagraph"/>
        <w:numPr>
          <w:ilvl w:val="0"/>
          <w:numId w:val="19"/>
        </w:numPr>
        <w:ind w:left="1440"/>
        <w:jc w:val="both"/>
      </w:pPr>
      <w:r>
        <w:t>Reform the Evidence Act of 1975 to remove provisions that allow judges to disqualify some witnesses with disabilities based on communication barriers.</w:t>
      </w:r>
    </w:p>
    <w:p w14:paraId="51C98233" w14:textId="77777777" w:rsidR="00151C6C" w:rsidRDefault="00BF564B">
      <w:pPr>
        <w:pStyle w:val="ListParagraph"/>
        <w:numPr>
          <w:ilvl w:val="0"/>
          <w:numId w:val="19"/>
        </w:numPr>
        <w:ind w:left="1440"/>
        <w:jc w:val="both"/>
      </w:pPr>
      <w:r>
        <w:t>Ensure budgetary allocations to the Domestic Violence Fund for specific provisions and protections of victims of domestic violence who are women with disabilities.</w:t>
      </w:r>
    </w:p>
    <w:p w14:paraId="3A94B525" w14:textId="77777777" w:rsidR="00151C6C" w:rsidRDefault="00BF564B">
      <w:pPr>
        <w:pStyle w:val="ListParagraph"/>
        <w:numPr>
          <w:ilvl w:val="0"/>
          <w:numId w:val="19"/>
        </w:numPr>
        <w:ind w:left="1440"/>
        <w:jc w:val="both"/>
      </w:pPr>
      <w:r>
        <w:t>Recruit and train professionals to provide respite care psychosocial or intellectual disabilities including children with disabilities.</w:t>
      </w:r>
    </w:p>
    <w:p w14:paraId="75F62561" w14:textId="77777777" w:rsidR="00151C6C" w:rsidRDefault="00151C6C">
      <w:pPr>
        <w:pStyle w:val="ListParagraph"/>
        <w:ind w:left="1440"/>
        <w:jc w:val="both"/>
      </w:pPr>
    </w:p>
    <w:p w14:paraId="7F04EB60" w14:textId="77777777" w:rsidR="00151C6C" w:rsidRDefault="00151C6C">
      <w:pPr>
        <w:jc w:val="both"/>
      </w:pPr>
    </w:p>
    <w:p w14:paraId="7AC6CCDD" w14:textId="77777777" w:rsidR="00151C6C" w:rsidRDefault="00151C6C">
      <w:pPr>
        <w:jc w:val="both"/>
      </w:pPr>
    </w:p>
    <w:p w14:paraId="37AE3864" w14:textId="77777777" w:rsidR="00151C6C" w:rsidRDefault="00151C6C">
      <w:pPr>
        <w:jc w:val="both"/>
      </w:pPr>
    </w:p>
    <w:sectPr w:rsidR="00151C6C">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8317C" w14:textId="77777777" w:rsidR="00BF564B" w:rsidRDefault="00BF564B">
      <w:r>
        <w:separator/>
      </w:r>
    </w:p>
  </w:endnote>
  <w:endnote w:type="continuationSeparator" w:id="0">
    <w:p w14:paraId="2089875B" w14:textId="77777777" w:rsidR="00BF564B" w:rsidRDefault="00BF5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B62B8" w14:textId="77777777" w:rsidR="00151C6C" w:rsidRDefault="00BF564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11D70736" w14:textId="77777777" w:rsidR="00151C6C" w:rsidRDefault="00151C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5E484" w14:textId="77777777" w:rsidR="00151C6C" w:rsidRDefault="00BF564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14:paraId="79EC466F" w14:textId="77777777" w:rsidR="00151C6C" w:rsidRDefault="00151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5631E" w14:textId="77777777" w:rsidR="00BF564B" w:rsidRDefault="00BF564B">
      <w:r>
        <w:separator/>
      </w:r>
    </w:p>
  </w:footnote>
  <w:footnote w:type="continuationSeparator" w:id="0">
    <w:p w14:paraId="0FEC57DA" w14:textId="77777777" w:rsidR="00BF564B" w:rsidRDefault="00BF564B">
      <w:r>
        <w:continuationSeparator/>
      </w:r>
    </w:p>
  </w:footnote>
  <w:footnote w:id="1">
    <w:p w14:paraId="05877639" w14:textId="77777777" w:rsidR="00151C6C" w:rsidRDefault="00BF564B">
      <w:pPr>
        <w:pStyle w:val="FootnoteText"/>
      </w:pPr>
      <w:r>
        <w:rPr>
          <w:rStyle w:val="FootnoteReference"/>
        </w:rPr>
        <w:footnoteRef/>
      </w:r>
      <w:r>
        <w:t xml:space="preserve"> WEI is an organization of feminists with disabilities and allies that works to advance rights and justice at the intersection of gender and disability worldwide. </w:t>
      </w:r>
    </w:p>
  </w:footnote>
  <w:footnote w:id="2">
    <w:p w14:paraId="38CF0E9F" w14:textId="77777777" w:rsidR="00151C6C" w:rsidRDefault="00BF564B">
      <w:pPr>
        <w:pStyle w:val="FootnoteText"/>
      </w:pPr>
      <w:r>
        <w:rPr>
          <w:rStyle w:val="FootnoteReference"/>
        </w:rPr>
        <w:footnoteRef/>
      </w:r>
      <w:r>
        <w:t xml:space="preserve"> Constitution of Ghana (1992), arts. 17 &amp; 27, </w:t>
      </w:r>
      <w:hyperlink r:id="rId1" w:history="1">
        <w:r>
          <w:rPr>
            <w:rStyle w:val="Hyperlink"/>
          </w:rPr>
          <w:t>https://faolex.fao.org/docs/pdf/gha129754.pdf</w:t>
        </w:r>
      </w:hyperlink>
      <w:r>
        <w:t xml:space="preserve"> </w:t>
      </w:r>
    </w:p>
  </w:footnote>
  <w:footnote w:id="3">
    <w:p w14:paraId="7A70C027" w14:textId="77777777" w:rsidR="00151C6C" w:rsidRDefault="00BF564B">
      <w:pPr>
        <w:pStyle w:val="FootnoteText"/>
      </w:pPr>
      <w:r>
        <w:rPr>
          <w:rStyle w:val="FootnoteReference"/>
        </w:rPr>
        <w:footnoteRef/>
      </w:r>
      <w:r>
        <w:t xml:space="preserve"> Ministry of Gender, Children and Social Protection, </w:t>
      </w:r>
      <w:r>
        <w:rPr>
          <w:i/>
          <w:iCs/>
        </w:rPr>
        <w:t>National Gender Policy of Ghana</w:t>
      </w:r>
      <w:r>
        <w:t xml:space="preserve"> (201.5), https://www.arc.int/gender-platform/IMG/pdf/ghana20national2-3391bba9.pdf.</w:t>
      </w:r>
    </w:p>
  </w:footnote>
  <w:footnote w:id="4">
    <w:p w14:paraId="52888291" w14:textId="77777777" w:rsidR="00151C6C" w:rsidRDefault="00BF564B">
      <w:pPr>
        <w:pStyle w:val="FootnoteText"/>
      </w:pPr>
      <w:r>
        <w:rPr>
          <w:rStyle w:val="FootnoteReference"/>
        </w:rPr>
        <w:footnoteRef/>
      </w:r>
      <w:r>
        <w:t xml:space="preserve"> Persons with Disabilities Act, Act 715 (2006), Ghana, </w:t>
      </w:r>
      <w:hyperlink r:id="rId2" w:history="1">
        <w:r>
          <w:rPr>
            <w:rStyle w:val="Hyperlink"/>
          </w:rPr>
          <w:t>https://sapghana.com/data/documents/DISABILITY-ACT-715.pdf</w:t>
        </w:r>
      </w:hyperlink>
      <w:r>
        <w:t>.</w:t>
      </w:r>
    </w:p>
  </w:footnote>
  <w:footnote w:id="5">
    <w:p w14:paraId="5A05CBD1" w14:textId="77777777" w:rsidR="00151C6C" w:rsidRDefault="00BF564B">
      <w:pPr>
        <w:pStyle w:val="FootnoteText"/>
        <w:rPr>
          <w:rFonts w:eastAsia="Calibri"/>
        </w:rPr>
      </w:pPr>
      <w:r>
        <w:rPr>
          <w:rStyle w:val="FootnoteReference"/>
        </w:rPr>
        <w:footnoteRef/>
      </w:r>
      <w:r>
        <w:t xml:space="preserve"> Chalwyn Caulker, et al, </w:t>
      </w:r>
      <w:r>
        <w:rPr>
          <w:rFonts w:eastAsia="Calibri"/>
          <w:i/>
          <w:iCs/>
        </w:rPr>
        <w:t>To Reach Gender Equality Ghana Needs to Prioritize Social and Economic Inclusion</w:t>
      </w:r>
      <w:r>
        <w:t xml:space="preserve"> (2023),</w:t>
      </w:r>
    </w:p>
    <w:p w14:paraId="2B68F448" w14:textId="77777777" w:rsidR="00151C6C" w:rsidRDefault="007F07EF">
      <w:pPr>
        <w:pStyle w:val="FootnoteText"/>
      </w:pPr>
      <w:hyperlink r:id="rId3" w:history="1">
        <w:r w:rsidR="00BF564B">
          <w:rPr>
            <w:rStyle w:val="Hyperlink"/>
          </w:rPr>
          <w:t>https://blogs.worldbank.org/en/nasikiliza/reach-gender-equality-ghana-needs-prioritize-social-and-economic-inclusion</w:t>
        </w:r>
      </w:hyperlink>
      <w:r w:rsidR="00BF564B">
        <w:t xml:space="preserve">. </w:t>
      </w:r>
    </w:p>
  </w:footnote>
  <w:footnote w:id="6">
    <w:p w14:paraId="74704273" w14:textId="77777777" w:rsidR="00151C6C" w:rsidRDefault="00BF564B">
      <w:pPr>
        <w:pStyle w:val="FootnoteText"/>
      </w:pPr>
      <w:r>
        <w:rPr>
          <w:rStyle w:val="FootnoteReference"/>
        </w:rPr>
        <w:footnoteRef/>
      </w:r>
      <w:r>
        <w:t xml:space="preserve"> </w:t>
      </w:r>
      <w:r>
        <w:rPr>
          <w:i/>
          <w:iCs/>
        </w:rPr>
        <w:t>See, e.g.</w:t>
      </w:r>
      <w:r>
        <w:t xml:space="preserve">, Ghana Federation of Disability Organizations, et al, </w:t>
      </w:r>
      <w:r>
        <w:rPr>
          <w:i/>
          <w:iCs/>
        </w:rPr>
        <w:t>Leave No Woman Behind: National Report on the Situation of Women with Disabilities in Ghana</w:t>
      </w:r>
      <w:r>
        <w:t xml:space="preserve"> (2020),</w:t>
      </w:r>
    </w:p>
    <w:p w14:paraId="11B21CE2" w14:textId="77777777" w:rsidR="00151C6C" w:rsidRDefault="007F07EF">
      <w:pPr>
        <w:pStyle w:val="FootnoteText"/>
      </w:pPr>
      <w:hyperlink r:id="rId4" w:history="1">
        <w:r w:rsidR="00BF564B">
          <w:rPr>
            <w:rStyle w:val="Hyperlink"/>
          </w:rPr>
          <w:t>https://gcap.global/wp-content/uploads/2021/02/LNWB-Ghana-Country-Report-1.pdf</w:t>
        </w:r>
      </w:hyperlink>
      <w:r w:rsidR="00BF564B">
        <w:t xml:space="preserve"> [hereinafter GFD, </w:t>
      </w:r>
      <w:r w:rsidR="00BF564B">
        <w:rPr>
          <w:i/>
          <w:iCs/>
        </w:rPr>
        <w:t>Leave No Woman Behind</w:t>
      </w:r>
      <w:r w:rsidR="00BF564B">
        <w:t>].</w:t>
      </w:r>
    </w:p>
  </w:footnote>
  <w:footnote w:id="7">
    <w:p w14:paraId="790ABB2D" w14:textId="77777777" w:rsidR="00151C6C" w:rsidRDefault="00BF564B">
      <w:pPr>
        <w:pStyle w:val="FootnoteText"/>
      </w:pPr>
      <w:r>
        <w:rPr>
          <w:rStyle w:val="FootnoteReference"/>
        </w:rPr>
        <w:footnoteRef/>
      </w:r>
      <w:r>
        <w:t xml:space="preserve"> </w:t>
      </w:r>
      <w:r>
        <w:rPr>
          <w:i/>
          <w:iCs/>
        </w:rPr>
        <w:t>Id.</w:t>
      </w:r>
      <w:r>
        <w:t xml:space="preserve"> at 10.</w:t>
      </w:r>
    </w:p>
  </w:footnote>
  <w:footnote w:id="8">
    <w:p w14:paraId="2BBBAC94" w14:textId="77777777" w:rsidR="00151C6C" w:rsidRDefault="00BF564B">
      <w:pPr>
        <w:pStyle w:val="FootnoteText"/>
      </w:pPr>
      <w:r>
        <w:rPr>
          <w:rStyle w:val="FootnoteReference"/>
        </w:rPr>
        <w:footnoteRef/>
      </w:r>
      <w:r>
        <w:t xml:space="preserve"> Labour Act (2003), Ghana.</w:t>
      </w:r>
    </w:p>
  </w:footnote>
  <w:footnote w:id="9">
    <w:p w14:paraId="59D86DB9" w14:textId="77777777" w:rsidR="00151C6C" w:rsidRDefault="00BF564B">
      <w:pPr>
        <w:pStyle w:val="FootnoteText"/>
      </w:pPr>
      <w:r>
        <w:rPr>
          <w:rStyle w:val="FootnoteReference"/>
        </w:rPr>
        <w:footnoteRef/>
      </w:r>
      <w:r>
        <w:t xml:space="preserve"> International Labor Organization (ILO), (2018) </w:t>
      </w:r>
      <w:r>
        <w:rPr>
          <w:i/>
          <w:iCs/>
        </w:rPr>
        <w:t>Paid employment vs vulnerable employment</w:t>
      </w:r>
      <w:r>
        <w:t xml:space="preserve"> (2018), https://ilo.org/wcmsp5/groups/public/---dgreports/-- -stat/documents/publication/wcms_631497.pdf; World Bank</w:t>
      </w:r>
      <w:r>
        <w:rPr>
          <w:i/>
          <w:iCs/>
        </w:rPr>
        <w:t>, Vulnerable employment, female</w:t>
      </w:r>
      <w:r>
        <w:t xml:space="preserve"> (% of female employment) (modeled ILO estimate), https://data.worldbank.org/indicator/SL.EMP.VULN.FE.ZS Vulnerable employment, male (% of male employment) (modeled ILO estimate), data retrieved July 2024, </w:t>
      </w:r>
      <w:hyperlink r:id="rId5" w:history="1">
        <w:r>
          <w:rPr>
            <w:rStyle w:val="Hyperlink"/>
          </w:rPr>
          <w:t>https://data.worldbank.org/indicator/SL.EMP.VULN.MA.ZS?view=chart</w:t>
        </w:r>
      </w:hyperlink>
      <w:r>
        <w:t xml:space="preserve">. </w:t>
      </w:r>
    </w:p>
  </w:footnote>
  <w:footnote w:id="10">
    <w:p w14:paraId="5EF648BE" w14:textId="77777777" w:rsidR="00151C6C" w:rsidRDefault="00BF564B">
      <w:pPr>
        <w:pStyle w:val="FootnoteText"/>
      </w:pPr>
      <w:r>
        <w:rPr>
          <w:rStyle w:val="FootnoteReference"/>
        </w:rPr>
        <w:footnoteRef/>
      </w:r>
      <w:r>
        <w:t xml:space="preserve"> GFD, </w:t>
      </w:r>
      <w:r>
        <w:rPr>
          <w:i/>
          <w:iCs/>
        </w:rPr>
        <w:t>Leave No Woman Behind</w:t>
      </w:r>
      <w:r>
        <w:t xml:space="preserve">, </w:t>
      </w:r>
      <w:r>
        <w:rPr>
          <w:i/>
          <w:iCs/>
        </w:rPr>
        <w:t>supra</w:t>
      </w:r>
      <w:r>
        <w:t xml:space="preserve"> note 6, at 8.</w:t>
      </w:r>
    </w:p>
  </w:footnote>
  <w:footnote w:id="11">
    <w:p w14:paraId="29518880" w14:textId="77777777" w:rsidR="00151C6C" w:rsidRDefault="00BF564B">
      <w:pPr>
        <w:pStyle w:val="FootnoteText"/>
      </w:pPr>
      <w:r>
        <w:rPr>
          <w:rStyle w:val="FootnoteReference"/>
        </w:rPr>
        <w:footnoteRef/>
      </w:r>
      <w:r>
        <w:t xml:space="preserve"> </w:t>
      </w:r>
      <w:r>
        <w:rPr>
          <w:i/>
          <w:iCs/>
        </w:rPr>
        <w:t>Id.</w:t>
      </w:r>
    </w:p>
  </w:footnote>
  <w:footnote w:id="12">
    <w:p w14:paraId="37EE6A6C" w14:textId="77777777" w:rsidR="00151C6C" w:rsidRDefault="00BF564B">
      <w:pPr>
        <w:pStyle w:val="FootnoteText"/>
      </w:pPr>
      <w:r>
        <w:rPr>
          <w:rStyle w:val="FootnoteReference"/>
        </w:rPr>
        <w:footnoteRef/>
      </w:r>
      <w:r>
        <w:t xml:space="preserve"> </w:t>
      </w:r>
      <w:r>
        <w:rPr>
          <w:i/>
          <w:iCs/>
        </w:rPr>
        <w:t>Id.</w:t>
      </w:r>
    </w:p>
  </w:footnote>
  <w:footnote w:id="13">
    <w:p w14:paraId="5075757E" w14:textId="77777777" w:rsidR="00151C6C" w:rsidRDefault="00BF564B">
      <w:pPr>
        <w:pStyle w:val="FootnoteText"/>
      </w:pPr>
      <w:r>
        <w:rPr>
          <w:rStyle w:val="FootnoteReference"/>
        </w:rPr>
        <w:footnoteRef/>
      </w:r>
      <w:r>
        <w:t xml:space="preserve"> </w:t>
      </w:r>
      <w:r>
        <w:rPr>
          <w:i/>
          <w:iCs/>
        </w:rPr>
        <w:t xml:space="preserve">Id. </w:t>
      </w:r>
      <w:r>
        <w:t>at 6.</w:t>
      </w:r>
    </w:p>
  </w:footnote>
  <w:footnote w:id="14">
    <w:p w14:paraId="45294ED2" w14:textId="77777777" w:rsidR="00151C6C" w:rsidRDefault="00BF564B">
      <w:pPr>
        <w:pStyle w:val="FootnoteText"/>
      </w:pPr>
      <w:r>
        <w:rPr>
          <w:rStyle w:val="FootnoteReference"/>
        </w:rPr>
        <w:footnoteRef/>
      </w:r>
      <w:r>
        <w:t xml:space="preserve"> </w:t>
      </w:r>
      <w:r>
        <w:rPr>
          <w:i/>
          <w:iCs/>
        </w:rPr>
        <w:t xml:space="preserve">Id. </w:t>
      </w:r>
      <w:r>
        <w:t>at 9.</w:t>
      </w:r>
    </w:p>
  </w:footnote>
  <w:footnote w:id="15">
    <w:p w14:paraId="5CC1A548" w14:textId="77777777" w:rsidR="00151C6C" w:rsidRDefault="00BF564B">
      <w:pPr>
        <w:pStyle w:val="FootnoteText"/>
      </w:pPr>
      <w:r>
        <w:rPr>
          <w:rStyle w:val="FootnoteReference"/>
        </w:rPr>
        <w:footnoteRef/>
      </w:r>
      <w:r>
        <w:t xml:space="preserve"> </w:t>
      </w:r>
      <w:r>
        <w:rPr>
          <w:i/>
          <w:iCs/>
        </w:rPr>
        <w:t>See generally</w:t>
      </w:r>
      <w:r>
        <w:t xml:space="preserve"> National Reproductive Health Policy and Standards, Ghana (2014).</w:t>
      </w:r>
    </w:p>
  </w:footnote>
  <w:footnote w:id="16">
    <w:p w14:paraId="0BEE9094" w14:textId="77777777" w:rsidR="00151C6C" w:rsidRDefault="00BF564B">
      <w:pPr>
        <w:pStyle w:val="FootnoteText"/>
      </w:pPr>
      <w:r>
        <w:rPr>
          <w:rStyle w:val="FootnoteReference"/>
        </w:rPr>
        <w:footnoteRef/>
      </w:r>
      <w:r>
        <w:t xml:space="preserve"> </w:t>
      </w:r>
      <w:r>
        <w:rPr>
          <w:i/>
          <w:iCs/>
        </w:rPr>
        <w:t xml:space="preserve">Id. </w:t>
      </w:r>
      <w:r>
        <w:t>at 39-40.</w:t>
      </w:r>
    </w:p>
  </w:footnote>
  <w:footnote w:id="17">
    <w:p w14:paraId="5A2D33F0" w14:textId="77777777" w:rsidR="00151C6C" w:rsidRDefault="00BF564B">
      <w:pPr>
        <w:rPr>
          <w:sz w:val="20"/>
          <w:szCs w:val="20"/>
        </w:rPr>
      </w:pPr>
      <w:r>
        <w:rPr>
          <w:rStyle w:val="FootnoteReference"/>
          <w:sz w:val="20"/>
          <w:szCs w:val="20"/>
        </w:rPr>
        <w:footnoteRef/>
      </w:r>
      <w:r>
        <w:rPr>
          <w:sz w:val="20"/>
          <w:szCs w:val="20"/>
        </w:rPr>
        <w:t xml:space="preserve"> Ghana Federation of Disability Organizations, </w:t>
      </w:r>
      <w:r>
        <w:rPr>
          <w:i/>
          <w:iCs/>
          <w:sz w:val="20"/>
          <w:szCs w:val="20"/>
        </w:rPr>
        <w:t xml:space="preserve">Report of a Research Conducted into Stigma Related Barriers to Accessing Sexual and Reproductive Health Services and Rights by Persons with Disabilities in Ghana </w:t>
      </w:r>
      <w:r>
        <w:rPr>
          <w:sz w:val="20"/>
          <w:szCs w:val="20"/>
        </w:rPr>
        <w:t xml:space="preserve">(March 2018) [hereinafter GFD, </w:t>
      </w:r>
      <w:r>
        <w:rPr>
          <w:i/>
          <w:iCs/>
          <w:sz w:val="20"/>
          <w:szCs w:val="20"/>
        </w:rPr>
        <w:t>Report on Sexual &amp; Reproductive Health Services and Rights</w:t>
      </w:r>
      <w:r>
        <w:rPr>
          <w:sz w:val="20"/>
          <w:szCs w:val="20"/>
        </w:rPr>
        <w:t>].</w:t>
      </w:r>
    </w:p>
  </w:footnote>
  <w:footnote w:id="18">
    <w:p w14:paraId="132E648B" w14:textId="77777777" w:rsidR="00151C6C" w:rsidRDefault="00BF564B">
      <w:pPr>
        <w:pStyle w:val="FootnoteText"/>
      </w:pPr>
      <w:r>
        <w:rPr>
          <w:rStyle w:val="FootnoteReference"/>
        </w:rPr>
        <w:footnoteRef/>
      </w:r>
      <w:r>
        <w:t xml:space="preserve"> </w:t>
      </w:r>
      <w:r>
        <w:rPr>
          <w:i/>
          <w:iCs/>
        </w:rPr>
        <w:t xml:space="preserve">Id. </w:t>
      </w:r>
      <w:r>
        <w:t>at 10.</w:t>
      </w:r>
    </w:p>
  </w:footnote>
  <w:footnote w:id="19">
    <w:p w14:paraId="75D3E09D" w14:textId="77777777" w:rsidR="00151C6C" w:rsidRDefault="00BF564B">
      <w:pPr>
        <w:pStyle w:val="FootnoteText"/>
      </w:pPr>
      <w:r>
        <w:rPr>
          <w:rStyle w:val="FootnoteReference"/>
        </w:rPr>
        <w:footnoteRef/>
      </w:r>
      <w:r>
        <w:t xml:space="preserve"> </w:t>
      </w:r>
      <w:r>
        <w:rPr>
          <w:i/>
          <w:iCs/>
        </w:rPr>
        <w:t xml:space="preserve">Id. </w:t>
      </w:r>
      <w:r>
        <w:t>at 11.</w:t>
      </w:r>
    </w:p>
  </w:footnote>
  <w:footnote w:id="20">
    <w:p w14:paraId="5C5CE91C" w14:textId="77777777" w:rsidR="00151C6C" w:rsidRDefault="00BF564B">
      <w:pPr>
        <w:pStyle w:val="FootnoteText"/>
      </w:pPr>
      <w:r>
        <w:rPr>
          <w:rStyle w:val="FootnoteReference"/>
        </w:rPr>
        <w:footnoteRef/>
      </w:r>
      <w:r>
        <w:t xml:space="preserve"> </w:t>
      </w:r>
      <w:r>
        <w:rPr>
          <w:i/>
          <w:iCs/>
        </w:rPr>
        <w:t xml:space="preserve">Id. </w:t>
      </w:r>
      <w:r>
        <w:t>at 13.</w:t>
      </w:r>
    </w:p>
  </w:footnote>
  <w:footnote w:id="21">
    <w:p w14:paraId="7367BD99" w14:textId="77777777" w:rsidR="00151C6C" w:rsidRDefault="00BF564B">
      <w:pPr>
        <w:pStyle w:val="FootnoteText"/>
      </w:pPr>
      <w:r>
        <w:rPr>
          <w:rStyle w:val="FootnoteReference"/>
        </w:rPr>
        <w:footnoteRef/>
      </w:r>
      <w:r>
        <w:t xml:space="preserve"> </w:t>
      </w:r>
      <w:r>
        <w:rPr>
          <w:i/>
          <w:iCs/>
        </w:rPr>
        <w:t xml:space="preserve">Id. </w:t>
      </w:r>
      <w:r>
        <w:t>at 11-12.</w:t>
      </w:r>
    </w:p>
  </w:footnote>
  <w:footnote w:id="22">
    <w:p w14:paraId="6DE17C08" w14:textId="77777777" w:rsidR="00151C6C" w:rsidRDefault="00BF564B">
      <w:pPr>
        <w:pStyle w:val="FootnoteText"/>
      </w:pPr>
      <w:r>
        <w:rPr>
          <w:rStyle w:val="FootnoteReference"/>
        </w:rPr>
        <w:footnoteRef/>
      </w:r>
      <w:r>
        <w:t xml:space="preserve"> </w:t>
      </w:r>
      <w:r>
        <w:rPr>
          <w:i/>
          <w:iCs/>
        </w:rPr>
        <w:t xml:space="preserve">Id. </w:t>
      </w:r>
      <w:r>
        <w:t>at 13.</w:t>
      </w:r>
    </w:p>
  </w:footnote>
  <w:footnote w:id="23">
    <w:p w14:paraId="7E603D02" w14:textId="77777777" w:rsidR="00151C6C" w:rsidRDefault="00BF564B">
      <w:pPr>
        <w:pStyle w:val="FootnoteText"/>
      </w:pPr>
      <w:r>
        <w:rPr>
          <w:rStyle w:val="FootnoteReference"/>
        </w:rPr>
        <w:footnoteRef/>
      </w:r>
      <w:r>
        <w:t xml:space="preserve"> Abdul-Aziz Seidu, et al, </w:t>
      </w:r>
      <w:r>
        <w:rPr>
          <w:i/>
          <w:iCs/>
        </w:rPr>
        <w:t>A mixed-methods study of the awareness and functionality of sexual and reproductive health services among persons with disability in Ghana</w:t>
      </w:r>
      <w:r>
        <w:t xml:space="preserve">, 20 </w:t>
      </w:r>
      <w:r>
        <w:rPr>
          <w:smallCaps/>
        </w:rPr>
        <w:t>Reproductive Health</w:t>
      </w:r>
      <w:r>
        <w:t xml:space="preserve"> 162 (2023), </w:t>
      </w:r>
      <w:hyperlink r:id="rId6" w:history="1">
        <w:r>
          <w:rPr>
            <w:rStyle w:val="Hyperlink"/>
          </w:rPr>
          <w:t>https://reproductive-health-journal.biomedcentral.com/articles/10.1186/s12978-023-01700-1</w:t>
        </w:r>
      </w:hyperlink>
      <w:r>
        <w:rPr>
          <w:rStyle w:val="Hyperlink"/>
        </w:rPr>
        <w:t>.</w:t>
      </w:r>
    </w:p>
  </w:footnote>
  <w:footnote w:id="24">
    <w:p w14:paraId="4D116A8A" w14:textId="77777777" w:rsidR="00151C6C" w:rsidRDefault="00BF564B">
      <w:pPr>
        <w:pStyle w:val="FootnoteText"/>
        <w:rPr>
          <w:i/>
          <w:iCs/>
        </w:rPr>
      </w:pPr>
      <w:r>
        <w:rPr>
          <w:rStyle w:val="FootnoteReference"/>
        </w:rPr>
        <w:footnoteRef/>
      </w:r>
      <w:r>
        <w:t xml:space="preserve"> </w:t>
      </w:r>
      <w:r>
        <w:rPr>
          <w:i/>
          <w:iCs/>
        </w:rPr>
        <w:t>Id.</w:t>
      </w:r>
    </w:p>
  </w:footnote>
  <w:footnote w:id="25">
    <w:p w14:paraId="303110DE" w14:textId="77777777" w:rsidR="00151C6C" w:rsidRDefault="00BF564B">
      <w:pPr>
        <w:pStyle w:val="FootnoteText"/>
      </w:pPr>
      <w:r>
        <w:rPr>
          <w:rStyle w:val="FootnoteReference"/>
        </w:rPr>
        <w:footnoteRef/>
      </w:r>
      <w:r>
        <w:t xml:space="preserve"> GFD, </w:t>
      </w:r>
      <w:r>
        <w:rPr>
          <w:i/>
          <w:iCs/>
        </w:rPr>
        <w:t>Report on Sexual &amp; Reproductive Health Services and Rights</w:t>
      </w:r>
      <w:r>
        <w:t xml:space="preserve">, </w:t>
      </w:r>
      <w:r>
        <w:rPr>
          <w:i/>
          <w:iCs/>
        </w:rPr>
        <w:t>supra</w:t>
      </w:r>
      <w:r>
        <w:t xml:space="preserve"> note 17, at 12.</w:t>
      </w:r>
    </w:p>
  </w:footnote>
  <w:footnote w:id="26">
    <w:p w14:paraId="6560DB3B" w14:textId="77777777" w:rsidR="00151C6C" w:rsidRDefault="00BF564B">
      <w:pPr>
        <w:pStyle w:val="FootnoteText"/>
      </w:pPr>
      <w:r>
        <w:rPr>
          <w:rStyle w:val="FootnoteReference"/>
        </w:rPr>
        <w:footnoteRef/>
      </w:r>
      <w:r>
        <w:t xml:space="preserve"> </w:t>
      </w:r>
      <w:r>
        <w:rPr>
          <w:i/>
          <w:iCs/>
        </w:rPr>
        <w:t xml:space="preserve">Id. </w:t>
      </w:r>
      <w:r>
        <w:t>at 16.</w:t>
      </w:r>
    </w:p>
  </w:footnote>
  <w:footnote w:id="27">
    <w:p w14:paraId="4FC74451" w14:textId="77777777" w:rsidR="00151C6C" w:rsidRDefault="00BF564B">
      <w:pPr>
        <w:pStyle w:val="FootnoteText"/>
      </w:pPr>
      <w:r>
        <w:rPr>
          <w:rStyle w:val="FootnoteReference"/>
        </w:rPr>
        <w:footnoteRef/>
      </w:r>
      <w:r>
        <w:t xml:space="preserve"> Abdul-Aziz Seidu, et al, </w:t>
      </w:r>
      <w:r>
        <w:rPr>
          <w:i/>
          <w:iCs/>
        </w:rPr>
        <w:t>A mixed-methods study of the awareness and functionality of sexual and reproductive health services among persons with disability in Ghana</w:t>
      </w:r>
      <w:r>
        <w:t xml:space="preserve">, 20 </w:t>
      </w:r>
      <w:r>
        <w:rPr>
          <w:smallCaps/>
        </w:rPr>
        <w:t>Reproductive Health</w:t>
      </w:r>
      <w:r>
        <w:t xml:space="preserve"> 162 (2023), </w:t>
      </w:r>
      <w:hyperlink r:id="rId7" w:history="1">
        <w:r>
          <w:rPr>
            <w:rStyle w:val="Hyperlink"/>
          </w:rPr>
          <w:t>https://reproductive-health-journal.biomedcentral.com/articles/10.1186/s12978-023-01700-1</w:t>
        </w:r>
      </w:hyperlink>
      <w:r>
        <w:rPr>
          <w:rStyle w:val="Hyperlink"/>
        </w:rPr>
        <w:t>.</w:t>
      </w:r>
    </w:p>
  </w:footnote>
  <w:footnote w:id="28">
    <w:p w14:paraId="2A94C81F" w14:textId="77777777" w:rsidR="00151C6C" w:rsidRDefault="00BF564B">
      <w:pPr>
        <w:rPr>
          <w:b/>
          <w:bCs/>
          <w:sz w:val="20"/>
          <w:szCs w:val="20"/>
        </w:rPr>
      </w:pPr>
      <w:r>
        <w:rPr>
          <w:rStyle w:val="FootnoteReference"/>
          <w:sz w:val="20"/>
          <w:szCs w:val="20"/>
        </w:rPr>
        <w:footnoteRef/>
      </w:r>
      <w:r>
        <w:rPr>
          <w:sz w:val="20"/>
          <w:szCs w:val="20"/>
        </w:rPr>
        <w:t xml:space="preserve"> Bernard Obeng, et al, </w:t>
      </w:r>
      <w:r>
        <w:rPr>
          <w:i/>
          <w:iCs/>
          <w:sz w:val="20"/>
          <w:szCs w:val="20"/>
        </w:rPr>
        <w:t>Maternal health care for women with disabilities: perspectives of health professionals in Ghana</w:t>
      </w:r>
      <w:r>
        <w:rPr>
          <w:sz w:val="20"/>
          <w:szCs w:val="20"/>
        </w:rPr>
        <w:t xml:space="preserve">, 3 </w:t>
      </w:r>
      <w:r>
        <w:rPr>
          <w:smallCaps/>
          <w:sz w:val="20"/>
          <w:szCs w:val="20"/>
        </w:rPr>
        <w:t>Discover Health Systems</w:t>
      </w:r>
      <w:r>
        <w:rPr>
          <w:sz w:val="20"/>
          <w:szCs w:val="20"/>
        </w:rPr>
        <w:t xml:space="preserve"> 22 (2024),</w:t>
      </w:r>
    </w:p>
    <w:p w14:paraId="28CE07EF" w14:textId="77777777" w:rsidR="00151C6C" w:rsidRDefault="00BF564B">
      <w:pPr>
        <w:rPr>
          <w:sz w:val="20"/>
          <w:szCs w:val="20"/>
        </w:rPr>
      </w:pPr>
      <w:r>
        <w:rPr>
          <w:sz w:val="20"/>
          <w:szCs w:val="20"/>
        </w:rPr>
        <w:t xml:space="preserve"> </w:t>
      </w:r>
      <w:hyperlink r:id="rId8" w:history="1">
        <w:r>
          <w:rPr>
            <w:rStyle w:val="Hyperlink"/>
            <w:sz w:val="20"/>
            <w:szCs w:val="20"/>
          </w:rPr>
          <w:t>https://link.springer.com/article/10.1007/s44250-024-00083-9</w:t>
        </w:r>
      </w:hyperlink>
      <w:r>
        <w:rPr>
          <w:sz w:val="20"/>
          <w:szCs w:val="20"/>
        </w:rPr>
        <w:t>.</w:t>
      </w:r>
    </w:p>
  </w:footnote>
  <w:footnote w:id="29">
    <w:p w14:paraId="031317EC" w14:textId="77777777" w:rsidR="00151C6C" w:rsidRDefault="00BF564B">
      <w:pPr>
        <w:pStyle w:val="FootnoteText"/>
        <w:rPr>
          <w:i/>
          <w:iCs/>
        </w:rPr>
      </w:pPr>
      <w:r>
        <w:rPr>
          <w:rStyle w:val="FootnoteReference"/>
        </w:rPr>
        <w:footnoteRef/>
      </w:r>
      <w:r>
        <w:t xml:space="preserve"> </w:t>
      </w:r>
      <w:r>
        <w:rPr>
          <w:i/>
          <w:iCs/>
        </w:rPr>
        <w:t>Id.</w:t>
      </w:r>
    </w:p>
  </w:footnote>
  <w:footnote w:id="30">
    <w:p w14:paraId="0E895FC6" w14:textId="77777777" w:rsidR="00151C6C" w:rsidRDefault="00BF564B">
      <w:pPr>
        <w:pStyle w:val="FootnoteText"/>
        <w:rPr>
          <w:i/>
          <w:iCs/>
        </w:rPr>
      </w:pPr>
      <w:r>
        <w:rPr>
          <w:rStyle w:val="FootnoteReference"/>
        </w:rPr>
        <w:footnoteRef/>
      </w:r>
      <w:r>
        <w:t xml:space="preserve"> </w:t>
      </w:r>
      <w:r>
        <w:rPr>
          <w:i/>
          <w:iCs/>
        </w:rPr>
        <w:t>Id.</w:t>
      </w:r>
    </w:p>
  </w:footnote>
  <w:footnote w:id="31">
    <w:p w14:paraId="472BFAC2" w14:textId="77777777" w:rsidR="00151C6C" w:rsidRDefault="00BF564B">
      <w:pPr>
        <w:pStyle w:val="FootnoteText"/>
        <w:rPr>
          <w:i/>
          <w:iCs/>
        </w:rPr>
      </w:pPr>
      <w:r>
        <w:rPr>
          <w:rStyle w:val="FootnoteReference"/>
        </w:rPr>
        <w:footnoteRef/>
      </w:r>
      <w:r>
        <w:t xml:space="preserve"> </w:t>
      </w:r>
      <w:r>
        <w:rPr>
          <w:i/>
          <w:iCs/>
        </w:rPr>
        <w:t>Id.</w:t>
      </w:r>
    </w:p>
  </w:footnote>
  <w:footnote w:id="32">
    <w:p w14:paraId="7D3FCE6C" w14:textId="77777777" w:rsidR="00151C6C" w:rsidRDefault="00BF564B">
      <w:pPr>
        <w:pStyle w:val="FootnoteText"/>
        <w:rPr>
          <w:i/>
          <w:iCs/>
        </w:rPr>
      </w:pPr>
      <w:r>
        <w:rPr>
          <w:rStyle w:val="FootnoteReference"/>
        </w:rPr>
        <w:footnoteRef/>
      </w:r>
      <w:r>
        <w:t xml:space="preserve"> </w:t>
      </w:r>
      <w:r>
        <w:rPr>
          <w:i/>
          <w:iCs/>
        </w:rPr>
        <w:t>Id.</w:t>
      </w:r>
    </w:p>
  </w:footnote>
  <w:footnote w:id="33">
    <w:p w14:paraId="13DEFF4C" w14:textId="77777777" w:rsidR="00151C6C" w:rsidRDefault="00BF564B">
      <w:pPr>
        <w:pStyle w:val="FootnoteText"/>
      </w:pPr>
      <w:r>
        <w:rPr>
          <w:rStyle w:val="FootnoteReference"/>
        </w:rPr>
        <w:footnoteRef/>
      </w:r>
      <w:r>
        <w:t xml:space="preserve"> Women Enabled International, </w:t>
      </w:r>
      <w:r>
        <w:rPr>
          <w:i/>
          <w:iCs/>
        </w:rPr>
        <w:t xml:space="preserve">Facts: Sexual and Reproductive Health and Rights of Women and Girls with Disabilities </w:t>
      </w:r>
      <w:r>
        <w:t xml:space="preserve">(2018), </w:t>
      </w:r>
      <w:hyperlink r:id="rId9" w:history="1">
        <w:r>
          <w:rPr>
            <w:rStyle w:val="Hyperlink"/>
          </w:rPr>
          <w:t>https://womenenabled.org/wp-content/uploads/Women%20Enabled%20International%20Facts%20-%20Sexual%20and%20Reproductive%20Health%20and%20Rights%20of%20Women%20and%20Girls%20with%20Disabilities%20-%20ENGLISH%20-%20FINAL.pdf</w:t>
        </w:r>
      </w:hyperlink>
      <w:r>
        <w:t xml:space="preserve">. </w:t>
      </w:r>
    </w:p>
  </w:footnote>
  <w:footnote w:id="34">
    <w:p w14:paraId="6CF4B609" w14:textId="77777777" w:rsidR="00151C6C" w:rsidRDefault="00BF564B">
      <w:pPr>
        <w:pStyle w:val="FootnoteText"/>
        <w:rPr>
          <w:i/>
          <w:iCs/>
        </w:rPr>
      </w:pPr>
      <w:r>
        <w:rPr>
          <w:rStyle w:val="FootnoteReference"/>
        </w:rPr>
        <w:footnoteRef/>
      </w:r>
      <w:r>
        <w:t xml:space="preserve"> </w:t>
      </w:r>
      <w:r>
        <w:rPr>
          <w:i/>
          <w:iCs/>
        </w:rPr>
        <w:t>Id.</w:t>
      </w:r>
    </w:p>
  </w:footnote>
  <w:footnote w:id="35">
    <w:p w14:paraId="02F876A7" w14:textId="77777777" w:rsidR="00151C6C" w:rsidRDefault="00BF564B">
      <w:pPr>
        <w:pStyle w:val="FootnoteText"/>
      </w:pPr>
      <w:r>
        <w:rPr>
          <w:rStyle w:val="FootnoteReference"/>
        </w:rPr>
        <w:footnoteRef/>
      </w:r>
      <w:r>
        <w:t xml:space="preserve"> National Reproductive Health Policy and Standards (2014), Ghana, at 15.</w:t>
      </w:r>
    </w:p>
  </w:footnote>
  <w:footnote w:id="36">
    <w:p w14:paraId="10EC900E" w14:textId="77777777" w:rsidR="00151C6C" w:rsidRDefault="00BF564B">
      <w:pPr>
        <w:pStyle w:val="FootnoteText"/>
      </w:pPr>
      <w:r>
        <w:rPr>
          <w:rStyle w:val="FootnoteReference"/>
        </w:rPr>
        <w:footnoteRef/>
      </w:r>
      <w:r>
        <w:t xml:space="preserve"> National Reproductive Health Policy and Standards (2014), Ghana, at 10 (“In the case of mental disability or serious psychiatric disease where the nature of the disease does not allow for informed choice, contraceptives shall be provided in consultation with all relevant parties including persons in loco parentis and trained service providers.”).</w:t>
      </w:r>
    </w:p>
  </w:footnote>
  <w:footnote w:id="37">
    <w:p w14:paraId="5E5F2315" w14:textId="77777777" w:rsidR="00151C6C" w:rsidRDefault="00BF564B">
      <w:pPr>
        <w:pStyle w:val="FootnoteText"/>
      </w:pPr>
      <w:r>
        <w:rPr>
          <w:rStyle w:val="FootnoteReference"/>
        </w:rPr>
        <w:footnoteRef/>
      </w:r>
      <w:r>
        <w:t xml:space="preserve"> GFD, </w:t>
      </w:r>
      <w:r>
        <w:rPr>
          <w:i/>
          <w:iCs/>
        </w:rPr>
        <w:t>Report on Sexual &amp; Reproductive Health Services and Rights</w:t>
      </w:r>
      <w:r>
        <w:t xml:space="preserve">, </w:t>
      </w:r>
      <w:r>
        <w:rPr>
          <w:i/>
          <w:iCs/>
        </w:rPr>
        <w:t>supra</w:t>
      </w:r>
      <w:r>
        <w:t xml:space="preserve"> note 17, at 16.</w:t>
      </w:r>
    </w:p>
  </w:footnote>
  <w:footnote w:id="38">
    <w:p w14:paraId="02D1BDBD" w14:textId="77777777" w:rsidR="00151C6C" w:rsidRDefault="00BF564B">
      <w:pPr>
        <w:pStyle w:val="FootnoteText"/>
        <w:rPr>
          <w:rFonts w:eastAsia="Calibri"/>
        </w:rPr>
      </w:pPr>
      <w:r>
        <w:rPr>
          <w:rStyle w:val="FootnoteReference"/>
        </w:rPr>
        <w:footnoteRef/>
      </w:r>
      <w:r>
        <w:t xml:space="preserve"> Chalwyn Caulker, et al, </w:t>
      </w:r>
      <w:r>
        <w:rPr>
          <w:rFonts w:eastAsia="Calibri"/>
          <w:i/>
          <w:iCs/>
        </w:rPr>
        <w:t>To Reach Gender Equality Ghana Needs to Prioritize Social and Economic Inclusion</w:t>
      </w:r>
      <w:r>
        <w:t xml:space="preserve"> (2023),</w:t>
      </w:r>
    </w:p>
    <w:p w14:paraId="4368BEB9" w14:textId="77777777" w:rsidR="00151C6C" w:rsidRDefault="007F07EF">
      <w:pPr>
        <w:rPr>
          <w:sz w:val="20"/>
          <w:szCs w:val="20"/>
        </w:rPr>
      </w:pPr>
      <w:hyperlink r:id="rId10" w:history="1">
        <w:r w:rsidR="00BF564B">
          <w:rPr>
            <w:rStyle w:val="Hyperlink"/>
            <w:sz w:val="20"/>
            <w:szCs w:val="20"/>
          </w:rPr>
          <w:t>https://blogs.worldbank.org/en/nasikiliza/reach-gender-equality-ghana-needs-prioritize-social-and-economic-inclusion</w:t>
        </w:r>
      </w:hyperlink>
      <w:r w:rsidR="00BF564B">
        <w:rPr>
          <w:sz w:val="20"/>
          <w:szCs w:val="20"/>
        </w:rPr>
        <w:t>.</w:t>
      </w:r>
    </w:p>
  </w:footnote>
  <w:footnote w:id="39">
    <w:p w14:paraId="2469887E" w14:textId="77777777" w:rsidR="00151C6C" w:rsidRDefault="00BF564B">
      <w:pPr>
        <w:rPr>
          <w:i/>
          <w:iCs/>
          <w:sz w:val="20"/>
          <w:szCs w:val="20"/>
        </w:rPr>
      </w:pPr>
      <w:r>
        <w:rPr>
          <w:rStyle w:val="FootnoteReference"/>
          <w:sz w:val="20"/>
          <w:szCs w:val="20"/>
        </w:rPr>
        <w:footnoteRef/>
      </w:r>
      <w:r>
        <w:rPr>
          <w:sz w:val="20"/>
          <w:szCs w:val="20"/>
        </w:rPr>
        <w:t xml:space="preserve"> </w:t>
      </w:r>
      <w:r>
        <w:rPr>
          <w:i/>
          <w:iCs/>
          <w:sz w:val="20"/>
          <w:szCs w:val="20"/>
        </w:rPr>
        <w:t>Id.</w:t>
      </w:r>
    </w:p>
  </w:footnote>
  <w:footnote w:id="40">
    <w:p w14:paraId="7FA6069D" w14:textId="77777777" w:rsidR="00151C6C" w:rsidRDefault="00BF564B">
      <w:pPr>
        <w:rPr>
          <w:sz w:val="20"/>
          <w:szCs w:val="20"/>
        </w:rPr>
      </w:pPr>
      <w:r>
        <w:rPr>
          <w:rStyle w:val="FootnoteReference"/>
          <w:sz w:val="20"/>
          <w:szCs w:val="20"/>
        </w:rPr>
        <w:footnoteRef/>
      </w:r>
      <w:r>
        <w:rPr>
          <w:sz w:val="20"/>
          <w:szCs w:val="20"/>
        </w:rPr>
        <w:t xml:space="preserve"> </w:t>
      </w:r>
      <w:r>
        <w:rPr>
          <w:smallCaps/>
          <w:color w:val="000000"/>
          <w:sz w:val="20"/>
          <w:szCs w:val="20"/>
          <w:shd w:val="clear" w:color="auto" w:fill="FFFFFF"/>
        </w:rPr>
        <w:t>Human Rights Watch, Human Rights for Women and Children with Disabilities </w:t>
      </w:r>
      <w:r>
        <w:rPr>
          <w:iCs/>
          <w:color w:val="000000"/>
          <w:sz w:val="20"/>
          <w:szCs w:val="20"/>
          <w:shd w:val="clear" w:color="auto" w:fill="FFFFFF"/>
        </w:rPr>
        <w:t xml:space="preserve">4 (2010), </w:t>
      </w:r>
      <w:r>
        <w:rPr>
          <w:i/>
          <w:iCs/>
          <w:color w:val="000000"/>
          <w:sz w:val="20"/>
          <w:szCs w:val="20"/>
          <w:shd w:val="clear" w:color="auto" w:fill="FFFFFF"/>
        </w:rPr>
        <w:t xml:space="preserve">available at </w:t>
      </w:r>
      <w:hyperlink r:id="rId11" w:tgtFrame="_blank" w:history="1">
        <w:r>
          <w:rPr>
            <w:rStyle w:val="Hyperlink"/>
            <w:sz w:val="20"/>
            <w:szCs w:val="20"/>
            <w:shd w:val="clear" w:color="auto" w:fill="FFFFFF"/>
          </w:rPr>
          <w:t>https://www.hrw.org/sites/default/files/related_material/0912_disabilities_brochure_0.pdf</w:t>
        </w:r>
      </w:hyperlink>
    </w:p>
  </w:footnote>
  <w:footnote w:id="41">
    <w:p w14:paraId="1F58A1C2" w14:textId="77777777" w:rsidR="00151C6C" w:rsidRDefault="00BF564B">
      <w:pPr>
        <w:pStyle w:val="FootnoteText"/>
      </w:pPr>
      <w:r>
        <w:rPr>
          <w:rStyle w:val="FootnoteReference"/>
        </w:rPr>
        <w:footnoteRef/>
      </w:r>
      <w:r>
        <w:t xml:space="preserve"> </w:t>
      </w:r>
      <w:r>
        <w:rPr>
          <w:smallCaps/>
        </w:rPr>
        <w:t>Nicole Huyser, Safety and Sexual Violence Against Women and Girls with Disability in Kumasi and the Ashanti Region 3</w:t>
      </w:r>
      <w:r>
        <w:t xml:space="preserve"> (Aug. 2013), </w:t>
      </w:r>
      <w:hyperlink r:id="rId12" w:history="1">
        <w:r>
          <w:rPr>
            <w:rStyle w:val="Hyperlink"/>
          </w:rPr>
          <w:t>http://www.slideshare.net/NicoleHuyserMSc/safety-and-sexual-violence-against-women-and-girls-with-disabilities-in-kumasi-and-the-ashanti-region-42418868</w:t>
        </w:r>
      </w:hyperlink>
      <w:r>
        <w:t xml:space="preserve"> [hereinafter </w:t>
      </w:r>
      <w:r>
        <w:rPr>
          <w:smallCaps/>
        </w:rPr>
        <w:t>Huyser, Safety and Sexual Violence].</w:t>
      </w:r>
    </w:p>
  </w:footnote>
  <w:footnote w:id="42">
    <w:p w14:paraId="26425889" w14:textId="77777777" w:rsidR="00151C6C" w:rsidRDefault="00BF564B">
      <w:pPr>
        <w:pStyle w:val="FootnoteText"/>
      </w:pPr>
      <w:r>
        <w:rPr>
          <w:rStyle w:val="FootnoteReference"/>
        </w:rPr>
        <w:footnoteRef/>
      </w:r>
      <w:r>
        <w:t xml:space="preserve"> </w:t>
      </w:r>
      <w:r>
        <w:rPr>
          <w:vanish/>
        </w:rPr>
        <w:t>48ote 46, atuth, nd among relabl)y) Human Rightsnd appropriately to violence against women with disabilitieslic and among relabl</w:t>
      </w:r>
      <w:r>
        <w:t xml:space="preserve">Doris A. Fiasorgbor &amp; Theresa Ayagiyire, </w:t>
      </w:r>
      <w:r>
        <w:rPr>
          <w:i/>
        </w:rPr>
        <w:t>Perception of Rural People About Persons with Physical Disability: The Case of Yorogo-Yipala Community</w:t>
      </w:r>
      <w:r>
        <w:t>, 3</w:t>
      </w:r>
      <w:r>
        <w:rPr>
          <w:i/>
        </w:rPr>
        <w:t xml:space="preserve"> </w:t>
      </w:r>
      <w:r>
        <w:rPr>
          <w:smallCaps/>
        </w:rPr>
        <w:t>American J. of Health Research</w:t>
      </w:r>
      <w:r>
        <w:t xml:space="preserve"> 177 (2015); Voices of Youth, </w:t>
      </w:r>
      <w:r>
        <w:rPr>
          <w:i/>
        </w:rPr>
        <w:t>Ghana, a picture of rights of persons with disabilities, Disability a curse or blessing?, Discriminating against them, we are all guilty</w:t>
      </w:r>
      <w:r>
        <w:t xml:space="preserve"> (Feb. 2014), </w:t>
      </w:r>
      <w:hyperlink r:id="rId13" w:history="1">
        <w:r>
          <w:rPr>
            <w:rStyle w:val="Hyperlink"/>
          </w:rPr>
          <w:t>http://voicesofyouthgh.org/2014/ghana-a-picture-of-rights-of-persons-with-disabilitiesdisability-a-curse-or-blessingdiscriminating-against-them-we-are-all-guilty/</w:t>
        </w:r>
      </w:hyperlink>
      <w:r>
        <w:t>;</w:t>
      </w:r>
    </w:p>
    <w:p w14:paraId="5A4B3711" w14:textId="77777777" w:rsidR="00151C6C" w:rsidRDefault="00BF564B">
      <w:pPr>
        <w:pStyle w:val="FootnoteText"/>
      </w:pPr>
      <w:r>
        <w:t xml:space="preserve">Modern Ghana, </w:t>
      </w:r>
      <w:r>
        <w:rPr>
          <w:i/>
        </w:rPr>
        <w:t xml:space="preserve">Society urged to change perception about people with disability </w:t>
      </w:r>
      <w:r>
        <w:t xml:space="preserve">(2012), </w:t>
      </w:r>
      <w:hyperlink r:id="rId14" w:history="1">
        <w:r>
          <w:rPr>
            <w:rStyle w:val="Hyperlink"/>
          </w:rPr>
          <w:t>https://www.modernghana.com/news/401664/society-urged-to-change-perception-about-people-with-disabil.html</w:t>
        </w:r>
      </w:hyperlink>
      <w:r>
        <w:t>; Ghana Web,</w:t>
      </w:r>
      <w:r>
        <w:rPr>
          <w:i/>
        </w:rPr>
        <w:t xml:space="preserve"> Debunking cultural beliefs and marginalisation of disabled in Ghana</w:t>
      </w:r>
      <w:r>
        <w:t xml:space="preserve"> (Dec. 2011), </w:t>
      </w:r>
      <w:hyperlink r:id="rId15" w:history="1">
        <w:r>
          <w:rPr>
            <w:rStyle w:val="Hyperlink"/>
          </w:rPr>
          <w:t>http://www.ghanaweb.com/GhanaHomePage/features/Debunking-cultural-beliefs-and-marginalisation-of-disabled-in-Ghana-225478</w:t>
        </w:r>
      </w:hyperlink>
      <w:r>
        <w:t>.</w:t>
      </w:r>
    </w:p>
  </w:footnote>
  <w:footnote w:id="43">
    <w:p w14:paraId="128C62F7" w14:textId="77777777" w:rsidR="00151C6C" w:rsidRDefault="00BF564B">
      <w:pPr>
        <w:pStyle w:val="FootnoteText"/>
      </w:pPr>
      <w:r>
        <w:rPr>
          <w:rStyle w:val="FootnoteReference"/>
        </w:rPr>
        <w:footnoteRef/>
      </w:r>
      <w:r>
        <w:t xml:space="preserve"> </w:t>
      </w:r>
      <w:r>
        <w:rPr>
          <w:smallCaps/>
        </w:rPr>
        <w:t xml:space="preserve">Huyser, Safety and Sexual Violence, </w:t>
      </w:r>
      <w:r>
        <w:rPr>
          <w:i/>
          <w:iCs/>
        </w:rPr>
        <w:t>supra</w:t>
      </w:r>
      <w:r>
        <w:t xml:space="preserve"> note 41, at 4.</w:t>
      </w:r>
    </w:p>
  </w:footnote>
  <w:footnote w:id="44">
    <w:p w14:paraId="2EBD64C4" w14:textId="77777777" w:rsidR="00151C6C" w:rsidRDefault="00BF564B">
      <w:pPr>
        <w:pStyle w:val="FootnoteText"/>
      </w:pPr>
      <w:r>
        <w:rPr>
          <w:rStyle w:val="FootnoteReference"/>
        </w:rPr>
        <w:footnoteRef/>
      </w:r>
      <w:r>
        <w:t xml:space="preserve"> Esther Akua Gyamfi, </w:t>
      </w:r>
      <w:r>
        <w:rPr>
          <w:i/>
        </w:rPr>
        <w:t>Negative attitudes towards persons with</w:t>
      </w:r>
      <w:r>
        <w:t xml:space="preserve"> </w:t>
      </w:r>
      <w:r>
        <w:rPr>
          <w:i/>
        </w:rPr>
        <w:t>disabilities</w:t>
      </w:r>
      <w:r>
        <w:t xml:space="preserve"> (Dec. 2015), </w:t>
      </w:r>
      <w:hyperlink r:id="rId16" w:history="1">
        <w:r>
          <w:rPr>
            <w:rStyle w:val="Hyperlink"/>
          </w:rPr>
          <w:t>http://www.ghanaweb.com/GhanaHomePage/NewsArchive/Negative-attitudes-towards-persons-with-disabilities-400964</w:t>
        </w:r>
      </w:hyperlink>
      <w:r>
        <w:t>.</w:t>
      </w:r>
    </w:p>
  </w:footnote>
  <w:footnote w:id="45">
    <w:p w14:paraId="32CF6E2C" w14:textId="77777777" w:rsidR="00151C6C" w:rsidRDefault="00BF564B">
      <w:pPr>
        <w:pStyle w:val="FootnoteText"/>
      </w:pPr>
      <w:r>
        <w:rPr>
          <w:rStyle w:val="FootnoteReference"/>
        </w:rPr>
        <w:footnoteRef/>
      </w:r>
      <w:r>
        <w:t xml:space="preserve"> </w:t>
      </w:r>
      <w:r>
        <w:rPr>
          <w:smallCaps/>
        </w:rPr>
        <w:t xml:space="preserve">Huyser, Safety and Sexual Violence, </w:t>
      </w:r>
      <w:r>
        <w:rPr>
          <w:i/>
          <w:iCs/>
        </w:rPr>
        <w:t>supra</w:t>
      </w:r>
      <w:r>
        <w:t xml:space="preserve"> note 41, at 12.</w:t>
      </w:r>
    </w:p>
  </w:footnote>
  <w:footnote w:id="46">
    <w:p w14:paraId="5AC265F3" w14:textId="77777777" w:rsidR="00151C6C" w:rsidRDefault="00BF564B">
      <w:pPr>
        <w:pStyle w:val="FootnoteText"/>
      </w:pPr>
      <w:r>
        <w:rPr>
          <w:rStyle w:val="FootnoteReference"/>
        </w:rPr>
        <w:footnoteRef/>
      </w:r>
      <w:r>
        <w:t xml:space="preserve"> </w:t>
      </w:r>
      <w:r>
        <w:rPr>
          <w:i/>
          <w:iCs/>
        </w:rPr>
        <w:t xml:space="preserve">Id. </w:t>
      </w:r>
      <w:r>
        <w:t>at 11.</w:t>
      </w:r>
      <w:r>
        <w:rPr>
          <w:smallCaps/>
        </w:rPr>
        <w:t xml:space="preserve"> </w:t>
      </w:r>
    </w:p>
  </w:footnote>
  <w:footnote w:id="47">
    <w:p w14:paraId="6ECDFE8E" w14:textId="77777777" w:rsidR="00151C6C" w:rsidRDefault="00BF564B">
      <w:pPr>
        <w:pStyle w:val="FootnoteText"/>
      </w:pPr>
      <w:r>
        <w:rPr>
          <w:rStyle w:val="FootnoteReference"/>
        </w:rPr>
        <w:footnoteRef/>
      </w:r>
      <w:r>
        <w:t xml:space="preserve"> </w:t>
      </w:r>
      <w:r>
        <w:rPr>
          <w:i/>
          <w:iCs/>
        </w:rPr>
        <w:t xml:space="preserve">Id. </w:t>
      </w:r>
      <w:r>
        <w:t>at 12.</w:t>
      </w:r>
    </w:p>
  </w:footnote>
  <w:footnote w:id="48">
    <w:p w14:paraId="6FAB8146" w14:textId="77777777" w:rsidR="00151C6C" w:rsidRDefault="00BF564B">
      <w:pPr>
        <w:pStyle w:val="FootnoteText"/>
      </w:pPr>
      <w:r>
        <w:rPr>
          <w:rStyle w:val="FootnoteReference"/>
        </w:rPr>
        <w:footnoteRef/>
      </w:r>
      <w:r>
        <w:t xml:space="preserve"> </w:t>
      </w:r>
      <w:r>
        <w:rPr>
          <w:i/>
          <w:iCs/>
        </w:rPr>
        <w:t>See generally</w:t>
      </w:r>
      <w:r>
        <w:t xml:space="preserve"> Domestic Violence Act, 2007 (Act 732), Ghana. </w:t>
      </w:r>
    </w:p>
  </w:footnote>
  <w:footnote w:id="49">
    <w:p w14:paraId="218B45A7" w14:textId="77777777" w:rsidR="00151C6C" w:rsidRDefault="00BF564B">
      <w:pPr>
        <w:pStyle w:val="FootnoteText"/>
        <w:rPr>
          <w:i/>
          <w:iCs/>
        </w:rPr>
      </w:pPr>
      <w:r>
        <w:rPr>
          <w:rStyle w:val="FootnoteReference"/>
        </w:rPr>
        <w:footnoteRef/>
      </w:r>
      <w:r>
        <w:t xml:space="preserve"> </w:t>
      </w:r>
      <w:r>
        <w:rPr>
          <w:i/>
          <w:iCs/>
        </w:rPr>
        <w:t>Id.</w:t>
      </w:r>
    </w:p>
  </w:footnote>
  <w:footnote w:id="50">
    <w:p w14:paraId="76FBEECE" w14:textId="77777777" w:rsidR="00151C6C" w:rsidRDefault="00BF564B">
      <w:pPr>
        <w:pStyle w:val="FootnoteText"/>
      </w:pPr>
      <w:r>
        <w:rPr>
          <w:rStyle w:val="FootnoteReference"/>
        </w:rPr>
        <w:footnoteRef/>
      </w:r>
      <w:r>
        <w:t xml:space="preserve"> </w:t>
      </w:r>
      <w:r>
        <w:rPr>
          <w:smallCaps/>
        </w:rPr>
        <w:t xml:space="preserve">Huyser, Safety and Sexual Violence, </w:t>
      </w:r>
      <w:r>
        <w:rPr>
          <w:i/>
          <w:iCs/>
        </w:rPr>
        <w:t>supra</w:t>
      </w:r>
      <w:r>
        <w:t xml:space="preserve"> note 41, at 12-13.</w:t>
      </w:r>
    </w:p>
  </w:footnote>
  <w:footnote w:id="51">
    <w:p w14:paraId="3A055E8E" w14:textId="77777777" w:rsidR="00151C6C" w:rsidRDefault="00BF564B">
      <w:pPr>
        <w:pStyle w:val="FootnoteText"/>
      </w:pPr>
      <w:r>
        <w:rPr>
          <w:rStyle w:val="FootnoteReference"/>
        </w:rPr>
        <w:footnoteRef/>
      </w:r>
      <w:r>
        <w:t xml:space="preserve"> Maxwell Peprah Opoku, et al., </w:t>
      </w:r>
      <w:r>
        <w:rPr>
          <w:i/>
        </w:rPr>
        <w:t>Barriers in reporting of sexual violence against women with disabilities in Ashanti region of Ghana</w:t>
      </w:r>
      <w:r>
        <w:t xml:space="preserve">, 1 </w:t>
      </w:r>
      <w:r>
        <w:rPr>
          <w:smallCaps/>
        </w:rPr>
        <w:t>J. Disability Stud</w:t>
      </w:r>
      <w:r>
        <w:t xml:space="preserve">. 77, 81 (2015), [hereinafter Opoku, </w:t>
      </w:r>
      <w:r>
        <w:rPr>
          <w:i/>
          <w:iCs/>
        </w:rPr>
        <w:t>Barriers in reporting</w:t>
      </w:r>
      <w:r>
        <w:t xml:space="preserve">]. </w:t>
      </w:r>
      <w:hyperlink r:id="rId17" w:history="1">
        <w:r>
          <w:rPr>
            <w:rStyle w:val="Hyperlink"/>
          </w:rPr>
          <w:t>http://pubs.iscience.in/journal/index.php/jds/article/view/346/255</w:t>
        </w:r>
      </w:hyperlink>
    </w:p>
  </w:footnote>
  <w:footnote w:id="52">
    <w:p w14:paraId="7B094207" w14:textId="77777777" w:rsidR="00151C6C" w:rsidRDefault="00BF564B">
      <w:pPr>
        <w:pStyle w:val="FootnoteText"/>
      </w:pPr>
      <w:r>
        <w:rPr>
          <w:rStyle w:val="FootnoteReference"/>
        </w:rPr>
        <w:footnoteRef/>
      </w:r>
      <w:r>
        <w:t xml:space="preserve"> </w:t>
      </w:r>
      <w:r>
        <w:rPr>
          <w:i/>
        </w:rPr>
        <w:t>Id</w:t>
      </w:r>
      <w:r>
        <w:t>.</w:t>
      </w:r>
    </w:p>
  </w:footnote>
  <w:footnote w:id="53">
    <w:p w14:paraId="2D36FB95" w14:textId="77777777" w:rsidR="00151C6C" w:rsidRDefault="00BF564B">
      <w:pPr>
        <w:pStyle w:val="FootnoteText"/>
      </w:pPr>
      <w:r>
        <w:rPr>
          <w:rStyle w:val="FootnoteReference"/>
        </w:rPr>
        <w:footnoteRef/>
      </w:r>
      <w:r>
        <w:t xml:space="preserve"> </w:t>
      </w:r>
      <w:r>
        <w:rPr>
          <w:smallCaps/>
        </w:rPr>
        <w:t xml:space="preserve">Huyser, Safety and Sexual Violence, </w:t>
      </w:r>
      <w:r>
        <w:rPr>
          <w:i/>
          <w:iCs/>
        </w:rPr>
        <w:t>supra</w:t>
      </w:r>
      <w:r>
        <w:t xml:space="preserve"> note 41, at 13.</w:t>
      </w:r>
    </w:p>
  </w:footnote>
  <w:footnote w:id="54">
    <w:p w14:paraId="315E527B" w14:textId="77777777" w:rsidR="00151C6C" w:rsidRDefault="00BF564B">
      <w:pPr>
        <w:pStyle w:val="FootnoteText"/>
      </w:pPr>
      <w:r>
        <w:rPr>
          <w:rStyle w:val="FootnoteReference"/>
        </w:rPr>
        <w:footnoteRef/>
      </w:r>
      <w:r>
        <w:t xml:space="preserve"> Opoku, </w:t>
      </w:r>
      <w:r>
        <w:rPr>
          <w:i/>
          <w:iCs/>
        </w:rPr>
        <w:t>Barriers in reporting</w:t>
      </w:r>
      <w:r>
        <w:t xml:space="preserve">, </w:t>
      </w:r>
      <w:r>
        <w:rPr>
          <w:i/>
          <w:iCs/>
        </w:rPr>
        <w:t xml:space="preserve">supra </w:t>
      </w:r>
      <w:r>
        <w:t>note 51, at 81.</w:t>
      </w:r>
    </w:p>
  </w:footnote>
  <w:footnote w:id="55">
    <w:p w14:paraId="0A8EF9E0" w14:textId="77777777" w:rsidR="00151C6C" w:rsidRDefault="00BF564B">
      <w:pPr>
        <w:pStyle w:val="FootnoteText"/>
        <w:rPr>
          <w:i/>
          <w:iCs/>
        </w:rPr>
      </w:pPr>
      <w:r>
        <w:rPr>
          <w:rStyle w:val="FootnoteReference"/>
        </w:rPr>
        <w:footnoteRef/>
      </w:r>
      <w:r>
        <w:t xml:space="preserve"> </w:t>
      </w:r>
      <w:r>
        <w:rPr>
          <w:i/>
          <w:iCs/>
        </w:rPr>
        <w:t>Id.</w:t>
      </w:r>
    </w:p>
  </w:footnote>
  <w:footnote w:id="56">
    <w:p w14:paraId="2A14BAE7" w14:textId="77777777" w:rsidR="00151C6C" w:rsidRDefault="00BF564B">
      <w:pPr>
        <w:pStyle w:val="FootnoteText"/>
      </w:pPr>
      <w:r>
        <w:rPr>
          <w:rStyle w:val="FootnoteReference"/>
        </w:rPr>
        <w:footnoteRef/>
      </w:r>
      <w:r>
        <w:t xml:space="preserve"> </w:t>
      </w:r>
      <w:r>
        <w:rPr>
          <w:i/>
        </w:rPr>
        <w:t>Id.</w:t>
      </w:r>
      <w:r>
        <w:t xml:space="preserve"> at 82.</w:t>
      </w:r>
    </w:p>
  </w:footnote>
  <w:footnote w:id="57">
    <w:p w14:paraId="7852F00E" w14:textId="77777777" w:rsidR="00151C6C" w:rsidRDefault="00BF564B">
      <w:pPr>
        <w:pStyle w:val="FootnoteText"/>
      </w:pPr>
      <w:r>
        <w:rPr>
          <w:rStyle w:val="FootnoteReference"/>
        </w:rPr>
        <w:footnoteRef/>
      </w:r>
      <w:r>
        <w:t xml:space="preserve"> Ghana National Association of the Deaf, </w:t>
      </w:r>
      <w:r>
        <w:rPr>
          <w:i/>
        </w:rPr>
        <w:t>Press release:</w:t>
      </w:r>
      <w:r>
        <w:t xml:space="preserve"> </w:t>
      </w:r>
      <w:r>
        <w:rPr>
          <w:i/>
        </w:rPr>
        <w:t>GNAD prepares for phase 2 of the Mwanachi project</w:t>
      </w:r>
      <w:r>
        <w:t xml:space="preserve"> (June 10, 2011), </w:t>
      </w:r>
      <w:r>
        <w:rPr>
          <w:i/>
        </w:rPr>
        <w:t>available at</w:t>
      </w:r>
      <w:r>
        <w:t xml:space="preserve"> </w:t>
      </w:r>
      <w:hyperlink r:id="rId18" w:history="1">
        <w:r>
          <w:rPr>
            <w:rStyle w:val="Hyperlink"/>
          </w:rPr>
          <w:t>http://gnadgh.com/news/?p=43</w:t>
        </w:r>
      </w:hyperlink>
      <w:r>
        <w:t xml:space="preserve">. </w:t>
      </w:r>
    </w:p>
  </w:footnote>
  <w:footnote w:id="58">
    <w:p w14:paraId="20D03582" w14:textId="77777777" w:rsidR="00151C6C" w:rsidRDefault="00BF564B">
      <w:pPr>
        <w:pStyle w:val="FootnoteText"/>
      </w:pPr>
      <w:r>
        <w:rPr>
          <w:rStyle w:val="FootnoteReference"/>
        </w:rPr>
        <w:footnoteRef/>
      </w:r>
      <w:r>
        <w:t xml:space="preserve"> </w:t>
      </w:r>
      <w:r>
        <w:rPr>
          <w:smallCaps/>
        </w:rPr>
        <w:t xml:space="preserve">Huyser, Safety and Sexual Violence, </w:t>
      </w:r>
      <w:r>
        <w:rPr>
          <w:i/>
          <w:iCs/>
        </w:rPr>
        <w:t>supra</w:t>
      </w:r>
      <w:r>
        <w:t xml:space="preserve"> note 41, at 12-13.</w:t>
      </w:r>
    </w:p>
  </w:footnote>
  <w:footnote w:id="59">
    <w:p w14:paraId="6EA18FC5" w14:textId="77777777" w:rsidR="00151C6C" w:rsidRDefault="00BF564B">
      <w:pPr>
        <w:pStyle w:val="FootnoteText"/>
      </w:pPr>
      <w:r>
        <w:rPr>
          <w:rStyle w:val="FootnoteReference"/>
        </w:rPr>
        <w:footnoteRef/>
      </w:r>
      <w:r>
        <w:t xml:space="preserve"> Maxwell Peprah Opoku, et al., </w:t>
      </w:r>
      <w:r>
        <w:rPr>
          <w:i/>
        </w:rPr>
        <w:t>Barriers in reporting of sexual violence against women with disabilities in Ashanti region of Ghana</w:t>
      </w:r>
      <w:r>
        <w:t xml:space="preserve">, 1 </w:t>
      </w:r>
      <w:r>
        <w:rPr>
          <w:smallCaps/>
        </w:rPr>
        <w:t>J. Disability Stud</w:t>
      </w:r>
      <w:r>
        <w:t xml:space="preserve">. 77, 82 (2015), </w:t>
      </w:r>
      <w:hyperlink r:id="rId19" w:history="1">
        <w:r>
          <w:rPr>
            <w:rStyle w:val="Hyperlink"/>
          </w:rPr>
          <w:t>http://pubs.iscience.in/journal/index.php/jds/article/view/346/255</w:t>
        </w:r>
      </w:hyperlink>
      <w:r>
        <w:t>.</w:t>
      </w:r>
    </w:p>
  </w:footnote>
  <w:footnote w:id="60">
    <w:p w14:paraId="471566B6" w14:textId="77777777" w:rsidR="00151C6C" w:rsidRDefault="00BF564B">
      <w:pPr>
        <w:pStyle w:val="FootnoteText"/>
      </w:pPr>
      <w:r>
        <w:rPr>
          <w:rStyle w:val="FootnoteReference"/>
        </w:rPr>
        <w:footnoteRef/>
      </w:r>
      <w:r>
        <w:t xml:space="preserve"> Evidence Act, National Redemption Council Decree 323 (1975), Ghana, §§ 58, 59.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595468FE"/>
    <w:lvl w:ilvl="0" w:tplc="04090015">
      <w:start w:val="1"/>
      <w:numFmt w:val="upperLetter"/>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0000002"/>
    <w:multiLevelType w:val="hybridMultilevel"/>
    <w:tmpl w:val="79A88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1D2C6818"/>
    <w:lvl w:ilvl="0" w:tplc="B400FA72">
      <w:start w:val="1"/>
      <w:numFmt w:val="upperRoman"/>
      <w:lvlText w:val="%1."/>
      <w:lvlJc w:val="left"/>
      <w:pPr>
        <w:ind w:left="720" w:hanging="360"/>
      </w:pPr>
      <w:rPr>
        <w:rFonts w:ascii="Calibri" w:eastAsia="Calibri" w:hAnsi="Calibri" w:cs="Arial"/>
      </w:rPr>
    </w:lvl>
    <w:lvl w:ilvl="1" w:tplc="83C80FA4">
      <w:start w:val="1"/>
      <w:numFmt w:val="lowerLetter"/>
      <w:lvlText w:val="%2."/>
      <w:lvlJc w:val="left"/>
      <w:pPr>
        <w:ind w:left="1440" w:hanging="360"/>
      </w:pPr>
    </w:lvl>
    <w:lvl w:ilvl="2" w:tplc="5D16697A">
      <w:start w:val="1"/>
      <w:numFmt w:val="lowerRoman"/>
      <w:lvlText w:val="%3."/>
      <w:lvlJc w:val="right"/>
      <w:pPr>
        <w:ind w:left="2160" w:hanging="180"/>
      </w:pPr>
    </w:lvl>
    <w:lvl w:ilvl="3" w:tplc="0CF6B020">
      <w:start w:val="1"/>
      <w:numFmt w:val="decimal"/>
      <w:lvlText w:val="%4."/>
      <w:lvlJc w:val="left"/>
      <w:pPr>
        <w:ind w:left="2880" w:hanging="360"/>
      </w:pPr>
    </w:lvl>
    <w:lvl w:ilvl="4" w:tplc="566CDDAA">
      <w:start w:val="1"/>
      <w:numFmt w:val="lowerLetter"/>
      <w:lvlText w:val="%5."/>
      <w:lvlJc w:val="left"/>
      <w:pPr>
        <w:ind w:left="3600" w:hanging="360"/>
      </w:pPr>
      <w:rPr>
        <w:b w:val="0"/>
        <w:bCs w:val="0"/>
      </w:rPr>
    </w:lvl>
    <w:lvl w:ilvl="5" w:tplc="5E485078">
      <w:start w:val="1"/>
      <w:numFmt w:val="lowerRoman"/>
      <w:lvlText w:val="%6."/>
      <w:lvlJc w:val="right"/>
      <w:pPr>
        <w:ind w:left="4320" w:hanging="180"/>
      </w:pPr>
    </w:lvl>
    <w:lvl w:ilvl="6" w:tplc="88165B60">
      <w:start w:val="1"/>
      <w:numFmt w:val="decimal"/>
      <w:lvlText w:val="%7."/>
      <w:lvlJc w:val="left"/>
      <w:pPr>
        <w:ind w:left="5040" w:hanging="360"/>
      </w:pPr>
    </w:lvl>
    <w:lvl w:ilvl="7" w:tplc="CC28CCAA">
      <w:start w:val="1"/>
      <w:numFmt w:val="lowerLetter"/>
      <w:lvlText w:val="%8."/>
      <w:lvlJc w:val="left"/>
      <w:pPr>
        <w:ind w:left="5760" w:hanging="360"/>
      </w:pPr>
    </w:lvl>
    <w:lvl w:ilvl="8" w:tplc="2146C6C2" w:tentative="1">
      <w:start w:val="1"/>
      <w:numFmt w:val="lowerRoman"/>
      <w:lvlText w:val="%9."/>
      <w:lvlJc w:val="right"/>
      <w:pPr>
        <w:ind w:left="6480" w:hanging="180"/>
      </w:pPr>
    </w:lvl>
  </w:abstractNum>
  <w:abstractNum w:abstractNumId="3" w15:restartNumberingAfterBreak="0">
    <w:nsid w:val="00000004"/>
    <w:multiLevelType w:val="hybridMultilevel"/>
    <w:tmpl w:val="3036E3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0000005"/>
    <w:multiLevelType w:val="hybridMultilevel"/>
    <w:tmpl w:val="358A76A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C0006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61766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F16A2A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0000009"/>
    <w:multiLevelType w:val="hybridMultilevel"/>
    <w:tmpl w:val="0038D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97CAA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0B"/>
    <w:multiLevelType w:val="hybridMultilevel"/>
    <w:tmpl w:val="1D2C6818"/>
    <w:lvl w:ilvl="0" w:tplc="E836EF18">
      <w:start w:val="1"/>
      <w:numFmt w:val="upperRoman"/>
      <w:lvlText w:val="%1."/>
      <w:lvlJc w:val="left"/>
      <w:pPr>
        <w:ind w:left="720" w:hanging="360"/>
      </w:pPr>
      <w:rPr>
        <w:rFonts w:ascii="Calibri" w:eastAsia="Calibri" w:hAnsi="Calibri"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3F4A8A92">
      <w:start w:val="1"/>
      <w:numFmt w:val="lowerLetter"/>
      <w:lvlText w:val="%5."/>
      <w:lvlJc w:val="left"/>
      <w:pPr>
        <w:ind w:left="3600" w:hanging="360"/>
      </w:pPr>
      <w:rPr>
        <w:b w:val="0"/>
        <w:bCs w:val="0"/>
      </w:r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C"/>
    <w:multiLevelType w:val="hybridMultilevel"/>
    <w:tmpl w:val="B1FC81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D"/>
    <w:multiLevelType w:val="hybridMultilevel"/>
    <w:tmpl w:val="63066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hybridMultilevel"/>
    <w:tmpl w:val="735E5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000000F"/>
    <w:multiLevelType w:val="hybridMultilevel"/>
    <w:tmpl w:val="8392E5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0000010"/>
    <w:multiLevelType w:val="hybridMultilevel"/>
    <w:tmpl w:val="3208A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1"/>
    <w:multiLevelType w:val="hybridMultilevel"/>
    <w:tmpl w:val="7150A47A"/>
    <w:lvl w:ilvl="0" w:tplc="E6980C8C">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0000012"/>
    <w:multiLevelType w:val="hybridMultilevel"/>
    <w:tmpl w:val="9C365794"/>
    <w:lvl w:ilvl="0" w:tplc="CB76EB28">
      <w:start w:val="1"/>
      <w:numFmt w:val="decimal"/>
      <w:lvlText w:val="%1."/>
      <w:lvlJc w:val="left"/>
      <w:pPr>
        <w:ind w:left="720" w:hanging="360"/>
      </w:pPr>
      <w:rPr>
        <w:rFonts w:hint="default"/>
      </w:rPr>
    </w:lvl>
    <w:lvl w:ilvl="1" w:tplc="F2BCB25C">
      <w:start w:val="1"/>
      <w:numFmt w:val="lowerLetter"/>
      <w:lvlText w:val="%2."/>
      <w:lvlJc w:val="left"/>
      <w:pPr>
        <w:ind w:left="1440" w:hanging="360"/>
      </w:pPr>
    </w:lvl>
    <w:lvl w:ilvl="2" w:tplc="F86AAD28">
      <w:start w:val="1"/>
      <w:numFmt w:val="lowerRoman"/>
      <w:lvlText w:val="%3."/>
      <w:lvlJc w:val="right"/>
      <w:pPr>
        <w:ind w:left="2160" w:hanging="180"/>
      </w:pPr>
    </w:lvl>
    <w:lvl w:ilvl="3" w:tplc="574ECF28">
      <w:start w:val="1"/>
      <w:numFmt w:val="decimal"/>
      <w:lvlText w:val="%4."/>
      <w:lvlJc w:val="left"/>
      <w:pPr>
        <w:ind w:left="2880" w:hanging="360"/>
      </w:pPr>
    </w:lvl>
    <w:lvl w:ilvl="4" w:tplc="EC3E8D6C">
      <w:start w:val="1"/>
      <w:numFmt w:val="lowerLetter"/>
      <w:lvlText w:val="%5."/>
      <w:lvlJc w:val="left"/>
      <w:pPr>
        <w:ind w:left="3600" w:hanging="360"/>
      </w:pPr>
      <w:rPr>
        <w:b w:val="0"/>
        <w:bCs w:val="0"/>
      </w:rPr>
    </w:lvl>
    <w:lvl w:ilvl="5" w:tplc="11786A88">
      <w:start w:val="1"/>
      <w:numFmt w:val="lowerRoman"/>
      <w:lvlText w:val="%6."/>
      <w:lvlJc w:val="right"/>
      <w:pPr>
        <w:ind w:left="4320" w:hanging="180"/>
      </w:pPr>
    </w:lvl>
    <w:lvl w:ilvl="6" w:tplc="5AFE15AA">
      <w:start w:val="1"/>
      <w:numFmt w:val="decimal"/>
      <w:lvlText w:val="%7."/>
      <w:lvlJc w:val="left"/>
      <w:pPr>
        <w:ind w:left="5040" w:hanging="360"/>
      </w:pPr>
    </w:lvl>
    <w:lvl w:ilvl="7" w:tplc="96C21F7E">
      <w:start w:val="1"/>
      <w:numFmt w:val="lowerLetter"/>
      <w:lvlText w:val="%8."/>
      <w:lvlJc w:val="left"/>
      <w:pPr>
        <w:ind w:left="5760" w:hanging="360"/>
      </w:pPr>
    </w:lvl>
    <w:lvl w:ilvl="8" w:tplc="650CD676" w:tentative="1">
      <w:start w:val="1"/>
      <w:numFmt w:val="lowerRoman"/>
      <w:lvlText w:val="%9."/>
      <w:lvlJc w:val="right"/>
      <w:pPr>
        <w:ind w:left="6480" w:hanging="180"/>
      </w:pPr>
    </w:lvl>
  </w:abstractNum>
  <w:abstractNum w:abstractNumId="18" w15:restartNumberingAfterBreak="0">
    <w:nsid w:val="00000013"/>
    <w:multiLevelType w:val="hybridMultilevel"/>
    <w:tmpl w:val="5406EC2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0000014"/>
    <w:multiLevelType w:val="hybridMultilevel"/>
    <w:tmpl w:val="5992B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0000015"/>
    <w:multiLevelType w:val="hybridMultilevel"/>
    <w:tmpl w:val="54F00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hybridMultilevel"/>
    <w:tmpl w:val="8A8CB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1110995"/>
    <w:multiLevelType w:val="hybridMultilevel"/>
    <w:tmpl w:val="20025FBC"/>
    <w:lvl w:ilvl="0" w:tplc="04090015">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907763363">
    <w:abstractNumId w:val="10"/>
  </w:num>
  <w:num w:numId="2" w16cid:durableId="1484925330">
    <w:abstractNumId w:val="22"/>
  </w:num>
  <w:num w:numId="3" w16cid:durableId="1240289008">
    <w:abstractNumId w:val="8"/>
  </w:num>
  <w:num w:numId="4" w16cid:durableId="65344467">
    <w:abstractNumId w:val="15"/>
  </w:num>
  <w:num w:numId="5" w16cid:durableId="1020277087">
    <w:abstractNumId w:val="1"/>
  </w:num>
  <w:num w:numId="6" w16cid:durableId="341515665">
    <w:abstractNumId w:val="6"/>
  </w:num>
  <w:num w:numId="7" w16cid:durableId="124852658">
    <w:abstractNumId w:val="4"/>
  </w:num>
  <w:num w:numId="8" w16cid:durableId="1389258862">
    <w:abstractNumId w:val="13"/>
  </w:num>
  <w:num w:numId="9" w16cid:durableId="1595094174">
    <w:abstractNumId w:val="17"/>
  </w:num>
  <w:num w:numId="10" w16cid:durableId="1980188670">
    <w:abstractNumId w:val="20"/>
  </w:num>
  <w:num w:numId="11" w16cid:durableId="1492873109">
    <w:abstractNumId w:val="16"/>
  </w:num>
  <w:num w:numId="12" w16cid:durableId="2006392812">
    <w:abstractNumId w:val="2"/>
  </w:num>
  <w:num w:numId="13" w16cid:durableId="2081243177">
    <w:abstractNumId w:val="0"/>
  </w:num>
  <w:num w:numId="14" w16cid:durableId="229655139">
    <w:abstractNumId w:val="12"/>
  </w:num>
  <w:num w:numId="15" w16cid:durableId="1967150833">
    <w:abstractNumId w:val="5"/>
  </w:num>
  <w:num w:numId="16" w16cid:durableId="2106683527">
    <w:abstractNumId w:val="18"/>
  </w:num>
  <w:num w:numId="17" w16cid:durableId="1901862574">
    <w:abstractNumId w:val="14"/>
  </w:num>
  <w:num w:numId="18" w16cid:durableId="1241216794">
    <w:abstractNumId w:val="3"/>
  </w:num>
  <w:num w:numId="19" w16cid:durableId="1311522517">
    <w:abstractNumId w:val="7"/>
  </w:num>
  <w:num w:numId="20" w16cid:durableId="997539779">
    <w:abstractNumId w:val="11"/>
  </w:num>
  <w:num w:numId="21" w16cid:durableId="2055543520">
    <w:abstractNumId w:val="9"/>
  </w:num>
  <w:num w:numId="22" w16cid:durableId="514154140">
    <w:abstractNumId w:val="21"/>
  </w:num>
  <w:num w:numId="23" w16cid:durableId="6696470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C6C"/>
    <w:rsid w:val="00151C6C"/>
    <w:rsid w:val="007F07EF"/>
    <w:rsid w:val="00BF564B"/>
    <w:rsid w:val="00E366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10B03"/>
  <w15:docId w15:val="{ABCEFE40-F4E8-42E7-BE9F-7C2FE3944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pPr>
      <w:keepNext/>
      <w:keepLines/>
      <w:spacing w:before="240"/>
      <w:outlineLvl w:val="0"/>
    </w:pPr>
    <w:rPr>
      <w:rFonts w:ascii="Calibri Light" w:eastAsia="SimSu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rPr>
      <w:color w:val="0563C1"/>
      <w:u w:val="single"/>
    </w:rPr>
  </w:style>
  <w:style w:type="character" w:styleId="CommentReference">
    <w:name w:val="annotation reference"/>
    <w:basedOn w:val="DefaultParagraphFont"/>
    <w:uiPriority w:val="99"/>
    <w:rPr>
      <w:sz w:val="16"/>
      <w:szCs w:val="16"/>
    </w:rPr>
  </w:style>
  <w:style w:type="character" w:styleId="FollowedHyperlink">
    <w:name w:val="FollowedHyperlink"/>
    <w:basedOn w:val="DefaultParagraphFont"/>
    <w:uiPriority w:val="99"/>
    <w:rPr>
      <w:color w:val="954F72"/>
      <w:u w:val="single"/>
    </w:rPr>
  </w:style>
  <w:style w:type="paragraph" w:styleId="FootnoteText">
    <w:name w:val="footnote text"/>
    <w:basedOn w:val="Normal"/>
    <w:link w:val="FootnoteTextChar"/>
    <w:uiPriority w:val="99"/>
    <w:rPr>
      <w:sz w:val="20"/>
      <w:szCs w:val="20"/>
    </w:rPr>
  </w:style>
  <w:style w:type="character" w:customStyle="1" w:styleId="FootnoteTextChar">
    <w:name w:val="Footnote Text Char"/>
    <w:basedOn w:val="DefaultParagraphFont"/>
    <w:link w:val="FootnoteText"/>
    <w:uiPriority w:val="99"/>
    <w:rPr>
      <w:sz w:val="20"/>
      <w:szCs w:val="20"/>
    </w:rPr>
  </w:style>
  <w:style w:type="character" w:styleId="FootnoteReference">
    <w:name w:val="footnote reference"/>
    <w:basedOn w:val="DefaultParagraphFont"/>
    <w:uiPriority w:val="99"/>
    <w:rPr>
      <w:vertAlign w:val="superscript"/>
    </w:rPr>
  </w:style>
  <w:style w:type="character" w:customStyle="1" w:styleId="UnresolvedMention1">
    <w:name w:val="Unresolved Mention1"/>
    <w:basedOn w:val="DefaultParagraphFont"/>
    <w:uiPriority w:val="99"/>
    <w:rPr>
      <w:color w:val="605E5C"/>
      <w:shd w:val="clear" w:color="auto" w:fill="E1DFDD"/>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tyle>
  <w:style w:type="character" w:styleId="Strong">
    <w:name w:val="Strong"/>
    <w:basedOn w:val="DefaultParagraphFont"/>
    <w:uiPriority w:val="22"/>
    <w:qFormat/>
    <w:rPr>
      <w:b/>
      <w:bCs/>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b/>
      <w:bCs/>
      <w:sz w:val="20"/>
      <w:szCs w:val="20"/>
    </w:rPr>
  </w:style>
  <w:style w:type="paragraph" w:styleId="Header">
    <w:name w:val="header"/>
    <w:basedOn w:val="Normal"/>
    <w:link w:val="HeaderChar"/>
    <w:uiPriority w:val="99"/>
    <w:pPr>
      <w:tabs>
        <w:tab w:val="center" w:pos="4680"/>
        <w:tab w:val="right" w:pos="936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pPr>
  </w:style>
  <w:style w:type="character" w:customStyle="1" w:styleId="FooterChar">
    <w:name w:val="Footer Char"/>
    <w:basedOn w:val="DefaultParagraphFont"/>
    <w:link w:val="Footer"/>
    <w:uiPriority w:val="99"/>
  </w:style>
  <w:style w:type="character" w:styleId="PageNumber">
    <w:name w:val="page number"/>
    <w:basedOn w:val="DefaultParagraphFont"/>
    <w:uiPriority w:val="99"/>
  </w:style>
  <w:style w:type="paragraph" w:styleId="BalloonText">
    <w:name w:val="Balloon Text"/>
    <w:basedOn w:val="Normal"/>
    <w:link w:val="BalloonTextChar"/>
    <w:uiPriority w:val="99"/>
    <w:rPr>
      <w:sz w:val="18"/>
      <w:szCs w:val="18"/>
    </w:rPr>
  </w:style>
  <w:style w:type="character" w:customStyle="1" w:styleId="BalloonTextChar">
    <w:name w:val="Balloon Text Char"/>
    <w:basedOn w:val="DefaultParagraphFont"/>
    <w:link w:val="BalloonText"/>
    <w:uiPriority w:val="99"/>
    <w:rPr>
      <w:rFonts w:ascii="Times New Roman" w:hAnsi="Times New Roman" w:cs="Times New Roman"/>
      <w:sz w:val="18"/>
      <w:szCs w:val="18"/>
    </w:rPr>
  </w:style>
  <w:style w:type="character" w:customStyle="1" w:styleId="UnresolvedMention2">
    <w:name w:val="Unresolved Mention2"/>
    <w:basedOn w:val="DefaultParagraphFont"/>
    <w:uiPriority w:val="99"/>
    <w:rPr>
      <w:color w:val="605E5C"/>
      <w:shd w:val="clear" w:color="auto" w:fill="E1DFDD"/>
    </w:rPr>
  </w:style>
  <w:style w:type="character" w:customStyle="1" w:styleId="Heading1Char">
    <w:name w:val="Heading 1 Char"/>
    <w:basedOn w:val="DefaultParagraphFont"/>
    <w:link w:val="Heading1"/>
    <w:uiPriority w:val="9"/>
    <w:rPr>
      <w:rFonts w:ascii="Calibri Light" w:eastAsia="SimSun" w:hAnsi="Calibri Light" w:cs="Times New Roman"/>
      <w:color w:val="2F5496"/>
      <w:sz w:val="32"/>
      <w:szCs w:val="32"/>
    </w:rPr>
  </w:style>
  <w:style w:type="paragraph" w:styleId="Revision">
    <w:name w:val="Revision"/>
    <w:uiPriority w:val="99"/>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link.springer.com/article/10.1007/s44250-024-00083-9" TargetMode="External"/><Relationship Id="rId13" Type="http://schemas.openxmlformats.org/officeDocument/2006/relationships/hyperlink" Target="http://voicesofyouthgh.org/2014/ghana-a-picture-of-rights-of-persons-with-disabilitiesdisability-a-curse-or-blessingdiscriminating-against-them-we-are-all-guilty/" TargetMode="External"/><Relationship Id="rId18" Type="http://schemas.openxmlformats.org/officeDocument/2006/relationships/hyperlink" Target="http://gnadgh.com/news/?p=43" TargetMode="External"/><Relationship Id="rId3" Type="http://schemas.openxmlformats.org/officeDocument/2006/relationships/hyperlink" Target="https://blogs.worldbank.org/en/nasikiliza/reach-gender-equality-ghana-needs-prioritize-social-and-economic-inclusion" TargetMode="External"/><Relationship Id="rId7" Type="http://schemas.openxmlformats.org/officeDocument/2006/relationships/hyperlink" Target="https://reproductive-health-journal.biomedcentral.com/articles/10.1186/s12978-023-01700-1" TargetMode="External"/><Relationship Id="rId12" Type="http://schemas.openxmlformats.org/officeDocument/2006/relationships/hyperlink" Target="http://www.slideshare.net/NicoleHuyserMSc/safety-and-sexual-violence-against-women-and-girls-with-disabilities-in-kumasi-and-the-ashanti-region-42418868" TargetMode="External"/><Relationship Id="rId17" Type="http://schemas.openxmlformats.org/officeDocument/2006/relationships/hyperlink" Target="http://pubs.iscience.in/journal/index.php/jds/article/view/346/255" TargetMode="External"/><Relationship Id="rId2" Type="http://schemas.openxmlformats.org/officeDocument/2006/relationships/hyperlink" Target="https://sapghana.com/data/documents/DISABILITY-ACT-715.pdf" TargetMode="External"/><Relationship Id="rId16" Type="http://schemas.openxmlformats.org/officeDocument/2006/relationships/hyperlink" Target="http://www.ghanaweb.com/GhanaHomePage/NewsArchive/Negative-attitudes-towards-persons-with-disabilities-400964" TargetMode="External"/><Relationship Id="rId1" Type="http://schemas.openxmlformats.org/officeDocument/2006/relationships/hyperlink" Target="https://faolex.fao.org/docs/pdf/gha129754.pdf" TargetMode="External"/><Relationship Id="rId6" Type="http://schemas.openxmlformats.org/officeDocument/2006/relationships/hyperlink" Target="https://reproductive-health-journal.biomedcentral.com/articles/10.1186/s12978-023-01700-1" TargetMode="External"/><Relationship Id="rId11" Type="http://schemas.openxmlformats.org/officeDocument/2006/relationships/hyperlink" Target="https://www.hrw.org/sites/default/files/related_material/0912_disabilities_brochure_0.pdf" TargetMode="External"/><Relationship Id="rId5" Type="http://schemas.openxmlformats.org/officeDocument/2006/relationships/hyperlink" Target="https://data.worldbank.org/indicator/SL.EMP.VULN.MA.ZS?view=chart" TargetMode="External"/><Relationship Id="rId15" Type="http://schemas.openxmlformats.org/officeDocument/2006/relationships/hyperlink" Target="http://www.ghanaweb.com/GhanaHomePage/features/Debunking-cultural-beliefs-and-marginalisation-of-disabled-in-Ghana-225478" TargetMode="External"/><Relationship Id="rId10" Type="http://schemas.openxmlformats.org/officeDocument/2006/relationships/hyperlink" Target="https://blogs.worldbank.org/en/nasikiliza/reach-gender-equality-ghana-needs-prioritize-social-and-economic-inclusion" TargetMode="External"/><Relationship Id="rId19" Type="http://schemas.openxmlformats.org/officeDocument/2006/relationships/hyperlink" Target="http://pubs.iscience.in/journal/index.php/jds/article/view/346/255" TargetMode="External"/><Relationship Id="rId4" Type="http://schemas.openxmlformats.org/officeDocument/2006/relationships/hyperlink" Target="https://gcap.global/wp-content/uploads/2021/02/LNWB-Ghana-Country-Report-1.pdf" TargetMode="External"/><Relationship Id="rId9" Type="http://schemas.openxmlformats.org/officeDocument/2006/relationships/hyperlink" Target="https://womenenabled.org/wp-content/uploads/Women%20Enabled%20International%20Facts%20-%20Sexual%20and%20Reproductive%20Health%20and%20Rights%20of%20Women%20and%20Girls%20with%20Disabilities%20-%20ENGLISH%20-%20FINAL.pdf" TargetMode="External"/><Relationship Id="rId14" Type="http://schemas.openxmlformats.org/officeDocument/2006/relationships/hyperlink" Target="https://www.modernghana.com/news/401664/society-urged-to-change-perception-about-people-with-disabi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9A58E-ADF0-B943-86CE-334FF2FF6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5999</Words>
  <Characters>34198</Characters>
  <Application>Microsoft Office Word</Application>
  <DocSecurity>4</DocSecurity>
  <Lines>284</Lines>
  <Paragraphs>80</Paragraphs>
  <ScaleCrop>false</ScaleCrop>
  <Company/>
  <LinksUpToDate>false</LinksUpToDate>
  <CharactersWithSpaces>40117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Amanda McRae</dc:creator>
  <cp:lastModifiedBy>Robert OUKO</cp:lastModifiedBy>
  <cp:revision>2</cp:revision>
  <dcterms:created xsi:type="dcterms:W3CDTF">2024-07-17T14:22:00Z</dcterms:created>
  <dcterms:modified xsi:type="dcterms:W3CDTF">2024-07-17T14:22:00Z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39e669c4184545eb84a010a164f074c0</vt:lpwstr>
  </property>
</Properties>
</file>