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318735" w14:textId="77777777" w:rsidR="00345CC8" w:rsidRPr="00953E6C" w:rsidRDefault="00345CC8" w:rsidP="00B9334A">
      <w:pPr>
        <w:keepNext/>
        <w:widowControl w:val="0"/>
        <w:autoSpaceDE w:val="0"/>
        <w:autoSpaceDN w:val="0"/>
        <w:adjustRightInd w:val="0"/>
        <w:spacing w:before="240" w:after="60"/>
        <w:jc w:val="both"/>
        <w:rPr>
          <w:b/>
          <w:bCs/>
          <w:color w:val="000000" w:themeColor="text1"/>
          <w:u w:val="single"/>
          <w:lang w:val="en-GB"/>
        </w:rPr>
      </w:pPr>
      <w:bookmarkStart w:id="0" w:name="_Toc119387233"/>
    </w:p>
    <w:p w14:paraId="0B4EDA35" w14:textId="77777777" w:rsidR="002D0F83" w:rsidRPr="00953E6C" w:rsidRDefault="002D0F83" w:rsidP="003A7190">
      <w:pPr>
        <w:keepNext/>
        <w:widowControl w:val="0"/>
        <w:autoSpaceDE w:val="0"/>
        <w:autoSpaceDN w:val="0"/>
        <w:adjustRightInd w:val="0"/>
        <w:spacing w:before="240" w:after="60"/>
        <w:jc w:val="right"/>
        <w:rPr>
          <w:b/>
          <w:bCs/>
          <w:color w:val="000000" w:themeColor="text1"/>
          <w:u w:val="single"/>
          <w:lang w:val="en-GB"/>
        </w:rPr>
      </w:pPr>
      <w:bookmarkStart w:id="1" w:name="_GoBack"/>
      <w:bookmarkEnd w:id="1"/>
      <w:r w:rsidRPr="00953E6C">
        <w:rPr>
          <w:b/>
          <w:bCs/>
          <w:color w:val="000000" w:themeColor="text1"/>
          <w:u w:val="single"/>
          <w:lang w:val="en-GB"/>
        </w:rPr>
        <w:t>ITALY</w:t>
      </w:r>
    </w:p>
    <w:p w14:paraId="6B15EB1C" w14:textId="77777777" w:rsidR="002D0F83" w:rsidRPr="00953E6C" w:rsidRDefault="002D0F83" w:rsidP="00B9334A">
      <w:pPr>
        <w:keepNext/>
        <w:widowControl w:val="0"/>
        <w:autoSpaceDE w:val="0"/>
        <w:autoSpaceDN w:val="0"/>
        <w:adjustRightInd w:val="0"/>
        <w:spacing w:before="240" w:after="60"/>
        <w:jc w:val="both"/>
        <w:rPr>
          <w:b/>
          <w:bCs/>
          <w:i/>
          <w:iCs/>
          <w:smallCaps/>
          <w:color w:val="000000" w:themeColor="text1"/>
          <w:lang w:val="en-GB"/>
        </w:rPr>
      </w:pPr>
    </w:p>
    <w:p w14:paraId="6F6807B8" w14:textId="77777777" w:rsidR="00345CC8" w:rsidRPr="00953E6C" w:rsidRDefault="00345CC8" w:rsidP="00B9334A">
      <w:pPr>
        <w:keepNext/>
        <w:widowControl w:val="0"/>
        <w:autoSpaceDE w:val="0"/>
        <w:autoSpaceDN w:val="0"/>
        <w:adjustRightInd w:val="0"/>
        <w:jc w:val="both"/>
        <w:rPr>
          <w:b/>
          <w:bCs/>
          <w:i/>
          <w:iCs/>
          <w:smallCaps/>
          <w:color w:val="000000" w:themeColor="text1"/>
          <w:lang w:val="en-GB"/>
        </w:rPr>
      </w:pPr>
    </w:p>
    <w:p w14:paraId="04FD1C40" w14:textId="77777777" w:rsidR="00345CC8" w:rsidRPr="00953E6C" w:rsidRDefault="00345CC8" w:rsidP="00B9334A">
      <w:pPr>
        <w:keepNext/>
        <w:widowControl w:val="0"/>
        <w:autoSpaceDE w:val="0"/>
        <w:autoSpaceDN w:val="0"/>
        <w:adjustRightInd w:val="0"/>
        <w:jc w:val="both"/>
        <w:rPr>
          <w:b/>
          <w:bCs/>
          <w:i/>
          <w:iCs/>
          <w:smallCaps/>
          <w:color w:val="000000" w:themeColor="text1"/>
          <w:lang w:val="en-GB"/>
        </w:rPr>
      </w:pPr>
    </w:p>
    <w:p w14:paraId="42E9726E" w14:textId="5631CB73" w:rsidR="002D0F83" w:rsidRPr="00953E6C" w:rsidRDefault="002D0F83" w:rsidP="003A7190">
      <w:pPr>
        <w:keepNext/>
        <w:widowControl w:val="0"/>
        <w:autoSpaceDE w:val="0"/>
        <w:autoSpaceDN w:val="0"/>
        <w:adjustRightInd w:val="0"/>
        <w:jc w:val="center"/>
        <w:rPr>
          <w:b/>
          <w:bCs/>
          <w:i/>
          <w:iCs/>
          <w:smallCaps/>
          <w:color w:val="000000" w:themeColor="text1"/>
          <w:lang w:val="en-GB"/>
        </w:rPr>
      </w:pPr>
      <w:r w:rsidRPr="00953E6C">
        <w:rPr>
          <w:b/>
          <w:bCs/>
          <w:i/>
          <w:iCs/>
          <w:smallCaps/>
          <w:color w:val="000000" w:themeColor="text1"/>
          <w:lang w:val="en-GB"/>
        </w:rPr>
        <w:t>Ministry of Foreign Affairs</w:t>
      </w:r>
      <w:r w:rsidR="00FC590A" w:rsidRPr="00953E6C">
        <w:rPr>
          <w:b/>
          <w:bCs/>
          <w:i/>
          <w:iCs/>
          <w:smallCaps/>
          <w:color w:val="000000" w:themeColor="text1"/>
          <w:lang w:val="en-GB"/>
        </w:rPr>
        <w:t xml:space="preserve"> and International Cooperation</w:t>
      </w:r>
    </w:p>
    <w:p w14:paraId="10D7B71D" w14:textId="77777777" w:rsidR="002D0F83" w:rsidRPr="00953E6C" w:rsidRDefault="002D0F83" w:rsidP="003A7190">
      <w:pPr>
        <w:widowControl w:val="0"/>
        <w:autoSpaceDE w:val="0"/>
        <w:autoSpaceDN w:val="0"/>
        <w:adjustRightInd w:val="0"/>
        <w:jc w:val="center"/>
        <w:rPr>
          <w:i/>
          <w:iCs/>
          <w:color w:val="000000" w:themeColor="text1"/>
          <w:lang w:val="en-GB"/>
        </w:rPr>
      </w:pPr>
      <w:r w:rsidRPr="00953E6C">
        <w:rPr>
          <w:i/>
          <w:iCs/>
          <w:color w:val="000000" w:themeColor="text1"/>
          <w:lang w:val="en-GB"/>
        </w:rPr>
        <w:t>Inter-ministerial Committee for Human Rights</w:t>
      </w:r>
    </w:p>
    <w:p w14:paraId="3E987C26" w14:textId="77777777" w:rsidR="002D0F83" w:rsidRPr="00953E6C" w:rsidRDefault="002D0F83" w:rsidP="003A7190">
      <w:pPr>
        <w:widowControl w:val="0"/>
        <w:autoSpaceDE w:val="0"/>
        <w:autoSpaceDN w:val="0"/>
        <w:adjustRightInd w:val="0"/>
        <w:spacing w:line="360" w:lineRule="auto"/>
        <w:jc w:val="center"/>
        <w:rPr>
          <w:i/>
          <w:iCs/>
          <w:color w:val="000000" w:themeColor="text1"/>
        </w:rPr>
      </w:pPr>
      <w:r w:rsidRPr="00953E6C">
        <w:rPr>
          <w:i/>
          <w:iCs/>
          <w:color w:val="000000" w:themeColor="text1"/>
        </w:rPr>
        <w:t>Comitato Interministeriale per i Diritti Umani</w:t>
      </w:r>
    </w:p>
    <w:p w14:paraId="7ADF8283" w14:textId="77777777" w:rsidR="002D0F83" w:rsidRPr="00953E6C" w:rsidRDefault="002D0F83" w:rsidP="00B9334A">
      <w:pPr>
        <w:widowControl w:val="0"/>
        <w:autoSpaceDE w:val="0"/>
        <w:autoSpaceDN w:val="0"/>
        <w:adjustRightInd w:val="0"/>
        <w:spacing w:line="480" w:lineRule="auto"/>
        <w:jc w:val="both"/>
        <w:rPr>
          <w:color w:val="000000" w:themeColor="text1"/>
        </w:rPr>
      </w:pPr>
    </w:p>
    <w:p w14:paraId="6B9ECB15" w14:textId="77777777" w:rsidR="002D0F83" w:rsidRPr="00953E6C" w:rsidRDefault="002D0F83" w:rsidP="00B9334A">
      <w:pPr>
        <w:widowControl w:val="0"/>
        <w:autoSpaceDE w:val="0"/>
        <w:autoSpaceDN w:val="0"/>
        <w:adjustRightInd w:val="0"/>
        <w:spacing w:line="480" w:lineRule="auto"/>
        <w:jc w:val="both"/>
        <w:rPr>
          <w:color w:val="000000" w:themeColor="text1"/>
        </w:rPr>
      </w:pPr>
    </w:p>
    <w:p w14:paraId="45E1C942" w14:textId="77777777" w:rsidR="002D0F83" w:rsidRPr="00953E6C" w:rsidRDefault="002D0F83" w:rsidP="00B9334A">
      <w:pPr>
        <w:widowControl w:val="0"/>
        <w:autoSpaceDE w:val="0"/>
        <w:autoSpaceDN w:val="0"/>
        <w:adjustRightInd w:val="0"/>
        <w:spacing w:line="480" w:lineRule="auto"/>
        <w:jc w:val="both"/>
        <w:rPr>
          <w:color w:val="000000" w:themeColor="text1"/>
        </w:rPr>
      </w:pPr>
    </w:p>
    <w:p w14:paraId="762291EB" w14:textId="77777777" w:rsidR="006B5A04" w:rsidRPr="00A72C09" w:rsidRDefault="006B5A04" w:rsidP="006B5A04">
      <w:pPr>
        <w:widowControl w:val="0"/>
        <w:autoSpaceDE w:val="0"/>
        <w:autoSpaceDN w:val="0"/>
        <w:adjustRightInd w:val="0"/>
        <w:jc w:val="center"/>
        <w:rPr>
          <w:b/>
          <w:bCs/>
          <w:color w:val="000000" w:themeColor="text1"/>
        </w:rPr>
      </w:pPr>
    </w:p>
    <w:p w14:paraId="0AB21B01" w14:textId="105DB62D" w:rsidR="006B5A04" w:rsidRDefault="002D0F83" w:rsidP="006B5A04">
      <w:pPr>
        <w:widowControl w:val="0"/>
        <w:autoSpaceDE w:val="0"/>
        <w:autoSpaceDN w:val="0"/>
        <w:adjustRightInd w:val="0"/>
        <w:jc w:val="center"/>
        <w:rPr>
          <w:b/>
          <w:bCs/>
          <w:color w:val="000000" w:themeColor="text1"/>
          <w:lang w:val="en-GB"/>
        </w:rPr>
      </w:pPr>
      <w:r w:rsidRPr="00953E6C">
        <w:rPr>
          <w:b/>
          <w:bCs/>
          <w:color w:val="000000" w:themeColor="text1"/>
          <w:lang w:val="en-GB"/>
        </w:rPr>
        <w:t xml:space="preserve">ITALY’S </w:t>
      </w:r>
      <w:r w:rsidR="006B5A04">
        <w:rPr>
          <w:b/>
          <w:bCs/>
          <w:color w:val="000000" w:themeColor="text1"/>
          <w:lang w:val="en-GB"/>
        </w:rPr>
        <w:t xml:space="preserve">FOLLOW-UP TO DISCUSSION </w:t>
      </w:r>
    </w:p>
    <w:p w14:paraId="5FDF9142" w14:textId="77777777" w:rsidR="006B5A04" w:rsidRDefault="006B5A04" w:rsidP="006B5A04">
      <w:pPr>
        <w:widowControl w:val="0"/>
        <w:autoSpaceDE w:val="0"/>
        <w:autoSpaceDN w:val="0"/>
        <w:adjustRightInd w:val="0"/>
        <w:jc w:val="center"/>
        <w:rPr>
          <w:b/>
          <w:bCs/>
          <w:color w:val="000000" w:themeColor="text1"/>
          <w:lang w:val="en-GB"/>
        </w:rPr>
      </w:pPr>
      <w:r>
        <w:rPr>
          <w:b/>
          <w:bCs/>
          <w:color w:val="000000" w:themeColor="text1"/>
          <w:lang w:val="en-GB"/>
        </w:rPr>
        <w:t>BEFORE UN CESCR COMMITTEE</w:t>
      </w:r>
    </w:p>
    <w:p w14:paraId="49EC7278" w14:textId="1BBF2E3E" w:rsidR="002D0F83" w:rsidRPr="00953E6C" w:rsidRDefault="006B5A04" w:rsidP="006B5A04">
      <w:pPr>
        <w:widowControl w:val="0"/>
        <w:autoSpaceDE w:val="0"/>
        <w:autoSpaceDN w:val="0"/>
        <w:adjustRightInd w:val="0"/>
        <w:jc w:val="center"/>
        <w:rPr>
          <w:b/>
          <w:bCs/>
          <w:color w:val="000000" w:themeColor="text1"/>
          <w:lang w:val="en-GB"/>
        </w:rPr>
      </w:pPr>
      <w:r>
        <w:rPr>
          <w:b/>
          <w:bCs/>
          <w:color w:val="000000" w:themeColor="text1"/>
          <w:lang w:val="en-GB"/>
        </w:rPr>
        <w:t xml:space="preserve">(29-30 September 2022) </w:t>
      </w:r>
    </w:p>
    <w:p w14:paraId="0EF05431" w14:textId="77777777" w:rsidR="002D0F83" w:rsidRPr="00953E6C" w:rsidRDefault="002D0F83" w:rsidP="00B9334A">
      <w:pPr>
        <w:widowControl w:val="0"/>
        <w:autoSpaceDE w:val="0"/>
        <w:autoSpaceDN w:val="0"/>
        <w:adjustRightInd w:val="0"/>
        <w:jc w:val="both"/>
        <w:rPr>
          <w:b/>
          <w:bCs/>
          <w:i/>
          <w:iCs/>
          <w:color w:val="000000" w:themeColor="text1"/>
          <w:lang w:val="en-GB"/>
        </w:rPr>
      </w:pPr>
    </w:p>
    <w:p w14:paraId="34DA932C" w14:textId="77777777" w:rsidR="002D0F83" w:rsidRPr="00953E6C" w:rsidRDefault="002D0F83" w:rsidP="00B9334A">
      <w:pPr>
        <w:widowControl w:val="0"/>
        <w:autoSpaceDE w:val="0"/>
        <w:autoSpaceDN w:val="0"/>
        <w:adjustRightInd w:val="0"/>
        <w:jc w:val="both"/>
        <w:rPr>
          <w:b/>
          <w:bCs/>
          <w:i/>
          <w:iCs/>
          <w:color w:val="000000" w:themeColor="text1"/>
          <w:lang w:val="en-GB"/>
        </w:rPr>
      </w:pPr>
    </w:p>
    <w:p w14:paraId="404CE1BD" w14:textId="77777777" w:rsidR="002D0F83" w:rsidRPr="00953E6C" w:rsidRDefault="002D0F83" w:rsidP="00B9334A">
      <w:pPr>
        <w:widowControl w:val="0"/>
        <w:autoSpaceDE w:val="0"/>
        <w:autoSpaceDN w:val="0"/>
        <w:adjustRightInd w:val="0"/>
        <w:jc w:val="both"/>
        <w:rPr>
          <w:b/>
          <w:bCs/>
          <w:i/>
          <w:iCs/>
          <w:color w:val="000000" w:themeColor="text1"/>
          <w:lang w:val="en-GB"/>
        </w:rPr>
      </w:pPr>
    </w:p>
    <w:p w14:paraId="607CF8EF" w14:textId="77777777" w:rsidR="002D0F83" w:rsidRPr="00953E6C" w:rsidRDefault="002D0F83" w:rsidP="00B9334A">
      <w:pPr>
        <w:widowControl w:val="0"/>
        <w:autoSpaceDE w:val="0"/>
        <w:autoSpaceDN w:val="0"/>
        <w:adjustRightInd w:val="0"/>
        <w:jc w:val="both"/>
        <w:rPr>
          <w:b/>
          <w:bCs/>
          <w:i/>
          <w:iCs/>
          <w:color w:val="000000" w:themeColor="text1"/>
          <w:lang w:val="en-GB"/>
        </w:rPr>
      </w:pPr>
    </w:p>
    <w:p w14:paraId="3566CA88" w14:textId="77777777" w:rsidR="002D0F83" w:rsidRPr="00953E6C" w:rsidRDefault="002D0F83" w:rsidP="00B9334A">
      <w:pPr>
        <w:widowControl w:val="0"/>
        <w:autoSpaceDE w:val="0"/>
        <w:autoSpaceDN w:val="0"/>
        <w:adjustRightInd w:val="0"/>
        <w:jc w:val="both"/>
        <w:rPr>
          <w:b/>
          <w:bCs/>
          <w:i/>
          <w:iCs/>
          <w:color w:val="000000" w:themeColor="text1"/>
          <w:lang w:val="en-GB"/>
        </w:rPr>
      </w:pPr>
    </w:p>
    <w:p w14:paraId="437497DA" w14:textId="77777777" w:rsidR="002D0F83" w:rsidRPr="00953E6C" w:rsidRDefault="002D0F83" w:rsidP="00B9334A">
      <w:pPr>
        <w:widowControl w:val="0"/>
        <w:autoSpaceDE w:val="0"/>
        <w:autoSpaceDN w:val="0"/>
        <w:adjustRightInd w:val="0"/>
        <w:jc w:val="both"/>
        <w:rPr>
          <w:b/>
          <w:bCs/>
          <w:i/>
          <w:iCs/>
          <w:color w:val="000000" w:themeColor="text1"/>
          <w:lang w:val="en-GB"/>
        </w:rPr>
      </w:pPr>
    </w:p>
    <w:p w14:paraId="6AF254DE" w14:textId="77777777" w:rsidR="002D0F83" w:rsidRPr="00953E6C" w:rsidRDefault="002D0F83" w:rsidP="00B9334A">
      <w:pPr>
        <w:widowControl w:val="0"/>
        <w:autoSpaceDE w:val="0"/>
        <w:autoSpaceDN w:val="0"/>
        <w:adjustRightInd w:val="0"/>
        <w:jc w:val="both"/>
        <w:rPr>
          <w:b/>
          <w:bCs/>
          <w:i/>
          <w:iCs/>
          <w:color w:val="000000" w:themeColor="text1"/>
          <w:lang w:val="en-GB"/>
        </w:rPr>
      </w:pPr>
    </w:p>
    <w:p w14:paraId="6DAEBE35" w14:textId="77777777" w:rsidR="002D0F83" w:rsidRPr="00953E6C" w:rsidRDefault="002D0F83" w:rsidP="00B9334A">
      <w:pPr>
        <w:widowControl w:val="0"/>
        <w:autoSpaceDE w:val="0"/>
        <w:autoSpaceDN w:val="0"/>
        <w:adjustRightInd w:val="0"/>
        <w:jc w:val="both"/>
        <w:rPr>
          <w:b/>
          <w:bCs/>
          <w:i/>
          <w:iCs/>
          <w:color w:val="000000" w:themeColor="text1"/>
          <w:lang w:val="en-GB"/>
        </w:rPr>
      </w:pPr>
    </w:p>
    <w:p w14:paraId="63C3F74E" w14:textId="77777777" w:rsidR="002D0F83" w:rsidRPr="00953E6C" w:rsidRDefault="002D0F83" w:rsidP="00B9334A">
      <w:pPr>
        <w:widowControl w:val="0"/>
        <w:autoSpaceDE w:val="0"/>
        <w:autoSpaceDN w:val="0"/>
        <w:adjustRightInd w:val="0"/>
        <w:jc w:val="both"/>
        <w:rPr>
          <w:b/>
          <w:bCs/>
          <w:i/>
          <w:iCs/>
          <w:color w:val="000000" w:themeColor="text1"/>
          <w:lang w:val="en-GB"/>
        </w:rPr>
      </w:pPr>
    </w:p>
    <w:p w14:paraId="6FF35582" w14:textId="77777777" w:rsidR="002D0F83" w:rsidRPr="00953E6C" w:rsidRDefault="002D0F83" w:rsidP="00B9334A">
      <w:pPr>
        <w:widowControl w:val="0"/>
        <w:autoSpaceDE w:val="0"/>
        <w:autoSpaceDN w:val="0"/>
        <w:adjustRightInd w:val="0"/>
        <w:jc w:val="both"/>
        <w:rPr>
          <w:b/>
          <w:bCs/>
          <w:i/>
          <w:iCs/>
          <w:color w:val="000000" w:themeColor="text1"/>
          <w:lang w:val="en-GB"/>
        </w:rPr>
      </w:pPr>
    </w:p>
    <w:p w14:paraId="3B881E47" w14:textId="77777777" w:rsidR="00DC1406" w:rsidRPr="00953E6C" w:rsidRDefault="00DC1406" w:rsidP="00B9334A">
      <w:pPr>
        <w:widowControl w:val="0"/>
        <w:autoSpaceDE w:val="0"/>
        <w:autoSpaceDN w:val="0"/>
        <w:adjustRightInd w:val="0"/>
        <w:jc w:val="both"/>
        <w:rPr>
          <w:bCs/>
          <w:i/>
          <w:iCs/>
          <w:color w:val="000000" w:themeColor="text1"/>
          <w:lang w:val="en-GB"/>
        </w:rPr>
      </w:pPr>
    </w:p>
    <w:p w14:paraId="6FFE5445" w14:textId="77777777" w:rsidR="00DC1406" w:rsidRPr="00953E6C" w:rsidRDefault="00DC1406" w:rsidP="00B9334A">
      <w:pPr>
        <w:widowControl w:val="0"/>
        <w:autoSpaceDE w:val="0"/>
        <w:autoSpaceDN w:val="0"/>
        <w:adjustRightInd w:val="0"/>
        <w:jc w:val="both"/>
        <w:rPr>
          <w:bCs/>
          <w:i/>
          <w:iCs/>
          <w:color w:val="000000" w:themeColor="text1"/>
          <w:lang w:val="en-GB"/>
        </w:rPr>
      </w:pPr>
    </w:p>
    <w:p w14:paraId="0AF3CA0A" w14:textId="77777777" w:rsidR="00DC1406" w:rsidRPr="00953E6C" w:rsidRDefault="00DC1406" w:rsidP="00B9334A">
      <w:pPr>
        <w:widowControl w:val="0"/>
        <w:autoSpaceDE w:val="0"/>
        <w:autoSpaceDN w:val="0"/>
        <w:adjustRightInd w:val="0"/>
        <w:jc w:val="both"/>
        <w:rPr>
          <w:bCs/>
          <w:i/>
          <w:iCs/>
          <w:color w:val="000000" w:themeColor="text1"/>
          <w:lang w:val="en-GB"/>
        </w:rPr>
      </w:pPr>
    </w:p>
    <w:p w14:paraId="459A958F" w14:textId="77777777" w:rsidR="00DC1406" w:rsidRPr="00953E6C" w:rsidRDefault="00DC1406" w:rsidP="00B9334A">
      <w:pPr>
        <w:widowControl w:val="0"/>
        <w:autoSpaceDE w:val="0"/>
        <w:autoSpaceDN w:val="0"/>
        <w:adjustRightInd w:val="0"/>
        <w:jc w:val="both"/>
        <w:rPr>
          <w:bCs/>
          <w:i/>
          <w:iCs/>
          <w:color w:val="000000" w:themeColor="text1"/>
          <w:lang w:val="en-GB"/>
        </w:rPr>
      </w:pPr>
    </w:p>
    <w:p w14:paraId="56686411" w14:textId="77777777" w:rsidR="00DC1406" w:rsidRPr="00953E6C" w:rsidRDefault="00DC1406" w:rsidP="00B9334A">
      <w:pPr>
        <w:widowControl w:val="0"/>
        <w:autoSpaceDE w:val="0"/>
        <w:autoSpaceDN w:val="0"/>
        <w:adjustRightInd w:val="0"/>
        <w:jc w:val="both"/>
        <w:rPr>
          <w:bCs/>
          <w:i/>
          <w:iCs/>
          <w:color w:val="000000" w:themeColor="text1"/>
          <w:lang w:val="en-GB"/>
        </w:rPr>
      </w:pPr>
    </w:p>
    <w:p w14:paraId="7DD3C733" w14:textId="77777777" w:rsidR="00DC1406" w:rsidRPr="00953E6C" w:rsidRDefault="00DC1406" w:rsidP="00B9334A">
      <w:pPr>
        <w:widowControl w:val="0"/>
        <w:autoSpaceDE w:val="0"/>
        <w:autoSpaceDN w:val="0"/>
        <w:adjustRightInd w:val="0"/>
        <w:jc w:val="both"/>
        <w:rPr>
          <w:bCs/>
          <w:i/>
          <w:iCs/>
          <w:color w:val="000000" w:themeColor="text1"/>
          <w:lang w:val="en-GB"/>
        </w:rPr>
      </w:pPr>
    </w:p>
    <w:p w14:paraId="408DE65D" w14:textId="77777777" w:rsidR="00DC1406" w:rsidRPr="00953E6C" w:rsidRDefault="00DC1406" w:rsidP="00B9334A">
      <w:pPr>
        <w:widowControl w:val="0"/>
        <w:autoSpaceDE w:val="0"/>
        <w:autoSpaceDN w:val="0"/>
        <w:adjustRightInd w:val="0"/>
        <w:jc w:val="both"/>
        <w:rPr>
          <w:bCs/>
          <w:i/>
          <w:iCs/>
          <w:color w:val="000000" w:themeColor="text1"/>
          <w:lang w:val="en-GB"/>
        </w:rPr>
      </w:pPr>
    </w:p>
    <w:p w14:paraId="1ECB5AEC" w14:textId="77777777" w:rsidR="00DC1406" w:rsidRPr="00953E6C" w:rsidRDefault="00DC1406" w:rsidP="00B9334A">
      <w:pPr>
        <w:widowControl w:val="0"/>
        <w:autoSpaceDE w:val="0"/>
        <w:autoSpaceDN w:val="0"/>
        <w:adjustRightInd w:val="0"/>
        <w:jc w:val="both"/>
        <w:rPr>
          <w:bCs/>
          <w:i/>
          <w:iCs/>
          <w:color w:val="000000" w:themeColor="text1"/>
          <w:lang w:val="en-GB"/>
        </w:rPr>
      </w:pPr>
    </w:p>
    <w:p w14:paraId="7A6BE11A" w14:textId="77777777" w:rsidR="00DC1406" w:rsidRPr="00953E6C" w:rsidRDefault="00DC1406" w:rsidP="00B9334A">
      <w:pPr>
        <w:widowControl w:val="0"/>
        <w:autoSpaceDE w:val="0"/>
        <w:autoSpaceDN w:val="0"/>
        <w:adjustRightInd w:val="0"/>
        <w:jc w:val="both"/>
        <w:rPr>
          <w:bCs/>
          <w:i/>
          <w:iCs/>
          <w:color w:val="000000" w:themeColor="text1"/>
          <w:lang w:val="en-GB"/>
        </w:rPr>
      </w:pPr>
    </w:p>
    <w:p w14:paraId="17A7ACB1" w14:textId="77777777" w:rsidR="00DC1406" w:rsidRPr="00953E6C" w:rsidRDefault="00DC1406" w:rsidP="00B9334A">
      <w:pPr>
        <w:widowControl w:val="0"/>
        <w:autoSpaceDE w:val="0"/>
        <w:autoSpaceDN w:val="0"/>
        <w:adjustRightInd w:val="0"/>
        <w:jc w:val="both"/>
        <w:rPr>
          <w:bCs/>
          <w:i/>
          <w:iCs/>
          <w:color w:val="000000" w:themeColor="text1"/>
          <w:lang w:val="en-GB"/>
        </w:rPr>
      </w:pPr>
    </w:p>
    <w:p w14:paraId="1698BABA" w14:textId="77777777" w:rsidR="00DC1406" w:rsidRPr="00953E6C" w:rsidRDefault="00DC1406" w:rsidP="00B9334A">
      <w:pPr>
        <w:widowControl w:val="0"/>
        <w:autoSpaceDE w:val="0"/>
        <w:autoSpaceDN w:val="0"/>
        <w:adjustRightInd w:val="0"/>
        <w:jc w:val="both"/>
        <w:rPr>
          <w:bCs/>
          <w:i/>
          <w:iCs/>
          <w:color w:val="000000" w:themeColor="text1"/>
          <w:lang w:val="en-GB"/>
        </w:rPr>
      </w:pPr>
    </w:p>
    <w:p w14:paraId="7C401C6D" w14:textId="77777777" w:rsidR="00DC1406" w:rsidRPr="00953E6C" w:rsidRDefault="00DC1406" w:rsidP="00B9334A">
      <w:pPr>
        <w:widowControl w:val="0"/>
        <w:autoSpaceDE w:val="0"/>
        <w:autoSpaceDN w:val="0"/>
        <w:adjustRightInd w:val="0"/>
        <w:jc w:val="both"/>
        <w:rPr>
          <w:bCs/>
          <w:i/>
          <w:iCs/>
          <w:color w:val="000000" w:themeColor="text1"/>
          <w:lang w:val="en-GB"/>
        </w:rPr>
      </w:pPr>
    </w:p>
    <w:p w14:paraId="428F7DE7" w14:textId="77777777" w:rsidR="00DC1406" w:rsidRPr="00953E6C" w:rsidRDefault="00DC1406" w:rsidP="00B9334A">
      <w:pPr>
        <w:widowControl w:val="0"/>
        <w:autoSpaceDE w:val="0"/>
        <w:autoSpaceDN w:val="0"/>
        <w:adjustRightInd w:val="0"/>
        <w:jc w:val="both"/>
        <w:rPr>
          <w:bCs/>
          <w:i/>
          <w:iCs/>
          <w:color w:val="000000" w:themeColor="text1"/>
          <w:lang w:val="en-GB"/>
        </w:rPr>
      </w:pPr>
    </w:p>
    <w:p w14:paraId="15DDEDF3" w14:textId="77777777" w:rsidR="00DC1406" w:rsidRPr="00953E6C" w:rsidRDefault="00DC1406" w:rsidP="00B9334A">
      <w:pPr>
        <w:widowControl w:val="0"/>
        <w:autoSpaceDE w:val="0"/>
        <w:autoSpaceDN w:val="0"/>
        <w:adjustRightInd w:val="0"/>
        <w:jc w:val="both"/>
        <w:rPr>
          <w:bCs/>
          <w:i/>
          <w:iCs/>
          <w:color w:val="000000" w:themeColor="text1"/>
          <w:lang w:val="en-GB"/>
        </w:rPr>
      </w:pPr>
    </w:p>
    <w:p w14:paraId="7DFE2D62" w14:textId="77777777" w:rsidR="00DC1406" w:rsidRPr="00953E6C" w:rsidRDefault="00DC1406" w:rsidP="00B9334A">
      <w:pPr>
        <w:widowControl w:val="0"/>
        <w:autoSpaceDE w:val="0"/>
        <w:autoSpaceDN w:val="0"/>
        <w:adjustRightInd w:val="0"/>
        <w:jc w:val="both"/>
        <w:rPr>
          <w:bCs/>
          <w:i/>
          <w:iCs/>
          <w:color w:val="000000" w:themeColor="text1"/>
          <w:lang w:val="en-GB"/>
        </w:rPr>
      </w:pPr>
    </w:p>
    <w:p w14:paraId="7EB93CD4" w14:textId="5EE0CEAA" w:rsidR="004A61A7" w:rsidRPr="00953E6C" w:rsidRDefault="006B5A04" w:rsidP="00B9334A">
      <w:pPr>
        <w:widowControl w:val="0"/>
        <w:autoSpaceDE w:val="0"/>
        <w:autoSpaceDN w:val="0"/>
        <w:adjustRightInd w:val="0"/>
        <w:ind w:left="4248"/>
        <w:jc w:val="both"/>
        <w:rPr>
          <w:bCs/>
          <w:i/>
          <w:iCs/>
          <w:color w:val="000000" w:themeColor="text1"/>
          <w:lang w:val="en-GB"/>
        </w:rPr>
      </w:pPr>
      <w:r>
        <w:rPr>
          <w:bCs/>
          <w:i/>
          <w:iCs/>
          <w:color w:val="000000" w:themeColor="text1"/>
          <w:lang w:val="en-GB"/>
        </w:rPr>
        <w:t xml:space="preserve">October </w:t>
      </w:r>
      <w:r w:rsidR="001D11BE">
        <w:rPr>
          <w:bCs/>
          <w:i/>
          <w:iCs/>
          <w:color w:val="000000" w:themeColor="text1"/>
          <w:lang w:val="en-GB"/>
        </w:rPr>
        <w:t>4</w:t>
      </w:r>
      <w:r w:rsidR="004A61A7" w:rsidRPr="00953E6C">
        <w:rPr>
          <w:bCs/>
          <w:i/>
          <w:iCs/>
          <w:color w:val="000000" w:themeColor="text1"/>
          <w:lang w:val="en-GB"/>
        </w:rPr>
        <w:t>, 20</w:t>
      </w:r>
      <w:r w:rsidR="006C5A7D" w:rsidRPr="00953E6C">
        <w:rPr>
          <w:bCs/>
          <w:i/>
          <w:iCs/>
          <w:color w:val="000000" w:themeColor="text1"/>
          <w:lang w:val="en-GB"/>
        </w:rPr>
        <w:t>22</w:t>
      </w:r>
    </w:p>
    <w:p w14:paraId="14061E7A" w14:textId="77777777" w:rsidR="00E8013D" w:rsidRPr="00953E6C" w:rsidRDefault="00E8013D" w:rsidP="00B9334A">
      <w:pPr>
        <w:widowControl w:val="0"/>
        <w:autoSpaceDE w:val="0"/>
        <w:autoSpaceDN w:val="0"/>
        <w:adjustRightInd w:val="0"/>
        <w:jc w:val="both"/>
        <w:rPr>
          <w:b/>
          <w:bCs/>
          <w:color w:val="000000" w:themeColor="text1"/>
          <w:u w:val="single"/>
          <w:lang w:val="en-GB"/>
        </w:rPr>
      </w:pPr>
    </w:p>
    <w:p w14:paraId="49CBDAD4" w14:textId="77777777" w:rsidR="00E8013D" w:rsidRPr="00953E6C" w:rsidRDefault="00E8013D" w:rsidP="00B9334A">
      <w:pPr>
        <w:widowControl w:val="0"/>
        <w:autoSpaceDE w:val="0"/>
        <w:autoSpaceDN w:val="0"/>
        <w:adjustRightInd w:val="0"/>
        <w:jc w:val="both"/>
        <w:rPr>
          <w:b/>
          <w:bCs/>
          <w:color w:val="000000" w:themeColor="text1"/>
          <w:u w:val="single"/>
          <w:lang w:val="en-GB"/>
        </w:rPr>
      </w:pPr>
    </w:p>
    <w:p w14:paraId="4F83B0A7" w14:textId="77777777" w:rsidR="00055A69" w:rsidRPr="00953E6C" w:rsidRDefault="00055A69" w:rsidP="003A7190">
      <w:pPr>
        <w:widowControl w:val="0"/>
        <w:autoSpaceDE w:val="0"/>
        <w:autoSpaceDN w:val="0"/>
        <w:adjustRightInd w:val="0"/>
        <w:jc w:val="center"/>
        <w:rPr>
          <w:b/>
          <w:bCs/>
          <w:color w:val="000000" w:themeColor="text1"/>
          <w:u w:val="single"/>
          <w:lang w:val="en-GB"/>
        </w:rPr>
      </w:pPr>
    </w:p>
    <w:p w14:paraId="0A1CDA2D" w14:textId="77777777" w:rsidR="00055A69" w:rsidRPr="00953E6C" w:rsidRDefault="00055A69" w:rsidP="003A7190">
      <w:pPr>
        <w:widowControl w:val="0"/>
        <w:autoSpaceDE w:val="0"/>
        <w:autoSpaceDN w:val="0"/>
        <w:adjustRightInd w:val="0"/>
        <w:jc w:val="center"/>
        <w:rPr>
          <w:b/>
          <w:bCs/>
          <w:color w:val="000000" w:themeColor="text1"/>
          <w:u w:val="single"/>
          <w:lang w:val="en-GB"/>
        </w:rPr>
      </w:pPr>
    </w:p>
    <w:p w14:paraId="0FEAAC38" w14:textId="77777777" w:rsidR="00055A69" w:rsidRPr="00953E6C" w:rsidRDefault="00055A69" w:rsidP="003A7190">
      <w:pPr>
        <w:widowControl w:val="0"/>
        <w:autoSpaceDE w:val="0"/>
        <w:autoSpaceDN w:val="0"/>
        <w:adjustRightInd w:val="0"/>
        <w:jc w:val="center"/>
        <w:rPr>
          <w:b/>
          <w:bCs/>
          <w:color w:val="000000" w:themeColor="text1"/>
          <w:u w:val="single"/>
          <w:lang w:val="en-GB"/>
        </w:rPr>
      </w:pPr>
    </w:p>
    <w:p w14:paraId="03B7B098" w14:textId="48A51C01" w:rsidR="00AF04AA" w:rsidRPr="00953E6C" w:rsidRDefault="002D0F83" w:rsidP="006B5A04">
      <w:pPr>
        <w:widowControl w:val="0"/>
        <w:autoSpaceDE w:val="0"/>
        <w:autoSpaceDN w:val="0"/>
        <w:adjustRightInd w:val="0"/>
        <w:jc w:val="center"/>
        <w:rPr>
          <w:i/>
          <w:iCs/>
          <w:color w:val="000000" w:themeColor="text1"/>
          <w:lang w:val="en-GB"/>
        </w:rPr>
      </w:pPr>
      <w:r w:rsidRPr="00953E6C">
        <w:rPr>
          <w:b/>
          <w:bCs/>
          <w:color w:val="000000" w:themeColor="text1"/>
          <w:u w:val="single"/>
          <w:lang w:val="en-GB"/>
        </w:rPr>
        <w:t xml:space="preserve">ITALY’S </w:t>
      </w:r>
      <w:r w:rsidR="006B5A04">
        <w:rPr>
          <w:b/>
          <w:bCs/>
          <w:color w:val="000000" w:themeColor="text1"/>
          <w:u w:val="single"/>
          <w:lang w:val="en-GB"/>
        </w:rPr>
        <w:t xml:space="preserve">FOLLOW-UP </w:t>
      </w:r>
    </w:p>
    <w:p w14:paraId="40C94D17" w14:textId="77777777" w:rsidR="006B5A04" w:rsidRDefault="006B5A04" w:rsidP="006B5A04">
      <w:pPr>
        <w:widowControl w:val="0"/>
        <w:autoSpaceDE w:val="0"/>
        <w:autoSpaceDN w:val="0"/>
        <w:adjustRightInd w:val="0"/>
        <w:rPr>
          <w:color w:val="000000" w:themeColor="text1"/>
          <w:lang w:val="en-GB"/>
        </w:rPr>
      </w:pPr>
    </w:p>
    <w:p w14:paraId="73A2D9E1" w14:textId="48488B15" w:rsidR="002D0F83" w:rsidRPr="00E05E45" w:rsidRDefault="006B5A04" w:rsidP="006B5A04">
      <w:pPr>
        <w:widowControl w:val="0"/>
        <w:autoSpaceDE w:val="0"/>
        <w:autoSpaceDN w:val="0"/>
        <w:adjustRightInd w:val="0"/>
        <w:rPr>
          <w:i/>
          <w:iCs/>
          <w:sz w:val="22"/>
          <w:szCs w:val="22"/>
          <w:lang w:val="en-GB"/>
        </w:rPr>
      </w:pPr>
      <w:r w:rsidRPr="00E05E45">
        <w:rPr>
          <w:color w:val="000000" w:themeColor="text1"/>
          <w:sz w:val="22"/>
          <w:szCs w:val="22"/>
          <w:lang w:val="en-GB"/>
        </w:rPr>
        <w:t>W</w:t>
      </w:r>
      <w:r w:rsidR="00AF04AA" w:rsidRPr="00E05E45">
        <w:rPr>
          <w:color w:val="000000" w:themeColor="text1"/>
          <w:sz w:val="22"/>
          <w:szCs w:val="22"/>
          <w:lang w:val="en-GB"/>
        </w:rPr>
        <w:t xml:space="preserve">e are </w:t>
      </w:r>
      <w:r w:rsidR="002D0F83" w:rsidRPr="00E05E45">
        <w:rPr>
          <w:color w:val="000000" w:themeColor="text1"/>
          <w:sz w:val="22"/>
          <w:szCs w:val="22"/>
          <w:lang w:val="en-GB"/>
        </w:rPr>
        <w:t>in a position to provide the following informat</w:t>
      </w:r>
      <w:r w:rsidRPr="00E05E45">
        <w:rPr>
          <w:color w:val="000000" w:themeColor="text1"/>
          <w:sz w:val="22"/>
          <w:szCs w:val="22"/>
          <w:lang w:val="en-GB"/>
        </w:rPr>
        <w:t xml:space="preserve">ion. </w:t>
      </w:r>
      <w:r w:rsidR="002D0F83" w:rsidRPr="00E05E45">
        <w:rPr>
          <w:b/>
          <w:bCs/>
          <w:color w:val="000000" w:themeColor="text1"/>
          <w:sz w:val="22"/>
          <w:szCs w:val="22"/>
          <w:u w:val="single"/>
          <w:lang w:val="en-GB"/>
        </w:rPr>
        <w:t xml:space="preserve"> </w:t>
      </w:r>
    </w:p>
    <w:p w14:paraId="498D8885" w14:textId="77777777" w:rsidR="00F12798" w:rsidRPr="00E05E45" w:rsidRDefault="00F12798" w:rsidP="00B9334A">
      <w:pPr>
        <w:pStyle w:val="Default"/>
        <w:jc w:val="both"/>
        <w:rPr>
          <w:rFonts w:ascii="Times New Roman" w:hAnsi="Times New Roman" w:cs="Times New Roman"/>
          <w:b/>
          <w:bCs/>
          <w:color w:val="000000" w:themeColor="text1"/>
          <w:sz w:val="22"/>
          <w:szCs w:val="22"/>
          <w:u w:val="single"/>
          <w:lang w:val="en-GB"/>
        </w:rPr>
      </w:pPr>
    </w:p>
    <w:p w14:paraId="6E38026B" w14:textId="1C2B211D" w:rsidR="008A3534" w:rsidRPr="00FB1E5A" w:rsidRDefault="008A3534" w:rsidP="00FB1E5A">
      <w:pPr>
        <w:jc w:val="both"/>
        <w:rPr>
          <w:sz w:val="22"/>
          <w:szCs w:val="22"/>
          <w:lang w:val="en-US"/>
        </w:rPr>
      </w:pPr>
      <w:r w:rsidRPr="00FB1E5A">
        <w:rPr>
          <w:sz w:val="22"/>
          <w:szCs w:val="22"/>
          <w:lang w:val="en-US"/>
        </w:rPr>
        <w:t xml:space="preserve">(Source: </w:t>
      </w:r>
      <w:proofErr w:type="spellStart"/>
      <w:r w:rsidRPr="00FB1E5A">
        <w:rPr>
          <w:sz w:val="22"/>
          <w:szCs w:val="22"/>
          <w:lang w:val="en-US"/>
        </w:rPr>
        <w:t>Labour</w:t>
      </w:r>
      <w:proofErr w:type="spellEnd"/>
      <w:r w:rsidRPr="00FB1E5A">
        <w:rPr>
          <w:sz w:val="22"/>
          <w:szCs w:val="22"/>
          <w:lang w:val="en-US"/>
        </w:rPr>
        <w:t xml:space="preserve"> </w:t>
      </w:r>
      <w:r w:rsidR="00FB1E5A" w:rsidRPr="00FB1E5A">
        <w:rPr>
          <w:sz w:val="22"/>
          <w:szCs w:val="22"/>
          <w:lang w:val="en-US"/>
        </w:rPr>
        <w:t xml:space="preserve">and Social Policies </w:t>
      </w:r>
      <w:r w:rsidRPr="00FB1E5A">
        <w:rPr>
          <w:sz w:val="22"/>
          <w:szCs w:val="22"/>
          <w:lang w:val="en-US"/>
        </w:rPr>
        <w:t>Ministry) The economic support measures provided in 2020 allowed 1 million individuals (in about 500 thousand households) to be out of absolute poverty. Such individuals, in the absence of benefits, would have had consumption expenditures below their poverty line (</w:t>
      </w:r>
      <w:hyperlink r:id="rId8" w:history="1">
        <w:r w:rsidRPr="00FB1E5A">
          <w:rPr>
            <w:rStyle w:val="Hyperlink"/>
            <w:sz w:val="22"/>
            <w:szCs w:val="22"/>
            <w:lang w:val="en-US"/>
          </w:rPr>
          <w:t>Rapporto_Annuale_2022.pdf (istat.it)</w:t>
        </w:r>
      </w:hyperlink>
      <w:r w:rsidRPr="00FB1E5A">
        <w:rPr>
          <w:sz w:val="22"/>
          <w:szCs w:val="22"/>
          <w:lang w:val="en-US"/>
        </w:rPr>
        <w:t xml:space="preserve">,Tab. 4.9 e 4.10). There was also a positive effect on poverty intensity, which, in the absence of subsidies, would have been as much as 10 percentage points higher, reaching 28.8% (compared with 18.7 observed). This effect is due to the advantage of families who, as a result of the subsidy, have definitely lowered their poverty intensity. Last year's reduction in poverty was largely due to the growth in the spending level of the poorest households, which occurred in conjunction with the introduction of the new support program for families in economic hardship -the Citizenship Income- which replaced the Inclusion Income in the second half of the year and affected more than one million families. The improvement was larger in the South where the incidence of absolute poverty among households fell from 10.0% in 2018 to 8.6%. In the absence of the </w:t>
      </w:r>
      <w:proofErr w:type="spellStart"/>
      <w:r w:rsidRPr="00FB1E5A">
        <w:rPr>
          <w:i/>
          <w:iCs/>
          <w:sz w:val="22"/>
          <w:szCs w:val="22"/>
          <w:lang w:val="en-US"/>
        </w:rPr>
        <w:t>Reddito</w:t>
      </w:r>
      <w:proofErr w:type="spellEnd"/>
      <w:r w:rsidRPr="00FB1E5A">
        <w:rPr>
          <w:i/>
          <w:iCs/>
          <w:sz w:val="22"/>
          <w:szCs w:val="22"/>
          <w:lang w:val="en-US"/>
        </w:rPr>
        <w:t xml:space="preserve"> di </w:t>
      </w:r>
      <w:proofErr w:type="spellStart"/>
      <w:r w:rsidRPr="00FB1E5A">
        <w:rPr>
          <w:i/>
          <w:iCs/>
          <w:sz w:val="22"/>
          <w:szCs w:val="22"/>
          <w:lang w:val="en-US"/>
        </w:rPr>
        <w:t>cittadinanza</w:t>
      </w:r>
      <w:proofErr w:type="spellEnd"/>
      <w:r w:rsidRPr="00FB1E5A">
        <w:rPr>
          <w:sz w:val="22"/>
          <w:szCs w:val="22"/>
          <w:lang w:val="en-US"/>
        </w:rPr>
        <w:t xml:space="preserve"> in 2020, the average </w:t>
      </w:r>
      <w:proofErr w:type="spellStart"/>
      <w:r w:rsidRPr="00FB1E5A">
        <w:rPr>
          <w:sz w:val="22"/>
          <w:szCs w:val="22"/>
          <w:lang w:val="en-US"/>
        </w:rPr>
        <w:t>equivalised</w:t>
      </w:r>
      <w:proofErr w:type="spellEnd"/>
      <w:r w:rsidRPr="00FB1E5A">
        <w:rPr>
          <w:sz w:val="22"/>
          <w:szCs w:val="22"/>
          <w:lang w:val="en-US"/>
        </w:rPr>
        <w:t xml:space="preserve"> income of households receiving the RDC would have decreased by 35% compared to 2019 and before COVID crisis (</w:t>
      </w:r>
      <w:hyperlink r:id="rId9" w:history="1">
        <w:r w:rsidRPr="00FB1E5A">
          <w:rPr>
            <w:rStyle w:val="Hyperlink"/>
            <w:sz w:val="22"/>
            <w:szCs w:val="22"/>
            <w:lang w:val="en-US"/>
          </w:rPr>
          <w:t>Rapportoannuale2020.pdf (istat.it)</w:t>
        </w:r>
      </w:hyperlink>
      <w:r w:rsidRPr="00FB1E5A">
        <w:rPr>
          <w:rStyle w:val="Hyperlink"/>
          <w:sz w:val="22"/>
          <w:szCs w:val="22"/>
          <w:lang w:val="en-US"/>
        </w:rPr>
        <w:t xml:space="preserve">). </w:t>
      </w:r>
      <w:r w:rsidRPr="00FB1E5A">
        <w:rPr>
          <w:sz w:val="22"/>
          <w:szCs w:val="22"/>
          <w:lang w:val="en-US"/>
        </w:rPr>
        <w:t xml:space="preserve">The requirement for access to the </w:t>
      </w:r>
      <w:proofErr w:type="spellStart"/>
      <w:r w:rsidRPr="00FB1E5A">
        <w:rPr>
          <w:i/>
          <w:iCs/>
          <w:sz w:val="22"/>
          <w:szCs w:val="22"/>
          <w:lang w:val="en-US"/>
        </w:rPr>
        <w:t>Reddito</w:t>
      </w:r>
      <w:proofErr w:type="spellEnd"/>
      <w:r w:rsidRPr="00FB1E5A">
        <w:rPr>
          <w:i/>
          <w:iCs/>
          <w:sz w:val="22"/>
          <w:szCs w:val="22"/>
          <w:lang w:val="en-US"/>
        </w:rPr>
        <w:t xml:space="preserve"> di </w:t>
      </w:r>
      <w:proofErr w:type="spellStart"/>
      <w:r w:rsidR="0004387B" w:rsidRPr="00FB1E5A">
        <w:rPr>
          <w:i/>
          <w:iCs/>
          <w:sz w:val="22"/>
          <w:szCs w:val="22"/>
          <w:lang w:val="en-US"/>
        </w:rPr>
        <w:t>C</w:t>
      </w:r>
      <w:r w:rsidRPr="00FB1E5A">
        <w:rPr>
          <w:i/>
          <w:iCs/>
          <w:sz w:val="22"/>
          <w:szCs w:val="22"/>
          <w:lang w:val="en-US"/>
        </w:rPr>
        <w:t>ittadinanza</w:t>
      </w:r>
      <w:proofErr w:type="spellEnd"/>
      <w:r w:rsidRPr="00FB1E5A">
        <w:rPr>
          <w:sz w:val="22"/>
          <w:szCs w:val="22"/>
          <w:lang w:val="en-US"/>
        </w:rPr>
        <w:t xml:space="preserve"> related to 10 years of residence, the last 2 of which must be continuous, is understood in terms of actual residence, </w:t>
      </w:r>
      <w:r w:rsidRPr="00FB1E5A">
        <w:rPr>
          <w:b/>
          <w:bCs/>
          <w:sz w:val="22"/>
          <w:szCs w:val="22"/>
          <w:lang w:val="en-US"/>
        </w:rPr>
        <w:t xml:space="preserve">thus also allowing homeless people who have suffered registry cancellations due to </w:t>
      </w:r>
      <w:proofErr w:type="spellStart"/>
      <w:r w:rsidRPr="00FB1E5A">
        <w:rPr>
          <w:b/>
          <w:bCs/>
          <w:sz w:val="22"/>
          <w:szCs w:val="22"/>
          <w:lang w:val="en-US"/>
        </w:rPr>
        <w:t>untraceability</w:t>
      </w:r>
      <w:proofErr w:type="spellEnd"/>
      <w:r w:rsidRPr="00FB1E5A">
        <w:rPr>
          <w:b/>
          <w:bCs/>
          <w:sz w:val="22"/>
          <w:szCs w:val="22"/>
          <w:lang w:val="en-US"/>
        </w:rPr>
        <w:t xml:space="preserve"> to access the benefit,</w:t>
      </w:r>
      <w:r w:rsidRPr="00FB1E5A">
        <w:rPr>
          <w:sz w:val="22"/>
          <w:szCs w:val="22"/>
          <w:lang w:val="en-US"/>
        </w:rPr>
        <w:t xml:space="preserve"> if through objective findings their presence in the territory can be demonstrated.</w:t>
      </w:r>
    </w:p>
    <w:p w14:paraId="75C1A3AD" w14:textId="77777777" w:rsidR="008A3534" w:rsidRPr="00FB1E5A" w:rsidRDefault="008A3534" w:rsidP="00FB1E5A">
      <w:pPr>
        <w:jc w:val="both"/>
        <w:rPr>
          <w:sz w:val="22"/>
          <w:szCs w:val="22"/>
          <w:lang w:val="en-US"/>
        </w:rPr>
      </w:pPr>
    </w:p>
    <w:p w14:paraId="6165BD1A" w14:textId="7BD583EC" w:rsidR="008A3534" w:rsidRPr="00FB1E5A" w:rsidRDefault="008A3534" w:rsidP="00FB1E5A">
      <w:pPr>
        <w:jc w:val="both"/>
        <w:rPr>
          <w:b/>
          <w:bCs/>
          <w:sz w:val="22"/>
          <w:szCs w:val="22"/>
          <w:lang w:val="en-US"/>
        </w:rPr>
      </w:pPr>
      <w:r w:rsidRPr="00FB1E5A">
        <w:rPr>
          <w:b/>
          <w:bCs/>
          <w:sz w:val="22"/>
          <w:szCs w:val="22"/>
          <w:lang w:val="en-US"/>
        </w:rPr>
        <w:t>Accessibility on the issue of Migrants and ethnic minorities</w:t>
      </w:r>
      <w:r w:rsidR="00EC3BE3" w:rsidRPr="00FB1E5A">
        <w:rPr>
          <w:b/>
          <w:bCs/>
          <w:sz w:val="22"/>
          <w:szCs w:val="22"/>
          <w:lang w:val="en-US"/>
        </w:rPr>
        <w:t xml:space="preserve"> - </w:t>
      </w:r>
      <w:r w:rsidRPr="00FB1E5A">
        <w:rPr>
          <w:sz w:val="22"/>
          <w:szCs w:val="22"/>
          <w:lang w:val="en-US"/>
        </w:rPr>
        <w:t>National Action plan for the implementation of the Child Guarantee (NAP), ACTION 1 –</w:t>
      </w:r>
      <w:r w:rsidRPr="00FB1E5A">
        <w:rPr>
          <w:b/>
          <w:bCs/>
          <w:sz w:val="22"/>
          <w:szCs w:val="22"/>
          <w:lang w:val="en-US"/>
        </w:rPr>
        <w:t xml:space="preserve"> Access to the anti-poverty measure also for families from a migrant background</w:t>
      </w:r>
      <w:r w:rsidRPr="00FB1E5A">
        <w:rPr>
          <w:sz w:val="22"/>
          <w:szCs w:val="22"/>
          <w:lang w:val="en-US"/>
        </w:rPr>
        <w:t>, reducing the period of residence in Italy necessary to receive Citizenship Income through a legislative, operational,</w:t>
      </w:r>
      <w:r w:rsidR="00EC3BE3" w:rsidRPr="00FB1E5A">
        <w:rPr>
          <w:sz w:val="22"/>
          <w:szCs w:val="22"/>
          <w:lang w:val="en-US"/>
        </w:rPr>
        <w:t xml:space="preserve"> </w:t>
      </w:r>
      <w:r w:rsidRPr="00FB1E5A">
        <w:rPr>
          <w:sz w:val="22"/>
          <w:szCs w:val="22"/>
          <w:lang w:val="en-US"/>
        </w:rPr>
        <w:t>and administrative intervention. In this regard, based on a hypothetical reduction set at 5 years, taking as a</w:t>
      </w:r>
      <w:r w:rsidR="00EC3BE3" w:rsidRPr="00FB1E5A">
        <w:rPr>
          <w:sz w:val="22"/>
          <w:szCs w:val="22"/>
          <w:lang w:val="en-US"/>
        </w:rPr>
        <w:t xml:space="preserve"> </w:t>
      </w:r>
      <w:r w:rsidRPr="00FB1E5A">
        <w:rPr>
          <w:sz w:val="22"/>
          <w:szCs w:val="22"/>
          <w:lang w:val="en-US"/>
        </w:rPr>
        <w:t>reference the total expenditure envisaged in current legislation for 2021 of €8.798 billion, there is an increase of 3.4% – €276 million – which brings the total cost to €9.097 billion. This cost does not consider the reduced amount disbursed in relation to the introduction of the Single and Universal Allowance, considering that the total starting cost would be €8.143 billion. In 2022, presentation of the regulatory amendment to Budget Law 2023, for an additional cost of €276 million. Measure in operation from 2023</w:t>
      </w:r>
      <w:r w:rsidR="00EC3BE3" w:rsidRPr="00FB1E5A">
        <w:rPr>
          <w:b/>
          <w:bCs/>
          <w:sz w:val="22"/>
          <w:szCs w:val="22"/>
          <w:lang w:val="en-US"/>
        </w:rPr>
        <w:t>(</w:t>
      </w:r>
      <w:hyperlink r:id="rId10" w:history="1">
        <w:r w:rsidR="00EC3BE3" w:rsidRPr="00FB1E5A">
          <w:rPr>
            <w:rStyle w:val="Hyperlink"/>
            <w:sz w:val="22"/>
            <w:szCs w:val="22"/>
            <w:lang w:val="en-US"/>
          </w:rPr>
          <w:t>https://ec.europa.eu/social/main.jsp?catId=1428&amp;langId=en</w:t>
        </w:r>
      </w:hyperlink>
      <w:r w:rsidR="00EC3BE3" w:rsidRPr="00FB1E5A">
        <w:rPr>
          <w:sz w:val="22"/>
          <w:szCs w:val="22"/>
          <w:lang w:val="en-US"/>
        </w:rPr>
        <w:t xml:space="preserve"> </w:t>
      </w:r>
      <w:hyperlink r:id="rId11" w:history="1">
        <w:r w:rsidR="00EC3BE3" w:rsidRPr="00FB1E5A">
          <w:rPr>
            <w:rStyle w:val="Hyperlink"/>
            <w:sz w:val="22"/>
            <w:szCs w:val="22"/>
            <w:lang w:val="en-US"/>
          </w:rPr>
          <w:t>file://acxsmbfs.ac.mlps.adm/Redirected$/sboscato/Downloads/idi_NAP_eng_corretto%20IT%20(3).pdf</w:t>
        </w:r>
      </w:hyperlink>
      <w:r w:rsidRPr="00FB1E5A">
        <w:rPr>
          <w:sz w:val="22"/>
          <w:szCs w:val="22"/>
          <w:lang w:val="en-US"/>
        </w:rPr>
        <w:t>.</w:t>
      </w:r>
      <w:r w:rsidR="00EC3BE3" w:rsidRPr="00FB1E5A">
        <w:rPr>
          <w:sz w:val="22"/>
          <w:szCs w:val="22"/>
          <w:lang w:val="en-US"/>
        </w:rPr>
        <w:t xml:space="preserve"> </w:t>
      </w:r>
      <w:r w:rsidRPr="00FB1E5A">
        <w:rPr>
          <w:sz w:val="22"/>
          <w:szCs w:val="22"/>
          <w:lang w:val="en-US"/>
        </w:rPr>
        <w:t>Child Guarantee, National Action plan, p. 30).</w:t>
      </w:r>
      <w:r w:rsidR="00EC3BE3" w:rsidRPr="00FB1E5A">
        <w:rPr>
          <w:b/>
          <w:bCs/>
          <w:sz w:val="22"/>
          <w:szCs w:val="22"/>
          <w:lang w:val="en-US"/>
        </w:rPr>
        <w:t xml:space="preserve"> </w:t>
      </w:r>
      <w:r w:rsidRPr="00FB1E5A">
        <w:rPr>
          <w:sz w:val="22"/>
          <w:szCs w:val="22"/>
          <w:lang w:val="en-US"/>
        </w:rPr>
        <w:t xml:space="preserve">ACTION 3 - </w:t>
      </w:r>
      <w:r w:rsidRPr="00FB1E5A">
        <w:rPr>
          <w:b/>
          <w:bCs/>
          <w:sz w:val="22"/>
          <w:szCs w:val="22"/>
          <w:lang w:val="en-US"/>
        </w:rPr>
        <w:t>Promote access to benefits and services for ethnic minorities,</w:t>
      </w:r>
      <w:r w:rsidRPr="00FB1E5A">
        <w:rPr>
          <w:sz w:val="22"/>
          <w:szCs w:val="22"/>
          <w:lang w:val="en-US"/>
        </w:rPr>
        <w:t xml:space="preserve"> in particular Roma, Sinti and </w:t>
      </w:r>
      <w:r w:rsidR="000F1E4D" w:rsidRPr="00FB1E5A">
        <w:rPr>
          <w:sz w:val="22"/>
          <w:szCs w:val="22"/>
          <w:lang w:val="en-US"/>
        </w:rPr>
        <w:t>Travelers</w:t>
      </w:r>
      <w:r w:rsidRPr="00FB1E5A">
        <w:rPr>
          <w:sz w:val="22"/>
          <w:szCs w:val="22"/>
          <w:lang w:val="en-US"/>
        </w:rPr>
        <w:t>, by strengthening the Take-up mechanism for full access to universal measures to combat poverty through awareness-raising measures carried out at school and directly in formal or spontaneous settings. Enhancement action from 2022, as programmed in the 2021-2027 Inclusion PN. 2021-2027 Inclusion PN expected resources of €18 million (Child Guarantee, National Action Plan, p. 30)</w:t>
      </w:r>
      <w:r w:rsidR="00EC3BE3" w:rsidRPr="00FB1E5A">
        <w:rPr>
          <w:sz w:val="22"/>
          <w:szCs w:val="22"/>
          <w:lang w:val="en-US"/>
        </w:rPr>
        <w:t>.</w:t>
      </w:r>
    </w:p>
    <w:p w14:paraId="17147912" w14:textId="77777777" w:rsidR="008A3534" w:rsidRPr="00FB1E5A" w:rsidRDefault="008A3534" w:rsidP="00FB1E5A">
      <w:pPr>
        <w:jc w:val="both"/>
        <w:rPr>
          <w:b/>
          <w:bCs/>
          <w:sz w:val="22"/>
          <w:szCs w:val="22"/>
          <w:lang w:val="en-US"/>
        </w:rPr>
      </w:pPr>
      <w:r w:rsidRPr="00FB1E5A">
        <w:rPr>
          <w:b/>
          <w:bCs/>
          <w:sz w:val="22"/>
          <w:szCs w:val="22"/>
          <w:lang w:val="en-US"/>
        </w:rPr>
        <w:t xml:space="preserve"> </w:t>
      </w:r>
    </w:p>
    <w:p w14:paraId="2C4531C8" w14:textId="534E401A" w:rsidR="00E37A59" w:rsidRPr="00FB1E5A" w:rsidRDefault="00E37A59" w:rsidP="00FB1E5A">
      <w:pPr>
        <w:jc w:val="both"/>
        <w:rPr>
          <w:sz w:val="22"/>
          <w:szCs w:val="22"/>
          <w:lang w:val="en-US"/>
        </w:rPr>
      </w:pPr>
      <w:r w:rsidRPr="00FB1E5A">
        <w:rPr>
          <w:sz w:val="22"/>
          <w:szCs w:val="22"/>
          <w:lang w:val="en-US"/>
        </w:rPr>
        <w:t xml:space="preserve">The </w:t>
      </w:r>
      <w:r w:rsidRPr="00FB1E5A">
        <w:rPr>
          <w:b/>
          <w:bCs/>
          <w:sz w:val="22"/>
          <w:szCs w:val="22"/>
          <w:u w:val="single"/>
          <w:lang w:val="en-US"/>
        </w:rPr>
        <w:t>Italian pension system</w:t>
      </w:r>
      <w:r w:rsidRPr="00FB1E5A">
        <w:rPr>
          <w:sz w:val="22"/>
          <w:szCs w:val="22"/>
          <w:lang w:val="en-US"/>
        </w:rPr>
        <w:t xml:space="preserve"> is a public, mandatory PAYG (Pay As You Go) </w:t>
      </w:r>
      <w:proofErr w:type="spellStart"/>
      <w:proofErr w:type="gramStart"/>
      <w:r w:rsidRPr="00FB1E5A">
        <w:rPr>
          <w:sz w:val="22"/>
          <w:szCs w:val="22"/>
          <w:lang w:val="en-US"/>
        </w:rPr>
        <w:t>scheme</w:t>
      </w:r>
      <w:r w:rsidR="00D200A3" w:rsidRPr="00FB1E5A">
        <w:rPr>
          <w:sz w:val="22"/>
          <w:szCs w:val="22"/>
          <w:lang w:val="en-US"/>
        </w:rPr>
        <w:t>,</w:t>
      </w:r>
      <w:r w:rsidRPr="00FB1E5A">
        <w:rPr>
          <w:sz w:val="22"/>
          <w:szCs w:val="22"/>
          <w:lang w:val="en-US"/>
        </w:rPr>
        <w:t>covering</w:t>
      </w:r>
      <w:proofErr w:type="spellEnd"/>
      <w:proofErr w:type="gramEnd"/>
      <w:r w:rsidRPr="00FB1E5A">
        <w:rPr>
          <w:sz w:val="22"/>
          <w:szCs w:val="22"/>
          <w:lang w:val="en-US"/>
        </w:rPr>
        <w:t xml:space="preserve"> the whole resident population. After a transitional phase, the same rules apply to all participants, </w:t>
      </w:r>
      <w:r w:rsidRPr="00FB1E5A">
        <w:rPr>
          <w:sz w:val="22"/>
          <w:szCs w:val="22"/>
          <w:u w:val="single"/>
          <w:lang w:val="en-US"/>
        </w:rPr>
        <w:t>with the exceptions of minor pension schemes</w:t>
      </w:r>
      <w:r w:rsidRPr="00FB1E5A">
        <w:rPr>
          <w:sz w:val="22"/>
          <w:szCs w:val="22"/>
          <w:lang w:val="en-US"/>
        </w:rPr>
        <w:t>. Such general rules envisage:</w:t>
      </w:r>
      <w:r w:rsidRPr="00FB1E5A">
        <w:rPr>
          <w:b/>
          <w:bCs/>
          <w:i/>
          <w:iCs/>
          <w:sz w:val="22"/>
          <w:szCs w:val="22"/>
          <w:lang w:val="en-US"/>
        </w:rPr>
        <w:t xml:space="preserve"> </w:t>
      </w:r>
      <w:proofErr w:type="spellStart"/>
      <w:r w:rsidRPr="00FB1E5A">
        <w:rPr>
          <w:b/>
          <w:bCs/>
          <w:i/>
          <w:iCs/>
          <w:sz w:val="22"/>
          <w:szCs w:val="22"/>
          <w:lang w:val="en-US"/>
        </w:rPr>
        <w:t>i</w:t>
      </w:r>
      <w:proofErr w:type="spellEnd"/>
      <w:r w:rsidRPr="00FB1E5A">
        <w:rPr>
          <w:b/>
          <w:bCs/>
          <w:i/>
          <w:iCs/>
          <w:sz w:val="22"/>
          <w:szCs w:val="22"/>
          <w:lang w:val="en-US"/>
        </w:rPr>
        <w:t>)</w:t>
      </w:r>
      <w:r w:rsidRPr="00FB1E5A">
        <w:rPr>
          <w:sz w:val="22"/>
          <w:szCs w:val="22"/>
          <w:lang w:val="en-US"/>
        </w:rPr>
        <w:t xml:space="preserve"> the adoption of the Notional Defined Contribution (NDC) scheme, with periodic revisions of the implicit accrual rates, </w:t>
      </w:r>
      <w:r w:rsidRPr="00FB1E5A">
        <w:rPr>
          <w:b/>
          <w:bCs/>
          <w:i/>
          <w:iCs/>
          <w:sz w:val="22"/>
          <w:szCs w:val="22"/>
          <w:lang w:val="en-US"/>
        </w:rPr>
        <w:t>ii)</w:t>
      </w:r>
      <w:r w:rsidRPr="00FB1E5A">
        <w:rPr>
          <w:sz w:val="22"/>
          <w:szCs w:val="22"/>
          <w:lang w:val="en-US"/>
        </w:rPr>
        <w:t xml:space="preserve"> the eligibility requirements for old-age and early retirement both linked to changes in life expectancy and </w:t>
      </w:r>
      <w:r w:rsidRPr="00FB1E5A">
        <w:rPr>
          <w:b/>
          <w:bCs/>
          <w:i/>
          <w:iCs/>
          <w:sz w:val="22"/>
          <w:szCs w:val="22"/>
          <w:lang w:val="en-US"/>
        </w:rPr>
        <w:t>iii)</w:t>
      </w:r>
      <w:r w:rsidRPr="00FB1E5A">
        <w:rPr>
          <w:sz w:val="22"/>
          <w:szCs w:val="22"/>
          <w:lang w:val="en-US"/>
        </w:rPr>
        <w:t xml:space="preserve"> the indexation of pensions to price inflation. Following Law 214/2011, </w:t>
      </w:r>
      <w:r w:rsidRPr="00FB1E5A">
        <w:rPr>
          <w:sz w:val="22"/>
          <w:szCs w:val="22"/>
          <w:u w:val="single"/>
          <w:lang w:val="en-US"/>
        </w:rPr>
        <w:t>only one social security institute (</w:t>
      </w:r>
      <w:proofErr w:type="spellStart"/>
      <w:r w:rsidRPr="00FB1E5A">
        <w:rPr>
          <w:i/>
          <w:iCs/>
          <w:sz w:val="22"/>
          <w:szCs w:val="22"/>
          <w:u w:val="single"/>
          <w:lang w:val="en-US"/>
        </w:rPr>
        <w:t>Istituto</w:t>
      </w:r>
      <w:proofErr w:type="spellEnd"/>
      <w:r w:rsidRPr="00FB1E5A">
        <w:rPr>
          <w:i/>
          <w:iCs/>
          <w:sz w:val="22"/>
          <w:szCs w:val="22"/>
          <w:u w:val="single"/>
          <w:lang w:val="en-US"/>
        </w:rPr>
        <w:t xml:space="preserve"> </w:t>
      </w:r>
      <w:proofErr w:type="spellStart"/>
      <w:r w:rsidRPr="00FB1E5A">
        <w:rPr>
          <w:i/>
          <w:iCs/>
          <w:sz w:val="22"/>
          <w:szCs w:val="22"/>
          <w:u w:val="single"/>
          <w:lang w:val="en-US"/>
        </w:rPr>
        <w:t>Nazionale</w:t>
      </w:r>
      <w:proofErr w:type="spellEnd"/>
      <w:r w:rsidRPr="00FB1E5A">
        <w:rPr>
          <w:i/>
          <w:iCs/>
          <w:sz w:val="22"/>
          <w:szCs w:val="22"/>
          <w:u w:val="single"/>
          <w:lang w:val="en-US"/>
        </w:rPr>
        <w:t xml:space="preserve"> di </w:t>
      </w:r>
      <w:proofErr w:type="spellStart"/>
      <w:r w:rsidRPr="00FB1E5A">
        <w:rPr>
          <w:i/>
          <w:iCs/>
          <w:sz w:val="22"/>
          <w:szCs w:val="22"/>
          <w:u w:val="single"/>
          <w:lang w:val="en-US"/>
        </w:rPr>
        <w:t>Previdenza</w:t>
      </w:r>
      <w:proofErr w:type="spellEnd"/>
      <w:r w:rsidRPr="00FB1E5A">
        <w:rPr>
          <w:i/>
          <w:iCs/>
          <w:sz w:val="22"/>
          <w:szCs w:val="22"/>
          <w:u w:val="single"/>
          <w:lang w:val="en-US"/>
        </w:rPr>
        <w:t xml:space="preserve"> </w:t>
      </w:r>
      <w:proofErr w:type="spellStart"/>
      <w:r w:rsidRPr="00FB1E5A">
        <w:rPr>
          <w:i/>
          <w:iCs/>
          <w:sz w:val="22"/>
          <w:szCs w:val="22"/>
          <w:u w:val="single"/>
          <w:lang w:val="en-US"/>
        </w:rPr>
        <w:t>Sociale</w:t>
      </w:r>
      <w:proofErr w:type="spellEnd"/>
      <w:r w:rsidRPr="00FB1E5A">
        <w:rPr>
          <w:sz w:val="22"/>
          <w:szCs w:val="22"/>
          <w:u w:val="single"/>
          <w:lang w:val="en-US"/>
        </w:rPr>
        <w:t xml:space="preserve"> - INPS) manages all public pensions schemes</w:t>
      </w:r>
      <w:r w:rsidRPr="00FB1E5A">
        <w:rPr>
          <w:sz w:val="22"/>
          <w:szCs w:val="22"/>
          <w:lang w:val="en-US"/>
        </w:rPr>
        <w:t xml:space="preserve">, for the private and public sectors, with the exception of professionals’ funds (the “minor pension schemes” mentioned above, which account for about 4% of the insured to the public pension system and 2.2% of the total public pension expenditure). The legal-institutional framework of the Italian pension system has been greatly reformed since 1992. </w:t>
      </w:r>
      <w:r w:rsidRPr="00FB1E5A">
        <w:rPr>
          <w:sz w:val="22"/>
          <w:szCs w:val="22"/>
          <w:u w:val="single"/>
          <w:lang w:val="en-US"/>
        </w:rPr>
        <w:t>The measures that have contributed most to improving the financial sustainability</w:t>
      </w:r>
      <w:r w:rsidRPr="00FB1E5A">
        <w:rPr>
          <w:sz w:val="22"/>
          <w:szCs w:val="22"/>
          <w:lang w:val="en-US"/>
        </w:rPr>
        <w:t xml:space="preserve">, already embodied in the 2012 and 2015, and 2018 AWG pension projections, may be summarized as follows: the elimination of indexation to real wages (Law 503/1992); the introduction of the NDC method and the periodic update of the transformation coefficients (accrual rate) to changes in mortality rates (Law 335/1995 and Law 247/2007); the tightening of the eligibility </w:t>
      </w:r>
      <w:r w:rsidRPr="00FB1E5A">
        <w:rPr>
          <w:sz w:val="22"/>
          <w:szCs w:val="22"/>
          <w:lang w:val="en-US"/>
        </w:rPr>
        <w:lastRenderedPageBreak/>
        <w:t xml:space="preserve">requirements for old-age, early, and social assistance pensions (Law 503/1992, Law 335/1995, Law 449/1997, Law 243/2004, as modified by Law 247/2007, Law 214/2011); the alignment of the statutory retirement age of women to that of men, thus eliminating the previous 5-year gap (Law 122/2010, Law 214/2011); the indexation of the eligibility requirements to changes in life expectancy for old-age, early, and social assistance pensions (Decree Law 78/2010 and Law 214/1995). With particular attention to </w:t>
      </w:r>
      <w:r w:rsidRPr="00FB1E5A">
        <w:rPr>
          <w:b/>
          <w:bCs/>
          <w:sz w:val="22"/>
          <w:szCs w:val="22"/>
          <w:lang w:val="en-US"/>
        </w:rPr>
        <w:t>the low income elderly, the Italian pension system provides a safety net, regardless of contributions</w:t>
      </w:r>
      <w:r w:rsidRPr="00FB1E5A">
        <w:rPr>
          <w:sz w:val="22"/>
          <w:szCs w:val="22"/>
          <w:lang w:val="en-US"/>
        </w:rPr>
        <w:t xml:space="preserve">. The safety net consists of two kind of social assistance benefits: the old-age allowance (5,825 euro per year, in 2016 increased to 5,953 euro in 2019) and social assistance additional sums (hereafter ‘social additional sums’ - </w:t>
      </w:r>
      <w:proofErr w:type="spellStart"/>
      <w:r w:rsidRPr="00FB1E5A">
        <w:rPr>
          <w:sz w:val="22"/>
          <w:szCs w:val="22"/>
          <w:lang w:val="en-US"/>
        </w:rPr>
        <w:t>maggiorazioni</w:t>
      </w:r>
      <w:proofErr w:type="spellEnd"/>
      <w:r w:rsidRPr="00FB1E5A">
        <w:rPr>
          <w:sz w:val="22"/>
          <w:szCs w:val="22"/>
          <w:lang w:val="en-US"/>
        </w:rPr>
        <w:t xml:space="preserve"> </w:t>
      </w:r>
      <w:proofErr w:type="spellStart"/>
      <w:r w:rsidRPr="00FB1E5A">
        <w:rPr>
          <w:sz w:val="22"/>
          <w:szCs w:val="22"/>
          <w:lang w:val="en-US"/>
        </w:rPr>
        <w:t>sociali</w:t>
      </w:r>
      <w:proofErr w:type="spellEnd"/>
      <w:r w:rsidRPr="00FB1E5A">
        <w:rPr>
          <w:sz w:val="22"/>
          <w:szCs w:val="22"/>
          <w:lang w:val="en-US"/>
        </w:rPr>
        <w:t xml:space="preserve">). Both are means-tested and subject to a minimum age requirement of 65 years and 7 months in 2016, increased by 1 year in 2018 to align it with SRA requirements, and linked to changes in life expectancy. In 2023, pension coefficients will be increased for the first time due to the reduction in life expectancy resulting from the COVID-19 pandemic. New measures introduced by Law 26/2019 foresee: </w:t>
      </w:r>
      <w:proofErr w:type="spellStart"/>
      <w:r w:rsidRPr="00FB1E5A">
        <w:rPr>
          <w:b/>
          <w:bCs/>
          <w:i/>
          <w:iCs/>
          <w:sz w:val="22"/>
          <w:szCs w:val="22"/>
          <w:lang w:val="en-US"/>
        </w:rPr>
        <w:t>i</w:t>
      </w:r>
      <w:proofErr w:type="spellEnd"/>
      <w:r w:rsidRPr="00FB1E5A">
        <w:rPr>
          <w:b/>
          <w:bCs/>
          <w:i/>
          <w:iCs/>
          <w:sz w:val="22"/>
          <w:szCs w:val="22"/>
          <w:lang w:val="en-US"/>
        </w:rPr>
        <w:t>)</w:t>
      </w:r>
      <w:r w:rsidRPr="00FB1E5A">
        <w:rPr>
          <w:sz w:val="22"/>
          <w:szCs w:val="22"/>
          <w:lang w:val="en-US"/>
        </w:rPr>
        <w:t xml:space="preserve"> a new, experimental and temporary, early retirement channel for workers who reach at least the age of 62 and a minimum contribution requirement of 38 years in the period 2019-2021 (so-called Quota 100, afterwards “Quota 102”); </w:t>
      </w:r>
      <w:r w:rsidRPr="00FB1E5A">
        <w:rPr>
          <w:b/>
          <w:bCs/>
          <w:i/>
          <w:iCs/>
          <w:sz w:val="22"/>
          <w:szCs w:val="22"/>
          <w:lang w:val="en-US"/>
        </w:rPr>
        <w:t xml:space="preserve">ii) </w:t>
      </w:r>
      <w:r w:rsidRPr="00FB1E5A">
        <w:rPr>
          <w:sz w:val="22"/>
          <w:szCs w:val="22"/>
          <w:lang w:val="en-US"/>
        </w:rPr>
        <w:t xml:space="preserve">for the existing early retirement scheme based only on accrued contributions and not on age, the minimum contributory period is kept constant to the level of 2018 (42 years and 10 months for men and 41 years and 10 months for women) and unlinked from gains in life expectancy during the year 2019-2026; </w:t>
      </w:r>
      <w:r w:rsidRPr="00FB1E5A">
        <w:rPr>
          <w:b/>
          <w:bCs/>
          <w:i/>
          <w:iCs/>
          <w:sz w:val="22"/>
          <w:szCs w:val="22"/>
          <w:lang w:val="en-US"/>
        </w:rPr>
        <w:t>iii)</w:t>
      </w:r>
      <w:r w:rsidRPr="00FB1E5A">
        <w:rPr>
          <w:sz w:val="22"/>
          <w:szCs w:val="22"/>
          <w:lang w:val="en-US"/>
        </w:rPr>
        <w:t xml:space="preserve"> for workers so-called ‘precocious’ who have gained at least 1 year of actual work before the age of 19 in specific categories or in disadvantageous conditions, early retirement based only on accrued contributions regardless of age is possible once the minimum contribution requirement of 41 years has been attained. During the period 2019-2026, such requirement is also unlinked from gains in life expectancy; </w:t>
      </w:r>
      <w:r w:rsidRPr="00FB1E5A">
        <w:rPr>
          <w:b/>
          <w:bCs/>
          <w:i/>
          <w:iCs/>
          <w:sz w:val="22"/>
          <w:szCs w:val="22"/>
          <w:lang w:val="en-US"/>
        </w:rPr>
        <w:t xml:space="preserve">iv) </w:t>
      </w:r>
      <w:r w:rsidRPr="00FB1E5A">
        <w:rPr>
          <w:sz w:val="22"/>
          <w:szCs w:val="22"/>
          <w:lang w:val="en-US"/>
        </w:rPr>
        <w:t xml:space="preserve">the so-called </w:t>
      </w:r>
      <w:proofErr w:type="spellStart"/>
      <w:r w:rsidRPr="00FB1E5A">
        <w:rPr>
          <w:sz w:val="22"/>
          <w:szCs w:val="22"/>
          <w:lang w:val="en-US"/>
        </w:rPr>
        <w:t>Opzione</w:t>
      </w:r>
      <w:proofErr w:type="spellEnd"/>
      <w:r w:rsidRPr="00FB1E5A">
        <w:rPr>
          <w:sz w:val="22"/>
          <w:szCs w:val="22"/>
          <w:lang w:val="en-US"/>
        </w:rPr>
        <w:t xml:space="preserve"> Donna, i.e. the experimental regime allowing female workers aged at least 58 and having 35 years of social security contributions to retire early, was extended also to 2019. </w:t>
      </w:r>
      <w:r w:rsidRPr="00FB1E5A">
        <w:rPr>
          <w:sz w:val="22"/>
          <w:szCs w:val="22"/>
          <w:u w:val="single"/>
          <w:lang w:val="en-US"/>
        </w:rPr>
        <w:t>The Government intends to include in the Budget Law for 2023 the extension of the following measures</w:t>
      </w:r>
      <w:r w:rsidRPr="00FB1E5A">
        <w:rPr>
          <w:sz w:val="22"/>
          <w:szCs w:val="22"/>
          <w:lang w:val="en-US"/>
        </w:rPr>
        <w:t xml:space="preserve">: </w:t>
      </w:r>
      <w:r w:rsidRPr="00FB1E5A">
        <w:rPr>
          <w:i/>
          <w:iCs/>
          <w:sz w:val="22"/>
          <w:szCs w:val="22"/>
          <w:lang w:val="en-US"/>
        </w:rPr>
        <w:t xml:space="preserve">APE </w:t>
      </w:r>
      <w:proofErr w:type="spellStart"/>
      <w:r w:rsidRPr="00FB1E5A">
        <w:rPr>
          <w:i/>
          <w:iCs/>
          <w:sz w:val="22"/>
          <w:szCs w:val="22"/>
          <w:lang w:val="en-US"/>
        </w:rPr>
        <w:t>Sociale</w:t>
      </w:r>
      <w:proofErr w:type="spellEnd"/>
      <w:r w:rsidRPr="00FB1E5A">
        <w:rPr>
          <w:sz w:val="22"/>
          <w:szCs w:val="22"/>
          <w:lang w:val="en-US"/>
        </w:rPr>
        <w:t xml:space="preserve"> (the meaning of "APE" is "Retirement Advance");</w:t>
      </w:r>
      <w:r w:rsidR="00F846A9" w:rsidRPr="00FB1E5A">
        <w:rPr>
          <w:sz w:val="22"/>
          <w:szCs w:val="22"/>
          <w:lang w:val="en-US"/>
        </w:rPr>
        <w:t xml:space="preserve"> </w:t>
      </w:r>
      <w:proofErr w:type="spellStart"/>
      <w:r w:rsidRPr="00FB1E5A">
        <w:rPr>
          <w:i/>
          <w:iCs/>
          <w:sz w:val="22"/>
          <w:szCs w:val="22"/>
          <w:lang w:val="en-US"/>
        </w:rPr>
        <w:t>Opzione</w:t>
      </w:r>
      <w:proofErr w:type="spellEnd"/>
      <w:r w:rsidRPr="00FB1E5A">
        <w:rPr>
          <w:i/>
          <w:iCs/>
          <w:sz w:val="22"/>
          <w:szCs w:val="22"/>
          <w:lang w:val="en-US"/>
        </w:rPr>
        <w:t xml:space="preserve"> donna</w:t>
      </w:r>
      <w:r w:rsidRPr="00FB1E5A">
        <w:rPr>
          <w:sz w:val="22"/>
          <w:szCs w:val="22"/>
          <w:lang w:val="en-US"/>
        </w:rPr>
        <w:t xml:space="preserve"> (Women's option), Quota 102. For more info see INPS website: </w:t>
      </w:r>
      <w:hyperlink r:id="rId12" w:history="1">
        <w:r w:rsidRPr="00FB1E5A">
          <w:rPr>
            <w:rStyle w:val="Hyperlink"/>
            <w:sz w:val="22"/>
            <w:szCs w:val="22"/>
            <w:lang w:val="en-US"/>
          </w:rPr>
          <w:t>https://www.inps.it/inps-comunica/diritti-e-obblighi-in-materia-di-sicurezza-sociale-nell-unione-europea/for-the-citizens/retirement-benefits</w:t>
        </w:r>
      </w:hyperlink>
      <w:r w:rsidRPr="00FB1E5A">
        <w:rPr>
          <w:sz w:val="22"/>
          <w:szCs w:val="22"/>
          <w:lang w:val="en-US"/>
        </w:rPr>
        <w:t xml:space="preserve">. </w:t>
      </w:r>
    </w:p>
    <w:p w14:paraId="7593856B" w14:textId="77777777" w:rsidR="00E37A59" w:rsidRPr="00FB1E5A" w:rsidRDefault="00E37A59" w:rsidP="00FB1E5A">
      <w:pPr>
        <w:jc w:val="both"/>
        <w:rPr>
          <w:sz w:val="22"/>
          <w:szCs w:val="22"/>
          <w:lang w:val="en-US"/>
        </w:rPr>
      </w:pPr>
    </w:p>
    <w:p w14:paraId="64A04A42" w14:textId="018EBE8A" w:rsidR="00E37A59" w:rsidRPr="00FB1E5A" w:rsidRDefault="00E37A59" w:rsidP="00FB1E5A">
      <w:pPr>
        <w:jc w:val="both"/>
        <w:rPr>
          <w:sz w:val="22"/>
          <w:szCs w:val="22"/>
          <w:lang w:val="en-US"/>
        </w:rPr>
      </w:pPr>
      <w:r w:rsidRPr="00FB1E5A">
        <w:rPr>
          <w:b/>
          <w:bCs/>
          <w:sz w:val="22"/>
          <w:szCs w:val="22"/>
          <w:lang w:val="en-US"/>
        </w:rPr>
        <w:t xml:space="preserve">The </w:t>
      </w:r>
      <w:r w:rsidRPr="00A72C09">
        <w:rPr>
          <w:b/>
          <w:bCs/>
          <w:sz w:val="22"/>
          <w:szCs w:val="22"/>
          <w:u w:val="single"/>
          <w:lang w:val="en-US"/>
        </w:rPr>
        <w:t>collective contract for domestic workers and caregivers</w:t>
      </w:r>
      <w:r w:rsidRPr="00FB1E5A">
        <w:rPr>
          <w:sz w:val="22"/>
          <w:szCs w:val="22"/>
          <w:lang w:val="en-US"/>
        </w:rPr>
        <w:t xml:space="preserve"> establishes duties, working hours, vacations, pay and all other rights and duties of the profession. It equates Italian and non-Italian workers by providing for specific exceptions in favor of the latter, for example, the possibility for a worker of non-Italian citizenship who needs to enjoy a longer vacation period than the one provided above and aimed at non-definitive repatriation, at his/ her request, may agree with the employer to accumulate the annual period over a maximum of two years (</w:t>
      </w:r>
      <w:hyperlink r:id="rId13" w:history="1">
        <w:r w:rsidRPr="00FB1E5A">
          <w:rPr>
            <w:rStyle w:val="Hyperlink"/>
            <w:sz w:val="22"/>
            <w:szCs w:val="22"/>
            <w:lang w:val="en-US"/>
          </w:rPr>
          <w:t>https://www.cnel.it/Archivio-Contratti/Minimi-retributivi</w:t>
        </w:r>
      </w:hyperlink>
      <w:r w:rsidRPr="00FB1E5A">
        <w:rPr>
          <w:sz w:val="22"/>
          <w:szCs w:val="22"/>
          <w:lang w:val="en-US"/>
        </w:rPr>
        <w:t xml:space="preserve">). </w:t>
      </w:r>
    </w:p>
    <w:p w14:paraId="744DADC0" w14:textId="77777777" w:rsidR="00E37A59" w:rsidRPr="00FB1E5A" w:rsidRDefault="00E37A59" w:rsidP="00FB1E5A">
      <w:pPr>
        <w:jc w:val="both"/>
        <w:rPr>
          <w:sz w:val="22"/>
          <w:szCs w:val="22"/>
          <w:lang w:val="en-US"/>
        </w:rPr>
      </w:pPr>
    </w:p>
    <w:p w14:paraId="2199D8E8" w14:textId="77777777" w:rsidR="001D11BE" w:rsidRDefault="00E37A59" w:rsidP="00FB1E5A">
      <w:pPr>
        <w:jc w:val="both"/>
        <w:rPr>
          <w:sz w:val="22"/>
          <w:szCs w:val="22"/>
          <w:lang w:val="en-US"/>
        </w:rPr>
      </w:pPr>
      <w:r w:rsidRPr="00FB1E5A">
        <w:rPr>
          <w:color w:val="000000" w:themeColor="text1"/>
          <w:sz w:val="22"/>
          <w:szCs w:val="22"/>
          <w:lang w:val="en-US"/>
        </w:rPr>
        <w:t xml:space="preserve">As for </w:t>
      </w:r>
      <w:r w:rsidRPr="00A72C09">
        <w:rPr>
          <w:b/>
          <w:bCs/>
          <w:color w:val="000000" w:themeColor="text1"/>
          <w:sz w:val="22"/>
          <w:szCs w:val="22"/>
          <w:u w:val="single"/>
          <w:lang w:val="en-US"/>
        </w:rPr>
        <w:t xml:space="preserve">Single </w:t>
      </w:r>
      <w:r w:rsidR="00AA6634" w:rsidRPr="00A72C09">
        <w:rPr>
          <w:b/>
          <w:bCs/>
          <w:color w:val="000000" w:themeColor="text1"/>
          <w:sz w:val="22"/>
          <w:szCs w:val="22"/>
          <w:u w:val="single"/>
          <w:lang w:val="en-US"/>
        </w:rPr>
        <w:t>Allowance</w:t>
      </w:r>
      <w:r w:rsidRPr="00A72C09">
        <w:rPr>
          <w:b/>
          <w:bCs/>
          <w:color w:val="000000" w:themeColor="text1"/>
          <w:sz w:val="22"/>
          <w:szCs w:val="22"/>
          <w:u w:val="single"/>
          <w:lang w:val="en-US"/>
        </w:rPr>
        <w:t>, Family Act and Family Plan</w:t>
      </w:r>
      <w:r w:rsidRPr="00FB1E5A">
        <w:rPr>
          <w:color w:val="000000" w:themeColor="text1"/>
          <w:sz w:val="22"/>
          <w:szCs w:val="22"/>
          <w:lang w:val="en-US"/>
        </w:rPr>
        <w:t>, please refer to the Statistical relevant INPS Observatory</w:t>
      </w:r>
      <w:r w:rsidRPr="00FB1E5A">
        <w:rPr>
          <w:sz w:val="22"/>
          <w:szCs w:val="22"/>
          <w:lang w:val="en-US"/>
        </w:rPr>
        <w:t xml:space="preserve">: </w:t>
      </w:r>
      <w:hyperlink r:id="rId14" w:history="1">
        <w:r w:rsidRPr="00FB1E5A">
          <w:rPr>
            <w:rStyle w:val="Hyperlink"/>
            <w:sz w:val="22"/>
            <w:szCs w:val="22"/>
            <w:lang w:val="en-US"/>
          </w:rPr>
          <w:t>https://www.inps.it/dati-ricerche-e-bilanci/osservatori-statistici-e-altre-statistiche/dati-cartacei-auu</w:t>
        </w:r>
      </w:hyperlink>
      <w:r w:rsidR="00AA6634" w:rsidRPr="00A72C09">
        <w:rPr>
          <w:sz w:val="22"/>
          <w:szCs w:val="22"/>
          <w:lang w:val="en-US"/>
        </w:rPr>
        <w:t xml:space="preserve">. </w:t>
      </w:r>
      <w:r w:rsidR="00EF5871" w:rsidRPr="00A72C09">
        <w:rPr>
          <w:sz w:val="22"/>
          <w:szCs w:val="22"/>
          <w:lang w:val="en-US"/>
        </w:rPr>
        <w:t xml:space="preserve"> </w:t>
      </w:r>
    </w:p>
    <w:p w14:paraId="26742A38" w14:textId="77777777" w:rsidR="001D11BE" w:rsidRDefault="001D11BE" w:rsidP="00FB1E5A">
      <w:pPr>
        <w:jc w:val="both"/>
        <w:rPr>
          <w:sz w:val="22"/>
          <w:szCs w:val="22"/>
          <w:lang w:val="en-US"/>
        </w:rPr>
      </w:pPr>
    </w:p>
    <w:p w14:paraId="04471E76" w14:textId="2622F740" w:rsidR="000801F0" w:rsidRPr="00FB1E5A" w:rsidRDefault="00287207" w:rsidP="00FB1E5A">
      <w:pPr>
        <w:jc w:val="both"/>
        <w:rPr>
          <w:sz w:val="22"/>
          <w:szCs w:val="22"/>
          <w:lang w:val="en-GB"/>
        </w:rPr>
      </w:pPr>
      <w:r w:rsidRPr="00A72C09">
        <w:rPr>
          <w:sz w:val="22"/>
          <w:szCs w:val="22"/>
          <w:lang w:val="en-US"/>
        </w:rPr>
        <w:t>(Source: Family Department</w:t>
      </w:r>
      <w:r w:rsidR="00FD3CD4" w:rsidRPr="00A72C09">
        <w:rPr>
          <w:sz w:val="22"/>
          <w:szCs w:val="22"/>
          <w:lang w:val="en-US"/>
        </w:rPr>
        <w:t xml:space="preserve"> </w:t>
      </w:r>
      <w:r w:rsidR="00A72C09">
        <w:rPr>
          <w:sz w:val="22"/>
          <w:szCs w:val="22"/>
          <w:lang w:val="en-US"/>
        </w:rPr>
        <w:t>and</w:t>
      </w:r>
      <w:r w:rsidR="00FD3CD4" w:rsidRPr="00A72C09">
        <w:rPr>
          <w:sz w:val="22"/>
          <w:szCs w:val="22"/>
          <w:lang w:val="en-US"/>
        </w:rPr>
        <w:t xml:space="preserve"> Equal Opportunity Department</w:t>
      </w:r>
      <w:r w:rsidRPr="00A72C09">
        <w:rPr>
          <w:sz w:val="22"/>
          <w:szCs w:val="22"/>
          <w:lang w:val="en-US"/>
        </w:rPr>
        <w:t xml:space="preserve">) </w:t>
      </w:r>
      <w:r w:rsidR="00AA6634" w:rsidRPr="00A72C09">
        <w:rPr>
          <w:sz w:val="22"/>
          <w:szCs w:val="22"/>
          <w:lang w:val="en-GB"/>
        </w:rPr>
        <w:t>At</w:t>
      </w:r>
      <w:r w:rsidR="00AA6634" w:rsidRPr="00FB1E5A">
        <w:rPr>
          <w:sz w:val="22"/>
          <w:szCs w:val="22"/>
          <w:lang w:val="en-GB"/>
        </w:rPr>
        <w:t xml:space="preserve"> its meeting on Sept. 14, 2022, the Unified Conference agreed on the new National Plan for the Family, approved by the National Observatory (NO) on the Family, last August</w:t>
      </w:r>
      <w:r w:rsidR="00A72C09">
        <w:rPr>
          <w:sz w:val="22"/>
          <w:szCs w:val="22"/>
          <w:lang w:val="en-GB"/>
        </w:rPr>
        <w:t xml:space="preserve"> 2022</w:t>
      </w:r>
      <w:r w:rsidR="00AA6634" w:rsidRPr="00FB1E5A">
        <w:rPr>
          <w:sz w:val="22"/>
          <w:szCs w:val="22"/>
          <w:lang w:val="en-GB"/>
        </w:rPr>
        <w:t>. This Plan, replacing the previous one-2012, represents the new programmatic framework - in terms of priorities, objectives and actions - within Law No. 32 of 2022 (the so-called Family Act) framework, to implement key measures for family policies in Italy. The Plan has been built with a large participatory process along the national, regional and local dimensions, whose proactive and operational role is central to its best implementation as well as to its monitoring. Over the past two years, ad hoc NO’s working groups operated to this scope, webinars were held (July-September 2021), the Fourth National Conference on the Family was convened (Dec. 3-4, 2021) and two public consultations were carried out that provided additional input to the Plan (July 15-November 5, 2021 and July 5-19, 2022).</w:t>
      </w:r>
      <w:r w:rsidRPr="00FB1E5A">
        <w:rPr>
          <w:sz w:val="22"/>
          <w:szCs w:val="22"/>
          <w:lang w:val="en-US"/>
        </w:rPr>
        <w:t xml:space="preserve"> This</w:t>
      </w:r>
      <w:r w:rsidR="00AA6634" w:rsidRPr="00FB1E5A">
        <w:rPr>
          <w:sz w:val="22"/>
          <w:szCs w:val="22"/>
          <w:lang w:val="en-GB"/>
        </w:rPr>
        <w:t xml:space="preserve"> Plan results from the analysis and evaluation of all contributions received during the whole process and, at the most recent stage, from the Observatory's members and additional proposals made in the public consultation held from July 5-19, 2022. The general basic references is Law April 7, 2022, No. 32, delegating powers to the Government for the support and enhancement of the family - Family Act, the Universal Single Allowance, and other programming documents yet in place such as: the National Recovery and Resilience Plan, the 5th National Plan of Action and Interventions for the Protection of the Rights and Development of Children and Adolescents </w:t>
      </w:r>
      <w:r w:rsidR="00AA6634" w:rsidRPr="00FB1E5A">
        <w:rPr>
          <w:sz w:val="22"/>
          <w:szCs w:val="22"/>
          <w:lang w:val="en-GB"/>
        </w:rPr>
        <w:lastRenderedPageBreak/>
        <w:t>2022-2023, the National Plan on the prevention and countering of abuse and child sexual exploitation, the European Child Guarantee System for Vulnerable Children, the National Plan of Interventions and Social Services 2021-2023, the National Strategy for Gender Equality, and the National Strategic Plan on Male Violence against Women 2021-2023. Specifically, the Plan is articulated following the family life cycle model, according to four macro areas, "growing adults," "generativity and parenting," "family dynamics," and “inter-generational vision." Specific actions have been formulated for each macro-area, differentiated between defined and ongoing actions - which refer to legislative measures already in place or activities already introduced in the aforementioned programmatic documents (plans, strategies or policy tools), and new actions to be implemented - which require new and additional legislative measures, new policies or interventions. For each action, several national, regional and local institutional actors as well as other concerned subjects are reported, as complemented by specific targets and any financial resources already available to translate the actions into practices (</w:t>
      </w:r>
      <w:hyperlink r:id="rId15" w:history="1">
        <w:r w:rsidR="00AA6634" w:rsidRPr="00FB1E5A">
          <w:rPr>
            <w:rStyle w:val="Hyperlink"/>
            <w:sz w:val="22"/>
            <w:szCs w:val="22"/>
            <w:lang w:val="en-GB"/>
          </w:rPr>
          <w:t>https://www.minori.gov.it/it/minori/piano-nazionale-la-famiglia</w:t>
        </w:r>
      </w:hyperlink>
      <w:r w:rsidR="00AA6634" w:rsidRPr="00FB1E5A">
        <w:rPr>
          <w:sz w:val="22"/>
          <w:szCs w:val="22"/>
          <w:lang w:val="en-GB"/>
        </w:rPr>
        <w:t xml:space="preserve">). </w:t>
      </w:r>
      <w:r w:rsidR="00FD3CD4" w:rsidRPr="00FB1E5A">
        <w:rPr>
          <w:sz w:val="22"/>
          <w:szCs w:val="22"/>
          <w:lang w:val="en-GB"/>
        </w:rPr>
        <w:t xml:space="preserve">As for the last Strategy on </w:t>
      </w:r>
      <w:r w:rsidR="000801F0" w:rsidRPr="00FB1E5A">
        <w:rPr>
          <w:sz w:val="22"/>
          <w:szCs w:val="22"/>
          <w:lang w:val="en-GB"/>
        </w:rPr>
        <w:t xml:space="preserve">the Fight against </w:t>
      </w:r>
      <w:r w:rsidR="00FD3CD4" w:rsidRPr="00FB1E5A">
        <w:rPr>
          <w:sz w:val="22"/>
          <w:szCs w:val="22"/>
          <w:lang w:val="en-GB"/>
        </w:rPr>
        <w:t>Violence A</w:t>
      </w:r>
      <w:r w:rsidR="000801F0" w:rsidRPr="00FB1E5A">
        <w:rPr>
          <w:sz w:val="22"/>
          <w:szCs w:val="22"/>
          <w:lang w:val="en-GB"/>
        </w:rPr>
        <w:t xml:space="preserve">gainst Women and the First National Strategy on Gender Equality, please refer to the following: </w:t>
      </w:r>
      <w:r w:rsidR="000801F0" w:rsidRPr="00FB1E5A">
        <w:rPr>
          <w:color w:val="0F54CC"/>
          <w:sz w:val="22"/>
          <w:szCs w:val="22"/>
          <w:lang w:val="en-US"/>
        </w:rPr>
        <w:t xml:space="preserve">https://www.pariopportunita.gov.it/news/pari-opportunita-bonetti-presentata-la-strategia-nazionale-per-la-parita-di-genere-2021-2026/https://www.pariopportunita.gov.it/news/piano-strategico-nazionale-sulla-violenza-maschile-contro- le-donne-2021-2023/ </w:t>
      </w:r>
    </w:p>
    <w:p w14:paraId="64998B6B" w14:textId="37685455" w:rsidR="00FD3CD4" w:rsidRPr="00FB1E5A" w:rsidRDefault="00FD3CD4" w:rsidP="00FB1E5A">
      <w:pPr>
        <w:jc w:val="both"/>
        <w:rPr>
          <w:sz w:val="22"/>
          <w:szCs w:val="22"/>
          <w:lang w:val="en-US"/>
        </w:rPr>
      </w:pPr>
    </w:p>
    <w:p w14:paraId="36FC10E2" w14:textId="16349498" w:rsidR="00025601" w:rsidRPr="00FB1E5A" w:rsidRDefault="00287207" w:rsidP="00FB1E5A">
      <w:pPr>
        <w:jc w:val="both"/>
        <w:rPr>
          <w:sz w:val="22"/>
          <w:szCs w:val="22"/>
          <w:lang w:val="en-GB"/>
        </w:rPr>
      </w:pPr>
      <w:r w:rsidRPr="00FB1E5A">
        <w:rPr>
          <w:color w:val="000000" w:themeColor="text1"/>
          <w:sz w:val="22"/>
          <w:szCs w:val="22"/>
          <w:lang w:val="en-US"/>
        </w:rPr>
        <w:t>(</w:t>
      </w:r>
      <w:r w:rsidR="00FB1E5A" w:rsidRPr="00FB1E5A">
        <w:rPr>
          <w:color w:val="000000" w:themeColor="text1"/>
          <w:sz w:val="22"/>
          <w:szCs w:val="22"/>
          <w:lang w:val="en-US"/>
        </w:rPr>
        <w:t xml:space="preserve">Source: </w:t>
      </w:r>
      <w:r w:rsidRPr="00FB1E5A">
        <w:rPr>
          <w:color w:val="000000" w:themeColor="text1"/>
          <w:sz w:val="22"/>
          <w:szCs w:val="22"/>
          <w:lang w:val="en-US"/>
        </w:rPr>
        <w:t>UNAR)</w:t>
      </w:r>
      <w:r w:rsidRPr="00036EBD">
        <w:rPr>
          <w:sz w:val="22"/>
          <w:szCs w:val="22"/>
          <w:lang w:val="en-GB"/>
        </w:rPr>
        <w:t xml:space="preserve"> As for </w:t>
      </w:r>
      <w:r w:rsidRPr="00AE608A">
        <w:rPr>
          <w:b/>
          <w:bCs/>
          <w:sz w:val="22"/>
          <w:szCs w:val="22"/>
          <w:u w:val="single"/>
          <w:lang w:val="en-US"/>
        </w:rPr>
        <w:t xml:space="preserve">Roma, Sinti and </w:t>
      </w:r>
      <w:proofErr w:type="spellStart"/>
      <w:r w:rsidRPr="00AE608A">
        <w:rPr>
          <w:b/>
          <w:bCs/>
          <w:sz w:val="22"/>
          <w:szCs w:val="22"/>
          <w:u w:val="single"/>
          <w:lang w:val="en-US"/>
        </w:rPr>
        <w:t>Travellers</w:t>
      </w:r>
      <w:proofErr w:type="spellEnd"/>
      <w:r w:rsidRPr="00AE608A">
        <w:rPr>
          <w:sz w:val="22"/>
          <w:szCs w:val="22"/>
          <w:lang w:val="en-US"/>
        </w:rPr>
        <w:t xml:space="preserve"> population, it is possible to detect a </w:t>
      </w:r>
      <w:proofErr w:type="spellStart"/>
      <w:r w:rsidRPr="00AE608A">
        <w:rPr>
          <w:sz w:val="22"/>
          <w:szCs w:val="22"/>
          <w:lang w:val="en-US"/>
        </w:rPr>
        <w:t>transversality</w:t>
      </w:r>
      <w:proofErr w:type="spellEnd"/>
      <w:r w:rsidRPr="00AE608A">
        <w:rPr>
          <w:sz w:val="22"/>
          <w:szCs w:val="22"/>
          <w:lang w:val="en-US"/>
        </w:rPr>
        <w:t xml:space="preserve"> of the discriminatory phenomenon that affects all areas of daily life, </w:t>
      </w:r>
      <w:r w:rsidR="001D11BE" w:rsidRPr="00AE608A">
        <w:rPr>
          <w:sz w:val="22"/>
          <w:szCs w:val="22"/>
          <w:lang w:val="en-US"/>
        </w:rPr>
        <w:t>from transport</w:t>
      </w:r>
      <w:r w:rsidRPr="00AE608A">
        <w:rPr>
          <w:sz w:val="22"/>
          <w:szCs w:val="22"/>
          <w:lang w:val="en-US"/>
        </w:rPr>
        <w:t xml:space="preserve"> to the right to housing, to access to the world of work, to health, to the right to study, both in real life (off-line) and in virtual life (on-line). Consequently, it seems appropriate to state that anti-</w:t>
      </w:r>
      <w:proofErr w:type="spellStart"/>
      <w:r w:rsidRPr="00AE608A">
        <w:rPr>
          <w:sz w:val="22"/>
          <w:szCs w:val="22"/>
          <w:lang w:val="en-US"/>
        </w:rPr>
        <w:t>Gypsyism</w:t>
      </w:r>
      <w:proofErr w:type="spellEnd"/>
      <w:r w:rsidRPr="00AE608A">
        <w:rPr>
          <w:sz w:val="22"/>
          <w:szCs w:val="22"/>
          <w:lang w:val="en-US"/>
        </w:rPr>
        <w:t xml:space="preserve"> represents a crucial and transversal obstacle to the actual implementation of any strategic framework aimed at the inclusion of RST. For this reason, fight against anti-</w:t>
      </w:r>
      <w:proofErr w:type="spellStart"/>
      <w:r w:rsidRPr="00AE608A">
        <w:rPr>
          <w:sz w:val="22"/>
          <w:szCs w:val="22"/>
          <w:lang w:val="en-US"/>
        </w:rPr>
        <w:t>Gypsyism</w:t>
      </w:r>
      <w:proofErr w:type="spellEnd"/>
      <w:r w:rsidRPr="00AE608A">
        <w:rPr>
          <w:sz w:val="22"/>
          <w:szCs w:val="22"/>
          <w:lang w:val="en-US"/>
        </w:rPr>
        <w:t xml:space="preserve"> constitutes, is one of the priorities of UNAR </w:t>
      </w:r>
      <w:r w:rsidR="001D11BE">
        <w:rPr>
          <w:sz w:val="22"/>
          <w:szCs w:val="22"/>
          <w:lang w:val="en-US"/>
        </w:rPr>
        <w:t>(</w:t>
      </w:r>
      <w:r w:rsidRPr="00AE608A">
        <w:rPr>
          <w:sz w:val="22"/>
          <w:szCs w:val="22"/>
          <w:lang w:val="en-US"/>
        </w:rPr>
        <w:t>National Office on racial discrimination) in its curre</w:t>
      </w:r>
      <w:r w:rsidR="001D11BE">
        <w:rPr>
          <w:sz w:val="22"/>
          <w:szCs w:val="22"/>
          <w:lang w:val="en-US"/>
        </w:rPr>
        <w:t>n</w:t>
      </w:r>
      <w:r w:rsidRPr="00AE608A">
        <w:rPr>
          <w:sz w:val="22"/>
          <w:szCs w:val="22"/>
          <w:lang w:val="en-US"/>
        </w:rPr>
        <w:t xml:space="preserve">t work, as well as, most importantly, the </w:t>
      </w:r>
      <w:r w:rsidRPr="00AE608A">
        <w:rPr>
          <w:sz w:val="22"/>
          <w:szCs w:val="22"/>
          <w:u w:val="single"/>
          <w:lang w:val="en-US"/>
        </w:rPr>
        <w:t>transversal pillar</w:t>
      </w:r>
      <w:r w:rsidRPr="00AE608A">
        <w:rPr>
          <w:sz w:val="22"/>
          <w:szCs w:val="22"/>
          <w:lang w:val="en-US"/>
        </w:rPr>
        <w:t xml:space="preserve"> of the four axes declined in as many specific chapters of the new National Strategy on RST inclusion for the period 2021-2030. With regard to the different specific issues raised, different progresses may be underlined. For example, as noted in the new National Strategy and in the draft of the Advisory Committee of the Council of Europe on the Framework Convention for the Protection of National Minorities and Statelessness (shared by the Ministry of the Interior, as focal point, in June 2022) there is a trend reduction of cases of de facto statelessness persons. In particular, in point 42, on the “Status of Rome, Sinti and </w:t>
      </w:r>
      <w:proofErr w:type="spellStart"/>
      <w:r w:rsidRPr="00AE608A">
        <w:rPr>
          <w:sz w:val="22"/>
          <w:szCs w:val="22"/>
          <w:lang w:val="en-US"/>
        </w:rPr>
        <w:t>Caminanti</w:t>
      </w:r>
      <w:proofErr w:type="spellEnd"/>
      <w:r w:rsidRPr="00AE608A">
        <w:rPr>
          <w:sz w:val="22"/>
          <w:szCs w:val="22"/>
          <w:lang w:val="en-US"/>
        </w:rPr>
        <w:t xml:space="preserve"> (Article 3)”. “</w:t>
      </w:r>
      <w:r w:rsidRPr="00AE608A">
        <w:rPr>
          <w:i/>
          <w:sz w:val="22"/>
          <w:szCs w:val="22"/>
          <w:lang w:val="en-US"/>
        </w:rPr>
        <w:t xml:space="preserve">approximately 60% of Roma, Sinti and </w:t>
      </w:r>
      <w:proofErr w:type="spellStart"/>
      <w:r w:rsidRPr="00AE608A">
        <w:rPr>
          <w:i/>
          <w:sz w:val="22"/>
          <w:szCs w:val="22"/>
          <w:lang w:val="en-US"/>
        </w:rPr>
        <w:t>Caminanti</w:t>
      </w:r>
      <w:proofErr w:type="spellEnd"/>
      <w:r w:rsidRPr="00AE608A">
        <w:rPr>
          <w:i/>
          <w:sz w:val="22"/>
          <w:szCs w:val="22"/>
          <w:lang w:val="en-US"/>
        </w:rPr>
        <w:t xml:space="preserve"> have Italian citizenship, whilst the rest are for most part Roma who came to Italy in the 1990s as war refugees from the former Yugoslavia, or EU citizens, in particular from Romania and Bulgaria. Some progress was made as regards the situation of de facto</w:t>
      </w:r>
      <w:r w:rsidRPr="00FB1E5A">
        <w:rPr>
          <w:i/>
          <w:sz w:val="22"/>
          <w:szCs w:val="22"/>
          <w:lang w:val="en-GB"/>
        </w:rPr>
        <w:t xml:space="preserve"> stateless Roma persons. According to the UNHCR, since 2016, the number decreased from 15 000 to 3 000, including 2 500 Roma from former Yugoslavia</w:t>
      </w:r>
      <w:r w:rsidRPr="00FB1E5A">
        <w:rPr>
          <w:sz w:val="22"/>
          <w:szCs w:val="22"/>
          <w:lang w:val="en-GB"/>
        </w:rPr>
        <w:t>”.</w:t>
      </w:r>
      <w:r w:rsidRPr="00036EBD">
        <w:rPr>
          <w:sz w:val="22"/>
          <w:szCs w:val="22"/>
          <w:lang w:val="en-GB"/>
        </w:rPr>
        <w:t xml:space="preserve"> </w:t>
      </w:r>
      <w:r w:rsidRPr="00FB1E5A">
        <w:rPr>
          <w:sz w:val="22"/>
          <w:szCs w:val="22"/>
          <w:lang w:val="en-GB"/>
        </w:rPr>
        <w:t xml:space="preserve">Additionally, recent data confirm the trend related </w:t>
      </w:r>
      <w:r w:rsidRPr="00FB1E5A">
        <w:rPr>
          <w:sz w:val="22"/>
          <w:szCs w:val="22"/>
          <w:u w:val="single"/>
          <w:lang w:val="en-GB"/>
        </w:rPr>
        <w:t>to the progressive reduction of presences in the informal settlements/camps</w:t>
      </w:r>
      <w:r w:rsidRPr="00FB1E5A">
        <w:rPr>
          <w:sz w:val="22"/>
          <w:szCs w:val="22"/>
          <w:lang w:val="en-GB"/>
        </w:rPr>
        <w:t xml:space="preserve"> and a substantial </w:t>
      </w:r>
      <w:r w:rsidRPr="00FB1E5A">
        <w:rPr>
          <w:sz w:val="22"/>
          <w:szCs w:val="22"/>
          <w:u w:val="single"/>
          <w:lang w:val="en-GB"/>
        </w:rPr>
        <w:t>reduction in the practice of evictions</w:t>
      </w:r>
      <w:r w:rsidRPr="00FB1E5A">
        <w:rPr>
          <w:sz w:val="22"/>
          <w:szCs w:val="22"/>
          <w:lang w:val="en-GB"/>
        </w:rPr>
        <w:t xml:space="preserve"> implemented without the compliance with standards and the provision of suitable alternative instruments as well as </w:t>
      </w:r>
      <w:r w:rsidRPr="00FB1E5A">
        <w:rPr>
          <w:sz w:val="22"/>
          <w:szCs w:val="22"/>
          <w:u w:val="single"/>
          <w:lang w:val="en-GB"/>
        </w:rPr>
        <w:t xml:space="preserve">the tendency not to build new settlement. </w:t>
      </w:r>
      <w:r w:rsidRPr="00036EBD">
        <w:rPr>
          <w:sz w:val="22"/>
          <w:szCs w:val="22"/>
          <w:lang w:val="en-GB"/>
        </w:rPr>
        <w:t xml:space="preserve">  </w:t>
      </w:r>
      <w:r w:rsidRPr="00FB1E5A">
        <w:rPr>
          <w:sz w:val="22"/>
          <w:szCs w:val="22"/>
          <w:lang w:val="en-GB"/>
        </w:rPr>
        <w:t xml:space="preserve">Finally, in relation to the </w:t>
      </w:r>
      <w:r w:rsidRPr="00FB1E5A">
        <w:rPr>
          <w:sz w:val="22"/>
          <w:szCs w:val="22"/>
          <w:u w:val="single"/>
          <w:lang w:val="en-GB"/>
        </w:rPr>
        <w:t>actions in the education sector</w:t>
      </w:r>
      <w:r w:rsidRPr="00FB1E5A">
        <w:rPr>
          <w:sz w:val="22"/>
          <w:szCs w:val="22"/>
          <w:lang w:val="en-GB"/>
        </w:rPr>
        <w:t>, several activities are underway or planned (as foreseen by the new Strategy), such as the realization of a national background research on the level of inclusion of Roma and Sinti in the education system as well as a sample survey on a territorial basis on the level of early school leaving of RST pupils; actions on "families and school"; cultural and linguistic mediation activities; interventions on educational contents (as an opportunity to meet each other); promotion of positive actions that favour the permanence in the education system and, finally, the activities of capacity building of teachers and school staff.</w:t>
      </w:r>
      <w:r w:rsidR="00025601" w:rsidRPr="00FB1E5A">
        <w:rPr>
          <w:sz w:val="22"/>
          <w:szCs w:val="22"/>
          <w:lang w:val="en-GB"/>
        </w:rPr>
        <w:t xml:space="preserve"> </w:t>
      </w:r>
      <w:r w:rsidRPr="00FB1E5A">
        <w:rPr>
          <w:sz w:val="22"/>
          <w:szCs w:val="22"/>
          <w:lang w:val="en-GB"/>
        </w:rPr>
        <w:t xml:space="preserve">As for </w:t>
      </w:r>
      <w:r w:rsidRPr="00FB1E5A">
        <w:rPr>
          <w:sz w:val="22"/>
          <w:szCs w:val="22"/>
          <w:u w:val="single"/>
          <w:lang w:val="en-GB"/>
        </w:rPr>
        <w:t>“</w:t>
      </w:r>
      <w:r w:rsidRPr="00FB1E5A">
        <w:rPr>
          <w:b/>
          <w:bCs/>
          <w:sz w:val="22"/>
          <w:szCs w:val="22"/>
          <w:u w:val="single"/>
          <w:lang w:val="en-GB"/>
        </w:rPr>
        <w:t>general environment” in Italy vis-à-vis LGBTI persons</w:t>
      </w:r>
      <w:r w:rsidRPr="00FB1E5A">
        <w:rPr>
          <w:sz w:val="22"/>
          <w:szCs w:val="22"/>
          <w:u w:val="single"/>
          <w:lang w:val="en-GB"/>
        </w:rPr>
        <w:t>,</w:t>
      </w:r>
      <w:r w:rsidRPr="00FB1E5A">
        <w:rPr>
          <w:sz w:val="22"/>
          <w:szCs w:val="22"/>
          <w:lang w:val="en-GB"/>
        </w:rPr>
        <w:t xml:space="preserve"> it should be mentioned the experience of the permanent consultation table for the protection of LGBTI people’s rights aimed at developing proposals and actions to counteract the discrimination and promote a climate of respect for the dignity of LGBTI + people and culture differences. It is an advisory body established by Decree of 13 May 2020 of the Minister for Equal Opportunities and the Family - who chairs it. and is composed by 66 LGBTI Associations (that responded formally to a so-called Notice of Expression of Interest). During the meetings of the Table in 2020-2022, on the basis of the proposals that emerged, the </w:t>
      </w:r>
      <w:r w:rsidRPr="00FB1E5A">
        <w:rPr>
          <w:sz w:val="22"/>
          <w:szCs w:val="22"/>
          <w:u w:val="single"/>
          <w:lang w:val="en-GB"/>
        </w:rPr>
        <w:t>draft of National LGBT + Strategy has been elaborated</w:t>
      </w:r>
      <w:r w:rsidRPr="00FB1E5A">
        <w:rPr>
          <w:sz w:val="22"/>
          <w:szCs w:val="22"/>
          <w:lang w:val="en-GB"/>
        </w:rPr>
        <w:t xml:space="preserve">. The strategy is divided into the following Axes priority: WORK and WELFARE; SAFETY; HEALTH; EDUCATION / TRAINING / SPORT; CULTURE / COMMUNICATION / MEDIA; DATA BASE / MONITORING / EVALUATION. </w:t>
      </w:r>
    </w:p>
    <w:p w14:paraId="1C6B2CFA" w14:textId="77777777" w:rsidR="00025601" w:rsidRPr="00FB1E5A" w:rsidRDefault="00025601" w:rsidP="00FB1E5A">
      <w:pPr>
        <w:jc w:val="both"/>
        <w:rPr>
          <w:sz w:val="22"/>
          <w:szCs w:val="22"/>
          <w:lang w:val="en-GB"/>
        </w:rPr>
      </w:pPr>
    </w:p>
    <w:p w14:paraId="572A6E1E" w14:textId="1A82DA47" w:rsidR="00025601" w:rsidRPr="00973A09" w:rsidRDefault="00025601" w:rsidP="00FB1E5A">
      <w:pPr>
        <w:jc w:val="both"/>
        <w:rPr>
          <w:sz w:val="22"/>
          <w:szCs w:val="22"/>
          <w:lang w:val="en-US"/>
        </w:rPr>
      </w:pPr>
      <w:r w:rsidRPr="00FB1E5A">
        <w:rPr>
          <w:sz w:val="22"/>
          <w:szCs w:val="22"/>
          <w:lang w:val="en-GB"/>
        </w:rPr>
        <w:lastRenderedPageBreak/>
        <w:t xml:space="preserve">(Source: Ministry of Interior) </w:t>
      </w:r>
      <w:r w:rsidRPr="00A72C09">
        <w:rPr>
          <w:rFonts w:eastAsia="Calibri"/>
          <w:b/>
          <w:bCs/>
          <w:iCs/>
          <w:sz w:val="22"/>
          <w:szCs w:val="22"/>
          <w:u w:val="single"/>
          <w:lang w:val="en" w:eastAsia="en-US"/>
        </w:rPr>
        <w:t>Broadcasting of radio and television programs in protected languages</w:t>
      </w:r>
      <w:r w:rsidRPr="00973A09">
        <w:rPr>
          <w:sz w:val="22"/>
          <w:szCs w:val="22"/>
          <w:lang w:val="en-US"/>
        </w:rPr>
        <w:t xml:space="preserve">. As for </w:t>
      </w:r>
      <w:r w:rsidRPr="00973A09">
        <w:rPr>
          <w:rFonts w:eastAsia="Calibri"/>
          <w:sz w:val="22"/>
          <w:szCs w:val="22"/>
          <w:lang w:val="en-US" w:eastAsia="en-US"/>
        </w:rPr>
        <w:t>aspects connected to minority language and culture dissemination, the signing of specific and recent agreements with RAI is absolut</w:t>
      </w:r>
      <w:r w:rsidR="00973A09" w:rsidRPr="00973A09">
        <w:rPr>
          <w:rFonts w:eastAsia="Calibri"/>
          <w:sz w:val="22"/>
          <w:szCs w:val="22"/>
          <w:lang w:val="en-US" w:eastAsia="en-US"/>
        </w:rPr>
        <w:t>e</w:t>
      </w:r>
      <w:r w:rsidRPr="00973A09">
        <w:rPr>
          <w:rFonts w:eastAsia="Calibri"/>
          <w:sz w:val="22"/>
          <w:szCs w:val="22"/>
          <w:lang w:val="en-US" w:eastAsia="en-US"/>
        </w:rPr>
        <w:t>ly of relevance. These agreements have enhanced the radio, television and multimedia offer, by involving the same minorities in the definition of the contents covered by the agreement. Minorities are also involved in the monitoring and implementation phases, as well as in the verification of the results.</w:t>
      </w:r>
      <w:r w:rsidRPr="00973A09">
        <w:rPr>
          <w:sz w:val="22"/>
          <w:szCs w:val="22"/>
          <w:lang w:val="en-US"/>
        </w:rPr>
        <w:t xml:space="preserve"> </w:t>
      </w:r>
      <w:r w:rsidRPr="00973A09">
        <w:rPr>
          <w:rFonts w:eastAsia="Calibri"/>
          <w:sz w:val="22"/>
          <w:szCs w:val="22"/>
          <w:lang w:val="en-US" w:eastAsia="en-US"/>
        </w:rPr>
        <w:t>The following new agreements have been signed with effect from 30 October 2021, the contents of which present significant qualitative/quantitative improvements compared to the previous offer:</w:t>
      </w:r>
      <w:r w:rsidRPr="00973A09">
        <w:rPr>
          <w:sz w:val="22"/>
          <w:szCs w:val="22"/>
          <w:lang w:val="en-US"/>
        </w:rPr>
        <w:t xml:space="preserve"> </w:t>
      </w:r>
      <w:r w:rsidRPr="00973A09">
        <w:rPr>
          <w:rFonts w:eastAsia="Calibri"/>
          <w:sz w:val="22"/>
          <w:szCs w:val="22"/>
          <w:lang w:val="en-US" w:eastAsia="en-US"/>
        </w:rPr>
        <w:t>1. Convention for the French language in Valle d'Aosta;</w:t>
      </w:r>
      <w:r w:rsidRPr="00973A09">
        <w:rPr>
          <w:sz w:val="22"/>
          <w:szCs w:val="22"/>
          <w:lang w:val="en-US"/>
        </w:rPr>
        <w:t xml:space="preserve"> </w:t>
      </w:r>
      <w:r w:rsidRPr="00973A09">
        <w:rPr>
          <w:rFonts w:eastAsia="Calibri"/>
          <w:sz w:val="22"/>
          <w:szCs w:val="22"/>
          <w:lang w:val="en-US" w:eastAsia="en-US"/>
        </w:rPr>
        <w:t xml:space="preserve">2. Convention for the Slovenian and Italian language in Friuli </w:t>
      </w:r>
      <w:proofErr w:type="spellStart"/>
      <w:r w:rsidRPr="00973A09">
        <w:rPr>
          <w:rFonts w:eastAsia="Calibri"/>
          <w:sz w:val="22"/>
          <w:szCs w:val="22"/>
          <w:lang w:val="en-US" w:eastAsia="en-US"/>
        </w:rPr>
        <w:t>Venezia</w:t>
      </w:r>
      <w:proofErr w:type="spellEnd"/>
      <w:r w:rsidRPr="00973A09">
        <w:rPr>
          <w:rFonts w:eastAsia="Calibri"/>
          <w:sz w:val="22"/>
          <w:szCs w:val="22"/>
          <w:lang w:val="en-US" w:eastAsia="en-US"/>
        </w:rPr>
        <w:t xml:space="preserve"> Giulia;</w:t>
      </w:r>
      <w:r w:rsidRPr="00973A09">
        <w:rPr>
          <w:sz w:val="22"/>
          <w:szCs w:val="22"/>
          <w:lang w:val="en-US"/>
        </w:rPr>
        <w:t xml:space="preserve"> </w:t>
      </w:r>
      <w:r w:rsidRPr="00973A09">
        <w:rPr>
          <w:rFonts w:eastAsia="Calibri"/>
          <w:sz w:val="22"/>
          <w:szCs w:val="22"/>
          <w:lang w:val="en-US" w:eastAsia="en-US"/>
        </w:rPr>
        <w:t xml:space="preserve">3. Convention for the </w:t>
      </w:r>
      <w:proofErr w:type="spellStart"/>
      <w:r w:rsidRPr="00973A09">
        <w:rPr>
          <w:rFonts w:eastAsia="Calibri"/>
          <w:sz w:val="22"/>
          <w:szCs w:val="22"/>
          <w:lang w:val="en-US" w:eastAsia="en-US"/>
        </w:rPr>
        <w:t>Friulian</w:t>
      </w:r>
      <w:proofErr w:type="spellEnd"/>
      <w:r w:rsidRPr="00973A09">
        <w:rPr>
          <w:rFonts w:eastAsia="Calibri"/>
          <w:sz w:val="22"/>
          <w:szCs w:val="22"/>
          <w:lang w:val="en-US" w:eastAsia="en-US"/>
        </w:rPr>
        <w:t xml:space="preserve"> language in Friuli </w:t>
      </w:r>
      <w:proofErr w:type="spellStart"/>
      <w:r w:rsidRPr="00973A09">
        <w:rPr>
          <w:rFonts w:eastAsia="Calibri"/>
          <w:sz w:val="22"/>
          <w:szCs w:val="22"/>
          <w:lang w:val="en-US" w:eastAsia="en-US"/>
        </w:rPr>
        <w:t>Venezia</w:t>
      </w:r>
      <w:proofErr w:type="spellEnd"/>
      <w:r w:rsidRPr="00973A09">
        <w:rPr>
          <w:rFonts w:eastAsia="Calibri"/>
          <w:sz w:val="22"/>
          <w:szCs w:val="22"/>
          <w:lang w:val="en-US" w:eastAsia="en-US"/>
        </w:rPr>
        <w:t xml:space="preserve"> Giulia;</w:t>
      </w:r>
      <w:r w:rsidRPr="00973A09">
        <w:rPr>
          <w:sz w:val="22"/>
          <w:szCs w:val="22"/>
          <w:lang w:val="en-US"/>
        </w:rPr>
        <w:t xml:space="preserve"> </w:t>
      </w:r>
      <w:r w:rsidRPr="00973A09">
        <w:rPr>
          <w:rFonts w:eastAsia="Calibri"/>
          <w:sz w:val="22"/>
          <w:szCs w:val="22"/>
          <w:lang w:val="en-US" w:eastAsia="en-US"/>
        </w:rPr>
        <w:t>4. Convention for the Sardinian language in Sardinia.</w:t>
      </w:r>
      <w:r w:rsidRPr="00973A09">
        <w:rPr>
          <w:sz w:val="22"/>
          <w:szCs w:val="22"/>
          <w:lang w:val="en-US"/>
        </w:rPr>
        <w:t xml:space="preserve"> </w:t>
      </w:r>
      <w:r w:rsidRPr="00973A09">
        <w:rPr>
          <w:rFonts w:eastAsia="Calibri"/>
          <w:sz w:val="22"/>
          <w:szCs w:val="22"/>
          <w:lang w:val="en-US" w:eastAsia="en-US"/>
        </w:rPr>
        <w:t>A response to the needs expressed by linguistic minorities consists in the provision of a separate convention for each of the linguistic minorities concerned.</w:t>
      </w:r>
      <w:r w:rsidRPr="00973A09">
        <w:rPr>
          <w:sz w:val="22"/>
          <w:szCs w:val="22"/>
          <w:lang w:val="en-US"/>
        </w:rPr>
        <w:t xml:space="preserve"> </w:t>
      </w:r>
      <w:r w:rsidRPr="00973A09">
        <w:rPr>
          <w:rFonts w:eastAsia="Calibri"/>
          <w:sz w:val="22"/>
          <w:szCs w:val="22"/>
          <w:lang w:val="en-US" w:eastAsia="en-US"/>
        </w:rPr>
        <w:t>As part of each convention, the establishment of a special "Steering and Monitoring Committee" is envisaged, in response to what is expressly requested by the various regional communities.</w:t>
      </w:r>
      <w:r w:rsidRPr="00973A09">
        <w:rPr>
          <w:sz w:val="22"/>
          <w:szCs w:val="22"/>
          <w:lang w:val="en-US"/>
        </w:rPr>
        <w:t xml:space="preserve"> </w:t>
      </w:r>
      <w:r w:rsidRPr="00973A09">
        <w:rPr>
          <w:rFonts w:eastAsia="Calibri"/>
          <w:sz w:val="22"/>
          <w:szCs w:val="22"/>
          <w:lang w:val="en-US" w:eastAsia="en-US"/>
        </w:rPr>
        <w:t>This Committee consists of Ministry of the Interior, RAI and Regions representatives, and aims to encourage the involvement of the Regions concerned during the implementation of the activities covered by the agreement.</w:t>
      </w:r>
      <w:r w:rsidRPr="00973A09">
        <w:rPr>
          <w:sz w:val="22"/>
          <w:szCs w:val="22"/>
          <w:lang w:val="en-US"/>
        </w:rPr>
        <w:t xml:space="preserve"> </w:t>
      </w:r>
      <w:r w:rsidRPr="00973A09">
        <w:rPr>
          <w:rFonts w:eastAsia="Calibri"/>
          <w:sz w:val="22"/>
          <w:szCs w:val="22"/>
          <w:lang w:val="en-US" w:eastAsia="en-US"/>
        </w:rPr>
        <w:t>With regard to content, the new conventions provide for an increase in the overall offer, the enhancement of television broadcasts and, in perspective, the definition of a new way of using digital content on the web.</w:t>
      </w:r>
    </w:p>
    <w:p w14:paraId="143BB836" w14:textId="77777777" w:rsidR="003C47A7" w:rsidRPr="00FB1E5A" w:rsidRDefault="003C47A7" w:rsidP="00FB1E5A">
      <w:pPr>
        <w:shd w:val="clear" w:color="auto" w:fill="FFFFFF"/>
        <w:outlineLvl w:val="1"/>
        <w:rPr>
          <w:rFonts w:eastAsia="Calibri"/>
          <w:sz w:val="22"/>
          <w:szCs w:val="22"/>
          <w:lang w:val="en-US" w:eastAsia="en-US"/>
        </w:rPr>
      </w:pPr>
    </w:p>
    <w:p w14:paraId="1F746B1B" w14:textId="77777777" w:rsidR="003C47A7" w:rsidRPr="00FB1E5A" w:rsidRDefault="003C47A7" w:rsidP="00FB1E5A">
      <w:pPr>
        <w:shd w:val="clear" w:color="auto" w:fill="FFFFFF"/>
        <w:jc w:val="both"/>
        <w:outlineLvl w:val="1"/>
        <w:rPr>
          <w:color w:val="333333"/>
          <w:spacing w:val="4"/>
          <w:sz w:val="22"/>
          <w:szCs w:val="22"/>
          <w:lang w:val="en-US"/>
        </w:rPr>
      </w:pPr>
      <w:r w:rsidRPr="00FB1E5A">
        <w:rPr>
          <w:rFonts w:eastAsia="Calibri"/>
          <w:sz w:val="22"/>
          <w:szCs w:val="22"/>
          <w:lang w:val="en-US" w:eastAsia="en-US"/>
        </w:rPr>
        <w:t xml:space="preserve">(Source: Ministry of Education) </w:t>
      </w:r>
      <w:r w:rsidRPr="00A72C09">
        <w:rPr>
          <w:b/>
          <w:bCs/>
          <w:color w:val="000000" w:themeColor="text1"/>
          <w:spacing w:val="4"/>
          <w:sz w:val="22"/>
          <w:szCs w:val="22"/>
          <w:u w:val="single"/>
          <w:lang w:val="en-US"/>
        </w:rPr>
        <w:t>National Observatory for the Integration of Foreign Pupils and Intercultural Education.</w:t>
      </w:r>
      <w:r w:rsidRPr="00FB1E5A">
        <w:rPr>
          <w:b/>
          <w:bCs/>
          <w:color w:val="000000" w:themeColor="text1"/>
          <w:spacing w:val="4"/>
          <w:sz w:val="22"/>
          <w:szCs w:val="22"/>
          <w:lang w:val="en-US"/>
        </w:rPr>
        <w:t xml:space="preserve"> </w:t>
      </w:r>
      <w:r w:rsidRPr="00FB1E5A">
        <w:rPr>
          <w:color w:val="333333"/>
          <w:spacing w:val="4"/>
          <w:sz w:val="22"/>
          <w:szCs w:val="22"/>
          <w:lang w:val="en-US"/>
        </w:rPr>
        <w:t>On March 17, 2022, the document “Intercultural Orientations. Ideas and proposals for the integration of pupils from migrant backgrounds ", was presented and sent to schools. The document was edited by the National Observatory for the Integration of Foreign Pupils and Intercultural Education of the Ministry of Education.</w:t>
      </w:r>
      <w:r w:rsidRPr="00FB1E5A">
        <w:rPr>
          <w:b/>
          <w:bCs/>
          <w:color w:val="000000" w:themeColor="text1"/>
          <w:spacing w:val="4"/>
          <w:sz w:val="22"/>
          <w:szCs w:val="22"/>
          <w:lang w:val="en-US"/>
        </w:rPr>
        <w:t xml:space="preserve"> </w:t>
      </w:r>
      <w:r w:rsidRPr="00FB1E5A">
        <w:rPr>
          <w:color w:val="333333"/>
          <w:spacing w:val="4"/>
          <w:sz w:val="22"/>
          <w:szCs w:val="22"/>
          <w:lang w:val="en-US"/>
        </w:rPr>
        <w:t xml:space="preserve">The members of the Observatory are representatives of research institutes, associations and bodies of national importance engaged in the field of integration of foreign students and </w:t>
      </w:r>
      <w:proofErr w:type="spellStart"/>
      <w:r w:rsidRPr="00FB1E5A">
        <w:rPr>
          <w:color w:val="333333"/>
          <w:spacing w:val="4"/>
          <w:sz w:val="22"/>
          <w:szCs w:val="22"/>
          <w:lang w:val="en-US"/>
        </w:rPr>
        <w:t>interculture</w:t>
      </w:r>
      <w:proofErr w:type="spellEnd"/>
      <w:r w:rsidRPr="00FB1E5A">
        <w:rPr>
          <w:color w:val="333333"/>
          <w:spacing w:val="4"/>
          <w:sz w:val="22"/>
          <w:szCs w:val="22"/>
          <w:lang w:val="en-US"/>
        </w:rPr>
        <w:t>, experts from the academic, cultural and social world and school managers. The consultative and propositional tasks of the new body - chaired by the Minister - concern, in particular, the "monitoring of the school integration process of foreign students", the "</w:t>
      </w:r>
      <w:proofErr w:type="spellStart"/>
      <w:r w:rsidRPr="00FB1E5A">
        <w:rPr>
          <w:color w:val="333333"/>
          <w:spacing w:val="4"/>
          <w:sz w:val="22"/>
          <w:szCs w:val="22"/>
          <w:lang w:val="en-US"/>
        </w:rPr>
        <w:t>interinstitutional</w:t>
      </w:r>
      <w:proofErr w:type="spellEnd"/>
      <w:r w:rsidRPr="00FB1E5A">
        <w:rPr>
          <w:color w:val="333333"/>
          <w:spacing w:val="4"/>
          <w:sz w:val="22"/>
          <w:szCs w:val="22"/>
          <w:lang w:val="en-US"/>
        </w:rPr>
        <w:t xml:space="preserve"> agreements for taking charge of the global project of life and integration of the </w:t>
      </w:r>
      <w:proofErr w:type="gramStart"/>
      <w:r w:rsidRPr="00FB1E5A">
        <w:rPr>
          <w:color w:val="333333"/>
          <w:spacing w:val="4"/>
          <w:sz w:val="22"/>
          <w:szCs w:val="22"/>
          <w:lang w:val="en-US"/>
        </w:rPr>
        <w:t>students</w:t>
      </w:r>
      <w:proofErr w:type="gramEnd"/>
      <w:r w:rsidRPr="00FB1E5A">
        <w:rPr>
          <w:color w:val="333333"/>
          <w:spacing w:val="4"/>
          <w:sz w:val="22"/>
          <w:szCs w:val="22"/>
          <w:lang w:val="en-US"/>
        </w:rPr>
        <w:t xml:space="preserve"> foreigners" and "methodological, didactic and disciplinary experimentation and innovation".</w:t>
      </w:r>
      <w:r w:rsidRPr="00FB1E5A">
        <w:rPr>
          <w:b/>
          <w:bCs/>
          <w:color w:val="000000" w:themeColor="text1"/>
          <w:spacing w:val="4"/>
          <w:sz w:val="22"/>
          <w:szCs w:val="22"/>
          <w:lang w:val="en-US"/>
        </w:rPr>
        <w:t xml:space="preserve"> </w:t>
      </w:r>
      <w:r w:rsidRPr="00FB1E5A">
        <w:rPr>
          <w:color w:val="333333"/>
          <w:spacing w:val="4"/>
          <w:sz w:val="22"/>
          <w:szCs w:val="22"/>
          <w:lang w:val="en-US"/>
        </w:rPr>
        <w:t>Furthermore, the Observatory can express opinions and formulate proposals on regulatory and administrative initiatives within the competence of the Ministry of Education, University and Research.</w:t>
      </w:r>
      <w:r w:rsidRPr="00FB1E5A">
        <w:rPr>
          <w:b/>
          <w:bCs/>
          <w:color w:val="000000" w:themeColor="text1"/>
          <w:spacing w:val="4"/>
          <w:sz w:val="22"/>
          <w:szCs w:val="22"/>
          <w:lang w:val="en-US"/>
        </w:rPr>
        <w:t xml:space="preserve"> </w:t>
      </w:r>
      <w:r w:rsidRPr="00FB1E5A">
        <w:rPr>
          <w:color w:val="333333"/>
          <w:spacing w:val="4"/>
          <w:sz w:val="22"/>
          <w:szCs w:val="22"/>
          <w:lang w:val="en-US"/>
        </w:rPr>
        <w:t>The Guidelines (</w:t>
      </w:r>
      <w:r w:rsidRPr="00FB1E5A">
        <w:rPr>
          <w:i/>
          <w:iCs/>
          <w:color w:val="333333"/>
          <w:spacing w:val="4"/>
          <w:sz w:val="22"/>
          <w:szCs w:val="22"/>
          <w:lang w:val="en-US"/>
        </w:rPr>
        <w:t>Intercultural Orientations</w:t>
      </w:r>
      <w:r w:rsidRPr="00FB1E5A">
        <w:rPr>
          <w:color w:val="333333"/>
          <w:spacing w:val="4"/>
          <w:sz w:val="22"/>
          <w:szCs w:val="22"/>
          <w:lang w:val="en-US"/>
        </w:rPr>
        <w:t xml:space="preserve">) constitute a point of reference for schools and Regional School Offices also for the definition of interventions and measures that will be made possible thanks to the resources allocated with the National Recovery and Resilience Plan, as regards, for example, overcoming the territorial gaps, continuous training and guidance (For more information, see the report on the integration of foreign students edited by the Central Statistical Office of the </w:t>
      </w:r>
    </w:p>
    <w:p w14:paraId="277AE753" w14:textId="664C7D6B" w:rsidR="003C47A7" w:rsidRPr="00FB1E5A" w:rsidRDefault="003C47A7" w:rsidP="00FB1E5A">
      <w:pPr>
        <w:shd w:val="clear" w:color="auto" w:fill="FFFFFF"/>
        <w:jc w:val="both"/>
        <w:outlineLvl w:val="1"/>
        <w:rPr>
          <w:b/>
          <w:bCs/>
          <w:color w:val="000000" w:themeColor="text1"/>
          <w:spacing w:val="4"/>
          <w:sz w:val="22"/>
          <w:szCs w:val="22"/>
          <w:lang w:val="en-US"/>
        </w:rPr>
      </w:pPr>
      <w:r w:rsidRPr="00FB1E5A">
        <w:rPr>
          <w:color w:val="333333"/>
          <w:spacing w:val="4"/>
          <w:sz w:val="22"/>
          <w:szCs w:val="22"/>
          <w:lang w:val="en-US"/>
        </w:rPr>
        <w:t>Ministry:</w:t>
      </w:r>
      <w:hyperlink r:id="rId16" w:history="1">
        <w:r w:rsidRPr="00FB1E5A">
          <w:rPr>
            <w:rStyle w:val="Hyperlink"/>
            <w:spacing w:val="4"/>
            <w:sz w:val="22"/>
            <w:szCs w:val="22"/>
            <w:lang w:val="en-US"/>
          </w:rPr>
          <w:t>https://www.miur.gov.it/documents/20182/0/NOTIZIARIO_Stranieri_2021+%281%29.pdf/150d451a-45d2-e26f-9512-338a98c7bb1e?version=1.0&amp;t=1659103036663</w:t>
        </w:r>
      </w:hyperlink>
      <w:r w:rsidRPr="00FB1E5A">
        <w:rPr>
          <w:spacing w:val="4"/>
          <w:sz w:val="22"/>
          <w:szCs w:val="22"/>
          <w:lang w:val="en-US"/>
        </w:rPr>
        <w:t xml:space="preserve">). </w:t>
      </w:r>
    </w:p>
    <w:p w14:paraId="1C924C87" w14:textId="31091812" w:rsidR="003C47A7" w:rsidRPr="00FB1E5A" w:rsidRDefault="003C47A7" w:rsidP="00FB1E5A">
      <w:pPr>
        <w:shd w:val="clear" w:color="auto" w:fill="FFFFFF"/>
        <w:jc w:val="both"/>
        <w:outlineLvl w:val="1"/>
        <w:rPr>
          <w:rFonts w:eastAsia="Calibri"/>
          <w:sz w:val="22"/>
          <w:szCs w:val="22"/>
          <w:lang w:val="en-US" w:eastAsia="en-US"/>
        </w:rPr>
      </w:pPr>
    </w:p>
    <w:p w14:paraId="206BC6A7" w14:textId="6E4BA796" w:rsidR="003C47A7" w:rsidRPr="00FB1E5A" w:rsidRDefault="003C47A7" w:rsidP="00FB1E5A">
      <w:pPr>
        <w:shd w:val="clear" w:color="auto" w:fill="FFFFFF"/>
        <w:jc w:val="both"/>
        <w:outlineLvl w:val="1"/>
        <w:rPr>
          <w:b/>
          <w:bCs/>
          <w:color w:val="162874"/>
          <w:spacing w:val="4"/>
          <w:sz w:val="22"/>
          <w:szCs w:val="22"/>
          <w:lang w:val="en-US"/>
        </w:rPr>
      </w:pPr>
      <w:r w:rsidRPr="009004AB">
        <w:rPr>
          <w:b/>
          <w:bCs/>
          <w:color w:val="000000" w:themeColor="text1"/>
          <w:spacing w:val="4"/>
          <w:sz w:val="22"/>
          <w:szCs w:val="22"/>
          <w:u w:val="single"/>
          <w:lang w:val="en-US"/>
        </w:rPr>
        <w:t>Data on students with disabilities and S</w:t>
      </w:r>
      <w:r w:rsidR="0024423D" w:rsidRPr="009004AB">
        <w:rPr>
          <w:b/>
          <w:bCs/>
          <w:color w:val="000000" w:themeColor="text1"/>
          <w:spacing w:val="4"/>
          <w:sz w:val="22"/>
          <w:szCs w:val="22"/>
          <w:u w:val="single"/>
          <w:lang w:val="en-US"/>
        </w:rPr>
        <w:t xml:space="preserve">pecific </w:t>
      </w:r>
      <w:r w:rsidRPr="009004AB">
        <w:rPr>
          <w:b/>
          <w:bCs/>
          <w:color w:val="000000" w:themeColor="text1"/>
          <w:spacing w:val="4"/>
          <w:sz w:val="22"/>
          <w:szCs w:val="22"/>
          <w:u w:val="single"/>
          <w:lang w:val="en-US"/>
        </w:rPr>
        <w:t>L</w:t>
      </w:r>
      <w:r w:rsidR="0024423D" w:rsidRPr="009004AB">
        <w:rPr>
          <w:b/>
          <w:bCs/>
          <w:color w:val="000000" w:themeColor="text1"/>
          <w:spacing w:val="4"/>
          <w:sz w:val="22"/>
          <w:szCs w:val="22"/>
          <w:u w:val="single"/>
          <w:lang w:val="en-US"/>
        </w:rPr>
        <w:t xml:space="preserve">earning </w:t>
      </w:r>
      <w:r w:rsidRPr="009004AB">
        <w:rPr>
          <w:b/>
          <w:bCs/>
          <w:color w:val="000000" w:themeColor="text1"/>
          <w:spacing w:val="4"/>
          <w:sz w:val="22"/>
          <w:szCs w:val="22"/>
          <w:u w:val="single"/>
          <w:lang w:val="en-US"/>
        </w:rPr>
        <w:t>D</w:t>
      </w:r>
      <w:r w:rsidR="0024423D" w:rsidRPr="009004AB">
        <w:rPr>
          <w:b/>
          <w:bCs/>
          <w:color w:val="000000" w:themeColor="text1"/>
          <w:spacing w:val="4"/>
          <w:sz w:val="22"/>
          <w:szCs w:val="22"/>
          <w:u w:val="single"/>
          <w:lang w:val="en-US"/>
        </w:rPr>
        <w:t>isorders (</w:t>
      </w:r>
      <w:r w:rsidR="0024423D" w:rsidRPr="009004AB">
        <w:rPr>
          <w:sz w:val="22"/>
          <w:szCs w:val="22"/>
          <w:u w:val="single"/>
          <w:lang w:val="en-US"/>
        </w:rPr>
        <w:t xml:space="preserve">Dyslexia, </w:t>
      </w:r>
      <w:proofErr w:type="spellStart"/>
      <w:r w:rsidR="0024423D" w:rsidRPr="009004AB">
        <w:rPr>
          <w:sz w:val="22"/>
          <w:szCs w:val="22"/>
          <w:u w:val="single"/>
          <w:lang w:val="en-US"/>
        </w:rPr>
        <w:t>Dyscalculia.Dysgraphia</w:t>
      </w:r>
      <w:proofErr w:type="spellEnd"/>
      <w:r w:rsidR="0024423D" w:rsidRPr="009004AB">
        <w:rPr>
          <w:b/>
          <w:bCs/>
          <w:color w:val="000000" w:themeColor="text1"/>
          <w:spacing w:val="4"/>
          <w:sz w:val="22"/>
          <w:szCs w:val="22"/>
          <w:u w:val="single"/>
          <w:lang w:val="en-US"/>
        </w:rPr>
        <w:t>)</w:t>
      </w:r>
      <w:r w:rsidRPr="009004AB">
        <w:rPr>
          <w:b/>
          <w:bCs/>
          <w:color w:val="000000" w:themeColor="text1"/>
          <w:spacing w:val="4"/>
          <w:sz w:val="22"/>
          <w:szCs w:val="22"/>
          <w:u w:val="single"/>
          <w:lang w:val="en-US"/>
        </w:rPr>
        <w:t xml:space="preserve"> enrolled at Italian universities.</w:t>
      </w:r>
      <w:r w:rsidRPr="00FB1E5A">
        <w:rPr>
          <w:b/>
          <w:bCs/>
          <w:color w:val="000000" w:themeColor="text1"/>
          <w:spacing w:val="4"/>
          <w:sz w:val="22"/>
          <w:szCs w:val="22"/>
          <w:lang w:val="en-US"/>
        </w:rPr>
        <w:t xml:space="preserve"> </w:t>
      </w:r>
      <w:r w:rsidRPr="00FB1E5A">
        <w:rPr>
          <w:color w:val="333333"/>
          <w:spacing w:val="4"/>
          <w:sz w:val="22"/>
          <w:szCs w:val="22"/>
          <w:lang w:val="en-US"/>
        </w:rPr>
        <w:t>The Italian university system is among the most inclusive in the world. The percentage of students with disabilities is 1.8%, while that of students with SLD is 1.4%.</w:t>
      </w:r>
      <w:r w:rsidRPr="00FB1E5A">
        <w:rPr>
          <w:b/>
          <w:bCs/>
          <w:color w:val="162874"/>
          <w:spacing w:val="4"/>
          <w:sz w:val="22"/>
          <w:szCs w:val="22"/>
          <w:lang w:val="en-US"/>
        </w:rPr>
        <w:t xml:space="preserve"> </w:t>
      </w:r>
      <w:r w:rsidRPr="00FB1E5A">
        <w:rPr>
          <w:color w:val="333333"/>
          <w:spacing w:val="4"/>
          <w:sz w:val="22"/>
          <w:szCs w:val="22"/>
          <w:lang w:val="en-US"/>
        </w:rPr>
        <w:t xml:space="preserve">Students with disabilities enrolled in the academic year 2019-20: </w:t>
      </w:r>
      <w:r w:rsidRPr="00FB1E5A">
        <w:rPr>
          <w:b/>
          <w:bCs/>
          <w:color w:val="333333"/>
          <w:spacing w:val="4"/>
          <w:sz w:val="22"/>
          <w:szCs w:val="22"/>
          <w:lang w:val="en-US"/>
        </w:rPr>
        <w:t>17.073</w:t>
      </w:r>
      <w:r w:rsidRPr="00FB1E5A">
        <w:rPr>
          <w:b/>
          <w:bCs/>
          <w:color w:val="162874"/>
          <w:spacing w:val="4"/>
          <w:sz w:val="22"/>
          <w:szCs w:val="22"/>
          <w:lang w:val="en-US"/>
        </w:rPr>
        <w:t xml:space="preserve">, </w:t>
      </w:r>
      <w:r w:rsidRPr="00FB1E5A">
        <w:rPr>
          <w:color w:val="333333"/>
          <w:spacing w:val="4"/>
          <w:sz w:val="22"/>
          <w:szCs w:val="22"/>
          <w:lang w:val="en-US"/>
        </w:rPr>
        <w:t xml:space="preserve">Students with SLD enrolled in the academic year 2019-20: </w:t>
      </w:r>
      <w:r w:rsidRPr="00FB1E5A">
        <w:rPr>
          <w:b/>
          <w:bCs/>
          <w:color w:val="333333"/>
          <w:spacing w:val="4"/>
          <w:sz w:val="22"/>
          <w:szCs w:val="22"/>
          <w:lang w:val="en-US"/>
        </w:rPr>
        <w:t xml:space="preserve">14.441 </w:t>
      </w:r>
      <w:r w:rsidRPr="00FB1E5A">
        <w:rPr>
          <w:color w:val="333333"/>
          <w:spacing w:val="4"/>
          <w:sz w:val="22"/>
          <w:szCs w:val="22"/>
          <w:lang w:val="en-US"/>
        </w:rPr>
        <w:t>(For more information, see National Agency for the Evaluation of the University System (ANVUR):</w:t>
      </w:r>
      <w:hyperlink r:id="rId17" w:history="1">
        <w:r w:rsidRPr="00FB1E5A">
          <w:rPr>
            <w:rStyle w:val="Hyperlink"/>
            <w:spacing w:val="4"/>
            <w:sz w:val="22"/>
            <w:szCs w:val="22"/>
            <w:lang w:val="en-US"/>
          </w:rPr>
          <w:t>https://www.anvur.it/wp-content/uploads/2022/06/ANVUR-Rapporto-disabilita_WEB.pdf</w:t>
        </w:r>
      </w:hyperlink>
      <w:r w:rsidRPr="00FB1E5A">
        <w:rPr>
          <w:spacing w:val="4"/>
          <w:sz w:val="22"/>
          <w:szCs w:val="22"/>
          <w:lang w:val="en-US"/>
        </w:rPr>
        <w:t xml:space="preserve">). </w:t>
      </w:r>
    </w:p>
    <w:p w14:paraId="61B0AAC4" w14:textId="77777777" w:rsidR="003C47A7" w:rsidRPr="00FB1E5A" w:rsidRDefault="003C47A7" w:rsidP="00FB1E5A">
      <w:pPr>
        <w:shd w:val="clear" w:color="auto" w:fill="FFFFFF"/>
        <w:jc w:val="both"/>
        <w:outlineLvl w:val="1"/>
        <w:rPr>
          <w:color w:val="333333"/>
          <w:spacing w:val="4"/>
          <w:sz w:val="22"/>
          <w:szCs w:val="22"/>
          <w:lang w:val="en-US"/>
        </w:rPr>
      </w:pPr>
    </w:p>
    <w:p w14:paraId="5266B0B5" w14:textId="602A2813" w:rsidR="003C47A7" w:rsidRPr="00FB1E5A" w:rsidRDefault="003C47A7" w:rsidP="00FB1E5A">
      <w:pPr>
        <w:shd w:val="clear" w:color="auto" w:fill="FFFFFF"/>
        <w:jc w:val="both"/>
        <w:outlineLvl w:val="1"/>
        <w:rPr>
          <w:color w:val="333333"/>
          <w:spacing w:val="4"/>
          <w:sz w:val="22"/>
          <w:szCs w:val="22"/>
          <w:lang w:val="en-US"/>
        </w:rPr>
      </w:pPr>
      <w:r w:rsidRPr="009004AB">
        <w:rPr>
          <w:color w:val="000000" w:themeColor="text1"/>
          <w:spacing w:val="4"/>
          <w:sz w:val="22"/>
          <w:szCs w:val="22"/>
          <w:lang w:val="en-US"/>
        </w:rPr>
        <w:t>As for</w:t>
      </w:r>
      <w:r w:rsidRPr="009004AB">
        <w:rPr>
          <w:b/>
          <w:bCs/>
          <w:color w:val="000000" w:themeColor="text1"/>
          <w:spacing w:val="4"/>
          <w:sz w:val="22"/>
          <w:szCs w:val="22"/>
          <w:u w:val="single"/>
          <w:lang w:val="en-US"/>
        </w:rPr>
        <w:t xml:space="preserve"> school-based assessment</w:t>
      </w:r>
      <w:r w:rsidRPr="00FB1E5A">
        <w:rPr>
          <w:b/>
          <w:bCs/>
          <w:color w:val="162874"/>
          <w:spacing w:val="4"/>
          <w:sz w:val="22"/>
          <w:szCs w:val="22"/>
          <w:lang w:val="en-US"/>
        </w:rPr>
        <w:t xml:space="preserve">, </w:t>
      </w:r>
      <w:r w:rsidRPr="00FB1E5A">
        <w:rPr>
          <w:color w:val="333333"/>
          <w:spacing w:val="4"/>
          <w:sz w:val="22"/>
          <w:szCs w:val="22"/>
          <w:lang w:val="en-US"/>
        </w:rPr>
        <w:t>in Italy the Students with severe disabilities,</w:t>
      </w:r>
      <w:r w:rsidRPr="00FB1E5A">
        <w:rPr>
          <w:sz w:val="22"/>
          <w:szCs w:val="22"/>
          <w:lang w:val="en-US"/>
        </w:rPr>
        <w:t xml:space="preserve"> </w:t>
      </w:r>
      <w:r w:rsidRPr="00FB1E5A">
        <w:rPr>
          <w:color w:val="333333"/>
          <w:spacing w:val="4"/>
          <w:sz w:val="22"/>
          <w:szCs w:val="22"/>
          <w:lang w:val="en-US"/>
        </w:rPr>
        <w:t>for whom an Individual Educational Plan (IEP) has been prepared, can attend studies, regardless of the outcome of any negative assessments.</w:t>
      </w:r>
      <w:r w:rsidRPr="00FB1E5A">
        <w:rPr>
          <w:b/>
          <w:bCs/>
          <w:color w:val="162874"/>
          <w:spacing w:val="4"/>
          <w:sz w:val="22"/>
          <w:szCs w:val="22"/>
          <w:lang w:val="en-US"/>
        </w:rPr>
        <w:t xml:space="preserve"> </w:t>
      </w:r>
      <w:r w:rsidRPr="00FB1E5A">
        <w:rPr>
          <w:color w:val="333333"/>
          <w:spacing w:val="4"/>
          <w:sz w:val="22"/>
          <w:szCs w:val="22"/>
          <w:lang w:val="en-US"/>
        </w:rPr>
        <w:t xml:space="preserve">Assessment of pupils with disabilities focuses on their behavior and on disciplines and activities included in their Individual Education Plan, taking into account their </w:t>
      </w:r>
      <w:r w:rsidRPr="00FB1E5A">
        <w:rPr>
          <w:i/>
          <w:iCs/>
          <w:color w:val="333333"/>
          <w:spacing w:val="4"/>
          <w:sz w:val="22"/>
          <w:szCs w:val="22"/>
          <w:lang w:val="en-US"/>
        </w:rPr>
        <w:t xml:space="preserve">progress </w:t>
      </w:r>
      <w:r w:rsidRPr="00FB1E5A">
        <w:rPr>
          <w:color w:val="333333"/>
          <w:spacing w:val="4"/>
          <w:sz w:val="22"/>
          <w:szCs w:val="22"/>
          <w:lang w:val="en-US"/>
        </w:rPr>
        <w:t xml:space="preserve">rather than </w:t>
      </w:r>
      <w:r w:rsidRPr="00FB1E5A">
        <w:rPr>
          <w:i/>
          <w:iCs/>
          <w:color w:val="333333"/>
          <w:spacing w:val="4"/>
          <w:sz w:val="22"/>
          <w:szCs w:val="22"/>
          <w:lang w:val="en-US"/>
        </w:rPr>
        <w:t>results</w:t>
      </w:r>
      <w:r w:rsidRPr="00FB1E5A">
        <w:rPr>
          <w:color w:val="333333"/>
          <w:spacing w:val="4"/>
          <w:sz w:val="22"/>
          <w:szCs w:val="22"/>
          <w:lang w:val="en-US"/>
        </w:rPr>
        <w:t>. The first cycle leaving exam can be made up of differentiated tests and may allow the use of specific didactic tools.</w:t>
      </w:r>
      <w:r w:rsidRPr="00FB1E5A">
        <w:rPr>
          <w:b/>
          <w:bCs/>
          <w:color w:val="162874"/>
          <w:spacing w:val="4"/>
          <w:sz w:val="22"/>
          <w:szCs w:val="22"/>
          <w:lang w:val="en-US"/>
        </w:rPr>
        <w:t xml:space="preserve">  </w:t>
      </w:r>
      <w:r w:rsidRPr="00FB1E5A">
        <w:rPr>
          <w:color w:val="333333"/>
          <w:spacing w:val="4"/>
          <w:sz w:val="22"/>
          <w:szCs w:val="22"/>
          <w:lang w:val="en-US"/>
        </w:rPr>
        <w:t>The upper-secondary education leaving exam can also be carried out with the help of special didactic tools. Pupils who followed a differentiated study plan and who have not obtained the final qualification receive a document stating:</w:t>
      </w:r>
      <w:r w:rsidRPr="00FB1E5A">
        <w:rPr>
          <w:b/>
          <w:bCs/>
          <w:color w:val="162874"/>
          <w:spacing w:val="4"/>
          <w:sz w:val="22"/>
          <w:szCs w:val="22"/>
          <w:lang w:val="en-US"/>
        </w:rPr>
        <w:t xml:space="preserve"> </w:t>
      </w:r>
      <w:r w:rsidRPr="00FB1E5A">
        <w:rPr>
          <w:color w:val="333333"/>
          <w:spacing w:val="4"/>
          <w:sz w:val="22"/>
          <w:szCs w:val="22"/>
          <w:lang w:val="en-US"/>
        </w:rPr>
        <w:t>the course of study, subjects and length of time;</w:t>
      </w:r>
      <w:r w:rsidRPr="00FB1E5A">
        <w:rPr>
          <w:b/>
          <w:bCs/>
          <w:color w:val="162874"/>
          <w:spacing w:val="4"/>
          <w:sz w:val="22"/>
          <w:szCs w:val="22"/>
          <w:lang w:val="en-US"/>
        </w:rPr>
        <w:t xml:space="preserve"> </w:t>
      </w:r>
      <w:r w:rsidRPr="00FB1E5A">
        <w:rPr>
          <w:color w:val="333333"/>
          <w:spacing w:val="4"/>
          <w:sz w:val="22"/>
          <w:szCs w:val="22"/>
          <w:lang w:val="en-US"/>
        </w:rPr>
        <w:t xml:space="preserve">the </w:t>
      </w:r>
      <w:r w:rsidRPr="00FB1E5A">
        <w:rPr>
          <w:color w:val="333333"/>
          <w:spacing w:val="4"/>
          <w:sz w:val="22"/>
          <w:szCs w:val="22"/>
          <w:lang w:val="en-US"/>
        </w:rPr>
        <w:lastRenderedPageBreak/>
        <w:t>competences acquired;</w:t>
      </w:r>
      <w:r w:rsidRPr="00FB1E5A">
        <w:rPr>
          <w:b/>
          <w:bCs/>
          <w:color w:val="162874"/>
          <w:spacing w:val="4"/>
          <w:sz w:val="22"/>
          <w:szCs w:val="22"/>
          <w:lang w:val="en-US"/>
        </w:rPr>
        <w:t xml:space="preserve"> </w:t>
      </w:r>
      <w:r w:rsidRPr="00FB1E5A">
        <w:rPr>
          <w:color w:val="333333"/>
          <w:spacing w:val="4"/>
          <w:sz w:val="22"/>
          <w:szCs w:val="22"/>
          <w:lang w:val="en-US"/>
        </w:rPr>
        <w:t>the relevant credits obtained in the final exam.</w:t>
      </w:r>
      <w:r w:rsidRPr="00FB1E5A">
        <w:rPr>
          <w:b/>
          <w:bCs/>
          <w:color w:val="162874"/>
          <w:spacing w:val="4"/>
          <w:sz w:val="22"/>
          <w:szCs w:val="22"/>
          <w:lang w:val="en-US"/>
        </w:rPr>
        <w:t xml:space="preserve"> </w:t>
      </w:r>
      <w:r w:rsidRPr="00FB1E5A">
        <w:rPr>
          <w:color w:val="333333"/>
          <w:spacing w:val="4"/>
          <w:sz w:val="22"/>
          <w:szCs w:val="22"/>
          <w:lang w:val="en-US"/>
        </w:rPr>
        <w:t>Students with very severe disabilities are therefore entitled to obtain a "certificate" rather than a "diploma". This allows them to attend high school for up to 8 years.</w:t>
      </w:r>
      <w:r w:rsidRPr="00FB1E5A">
        <w:rPr>
          <w:b/>
          <w:bCs/>
          <w:color w:val="162874"/>
          <w:spacing w:val="4"/>
          <w:sz w:val="22"/>
          <w:szCs w:val="22"/>
          <w:lang w:val="en-US"/>
        </w:rPr>
        <w:t xml:space="preserve"> </w:t>
      </w:r>
      <w:r w:rsidRPr="00FB1E5A">
        <w:rPr>
          <w:color w:val="333333"/>
          <w:spacing w:val="4"/>
          <w:sz w:val="22"/>
          <w:szCs w:val="22"/>
          <w:lang w:val="en-US"/>
        </w:rPr>
        <w:t>Currently, only the attendance of pupils with disabilities is recorded, not the achievement of the diploma or certificate.</w:t>
      </w:r>
      <w:r w:rsidRPr="00FB1E5A">
        <w:rPr>
          <w:b/>
          <w:bCs/>
          <w:color w:val="162874"/>
          <w:spacing w:val="4"/>
          <w:sz w:val="22"/>
          <w:szCs w:val="22"/>
          <w:lang w:val="en-US"/>
        </w:rPr>
        <w:t xml:space="preserve"> </w:t>
      </w:r>
      <w:r w:rsidRPr="00FB1E5A">
        <w:rPr>
          <w:color w:val="333333"/>
          <w:spacing w:val="4"/>
          <w:sz w:val="22"/>
          <w:szCs w:val="22"/>
          <w:lang w:val="en-US"/>
        </w:rPr>
        <w:t>Recently, a completely computerized register has been prepared, where all the data on their school attendance and educational success will be gathered.</w:t>
      </w:r>
      <w:r w:rsidRPr="00FB1E5A">
        <w:rPr>
          <w:b/>
          <w:bCs/>
          <w:color w:val="162874"/>
          <w:spacing w:val="4"/>
          <w:sz w:val="22"/>
          <w:szCs w:val="22"/>
          <w:lang w:val="en-US"/>
        </w:rPr>
        <w:t xml:space="preserve"> </w:t>
      </w:r>
      <w:r w:rsidRPr="00FB1E5A">
        <w:rPr>
          <w:color w:val="333333"/>
          <w:spacing w:val="4"/>
          <w:sz w:val="22"/>
          <w:szCs w:val="22"/>
          <w:lang w:val="en-US"/>
        </w:rPr>
        <w:t>Furthermore, pursuant to Legislative Decree 66/2017, a system for assessing the quality of school inclusion was also organized. This will allow in the coming years to collect very detailed data on every aspect of school inclusion.</w:t>
      </w:r>
    </w:p>
    <w:p w14:paraId="4C504814" w14:textId="77777777" w:rsidR="003C47A7" w:rsidRPr="00FB1E5A" w:rsidRDefault="003C47A7" w:rsidP="00FB1E5A">
      <w:pPr>
        <w:shd w:val="clear" w:color="auto" w:fill="FFFFFF"/>
        <w:jc w:val="both"/>
        <w:outlineLvl w:val="1"/>
        <w:rPr>
          <w:b/>
          <w:bCs/>
          <w:color w:val="162874"/>
          <w:spacing w:val="4"/>
          <w:sz w:val="22"/>
          <w:szCs w:val="22"/>
          <w:lang w:val="en-US"/>
        </w:rPr>
      </w:pPr>
    </w:p>
    <w:p w14:paraId="18545971" w14:textId="6F7ADB42" w:rsidR="002A7224" w:rsidRPr="00A72C09" w:rsidRDefault="00BC7664" w:rsidP="00FB1E5A">
      <w:pPr>
        <w:autoSpaceDE w:val="0"/>
        <w:autoSpaceDN w:val="0"/>
        <w:adjustRightInd w:val="0"/>
        <w:jc w:val="both"/>
        <w:rPr>
          <w:b/>
          <w:i/>
          <w:sz w:val="22"/>
          <w:szCs w:val="22"/>
          <w:lang w:val="en-US"/>
        </w:rPr>
      </w:pPr>
      <w:r w:rsidRPr="00FB1E5A">
        <w:rPr>
          <w:sz w:val="22"/>
          <w:szCs w:val="22"/>
          <w:lang w:val="en-US"/>
        </w:rPr>
        <w:t>(Source: Ministry of Health)</w:t>
      </w:r>
      <w:r w:rsidR="002A7224" w:rsidRPr="00FB1E5A">
        <w:rPr>
          <w:bCs/>
          <w:iCs/>
          <w:sz w:val="22"/>
          <w:szCs w:val="22"/>
          <w:lang w:val="en-US"/>
        </w:rPr>
        <w:t xml:space="preserve"> </w:t>
      </w:r>
      <w:r w:rsidR="00C463CE">
        <w:rPr>
          <w:bCs/>
          <w:iCs/>
          <w:sz w:val="22"/>
          <w:szCs w:val="22"/>
          <w:lang w:val="en-US"/>
        </w:rPr>
        <w:t>In our view, t</w:t>
      </w:r>
      <w:r w:rsidR="002A7224" w:rsidRPr="00FB1E5A">
        <w:rPr>
          <w:bCs/>
          <w:iCs/>
          <w:sz w:val="22"/>
          <w:szCs w:val="22"/>
          <w:lang w:val="en-US"/>
        </w:rPr>
        <w:t xml:space="preserve">here are </w:t>
      </w:r>
      <w:r w:rsidR="002A7224" w:rsidRPr="009004AB">
        <w:rPr>
          <w:b/>
          <w:iCs/>
          <w:sz w:val="22"/>
          <w:szCs w:val="22"/>
          <w:u w:val="single"/>
          <w:lang w:val="en-US"/>
        </w:rPr>
        <w:t>correct and incorrect diets</w:t>
      </w:r>
      <w:r w:rsidR="002A7224" w:rsidRPr="00FB1E5A">
        <w:rPr>
          <w:bCs/>
          <w:iCs/>
          <w:sz w:val="22"/>
          <w:szCs w:val="22"/>
          <w:lang w:val="en-US"/>
        </w:rPr>
        <w:t>. Consistently with the High</w:t>
      </w:r>
      <w:r w:rsidR="009004AB">
        <w:rPr>
          <w:bCs/>
          <w:iCs/>
          <w:sz w:val="22"/>
          <w:szCs w:val="22"/>
          <w:lang w:val="en-US"/>
        </w:rPr>
        <w:t>-</w:t>
      </w:r>
      <w:r w:rsidR="002A7224" w:rsidRPr="00FB1E5A">
        <w:rPr>
          <w:bCs/>
          <w:iCs/>
          <w:sz w:val="22"/>
          <w:szCs w:val="22"/>
          <w:lang w:val="en-US"/>
        </w:rPr>
        <w:t>Level Group on nutrition and physical activity, the MOH has come up with 2 documents aimed at regulating the promotion of baby food and sharing some nutrition quality improvement goals (reformulation). The documents are the result of a collaboration between the Ministry and the Food Industry Associations. The "Guidelines for commercial communication relating to food and beverages, protecting children and their proper nutrition" contains principles and recommendations governing commercial promotion activities, with the specific aim of protecting children against the risk of overweight and obesity. The document provides for monitoring by the Institute of Advertising Self-Regulation (</w:t>
      </w:r>
      <w:r w:rsidR="002A7224" w:rsidRPr="00FB1E5A">
        <w:rPr>
          <w:bCs/>
          <w:i/>
          <w:sz w:val="22"/>
          <w:szCs w:val="22"/>
          <w:lang w:val="en-US"/>
        </w:rPr>
        <w:t>IAP</w:t>
      </w:r>
      <w:r w:rsidR="002A7224" w:rsidRPr="00FB1E5A">
        <w:rPr>
          <w:bCs/>
          <w:iCs/>
          <w:sz w:val="22"/>
          <w:szCs w:val="22"/>
          <w:lang w:val="en-US"/>
        </w:rPr>
        <w:t xml:space="preserve">), already operating with its own general Code. The "Shared Objectives for Improving the Nutritional Characteristics (Reformulation) of Food Products, with particular attention to the Infant Population (3-12 Years)," takes stock of the current situation, indicating reformulation interventions carried out to date and highlighting possible opportunities and priorities for future action. A number of commodity areas are identified (cereal-sweet, soft drinks, dairy, and ice cream) for which the manufacturing sector has committed to a reduction in sugars, saturated and trans fats, salt, an increase in fiber content, reshaping of portions, and more information on the label. Data collection for 5 product categories (breakfast cereals, cookies, snacks, crackers, and ice cream) shows a marked improvement, compared to the recent past, in nutritional characteristics in terms of sugars, saturated fats, sodium, raising fiber, and downsizing calories per serving of ice cream and snacks.  Italy intends to strengthen actions and interventions to achieve the World Health Assembly goals and UN Decade for Nutrition’s (2016 - 2025) by developing a clear strategy with real development plans. Considering the indications from the 2nd International Conference on Nutrition (ICN2, 2014), Agenda 2030, UN Decade 2016-025, Milan Charter (2015) and Milan Urban Food Policy Pact, it is the intention of the MOH to create multi-stakeholder partnerships to improve interventions related to the fight against malnutrition, including obesity, by implementing a clear strategy with real development plans and multidisciplinary projects that can include the area of physical activity in addition to nutrition education aspects. At the same time, the work of the National Nutrition Observatory has been initiated Finally, it is necessary to implement initiatives aimed at reviving the Mediterranean Diet as an example of correctness and appropriateness: training, updating and exchange of experiences at the international level will be promoted. Italy's main objective is to foster decisive action to address relevant issues such as excess malnutrition, also taking into account the influence on them of economic policies and social inequalities. </w:t>
      </w:r>
    </w:p>
    <w:p w14:paraId="76F7F4AD" w14:textId="77777777" w:rsidR="002A7224" w:rsidRPr="00FB1E5A" w:rsidRDefault="002A7224" w:rsidP="00FB1E5A">
      <w:pPr>
        <w:autoSpaceDE w:val="0"/>
        <w:autoSpaceDN w:val="0"/>
        <w:adjustRightInd w:val="0"/>
        <w:jc w:val="both"/>
        <w:rPr>
          <w:b/>
          <w:i/>
          <w:sz w:val="22"/>
          <w:szCs w:val="22"/>
          <w:lang w:val="en-US"/>
        </w:rPr>
      </w:pPr>
    </w:p>
    <w:p w14:paraId="21728CA2" w14:textId="6EE53509" w:rsidR="002A7224" w:rsidRPr="00FB1E5A" w:rsidRDefault="002A7224" w:rsidP="00FB1E5A">
      <w:pPr>
        <w:autoSpaceDE w:val="0"/>
        <w:autoSpaceDN w:val="0"/>
        <w:adjustRightInd w:val="0"/>
        <w:jc w:val="both"/>
        <w:rPr>
          <w:bCs/>
          <w:iCs/>
          <w:sz w:val="22"/>
          <w:szCs w:val="22"/>
          <w:lang w:val="en-US"/>
        </w:rPr>
      </w:pPr>
      <w:r w:rsidRPr="009004AB">
        <w:rPr>
          <w:bCs/>
          <w:iCs/>
          <w:sz w:val="22"/>
          <w:szCs w:val="22"/>
          <w:lang w:val="en-US"/>
        </w:rPr>
        <w:t xml:space="preserve">As for </w:t>
      </w:r>
      <w:r w:rsidRPr="009004AB">
        <w:rPr>
          <w:b/>
          <w:iCs/>
          <w:sz w:val="22"/>
          <w:szCs w:val="22"/>
          <w:lang w:val="en-US"/>
        </w:rPr>
        <w:t>Law 40/2004,</w:t>
      </w:r>
      <w:r w:rsidRPr="009004AB">
        <w:rPr>
          <w:bCs/>
          <w:iCs/>
          <w:sz w:val="22"/>
          <w:szCs w:val="22"/>
          <w:lang w:val="en-US"/>
        </w:rPr>
        <w:t xml:space="preserve"> no initiative to revise Articles 13, 14 and 15 is under </w:t>
      </w:r>
      <w:r w:rsidR="009004AB" w:rsidRPr="009004AB">
        <w:rPr>
          <w:bCs/>
          <w:iCs/>
          <w:sz w:val="22"/>
          <w:szCs w:val="22"/>
          <w:lang w:val="en-US"/>
        </w:rPr>
        <w:t xml:space="preserve">current </w:t>
      </w:r>
      <w:r w:rsidRPr="009004AB">
        <w:rPr>
          <w:bCs/>
          <w:iCs/>
          <w:sz w:val="22"/>
          <w:szCs w:val="22"/>
          <w:lang w:val="en-US"/>
        </w:rPr>
        <w:t>consideration.</w:t>
      </w:r>
    </w:p>
    <w:p w14:paraId="4289D906" w14:textId="77777777" w:rsidR="002A7224" w:rsidRPr="00FB1E5A" w:rsidRDefault="002A7224" w:rsidP="00FB1E5A">
      <w:pPr>
        <w:autoSpaceDE w:val="0"/>
        <w:autoSpaceDN w:val="0"/>
        <w:adjustRightInd w:val="0"/>
        <w:jc w:val="both"/>
        <w:rPr>
          <w:b/>
          <w:i/>
          <w:sz w:val="22"/>
          <w:szCs w:val="22"/>
          <w:lang w:val="en-US"/>
        </w:rPr>
      </w:pPr>
    </w:p>
    <w:p w14:paraId="0172C65B" w14:textId="77777777" w:rsidR="0024423D" w:rsidRPr="00FB1E5A" w:rsidRDefault="0024423D" w:rsidP="00FB1E5A">
      <w:pPr>
        <w:jc w:val="both"/>
        <w:rPr>
          <w:rFonts w:eastAsia="Calibri"/>
          <w:sz w:val="22"/>
          <w:szCs w:val="22"/>
          <w:lang w:val="en-US" w:eastAsia="en-US"/>
        </w:rPr>
      </w:pPr>
      <w:r w:rsidRPr="00FB1E5A">
        <w:rPr>
          <w:rFonts w:eastAsia="Calibri"/>
          <w:sz w:val="22"/>
          <w:szCs w:val="22"/>
          <w:lang w:val="en-US" w:eastAsia="en-US"/>
        </w:rPr>
        <w:t>A</w:t>
      </w:r>
      <w:r w:rsidR="00285691" w:rsidRPr="00FB1E5A">
        <w:rPr>
          <w:rFonts w:eastAsia="Calibri"/>
          <w:sz w:val="22"/>
          <w:szCs w:val="22"/>
          <w:lang w:val="en-US" w:eastAsia="en-US"/>
        </w:rPr>
        <w:t xml:space="preserve">dditional data from </w:t>
      </w:r>
      <w:r w:rsidR="00285691" w:rsidRPr="00FB1E5A">
        <w:rPr>
          <w:rFonts w:eastAsia="Calibri"/>
          <w:b/>
          <w:bCs/>
          <w:sz w:val="22"/>
          <w:szCs w:val="22"/>
          <w:lang w:val="en-US" w:eastAsia="en-US"/>
        </w:rPr>
        <w:t>Italian Institute of Statistics</w:t>
      </w:r>
      <w:r w:rsidRPr="00FB1E5A">
        <w:rPr>
          <w:rFonts w:eastAsia="Calibri"/>
          <w:b/>
          <w:bCs/>
          <w:sz w:val="22"/>
          <w:szCs w:val="22"/>
          <w:lang w:val="en-US" w:eastAsia="en-US"/>
        </w:rPr>
        <w:t xml:space="preserve"> (</w:t>
      </w:r>
      <w:r w:rsidRPr="00C463CE">
        <w:rPr>
          <w:rFonts w:eastAsia="Calibri"/>
          <w:b/>
          <w:bCs/>
          <w:sz w:val="22"/>
          <w:szCs w:val="22"/>
          <w:lang w:val="en-US" w:eastAsia="en-US"/>
        </w:rPr>
        <w:t>ISTAT</w:t>
      </w:r>
      <w:r w:rsidRPr="00FB1E5A">
        <w:rPr>
          <w:rFonts w:eastAsia="Calibri"/>
          <w:b/>
          <w:bCs/>
          <w:sz w:val="22"/>
          <w:szCs w:val="22"/>
          <w:lang w:val="en-US" w:eastAsia="en-US"/>
        </w:rPr>
        <w:t>)</w:t>
      </w:r>
      <w:r w:rsidR="00285691" w:rsidRPr="00FB1E5A">
        <w:rPr>
          <w:rFonts w:eastAsia="Calibri"/>
          <w:sz w:val="22"/>
          <w:szCs w:val="22"/>
          <w:lang w:val="en-US" w:eastAsia="en-US"/>
        </w:rPr>
        <w:t xml:space="preserve"> </w:t>
      </w:r>
      <w:r w:rsidRPr="00FB1E5A">
        <w:rPr>
          <w:rFonts w:eastAsia="Calibri"/>
          <w:sz w:val="22"/>
          <w:szCs w:val="22"/>
          <w:lang w:val="en-US" w:eastAsia="en-US"/>
        </w:rPr>
        <w:t>is</w:t>
      </w:r>
      <w:r w:rsidR="00285691" w:rsidRPr="00FB1E5A">
        <w:rPr>
          <w:rFonts w:eastAsia="Calibri"/>
          <w:sz w:val="22"/>
          <w:szCs w:val="22"/>
          <w:lang w:val="en-US" w:eastAsia="en-US"/>
        </w:rPr>
        <w:t xml:space="preserve"> herewith annexed (Annex No.1)</w:t>
      </w:r>
      <w:bookmarkEnd w:id="0"/>
      <w:r w:rsidRPr="00FB1E5A">
        <w:rPr>
          <w:rFonts w:eastAsia="Calibri"/>
          <w:sz w:val="22"/>
          <w:szCs w:val="22"/>
          <w:lang w:val="en-US" w:eastAsia="en-US"/>
        </w:rPr>
        <w:t>.</w:t>
      </w:r>
    </w:p>
    <w:p w14:paraId="76570578" w14:textId="4C5C0684" w:rsidR="0024423D" w:rsidRPr="00FB1E5A" w:rsidRDefault="0024423D" w:rsidP="00FB1E5A">
      <w:pPr>
        <w:jc w:val="both"/>
        <w:rPr>
          <w:rFonts w:eastAsia="Calibri"/>
          <w:sz w:val="22"/>
          <w:szCs w:val="22"/>
          <w:lang w:val="en-US" w:eastAsia="en-US"/>
        </w:rPr>
      </w:pPr>
      <w:r w:rsidRPr="00FB1E5A">
        <w:rPr>
          <w:rFonts w:eastAsia="Calibri"/>
          <w:sz w:val="22"/>
          <w:szCs w:val="22"/>
          <w:lang w:val="en-US" w:eastAsia="en-US"/>
        </w:rPr>
        <w:t xml:space="preserve">  </w:t>
      </w:r>
    </w:p>
    <w:p w14:paraId="51735DA9" w14:textId="77777777" w:rsidR="009004AB" w:rsidRDefault="009004AB" w:rsidP="00FB1E5A">
      <w:pPr>
        <w:jc w:val="both"/>
        <w:rPr>
          <w:rFonts w:eastAsiaTheme="minorHAnsi"/>
          <w:b/>
          <w:color w:val="000000" w:themeColor="text1"/>
          <w:sz w:val="22"/>
          <w:szCs w:val="22"/>
          <w:u w:val="single"/>
          <w:lang w:val="en-GB"/>
        </w:rPr>
      </w:pPr>
    </w:p>
    <w:p w14:paraId="72AD9453" w14:textId="7EAD17B4" w:rsidR="00A86DB2" w:rsidRPr="00FB1E5A" w:rsidRDefault="0024423D" w:rsidP="00FB1E5A">
      <w:pPr>
        <w:jc w:val="both"/>
        <w:rPr>
          <w:rFonts w:eastAsia="Calibri"/>
          <w:sz w:val="22"/>
          <w:szCs w:val="22"/>
          <w:lang w:val="en-US" w:eastAsia="en-US"/>
        </w:rPr>
      </w:pPr>
      <w:r w:rsidRPr="00FB1E5A">
        <w:rPr>
          <w:rFonts w:eastAsiaTheme="minorHAnsi"/>
          <w:b/>
          <w:color w:val="000000" w:themeColor="text1"/>
          <w:sz w:val="22"/>
          <w:szCs w:val="22"/>
          <w:u w:val="single"/>
          <w:lang w:val="en-GB"/>
        </w:rPr>
        <w:t>To conclude,</w:t>
      </w:r>
      <w:r w:rsidRPr="00FB1E5A">
        <w:rPr>
          <w:rFonts w:eastAsiaTheme="minorHAnsi"/>
          <w:color w:val="000000" w:themeColor="text1"/>
          <w:sz w:val="22"/>
          <w:szCs w:val="22"/>
          <w:lang w:val="en-GB"/>
        </w:rPr>
        <w:t xml:space="preserve"> we t</w:t>
      </w:r>
      <w:r w:rsidR="00B22F9A" w:rsidRPr="00FB1E5A">
        <w:rPr>
          <w:rFonts w:eastAsiaTheme="minorHAnsi"/>
          <w:color w:val="000000" w:themeColor="text1"/>
          <w:sz w:val="22"/>
          <w:szCs w:val="22"/>
          <w:lang w:val="en-GB"/>
        </w:rPr>
        <w:t>ake this opportunity to reiterate firm willingness to fully cooperat</w:t>
      </w:r>
      <w:r w:rsidRPr="00FB1E5A">
        <w:rPr>
          <w:rFonts w:eastAsiaTheme="minorHAnsi"/>
          <w:color w:val="000000" w:themeColor="text1"/>
          <w:sz w:val="22"/>
          <w:szCs w:val="22"/>
          <w:lang w:val="en-GB"/>
        </w:rPr>
        <w:t>e</w:t>
      </w:r>
      <w:r w:rsidR="00B22F9A" w:rsidRPr="00FB1E5A">
        <w:rPr>
          <w:rFonts w:eastAsiaTheme="minorHAnsi"/>
          <w:color w:val="000000" w:themeColor="text1"/>
          <w:sz w:val="22"/>
          <w:szCs w:val="22"/>
          <w:lang w:val="en-GB"/>
        </w:rPr>
        <w:t xml:space="preserve"> with</w:t>
      </w:r>
      <w:r w:rsidR="009004AB">
        <w:rPr>
          <w:rFonts w:eastAsiaTheme="minorHAnsi"/>
          <w:color w:val="000000" w:themeColor="text1"/>
          <w:sz w:val="22"/>
          <w:szCs w:val="22"/>
          <w:lang w:val="en-GB"/>
        </w:rPr>
        <w:t xml:space="preserve"> </w:t>
      </w:r>
      <w:r w:rsidR="00B22F9A" w:rsidRPr="00FB1E5A">
        <w:rPr>
          <w:rFonts w:eastAsiaTheme="minorHAnsi"/>
          <w:color w:val="000000" w:themeColor="text1"/>
          <w:sz w:val="22"/>
          <w:szCs w:val="22"/>
          <w:lang w:val="en-GB"/>
        </w:rPr>
        <w:t>UN</w:t>
      </w:r>
      <w:r w:rsidR="006B5A04" w:rsidRPr="00FB1E5A">
        <w:rPr>
          <w:rFonts w:eastAsiaTheme="minorHAnsi"/>
          <w:color w:val="000000" w:themeColor="text1"/>
          <w:sz w:val="22"/>
          <w:szCs w:val="22"/>
          <w:lang w:val="en-GB"/>
        </w:rPr>
        <w:t>CESCR Committee</w:t>
      </w:r>
      <w:r w:rsidR="00B22F9A" w:rsidRPr="00FB1E5A">
        <w:rPr>
          <w:rFonts w:eastAsiaTheme="minorHAnsi"/>
          <w:color w:val="000000" w:themeColor="text1"/>
          <w:sz w:val="22"/>
          <w:szCs w:val="22"/>
          <w:lang w:val="en-GB"/>
        </w:rPr>
        <w:t xml:space="preserve">. </w:t>
      </w:r>
    </w:p>
    <w:sectPr w:rsidR="00A86DB2" w:rsidRPr="00FB1E5A" w:rsidSect="006B5A04">
      <w:headerReference w:type="even" r:id="rId18"/>
      <w:headerReference w:type="default" r:id="rId19"/>
      <w:footerReference w:type="even" r:id="rId20"/>
      <w:footerReference w:type="default" r:id="rId21"/>
      <w:headerReference w:type="first" r:id="rId22"/>
      <w:footerReference w:type="first" r:id="rId23"/>
      <w:pgSz w:w="11906" w:h="16838"/>
      <w:pgMar w:top="1417" w:right="1134" w:bottom="1134"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BCD1DE" w14:textId="77777777" w:rsidR="00243501" w:rsidRDefault="00243501" w:rsidP="00EF2CD7">
      <w:r>
        <w:separator/>
      </w:r>
    </w:p>
  </w:endnote>
  <w:endnote w:type="continuationSeparator" w:id="0">
    <w:p w14:paraId="681549C1" w14:textId="77777777" w:rsidR="00243501" w:rsidRDefault="00243501" w:rsidP="00EF2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2"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10006FF" w:usb1="4000F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auto"/>
    <w:pitch w:val="variable"/>
    <w:sig w:usb0="E00002FF" w:usb1="5000205A"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1DCD74" w14:textId="77777777" w:rsidR="00323CF2" w:rsidRDefault="00323CF2" w:rsidP="006B5A04">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C176F84" w14:textId="77777777" w:rsidR="00323CF2" w:rsidRDefault="00323CF2" w:rsidP="00A7503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56228B" w14:textId="2A767D6D" w:rsidR="00323CF2" w:rsidRDefault="00323CF2" w:rsidP="006B5A04">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36EBD">
      <w:rPr>
        <w:rStyle w:val="PageNumber"/>
        <w:noProof/>
      </w:rPr>
      <w:t>6</w:t>
    </w:r>
    <w:r>
      <w:rPr>
        <w:rStyle w:val="PageNumber"/>
      </w:rPr>
      <w:fldChar w:fldCharType="end"/>
    </w:r>
  </w:p>
  <w:p w14:paraId="40FB0402" w14:textId="04EE4928" w:rsidR="00323CF2" w:rsidRDefault="00323CF2" w:rsidP="00A7503E">
    <w:pPr>
      <w:pStyle w:val="Footer"/>
      <w:ind w:right="360"/>
      <w:jc w:val="center"/>
    </w:pPr>
  </w:p>
  <w:p w14:paraId="78D58EE0" w14:textId="77777777" w:rsidR="00323CF2" w:rsidRDefault="00323CF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361828" w14:textId="77777777" w:rsidR="006B5A04" w:rsidRDefault="006B5A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E986EC" w14:textId="77777777" w:rsidR="00243501" w:rsidRDefault="00243501" w:rsidP="00EF2CD7">
      <w:r>
        <w:separator/>
      </w:r>
    </w:p>
  </w:footnote>
  <w:footnote w:type="continuationSeparator" w:id="0">
    <w:p w14:paraId="11755CF5" w14:textId="77777777" w:rsidR="00243501" w:rsidRDefault="00243501" w:rsidP="00EF2C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884C69" w14:textId="7B0B6928" w:rsidR="006B5A04" w:rsidRDefault="006B5A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D41198" w14:textId="7FCE15CB" w:rsidR="006B5A04" w:rsidRDefault="006B5A0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C0FDF0" w14:textId="19CD7B99" w:rsidR="006B5A04" w:rsidRDefault="006B5A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D50E5A"/>
    <w:multiLevelType w:val="hybridMultilevel"/>
    <w:tmpl w:val="84A8A6E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3785027"/>
    <w:multiLevelType w:val="hybridMultilevel"/>
    <w:tmpl w:val="F62C91CA"/>
    <w:lvl w:ilvl="0" w:tplc="6638F2A6">
      <w:numFmt w:val="bullet"/>
      <w:lvlText w:val="-"/>
      <w:lvlJc w:val="left"/>
      <w:pPr>
        <w:ind w:left="720" w:hanging="360"/>
      </w:pPr>
      <w:rPr>
        <w:rFonts w:ascii="Garamond" w:hAnsi="Garamond" w:hint="default"/>
        <w:lang w:val="en-G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03ED54B1"/>
    <w:multiLevelType w:val="multilevel"/>
    <w:tmpl w:val="976C7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C22EDB"/>
    <w:multiLevelType w:val="hybridMultilevel"/>
    <w:tmpl w:val="7AC6A24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6312FDD"/>
    <w:multiLevelType w:val="multilevel"/>
    <w:tmpl w:val="E15E6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7993810"/>
    <w:multiLevelType w:val="hybridMultilevel"/>
    <w:tmpl w:val="10D627A6"/>
    <w:lvl w:ilvl="0" w:tplc="2C1EF538">
      <w:numFmt w:val="bullet"/>
      <w:lvlText w:val="-"/>
      <w:lvlJc w:val="left"/>
      <w:pPr>
        <w:ind w:left="76" w:hanging="218"/>
      </w:pPr>
      <w:rPr>
        <w:rFonts w:ascii="Times New Roman" w:eastAsia="Times New Roman" w:hAnsi="Times New Roman" w:cs="Times New Roman" w:hint="default"/>
      </w:rPr>
    </w:lvl>
    <w:lvl w:ilvl="1" w:tplc="04100003" w:tentative="1">
      <w:start w:val="1"/>
      <w:numFmt w:val="bullet"/>
      <w:lvlText w:val="o"/>
      <w:lvlJc w:val="left"/>
      <w:pPr>
        <w:ind w:left="938" w:hanging="360"/>
      </w:pPr>
      <w:rPr>
        <w:rFonts w:ascii="Courier New" w:hAnsi="Courier New" w:cs="Courier New" w:hint="default"/>
      </w:rPr>
    </w:lvl>
    <w:lvl w:ilvl="2" w:tplc="04100005" w:tentative="1">
      <w:start w:val="1"/>
      <w:numFmt w:val="bullet"/>
      <w:lvlText w:val=""/>
      <w:lvlJc w:val="left"/>
      <w:pPr>
        <w:ind w:left="1658" w:hanging="360"/>
      </w:pPr>
      <w:rPr>
        <w:rFonts w:ascii="Wingdings" w:hAnsi="Wingdings" w:hint="default"/>
      </w:rPr>
    </w:lvl>
    <w:lvl w:ilvl="3" w:tplc="04100001" w:tentative="1">
      <w:start w:val="1"/>
      <w:numFmt w:val="bullet"/>
      <w:lvlText w:val=""/>
      <w:lvlJc w:val="left"/>
      <w:pPr>
        <w:ind w:left="2378" w:hanging="360"/>
      </w:pPr>
      <w:rPr>
        <w:rFonts w:ascii="Symbol" w:hAnsi="Symbol" w:hint="default"/>
      </w:rPr>
    </w:lvl>
    <w:lvl w:ilvl="4" w:tplc="04100003" w:tentative="1">
      <w:start w:val="1"/>
      <w:numFmt w:val="bullet"/>
      <w:lvlText w:val="o"/>
      <w:lvlJc w:val="left"/>
      <w:pPr>
        <w:ind w:left="3098" w:hanging="360"/>
      </w:pPr>
      <w:rPr>
        <w:rFonts w:ascii="Courier New" w:hAnsi="Courier New" w:cs="Courier New" w:hint="default"/>
      </w:rPr>
    </w:lvl>
    <w:lvl w:ilvl="5" w:tplc="04100005" w:tentative="1">
      <w:start w:val="1"/>
      <w:numFmt w:val="bullet"/>
      <w:lvlText w:val=""/>
      <w:lvlJc w:val="left"/>
      <w:pPr>
        <w:ind w:left="3818" w:hanging="360"/>
      </w:pPr>
      <w:rPr>
        <w:rFonts w:ascii="Wingdings" w:hAnsi="Wingdings" w:hint="default"/>
      </w:rPr>
    </w:lvl>
    <w:lvl w:ilvl="6" w:tplc="04100001" w:tentative="1">
      <w:start w:val="1"/>
      <w:numFmt w:val="bullet"/>
      <w:lvlText w:val=""/>
      <w:lvlJc w:val="left"/>
      <w:pPr>
        <w:ind w:left="4538" w:hanging="360"/>
      </w:pPr>
      <w:rPr>
        <w:rFonts w:ascii="Symbol" w:hAnsi="Symbol" w:hint="default"/>
      </w:rPr>
    </w:lvl>
    <w:lvl w:ilvl="7" w:tplc="04100003" w:tentative="1">
      <w:start w:val="1"/>
      <w:numFmt w:val="bullet"/>
      <w:lvlText w:val="o"/>
      <w:lvlJc w:val="left"/>
      <w:pPr>
        <w:ind w:left="5258" w:hanging="360"/>
      </w:pPr>
      <w:rPr>
        <w:rFonts w:ascii="Courier New" w:hAnsi="Courier New" w:cs="Courier New" w:hint="default"/>
      </w:rPr>
    </w:lvl>
    <w:lvl w:ilvl="8" w:tplc="04100005" w:tentative="1">
      <w:start w:val="1"/>
      <w:numFmt w:val="bullet"/>
      <w:lvlText w:val=""/>
      <w:lvlJc w:val="left"/>
      <w:pPr>
        <w:ind w:left="5978" w:hanging="360"/>
      </w:pPr>
      <w:rPr>
        <w:rFonts w:ascii="Wingdings" w:hAnsi="Wingdings" w:hint="default"/>
      </w:rPr>
    </w:lvl>
  </w:abstractNum>
  <w:abstractNum w:abstractNumId="8" w15:restartNumberingAfterBreak="0">
    <w:nsid w:val="09757033"/>
    <w:multiLevelType w:val="multilevel"/>
    <w:tmpl w:val="28BC3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9DA2753"/>
    <w:multiLevelType w:val="multilevel"/>
    <w:tmpl w:val="AD4E24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B265489"/>
    <w:multiLevelType w:val="hybridMultilevel"/>
    <w:tmpl w:val="EB385C6E"/>
    <w:lvl w:ilvl="0" w:tplc="B5EEE5EA">
      <w:numFmt w:val="bullet"/>
      <w:lvlText w:val="-"/>
      <w:lvlJc w:val="left"/>
      <w:pPr>
        <w:ind w:left="1658" w:hanging="360"/>
      </w:pPr>
      <w:rPr>
        <w:rFonts w:ascii="Times New Roman" w:eastAsia="Times New Roman" w:hAnsi="Times New Roman" w:cs="Times New Roman" w:hint="default"/>
      </w:rPr>
    </w:lvl>
    <w:lvl w:ilvl="1" w:tplc="04100003" w:tentative="1">
      <w:start w:val="1"/>
      <w:numFmt w:val="bullet"/>
      <w:lvlText w:val="o"/>
      <w:lvlJc w:val="left"/>
      <w:pPr>
        <w:ind w:left="2378" w:hanging="360"/>
      </w:pPr>
      <w:rPr>
        <w:rFonts w:ascii="Courier New" w:hAnsi="Courier New" w:cs="Courier New" w:hint="default"/>
      </w:rPr>
    </w:lvl>
    <w:lvl w:ilvl="2" w:tplc="04100005" w:tentative="1">
      <w:start w:val="1"/>
      <w:numFmt w:val="bullet"/>
      <w:lvlText w:val=""/>
      <w:lvlJc w:val="left"/>
      <w:pPr>
        <w:ind w:left="3098" w:hanging="360"/>
      </w:pPr>
      <w:rPr>
        <w:rFonts w:ascii="Wingdings" w:hAnsi="Wingdings" w:hint="default"/>
      </w:rPr>
    </w:lvl>
    <w:lvl w:ilvl="3" w:tplc="04100001" w:tentative="1">
      <w:start w:val="1"/>
      <w:numFmt w:val="bullet"/>
      <w:lvlText w:val=""/>
      <w:lvlJc w:val="left"/>
      <w:pPr>
        <w:ind w:left="3818" w:hanging="360"/>
      </w:pPr>
      <w:rPr>
        <w:rFonts w:ascii="Symbol" w:hAnsi="Symbol" w:hint="default"/>
      </w:rPr>
    </w:lvl>
    <w:lvl w:ilvl="4" w:tplc="04100003" w:tentative="1">
      <w:start w:val="1"/>
      <w:numFmt w:val="bullet"/>
      <w:lvlText w:val="o"/>
      <w:lvlJc w:val="left"/>
      <w:pPr>
        <w:ind w:left="4538" w:hanging="360"/>
      </w:pPr>
      <w:rPr>
        <w:rFonts w:ascii="Courier New" w:hAnsi="Courier New" w:cs="Courier New" w:hint="default"/>
      </w:rPr>
    </w:lvl>
    <w:lvl w:ilvl="5" w:tplc="04100005" w:tentative="1">
      <w:start w:val="1"/>
      <w:numFmt w:val="bullet"/>
      <w:lvlText w:val=""/>
      <w:lvlJc w:val="left"/>
      <w:pPr>
        <w:ind w:left="5258" w:hanging="360"/>
      </w:pPr>
      <w:rPr>
        <w:rFonts w:ascii="Wingdings" w:hAnsi="Wingdings" w:hint="default"/>
      </w:rPr>
    </w:lvl>
    <w:lvl w:ilvl="6" w:tplc="04100001" w:tentative="1">
      <w:start w:val="1"/>
      <w:numFmt w:val="bullet"/>
      <w:lvlText w:val=""/>
      <w:lvlJc w:val="left"/>
      <w:pPr>
        <w:ind w:left="5978" w:hanging="360"/>
      </w:pPr>
      <w:rPr>
        <w:rFonts w:ascii="Symbol" w:hAnsi="Symbol" w:hint="default"/>
      </w:rPr>
    </w:lvl>
    <w:lvl w:ilvl="7" w:tplc="04100003" w:tentative="1">
      <w:start w:val="1"/>
      <w:numFmt w:val="bullet"/>
      <w:lvlText w:val="o"/>
      <w:lvlJc w:val="left"/>
      <w:pPr>
        <w:ind w:left="6698" w:hanging="360"/>
      </w:pPr>
      <w:rPr>
        <w:rFonts w:ascii="Courier New" w:hAnsi="Courier New" w:cs="Courier New" w:hint="default"/>
      </w:rPr>
    </w:lvl>
    <w:lvl w:ilvl="8" w:tplc="04100005" w:tentative="1">
      <w:start w:val="1"/>
      <w:numFmt w:val="bullet"/>
      <w:lvlText w:val=""/>
      <w:lvlJc w:val="left"/>
      <w:pPr>
        <w:ind w:left="7418" w:hanging="360"/>
      </w:pPr>
      <w:rPr>
        <w:rFonts w:ascii="Wingdings" w:hAnsi="Wingdings" w:hint="default"/>
      </w:rPr>
    </w:lvl>
  </w:abstractNum>
  <w:abstractNum w:abstractNumId="11" w15:restartNumberingAfterBreak="0">
    <w:nsid w:val="0CB70056"/>
    <w:multiLevelType w:val="hybridMultilevel"/>
    <w:tmpl w:val="2B28E0A4"/>
    <w:lvl w:ilvl="0" w:tplc="AFD2A90E">
      <w:start w:val="81"/>
      <w:numFmt w:val="bullet"/>
      <w:lvlText w:val="-"/>
      <w:lvlJc w:val="left"/>
      <w:pPr>
        <w:ind w:left="1428" w:hanging="720"/>
      </w:pPr>
      <w:rPr>
        <w:rFonts w:ascii="Times New Roman" w:eastAsia="Times New Roman" w:hAnsi="Times New Roman" w:cs="Times New Roman" w:hint="default"/>
      </w:rPr>
    </w:lvl>
    <w:lvl w:ilvl="1" w:tplc="04090003" w:tentative="1">
      <w:start w:val="1"/>
      <w:numFmt w:val="bullet"/>
      <w:lvlText w:val="o"/>
      <w:lvlJc w:val="left"/>
      <w:pPr>
        <w:ind w:left="1788" w:hanging="360"/>
      </w:pPr>
      <w:rPr>
        <w:rFonts w:ascii="Courier New" w:hAnsi="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2" w15:restartNumberingAfterBreak="0">
    <w:nsid w:val="0F8E5A60"/>
    <w:multiLevelType w:val="multilevel"/>
    <w:tmpl w:val="D9867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3486F67"/>
    <w:multiLevelType w:val="multilevel"/>
    <w:tmpl w:val="85ACBE76"/>
    <w:lvl w:ilvl="0">
      <w:start w:val="1"/>
      <w:numFmt w:val="bullet"/>
      <w:lvlText w:val=""/>
      <w:lvlJc w:val="left"/>
      <w:pPr>
        <w:tabs>
          <w:tab w:val="num" w:pos="0"/>
        </w:tabs>
        <w:ind w:left="720" w:hanging="360"/>
      </w:pPr>
      <w:rPr>
        <w:rFonts w:ascii="Symbol" w:hAnsi="Symbol" w:hint="default"/>
        <w:sz w:val="18"/>
      </w:rPr>
    </w:lvl>
    <w:lvl w:ilvl="1">
      <w:start w:val="1"/>
      <w:numFmt w:val="decimal"/>
      <w:lvlText w:val="%2."/>
      <w:lvlJc w:val="left"/>
      <w:pPr>
        <w:tabs>
          <w:tab w:val="num" w:pos="0"/>
        </w:tabs>
        <w:ind w:left="1032" w:hanging="360"/>
      </w:pPr>
    </w:lvl>
    <w:lvl w:ilvl="2">
      <w:start w:val="1"/>
      <w:numFmt w:val="lowerRoman"/>
      <w:lvlText w:val="%2.%3."/>
      <w:lvlJc w:val="right"/>
      <w:pPr>
        <w:tabs>
          <w:tab w:val="num" w:pos="0"/>
        </w:tabs>
        <w:ind w:left="1752" w:hanging="180"/>
      </w:pPr>
    </w:lvl>
    <w:lvl w:ilvl="3">
      <w:start w:val="1"/>
      <w:numFmt w:val="decimal"/>
      <w:lvlText w:val="%2.%3.%4."/>
      <w:lvlJc w:val="left"/>
      <w:pPr>
        <w:tabs>
          <w:tab w:val="num" w:pos="0"/>
        </w:tabs>
        <w:ind w:left="2472" w:hanging="360"/>
      </w:pPr>
    </w:lvl>
    <w:lvl w:ilvl="4">
      <w:start w:val="1"/>
      <w:numFmt w:val="lowerLetter"/>
      <w:lvlText w:val="%2.%3.%4.%5."/>
      <w:lvlJc w:val="left"/>
      <w:pPr>
        <w:tabs>
          <w:tab w:val="num" w:pos="0"/>
        </w:tabs>
        <w:ind w:left="3192" w:hanging="360"/>
      </w:pPr>
    </w:lvl>
    <w:lvl w:ilvl="5">
      <w:start w:val="1"/>
      <w:numFmt w:val="lowerRoman"/>
      <w:lvlText w:val="%2.%3.%4.%5.%6."/>
      <w:lvlJc w:val="right"/>
      <w:pPr>
        <w:tabs>
          <w:tab w:val="num" w:pos="0"/>
        </w:tabs>
        <w:ind w:left="3912" w:hanging="180"/>
      </w:pPr>
    </w:lvl>
    <w:lvl w:ilvl="6">
      <w:start w:val="1"/>
      <w:numFmt w:val="decimal"/>
      <w:lvlText w:val="%2.%3.%4.%5.%6.%7."/>
      <w:lvlJc w:val="left"/>
      <w:pPr>
        <w:tabs>
          <w:tab w:val="num" w:pos="0"/>
        </w:tabs>
        <w:ind w:left="4632" w:hanging="360"/>
      </w:pPr>
    </w:lvl>
    <w:lvl w:ilvl="7">
      <w:start w:val="1"/>
      <w:numFmt w:val="lowerLetter"/>
      <w:lvlText w:val="%2.%3.%4.%5.%6.%7.%8."/>
      <w:lvlJc w:val="left"/>
      <w:pPr>
        <w:tabs>
          <w:tab w:val="num" w:pos="0"/>
        </w:tabs>
        <w:ind w:left="5352" w:hanging="360"/>
      </w:pPr>
    </w:lvl>
    <w:lvl w:ilvl="8">
      <w:start w:val="1"/>
      <w:numFmt w:val="lowerRoman"/>
      <w:lvlText w:val="%2.%3.%4.%5.%6.%7.%8.%9."/>
      <w:lvlJc w:val="right"/>
      <w:pPr>
        <w:tabs>
          <w:tab w:val="num" w:pos="0"/>
        </w:tabs>
        <w:ind w:left="6072" w:hanging="180"/>
      </w:pPr>
    </w:lvl>
  </w:abstractNum>
  <w:abstractNum w:abstractNumId="14" w15:restartNumberingAfterBreak="0">
    <w:nsid w:val="19661E91"/>
    <w:multiLevelType w:val="multilevel"/>
    <w:tmpl w:val="B54CBE8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9E46F23"/>
    <w:multiLevelType w:val="multilevel"/>
    <w:tmpl w:val="BEF2C87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B9E2153"/>
    <w:multiLevelType w:val="multilevel"/>
    <w:tmpl w:val="3266E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CCF5760"/>
    <w:multiLevelType w:val="hybridMultilevel"/>
    <w:tmpl w:val="A4C6D74C"/>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8" w15:restartNumberingAfterBreak="0">
    <w:nsid w:val="1FA70714"/>
    <w:multiLevelType w:val="multilevel"/>
    <w:tmpl w:val="6EC290B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8ED4F12"/>
    <w:multiLevelType w:val="hybridMultilevel"/>
    <w:tmpl w:val="A21C7610"/>
    <w:lvl w:ilvl="0" w:tplc="FE90973E">
      <w:start w:val="1"/>
      <w:numFmt w:val="decimal"/>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0" w15:restartNumberingAfterBreak="0">
    <w:nsid w:val="2CE22016"/>
    <w:multiLevelType w:val="multilevel"/>
    <w:tmpl w:val="4D146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50C5B4B"/>
    <w:multiLevelType w:val="hybridMultilevel"/>
    <w:tmpl w:val="288AB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F7C3DD8"/>
    <w:multiLevelType w:val="hybridMultilevel"/>
    <w:tmpl w:val="5FCA52F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00F3D93"/>
    <w:multiLevelType w:val="hybridMultilevel"/>
    <w:tmpl w:val="BD2A7AEE"/>
    <w:lvl w:ilvl="0" w:tplc="47DA0338">
      <w:start w:val="1"/>
      <w:numFmt w:val="lowerLetter"/>
      <w:lvlText w:val="%1)"/>
      <w:lvlJc w:val="left"/>
      <w:pPr>
        <w:ind w:left="1494" w:hanging="360"/>
      </w:pPr>
      <w:rPr>
        <w:rFonts w:hint="default"/>
        <w:b w:val="0"/>
      </w:rPr>
    </w:lvl>
    <w:lvl w:ilvl="1" w:tplc="04100019" w:tentative="1">
      <w:start w:val="1"/>
      <w:numFmt w:val="lowerLetter"/>
      <w:lvlText w:val="%2."/>
      <w:lvlJc w:val="left"/>
      <w:pPr>
        <w:ind w:left="2214" w:hanging="360"/>
      </w:pPr>
    </w:lvl>
    <w:lvl w:ilvl="2" w:tplc="0410001B" w:tentative="1">
      <w:start w:val="1"/>
      <w:numFmt w:val="lowerRoman"/>
      <w:lvlText w:val="%3."/>
      <w:lvlJc w:val="right"/>
      <w:pPr>
        <w:ind w:left="2934" w:hanging="180"/>
      </w:pPr>
    </w:lvl>
    <w:lvl w:ilvl="3" w:tplc="0410000F" w:tentative="1">
      <w:start w:val="1"/>
      <w:numFmt w:val="decimal"/>
      <w:lvlText w:val="%4."/>
      <w:lvlJc w:val="left"/>
      <w:pPr>
        <w:ind w:left="3654" w:hanging="360"/>
      </w:pPr>
    </w:lvl>
    <w:lvl w:ilvl="4" w:tplc="04100019" w:tentative="1">
      <w:start w:val="1"/>
      <w:numFmt w:val="lowerLetter"/>
      <w:lvlText w:val="%5."/>
      <w:lvlJc w:val="left"/>
      <w:pPr>
        <w:ind w:left="4374" w:hanging="360"/>
      </w:pPr>
    </w:lvl>
    <w:lvl w:ilvl="5" w:tplc="0410001B" w:tentative="1">
      <w:start w:val="1"/>
      <w:numFmt w:val="lowerRoman"/>
      <w:lvlText w:val="%6."/>
      <w:lvlJc w:val="right"/>
      <w:pPr>
        <w:ind w:left="5094" w:hanging="180"/>
      </w:pPr>
    </w:lvl>
    <w:lvl w:ilvl="6" w:tplc="0410000F" w:tentative="1">
      <w:start w:val="1"/>
      <w:numFmt w:val="decimal"/>
      <w:lvlText w:val="%7."/>
      <w:lvlJc w:val="left"/>
      <w:pPr>
        <w:ind w:left="5814" w:hanging="360"/>
      </w:pPr>
    </w:lvl>
    <w:lvl w:ilvl="7" w:tplc="04100019" w:tentative="1">
      <w:start w:val="1"/>
      <w:numFmt w:val="lowerLetter"/>
      <w:lvlText w:val="%8."/>
      <w:lvlJc w:val="left"/>
      <w:pPr>
        <w:ind w:left="6534" w:hanging="360"/>
      </w:pPr>
    </w:lvl>
    <w:lvl w:ilvl="8" w:tplc="0410001B" w:tentative="1">
      <w:start w:val="1"/>
      <w:numFmt w:val="lowerRoman"/>
      <w:lvlText w:val="%9."/>
      <w:lvlJc w:val="right"/>
      <w:pPr>
        <w:ind w:left="7254" w:hanging="180"/>
      </w:pPr>
    </w:lvl>
  </w:abstractNum>
  <w:abstractNum w:abstractNumId="24" w15:restartNumberingAfterBreak="0">
    <w:nsid w:val="4E461394"/>
    <w:multiLevelType w:val="hybridMultilevel"/>
    <w:tmpl w:val="7D36E27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0800427"/>
    <w:multiLevelType w:val="multilevel"/>
    <w:tmpl w:val="1D1CF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7E95A04"/>
    <w:multiLevelType w:val="hybridMultilevel"/>
    <w:tmpl w:val="A094B956"/>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A912E2E"/>
    <w:multiLevelType w:val="multilevel"/>
    <w:tmpl w:val="BA0AC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B047BDB"/>
    <w:multiLevelType w:val="hybridMultilevel"/>
    <w:tmpl w:val="0EB46A22"/>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9" w15:restartNumberingAfterBreak="0">
    <w:nsid w:val="5D107271"/>
    <w:multiLevelType w:val="multilevel"/>
    <w:tmpl w:val="3A0AE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0532C52"/>
    <w:multiLevelType w:val="multilevel"/>
    <w:tmpl w:val="F7CA9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3E62F68"/>
    <w:multiLevelType w:val="multilevel"/>
    <w:tmpl w:val="CF62857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49E409A"/>
    <w:multiLevelType w:val="hybridMultilevel"/>
    <w:tmpl w:val="B1C8DAF4"/>
    <w:lvl w:ilvl="0" w:tplc="1D12A822">
      <w:start w:val="89"/>
      <w:numFmt w:val="bullet"/>
      <w:lvlText w:val="-"/>
      <w:lvlJc w:val="left"/>
      <w:pPr>
        <w:ind w:left="1068" w:hanging="360"/>
      </w:pPr>
      <w:rPr>
        <w:rFonts w:ascii="Times New Roman" w:eastAsia="Times New Roman" w:hAnsi="Times New Roman" w:cs="Times New Roman" w:hint="default"/>
      </w:rPr>
    </w:lvl>
    <w:lvl w:ilvl="1" w:tplc="04100003">
      <w:start w:val="1"/>
      <w:numFmt w:val="bullet"/>
      <w:lvlText w:val="o"/>
      <w:lvlJc w:val="left"/>
      <w:pPr>
        <w:ind w:left="1788" w:hanging="360"/>
      </w:pPr>
      <w:rPr>
        <w:rFonts w:ascii="Courier New" w:hAnsi="Courier New" w:cs="Courier New" w:hint="default"/>
      </w:rPr>
    </w:lvl>
    <w:lvl w:ilvl="2" w:tplc="04100005">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33" w15:restartNumberingAfterBreak="0">
    <w:nsid w:val="6D2B5511"/>
    <w:multiLevelType w:val="singleLevel"/>
    <w:tmpl w:val="74A09970"/>
    <w:name w:val="List Bullet"/>
    <w:lvl w:ilvl="0">
      <w:start w:val="1"/>
      <w:numFmt w:val="bullet"/>
      <w:pStyle w:val="ListBullet"/>
      <w:lvlText w:val=""/>
      <w:lvlJc w:val="left"/>
      <w:pPr>
        <w:tabs>
          <w:tab w:val="num" w:pos="283"/>
        </w:tabs>
        <w:ind w:left="283" w:hanging="283"/>
      </w:pPr>
      <w:rPr>
        <w:rFonts w:ascii="Symbol" w:hAnsi="Symbol" w:hint="default"/>
      </w:rPr>
    </w:lvl>
  </w:abstractNum>
  <w:abstractNum w:abstractNumId="34" w15:restartNumberingAfterBreak="0">
    <w:nsid w:val="6E837821"/>
    <w:multiLevelType w:val="multilevel"/>
    <w:tmpl w:val="C464E38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6783953"/>
    <w:multiLevelType w:val="multilevel"/>
    <w:tmpl w:val="C22249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8FF2246"/>
    <w:multiLevelType w:val="hybridMultilevel"/>
    <w:tmpl w:val="03F8B2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A270AF8"/>
    <w:multiLevelType w:val="hybridMultilevel"/>
    <w:tmpl w:val="3252CF0E"/>
    <w:lvl w:ilvl="0" w:tplc="6352A7BA">
      <w:start w:val="3"/>
      <w:numFmt w:val="bullet"/>
      <w:lvlText w:val="-"/>
      <w:lvlJc w:val="left"/>
      <w:pPr>
        <w:ind w:left="1440" w:hanging="360"/>
      </w:pPr>
      <w:rPr>
        <w:rFonts w:ascii="Calibri" w:eastAsiaTheme="minorHAnsi" w:hAnsi="Calibri" w:cstheme="minorBidi"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num w:numId="1">
    <w:abstractNumId w:val="33"/>
  </w:num>
  <w:num w:numId="2">
    <w:abstractNumId w:val="32"/>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num>
  <w:num w:numId="5">
    <w:abstractNumId w:val="30"/>
  </w:num>
  <w:num w:numId="6">
    <w:abstractNumId w:val="6"/>
  </w:num>
  <w:num w:numId="7">
    <w:abstractNumId w:val="25"/>
  </w:num>
  <w:num w:numId="8">
    <w:abstractNumId w:val="4"/>
  </w:num>
  <w:num w:numId="9">
    <w:abstractNumId w:val="12"/>
  </w:num>
  <w:num w:numId="10">
    <w:abstractNumId w:val="8"/>
  </w:num>
  <w:num w:numId="11">
    <w:abstractNumId w:val="29"/>
  </w:num>
  <w:num w:numId="12">
    <w:abstractNumId w:val="27"/>
  </w:num>
  <w:num w:numId="13">
    <w:abstractNumId w:val="14"/>
  </w:num>
  <w:num w:numId="14">
    <w:abstractNumId w:val="31"/>
  </w:num>
  <w:num w:numId="15">
    <w:abstractNumId w:val="26"/>
  </w:num>
  <w:num w:numId="16">
    <w:abstractNumId w:val="2"/>
  </w:num>
  <w:num w:numId="17">
    <w:abstractNumId w:val="16"/>
  </w:num>
  <w:num w:numId="18">
    <w:abstractNumId w:val="34"/>
  </w:num>
  <w:num w:numId="19">
    <w:abstractNumId w:val="0"/>
  </w:num>
  <w:num w:numId="20">
    <w:abstractNumId w:val="1"/>
  </w:num>
  <w:num w:numId="21">
    <w:abstractNumId w:val="37"/>
  </w:num>
  <w:num w:numId="22">
    <w:abstractNumId w:val="23"/>
  </w:num>
  <w:num w:numId="23">
    <w:abstractNumId w:val="7"/>
  </w:num>
  <w:num w:numId="24">
    <w:abstractNumId w:val="10"/>
  </w:num>
  <w:num w:numId="25">
    <w:abstractNumId w:val="5"/>
  </w:num>
  <w:num w:numId="26">
    <w:abstractNumId w:val="13"/>
  </w:num>
  <w:num w:numId="27">
    <w:abstractNumId w:val="22"/>
  </w:num>
  <w:num w:numId="28">
    <w:abstractNumId w:val="24"/>
  </w:num>
  <w:num w:numId="29">
    <w:abstractNumId w:val="18"/>
  </w:num>
  <w:num w:numId="30">
    <w:abstractNumId w:val="15"/>
  </w:num>
  <w:num w:numId="31">
    <w:abstractNumId w:val="35"/>
  </w:num>
  <w:num w:numId="32">
    <w:abstractNumId w:val="9"/>
  </w:num>
  <w:num w:numId="33">
    <w:abstractNumId w:val="19"/>
  </w:num>
  <w:num w:numId="34">
    <w:abstractNumId w:val="28"/>
  </w:num>
  <w:num w:numId="35">
    <w:abstractNumId w:val="17"/>
  </w:num>
  <w:num w:numId="36">
    <w:abstractNumId w:val="36"/>
  </w:num>
  <w:num w:numId="37">
    <w:abstractNumId w:val="21"/>
  </w:num>
  <w:num w:numId="38">
    <w:abstractNumId w:val="2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2CD7"/>
    <w:rsid w:val="00000399"/>
    <w:rsid w:val="00004380"/>
    <w:rsid w:val="00014BBD"/>
    <w:rsid w:val="00020B7E"/>
    <w:rsid w:val="000224EC"/>
    <w:rsid w:val="00025601"/>
    <w:rsid w:val="00025D4B"/>
    <w:rsid w:val="00026CD8"/>
    <w:rsid w:val="000342EA"/>
    <w:rsid w:val="00036256"/>
    <w:rsid w:val="00036EBD"/>
    <w:rsid w:val="0004387B"/>
    <w:rsid w:val="00047D85"/>
    <w:rsid w:val="00053336"/>
    <w:rsid w:val="00055A69"/>
    <w:rsid w:val="00055D78"/>
    <w:rsid w:val="00060C87"/>
    <w:rsid w:val="00060F8E"/>
    <w:rsid w:val="00066B13"/>
    <w:rsid w:val="00074E8C"/>
    <w:rsid w:val="000801F0"/>
    <w:rsid w:val="00085FE4"/>
    <w:rsid w:val="00086C1E"/>
    <w:rsid w:val="000917A7"/>
    <w:rsid w:val="00095362"/>
    <w:rsid w:val="000A0363"/>
    <w:rsid w:val="000A190B"/>
    <w:rsid w:val="000B2B9C"/>
    <w:rsid w:val="000C2B17"/>
    <w:rsid w:val="000C495B"/>
    <w:rsid w:val="000C567D"/>
    <w:rsid w:val="000C7D2A"/>
    <w:rsid w:val="000D28EF"/>
    <w:rsid w:val="000D7CEF"/>
    <w:rsid w:val="000E0BFA"/>
    <w:rsid w:val="000E1C44"/>
    <w:rsid w:val="000E2E6C"/>
    <w:rsid w:val="000E79EC"/>
    <w:rsid w:val="000F07B3"/>
    <w:rsid w:val="000F131D"/>
    <w:rsid w:val="000F1E4D"/>
    <w:rsid w:val="000F7ACD"/>
    <w:rsid w:val="001003E8"/>
    <w:rsid w:val="00100F20"/>
    <w:rsid w:val="00102382"/>
    <w:rsid w:val="0011309E"/>
    <w:rsid w:val="00125287"/>
    <w:rsid w:val="00126269"/>
    <w:rsid w:val="00130E9C"/>
    <w:rsid w:val="00131E1C"/>
    <w:rsid w:val="00134597"/>
    <w:rsid w:val="0013530E"/>
    <w:rsid w:val="0013610C"/>
    <w:rsid w:val="00140BD4"/>
    <w:rsid w:val="00141CE7"/>
    <w:rsid w:val="001425B0"/>
    <w:rsid w:val="0014345A"/>
    <w:rsid w:val="00143542"/>
    <w:rsid w:val="001464DF"/>
    <w:rsid w:val="00173633"/>
    <w:rsid w:val="00175C9E"/>
    <w:rsid w:val="00191910"/>
    <w:rsid w:val="001B0FE3"/>
    <w:rsid w:val="001B4415"/>
    <w:rsid w:val="001C33C1"/>
    <w:rsid w:val="001D11BE"/>
    <w:rsid w:val="001D234E"/>
    <w:rsid w:val="001D3AE5"/>
    <w:rsid w:val="001E33C3"/>
    <w:rsid w:val="001E461D"/>
    <w:rsid w:val="001F6B82"/>
    <w:rsid w:val="00206E90"/>
    <w:rsid w:val="0021218B"/>
    <w:rsid w:val="00213425"/>
    <w:rsid w:val="00217FB0"/>
    <w:rsid w:val="002210D5"/>
    <w:rsid w:val="00225A69"/>
    <w:rsid w:val="002262AF"/>
    <w:rsid w:val="002335A7"/>
    <w:rsid w:val="00234100"/>
    <w:rsid w:val="00243501"/>
    <w:rsid w:val="0024423D"/>
    <w:rsid w:val="00244B99"/>
    <w:rsid w:val="00245358"/>
    <w:rsid w:val="002574B6"/>
    <w:rsid w:val="00262C12"/>
    <w:rsid w:val="0028215A"/>
    <w:rsid w:val="002835D0"/>
    <w:rsid w:val="00284015"/>
    <w:rsid w:val="00285691"/>
    <w:rsid w:val="00287207"/>
    <w:rsid w:val="00287A2E"/>
    <w:rsid w:val="002A046A"/>
    <w:rsid w:val="002A5FCC"/>
    <w:rsid w:val="002A7224"/>
    <w:rsid w:val="002A7301"/>
    <w:rsid w:val="002B2CD2"/>
    <w:rsid w:val="002B4C24"/>
    <w:rsid w:val="002B54D1"/>
    <w:rsid w:val="002C152B"/>
    <w:rsid w:val="002C6378"/>
    <w:rsid w:val="002D0F83"/>
    <w:rsid w:val="002E2EDB"/>
    <w:rsid w:val="002E40CA"/>
    <w:rsid w:val="002E65E7"/>
    <w:rsid w:val="002E7F6D"/>
    <w:rsid w:val="002F07A8"/>
    <w:rsid w:val="002F455D"/>
    <w:rsid w:val="002F630E"/>
    <w:rsid w:val="002F7E70"/>
    <w:rsid w:val="0030568B"/>
    <w:rsid w:val="00311A3B"/>
    <w:rsid w:val="00320DC2"/>
    <w:rsid w:val="00321246"/>
    <w:rsid w:val="00323CF2"/>
    <w:rsid w:val="0033111A"/>
    <w:rsid w:val="00331B9D"/>
    <w:rsid w:val="0034032B"/>
    <w:rsid w:val="00345CC8"/>
    <w:rsid w:val="00357339"/>
    <w:rsid w:val="00357A2C"/>
    <w:rsid w:val="00363627"/>
    <w:rsid w:val="0036599E"/>
    <w:rsid w:val="00366F7B"/>
    <w:rsid w:val="00371377"/>
    <w:rsid w:val="003761A6"/>
    <w:rsid w:val="00376C9B"/>
    <w:rsid w:val="00381B98"/>
    <w:rsid w:val="00395580"/>
    <w:rsid w:val="0039671E"/>
    <w:rsid w:val="003A7190"/>
    <w:rsid w:val="003B007E"/>
    <w:rsid w:val="003B6D8C"/>
    <w:rsid w:val="003C47A7"/>
    <w:rsid w:val="003C53AB"/>
    <w:rsid w:val="003E0ADE"/>
    <w:rsid w:val="003E2685"/>
    <w:rsid w:val="003F4243"/>
    <w:rsid w:val="00412AD2"/>
    <w:rsid w:val="00433F8D"/>
    <w:rsid w:val="004352EE"/>
    <w:rsid w:val="00443129"/>
    <w:rsid w:val="00444176"/>
    <w:rsid w:val="00452C6B"/>
    <w:rsid w:val="004616C2"/>
    <w:rsid w:val="004638E9"/>
    <w:rsid w:val="00465191"/>
    <w:rsid w:val="00470581"/>
    <w:rsid w:val="004821C9"/>
    <w:rsid w:val="004821E1"/>
    <w:rsid w:val="00483DB8"/>
    <w:rsid w:val="00484661"/>
    <w:rsid w:val="0048704E"/>
    <w:rsid w:val="004878D0"/>
    <w:rsid w:val="004932EE"/>
    <w:rsid w:val="004A61A7"/>
    <w:rsid w:val="004B2FF1"/>
    <w:rsid w:val="004B37EE"/>
    <w:rsid w:val="004B3B74"/>
    <w:rsid w:val="004B4DFA"/>
    <w:rsid w:val="004B62E4"/>
    <w:rsid w:val="004D5072"/>
    <w:rsid w:val="004E51BF"/>
    <w:rsid w:val="005022AD"/>
    <w:rsid w:val="00523045"/>
    <w:rsid w:val="00524B14"/>
    <w:rsid w:val="005316ED"/>
    <w:rsid w:val="005373CD"/>
    <w:rsid w:val="00541438"/>
    <w:rsid w:val="00546E0F"/>
    <w:rsid w:val="0055002E"/>
    <w:rsid w:val="00552FE4"/>
    <w:rsid w:val="00553197"/>
    <w:rsid w:val="00553B73"/>
    <w:rsid w:val="005604DB"/>
    <w:rsid w:val="00562172"/>
    <w:rsid w:val="005642E5"/>
    <w:rsid w:val="0056612D"/>
    <w:rsid w:val="00571AE1"/>
    <w:rsid w:val="00573F12"/>
    <w:rsid w:val="005913CD"/>
    <w:rsid w:val="00594D36"/>
    <w:rsid w:val="005A4A7C"/>
    <w:rsid w:val="005A7FCB"/>
    <w:rsid w:val="005B0B6D"/>
    <w:rsid w:val="005B0CFB"/>
    <w:rsid w:val="005C4DE7"/>
    <w:rsid w:val="005C5A77"/>
    <w:rsid w:val="005D27E9"/>
    <w:rsid w:val="005D342B"/>
    <w:rsid w:val="005D50C3"/>
    <w:rsid w:val="005E1DAF"/>
    <w:rsid w:val="005E6B88"/>
    <w:rsid w:val="006072F4"/>
    <w:rsid w:val="006237B9"/>
    <w:rsid w:val="006237C9"/>
    <w:rsid w:val="0063097A"/>
    <w:rsid w:val="00633921"/>
    <w:rsid w:val="0064615E"/>
    <w:rsid w:val="00656F6E"/>
    <w:rsid w:val="00670D47"/>
    <w:rsid w:val="0068192F"/>
    <w:rsid w:val="006916C1"/>
    <w:rsid w:val="00694AF0"/>
    <w:rsid w:val="006A1CFC"/>
    <w:rsid w:val="006A7F5F"/>
    <w:rsid w:val="006B3336"/>
    <w:rsid w:val="006B5A04"/>
    <w:rsid w:val="006B6932"/>
    <w:rsid w:val="006B733E"/>
    <w:rsid w:val="006C2267"/>
    <w:rsid w:val="006C51B4"/>
    <w:rsid w:val="006C59E3"/>
    <w:rsid w:val="006C5A7D"/>
    <w:rsid w:val="006C60F0"/>
    <w:rsid w:val="006C6C07"/>
    <w:rsid w:val="006D0259"/>
    <w:rsid w:val="006D263F"/>
    <w:rsid w:val="006D7267"/>
    <w:rsid w:val="006F01C8"/>
    <w:rsid w:val="006F6AA1"/>
    <w:rsid w:val="007117D4"/>
    <w:rsid w:val="00713429"/>
    <w:rsid w:val="0072160C"/>
    <w:rsid w:val="00721985"/>
    <w:rsid w:val="007222E4"/>
    <w:rsid w:val="007234D9"/>
    <w:rsid w:val="007260BC"/>
    <w:rsid w:val="00726955"/>
    <w:rsid w:val="0073005C"/>
    <w:rsid w:val="00743EBF"/>
    <w:rsid w:val="00746098"/>
    <w:rsid w:val="007617AB"/>
    <w:rsid w:val="0076392B"/>
    <w:rsid w:val="007677BC"/>
    <w:rsid w:val="007703C6"/>
    <w:rsid w:val="00780C0B"/>
    <w:rsid w:val="00790704"/>
    <w:rsid w:val="00797BDE"/>
    <w:rsid w:val="007A3ADB"/>
    <w:rsid w:val="007B5761"/>
    <w:rsid w:val="007D3529"/>
    <w:rsid w:val="007D654F"/>
    <w:rsid w:val="007E071D"/>
    <w:rsid w:val="007E28E1"/>
    <w:rsid w:val="007E30EA"/>
    <w:rsid w:val="007E62F3"/>
    <w:rsid w:val="007F15E2"/>
    <w:rsid w:val="007F3CD9"/>
    <w:rsid w:val="0080539A"/>
    <w:rsid w:val="0081305A"/>
    <w:rsid w:val="00816CBA"/>
    <w:rsid w:val="00821655"/>
    <w:rsid w:val="00824522"/>
    <w:rsid w:val="00830057"/>
    <w:rsid w:val="00832228"/>
    <w:rsid w:val="008330DA"/>
    <w:rsid w:val="00835D71"/>
    <w:rsid w:val="00845DB6"/>
    <w:rsid w:val="00860DBD"/>
    <w:rsid w:val="00863704"/>
    <w:rsid w:val="00863A3D"/>
    <w:rsid w:val="00871A64"/>
    <w:rsid w:val="0087270C"/>
    <w:rsid w:val="00876D0F"/>
    <w:rsid w:val="008A3534"/>
    <w:rsid w:val="008A4FA8"/>
    <w:rsid w:val="008A58F2"/>
    <w:rsid w:val="008B118D"/>
    <w:rsid w:val="008B7893"/>
    <w:rsid w:val="008C3CD6"/>
    <w:rsid w:val="008C3F97"/>
    <w:rsid w:val="008C5090"/>
    <w:rsid w:val="008D0CC5"/>
    <w:rsid w:val="008E09D9"/>
    <w:rsid w:val="008E1194"/>
    <w:rsid w:val="008E688D"/>
    <w:rsid w:val="008F52B1"/>
    <w:rsid w:val="008F6F71"/>
    <w:rsid w:val="008F7587"/>
    <w:rsid w:val="009004AB"/>
    <w:rsid w:val="009027C9"/>
    <w:rsid w:val="00907051"/>
    <w:rsid w:val="00915618"/>
    <w:rsid w:val="00924912"/>
    <w:rsid w:val="009250E5"/>
    <w:rsid w:val="00927112"/>
    <w:rsid w:val="009320A5"/>
    <w:rsid w:val="009435BB"/>
    <w:rsid w:val="00944678"/>
    <w:rsid w:val="00951535"/>
    <w:rsid w:val="00953E6C"/>
    <w:rsid w:val="00954719"/>
    <w:rsid w:val="0096246B"/>
    <w:rsid w:val="00967449"/>
    <w:rsid w:val="00973A09"/>
    <w:rsid w:val="009753CE"/>
    <w:rsid w:val="00976ACF"/>
    <w:rsid w:val="00980CED"/>
    <w:rsid w:val="0098144C"/>
    <w:rsid w:val="009831FF"/>
    <w:rsid w:val="009865EB"/>
    <w:rsid w:val="00987DF2"/>
    <w:rsid w:val="00995131"/>
    <w:rsid w:val="009955B4"/>
    <w:rsid w:val="00995AB2"/>
    <w:rsid w:val="009A57D9"/>
    <w:rsid w:val="009B1DE8"/>
    <w:rsid w:val="009B56AE"/>
    <w:rsid w:val="009B5B73"/>
    <w:rsid w:val="009B6755"/>
    <w:rsid w:val="009C1AD9"/>
    <w:rsid w:val="009C5CB9"/>
    <w:rsid w:val="009D521B"/>
    <w:rsid w:val="009E650A"/>
    <w:rsid w:val="009E6B91"/>
    <w:rsid w:val="009F1041"/>
    <w:rsid w:val="009F1E9B"/>
    <w:rsid w:val="009F3A9C"/>
    <w:rsid w:val="009F7109"/>
    <w:rsid w:val="00A05BD6"/>
    <w:rsid w:val="00A0630F"/>
    <w:rsid w:val="00A1219A"/>
    <w:rsid w:val="00A15B0E"/>
    <w:rsid w:val="00A17A33"/>
    <w:rsid w:val="00A2632E"/>
    <w:rsid w:val="00A27A62"/>
    <w:rsid w:val="00A43836"/>
    <w:rsid w:val="00A53966"/>
    <w:rsid w:val="00A55099"/>
    <w:rsid w:val="00A553E3"/>
    <w:rsid w:val="00A6223A"/>
    <w:rsid w:val="00A63AE5"/>
    <w:rsid w:val="00A63BE4"/>
    <w:rsid w:val="00A64DC4"/>
    <w:rsid w:val="00A71C2D"/>
    <w:rsid w:val="00A72C09"/>
    <w:rsid w:val="00A7503E"/>
    <w:rsid w:val="00A75638"/>
    <w:rsid w:val="00A76D52"/>
    <w:rsid w:val="00A8182D"/>
    <w:rsid w:val="00A86DB2"/>
    <w:rsid w:val="00AA6634"/>
    <w:rsid w:val="00AA6A16"/>
    <w:rsid w:val="00AA707A"/>
    <w:rsid w:val="00AB1008"/>
    <w:rsid w:val="00AB257F"/>
    <w:rsid w:val="00AB7D8C"/>
    <w:rsid w:val="00AC4810"/>
    <w:rsid w:val="00AD4CBB"/>
    <w:rsid w:val="00AD5517"/>
    <w:rsid w:val="00AE024F"/>
    <w:rsid w:val="00AE088C"/>
    <w:rsid w:val="00AE2936"/>
    <w:rsid w:val="00AE608A"/>
    <w:rsid w:val="00AE7FEB"/>
    <w:rsid w:val="00AF04AA"/>
    <w:rsid w:val="00B103A9"/>
    <w:rsid w:val="00B22F9A"/>
    <w:rsid w:val="00B2411A"/>
    <w:rsid w:val="00B256EB"/>
    <w:rsid w:val="00B36534"/>
    <w:rsid w:val="00B429A0"/>
    <w:rsid w:val="00B42EC5"/>
    <w:rsid w:val="00B632BA"/>
    <w:rsid w:val="00B74F63"/>
    <w:rsid w:val="00B8335D"/>
    <w:rsid w:val="00B84133"/>
    <w:rsid w:val="00B878BC"/>
    <w:rsid w:val="00B92AD6"/>
    <w:rsid w:val="00B9334A"/>
    <w:rsid w:val="00B9452C"/>
    <w:rsid w:val="00B9519F"/>
    <w:rsid w:val="00B97857"/>
    <w:rsid w:val="00BA3BD9"/>
    <w:rsid w:val="00BA6E7C"/>
    <w:rsid w:val="00BA79F2"/>
    <w:rsid w:val="00BB0A76"/>
    <w:rsid w:val="00BB58CF"/>
    <w:rsid w:val="00BC1ADC"/>
    <w:rsid w:val="00BC7664"/>
    <w:rsid w:val="00BE03B5"/>
    <w:rsid w:val="00BE3669"/>
    <w:rsid w:val="00BF1BBC"/>
    <w:rsid w:val="00BF6090"/>
    <w:rsid w:val="00C10BFD"/>
    <w:rsid w:val="00C253B2"/>
    <w:rsid w:val="00C27C70"/>
    <w:rsid w:val="00C31B44"/>
    <w:rsid w:val="00C45451"/>
    <w:rsid w:val="00C463CE"/>
    <w:rsid w:val="00C50BC0"/>
    <w:rsid w:val="00C53E96"/>
    <w:rsid w:val="00C55BC4"/>
    <w:rsid w:val="00C56857"/>
    <w:rsid w:val="00C56C67"/>
    <w:rsid w:val="00C61BEA"/>
    <w:rsid w:val="00C6612D"/>
    <w:rsid w:val="00C71E76"/>
    <w:rsid w:val="00C77153"/>
    <w:rsid w:val="00C83E1D"/>
    <w:rsid w:val="00C84205"/>
    <w:rsid w:val="00C85676"/>
    <w:rsid w:val="00C858B4"/>
    <w:rsid w:val="00C871A9"/>
    <w:rsid w:val="00C8789B"/>
    <w:rsid w:val="00C87900"/>
    <w:rsid w:val="00C9323E"/>
    <w:rsid w:val="00C96D1B"/>
    <w:rsid w:val="00CA1C04"/>
    <w:rsid w:val="00CA2505"/>
    <w:rsid w:val="00CA7AF0"/>
    <w:rsid w:val="00CB48E3"/>
    <w:rsid w:val="00CB51AB"/>
    <w:rsid w:val="00CB688A"/>
    <w:rsid w:val="00CC5F0B"/>
    <w:rsid w:val="00CC7658"/>
    <w:rsid w:val="00CD0E4A"/>
    <w:rsid w:val="00CD66A5"/>
    <w:rsid w:val="00CD7471"/>
    <w:rsid w:val="00CE3F1C"/>
    <w:rsid w:val="00CE41D0"/>
    <w:rsid w:val="00CE79D2"/>
    <w:rsid w:val="00CF6BD5"/>
    <w:rsid w:val="00D1129C"/>
    <w:rsid w:val="00D13776"/>
    <w:rsid w:val="00D200A3"/>
    <w:rsid w:val="00D27B08"/>
    <w:rsid w:val="00D27C41"/>
    <w:rsid w:val="00D34BF2"/>
    <w:rsid w:val="00D350ED"/>
    <w:rsid w:val="00D35B95"/>
    <w:rsid w:val="00D377AF"/>
    <w:rsid w:val="00D37C8B"/>
    <w:rsid w:val="00D45C07"/>
    <w:rsid w:val="00D513E6"/>
    <w:rsid w:val="00D52767"/>
    <w:rsid w:val="00D547CE"/>
    <w:rsid w:val="00D62B10"/>
    <w:rsid w:val="00D62BE9"/>
    <w:rsid w:val="00D67E55"/>
    <w:rsid w:val="00D71CB7"/>
    <w:rsid w:val="00D83D09"/>
    <w:rsid w:val="00D8725E"/>
    <w:rsid w:val="00D939A0"/>
    <w:rsid w:val="00D94A0A"/>
    <w:rsid w:val="00D9557D"/>
    <w:rsid w:val="00DA0662"/>
    <w:rsid w:val="00DA2378"/>
    <w:rsid w:val="00DB438B"/>
    <w:rsid w:val="00DB5D6C"/>
    <w:rsid w:val="00DC1406"/>
    <w:rsid w:val="00DC410D"/>
    <w:rsid w:val="00DD5DB1"/>
    <w:rsid w:val="00DD702A"/>
    <w:rsid w:val="00E00422"/>
    <w:rsid w:val="00E016D9"/>
    <w:rsid w:val="00E01729"/>
    <w:rsid w:val="00E0308B"/>
    <w:rsid w:val="00E05E45"/>
    <w:rsid w:val="00E07BA5"/>
    <w:rsid w:val="00E1028F"/>
    <w:rsid w:val="00E15DFB"/>
    <w:rsid w:val="00E16B17"/>
    <w:rsid w:val="00E20B13"/>
    <w:rsid w:val="00E24B09"/>
    <w:rsid w:val="00E2560F"/>
    <w:rsid w:val="00E37547"/>
    <w:rsid w:val="00E37A59"/>
    <w:rsid w:val="00E42041"/>
    <w:rsid w:val="00E4591D"/>
    <w:rsid w:val="00E47D1A"/>
    <w:rsid w:val="00E50FB1"/>
    <w:rsid w:val="00E613B0"/>
    <w:rsid w:val="00E66FEF"/>
    <w:rsid w:val="00E74475"/>
    <w:rsid w:val="00E8013D"/>
    <w:rsid w:val="00E804B4"/>
    <w:rsid w:val="00E90E07"/>
    <w:rsid w:val="00E94B01"/>
    <w:rsid w:val="00E95136"/>
    <w:rsid w:val="00EB62C5"/>
    <w:rsid w:val="00EC3AF7"/>
    <w:rsid w:val="00EC3BE3"/>
    <w:rsid w:val="00ED2473"/>
    <w:rsid w:val="00ED4300"/>
    <w:rsid w:val="00ED722A"/>
    <w:rsid w:val="00EE4975"/>
    <w:rsid w:val="00EE54B0"/>
    <w:rsid w:val="00EF2CD7"/>
    <w:rsid w:val="00EF4BA3"/>
    <w:rsid w:val="00EF5871"/>
    <w:rsid w:val="00F043AD"/>
    <w:rsid w:val="00F12038"/>
    <w:rsid w:val="00F12798"/>
    <w:rsid w:val="00F13A82"/>
    <w:rsid w:val="00F1540D"/>
    <w:rsid w:val="00F175B5"/>
    <w:rsid w:val="00F2608C"/>
    <w:rsid w:val="00F33B66"/>
    <w:rsid w:val="00F35595"/>
    <w:rsid w:val="00F446B6"/>
    <w:rsid w:val="00F53242"/>
    <w:rsid w:val="00F55B1C"/>
    <w:rsid w:val="00F63710"/>
    <w:rsid w:val="00F828DD"/>
    <w:rsid w:val="00F846A9"/>
    <w:rsid w:val="00F9579C"/>
    <w:rsid w:val="00F95D11"/>
    <w:rsid w:val="00FA1B38"/>
    <w:rsid w:val="00FB1E5A"/>
    <w:rsid w:val="00FB3B41"/>
    <w:rsid w:val="00FB3CD1"/>
    <w:rsid w:val="00FB4CC4"/>
    <w:rsid w:val="00FB79EB"/>
    <w:rsid w:val="00FC1745"/>
    <w:rsid w:val="00FC4606"/>
    <w:rsid w:val="00FC590A"/>
    <w:rsid w:val="00FD3CD4"/>
    <w:rsid w:val="00FD4143"/>
    <w:rsid w:val="00FD5E8B"/>
    <w:rsid w:val="00FE50B3"/>
    <w:rsid w:val="00FE6E33"/>
    <w:rsid w:val="00FF2763"/>
    <w:rsid w:val="00FF4BD1"/>
    <w:rsid w:val="00FF783E"/>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FC1C99E"/>
  <w15:docId w15:val="{991B84A2-8C44-BC46-8117-4864C7BB7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2CD7"/>
    <w:pPr>
      <w:spacing w:after="0" w:line="240" w:lineRule="auto"/>
    </w:pPr>
    <w:rPr>
      <w:rFonts w:ascii="Times New Roman" w:eastAsia="Times New Roman" w:hAnsi="Times New Roman" w:cs="Times New Roman"/>
      <w:sz w:val="24"/>
      <w:szCs w:val="24"/>
      <w:lang w:eastAsia="it-IT"/>
    </w:rPr>
  </w:style>
  <w:style w:type="paragraph" w:styleId="Heading1">
    <w:name w:val="heading 1"/>
    <w:basedOn w:val="Normal"/>
    <w:next w:val="Normal"/>
    <w:link w:val="Heading1Char"/>
    <w:uiPriority w:val="99"/>
    <w:qFormat/>
    <w:rsid w:val="00EF2CD7"/>
    <w:pPr>
      <w:keepNext/>
      <w:jc w:val="center"/>
      <w:outlineLvl w:val="0"/>
    </w:pPr>
    <w:rPr>
      <w:b/>
      <w:sz w:val="28"/>
    </w:rPr>
  </w:style>
  <w:style w:type="paragraph" w:styleId="Heading2">
    <w:name w:val="heading 2"/>
    <w:aliases w:val="Titre 2 Car1,Titre 2 Car Car,Heading 2 Char Car Car,Titre 2 Car Char Car Car,Car1 Car Char Car Car,Car1 Char Car Car,Heading 2 Char Char Car Car,Car1 Char Char Car Car,Titre 2 Car Char Char Car Car,Heading 2 Char1 Car Char Char Car Car"/>
    <w:basedOn w:val="Normal"/>
    <w:next w:val="Normal"/>
    <w:link w:val="Heading2Char"/>
    <w:uiPriority w:val="99"/>
    <w:qFormat/>
    <w:rsid w:val="002D0F83"/>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2D0F83"/>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
    <w:semiHidden/>
    <w:unhideWhenUsed/>
    <w:qFormat/>
    <w:rsid w:val="00D67E55"/>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907051"/>
    <w:pPr>
      <w:keepNext/>
      <w:keepLines/>
      <w:spacing w:before="40"/>
      <w:outlineLvl w:val="4"/>
    </w:pPr>
    <w:rPr>
      <w:rFonts w:asciiTheme="majorHAnsi" w:eastAsiaTheme="majorEastAsia" w:hAnsiTheme="majorHAnsi" w:cstheme="majorBidi"/>
      <w:color w:val="365F91" w:themeColor="accent1" w:themeShade="BF"/>
    </w:rPr>
  </w:style>
  <w:style w:type="paragraph" w:styleId="Heading7">
    <w:name w:val="heading 7"/>
    <w:basedOn w:val="Normal"/>
    <w:next w:val="Normal"/>
    <w:link w:val="Heading7Char"/>
    <w:uiPriority w:val="9"/>
    <w:semiHidden/>
    <w:unhideWhenUsed/>
    <w:qFormat/>
    <w:rsid w:val="00B429A0"/>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EF2CD7"/>
    <w:rPr>
      <w:sz w:val="28"/>
      <w:lang w:val="en-GB"/>
    </w:rPr>
  </w:style>
  <w:style w:type="character" w:customStyle="1" w:styleId="BodyTextChar">
    <w:name w:val="Body Text Char"/>
    <w:basedOn w:val="DefaultParagraphFont"/>
    <w:link w:val="BodyText"/>
    <w:uiPriority w:val="99"/>
    <w:semiHidden/>
    <w:rsid w:val="00EF2CD7"/>
    <w:rPr>
      <w:rFonts w:ascii="Times New Roman" w:eastAsia="Times New Roman" w:hAnsi="Times New Roman" w:cs="Times New Roman"/>
      <w:sz w:val="28"/>
      <w:szCs w:val="24"/>
      <w:lang w:val="en-GB" w:eastAsia="it-IT"/>
    </w:rPr>
  </w:style>
  <w:style w:type="paragraph" w:styleId="BodyTextIndent3">
    <w:name w:val="Body Text Indent 3"/>
    <w:basedOn w:val="Normal"/>
    <w:link w:val="BodyTextIndent3Char"/>
    <w:semiHidden/>
    <w:rsid w:val="00EF2CD7"/>
    <w:pPr>
      <w:spacing w:line="360" w:lineRule="auto"/>
      <w:ind w:firstLine="709"/>
      <w:jc w:val="both"/>
    </w:pPr>
  </w:style>
  <w:style w:type="character" w:customStyle="1" w:styleId="BodyTextIndent3Char">
    <w:name w:val="Body Text Indent 3 Char"/>
    <w:basedOn w:val="DefaultParagraphFont"/>
    <w:link w:val="BodyTextIndent3"/>
    <w:semiHidden/>
    <w:rsid w:val="00EF2CD7"/>
    <w:rPr>
      <w:rFonts w:ascii="Times New Roman" w:eastAsia="Times New Roman" w:hAnsi="Times New Roman" w:cs="Times New Roman"/>
      <w:sz w:val="24"/>
      <w:szCs w:val="24"/>
      <w:lang w:eastAsia="it-IT"/>
    </w:rPr>
  </w:style>
  <w:style w:type="character" w:customStyle="1" w:styleId="Heading1Char">
    <w:name w:val="Heading 1 Char"/>
    <w:basedOn w:val="DefaultParagraphFont"/>
    <w:link w:val="Heading1"/>
    <w:uiPriority w:val="99"/>
    <w:rsid w:val="00EF2CD7"/>
    <w:rPr>
      <w:rFonts w:ascii="Times New Roman" w:eastAsia="Times New Roman" w:hAnsi="Times New Roman" w:cs="Times New Roman"/>
      <w:b/>
      <w:sz w:val="28"/>
      <w:szCs w:val="24"/>
      <w:lang w:eastAsia="it-IT"/>
    </w:rPr>
  </w:style>
  <w:style w:type="character" w:styleId="FootnoteReference">
    <w:name w:val="footnote reference"/>
    <w:aliases w:val="4_G,Footnote,callout,Footnote Refernece,Footnote Reference Number,Fußnotenzeichen_Raxen,BVI fnr,Fago Fußnotenzeichen,Footnotes refss,Style 10,ftref,16 Point,Superscript 6 Point,Footnote number,Endnote Text1,Ref,16 Poin,F,4_"/>
    <w:link w:val="4GCharChar"/>
    <w:uiPriority w:val="99"/>
    <w:qFormat/>
    <w:rsid w:val="00EF2CD7"/>
    <w:rPr>
      <w:vertAlign w:val="superscript"/>
    </w:rPr>
  </w:style>
  <w:style w:type="paragraph" w:styleId="FootnoteText">
    <w:name w:val="footnote text"/>
    <w:aliases w:val="stile 1,5_G,Footnote Text Char1,Footnote Text Char Char1,Footnote Text Char1 Char Char1,Footnote Text Char Char1 Char Char,Footnote Text Char1 Char Char1 Char Char,ft Char Char Char Char Char,Geneva 9 Char Char Char Char Char"/>
    <w:basedOn w:val="Normal"/>
    <w:link w:val="FootnoteTextChar"/>
    <w:uiPriority w:val="99"/>
    <w:qFormat/>
    <w:rsid w:val="00EF2CD7"/>
    <w:rPr>
      <w:sz w:val="20"/>
    </w:rPr>
  </w:style>
  <w:style w:type="character" w:customStyle="1" w:styleId="FootnoteTextChar">
    <w:name w:val="Footnote Text Char"/>
    <w:aliases w:val="stile 1 Char,5_G Char,Footnote Text Char1 Char,Footnote Text Char Char1 Char,Footnote Text Char1 Char Char1 Char,Footnote Text Char Char1 Char Char Char,Footnote Text Char1 Char Char1 Char Char Char,ft Char Char Char Char Char Char"/>
    <w:basedOn w:val="DefaultParagraphFont"/>
    <w:link w:val="FootnoteText"/>
    <w:uiPriority w:val="99"/>
    <w:qFormat/>
    <w:rsid w:val="00EF2CD7"/>
    <w:rPr>
      <w:rFonts w:ascii="Times New Roman" w:eastAsia="Times New Roman" w:hAnsi="Times New Roman" w:cs="Times New Roman"/>
      <w:sz w:val="20"/>
      <w:szCs w:val="24"/>
      <w:lang w:eastAsia="it-IT"/>
    </w:rPr>
  </w:style>
  <w:style w:type="character" w:customStyle="1" w:styleId="grame">
    <w:name w:val="grame"/>
    <w:basedOn w:val="DefaultParagraphFont"/>
    <w:rsid w:val="00EF2CD7"/>
  </w:style>
  <w:style w:type="paragraph" w:customStyle="1" w:styleId="level1">
    <w:name w:val="level1"/>
    <w:basedOn w:val="Normal"/>
    <w:rsid w:val="00EF2CD7"/>
    <w:pPr>
      <w:spacing w:before="100" w:after="100"/>
    </w:pPr>
    <w:rPr>
      <w:rFonts w:ascii="Verdana" w:eastAsia="Arial Unicode MS" w:hAnsi="Verdana"/>
      <w:color w:val="000000"/>
      <w:sz w:val="17"/>
    </w:rPr>
  </w:style>
  <w:style w:type="paragraph" w:customStyle="1" w:styleId="quickformat1">
    <w:name w:val="quickformat1"/>
    <w:basedOn w:val="Normal"/>
    <w:rsid w:val="00EF2CD7"/>
    <w:pPr>
      <w:spacing w:before="100" w:after="100"/>
    </w:pPr>
    <w:rPr>
      <w:rFonts w:ascii="Verdana" w:eastAsia="Arial Unicode MS" w:hAnsi="Verdana"/>
      <w:color w:val="000000"/>
      <w:sz w:val="17"/>
    </w:rPr>
  </w:style>
  <w:style w:type="character" w:customStyle="1" w:styleId="break">
    <w:name w:val="break"/>
    <w:basedOn w:val="DefaultParagraphFont"/>
    <w:rsid w:val="00EF2CD7"/>
  </w:style>
  <w:style w:type="paragraph" w:styleId="EndnoteText">
    <w:name w:val="endnote text"/>
    <w:basedOn w:val="Normal"/>
    <w:link w:val="EndnoteTextChar"/>
    <w:semiHidden/>
    <w:rsid w:val="00EF2CD7"/>
    <w:rPr>
      <w:sz w:val="20"/>
      <w:szCs w:val="20"/>
    </w:rPr>
  </w:style>
  <w:style w:type="character" w:customStyle="1" w:styleId="EndnoteTextChar">
    <w:name w:val="Endnote Text Char"/>
    <w:basedOn w:val="DefaultParagraphFont"/>
    <w:link w:val="EndnoteText"/>
    <w:semiHidden/>
    <w:rsid w:val="00EF2CD7"/>
    <w:rPr>
      <w:rFonts w:ascii="Times New Roman" w:eastAsia="Times New Roman" w:hAnsi="Times New Roman" w:cs="Times New Roman"/>
      <w:sz w:val="20"/>
      <w:szCs w:val="20"/>
      <w:lang w:eastAsia="it-IT"/>
    </w:rPr>
  </w:style>
  <w:style w:type="character" w:styleId="EndnoteReference">
    <w:name w:val="endnote reference"/>
    <w:basedOn w:val="DefaultParagraphFont"/>
    <w:uiPriority w:val="99"/>
    <w:semiHidden/>
    <w:rsid w:val="00EF2CD7"/>
    <w:rPr>
      <w:vertAlign w:val="superscript"/>
    </w:rPr>
  </w:style>
  <w:style w:type="paragraph" w:styleId="NormalWeb">
    <w:name w:val="Normal (Web)"/>
    <w:basedOn w:val="Normal"/>
    <w:uiPriority w:val="99"/>
    <w:qFormat/>
    <w:rsid w:val="00EF2CD7"/>
    <w:pPr>
      <w:spacing w:before="100" w:beforeAutospacing="1" w:after="100" w:afterAutospacing="1"/>
    </w:pPr>
    <w:rPr>
      <w:rFonts w:ascii="Arial Unicode MS" w:eastAsia="Arial Unicode MS" w:hAnsi="Arial Unicode MS" w:cs="Arial Unicode MS"/>
    </w:rPr>
  </w:style>
  <w:style w:type="character" w:customStyle="1" w:styleId="Heading2Char">
    <w:name w:val="Heading 2 Char"/>
    <w:aliases w:val="Titre 2 Car1 Char,Titre 2 Car Car Char,Heading 2 Char Car Car Char,Titre 2 Car Char Car Car Char,Car1 Car Char Car Car Char,Car1 Char Car Car Char,Heading 2 Char Char Car Car Char,Car1 Char Char Car Car Char"/>
    <w:basedOn w:val="DefaultParagraphFont"/>
    <w:link w:val="Heading2"/>
    <w:uiPriority w:val="99"/>
    <w:rsid w:val="002D0F83"/>
    <w:rPr>
      <w:rFonts w:ascii="Arial" w:eastAsia="Times New Roman" w:hAnsi="Arial" w:cs="Arial"/>
      <w:b/>
      <w:bCs/>
      <w:i/>
      <w:iCs/>
      <w:sz w:val="28"/>
      <w:szCs w:val="28"/>
      <w:lang w:eastAsia="it-IT"/>
    </w:rPr>
  </w:style>
  <w:style w:type="character" w:customStyle="1" w:styleId="Heading3Char">
    <w:name w:val="Heading 3 Char"/>
    <w:basedOn w:val="DefaultParagraphFont"/>
    <w:link w:val="Heading3"/>
    <w:uiPriority w:val="99"/>
    <w:rsid w:val="002D0F83"/>
    <w:rPr>
      <w:rFonts w:ascii="Arial" w:eastAsia="Times New Roman" w:hAnsi="Arial" w:cs="Arial"/>
      <w:b/>
      <w:bCs/>
      <w:sz w:val="26"/>
      <w:szCs w:val="26"/>
      <w:lang w:eastAsia="it-IT"/>
    </w:rPr>
  </w:style>
  <w:style w:type="paragraph" w:styleId="Footer">
    <w:name w:val="footer"/>
    <w:basedOn w:val="Normal"/>
    <w:link w:val="FooterChar"/>
    <w:uiPriority w:val="99"/>
    <w:rsid w:val="002D0F83"/>
    <w:pPr>
      <w:tabs>
        <w:tab w:val="center" w:pos="4819"/>
        <w:tab w:val="right" w:pos="9638"/>
      </w:tabs>
    </w:pPr>
  </w:style>
  <w:style w:type="character" w:customStyle="1" w:styleId="FooterChar">
    <w:name w:val="Footer Char"/>
    <w:basedOn w:val="DefaultParagraphFont"/>
    <w:link w:val="Footer"/>
    <w:uiPriority w:val="99"/>
    <w:rsid w:val="002D0F83"/>
    <w:rPr>
      <w:rFonts w:ascii="Times New Roman" w:eastAsia="Times New Roman" w:hAnsi="Times New Roman" w:cs="Times New Roman"/>
      <w:sz w:val="24"/>
      <w:szCs w:val="24"/>
      <w:lang w:eastAsia="it-IT"/>
    </w:rPr>
  </w:style>
  <w:style w:type="character" w:styleId="PageNumber">
    <w:name w:val="page number"/>
    <w:basedOn w:val="DefaultParagraphFont"/>
    <w:uiPriority w:val="99"/>
    <w:rsid w:val="002D0F83"/>
    <w:rPr>
      <w:rFonts w:cs="Times New Roman"/>
    </w:rPr>
  </w:style>
  <w:style w:type="paragraph" w:styleId="BodyTextIndent">
    <w:name w:val="Body Text Indent"/>
    <w:basedOn w:val="Normal"/>
    <w:link w:val="BodyTextIndentChar"/>
    <w:uiPriority w:val="99"/>
    <w:rsid w:val="002D0F83"/>
    <w:pPr>
      <w:spacing w:line="360" w:lineRule="auto"/>
      <w:ind w:firstLine="709"/>
      <w:jc w:val="both"/>
    </w:pPr>
  </w:style>
  <w:style w:type="character" w:customStyle="1" w:styleId="BodyTextIndentChar">
    <w:name w:val="Body Text Indent Char"/>
    <w:basedOn w:val="DefaultParagraphFont"/>
    <w:link w:val="BodyTextIndent"/>
    <w:uiPriority w:val="99"/>
    <w:rsid w:val="002D0F83"/>
    <w:rPr>
      <w:rFonts w:ascii="Times New Roman" w:eastAsia="Times New Roman" w:hAnsi="Times New Roman" w:cs="Times New Roman"/>
      <w:sz w:val="24"/>
      <w:szCs w:val="24"/>
      <w:lang w:eastAsia="it-IT"/>
    </w:rPr>
  </w:style>
  <w:style w:type="character" w:styleId="Strong">
    <w:name w:val="Strong"/>
    <w:basedOn w:val="DefaultParagraphFont"/>
    <w:uiPriority w:val="22"/>
    <w:qFormat/>
    <w:rsid w:val="002D0F83"/>
    <w:rPr>
      <w:rFonts w:cs="Times New Roman"/>
      <w:b/>
      <w:bCs/>
    </w:rPr>
  </w:style>
  <w:style w:type="character" w:customStyle="1" w:styleId="title1">
    <w:name w:val="title1"/>
    <w:basedOn w:val="DefaultParagraphFont"/>
    <w:uiPriority w:val="99"/>
    <w:rsid w:val="002D0F83"/>
    <w:rPr>
      <w:rFonts w:cs="Times New Roman"/>
      <w:b/>
      <w:bCs/>
      <w:color w:val="666666"/>
    </w:rPr>
  </w:style>
  <w:style w:type="character" w:styleId="Emphasis">
    <w:name w:val="Emphasis"/>
    <w:basedOn w:val="DefaultParagraphFont"/>
    <w:uiPriority w:val="20"/>
    <w:qFormat/>
    <w:rsid w:val="002D0F83"/>
    <w:rPr>
      <w:rFonts w:cs="Times New Roman"/>
      <w:i/>
      <w:iCs/>
    </w:rPr>
  </w:style>
  <w:style w:type="paragraph" w:styleId="List">
    <w:name w:val="List"/>
    <w:basedOn w:val="Normal"/>
    <w:link w:val="ListChar"/>
    <w:uiPriority w:val="99"/>
    <w:rsid w:val="002D0F83"/>
    <w:pPr>
      <w:ind w:left="283" w:hanging="283"/>
    </w:pPr>
  </w:style>
  <w:style w:type="paragraph" w:customStyle="1" w:styleId="testonotaapidipagina">
    <w:name w:val="testo nota a pié di pagina"/>
    <w:basedOn w:val="NormalWeb"/>
    <w:uiPriority w:val="99"/>
    <w:rsid w:val="002D0F83"/>
    <w:pPr>
      <w:jc w:val="both"/>
    </w:pPr>
    <w:rPr>
      <w:rFonts w:ascii="Verdana" w:eastAsia="Times New Roman" w:hAnsi="Verdana" w:cs="Times New Roman"/>
      <w:sz w:val="16"/>
      <w:szCs w:val="16"/>
      <w:lang w:val="en-US"/>
    </w:rPr>
  </w:style>
  <w:style w:type="character" w:customStyle="1" w:styleId="ListChar">
    <w:name w:val="List Char"/>
    <w:basedOn w:val="DefaultParagraphFont"/>
    <w:link w:val="List"/>
    <w:uiPriority w:val="99"/>
    <w:locked/>
    <w:rsid w:val="002D0F83"/>
    <w:rPr>
      <w:rFonts w:ascii="Times New Roman" w:eastAsia="Times New Roman" w:hAnsi="Times New Roman" w:cs="Times New Roman"/>
      <w:sz w:val="24"/>
      <w:szCs w:val="24"/>
      <w:lang w:eastAsia="it-IT"/>
    </w:rPr>
  </w:style>
  <w:style w:type="paragraph" w:styleId="Header">
    <w:name w:val="header"/>
    <w:aliases w:val="6_G"/>
    <w:basedOn w:val="Normal"/>
    <w:link w:val="HeaderChar"/>
    <w:uiPriority w:val="99"/>
    <w:rsid w:val="002D0F83"/>
    <w:pPr>
      <w:tabs>
        <w:tab w:val="center" w:pos="4819"/>
        <w:tab w:val="right" w:pos="9638"/>
      </w:tabs>
    </w:pPr>
    <w:rPr>
      <w:rFonts w:cs="Arial"/>
      <w:sz w:val="26"/>
      <w:szCs w:val="20"/>
    </w:rPr>
  </w:style>
  <w:style w:type="character" w:customStyle="1" w:styleId="HeaderChar">
    <w:name w:val="Header Char"/>
    <w:aliases w:val="6_G Char"/>
    <w:basedOn w:val="DefaultParagraphFont"/>
    <w:link w:val="Header"/>
    <w:uiPriority w:val="99"/>
    <w:rsid w:val="002D0F83"/>
    <w:rPr>
      <w:rFonts w:ascii="Times New Roman" w:eastAsia="Times New Roman" w:hAnsi="Times New Roman" w:cs="Arial"/>
      <w:sz w:val="26"/>
      <w:szCs w:val="20"/>
      <w:lang w:eastAsia="it-IT"/>
    </w:rPr>
  </w:style>
  <w:style w:type="paragraph" w:styleId="BodyText3">
    <w:name w:val="Body Text 3"/>
    <w:basedOn w:val="Normal"/>
    <w:link w:val="BodyText3Char"/>
    <w:rsid w:val="002D0F83"/>
    <w:pPr>
      <w:spacing w:after="120"/>
    </w:pPr>
    <w:rPr>
      <w:sz w:val="16"/>
      <w:szCs w:val="16"/>
    </w:rPr>
  </w:style>
  <w:style w:type="character" w:customStyle="1" w:styleId="BodyText3Char">
    <w:name w:val="Body Text 3 Char"/>
    <w:basedOn w:val="DefaultParagraphFont"/>
    <w:link w:val="BodyText3"/>
    <w:rsid w:val="002D0F83"/>
    <w:rPr>
      <w:rFonts w:ascii="Times New Roman" w:eastAsia="Times New Roman" w:hAnsi="Times New Roman" w:cs="Times New Roman"/>
      <w:sz w:val="16"/>
      <w:szCs w:val="16"/>
      <w:lang w:eastAsia="it-IT"/>
    </w:rPr>
  </w:style>
  <w:style w:type="character" w:customStyle="1" w:styleId="testinogrigio">
    <w:name w:val="testinogrigio"/>
    <w:basedOn w:val="DefaultParagraphFont"/>
    <w:uiPriority w:val="99"/>
    <w:rsid w:val="002D0F83"/>
    <w:rPr>
      <w:rFonts w:ascii="Verdana" w:hAnsi="Verdana" w:cs="Times New Roman"/>
      <w:color w:val="444444"/>
      <w:sz w:val="18"/>
      <w:szCs w:val="18"/>
    </w:rPr>
  </w:style>
  <w:style w:type="paragraph" w:styleId="ListBullet">
    <w:name w:val="List Bullet"/>
    <w:basedOn w:val="Normal"/>
    <w:uiPriority w:val="99"/>
    <w:rsid w:val="002D0F83"/>
    <w:pPr>
      <w:numPr>
        <w:numId w:val="1"/>
      </w:numPr>
      <w:snapToGrid w:val="0"/>
      <w:spacing w:before="120" w:after="120"/>
      <w:jc w:val="both"/>
    </w:pPr>
    <w:rPr>
      <w:lang w:eastAsia="en-GB"/>
    </w:rPr>
  </w:style>
  <w:style w:type="paragraph" w:customStyle="1" w:styleId="pjust2">
    <w:name w:val="pjust2"/>
    <w:basedOn w:val="Normal"/>
    <w:uiPriority w:val="99"/>
    <w:rsid w:val="002D0F83"/>
    <w:pPr>
      <w:spacing w:after="180"/>
      <w:jc w:val="both"/>
    </w:pPr>
  </w:style>
  <w:style w:type="character" w:customStyle="1" w:styleId="hps">
    <w:name w:val="hps"/>
    <w:basedOn w:val="DefaultParagraphFont"/>
    <w:uiPriority w:val="99"/>
    <w:rsid w:val="002D0F83"/>
    <w:rPr>
      <w:rFonts w:cs="Times New Roman"/>
    </w:rPr>
  </w:style>
  <w:style w:type="character" w:styleId="Hyperlink">
    <w:name w:val="Hyperlink"/>
    <w:basedOn w:val="DefaultParagraphFont"/>
    <w:uiPriority w:val="99"/>
    <w:rsid w:val="002D0F83"/>
    <w:rPr>
      <w:rFonts w:cs="Times New Roman"/>
      <w:color w:val="0000FF"/>
      <w:u w:val="single"/>
    </w:rPr>
  </w:style>
  <w:style w:type="paragraph" w:styleId="ListParagraph">
    <w:name w:val="List Paragraph"/>
    <w:aliases w:val="Lettre d'introduction,1st level - Bullet List Paragraph,Normal bullet 2,Bullet list,Numbered List"/>
    <w:basedOn w:val="Normal"/>
    <w:link w:val="ListParagraphChar"/>
    <w:uiPriority w:val="34"/>
    <w:qFormat/>
    <w:rsid w:val="002D0F83"/>
    <w:pPr>
      <w:spacing w:after="200" w:line="276" w:lineRule="auto"/>
      <w:ind w:left="720"/>
      <w:contextualSpacing/>
    </w:pPr>
    <w:rPr>
      <w:rFonts w:ascii="Calibri" w:hAnsi="Calibri"/>
      <w:sz w:val="22"/>
      <w:szCs w:val="22"/>
      <w:lang w:eastAsia="en-US"/>
    </w:rPr>
  </w:style>
  <w:style w:type="character" w:customStyle="1" w:styleId="apple-style-span">
    <w:name w:val="apple-style-span"/>
    <w:basedOn w:val="DefaultParagraphFont"/>
    <w:rsid w:val="002D0F83"/>
    <w:rPr>
      <w:rFonts w:cs="Times New Roman"/>
    </w:rPr>
  </w:style>
  <w:style w:type="paragraph" w:styleId="PlainText">
    <w:name w:val="Plain Text"/>
    <w:basedOn w:val="Normal"/>
    <w:link w:val="PlainTextChar"/>
    <w:uiPriority w:val="99"/>
    <w:rsid w:val="002D0F83"/>
    <w:rPr>
      <w:rFonts w:ascii="Consolas" w:hAnsi="Consolas" w:cs="Consolas"/>
      <w:sz w:val="21"/>
      <w:szCs w:val="21"/>
    </w:rPr>
  </w:style>
  <w:style w:type="character" w:customStyle="1" w:styleId="PlainTextChar">
    <w:name w:val="Plain Text Char"/>
    <w:basedOn w:val="DefaultParagraphFont"/>
    <w:link w:val="PlainText"/>
    <w:uiPriority w:val="99"/>
    <w:rsid w:val="002D0F83"/>
    <w:rPr>
      <w:rFonts w:ascii="Consolas" w:eastAsia="Times New Roman" w:hAnsi="Consolas" w:cs="Consolas"/>
      <w:sz w:val="21"/>
      <w:szCs w:val="21"/>
      <w:lang w:eastAsia="it-IT"/>
    </w:rPr>
  </w:style>
  <w:style w:type="character" w:customStyle="1" w:styleId="atn">
    <w:name w:val="atn"/>
    <w:basedOn w:val="DefaultParagraphFont"/>
    <w:uiPriority w:val="99"/>
    <w:rsid w:val="002D0F83"/>
    <w:rPr>
      <w:rFonts w:cs="Times New Roman"/>
    </w:rPr>
  </w:style>
  <w:style w:type="character" w:customStyle="1" w:styleId="hpsatn">
    <w:name w:val="hps atn"/>
    <w:basedOn w:val="DefaultParagraphFont"/>
    <w:uiPriority w:val="99"/>
    <w:rsid w:val="002D0F83"/>
    <w:rPr>
      <w:rFonts w:cs="Times New Roman"/>
    </w:rPr>
  </w:style>
  <w:style w:type="paragraph" w:styleId="Title">
    <w:name w:val="Title"/>
    <w:basedOn w:val="Normal"/>
    <w:link w:val="TitleChar"/>
    <w:uiPriority w:val="99"/>
    <w:qFormat/>
    <w:rsid w:val="002D0F83"/>
    <w:pPr>
      <w:jc w:val="center"/>
    </w:pPr>
    <w:rPr>
      <w:rFonts w:ascii="Book Antiqua" w:hAnsi="Book Antiqua"/>
      <w:b/>
    </w:rPr>
  </w:style>
  <w:style w:type="character" w:customStyle="1" w:styleId="TitleChar">
    <w:name w:val="Title Char"/>
    <w:basedOn w:val="DefaultParagraphFont"/>
    <w:link w:val="Title"/>
    <w:uiPriority w:val="99"/>
    <w:rsid w:val="002D0F83"/>
    <w:rPr>
      <w:rFonts w:ascii="Book Antiqua" w:eastAsia="Times New Roman" w:hAnsi="Book Antiqua" w:cs="Times New Roman"/>
      <w:b/>
      <w:sz w:val="24"/>
      <w:szCs w:val="24"/>
      <w:lang w:eastAsia="it-IT"/>
    </w:rPr>
  </w:style>
  <w:style w:type="paragraph" w:styleId="BalloonText">
    <w:name w:val="Balloon Text"/>
    <w:basedOn w:val="Normal"/>
    <w:link w:val="BalloonTextChar"/>
    <w:uiPriority w:val="99"/>
    <w:semiHidden/>
    <w:rsid w:val="002D0F83"/>
    <w:rPr>
      <w:rFonts w:ascii="Tahoma" w:hAnsi="Tahoma" w:cs="Tahoma"/>
      <w:sz w:val="16"/>
      <w:szCs w:val="16"/>
    </w:rPr>
  </w:style>
  <w:style w:type="character" w:customStyle="1" w:styleId="BalloonTextChar">
    <w:name w:val="Balloon Text Char"/>
    <w:basedOn w:val="DefaultParagraphFont"/>
    <w:link w:val="BalloonText"/>
    <w:uiPriority w:val="99"/>
    <w:semiHidden/>
    <w:rsid w:val="002D0F83"/>
    <w:rPr>
      <w:rFonts w:ascii="Tahoma" w:eastAsia="Times New Roman" w:hAnsi="Tahoma" w:cs="Tahoma"/>
      <w:sz w:val="16"/>
      <w:szCs w:val="16"/>
      <w:lang w:eastAsia="it-IT"/>
    </w:rPr>
  </w:style>
  <w:style w:type="character" w:styleId="CommentReference">
    <w:name w:val="annotation reference"/>
    <w:basedOn w:val="DefaultParagraphFont"/>
    <w:semiHidden/>
    <w:rsid w:val="002D0F83"/>
    <w:rPr>
      <w:rFonts w:cs="Times New Roman"/>
      <w:sz w:val="16"/>
      <w:szCs w:val="16"/>
    </w:rPr>
  </w:style>
  <w:style w:type="paragraph" w:styleId="CommentText">
    <w:name w:val="annotation text"/>
    <w:basedOn w:val="Normal"/>
    <w:link w:val="CommentTextChar"/>
    <w:semiHidden/>
    <w:rsid w:val="002D0F83"/>
    <w:rPr>
      <w:sz w:val="20"/>
      <w:szCs w:val="20"/>
    </w:rPr>
  </w:style>
  <w:style w:type="character" w:customStyle="1" w:styleId="CommentTextChar">
    <w:name w:val="Comment Text Char"/>
    <w:basedOn w:val="DefaultParagraphFont"/>
    <w:link w:val="CommentText"/>
    <w:uiPriority w:val="99"/>
    <w:semiHidden/>
    <w:rsid w:val="002D0F83"/>
    <w:rPr>
      <w:rFonts w:ascii="Times New Roman" w:eastAsia="Times New Roman" w:hAnsi="Times New Roman" w:cs="Times New Roman"/>
      <w:sz w:val="20"/>
      <w:szCs w:val="20"/>
      <w:lang w:eastAsia="it-IT"/>
    </w:rPr>
  </w:style>
  <w:style w:type="paragraph" w:styleId="CommentSubject">
    <w:name w:val="annotation subject"/>
    <w:basedOn w:val="CommentText"/>
    <w:next w:val="CommentText"/>
    <w:link w:val="CommentSubjectChar"/>
    <w:uiPriority w:val="99"/>
    <w:semiHidden/>
    <w:rsid w:val="002D0F83"/>
    <w:rPr>
      <w:b/>
      <w:bCs/>
    </w:rPr>
  </w:style>
  <w:style w:type="character" w:customStyle="1" w:styleId="CommentSubjectChar">
    <w:name w:val="Comment Subject Char"/>
    <w:basedOn w:val="CommentTextChar"/>
    <w:link w:val="CommentSubject"/>
    <w:uiPriority w:val="99"/>
    <w:semiHidden/>
    <w:rsid w:val="002D0F83"/>
    <w:rPr>
      <w:rFonts w:ascii="Times New Roman" w:eastAsia="Times New Roman" w:hAnsi="Times New Roman" w:cs="Times New Roman"/>
      <w:b/>
      <w:bCs/>
      <w:sz w:val="20"/>
      <w:szCs w:val="20"/>
      <w:lang w:eastAsia="it-IT"/>
    </w:rPr>
  </w:style>
  <w:style w:type="paragraph" w:customStyle="1" w:styleId="Default">
    <w:name w:val="Default"/>
    <w:rsid w:val="00F12798"/>
    <w:pPr>
      <w:autoSpaceDE w:val="0"/>
      <w:autoSpaceDN w:val="0"/>
      <w:adjustRightInd w:val="0"/>
      <w:spacing w:after="0" w:line="240" w:lineRule="auto"/>
    </w:pPr>
    <w:rPr>
      <w:rFonts w:ascii="Calibri" w:eastAsia="Times New Roman" w:hAnsi="Calibri" w:cs="Calibri"/>
      <w:color w:val="000000"/>
      <w:sz w:val="24"/>
      <w:szCs w:val="24"/>
      <w:lang w:eastAsia="it-IT"/>
    </w:rPr>
  </w:style>
  <w:style w:type="paragraph" w:customStyle="1" w:styleId="SingleTxtG">
    <w:name w:val="_ Single Txt_G"/>
    <w:basedOn w:val="Normal"/>
    <w:link w:val="SingleTxtGChar"/>
    <w:rsid w:val="00F12798"/>
    <w:pPr>
      <w:suppressAutoHyphens/>
      <w:spacing w:after="120" w:line="240" w:lineRule="atLeast"/>
      <w:ind w:left="1134" w:right="1134"/>
      <w:jc w:val="both"/>
    </w:pPr>
    <w:rPr>
      <w:sz w:val="20"/>
      <w:szCs w:val="20"/>
      <w:lang w:val="en-GB" w:eastAsia="en-US"/>
    </w:rPr>
  </w:style>
  <w:style w:type="paragraph" w:styleId="HTMLPreformatted">
    <w:name w:val="HTML Preformatted"/>
    <w:basedOn w:val="Normal"/>
    <w:link w:val="HTMLPreformattedChar"/>
    <w:uiPriority w:val="99"/>
    <w:rsid w:val="00FB79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rPr>
  </w:style>
  <w:style w:type="character" w:customStyle="1" w:styleId="HTMLPreformattedChar">
    <w:name w:val="HTML Preformatted Char"/>
    <w:basedOn w:val="DefaultParagraphFont"/>
    <w:link w:val="HTMLPreformatted"/>
    <w:uiPriority w:val="99"/>
    <w:rsid w:val="00FB79EB"/>
    <w:rPr>
      <w:rFonts w:ascii="Courier New" w:eastAsia="Calibri" w:hAnsi="Courier New" w:cs="Courier New"/>
      <w:sz w:val="20"/>
      <w:szCs w:val="20"/>
      <w:lang w:eastAsia="it-IT"/>
    </w:rPr>
  </w:style>
  <w:style w:type="paragraph" w:customStyle="1" w:styleId="para">
    <w:name w:val="para"/>
    <w:uiPriority w:val="99"/>
    <w:rsid w:val="00863704"/>
    <w:pPr>
      <w:spacing w:after="0" w:line="240" w:lineRule="auto"/>
      <w:ind w:firstLine="385"/>
      <w:jc w:val="both"/>
    </w:pPr>
    <w:rPr>
      <w:rFonts w:ascii="Calibri" w:eastAsia="Times New Roman" w:hAnsi="Calibri" w:cs="Times New Roman"/>
      <w:lang w:eastAsia="it-IT"/>
    </w:rPr>
  </w:style>
  <w:style w:type="character" w:styleId="FollowedHyperlink">
    <w:name w:val="FollowedHyperlink"/>
    <w:basedOn w:val="DefaultParagraphFont"/>
    <w:uiPriority w:val="99"/>
    <w:semiHidden/>
    <w:unhideWhenUsed/>
    <w:rsid w:val="00004380"/>
    <w:rPr>
      <w:color w:val="800080" w:themeColor="followedHyperlink"/>
      <w:u w:val="single"/>
    </w:rPr>
  </w:style>
  <w:style w:type="character" w:customStyle="1" w:styleId="s16">
    <w:name w:val="s16"/>
    <w:basedOn w:val="DefaultParagraphFont"/>
    <w:rsid w:val="00C77153"/>
  </w:style>
  <w:style w:type="paragraph" w:customStyle="1" w:styleId="SingleTxt">
    <w:name w:val="__Single Txt"/>
    <w:basedOn w:val="Normal"/>
    <w:rsid w:val="00206E9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rPr>
      <w:rFonts w:eastAsiaTheme="minorHAnsi"/>
      <w:spacing w:val="4"/>
      <w:w w:val="103"/>
      <w:kern w:val="14"/>
      <w:sz w:val="20"/>
      <w:szCs w:val="20"/>
      <w:lang w:val="en-GB" w:eastAsia="en-US"/>
    </w:rPr>
  </w:style>
  <w:style w:type="paragraph" w:customStyle="1" w:styleId="p1">
    <w:name w:val="p1"/>
    <w:basedOn w:val="Normal"/>
    <w:rsid w:val="006072F4"/>
    <w:pPr>
      <w:spacing w:before="100" w:beforeAutospacing="1" w:after="100" w:afterAutospacing="1"/>
    </w:pPr>
    <w:rPr>
      <w:rFonts w:ascii="Times" w:eastAsiaTheme="minorHAnsi" w:hAnsi="Times" w:cstheme="minorBidi"/>
      <w:sz w:val="20"/>
      <w:szCs w:val="20"/>
      <w:lang w:val="en-US" w:eastAsia="en-US"/>
    </w:rPr>
  </w:style>
  <w:style w:type="character" w:customStyle="1" w:styleId="Heading4Char">
    <w:name w:val="Heading 4 Char"/>
    <w:basedOn w:val="DefaultParagraphFont"/>
    <w:link w:val="Heading4"/>
    <w:uiPriority w:val="9"/>
    <w:semiHidden/>
    <w:rsid w:val="00D67E55"/>
    <w:rPr>
      <w:rFonts w:asciiTheme="majorHAnsi" w:eastAsiaTheme="majorEastAsia" w:hAnsiTheme="majorHAnsi" w:cstheme="majorBidi"/>
      <w:b/>
      <w:bCs/>
      <w:i/>
      <w:iCs/>
      <w:color w:val="4F81BD" w:themeColor="accent1"/>
      <w:sz w:val="24"/>
      <w:szCs w:val="24"/>
      <w:lang w:eastAsia="it-IT"/>
    </w:rPr>
  </w:style>
  <w:style w:type="character" w:customStyle="1" w:styleId="toctoggle">
    <w:name w:val="toctoggle"/>
    <w:basedOn w:val="DefaultParagraphFont"/>
    <w:rsid w:val="00721985"/>
  </w:style>
  <w:style w:type="character" w:customStyle="1" w:styleId="tocnumber">
    <w:name w:val="tocnumber"/>
    <w:basedOn w:val="DefaultParagraphFont"/>
    <w:rsid w:val="00721985"/>
  </w:style>
  <w:style w:type="character" w:customStyle="1" w:styleId="toctext">
    <w:name w:val="toctext"/>
    <w:basedOn w:val="DefaultParagraphFont"/>
    <w:rsid w:val="00721985"/>
  </w:style>
  <w:style w:type="character" w:customStyle="1" w:styleId="mw-headline">
    <w:name w:val="mw-headline"/>
    <w:basedOn w:val="DefaultParagraphFont"/>
    <w:rsid w:val="00721985"/>
  </w:style>
  <w:style w:type="character" w:customStyle="1" w:styleId="mw-editsection">
    <w:name w:val="mw-editsection"/>
    <w:basedOn w:val="DefaultParagraphFont"/>
    <w:rsid w:val="00721985"/>
  </w:style>
  <w:style w:type="character" w:customStyle="1" w:styleId="mw-editsection-bracket">
    <w:name w:val="mw-editsection-bracket"/>
    <w:basedOn w:val="DefaultParagraphFont"/>
    <w:rsid w:val="00721985"/>
  </w:style>
  <w:style w:type="character" w:customStyle="1" w:styleId="mw-editsection-divider">
    <w:name w:val="mw-editsection-divider"/>
    <w:basedOn w:val="DefaultParagraphFont"/>
    <w:rsid w:val="00721985"/>
  </w:style>
  <w:style w:type="character" w:customStyle="1" w:styleId="Heading7Char">
    <w:name w:val="Heading 7 Char"/>
    <w:basedOn w:val="DefaultParagraphFont"/>
    <w:link w:val="Heading7"/>
    <w:uiPriority w:val="9"/>
    <w:semiHidden/>
    <w:rsid w:val="00B429A0"/>
    <w:rPr>
      <w:rFonts w:asciiTheme="majorHAnsi" w:eastAsiaTheme="majorEastAsia" w:hAnsiTheme="majorHAnsi" w:cstheme="majorBidi"/>
      <w:i/>
      <w:iCs/>
      <w:color w:val="404040" w:themeColor="text1" w:themeTint="BF"/>
      <w:sz w:val="24"/>
      <w:szCs w:val="24"/>
      <w:lang w:eastAsia="it-IT"/>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
    <w:basedOn w:val="Normal"/>
    <w:link w:val="FootnoteReference"/>
    <w:uiPriority w:val="99"/>
    <w:rsid w:val="00B429A0"/>
    <w:pPr>
      <w:spacing w:after="160" w:line="240" w:lineRule="exact"/>
    </w:pPr>
    <w:rPr>
      <w:rFonts w:asciiTheme="minorHAnsi" w:eastAsiaTheme="minorHAnsi" w:hAnsiTheme="minorHAnsi" w:cstheme="minorBidi"/>
      <w:sz w:val="22"/>
      <w:szCs w:val="22"/>
      <w:vertAlign w:val="superscript"/>
      <w:lang w:eastAsia="en-US"/>
    </w:rPr>
  </w:style>
  <w:style w:type="paragraph" w:customStyle="1" w:styleId="Elencoacolori-Colore11">
    <w:name w:val="Elenco a colori - Colore 11"/>
    <w:basedOn w:val="Normal"/>
    <w:uiPriority w:val="34"/>
    <w:qFormat/>
    <w:rsid w:val="001B4415"/>
    <w:pPr>
      <w:spacing w:after="200" w:line="276" w:lineRule="auto"/>
      <w:ind w:left="720"/>
      <w:contextualSpacing/>
    </w:pPr>
    <w:rPr>
      <w:rFonts w:ascii="Calibri" w:eastAsia="Calibri" w:hAnsi="Calibri"/>
      <w:sz w:val="22"/>
      <w:szCs w:val="22"/>
      <w:lang w:val="en-GB" w:eastAsia="en-US"/>
    </w:rPr>
  </w:style>
  <w:style w:type="character" w:customStyle="1" w:styleId="ListParagraphChar">
    <w:name w:val="List Paragraph Char"/>
    <w:aliases w:val="Lettre d'introduction Char,1st level - Bullet List Paragraph Char,Normal bullet 2 Char,Bullet list Char,Numbered List Char"/>
    <w:basedOn w:val="DefaultParagraphFont"/>
    <w:link w:val="ListParagraph"/>
    <w:uiPriority w:val="34"/>
    <w:locked/>
    <w:rsid w:val="00BF1BBC"/>
    <w:rPr>
      <w:rFonts w:ascii="Calibri" w:eastAsia="Times New Roman" w:hAnsi="Calibri" w:cs="Times New Roman"/>
    </w:rPr>
  </w:style>
  <w:style w:type="character" w:customStyle="1" w:styleId="SingleTxtGChar">
    <w:name w:val="_ Single Txt_G Char"/>
    <w:link w:val="SingleTxtG"/>
    <w:rsid w:val="00BF1BBC"/>
    <w:rPr>
      <w:rFonts w:ascii="Times New Roman" w:eastAsia="Times New Roman" w:hAnsi="Times New Roman" w:cs="Times New Roman"/>
      <w:sz w:val="20"/>
      <w:szCs w:val="20"/>
      <w:lang w:val="en-GB"/>
    </w:rPr>
  </w:style>
  <w:style w:type="character" w:customStyle="1" w:styleId="apple-converted-space">
    <w:name w:val="apple-converted-space"/>
    <w:basedOn w:val="DefaultParagraphFont"/>
    <w:rsid w:val="00E42041"/>
  </w:style>
  <w:style w:type="character" w:customStyle="1" w:styleId="UnresolvedMention">
    <w:name w:val="Unresolved Mention"/>
    <w:basedOn w:val="DefaultParagraphFont"/>
    <w:uiPriority w:val="99"/>
    <w:semiHidden/>
    <w:unhideWhenUsed/>
    <w:rsid w:val="004B3B74"/>
    <w:rPr>
      <w:color w:val="605E5C"/>
      <w:shd w:val="clear" w:color="auto" w:fill="E1DFDD"/>
    </w:rPr>
  </w:style>
  <w:style w:type="character" w:customStyle="1" w:styleId="Elencoacolori-Colore1Carattere">
    <w:name w:val="Elenco a colori - Colore 1 Carattere"/>
    <w:aliases w:val="Dot pt Carattere,F5 List Paragraph Carattere,List Paragraph Char Char Char Carattere,Indicator Text Carattere,Numbered Para 1 Carattere,Bullet 1 Carattere,Bullet Points Carattere,List Paragraph2 Carattere,3 Carattere"/>
    <w:link w:val="ColorfulList-Accent1"/>
    <w:uiPriority w:val="34"/>
    <w:locked/>
    <w:rsid w:val="002E65E7"/>
    <w:rPr>
      <w:rFonts w:ascii="Calibri" w:eastAsia="Calibri" w:hAnsi="Calibri"/>
      <w:sz w:val="22"/>
      <w:szCs w:val="22"/>
      <w:lang w:eastAsia="en-US"/>
    </w:rPr>
  </w:style>
  <w:style w:type="paragraph" w:customStyle="1" w:styleId="FootnoteReferenceSuperscriptCarattere">
    <w:name w:val="Footnote Reference Superscript Carattere"/>
    <w:aliases w:val="BVI fnr Carattere,Footnote symbol Carattere,Footnote symboFußnotenzeichen Carattere,Footnote sign Carattere,Footnote Reference text Carattere,Voetnootverwijzing Carattere,FR Carattere"/>
    <w:basedOn w:val="Normal"/>
    <w:uiPriority w:val="99"/>
    <w:rsid w:val="002E65E7"/>
    <w:pPr>
      <w:spacing w:after="160" w:line="240" w:lineRule="exact"/>
    </w:pPr>
    <w:rPr>
      <w:sz w:val="20"/>
      <w:szCs w:val="20"/>
      <w:vertAlign w:val="superscript"/>
    </w:rPr>
  </w:style>
  <w:style w:type="table" w:styleId="ColorfulList-Accent1">
    <w:name w:val="Colorful List Accent 1"/>
    <w:basedOn w:val="TableNormal"/>
    <w:link w:val="Elencoacolori-Colore1Carattere"/>
    <w:uiPriority w:val="34"/>
    <w:semiHidden/>
    <w:unhideWhenUsed/>
    <w:rsid w:val="002E65E7"/>
    <w:pPr>
      <w:spacing w:after="0" w:line="240" w:lineRule="auto"/>
    </w:pPr>
    <w:rPr>
      <w:rFonts w:ascii="Calibri" w:eastAsia="Calibri" w:hAnsi="Calibri"/>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Heading5Char">
    <w:name w:val="Heading 5 Char"/>
    <w:basedOn w:val="DefaultParagraphFont"/>
    <w:link w:val="Heading5"/>
    <w:uiPriority w:val="9"/>
    <w:semiHidden/>
    <w:rsid w:val="00907051"/>
    <w:rPr>
      <w:rFonts w:asciiTheme="majorHAnsi" w:eastAsiaTheme="majorEastAsia" w:hAnsiTheme="majorHAnsi" w:cstheme="majorBidi"/>
      <w:color w:val="365F91" w:themeColor="accent1" w:themeShade="BF"/>
      <w:sz w:val="24"/>
      <w:szCs w:val="24"/>
      <w:lang w:eastAsia="it-IT"/>
    </w:rPr>
  </w:style>
  <w:style w:type="character" w:customStyle="1" w:styleId="Carpredefinitoparagrafo1">
    <w:name w:val="Car. predefinito paragrafo1"/>
    <w:rsid w:val="00BC7664"/>
  </w:style>
  <w:style w:type="character" w:customStyle="1" w:styleId="im">
    <w:name w:val="im"/>
    <w:basedOn w:val="DefaultParagraphFont"/>
    <w:rsid w:val="002856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765546">
      <w:bodyDiv w:val="1"/>
      <w:marLeft w:val="0"/>
      <w:marRight w:val="0"/>
      <w:marTop w:val="0"/>
      <w:marBottom w:val="0"/>
      <w:divBdr>
        <w:top w:val="none" w:sz="0" w:space="0" w:color="auto"/>
        <w:left w:val="none" w:sz="0" w:space="0" w:color="auto"/>
        <w:bottom w:val="none" w:sz="0" w:space="0" w:color="auto"/>
        <w:right w:val="none" w:sz="0" w:space="0" w:color="auto"/>
      </w:divBdr>
    </w:div>
    <w:div w:id="280111383">
      <w:bodyDiv w:val="1"/>
      <w:marLeft w:val="0"/>
      <w:marRight w:val="0"/>
      <w:marTop w:val="0"/>
      <w:marBottom w:val="0"/>
      <w:divBdr>
        <w:top w:val="none" w:sz="0" w:space="0" w:color="auto"/>
        <w:left w:val="none" w:sz="0" w:space="0" w:color="auto"/>
        <w:bottom w:val="none" w:sz="0" w:space="0" w:color="auto"/>
        <w:right w:val="none" w:sz="0" w:space="0" w:color="auto"/>
      </w:divBdr>
      <w:divsChild>
        <w:div w:id="147285073">
          <w:marLeft w:val="0"/>
          <w:marRight w:val="0"/>
          <w:marTop w:val="0"/>
          <w:marBottom w:val="0"/>
          <w:divBdr>
            <w:top w:val="none" w:sz="0" w:space="0" w:color="auto"/>
            <w:left w:val="none" w:sz="0" w:space="0" w:color="auto"/>
            <w:bottom w:val="none" w:sz="0" w:space="0" w:color="auto"/>
            <w:right w:val="none" w:sz="0" w:space="0" w:color="auto"/>
          </w:divBdr>
        </w:div>
      </w:divsChild>
    </w:div>
    <w:div w:id="287130860">
      <w:bodyDiv w:val="1"/>
      <w:marLeft w:val="0"/>
      <w:marRight w:val="0"/>
      <w:marTop w:val="0"/>
      <w:marBottom w:val="0"/>
      <w:divBdr>
        <w:top w:val="none" w:sz="0" w:space="0" w:color="auto"/>
        <w:left w:val="none" w:sz="0" w:space="0" w:color="auto"/>
        <w:bottom w:val="none" w:sz="0" w:space="0" w:color="auto"/>
        <w:right w:val="none" w:sz="0" w:space="0" w:color="auto"/>
      </w:divBdr>
    </w:div>
    <w:div w:id="497430698">
      <w:bodyDiv w:val="1"/>
      <w:marLeft w:val="0"/>
      <w:marRight w:val="0"/>
      <w:marTop w:val="0"/>
      <w:marBottom w:val="0"/>
      <w:divBdr>
        <w:top w:val="none" w:sz="0" w:space="0" w:color="auto"/>
        <w:left w:val="none" w:sz="0" w:space="0" w:color="auto"/>
        <w:bottom w:val="none" w:sz="0" w:space="0" w:color="auto"/>
        <w:right w:val="none" w:sz="0" w:space="0" w:color="auto"/>
      </w:divBdr>
    </w:div>
    <w:div w:id="549919312">
      <w:bodyDiv w:val="1"/>
      <w:marLeft w:val="0"/>
      <w:marRight w:val="0"/>
      <w:marTop w:val="0"/>
      <w:marBottom w:val="0"/>
      <w:divBdr>
        <w:top w:val="none" w:sz="0" w:space="0" w:color="auto"/>
        <w:left w:val="none" w:sz="0" w:space="0" w:color="auto"/>
        <w:bottom w:val="none" w:sz="0" w:space="0" w:color="auto"/>
        <w:right w:val="none" w:sz="0" w:space="0" w:color="auto"/>
      </w:divBdr>
    </w:div>
    <w:div w:id="616763120">
      <w:bodyDiv w:val="1"/>
      <w:marLeft w:val="0"/>
      <w:marRight w:val="0"/>
      <w:marTop w:val="0"/>
      <w:marBottom w:val="0"/>
      <w:divBdr>
        <w:top w:val="none" w:sz="0" w:space="0" w:color="auto"/>
        <w:left w:val="none" w:sz="0" w:space="0" w:color="auto"/>
        <w:bottom w:val="none" w:sz="0" w:space="0" w:color="auto"/>
        <w:right w:val="none" w:sz="0" w:space="0" w:color="auto"/>
      </w:divBdr>
      <w:divsChild>
        <w:div w:id="449784455">
          <w:marLeft w:val="0"/>
          <w:marRight w:val="0"/>
          <w:marTop w:val="0"/>
          <w:marBottom w:val="0"/>
          <w:divBdr>
            <w:top w:val="none" w:sz="0" w:space="0" w:color="auto"/>
            <w:left w:val="none" w:sz="0" w:space="0" w:color="auto"/>
            <w:bottom w:val="none" w:sz="0" w:space="0" w:color="auto"/>
            <w:right w:val="none" w:sz="0" w:space="0" w:color="auto"/>
          </w:divBdr>
        </w:div>
        <w:div w:id="12653740">
          <w:marLeft w:val="0"/>
          <w:marRight w:val="0"/>
          <w:marTop w:val="0"/>
          <w:marBottom w:val="0"/>
          <w:divBdr>
            <w:top w:val="none" w:sz="0" w:space="0" w:color="auto"/>
            <w:left w:val="none" w:sz="0" w:space="0" w:color="auto"/>
            <w:bottom w:val="none" w:sz="0" w:space="0" w:color="auto"/>
            <w:right w:val="none" w:sz="0" w:space="0" w:color="auto"/>
          </w:divBdr>
        </w:div>
        <w:div w:id="116267468">
          <w:marLeft w:val="0"/>
          <w:marRight w:val="0"/>
          <w:marTop w:val="0"/>
          <w:marBottom w:val="0"/>
          <w:divBdr>
            <w:top w:val="none" w:sz="0" w:space="0" w:color="auto"/>
            <w:left w:val="none" w:sz="0" w:space="0" w:color="auto"/>
            <w:bottom w:val="none" w:sz="0" w:space="0" w:color="auto"/>
            <w:right w:val="none" w:sz="0" w:space="0" w:color="auto"/>
          </w:divBdr>
        </w:div>
      </w:divsChild>
    </w:div>
    <w:div w:id="695229268">
      <w:bodyDiv w:val="1"/>
      <w:marLeft w:val="0"/>
      <w:marRight w:val="0"/>
      <w:marTop w:val="0"/>
      <w:marBottom w:val="0"/>
      <w:divBdr>
        <w:top w:val="none" w:sz="0" w:space="0" w:color="auto"/>
        <w:left w:val="none" w:sz="0" w:space="0" w:color="auto"/>
        <w:bottom w:val="none" w:sz="0" w:space="0" w:color="auto"/>
        <w:right w:val="none" w:sz="0" w:space="0" w:color="auto"/>
      </w:divBdr>
      <w:divsChild>
        <w:div w:id="1896119576">
          <w:marLeft w:val="0"/>
          <w:marRight w:val="0"/>
          <w:marTop w:val="0"/>
          <w:marBottom w:val="0"/>
          <w:divBdr>
            <w:top w:val="none" w:sz="0" w:space="0" w:color="auto"/>
            <w:left w:val="none" w:sz="0" w:space="0" w:color="auto"/>
            <w:bottom w:val="none" w:sz="0" w:space="0" w:color="auto"/>
            <w:right w:val="none" w:sz="0" w:space="0" w:color="auto"/>
          </w:divBdr>
          <w:divsChild>
            <w:div w:id="1462074401">
              <w:marLeft w:val="0"/>
              <w:marRight w:val="0"/>
              <w:marTop w:val="120"/>
              <w:marBottom w:val="120"/>
              <w:divBdr>
                <w:top w:val="none" w:sz="0" w:space="0" w:color="auto"/>
                <w:left w:val="none" w:sz="0" w:space="0" w:color="auto"/>
                <w:bottom w:val="none" w:sz="0" w:space="0" w:color="auto"/>
                <w:right w:val="none" w:sz="0" w:space="0" w:color="auto"/>
              </w:divBdr>
            </w:div>
            <w:div w:id="926033426">
              <w:marLeft w:val="0"/>
              <w:marRight w:val="0"/>
              <w:marTop w:val="120"/>
              <w:marBottom w:val="120"/>
              <w:divBdr>
                <w:top w:val="none" w:sz="0" w:space="0" w:color="auto"/>
                <w:left w:val="none" w:sz="0" w:space="0" w:color="auto"/>
                <w:bottom w:val="none" w:sz="0" w:space="0" w:color="auto"/>
                <w:right w:val="none" w:sz="0" w:space="0" w:color="auto"/>
              </w:divBdr>
            </w:div>
            <w:div w:id="61299667">
              <w:marLeft w:val="0"/>
              <w:marRight w:val="0"/>
              <w:marTop w:val="120"/>
              <w:marBottom w:val="120"/>
              <w:divBdr>
                <w:top w:val="none" w:sz="0" w:space="0" w:color="auto"/>
                <w:left w:val="none" w:sz="0" w:space="0" w:color="auto"/>
                <w:bottom w:val="none" w:sz="0" w:space="0" w:color="auto"/>
                <w:right w:val="none" w:sz="0" w:space="0" w:color="auto"/>
              </w:divBdr>
            </w:div>
            <w:div w:id="1417747623">
              <w:marLeft w:val="0"/>
              <w:marRight w:val="0"/>
              <w:marTop w:val="0"/>
              <w:marBottom w:val="0"/>
              <w:divBdr>
                <w:top w:val="none" w:sz="0" w:space="0" w:color="auto"/>
                <w:left w:val="none" w:sz="0" w:space="0" w:color="auto"/>
                <w:bottom w:val="none" w:sz="0" w:space="0" w:color="auto"/>
                <w:right w:val="none" w:sz="0" w:space="0" w:color="auto"/>
              </w:divBdr>
            </w:div>
            <w:div w:id="1093551093">
              <w:marLeft w:val="0"/>
              <w:marRight w:val="0"/>
              <w:marTop w:val="0"/>
              <w:marBottom w:val="0"/>
              <w:divBdr>
                <w:top w:val="none" w:sz="0" w:space="0" w:color="auto"/>
                <w:left w:val="none" w:sz="0" w:space="0" w:color="auto"/>
                <w:bottom w:val="none" w:sz="0" w:space="0" w:color="auto"/>
                <w:right w:val="none" w:sz="0" w:space="0" w:color="auto"/>
              </w:divBdr>
            </w:div>
            <w:div w:id="797796734">
              <w:marLeft w:val="0"/>
              <w:marRight w:val="0"/>
              <w:marTop w:val="0"/>
              <w:marBottom w:val="0"/>
              <w:divBdr>
                <w:top w:val="none" w:sz="0" w:space="0" w:color="auto"/>
                <w:left w:val="none" w:sz="0" w:space="0" w:color="auto"/>
                <w:bottom w:val="none" w:sz="0" w:space="0" w:color="auto"/>
                <w:right w:val="none" w:sz="0" w:space="0" w:color="auto"/>
              </w:divBdr>
            </w:div>
            <w:div w:id="1035932280">
              <w:marLeft w:val="0"/>
              <w:marRight w:val="0"/>
              <w:marTop w:val="0"/>
              <w:marBottom w:val="0"/>
              <w:divBdr>
                <w:top w:val="none" w:sz="0" w:space="0" w:color="auto"/>
                <w:left w:val="none" w:sz="0" w:space="0" w:color="auto"/>
                <w:bottom w:val="none" w:sz="0" w:space="0" w:color="auto"/>
                <w:right w:val="none" w:sz="0" w:space="0" w:color="auto"/>
              </w:divBdr>
            </w:div>
            <w:div w:id="198445043">
              <w:marLeft w:val="0"/>
              <w:marRight w:val="0"/>
              <w:marTop w:val="0"/>
              <w:marBottom w:val="0"/>
              <w:divBdr>
                <w:top w:val="none" w:sz="0" w:space="0" w:color="auto"/>
                <w:left w:val="none" w:sz="0" w:space="0" w:color="auto"/>
                <w:bottom w:val="none" w:sz="0" w:space="0" w:color="auto"/>
                <w:right w:val="none" w:sz="0" w:space="0" w:color="auto"/>
              </w:divBdr>
            </w:div>
            <w:div w:id="98641491">
              <w:marLeft w:val="0"/>
              <w:marRight w:val="0"/>
              <w:marTop w:val="0"/>
              <w:marBottom w:val="0"/>
              <w:divBdr>
                <w:top w:val="none" w:sz="0" w:space="0" w:color="auto"/>
                <w:left w:val="none" w:sz="0" w:space="0" w:color="auto"/>
                <w:bottom w:val="none" w:sz="0" w:space="0" w:color="auto"/>
                <w:right w:val="none" w:sz="0" w:space="0" w:color="auto"/>
              </w:divBdr>
            </w:div>
            <w:div w:id="1117682272">
              <w:marLeft w:val="0"/>
              <w:marRight w:val="0"/>
              <w:marTop w:val="0"/>
              <w:marBottom w:val="0"/>
              <w:divBdr>
                <w:top w:val="none" w:sz="0" w:space="0" w:color="auto"/>
                <w:left w:val="none" w:sz="0" w:space="0" w:color="auto"/>
                <w:bottom w:val="none" w:sz="0" w:space="0" w:color="auto"/>
                <w:right w:val="none" w:sz="0" w:space="0" w:color="auto"/>
              </w:divBdr>
            </w:div>
            <w:div w:id="1615406873">
              <w:marLeft w:val="0"/>
              <w:marRight w:val="0"/>
              <w:marTop w:val="0"/>
              <w:marBottom w:val="0"/>
              <w:divBdr>
                <w:top w:val="none" w:sz="0" w:space="0" w:color="auto"/>
                <w:left w:val="none" w:sz="0" w:space="0" w:color="auto"/>
                <w:bottom w:val="none" w:sz="0" w:space="0" w:color="auto"/>
                <w:right w:val="none" w:sz="0" w:space="0" w:color="auto"/>
              </w:divBdr>
            </w:div>
            <w:div w:id="2131363908">
              <w:marLeft w:val="0"/>
              <w:marRight w:val="0"/>
              <w:marTop w:val="0"/>
              <w:marBottom w:val="0"/>
              <w:divBdr>
                <w:top w:val="none" w:sz="0" w:space="0" w:color="auto"/>
                <w:left w:val="none" w:sz="0" w:space="0" w:color="auto"/>
                <w:bottom w:val="none" w:sz="0" w:space="0" w:color="auto"/>
                <w:right w:val="none" w:sz="0" w:space="0" w:color="auto"/>
              </w:divBdr>
            </w:div>
            <w:div w:id="826476381">
              <w:marLeft w:val="0"/>
              <w:marRight w:val="0"/>
              <w:marTop w:val="0"/>
              <w:marBottom w:val="0"/>
              <w:divBdr>
                <w:top w:val="none" w:sz="0" w:space="0" w:color="auto"/>
                <w:left w:val="none" w:sz="0" w:space="0" w:color="auto"/>
                <w:bottom w:val="none" w:sz="0" w:space="0" w:color="auto"/>
                <w:right w:val="none" w:sz="0" w:space="0" w:color="auto"/>
              </w:divBdr>
            </w:div>
            <w:div w:id="111678680">
              <w:marLeft w:val="0"/>
              <w:marRight w:val="0"/>
              <w:marTop w:val="0"/>
              <w:marBottom w:val="0"/>
              <w:divBdr>
                <w:top w:val="none" w:sz="0" w:space="0" w:color="auto"/>
                <w:left w:val="none" w:sz="0" w:space="0" w:color="auto"/>
                <w:bottom w:val="none" w:sz="0" w:space="0" w:color="auto"/>
                <w:right w:val="none" w:sz="0" w:space="0" w:color="auto"/>
              </w:divBdr>
            </w:div>
            <w:div w:id="997802923">
              <w:marLeft w:val="0"/>
              <w:marRight w:val="0"/>
              <w:marTop w:val="0"/>
              <w:marBottom w:val="0"/>
              <w:divBdr>
                <w:top w:val="none" w:sz="0" w:space="0" w:color="auto"/>
                <w:left w:val="none" w:sz="0" w:space="0" w:color="auto"/>
                <w:bottom w:val="none" w:sz="0" w:space="0" w:color="auto"/>
                <w:right w:val="none" w:sz="0" w:space="0" w:color="auto"/>
              </w:divBdr>
            </w:div>
            <w:div w:id="446391376">
              <w:marLeft w:val="0"/>
              <w:marRight w:val="0"/>
              <w:marTop w:val="0"/>
              <w:marBottom w:val="0"/>
              <w:divBdr>
                <w:top w:val="none" w:sz="0" w:space="0" w:color="auto"/>
                <w:left w:val="none" w:sz="0" w:space="0" w:color="auto"/>
                <w:bottom w:val="none" w:sz="0" w:space="0" w:color="auto"/>
                <w:right w:val="none" w:sz="0" w:space="0" w:color="auto"/>
              </w:divBdr>
            </w:div>
            <w:div w:id="1740668888">
              <w:marLeft w:val="0"/>
              <w:marRight w:val="0"/>
              <w:marTop w:val="0"/>
              <w:marBottom w:val="0"/>
              <w:divBdr>
                <w:top w:val="none" w:sz="0" w:space="0" w:color="auto"/>
                <w:left w:val="none" w:sz="0" w:space="0" w:color="auto"/>
                <w:bottom w:val="none" w:sz="0" w:space="0" w:color="auto"/>
                <w:right w:val="none" w:sz="0" w:space="0" w:color="auto"/>
              </w:divBdr>
            </w:div>
            <w:div w:id="1095053721">
              <w:marLeft w:val="0"/>
              <w:marRight w:val="0"/>
              <w:marTop w:val="0"/>
              <w:marBottom w:val="0"/>
              <w:divBdr>
                <w:top w:val="none" w:sz="0" w:space="0" w:color="auto"/>
                <w:left w:val="none" w:sz="0" w:space="0" w:color="auto"/>
                <w:bottom w:val="none" w:sz="0" w:space="0" w:color="auto"/>
                <w:right w:val="none" w:sz="0" w:space="0" w:color="auto"/>
              </w:divBdr>
            </w:div>
            <w:div w:id="1049188955">
              <w:marLeft w:val="0"/>
              <w:marRight w:val="0"/>
              <w:marTop w:val="0"/>
              <w:marBottom w:val="0"/>
              <w:divBdr>
                <w:top w:val="none" w:sz="0" w:space="0" w:color="auto"/>
                <w:left w:val="none" w:sz="0" w:space="0" w:color="auto"/>
                <w:bottom w:val="none" w:sz="0" w:space="0" w:color="auto"/>
                <w:right w:val="none" w:sz="0" w:space="0" w:color="auto"/>
              </w:divBdr>
            </w:div>
            <w:div w:id="1764720142">
              <w:marLeft w:val="0"/>
              <w:marRight w:val="0"/>
              <w:marTop w:val="0"/>
              <w:marBottom w:val="0"/>
              <w:divBdr>
                <w:top w:val="none" w:sz="0" w:space="0" w:color="auto"/>
                <w:left w:val="none" w:sz="0" w:space="0" w:color="auto"/>
                <w:bottom w:val="none" w:sz="0" w:space="0" w:color="auto"/>
                <w:right w:val="none" w:sz="0" w:space="0" w:color="auto"/>
              </w:divBdr>
            </w:div>
            <w:div w:id="471874358">
              <w:marLeft w:val="0"/>
              <w:marRight w:val="0"/>
              <w:marTop w:val="0"/>
              <w:marBottom w:val="0"/>
              <w:divBdr>
                <w:top w:val="none" w:sz="0" w:space="0" w:color="auto"/>
                <w:left w:val="none" w:sz="0" w:space="0" w:color="auto"/>
                <w:bottom w:val="none" w:sz="0" w:space="0" w:color="auto"/>
                <w:right w:val="none" w:sz="0" w:space="0" w:color="auto"/>
              </w:divBdr>
            </w:div>
            <w:div w:id="583805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703714">
      <w:bodyDiv w:val="1"/>
      <w:marLeft w:val="0"/>
      <w:marRight w:val="0"/>
      <w:marTop w:val="0"/>
      <w:marBottom w:val="0"/>
      <w:divBdr>
        <w:top w:val="none" w:sz="0" w:space="0" w:color="auto"/>
        <w:left w:val="none" w:sz="0" w:space="0" w:color="auto"/>
        <w:bottom w:val="none" w:sz="0" w:space="0" w:color="auto"/>
        <w:right w:val="none" w:sz="0" w:space="0" w:color="auto"/>
      </w:divBdr>
    </w:div>
    <w:div w:id="968438013">
      <w:bodyDiv w:val="1"/>
      <w:marLeft w:val="0"/>
      <w:marRight w:val="0"/>
      <w:marTop w:val="0"/>
      <w:marBottom w:val="0"/>
      <w:divBdr>
        <w:top w:val="none" w:sz="0" w:space="0" w:color="auto"/>
        <w:left w:val="none" w:sz="0" w:space="0" w:color="auto"/>
        <w:bottom w:val="none" w:sz="0" w:space="0" w:color="auto"/>
        <w:right w:val="none" w:sz="0" w:space="0" w:color="auto"/>
      </w:divBdr>
      <w:divsChild>
        <w:div w:id="2004770731">
          <w:marLeft w:val="0"/>
          <w:marRight w:val="0"/>
          <w:marTop w:val="0"/>
          <w:marBottom w:val="0"/>
          <w:divBdr>
            <w:top w:val="none" w:sz="0" w:space="0" w:color="auto"/>
            <w:left w:val="none" w:sz="0" w:space="0" w:color="auto"/>
            <w:bottom w:val="none" w:sz="0" w:space="0" w:color="auto"/>
            <w:right w:val="none" w:sz="0" w:space="0" w:color="auto"/>
          </w:divBdr>
          <w:divsChild>
            <w:div w:id="1195314463">
              <w:marLeft w:val="0"/>
              <w:marRight w:val="0"/>
              <w:marTop w:val="0"/>
              <w:marBottom w:val="0"/>
              <w:divBdr>
                <w:top w:val="none" w:sz="0" w:space="0" w:color="auto"/>
                <w:left w:val="none" w:sz="0" w:space="0" w:color="auto"/>
                <w:bottom w:val="none" w:sz="0" w:space="0" w:color="auto"/>
                <w:right w:val="none" w:sz="0" w:space="0" w:color="auto"/>
              </w:divBdr>
              <w:divsChild>
                <w:div w:id="127822434">
                  <w:marLeft w:val="0"/>
                  <w:marRight w:val="0"/>
                  <w:marTop w:val="0"/>
                  <w:marBottom w:val="0"/>
                  <w:divBdr>
                    <w:top w:val="none" w:sz="0" w:space="0" w:color="auto"/>
                    <w:left w:val="none" w:sz="0" w:space="0" w:color="auto"/>
                    <w:bottom w:val="none" w:sz="0" w:space="0" w:color="auto"/>
                    <w:right w:val="none" w:sz="0" w:space="0" w:color="auto"/>
                  </w:divBdr>
                  <w:divsChild>
                    <w:div w:id="178168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2098283">
      <w:bodyDiv w:val="1"/>
      <w:marLeft w:val="0"/>
      <w:marRight w:val="0"/>
      <w:marTop w:val="0"/>
      <w:marBottom w:val="0"/>
      <w:divBdr>
        <w:top w:val="none" w:sz="0" w:space="0" w:color="auto"/>
        <w:left w:val="none" w:sz="0" w:space="0" w:color="auto"/>
        <w:bottom w:val="none" w:sz="0" w:space="0" w:color="auto"/>
        <w:right w:val="none" w:sz="0" w:space="0" w:color="auto"/>
      </w:divBdr>
      <w:divsChild>
        <w:div w:id="1594436989">
          <w:marLeft w:val="0"/>
          <w:marRight w:val="0"/>
          <w:marTop w:val="0"/>
          <w:marBottom w:val="0"/>
          <w:divBdr>
            <w:top w:val="none" w:sz="0" w:space="0" w:color="auto"/>
            <w:left w:val="none" w:sz="0" w:space="0" w:color="auto"/>
            <w:bottom w:val="none" w:sz="0" w:space="0" w:color="auto"/>
            <w:right w:val="none" w:sz="0" w:space="0" w:color="auto"/>
          </w:divBdr>
          <w:divsChild>
            <w:div w:id="1568953386">
              <w:marLeft w:val="0"/>
              <w:marRight w:val="0"/>
              <w:marTop w:val="0"/>
              <w:marBottom w:val="0"/>
              <w:divBdr>
                <w:top w:val="none" w:sz="0" w:space="0" w:color="auto"/>
                <w:left w:val="none" w:sz="0" w:space="0" w:color="auto"/>
                <w:bottom w:val="none" w:sz="0" w:space="0" w:color="auto"/>
                <w:right w:val="none" w:sz="0" w:space="0" w:color="auto"/>
              </w:divBdr>
              <w:divsChild>
                <w:div w:id="1467888155">
                  <w:marLeft w:val="0"/>
                  <w:marRight w:val="0"/>
                  <w:marTop w:val="0"/>
                  <w:marBottom w:val="0"/>
                  <w:divBdr>
                    <w:top w:val="none" w:sz="0" w:space="0" w:color="auto"/>
                    <w:left w:val="none" w:sz="0" w:space="0" w:color="auto"/>
                    <w:bottom w:val="none" w:sz="0" w:space="0" w:color="auto"/>
                    <w:right w:val="none" w:sz="0" w:space="0" w:color="auto"/>
                  </w:divBdr>
                  <w:divsChild>
                    <w:div w:id="932517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0543813">
      <w:bodyDiv w:val="1"/>
      <w:marLeft w:val="0"/>
      <w:marRight w:val="0"/>
      <w:marTop w:val="0"/>
      <w:marBottom w:val="0"/>
      <w:divBdr>
        <w:top w:val="none" w:sz="0" w:space="0" w:color="auto"/>
        <w:left w:val="none" w:sz="0" w:space="0" w:color="auto"/>
        <w:bottom w:val="none" w:sz="0" w:space="0" w:color="auto"/>
        <w:right w:val="none" w:sz="0" w:space="0" w:color="auto"/>
      </w:divBdr>
    </w:div>
    <w:div w:id="1155951437">
      <w:bodyDiv w:val="1"/>
      <w:marLeft w:val="0"/>
      <w:marRight w:val="0"/>
      <w:marTop w:val="0"/>
      <w:marBottom w:val="0"/>
      <w:divBdr>
        <w:top w:val="none" w:sz="0" w:space="0" w:color="auto"/>
        <w:left w:val="none" w:sz="0" w:space="0" w:color="auto"/>
        <w:bottom w:val="none" w:sz="0" w:space="0" w:color="auto"/>
        <w:right w:val="none" w:sz="0" w:space="0" w:color="auto"/>
      </w:divBdr>
      <w:divsChild>
        <w:div w:id="1616012906">
          <w:marLeft w:val="0"/>
          <w:marRight w:val="0"/>
          <w:marTop w:val="0"/>
          <w:marBottom w:val="0"/>
          <w:divBdr>
            <w:top w:val="none" w:sz="0" w:space="0" w:color="auto"/>
            <w:left w:val="none" w:sz="0" w:space="0" w:color="auto"/>
            <w:bottom w:val="none" w:sz="0" w:space="0" w:color="auto"/>
            <w:right w:val="none" w:sz="0" w:space="0" w:color="auto"/>
          </w:divBdr>
          <w:divsChild>
            <w:div w:id="1656841144">
              <w:marLeft w:val="0"/>
              <w:marRight w:val="0"/>
              <w:marTop w:val="0"/>
              <w:marBottom w:val="0"/>
              <w:divBdr>
                <w:top w:val="none" w:sz="0" w:space="8" w:color="DDDDDD"/>
                <w:left w:val="none" w:sz="0" w:space="11" w:color="DDDDDD"/>
                <w:bottom w:val="none" w:sz="0" w:space="0" w:color="auto"/>
                <w:right w:val="none" w:sz="0" w:space="11" w:color="DDDDDD"/>
              </w:divBdr>
            </w:div>
            <w:div w:id="1476681120">
              <w:marLeft w:val="0"/>
              <w:marRight w:val="0"/>
              <w:marTop w:val="0"/>
              <w:marBottom w:val="0"/>
              <w:divBdr>
                <w:top w:val="none" w:sz="0" w:space="0" w:color="auto"/>
                <w:left w:val="none" w:sz="0" w:space="0" w:color="auto"/>
                <w:bottom w:val="none" w:sz="0" w:space="0" w:color="auto"/>
                <w:right w:val="none" w:sz="0" w:space="0" w:color="auto"/>
              </w:divBdr>
              <w:divsChild>
                <w:div w:id="114518546">
                  <w:marLeft w:val="0"/>
                  <w:marRight w:val="0"/>
                  <w:marTop w:val="0"/>
                  <w:marBottom w:val="0"/>
                  <w:divBdr>
                    <w:top w:val="single" w:sz="6" w:space="11" w:color="DDDDDD"/>
                    <w:left w:val="none" w:sz="0" w:space="0" w:color="auto"/>
                    <w:bottom w:val="none" w:sz="0" w:space="0" w:color="auto"/>
                    <w:right w:val="none" w:sz="0" w:space="0" w:color="auto"/>
                  </w:divBdr>
                  <w:divsChild>
                    <w:div w:id="1850022814">
                      <w:marLeft w:val="-225"/>
                      <w:marRight w:val="-225"/>
                      <w:marTop w:val="0"/>
                      <w:marBottom w:val="0"/>
                      <w:divBdr>
                        <w:top w:val="none" w:sz="0" w:space="0" w:color="auto"/>
                        <w:left w:val="none" w:sz="0" w:space="0" w:color="auto"/>
                        <w:bottom w:val="none" w:sz="0" w:space="0" w:color="auto"/>
                        <w:right w:val="none" w:sz="0" w:space="0" w:color="auto"/>
                      </w:divBdr>
                      <w:divsChild>
                        <w:div w:id="551502899">
                          <w:marLeft w:val="0"/>
                          <w:marRight w:val="0"/>
                          <w:marTop w:val="0"/>
                          <w:marBottom w:val="0"/>
                          <w:divBdr>
                            <w:top w:val="none" w:sz="0" w:space="0" w:color="auto"/>
                            <w:left w:val="none" w:sz="0" w:space="0" w:color="auto"/>
                            <w:bottom w:val="none" w:sz="0" w:space="0" w:color="auto"/>
                            <w:right w:val="none" w:sz="0" w:space="0" w:color="auto"/>
                          </w:divBdr>
                        </w:div>
                        <w:div w:id="945310341">
                          <w:marLeft w:val="0"/>
                          <w:marRight w:val="0"/>
                          <w:marTop w:val="0"/>
                          <w:marBottom w:val="0"/>
                          <w:divBdr>
                            <w:top w:val="none" w:sz="0" w:space="0" w:color="auto"/>
                            <w:left w:val="none" w:sz="0" w:space="0" w:color="auto"/>
                            <w:bottom w:val="none" w:sz="0" w:space="0" w:color="auto"/>
                            <w:right w:val="none" w:sz="0" w:space="0" w:color="auto"/>
                          </w:divBdr>
                          <w:divsChild>
                            <w:div w:id="2040159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500672">
                      <w:marLeft w:val="-225"/>
                      <w:marRight w:val="-225"/>
                      <w:marTop w:val="0"/>
                      <w:marBottom w:val="0"/>
                      <w:divBdr>
                        <w:top w:val="none" w:sz="0" w:space="0" w:color="auto"/>
                        <w:left w:val="none" w:sz="0" w:space="0" w:color="auto"/>
                        <w:bottom w:val="none" w:sz="0" w:space="0" w:color="auto"/>
                        <w:right w:val="none" w:sz="0" w:space="0" w:color="auto"/>
                      </w:divBdr>
                      <w:divsChild>
                        <w:div w:id="477919346">
                          <w:marLeft w:val="0"/>
                          <w:marRight w:val="0"/>
                          <w:marTop w:val="0"/>
                          <w:marBottom w:val="0"/>
                          <w:divBdr>
                            <w:top w:val="single" w:sz="6" w:space="1" w:color="auto"/>
                            <w:left w:val="single" w:sz="6" w:space="4" w:color="auto"/>
                            <w:bottom w:val="single" w:sz="6" w:space="1" w:color="auto"/>
                            <w:right w:val="single" w:sz="6" w:space="4" w:color="auto"/>
                          </w:divBdr>
                        </w:div>
                      </w:divsChild>
                    </w:div>
                  </w:divsChild>
                </w:div>
              </w:divsChild>
            </w:div>
          </w:divsChild>
        </w:div>
        <w:div w:id="1249772930">
          <w:marLeft w:val="0"/>
          <w:marRight w:val="0"/>
          <w:marTop w:val="75"/>
          <w:marBottom w:val="0"/>
          <w:divBdr>
            <w:top w:val="none" w:sz="0" w:space="0" w:color="auto"/>
            <w:left w:val="none" w:sz="0" w:space="0" w:color="auto"/>
            <w:bottom w:val="none" w:sz="0" w:space="0" w:color="auto"/>
            <w:right w:val="none" w:sz="0" w:space="0" w:color="auto"/>
          </w:divBdr>
          <w:divsChild>
            <w:div w:id="1991251822">
              <w:marLeft w:val="0"/>
              <w:marRight w:val="0"/>
              <w:marTop w:val="0"/>
              <w:marBottom w:val="0"/>
              <w:divBdr>
                <w:top w:val="none" w:sz="0" w:space="8" w:color="DDDDDD"/>
                <w:left w:val="none" w:sz="0" w:space="11" w:color="DDDDDD"/>
                <w:bottom w:val="none" w:sz="0" w:space="0" w:color="auto"/>
                <w:right w:val="none" w:sz="0" w:space="11" w:color="DDDDDD"/>
              </w:divBdr>
            </w:div>
            <w:div w:id="1603102145">
              <w:marLeft w:val="0"/>
              <w:marRight w:val="0"/>
              <w:marTop w:val="0"/>
              <w:marBottom w:val="0"/>
              <w:divBdr>
                <w:top w:val="none" w:sz="0" w:space="0" w:color="auto"/>
                <w:left w:val="none" w:sz="0" w:space="0" w:color="auto"/>
                <w:bottom w:val="none" w:sz="0" w:space="0" w:color="auto"/>
                <w:right w:val="none" w:sz="0" w:space="0" w:color="auto"/>
              </w:divBdr>
              <w:divsChild>
                <w:div w:id="1483543265">
                  <w:marLeft w:val="0"/>
                  <w:marRight w:val="0"/>
                  <w:marTop w:val="0"/>
                  <w:marBottom w:val="0"/>
                  <w:divBdr>
                    <w:top w:val="single" w:sz="6" w:space="11" w:color="DDDDDD"/>
                    <w:left w:val="none" w:sz="0" w:space="0" w:color="auto"/>
                    <w:bottom w:val="none" w:sz="0" w:space="0" w:color="auto"/>
                    <w:right w:val="none" w:sz="0" w:space="0" w:color="auto"/>
                  </w:divBdr>
                  <w:divsChild>
                    <w:div w:id="709840901">
                      <w:marLeft w:val="-225"/>
                      <w:marRight w:val="-225"/>
                      <w:marTop w:val="0"/>
                      <w:marBottom w:val="0"/>
                      <w:divBdr>
                        <w:top w:val="none" w:sz="0" w:space="0" w:color="auto"/>
                        <w:left w:val="none" w:sz="0" w:space="0" w:color="auto"/>
                        <w:bottom w:val="none" w:sz="0" w:space="0" w:color="auto"/>
                        <w:right w:val="none" w:sz="0" w:space="0" w:color="auto"/>
                      </w:divBdr>
                      <w:divsChild>
                        <w:div w:id="915747174">
                          <w:marLeft w:val="0"/>
                          <w:marRight w:val="0"/>
                          <w:marTop w:val="0"/>
                          <w:marBottom w:val="0"/>
                          <w:divBdr>
                            <w:top w:val="none" w:sz="0" w:space="0" w:color="auto"/>
                            <w:left w:val="none" w:sz="0" w:space="0" w:color="auto"/>
                            <w:bottom w:val="none" w:sz="0" w:space="0" w:color="auto"/>
                            <w:right w:val="none" w:sz="0" w:space="0" w:color="auto"/>
                          </w:divBdr>
                          <w:divsChild>
                            <w:div w:id="1918398713">
                              <w:marLeft w:val="0"/>
                              <w:marRight w:val="0"/>
                              <w:marTop w:val="0"/>
                              <w:marBottom w:val="0"/>
                              <w:divBdr>
                                <w:top w:val="none" w:sz="0" w:space="0" w:color="auto"/>
                                <w:left w:val="none" w:sz="0" w:space="0" w:color="auto"/>
                                <w:bottom w:val="none" w:sz="0" w:space="0" w:color="auto"/>
                                <w:right w:val="none" w:sz="0" w:space="0" w:color="auto"/>
                              </w:divBdr>
                            </w:div>
                          </w:divsChild>
                        </w:div>
                        <w:div w:id="894698888">
                          <w:marLeft w:val="0"/>
                          <w:marRight w:val="0"/>
                          <w:marTop w:val="0"/>
                          <w:marBottom w:val="0"/>
                          <w:divBdr>
                            <w:top w:val="none" w:sz="0" w:space="0" w:color="auto"/>
                            <w:left w:val="none" w:sz="0" w:space="0" w:color="auto"/>
                            <w:bottom w:val="none" w:sz="0" w:space="0" w:color="auto"/>
                            <w:right w:val="none" w:sz="0" w:space="0" w:color="auto"/>
                          </w:divBdr>
                        </w:div>
                      </w:divsChild>
                    </w:div>
                    <w:div w:id="1408110755">
                      <w:marLeft w:val="-225"/>
                      <w:marRight w:val="-225"/>
                      <w:marTop w:val="0"/>
                      <w:marBottom w:val="0"/>
                      <w:divBdr>
                        <w:top w:val="none" w:sz="0" w:space="0" w:color="auto"/>
                        <w:left w:val="none" w:sz="0" w:space="0" w:color="auto"/>
                        <w:bottom w:val="none" w:sz="0" w:space="0" w:color="auto"/>
                        <w:right w:val="none" w:sz="0" w:space="0" w:color="auto"/>
                      </w:divBdr>
                      <w:divsChild>
                        <w:div w:id="1613898256">
                          <w:marLeft w:val="0"/>
                          <w:marRight w:val="0"/>
                          <w:marTop w:val="0"/>
                          <w:marBottom w:val="0"/>
                          <w:divBdr>
                            <w:top w:val="single" w:sz="6" w:space="1" w:color="auto"/>
                            <w:left w:val="single" w:sz="6" w:space="4" w:color="auto"/>
                            <w:bottom w:val="single" w:sz="6" w:space="1" w:color="auto"/>
                            <w:right w:val="single" w:sz="6" w:space="4" w:color="auto"/>
                          </w:divBdr>
                        </w:div>
                      </w:divsChild>
                    </w:div>
                  </w:divsChild>
                </w:div>
              </w:divsChild>
            </w:div>
          </w:divsChild>
        </w:div>
        <w:div w:id="1171331347">
          <w:marLeft w:val="0"/>
          <w:marRight w:val="0"/>
          <w:marTop w:val="75"/>
          <w:marBottom w:val="0"/>
          <w:divBdr>
            <w:top w:val="none" w:sz="0" w:space="0" w:color="auto"/>
            <w:left w:val="none" w:sz="0" w:space="0" w:color="auto"/>
            <w:bottom w:val="none" w:sz="0" w:space="0" w:color="auto"/>
            <w:right w:val="none" w:sz="0" w:space="0" w:color="auto"/>
          </w:divBdr>
          <w:divsChild>
            <w:div w:id="2072923195">
              <w:marLeft w:val="0"/>
              <w:marRight w:val="0"/>
              <w:marTop w:val="0"/>
              <w:marBottom w:val="0"/>
              <w:divBdr>
                <w:top w:val="none" w:sz="0" w:space="8" w:color="DDDDDD"/>
                <w:left w:val="none" w:sz="0" w:space="11" w:color="DDDDDD"/>
                <w:bottom w:val="none" w:sz="0" w:space="0" w:color="auto"/>
                <w:right w:val="none" w:sz="0" w:space="11" w:color="DDDDDD"/>
              </w:divBdr>
            </w:div>
            <w:div w:id="186218873">
              <w:marLeft w:val="0"/>
              <w:marRight w:val="0"/>
              <w:marTop w:val="0"/>
              <w:marBottom w:val="0"/>
              <w:divBdr>
                <w:top w:val="none" w:sz="0" w:space="0" w:color="auto"/>
                <w:left w:val="none" w:sz="0" w:space="0" w:color="auto"/>
                <w:bottom w:val="none" w:sz="0" w:space="0" w:color="auto"/>
                <w:right w:val="none" w:sz="0" w:space="0" w:color="auto"/>
              </w:divBdr>
              <w:divsChild>
                <w:div w:id="1702319517">
                  <w:marLeft w:val="0"/>
                  <w:marRight w:val="0"/>
                  <w:marTop w:val="0"/>
                  <w:marBottom w:val="0"/>
                  <w:divBdr>
                    <w:top w:val="single" w:sz="6" w:space="11" w:color="DDDDDD"/>
                    <w:left w:val="none" w:sz="0" w:space="0" w:color="auto"/>
                    <w:bottom w:val="none" w:sz="0" w:space="0" w:color="auto"/>
                    <w:right w:val="none" w:sz="0" w:space="0" w:color="auto"/>
                  </w:divBdr>
                  <w:divsChild>
                    <w:div w:id="399795341">
                      <w:marLeft w:val="-225"/>
                      <w:marRight w:val="-225"/>
                      <w:marTop w:val="0"/>
                      <w:marBottom w:val="0"/>
                      <w:divBdr>
                        <w:top w:val="none" w:sz="0" w:space="0" w:color="auto"/>
                        <w:left w:val="none" w:sz="0" w:space="0" w:color="auto"/>
                        <w:bottom w:val="none" w:sz="0" w:space="0" w:color="auto"/>
                        <w:right w:val="none" w:sz="0" w:space="0" w:color="auto"/>
                      </w:divBdr>
                      <w:divsChild>
                        <w:div w:id="325016047">
                          <w:marLeft w:val="0"/>
                          <w:marRight w:val="0"/>
                          <w:marTop w:val="0"/>
                          <w:marBottom w:val="0"/>
                          <w:divBdr>
                            <w:top w:val="none" w:sz="0" w:space="0" w:color="auto"/>
                            <w:left w:val="none" w:sz="0" w:space="0" w:color="auto"/>
                            <w:bottom w:val="none" w:sz="0" w:space="0" w:color="auto"/>
                            <w:right w:val="none" w:sz="0" w:space="0" w:color="auto"/>
                          </w:divBdr>
                        </w:div>
                        <w:div w:id="108470859">
                          <w:marLeft w:val="0"/>
                          <w:marRight w:val="0"/>
                          <w:marTop w:val="0"/>
                          <w:marBottom w:val="0"/>
                          <w:divBdr>
                            <w:top w:val="none" w:sz="0" w:space="0" w:color="auto"/>
                            <w:left w:val="none" w:sz="0" w:space="0" w:color="auto"/>
                            <w:bottom w:val="none" w:sz="0" w:space="0" w:color="auto"/>
                            <w:right w:val="none" w:sz="0" w:space="0" w:color="auto"/>
                          </w:divBdr>
                          <w:divsChild>
                            <w:div w:id="1031301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861420">
                      <w:marLeft w:val="-225"/>
                      <w:marRight w:val="-225"/>
                      <w:marTop w:val="0"/>
                      <w:marBottom w:val="0"/>
                      <w:divBdr>
                        <w:top w:val="none" w:sz="0" w:space="0" w:color="auto"/>
                        <w:left w:val="none" w:sz="0" w:space="0" w:color="auto"/>
                        <w:bottom w:val="none" w:sz="0" w:space="0" w:color="auto"/>
                        <w:right w:val="none" w:sz="0" w:space="0" w:color="auto"/>
                      </w:divBdr>
                      <w:divsChild>
                        <w:div w:id="331378326">
                          <w:marLeft w:val="0"/>
                          <w:marRight w:val="0"/>
                          <w:marTop w:val="0"/>
                          <w:marBottom w:val="0"/>
                          <w:divBdr>
                            <w:top w:val="single" w:sz="6" w:space="1" w:color="auto"/>
                            <w:left w:val="single" w:sz="6" w:space="4" w:color="auto"/>
                            <w:bottom w:val="single" w:sz="6" w:space="1" w:color="auto"/>
                            <w:right w:val="single" w:sz="6" w:space="4" w:color="auto"/>
                          </w:divBdr>
                        </w:div>
                      </w:divsChild>
                    </w:div>
                  </w:divsChild>
                </w:div>
              </w:divsChild>
            </w:div>
          </w:divsChild>
        </w:div>
        <w:div w:id="925190765">
          <w:marLeft w:val="0"/>
          <w:marRight w:val="0"/>
          <w:marTop w:val="75"/>
          <w:marBottom w:val="0"/>
          <w:divBdr>
            <w:top w:val="none" w:sz="0" w:space="0" w:color="auto"/>
            <w:left w:val="none" w:sz="0" w:space="0" w:color="auto"/>
            <w:bottom w:val="none" w:sz="0" w:space="0" w:color="auto"/>
            <w:right w:val="none" w:sz="0" w:space="0" w:color="auto"/>
          </w:divBdr>
          <w:divsChild>
            <w:div w:id="771248567">
              <w:marLeft w:val="0"/>
              <w:marRight w:val="0"/>
              <w:marTop w:val="0"/>
              <w:marBottom w:val="0"/>
              <w:divBdr>
                <w:top w:val="none" w:sz="0" w:space="8" w:color="DDDDDD"/>
                <w:left w:val="none" w:sz="0" w:space="11" w:color="DDDDDD"/>
                <w:bottom w:val="none" w:sz="0" w:space="0" w:color="auto"/>
                <w:right w:val="none" w:sz="0" w:space="11" w:color="DDDDDD"/>
              </w:divBdr>
            </w:div>
            <w:div w:id="318925609">
              <w:marLeft w:val="0"/>
              <w:marRight w:val="0"/>
              <w:marTop w:val="0"/>
              <w:marBottom w:val="0"/>
              <w:divBdr>
                <w:top w:val="none" w:sz="0" w:space="0" w:color="auto"/>
                <w:left w:val="none" w:sz="0" w:space="0" w:color="auto"/>
                <w:bottom w:val="none" w:sz="0" w:space="0" w:color="auto"/>
                <w:right w:val="none" w:sz="0" w:space="0" w:color="auto"/>
              </w:divBdr>
              <w:divsChild>
                <w:div w:id="2015495782">
                  <w:marLeft w:val="0"/>
                  <w:marRight w:val="0"/>
                  <w:marTop w:val="0"/>
                  <w:marBottom w:val="0"/>
                  <w:divBdr>
                    <w:top w:val="single" w:sz="6" w:space="11" w:color="DDDDDD"/>
                    <w:left w:val="none" w:sz="0" w:space="0" w:color="auto"/>
                    <w:bottom w:val="none" w:sz="0" w:space="0" w:color="auto"/>
                    <w:right w:val="none" w:sz="0" w:space="0" w:color="auto"/>
                  </w:divBdr>
                  <w:divsChild>
                    <w:div w:id="617418719">
                      <w:marLeft w:val="-225"/>
                      <w:marRight w:val="-225"/>
                      <w:marTop w:val="0"/>
                      <w:marBottom w:val="0"/>
                      <w:divBdr>
                        <w:top w:val="none" w:sz="0" w:space="0" w:color="auto"/>
                        <w:left w:val="none" w:sz="0" w:space="0" w:color="auto"/>
                        <w:bottom w:val="none" w:sz="0" w:space="0" w:color="auto"/>
                        <w:right w:val="none" w:sz="0" w:space="0" w:color="auto"/>
                      </w:divBdr>
                      <w:divsChild>
                        <w:div w:id="871378720">
                          <w:marLeft w:val="0"/>
                          <w:marRight w:val="0"/>
                          <w:marTop w:val="0"/>
                          <w:marBottom w:val="0"/>
                          <w:divBdr>
                            <w:top w:val="none" w:sz="0" w:space="0" w:color="auto"/>
                            <w:left w:val="none" w:sz="0" w:space="0" w:color="auto"/>
                            <w:bottom w:val="none" w:sz="0" w:space="0" w:color="auto"/>
                            <w:right w:val="none" w:sz="0" w:space="0" w:color="auto"/>
                          </w:divBdr>
                          <w:divsChild>
                            <w:div w:id="45841635">
                              <w:marLeft w:val="0"/>
                              <w:marRight w:val="0"/>
                              <w:marTop w:val="0"/>
                              <w:marBottom w:val="0"/>
                              <w:divBdr>
                                <w:top w:val="none" w:sz="0" w:space="0" w:color="auto"/>
                                <w:left w:val="none" w:sz="0" w:space="0" w:color="auto"/>
                                <w:bottom w:val="none" w:sz="0" w:space="0" w:color="auto"/>
                                <w:right w:val="none" w:sz="0" w:space="0" w:color="auto"/>
                              </w:divBdr>
                            </w:div>
                          </w:divsChild>
                        </w:div>
                        <w:div w:id="117457732">
                          <w:marLeft w:val="0"/>
                          <w:marRight w:val="0"/>
                          <w:marTop w:val="0"/>
                          <w:marBottom w:val="0"/>
                          <w:divBdr>
                            <w:top w:val="none" w:sz="0" w:space="0" w:color="auto"/>
                            <w:left w:val="none" w:sz="0" w:space="0" w:color="auto"/>
                            <w:bottom w:val="none" w:sz="0" w:space="0" w:color="auto"/>
                            <w:right w:val="none" w:sz="0" w:space="0" w:color="auto"/>
                          </w:divBdr>
                        </w:div>
                      </w:divsChild>
                    </w:div>
                    <w:div w:id="290327957">
                      <w:marLeft w:val="-225"/>
                      <w:marRight w:val="-225"/>
                      <w:marTop w:val="0"/>
                      <w:marBottom w:val="0"/>
                      <w:divBdr>
                        <w:top w:val="none" w:sz="0" w:space="0" w:color="auto"/>
                        <w:left w:val="none" w:sz="0" w:space="0" w:color="auto"/>
                        <w:bottom w:val="none" w:sz="0" w:space="0" w:color="auto"/>
                        <w:right w:val="none" w:sz="0" w:space="0" w:color="auto"/>
                      </w:divBdr>
                      <w:divsChild>
                        <w:div w:id="1549102622">
                          <w:marLeft w:val="0"/>
                          <w:marRight w:val="0"/>
                          <w:marTop w:val="0"/>
                          <w:marBottom w:val="0"/>
                          <w:divBdr>
                            <w:top w:val="single" w:sz="6" w:space="1" w:color="auto"/>
                            <w:left w:val="single" w:sz="6" w:space="4" w:color="auto"/>
                            <w:bottom w:val="single" w:sz="6" w:space="1" w:color="auto"/>
                            <w:right w:val="single" w:sz="6" w:space="4" w:color="auto"/>
                          </w:divBdr>
                        </w:div>
                      </w:divsChild>
                    </w:div>
                    <w:div w:id="1736663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5714482">
          <w:marLeft w:val="0"/>
          <w:marRight w:val="0"/>
          <w:marTop w:val="75"/>
          <w:marBottom w:val="0"/>
          <w:divBdr>
            <w:top w:val="none" w:sz="0" w:space="0" w:color="auto"/>
            <w:left w:val="none" w:sz="0" w:space="0" w:color="auto"/>
            <w:bottom w:val="none" w:sz="0" w:space="0" w:color="auto"/>
            <w:right w:val="none" w:sz="0" w:space="0" w:color="auto"/>
          </w:divBdr>
          <w:divsChild>
            <w:div w:id="279605546">
              <w:marLeft w:val="0"/>
              <w:marRight w:val="0"/>
              <w:marTop w:val="0"/>
              <w:marBottom w:val="0"/>
              <w:divBdr>
                <w:top w:val="none" w:sz="0" w:space="8" w:color="DDDDDD"/>
                <w:left w:val="none" w:sz="0" w:space="11" w:color="DDDDDD"/>
                <w:bottom w:val="none" w:sz="0" w:space="0" w:color="auto"/>
                <w:right w:val="none" w:sz="0" w:space="11" w:color="DDDDDD"/>
              </w:divBdr>
            </w:div>
            <w:div w:id="2123835549">
              <w:marLeft w:val="0"/>
              <w:marRight w:val="0"/>
              <w:marTop w:val="0"/>
              <w:marBottom w:val="0"/>
              <w:divBdr>
                <w:top w:val="none" w:sz="0" w:space="0" w:color="auto"/>
                <w:left w:val="none" w:sz="0" w:space="0" w:color="auto"/>
                <w:bottom w:val="none" w:sz="0" w:space="0" w:color="auto"/>
                <w:right w:val="none" w:sz="0" w:space="0" w:color="auto"/>
              </w:divBdr>
              <w:divsChild>
                <w:div w:id="907499543">
                  <w:marLeft w:val="0"/>
                  <w:marRight w:val="0"/>
                  <w:marTop w:val="0"/>
                  <w:marBottom w:val="0"/>
                  <w:divBdr>
                    <w:top w:val="single" w:sz="6" w:space="11" w:color="DDDDDD"/>
                    <w:left w:val="none" w:sz="0" w:space="0" w:color="auto"/>
                    <w:bottom w:val="none" w:sz="0" w:space="0" w:color="auto"/>
                    <w:right w:val="none" w:sz="0" w:space="0" w:color="auto"/>
                  </w:divBdr>
                  <w:divsChild>
                    <w:div w:id="250237091">
                      <w:marLeft w:val="-225"/>
                      <w:marRight w:val="-225"/>
                      <w:marTop w:val="0"/>
                      <w:marBottom w:val="0"/>
                      <w:divBdr>
                        <w:top w:val="none" w:sz="0" w:space="0" w:color="auto"/>
                        <w:left w:val="none" w:sz="0" w:space="0" w:color="auto"/>
                        <w:bottom w:val="none" w:sz="0" w:space="0" w:color="auto"/>
                        <w:right w:val="none" w:sz="0" w:space="0" w:color="auto"/>
                      </w:divBdr>
                      <w:divsChild>
                        <w:div w:id="313338369">
                          <w:marLeft w:val="0"/>
                          <w:marRight w:val="0"/>
                          <w:marTop w:val="0"/>
                          <w:marBottom w:val="0"/>
                          <w:divBdr>
                            <w:top w:val="none" w:sz="0" w:space="0" w:color="auto"/>
                            <w:left w:val="none" w:sz="0" w:space="0" w:color="auto"/>
                            <w:bottom w:val="none" w:sz="0" w:space="0" w:color="auto"/>
                            <w:right w:val="none" w:sz="0" w:space="0" w:color="auto"/>
                          </w:divBdr>
                        </w:div>
                        <w:div w:id="1432508206">
                          <w:marLeft w:val="0"/>
                          <w:marRight w:val="0"/>
                          <w:marTop w:val="0"/>
                          <w:marBottom w:val="0"/>
                          <w:divBdr>
                            <w:top w:val="none" w:sz="0" w:space="0" w:color="auto"/>
                            <w:left w:val="none" w:sz="0" w:space="0" w:color="auto"/>
                            <w:bottom w:val="none" w:sz="0" w:space="0" w:color="auto"/>
                            <w:right w:val="none" w:sz="0" w:space="0" w:color="auto"/>
                          </w:divBdr>
                          <w:divsChild>
                            <w:div w:id="160855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68536">
                      <w:marLeft w:val="-225"/>
                      <w:marRight w:val="-225"/>
                      <w:marTop w:val="0"/>
                      <w:marBottom w:val="0"/>
                      <w:divBdr>
                        <w:top w:val="none" w:sz="0" w:space="0" w:color="auto"/>
                        <w:left w:val="none" w:sz="0" w:space="0" w:color="auto"/>
                        <w:bottom w:val="none" w:sz="0" w:space="0" w:color="auto"/>
                        <w:right w:val="none" w:sz="0" w:space="0" w:color="auto"/>
                      </w:divBdr>
                      <w:divsChild>
                        <w:div w:id="745421555">
                          <w:marLeft w:val="0"/>
                          <w:marRight w:val="0"/>
                          <w:marTop w:val="0"/>
                          <w:marBottom w:val="0"/>
                          <w:divBdr>
                            <w:top w:val="single" w:sz="6" w:space="1" w:color="auto"/>
                            <w:left w:val="single" w:sz="6" w:space="4" w:color="auto"/>
                            <w:bottom w:val="single" w:sz="6" w:space="1" w:color="auto"/>
                            <w:right w:val="single" w:sz="6" w:space="4" w:color="auto"/>
                          </w:divBdr>
                        </w:div>
                      </w:divsChild>
                    </w:div>
                    <w:div w:id="912660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5596246">
      <w:bodyDiv w:val="1"/>
      <w:marLeft w:val="0"/>
      <w:marRight w:val="0"/>
      <w:marTop w:val="0"/>
      <w:marBottom w:val="0"/>
      <w:divBdr>
        <w:top w:val="none" w:sz="0" w:space="0" w:color="auto"/>
        <w:left w:val="none" w:sz="0" w:space="0" w:color="auto"/>
        <w:bottom w:val="none" w:sz="0" w:space="0" w:color="auto"/>
        <w:right w:val="none" w:sz="0" w:space="0" w:color="auto"/>
      </w:divBdr>
    </w:div>
    <w:div w:id="1378895848">
      <w:bodyDiv w:val="1"/>
      <w:marLeft w:val="0"/>
      <w:marRight w:val="0"/>
      <w:marTop w:val="0"/>
      <w:marBottom w:val="0"/>
      <w:divBdr>
        <w:top w:val="none" w:sz="0" w:space="0" w:color="auto"/>
        <w:left w:val="none" w:sz="0" w:space="0" w:color="auto"/>
        <w:bottom w:val="none" w:sz="0" w:space="0" w:color="auto"/>
        <w:right w:val="none" w:sz="0" w:space="0" w:color="auto"/>
      </w:divBdr>
    </w:div>
    <w:div w:id="1436825262">
      <w:bodyDiv w:val="1"/>
      <w:marLeft w:val="0"/>
      <w:marRight w:val="0"/>
      <w:marTop w:val="0"/>
      <w:marBottom w:val="0"/>
      <w:divBdr>
        <w:top w:val="none" w:sz="0" w:space="0" w:color="auto"/>
        <w:left w:val="none" w:sz="0" w:space="0" w:color="auto"/>
        <w:bottom w:val="none" w:sz="0" w:space="0" w:color="auto"/>
        <w:right w:val="none" w:sz="0" w:space="0" w:color="auto"/>
      </w:divBdr>
    </w:div>
    <w:div w:id="1460102626">
      <w:bodyDiv w:val="1"/>
      <w:marLeft w:val="0"/>
      <w:marRight w:val="0"/>
      <w:marTop w:val="0"/>
      <w:marBottom w:val="0"/>
      <w:divBdr>
        <w:top w:val="none" w:sz="0" w:space="0" w:color="auto"/>
        <w:left w:val="none" w:sz="0" w:space="0" w:color="auto"/>
        <w:bottom w:val="none" w:sz="0" w:space="0" w:color="auto"/>
        <w:right w:val="none" w:sz="0" w:space="0" w:color="auto"/>
      </w:divBdr>
    </w:div>
    <w:div w:id="1550874452">
      <w:bodyDiv w:val="1"/>
      <w:marLeft w:val="0"/>
      <w:marRight w:val="0"/>
      <w:marTop w:val="0"/>
      <w:marBottom w:val="0"/>
      <w:divBdr>
        <w:top w:val="none" w:sz="0" w:space="0" w:color="auto"/>
        <w:left w:val="none" w:sz="0" w:space="0" w:color="auto"/>
        <w:bottom w:val="none" w:sz="0" w:space="0" w:color="auto"/>
        <w:right w:val="none" w:sz="0" w:space="0" w:color="auto"/>
      </w:divBdr>
    </w:div>
    <w:div w:id="1593508505">
      <w:bodyDiv w:val="1"/>
      <w:marLeft w:val="0"/>
      <w:marRight w:val="0"/>
      <w:marTop w:val="0"/>
      <w:marBottom w:val="0"/>
      <w:divBdr>
        <w:top w:val="none" w:sz="0" w:space="0" w:color="auto"/>
        <w:left w:val="none" w:sz="0" w:space="0" w:color="auto"/>
        <w:bottom w:val="none" w:sz="0" w:space="0" w:color="auto"/>
        <w:right w:val="none" w:sz="0" w:space="0" w:color="auto"/>
      </w:divBdr>
    </w:div>
    <w:div w:id="1723557275">
      <w:bodyDiv w:val="1"/>
      <w:marLeft w:val="0"/>
      <w:marRight w:val="0"/>
      <w:marTop w:val="0"/>
      <w:marBottom w:val="0"/>
      <w:divBdr>
        <w:top w:val="none" w:sz="0" w:space="0" w:color="auto"/>
        <w:left w:val="none" w:sz="0" w:space="0" w:color="auto"/>
        <w:bottom w:val="none" w:sz="0" w:space="0" w:color="auto"/>
        <w:right w:val="none" w:sz="0" w:space="0" w:color="auto"/>
      </w:divBdr>
    </w:div>
    <w:div w:id="1769891750">
      <w:bodyDiv w:val="1"/>
      <w:marLeft w:val="0"/>
      <w:marRight w:val="0"/>
      <w:marTop w:val="0"/>
      <w:marBottom w:val="0"/>
      <w:divBdr>
        <w:top w:val="none" w:sz="0" w:space="0" w:color="auto"/>
        <w:left w:val="none" w:sz="0" w:space="0" w:color="auto"/>
        <w:bottom w:val="none" w:sz="0" w:space="0" w:color="auto"/>
        <w:right w:val="none" w:sz="0" w:space="0" w:color="auto"/>
      </w:divBdr>
      <w:divsChild>
        <w:div w:id="271861495">
          <w:marLeft w:val="0"/>
          <w:marRight w:val="0"/>
          <w:marTop w:val="0"/>
          <w:marBottom w:val="0"/>
          <w:divBdr>
            <w:top w:val="none" w:sz="0" w:space="0" w:color="auto"/>
            <w:left w:val="none" w:sz="0" w:space="0" w:color="auto"/>
            <w:bottom w:val="none" w:sz="0" w:space="0" w:color="auto"/>
            <w:right w:val="none" w:sz="0" w:space="0" w:color="auto"/>
          </w:divBdr>
        </w:div>
      </w:divsChild>
    </w:div>
    <w:div w:id="1805270368">
      <w:bodyDiv w:val="1"/>
      <w:marLeft w:val="0"/>
      <w:marRight w:val="0"/>
      <w:marTop w:val="0"/>
      <w:marBottom w:val="0"/>
      <w:divBdr>
        <w:top w:val="none" w:sz="0" w:space="0" w:color="auto"/>
        <w:left w:val="none" w:sz="0" w:space="0" w:color="auto"/>
        <w:bottom w:val="none" w:sz="0" w:space="0" w:color="auto"/>
        <w:right w:val="none" w:sz="0" w:space="0" w:color="auto"/>
      </w:divBdr>
      <w:divsChild>
        <w:div w:id="145322739">
          <w:marLeft w:val="0"/>
          <w:marRight w:val="0"/>
          <w:marTop w:val="0"/>
          <w:marBottom w:val="0"/>
          <w:divBdr>
            <w:top w:val="single" w:sz="6" w:space="5" w:color="A2A9B1"/>
            <w:left w:val="single" w:sz="6" w:space="5" w:color="A2A9B1"/>
            <w:bottom w:val="single" w:sz="6" w:space="5" w:color="A2A9B1"/>
            <w:right w:val="single" w:sz="6" w:space="5" w:color="A2A9B1"/>
          </w:divBdr>
        </w:div>
      </w:divsChild>
    </w:div>
    <w:div w:id="1996254795">
      <w:bodyDiv w:val="1"/>
      <w:marLeft w:val="0"/>
      <w:marRight w:val="0"/>
      <w:marTop w:val="0"/>
      <w:marBottom w:val="0"/>
      <w:divBdr>
        <w:top w:val="none" w:sz="0" w:space="0" w:color="auto"/>
        <w:left w:val="none" w:sz="0" w:space="0" w:color="auto"/>
        <w:bottom w:val="none" w:sz="0" w:space="0" w:color="auto"/>
        <w:right w:val="none" w:sz="0" w:space="0" w:color="auto"/>
      </w:divBdr>
    </w:div>
    <w:div w:id="2004428308">
      <w:bodyDiv w:val="1"/>
      <w:marLeft w:val="0"/>
      <w:marRight w:val="0"/>
      <w:marTop w:val="0"/>
      <w:marBottom w:val="0"/>
      <w:divBdr>
        <w:top w:val="none" w:sz="0" w:space="0" w:color="auto"/>
        <w:left w:val="none" w:sz="0" w:space="0" w:color="auto"/>
        <w:bottom w:val="none" w:sz="0" w:space="0" w:color="auto"/>
        <w:right w:val="none" w:sz="0" w:space="0" w:color="auto"/>
      </w:divBdr>
    </w:div>
    <w:div w:id="2059042733">
      <w:bodyDiv w:val="1"/>
      <w:marLeft w:val="0"/>
      <w:marRight w:val="0"/>
      <w:marTop w:val="0"/>
      <w:marBottom w:val="0"/>
      <w:divBdr>
        <w:top w:val="none" w:sz="0" w:space="0" w:color="auto"/>
        <w:left w:val="none" w:sz="0" w:space="0" w:color="auto"/>
        <w:bottom w:val="none" w:sz="0" w:space="0" w:color="auto"/>
        <w:right w:val="none" w:sz="0" w:space="0" w:color="auto"/>
      </w:divBdr>
      <w:divsChild>
        <w:div w:id="1185554591">
          <w:marLeft w:val="0"/>
          <w:marRight w:val="0"/>
          <w:marTop w:val="0"/>
          <w:marBottom w:val="0"/>
          <w:divBdr>
            <w:top w:val="none" w:sz="0" w:space="0" w:color="auto"/>
            <w:left w:val="none" w:sz="0" w:space="0" w:color="auto"/>
            <w:bottom w:val="none" w:sz="0" w:space="0" w:color="auto"/>
            <w:right w:val="none" w:sz="0" w:space="0" w:color="auto"/>
          </w:divBdr>
        </w:div>
        <w:div w:id="20893812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stat.it/storage/rapporto-annuale/2022/Rapporto_Annuale_2022.pdf" TargetMode="External"/><Relationship Id="rId13" Type="http://schemas.openxmlformats.org/officeDocument/2006/relationships/hyperlink" Target="https://www.cnel.it/Archivio-Contratti/Minimi-retributivi" TargetMode="External"/><Relationship Id="rId18" Type="http://schemas.openxmlformats.org/officeDocument/2006/relationships/header" Target="header1.xml"/><Relationship Id="rId26" Type="http://schemas.openxmlformats.org/officeDocument/2006/relationships/customXml" Target="../customXml/item2.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inps.it/inps-comunica/diritti-e-obblighi-in-materia-di-sicurezza-sociale-nell-unione-europea/for-the-citizens/retirement-benefits" TargetMode="External"/><Relationship Id="rId17" Type="http://schemas.openxmlformats.org/officeDocument/2006/relationships/hyperlink" Target="https://www.anvur.it/wp-content/uploads/2022/06/ANVUR-Rapporto-disabilita_WEB.pdf"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miur.gov.it/documents/20182/0/NOTIZIARIO_Stranieri_2021+%281%29.pdf/150d451a-45d2-e26f-9512-338a98c7bb1e?version=1.0&amp;t=1659103036663"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acxsmbfs.ac.mlps.adm/Redirected$/sboscato/Downloads/idi_NAP_eng_corretto%20IT%20(3).pdf"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minori.gov.it/it/minori/piano-nazionale-la-famiglia" TargetMode="External"/><Relationship Id="rId23" Type="http://schemas.openxmlformats.org/officeDocument/2006/relationships/footer" Target="footer3.xml"/><Relationship Id="rId28" Type="http://schemas.openxmlformats.org/officeDocument/2006/relationships/customXml" Target="../customXml/item4.xml"/><Relationship Id="rId10" Type="http://schemas.openxmlformats.org/officeDocument/2006/relationships/hyperlink" Target="https://ec.europa.eu/social/main.jsp?catId=1428&amp;langId=en"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istat.it/storage/rapporto-annuale/2020/Rapportoannuale2020.pdf" TargetMode="External"/><Relationship Id="rId14" Type="http://schemas.openxmlformats.org/officeDocument/2006/relationships/hyperlink" Target="https://www.inps.it/dati-ricerche-e-bilanci/osservatori-statistici-e-altre-statistiche/dati-cartacei-auu" TargetMode="External"/><Relationship Id="rId22" Type="http://schemas.openxmlformats.org/officeDocument/2006/relationships/header" Target="header3.xml"/><Relationship Id="rId27" Type="http://schemas.openxmlformats.org/officeDocument/2006/relationships/customXml" Target="../customXml/item3.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EB092FE-0E6D-47C8-A87C-BBD858BB5F70}">
  <ds:schemaRefs>
    <ds:schemaRef ds:uri="http://schemas.openxmlformats.org/officeDocument/2006/bibliography"/>
  </ds:schemaRefs>
</ds:datastoreItem>
</file>

<file path=customXml/itemProps2.xml><?xml version="1.0" encoding="utf-8"?>
<ds:datastoreItem xmlns:ds="http://schemas.openxmlformats.org/officeDocument/2006/customXml" ds:itemID="{26C7245B-00B6-492B-B0E9-A825E7CC9695}"/>
</file>

<file path=customXml/itemProps3.xml><?xml version="1.0" encoding="utf-8"?>
<ds:datastoreItem xmlns:ds="http://schemas.openxmlformats.org/officeDocument/2006/customXml" ds:itemID="{D15494FC-D83E-4BC6-A5BC-252D3DB1394C}"/>
</file>

<file path=customXml/itemProps4.xml><?xml version="1.0" encoding="utf-8"?>
<ds:datastoreItem xmlns:ds="http://schemas.openxmlformats.org/officeDocument/2006/customXml" ds:itemID="{9F21B013-B736-4188-8E76-3B17C5A29D2B}"/>
</file>

<file path=docProps/app.xml><?xml version="1.0" encoding="utf-8"?>
<Properties xmlns="http://schemas.openxmlformats.org/officeDocument/2006/extended-properties" xmlns:vt="http://schemas.openxmlformats.org/officeDocument/2006/docPropsVTypes">
  <Template>Normal.dotm</Template>
  <TotalTime>0</TotalTime>
  <Pages>6</Pages>
  <Words>3953</Words>
  <Characters>22535</Characters>
  <Application>Microsoft Office Word</Application>
  <DocSecurity>0</DocSecurity>
  <Lines>187</Lines>
  <Paragraphs>52</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PCM</Company>
  <LinksUpToDate>false</LinksUpToDate>
  <CharactersWithSpaces>26436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mbova</dc:creator>
  <cp:keywords/>
  <dc:description/>
  <cp:lastModifiedBy>Anders Troels Malver</cp:lastModifiedBy>
  <cp:revision>2</cp:revision>
  <dcterms:created xsi:type="dcterms:W3CDTF">2022-10-04T10:43:00Z</dcterms:created>
  <dcterms:modified xsi:type="dcterms:W3CDTF">2022-10-04T10:43:00Z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