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370" w:rsidRDefault="002D5370" w:rsidP="002D5370">
      <w:pPr>
        <w:jc w:val="right"/>
        <w:rPr>
          <w:rFonts w:cs="Times New Roman"/>
          <w:b/>
          <w:lang w:val="en-GB"/>
        </w:rPr>
      </w:pPr>
      <w:r>
        <w:rPr>
          <w:rFonts w:cs="Times New Roman"/>
          <w:b/>
          <w:lang w:val="en-GB"/>
        </w:rPr>
        <w:t>Annex XI</w:t>
      </w:r>
    </w:p>
    <w:p w:rsidR="002D5370" w:rsidRDefault="002D5370" w:rsidP="002D5370">
      <w:pPr>
        <w:jc w:val="center"/>
        <w:rPr>
          <w:rFonts w:cs="Times New Roman"/>
          <w:b/>
          <w:lang w:val="en-GB"/>
        </w:rPr>
      </w:pPr>
    </w:p>
    <w:p w:rsidR="00DB2F38" w:rsidRDefault="002D5370" w:rsidP="002D5370">
      <w:pPr>
        <w:jc w:val="center"/>
        <w:rPr>
          <w:rFonts w:cs="Times New Roman"/>
          <w:b/>
          <w:lang w:val="en-GB"/>
        </w:rPr>
      </w:pPr>
      <w:r>
        <w:rPr>
          <w:rFonts w:cs="Times New Roman"/>
          <w:b/>
          <w:lang w:val="en-GB"/>
        </w:rPr>
        <w:t>PROTECTION FROM DISCRIMINATION IN WORK AND EMPLOYMENT</w:t>
      </w:r>
    </w:p>
    <w:p w:rsidR="002D5370" w:rsidRDefault="002D5370">
      <w:pPr>
        <w:rPr>
          <w:lang w:val="en-GB"/>
        </w:rPr>
      </w:pPr>
    </w:p>
    <w:p w:rsidR="002D5370" w:rsidRPr="002D5370" w:rsidRDefault="002D5370">
      <w:pPr>
        <w:rPr>
          <w:b/>
          <w:lang w:val="en-GB"/>
        </w:rPr>
      </w:pPr>
      <w:r w:rsidRPr="002D5370">
        <w:rPr>
          <w:b/>
          <w:lang w:val="en-GB"/>
        </w:rPr>
        <w:t>Equal Opportunities Act</w:t>
      </w:r>
    </w:p>
    <w:p w:rsidR="002D5370" w:rsidRDefault="002D5370">
      <w:pPr>
        <w:rPr>
          <w:lang w:val="en-GB"/>
        </w:rPr>
      </w:pPr>
    </w:p>
    <w:p w:rsidR="00DB2F38" w:rsidRPr="004A14A7" w:rsidRDefault="00DB2F38" w:rsidP="00DB2F38">
      <w:pPr>
        <w:spacing w:line="360" w:lineRule="auto"/>
        <w:jc w:val="both"/>
        <w:rPr>
          <w:rFonts w:eastAsiaTheme="minorEastAsia" w:cs="Times New Roman"/>
          <w:lang w:val="en-GB"/>
        </w:rPr>
      </w:pPr>
      <w:r w:rsidRPr="004A14A7">
        <w:rPr>
          <w:rFonts w:eastAsiaTheme="minorEastAsia" w:cs="Times New Roman"/>
          <w:lang w:val="en-GB"/>
        </w:rPr>
        <w:t xml:space="preserve">Under the Equal Opportunities Act, impairment captures both physical and intellectual disabilities. Hence, all persons, including women with disabilities, who have reason to believe that they may have been discriminated in relation to employment, education, qualifications for a profession, trade or occupation, the provision of goods, services, facilities or accommodation, the disposal of property, companies, partnerships, </w:t>
      </w:r>
      <w:proofErr w:type="spellStart"/>
      <w:r w:rsidRPr="00BB11F2">
        <w:rPr>
          <w:rFonts w:eastAsiaTheme="minorEastAsia" w:cs="Times New Roman"/>
          <w:lang w:val="en-GB"/>
        </w:rPr>
        <w:t>sociétés</w:t>
      </w:r>
      <w:proofErr w:type="spellEnd"/>
      <w:r w:rsidRPr="00BB11F2">
        <w:rPr>
          <w:rFonts w:eastAsiaTheme="minorEastAsia" w:cs="Times New Roman"/>
          <w:lang w:val="en-GB"/>
        </w:rPr>
        <w:t>,</w:t>
      </w:r>
      <w:r w:rsidRPr="004A14A7">
        <w:rPr>
          <w:rFonts w:eastAsiaTheme="minorEastAsia" w:cs="Times New Roman"/>
          <w:lang w:val="en-GB"/>
        </w:rPr>
        <w:t xml:space="preserve"> registered associations, sports, clubs and access to premises which the public may enter or use may lodge a complaint at the Equal Opportunities Commission.</w:t>
      </w:r>
    </w:p>
    <w:p w:rsidR="00DB2F38" w:rsidRPr="004A14A7" w:rsidRDefault="00DB2F38" w:rsidP="00DB2F38">
      <w:pPr>
        <w:spacing w:line="360" w:lineRule="auto"/>
        <w:jc w:val="both"/>
        <w:rPr>
          <w:rFonts w:eastAsiaTheme="minorEastAsia" w:cs="Times New Roman"/>
          <w:lang w:val="en-GB"/>
        </w:rPr>
      </w:pPr>
    </w:p>
    <w:p w:rsidR="00DB2F38" w:rsidRPr="004A14A7" w:rsidRDefault="00DB2F38" w:rsidP="00DB2F38">
      <w:pPr>
        <w:spacing w:line="360" w:lineRule="auto"/>
        <w:jc w:val="both"/>
        <w:rPr>
          <w:rFonts w:eastAsiaTheme="minorEastAsia" w:cs="Times New Roman"/>
          <w:lang w:val="en-GB"/>
        </w:rPr>
      </w:pPr>
      <w:r w:rsidRPr="004A14A7">
        <w:rPr>
          <w:rFonts w:eastAsiaTheme="minorEastAsia" w:cs="Times New Roman"/>
          <w:lang w:val="en-GB"/>
        </w:rPr>
        <w:t>Section 13 of the EOA allows a person with an impairment to be discriminated against only where –</w:t>
      </w:r>
    </w:p>
    <w:p w:rsidR="00DB2F38" w:rsidRPr="004A14A7" w:rsidRDefault="00DB2F38" w:rsidP="00DB2F38">
      <w:pPr>
        <w:pStyle w:val="para"/>
        <w:spacing w:line="360" w:lineRule="auto"/>
        <w:rPr>
          <w:i/>
          <w:sz w:val="24"/>
          <w:szCs w:val="24"/>
        </w:rPr>
      </w:pPr>
      <w:r w:rsidRPr="004A14A7">
        <w:rPr>
          <w:color w:val="000000"/>
          <w:sz w:val="24"/>
          <w:szCs w:val="24"/>
        </w:rPr>
        <w:tab/>
      </w:r>
      <w:r w:rsidRPr="004A14A7">
        <w:rPr>
          <w:i/>
          <w:color w:val="000000"/>
          <w:sz w:val="24"/>
          <w:szCs w:val="24"/>
        </w:rPr>
        <w:t>(a)</w:t>
      </w:r>
      <w:r w:rsidRPr="004A14A7">
        <w:rPr>
          <w:i/>
          <w:color w:val="000000"/>
          <w:sz w:val="24"/>
          <w:szCs w:val="24"/>
        </w:rPr>
        <w:tab/>
        <w:t>taking into account the person’s past training, qualifications and experience relevant to the particular employment, and in case the person is already employed by that employer, that person’s performance as an employee, and all other relevant factors that it is reasonable to take into account, that person because of his impairment—</w:t>
      </w:r>
    </w:p>
    <w:p w:rsidR="00DB2F38" w:rsidRPr="004A14A7" w:rsidRDefault="00DB2F38" w:rsidP="00DB2F38">
      <w:pPr>
        <w:pStyle w:val="subpara"/>
        <w:spacing w:line="360" w:lineRule="auto"/>
        <w:rPr>
          <w:i/>
          <w:sz w:val="24"/>
          <w:szCs w:val="24"/>
        </w:rPr>
      </w:pPr>
      <w:r w:rsidRPr="004A14A7">
        <w:rPr>
          <w:i/>
          <w:color w:val="000000"/>
          <w:sz w:val="24"/>
          <w:szCs w:val="24"/>
        </w:rPr>
        <w:tab/>
        <w:t>(</w:t>
      </w:r>
      <w:proofErr w:type="spellStart"/>
      <w:r w:rsidRPr="004A14A7">
        <w:rPr>
          <w:i/>
          <w:color w:val="000000"/>
          <w:sz w:val="24"/>
          <w:szCs w:val="24"/>
        </w:rPr>
        <w:t>i</w:t>
      </w:r>
      <w:proofErr w:type="spellEnd"/>
      <w:r w:rsidRPr="004A14A7">
        <w:rPr>
          <w:i/>
          <w:color w:val="000000"/>
          <w:sz w:val="24"/>
          <w:szCs w:val="24"/>
        </w:rPr>
        <w:t>)</w:t>
      </w:r>
      <w:r w:rsidRPr="004A14A7">
        <w:rPr>
          <w:i/>
          <w:color w:val="000000"/>
          <w:sz w:val="24"/>
          <w:szCs w:val="24"/>
        </w:rPr>
        <w:tab/>
        <w:t>would be unable to carry out the inherent requirements of the particular employment; or</w:t>
      </w:r>
    </w:p>
    <w:p w:rsidR="00DB2F38" w:rsidRPr="004A14A7" w:rsidRDefault="00DB2F38" w:rsidP="00DB2F38">
      <w:pPr>
        <w:pStyle w:val="subpara"/>
        <w:spacing w:line="360" w:lineRule="auto"/>
        <w:rPr>
          <w:i/>
          <w:sz w:val="24"/>
          <w:szCs w:val="24"/>
        </w:rPr>
      </w:pPr>
      <w:r w:rsidRPr="004A14A7">
        <w:rPr>
          <w:i/>
          <w:sz w:val="24"/>
          <w:szCs w:val="24"/>
        </w:rPr>
        <w:tab/>
        <w:t>(ii)</w:t>
      </w:r>
      <w:r w:rsidRPr="004A14A7">
        <w:rPr>
          <w:i/>
          <w:sz w:val="24"/>
          <w:szCs w:val="24"/>
        </w:rPr>
        <w:tab/>
        <w:t>would, in order to carry out those requirements, require services or facilities that are not required by persons without an impairment and the provision of which would impose an unjustifiable hardship on the employer; or</w:t>
      </w:r>
    </w:p>
    <w:p w:rsidR="00DB2F38" w:rsidRPr="004A14A7" w:rsidRDefault="00DB2F38" w:rsidP="00DB2F38">
      <w:pPr>
        <w:pStyle w:val="para"/>
        <w:spacing w:line="360" w:lineRule="auto"/>
        <w:rPr>
          <w:i/>
          <w:sz w:val="24"/>
          <w:szCs w:val="24"/>
        </w:rPr>
      </w:pPr>
      <w:r w:rsidRPr="004A14A7">
        <w:rPr>
          <w:i/>
          <w:color w:val="000000"/>
          <w:sz w:val="24"/>
          <w:szCs w:val="24"/>
        </w:rPr>
        <w:tab/>
        <w:t>(b)</w:t>
      </w:r>
      <w:r w:rsidRPr="004A14A7">
        <w:rPr>
          <w:i/>
          <w:color w:val="000000"/>
          <w:sz w:val="24"/>
          <w:szCs w:val="24"/>
        </w:rPr>
        <w:tab/>
        <w:t>because of the nature of the impairment, the work environment or the nature of the work involved, there is or likely to be—</w:t>
      </w:r>
    </w:p>
    <w:p w:rsidR="00DB2F38" w:rsidRPr="004A14A7" w:rsidRDefault="00DB2F38" w:rsidP="00DB2F38">
      <w:pPr>
        <w:pStyle w:val="subpara"/>
        <w:spacing w:line="360" w:lineRule="auto"/>
        <w:rPr>
          <w:i/>
          <w:sz w:val="24"/>
          <w:szCs w:val="24"/>
        </w:rPr>
      </w:pPr>
      <w:r w:rsidRPr="004A14A7">
        <w:rPr>
          <w:i/>
          <w:color w:val="000000"/>
          <w:sz w:val="24"/>
          <w:szCs w:val="24"/>
        </w:rPr>
        <w:tab/>
        <w:t>(</w:t>
      </w:r>
      <w:proofErr w:type="spellStart"/>
      <w:r w:rsidRPr="004A14A7">
        <w:rPr>
          <w:i/>
          <w:color w:val="000000"/>
          <w:sz w:val="24"/>
          <w:szCs w:val="24"/>
        </w:rPr>
        <w:t>i</w:t>
      </w:r>
      <w:proofErr w:type="spellEnd"/>
      <w:r w:rsidRPr="004A14A7">
        <w:rPr>
          <w:i/>
          <w:color w:val="000000"/>
          <w:sz w:val="24"/>
          <w:szCs w:val="24"/>
        </w:rPr>
        <w:t>)</w:t>
      </w:r>
      <w:r w:rsidRPr="004A14A7">
        <w:rPr>
          <w:i/>
          <w:color w:val="000000"/>
          <w:sz w:val="24"/>
          <w:szCs w:val="24"/>
        </w:rPr>
        <w:tab/>
        <w:t>a substantial risk that the person will injure himself; or</w:t>
      </w:r>
    </w:p>
    <w:p w:rsidR="00DB2F38" w:rsidRPr="004A14A7" w:rsidRDefault="00DB2F38" w:rsidP="00DB2F38">
      <w:pPr>
        <w:pStyle w:val="subpara"/>
        <w:spacing w:line="360" w:lineRule="auto"/>
        <w:rPr>
          <w:i/>
          <w:sz w:val="24"/>
          <w:szCs w:val="24"/>
        </w:rPr>
      </w:pPr>
      <w:r w:rsidRPr="004A14A7">
        <w:rPr>
          <w:i/>
          <w:sz w:val="24"/>
          <w:szCs w:val="24"/>
        </w:rPr>
        <w:tab/>
        <w:t>(ii)</w:t>
      </w:r>
      <w:r w:rsidRPr="004A14A7">
        <w:rPr>
          <w:i/>
          <w:sz w:val="24"/>
          <w:szCs w:val="24"/>
        </w:rPr>
        <w:tab/>
        <w:t>a risk that the person will injure others, and it is not reasonable in all the circumstances to take that risk.</w:t>
      </w:r>
    </w:p>
    <w:p w:rsidR="00DB2F38" w:rsidRPr="004A14A7" w:rsidRDefault="00DB2F38" w:rsidP="00DB2F38">
      <w:pPr>
        <w:spacing w:line="360" w:lineRule="auto"/>
        <w:jc w:val="both"/>
        <w:rPr>
          <w:rFonts w:eastAsiaTheme="minorEastAsia" w:cs="Times New Roman"/>
          <w:lang w:val="en-GB"/>
        </w:rPr>
      </w:pPr>
    </w:p>
    <w:p w:rsidR="00DB2F38" w:rsidRPr="004A14A7" w:rsidRDefault="00DB2F38" w:rsidP="00DB2F38">
      <w:pPr>
        <w:spacing w:line="360" w:lineRule="auto"/>
        <w:jc w:val="both"/>
        <w:rPr>
          <w:rFonts w:eastAsiaTheme="minorEastAsia" w:cs="Times New Roman"/>
          <w:lang w:val="en-GB"/>
        </w:rPr>
      </w:pPr>
      <w:r w:rsidRPr="004A14A7">
        <w:rPr>
          <w:rFonts w:eastAsiaTheme="minorEastAsia" w:cs="Times New Roman"/>
          <w:lang w:val="en-GB"/>
        </w:rPr>
        <w:lastRenderedPageBreak/>
        <w:t>Thus reasonable accommodation, where possible under section 13(3) of the EOA ought to be carried out except where the provision of which would impose an unjustifiable hardship on the employer.</w:t>
      </w:r>
    </w:p>
    <w:p w:rsidR="00DB2F38" w:rsidRDefault="00DB2F38" w:rsidP="00DB2F38">
      <w:pPr>
        <w:spacing w:line="360" w:lineRule="auto"/>
        <w:jc w:val="both"/>
        <w:rPr>
          <w:rFonts w:eastAsiaTheme="minorEastAsia" w:cs="Times New Roman"/>
          <w:lang w:val="en-GB"/>
        </w:rPr>
      </w:pPr>
    </w:p>
    <w:p w:rsidR="002D5370" w:rsidRPr="002D5370" w:rsidRDefault="002D5370" w:rsidP="00DB2F38">
      <w:pPr>
        <w:spacing w:line="360" w:lineRule="auto"/>
        <w:jc w:val="both"/>
        <w:rPr>
          <w:rFonts w:eastAsiaTheme="minorEastAsia" w:cs="Times New Roman"/>
          <w:b/>
          <w:lang w:val="en-GB"/>
        </w:rPr>
      </w:pPr>
      <w:r w:rsidRPr="002D5370">
        <w:rPr>
          <w:rFonts w:eastAsiaTheme="minorEastAsia" w:cs="Times New Roman"/>
          <w:b/>
          <w:lang w:val="en-GB"/>
        </w:rPr>
        <w:t>Equal Opportunities Tribunal</w:t>
      </w:r>
    </w:p>
    <w:p w:rsidR="002D5370" w:rsidRPr="004A14A7" w:rsidRDefault="002D5370" w:rsidP="00DB2F38">
      <w:pPr>
        <w:spacing w:line="360" w:lineRule="auto"/>
        <w:jc w:val="both"/>
        <w:rPr>
          <w:rFonts w:eastAsiaTheme="minorEastAsia" w:cs="Times New Roman"/>
          <w:lang w:val="en-GB"/>
        </w:rPr>
      </w:pPr>
    </w:p>
    <w:p w:rsidR="00DB2F38" w:rsidRPr="004A14A7" w:rsidRDefault="00DB2F38" w:rsidP="00DB2F38">
      <w:pPr>
        <w:spacing w:line="360" w:lineRule="auto"/>
        <w:jc w:val="both"/>
        <w:rPr>
          <w:rFonts w:eastAsiaTheme="minorEastAsia" w:cs="Times New Roman"/>
          <w:lang w:val="en-GB"/>
        </w:rPr>
      </w:pPr>
      <w:r w:rsidRPr="004A14A7">
        <w:rPr>
          <w:rFonts w:eastAsiaTheme="minorEastAsia" w:cs="Times New Roman"/>
          <w:lang w:val="en-GB"/>
        </w:rPr>
        <w:t>The Equal Opportunities Tribunal is vested with the power to make:</w:t>
      </w:r>
    </w:p>
    <w:p w:rsidR="00DB2F38" w:rsidRPr="004A14A7" w:rsidRDefault="00DB2F38" w:rsidP="00DB2F38">
      <w:pPr>
        <w:pStyle w:val="subsection"/>
        <w:numPr>
          <w:ilvl w:val="0"/>
          <w:numId w:val="1"/>
        </w:numPr>
        <w:spacing w:line="360" w:lineRule="auto"/>
        <w:rPr>
          <w:rFonts w:eastAsiaTheme="minorEastAsia"/>
          <w:sz w:val="24"/>
          <w:szCs w:val="24"/>
        </w:rPr>
      </w:pPr>
      <w:r w:rsidRPr="004A14A7">
        <w:rPr>
          <w:rFonts w:eastAsiaTheme="minorEastAsia"/>
          <w:sz w:val="24"/>
          <w:szCs w:val="24"/>
        </w:rPr>
        <w:t>an interim order as a matter of urgency,</w:t>
      </w:r>
    </w:p>
    <w:p w:rsidR="00DB2F38" w:rsidRPr="004A14A7" w:rsidRDefault="00DB2F38" w:rsidP="00DB2F38">
      <w:pPr>
        <w:pStyle w:val="subsection"/>
        <w:numPr>
          <w:ilvl w:val="0"/>
          <w:numId w:val="1"/>
        </w:numPr>
        <w:spacing w:line="360" w:lineRule="auto"/>
        <w:rPr>
          <w:rFonts w:eastAsiaTheme="minorEastAsia"/>
          <w:sz w:val="24"/>
          <w:szCs w:val="24"/>
        </w:rPr>
      </w:pPr>
      <w:r w:rsidRPr="004A14A7">
        <w:rPr>
          <w:rFonts w:eastAsiaTheme="minorEastAsia"/>
          <w:sz w:val="24"/>
          <w:szCs w:val="24"/>
        </w:rPr>
        <w:t xml:space="preserve">a declaration as to the rights of a complainant, </w:t>
      </w:r>
    </w:p>
    <w:p w:rsidR="00DB2F38" w:rsidRPr="004A14A7" w:rsidRDefault="00DB2F38" w:rsidP="00DB2F38">
      <w:pPr>
        <w:pStyle w:val="subsection"/>
        <w:numPr>
          <w:ilvl w:val="0"/>
          <w:numId w:val="1"/>
        </w:numPr>
        <w:spacing w:line="360" w:lineRule="auto"/>
        <w:rPr>
          <w:rFonts w:eastAsiaTheme="minorEastAsia"/>
          <w:sz w:val="24"/>
          <w:szCs w:val="24"/>
        </w:rPr>
      </w:pPr>
      <w:r w:rsidRPr="004A14A7">
        <w:rPr>
          <w:rFonts w:eastAsiaTheme="minorEastAsia"/>
          <w:sz w:val="24"/>
          <w:szCs w:val="24"/>
        </w:rPr>
        <w:t xml:space="preserve">a compensation order in an amount not exceeding </w:t>
      </w:r>
      <w:proofErr w:type="spellStart"/>
      <w:r w:rsidRPr="004A14A7">
        <w:rPr>
          <w:rFonts w:eastAsiaTheme="minorEastAsia"/>
          <w:sz w:val="24"/>
          <w:szCs w:val="24"/>
        </w:rPr>
        <w:t>Rs</w:t>
      </w:r>
      <w:proofErr w:type="spellEnd"/>
      <w:r w:rsidRPr="004A14A7">
        <w:rPr>
          <w:rFonts w:eastAsiaTheme="minorEastAsia"/>
          <w:sz w:val="24"/>
          <w:szCs w:val="24"/>
        </w:rPr>
        <w:t>. 500,000,</w:t>
      </w:r>
    </w:p>
    <w:p w:rsidR="00DB2F38" w:rsidRPr="004A14A7" w:rsidRDefault="00DB2F38" w:rsidP="00DB2F38">
      <w:pPr>
        <w:pStyle w:val="subpara"/>
        <w:numPr>
          <w:ilvl w:val="0"/>
          <w:numId w:val="1"/>
        </w:numPr>
        <w:spacing w:line="360" w:lineRule="auto"/>
        <w:rPr>
          <w:rFonts w:eastAsiaTheme="minorEastAsia"/>
          <w:sz w:val="24"/>
          <w:szCs w:val="24"/>
        </w:rPr>
      </w:pPr>
      <w:r w:rsidRPr="004A14A7">
        <w:rPr>
          <w:rFonts w:eastAsiaTheme="minorEastAsia"/>
          <w:sz w:val="24"/>
          <w:szCs w:val="24"/>
        </w:rPr>
        <w:t>a recommendation that the Respondent takes action for the purpose of obviating or reducing the adverse effect on the complainant of any act of discrimination to which the complaint relates; and</w:t>
      </w:r>
    </w:p>
    <w:p w:rsidR="00DB2F38" w:rsidRDefault="00DB2F38" w:rsidP="00DB2F38">
      <w:pPr>
        <w:pStyle w:val="para"/>
        <w:numPr>
          <w:ilvl w:val="0"/>
          <w:numId w:val="1"/>
        </w:numPr>
        <w:spacing w:line="360" w:lineRule="auto"/>
        <w:rPr>
          <w:rFonts w:eastAsiaTheme="minorEastAsia"/>
          <w:sz w:val="24"/>
          <w:szCs w:val="24"/>
        </w:rPr>
      </w:pPr>
      <w:r w:rsidRPr="004A14A7">
        <w:rPr>
          <w:rFonts w:eastAsiaTheme="minorEastAsia"/>
          <w:sz w:val="24"/>
          <w:szCs w:val="24"/>
        </w:rPr>
        <w:tab/>
        <w:t>to issue such directives as it considers necessary to ensure compliance with the Equal Opportunities Act.</w:t>
      </w:r>
    </w:p>
    <w:p w:rsidR="002D5370" w:rsidRPr="004A14A7" w:rsidRDefault="002D5370" w:rsidP="002D5370">
      <w:pPr>
        <w:pStyle w:val="para"/>
        <w:spacing w:line="360" w:lineRule="auto"/>
        <w:rPr>
          <w:rFonts w:eastAsiaTheme="minorEastAsia"/>
          <w:sz w:val="24"/>
          <w:szCs w:val="24"/>
        </w:rPr>
      </w:pPr>
    </w:p>
    <w:p w:rsidR="00DB2F38" w:rsidRPr="002D5370" w:rsidRDefault="002D5370" w:rsidP="002D5370">
      <w:pPr>
        <w:pStyle w:val="subsection"/>
        <w:ind w:firstLine="0"/>
        <w:rPr>
          <w:b/>
        </w:rPr>
      </w:pPr>
      <w:bookmarkStart w:id="0" w:name="_GoBack"/>
      <w:r w:rsidRPr="002D5370">
        <w:rPr>
          <w:b/>
        </w:rPr>
        <w:t>Worker’s Rights Act</w:t>
      </w:r>
    </w:p>
    <w:bookmarkEnd w:id="0"/>
    <w:p w:rsidR="002D5370" w:rsidRPr="00DB3F96" w:rsidRDefault="002D5370" w:rsidP="002D5370">
      <w:pPr>
        <w:pStyle w:val="subsection"/>
        <w:ind w:firstLine="0"/>
      </w:pPr>
    </w:p>
    <w:p w:rsidR="00DB2F38" w:rsidRPr="005D4162" w:rsidRDefault="00DB2F38" w:rsidP="00DB2F38">
      <w:pPr>
        <w:spacing w:after="200" w:line="360" w:lineRule="auto"/>
        <w:jc w:val="both"/>
        <w:rPr>
          <w:rFonts w:eastAsiaTheme="minorEastAsia" w:cs="Times New Roman"/>
          <w:lang w:val="en-GB"/>
        </w:rPr>
      </w:pPr>
      <w:r w:rsidRPr="0046532F">
        <w:rPr>
          <w:rFonts w:eastAsiaTheme="minorEastAsia" w:cs="Times New Roman"/>
          <w:lang w:val="en-GB"/>
        </w:rPr>
        <w:t>Section 5 of the Worker’s Rights Act</w:t>
      </w:r>
      <w:r>
        <w:rPr>
          <w:rFonts w:eastAsiaTheme="minorEastAsia" w:cs="Times New Roman"/>
          <w:lang w:val="en-GB"/>
        </w:rPr>
        <w:t xml:space="preserve"> </w:t>
      </w:r>
      <w:r w:rsidRPr="0046532F">
        <w:rPr>
          <w:rFonts w:eastAsiaTheme="minorEastAsia" w:cs="Times New Roman"/>
          <w:lang w:val="en-GB"/>
        </w:rPr>
        <w:t>provides for the protection of persons with disabilities against discrimination</w:t>
      </w:r>
      <w:r>
        <w:rPr>
          <w:rFonts w:eastAsiaTheme="minorEastAsia" w:cs="Times New Roman"/>
          <w:lang w:val="en-GB"/>
        </w:rPr>
        <w:t>.</w:t>
      </w:r>
    </w:p>
    <w:p w:rsidR="00DB2F38" w:rsidRPr="001B26E3" w:rsidRDefault="00DB2F38" w:rsidP="00DB2F38">
      <w:pPr>
        <w:spacing w:after="200" w:line="360" w:lineRule="auto"/>
        <w:jc w:val="both"/>
        <w:rPr>
          <w:rFonts w:eastAsiaTheme="minorEastAsia" w:cs="Times New Roman"/>
          <w:lang w:val="en-GB"/>
        </w:rPr>
      </w:pPr>
      <w:r w:rsidRPr="00CE6D9C">
        <w:rPr>
          <w:rFonts w:cs="Times New Roman"/>
          <w:lang w:val="en-GB"/>
        </w:rPr>
        <w:t>There are other national legislations which prohibit discriminatory                                                                        practices. For instanc</w:t>
      </w:r>
      <w:r>
        <w:rPr>
          <w:rFonts w:cs="Times New Roman"/>
          <w:lang w:val="en-GB"/>
        </w:rPr>
        <w:t xml:space="preserve">e, the Employment Relations Act </w:t>
      </w:r>
      <w:r w:rsidRPr="001B26E3">
        <w:rPr>
          <w:rFonts w:cs="Times New Roman"/>
          <w:lang w:val="en-GB"/>
        </w:rPr>
        <w:t>ensures that persons with disabilities enjoy the same rights and protection as other workers</w:t>
      </w:r>
      <w:r>
        <w:rPr>
          <w:rFonts w:cs="Times New Roman"/>
          <w:lang w:val="en-GB"/>
        </w:rPr>
        <w:t xml:space="preserve"> to join a trade union of their choice. </w:t>
      </w:r>
    </w:p>
    <w:p w:rsidR="00DB2F38" w:rsidRPr="00DB2F38" w:rsidRDefault="00DB2F38">
      <w:pPr>
        <w:rPr>
          <w:lang w:val="en-GB"/>
        </w:rPr>
      </w:pPr>
    </w:p>
    <w:sectPr w:rsidR="00DB2F38" w:rsidRPr="00DB2F3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047" w:rsidRDefault="00D24047" w:rsidP="002D5370">
      <w:r>
        <w:separator/>
      </w:r>
    </w:p>
  </w:endnote>
  <w:endnote w:type="continuationSeparator" w:id="0">
    <w:p w:rsidR="00D24047" w:rsidRDefault="00D24047" w:rsidP="002D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3097390"/>
      <w:docPartObj>
        <w:docPartGallery w:val="Page Numbers (Bottom of Page)"/>
        <w:docPartUnique/>
      </w:docPartObj>
    </w:sdtPr>
    <w:sdtEndPr>
      <w:rPr>
        <w:noProof/>
      </w:rPr>
    </w:sdtEndPr>
    <w:sdtContent>
      <w:p w:rsidR="002D5370" w:rsidRDefault="002D53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D5370" w:rsidRDefault="002D537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047" w:rsidRDefault="00D24047" w:rsidP="002D5370">
      <w:r>
        <w:separator/>
      </w:r>
    </w:p>
  </w:footnote>
  <w:footnote w:type="continuationSeparator" w:id="0">
    <w:p w:rsidR="00D24047" w:rsidRDefault="00D24047" w:rsidP="002D53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5C0FE9"/>
    <w:multiLevelType w:val="hybridMultilevel"/>
    <w:tmpl w:val="29E23788"/>
    <w:lvl w:ilvl="0" w:tplc="0C28D940">
      <w:start w:val="1"/>
      <w:numFmt w:val="decimal"/>
      <w:lvlText w:val="(%1)"/>
      <w:lvlJc w:val="left"/>
      <w:pPr>
        <w:ind w:left="644" w:hanging="360"/>
      </w:pPr>
      <w:rPr>
        <w:rFonts w:eastAsiaTheme="minorEastAsia"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F38"/>
    <w:rsid w:val="002D5370"/>
    <w:rsid w:val="00A53B27"/>
    <w:rsid w:val="00D24047"/>
    <w:rsid w:val="00DB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FA8E"/>
  <w15:chartTrackingRefBased/>
  <w15:docId w15:val="{5D0F833D-7D50-4A6E-AEDE-4684EE6AA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2F38"/>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DB2F38"/>
    <w:pPr>
      <w:ind w:left="720"/>
    </w:pPr>
    <w:rPr>
      <w:rFonts w:eastAsia="Times New Roman" w:cs="Times New Roman"/>
      <w:lang w:val="en-US"/>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DB2F38"/>
    <w:rPr>
      <w:rFonts w:ascii="Times New Roman" w:eastAsia="Times New Roman" w:hAnsi="Times New Roman" w:cs="Times New Roman"/>
      <w:sz w:val="24"/>
      <w:szCs w:val="24"/>
      <w:lang w:val="en-US"/>
    </w:rPr>
  </w:style>
  <w:style w:type="paragraph" w:customStyle="1" w:styleId="Standard">
    <w:name w:val="Standard"/>
    <w:rsid w:val="00DB2F38"/>
    <w:pPr>
      <w:widowControl w:val="0"/>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 w:type="table" w:styleId="TableGrid">
    <w:name w:val="Table Grid"/>
    <w:basedOn w:val="TableNormal"/>
    <w:uiPriority w:val="59"/>
    <w:rsid w:val="00DB2F38"/>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section">
    <w:name w:val="subsection"/>
    <w:basedOn w:val="Normal"/>
    <w:rsid w:val="00DB2F38"/>
    <w:pPr>
      <w:widowControl w:val="0"/>
      <w:spacing w:before="120"/>
      <w:ind w:firstLine="284"/>
      <w:jc w:val="both"/>
    </w:pPr>
    <w:rPr>
      <w:rFonts w:eastAsia="Times New Roman" w:cs="Times New Roman"/>
      <w:sz w:val="22"/>
      <w:szCs w:val="20"/>
      <w:lang w:val="en-GB"/>
    </w:rPr>
  </w:style>
  <w:style w:type="paragraph" w:customStyle="1" w:styleId="para">
    <w:name w:val="para"/>
    <w:basedOn w:val="Normal"/>
    <w:rsid w:val="00DB2F38"/>
    <w:pPr>
      <w:widowControl w:val="0"/>
      <w:tabs>
        <w:tab w:val="left" w:pos="567"/>
        <w:tab w:val="left" w:pos="1134"/>
      </w:tabs>
      <w:spacing w:before="120"/>
      <w:ind w:left="1134" w:hanging="1134"/>
      <w:jc w:val="both"/>
    </w:pPr>
    <w:rPr>
      <w:rFonts w:eastAsia="Times New Roman" w:cs="Times New Roman"/>
      <w:sz w:val="22"/>
      <w:szCs w:val="20"/>
      <w:lang w:val="en-GB" w:eastAsia="en-GB"/>
    </w:rPr>
  </w:style>
  <w:style w:type="paragraph" w:customStyle="1" w:styleId="subpara">
    <w:name w:val="subpara"/>
    <w:basedOn w:val="Normal"/>
    <w:rsid w:val="00DB2F38"/>
    <w:pPr>
      <w:widowControl w:val="0"/>
      <w:tabs>
        <w:tab w:val="right" w:pos="1531"/>
        <w:tab w:val="left" w:pos="1701"/>
      </w:tabs>
      <w:spacing w:before="120"/>
      <w:ind w:left="1701" w:hanging="1701"/>
      <w:jc w:val="both"/>
    </w:pPr>
    <w:rPr>
      <w:rFonts w:eastAsia="Times New Roman" w:cs="Times New Roman"/>
      <w:sz w:val="22"/>
      <w:szCs w:val="20"/>
      <w:lang w:val="en-GB"/>
    </w:rPr>
  </w:style>
  <w:style w:type="paragraph" w:styleId="Header">
    <w:name w:val="header"/>
    <w:basedOn w:val="Normal"/>
    <w:link w:val="HeaderChar"/>
    <w:uiPriority w:val="99"/>
    <w:unhideWhenUsed/>
    <w:rsid w:val="002D5370"/>
    <w:pPr>
      <w:tabs>
        <w:tab w:val="center" w:pos="4513"/>
        <w:tab w:val="right" w:pos="9026"/>
      </w:tabs>
    </w:pPr>
  </w:style>
  <w:style w:type="character" w:customStyle="1" w:styleId="HeaderChar">
    <w:name w:val="Header Char"/>
    <w:basedOn w:val="DefaultParagraphFont"/>
    <w:link w:val="Header"/>
    <w:uiPriority w:val="99"/>
    <w:rsid w:val="002D5370"/>
    <w:rPr>
      <w:rFonts w:ascii="Times New Roman" w:hAnsi="Times New Roman"/>
      <w:sz w:val="24"/>
      <w:szCs w:val="24"/>
      <w:lang w:val="en-ZA"/>
    </w:rPr>
  </w:style>
  <w:style w:type="paragraph" w:styleId="Footer">
    <w:name w:val="footer"/>
    <w:basedOn w:val="Normal"/>
    <w:link w:val="FooterChar"/>
    <w:uiPriority w:val="99"/>
    <w:unhideWhenUsed/>
    <w:rsid w:val="002D5370"/>
    <w:pPr>
      <w:tabs>
        <w:tab w:val="center" w:pos="4513"/>
        <w:tab w:val="right" w:pos="9026"/>
      </w:tabs>
    </w:pPr>
  </w:style>
  <w:style w:type="character" w:customStyle="1" w:styleId="FooterChar">
    <w:name w:val="Footer Char"/>
    <w:basedOn w:val="DefaultParagraphFont"/>
    <w:link w:val="Footer"/>
    <w:uiPriority w:val="99"/>
    <w:rsid w:val="002D5370"/>
    <w:rPr>
      <w:rFonts w:ascii="Times New Roman" w:hAnsi="Times New Roman"/>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A31AC6-911D-4F7E-8A01-D16019F600D2}"/>
</file>

<file path=customXml/itemProps2.xml><?xml version="1.0" encoding="utf-8"?>
<ds:datastoreItem xmlns:ds="http://schemas.openxmlformats.org/officeDocument/2006/customXml" ds:itemID="{690200D0-E0E6-4E93-BCA3-00F8EBC25D3E}"/>
</file>

<file path=customXml/itemProps3.xml><?xml version="1.0" encoding="utf-8"?>
<ds:datastoreItem xmlns:ds="http://schemas.openxmlformats.org/officeDocument/2006/customXml" ds:itemID="{CC382A14-425D-4FA7-9E6C-32B055DB78C0}"/>
</file>

<file path=docProps/app.xml><?xml version="1.0" encoding="utf-8"?>
<Properties xmlns="http://schemas.openxmlformats.org/officeDocument/2006/extended-properties" xmlns:vt="http://schemas.openxmlformats.org/officeDocument/2006/docPropsVTypes">
  <Template>Normal</Template>
  <TotalTime>4</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2020-09-08T11:59:00Z</dcterms:created>
  <dcterms:modified xsi:type="dcterms:W3CDTF">2020-09-08T13:04:00Z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