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8DFE15" w14:textId="77777777" w:rsidR="005A0C75" w:rsidRPr="00E155A6" w:rsidRDefault="005A0C75" w:rsidP="005A0C75">
      <w:pPr>
        <w:pStyle w:val="Prrafodelista"/>
        <w:numPr>
          <w:ilvl w:val="0"/>
          <w:numId w:val="1"/>
        </w:numPr>
        <w:tabs>
          <w:tab w:val="left" w:pos="5954"/>
        </w:tabs>
        <w:spacing w:line="360" w:lineRule="auto"/>
        <w:jc w:val="center"/>
        <w:rPr>
          <w:rFonts w:eastAsia="MS Mincho" w:cs="Calibri"/>
          <w:sz w:val="28"/>
          <w:szCs w:val="28"/>
          <w:lang w:val="es-CO"/>
        </w:rPr>
      </w:pPr>
      <w:bookmarkStart w:id="0" w:name="_GoBack"/>
      <w:bookmarkEnd w:id="0"/>
      <w:r w:rsidRPr="00ED5F13">
        <w:rPr>
          <w:noProof/>
        </w:rPr>
        <w:drawing>
          <wp:inline distT="0" distB="0" distL="0" distR="0" wp14:anchorId="54AFA380" wp14:editId="712038F8">
            <wp:extent cx="761365" cy="835025"/>
            <wp:effectExtent l="0" t="0" r="635" b="3175"/>
            <wp:docPr id="10" name="Picture 10" descr="Paloma AAJ Continental_sin let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loma AAJ Continental_sin let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61365" cy="835025"/>
                    </a:xfrm>
                    <a:prstGeom prst="rect">
                      <a:avLst/>
                    </a:prstGeom>
                    <a:noFill/>
                    <a:ln>
                      <a:noFill/>
                    </a:ln>
                  </pic:spPr>
                </pic:pic>
              </a:graphicData>
            </a:graphic>
          </wp:inline>
        </w:drawing>
      </w:r>
      <w:r w:rsidRPr="00ED5F13">
        <w:rPr>
          <w:noProof/>
        </w:rPr>
        <w:drawing>
          <wp:inline distT="0" distB="0" distL="0" distR="0" wp14:anchorId="7C366944" wp14:editId="4E715A8D">
            <wp:extent cx="2470785" cy="675640"/>
            <wp:effectExtent l="0" t="0" r="5715" b="0"/>
            <wp:docPr id="9" name="Picture 9" descr="bastardillas AA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stardillas AAJ"/>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0785" cy="675640"/>
                    </a:xfrm>
                    <a:prstGeom prst="rect">
                      <a:avLst/>
                    </a:prstGeom>
                    <a:noFill/>
                    <a:ln>
                      <a:noFill/>
                    </a:ln>
                  </pic:spPr>
                </pic:pic>
              </a:graphicData>
            </a:graphic>
          </wp:inline>
        </w:drawing>
      </w:r>
    </w:p>
    <w:p w14:paraId="05597A25" w14:textId="77777777" w:rsidR="005A0C75" w:rsidRPr="00E155A6" w:rsidRDefault="005A0C75" w:rsidP="005A0C75">
      <w:pPr>
        <w:pStyle w:val="Prrafodelista"/>
        <w:numPr>
          <w:ilvl w:val="0"/>
          <w:numId w:val="1"/>
        </w:numPr>
        <w:jc w:val="center"/>
        <w:rPr>
          <w:rFonts w:eastAsia="MS Mincho" w:cs="Calibri"/>
          <w:i/>
          <w:sz w:val="20"/>
          <w:lang w:val="es-ES"/>
        </w:rPr>
      </w:pPr>
      <w:r w:rsidRPr="00E155A6">
        <w:rPr>
          <w:rFonts w:eastAsia="MS Mincho" w:cs="Calibri"/>
          <w:i/>
          <w:sz w:val="20"/>
          <w:lang w:val="es-CO"/>
        </w:rPr>
        <w:t xml:space="preserve">Organización No Gubernamental con estatuto consultivo ante el ECOSOC y </w:t>
      </w:r>
      <w:r w:rsidRPr="00E155A6">
        <w:rPr>
          <w:rFonts w:eastAsia="MS Mincho" w:cs="Calibri"/>
          <w:i/>
          <w:sz w:val="20"/>
          <w:lang w:val="es-ES"/>
        </w:rPr>
        <w:t>representación permanente ante la ONU de Nueva York y Ginebra</w:t>
      </w:r>
    </w:p>
    <w:p w14:paraId="2F185A2A" w14:textId="77777777" w:rsidR="005A0C75" w:rsidRDefault="005A0C75" w:rsidP="00870DC3">
      <w:pPr>
        <w:spacing w:after="0"/>
        <w:jc w:val="center"/>
        <w:rPr>
          <w:rFonts w:cstheme="minorHAnsi"/>
          <w:b/>
          <w:color w:val="000000"/>
          <w:sz w:val="24"/>
          <w:szCs w:val="24"/>
          <w:lang w:val="es-ES"/>
        </w:rPr>
      </w:pPr>
    </w:p>
    <w:p w14:paraId="27BAB4E8" w14:textId="77777777" w:rsidR="00F149F1" w:rsidRDefault="00F149F1" w:rsidP="003C5504">
      <w:pPr>
        <w:jc w:val="center"/>
        <w:rPr>
          <w:rFonts w:cstheme="minorHAnsi"/>
          <w:b/>
          <w:color w:val="000000"/>
          <w:sz w:val="24"/>
          <w:szCs w:val="24"/>
          <w:lang w:val="es-ES"/>
        </w:rPr>
      </w:pPr>
    </w:p>
    <w:p w14:paraId="12962147" w14:textId="34CD96DA" w:rsidR="00F2498F" w:rsidRDefault="00050ED7" w:rsidP="00F2498F">
      <w:pPr>
        <w:spacing w:after="0" w:line="240" w:lineRule="auto"/>
        <w:jc w:val="both"/>
        <w:rPr>
          <w:rFonts w:cstheme="minorHAnsi"/>
          <w:b/>
          <w:bCs/>
          <w:color w:val="000000"/>
          <w:sz w:val="24"/>
          <w:szCs w:val="24"/>
          <w:lang w:val="es-AR"/>
        </w:rPr>
      </w:pPr>
      <w:r>
        <w:rPr>
          <w:rFonts w:cstheme="minorHAnsi"/>
          <w:b/>
          <w:bCs/>
          <w:color w:val="000000"/>
          <w:sz w:val="24"/>
          <w:szCs w:val="24"/>
          <w:lang w:val="es-AR"/>
        </w:rPr>
        <w:t xml:space="preserve">INFORME </w:t>
      </w:r>
    </w:p>
    <w:p w14:paraId="7F055AD8" w14:textId="77777777" w:rsidR="00050ED7" w:rsidRDefault="00050ED7" w:rsidP="00F2498F">
      <w:pPr>
        <w:spacing w:after="0" w:line="240" w:lineRule="auto"/>
        <w:jc w:val="both"/>
        <w:rPr>
          <w:rFonts w:cstheme="minorHAnsi"/>
          <w:color w:val="000000"/>
          <w:sz w:val="24"/>
          <w:szCs w:val="24"/>
          <w:lang w:val="es-AR"/>
        </w:rPr>
      </w:pPr>
    </w:p>
    <w:p w14:paraId="5AB52C93" w14:textId="77777777" w:rsidR="00F2498F" w:rsidRPr="00F2498F" w:rsidRDefault="00F2498F" w:rsidP="00F2498F">
      <w:pPr>
        <w:spacing w:after="0" w:line="240" w:lineRule="auto"/>
        <w:jc w:val="both"/>
        <w:rPr>
          <w:rFonts w:cstheme="minorHAnsi"/>
          <w:b/>
          <w:bCs/>
          <w:color w:val="000000"/>
          <w:sz w:val="24"/>
          <w:szCs w:val="24"/>
          <w:lang w:val="es-AR"/>
        </w:rPr>
      </w:pPr>
      <w:r w:rsidRPr="00F2498F">
        <w:rPr>
          <w:rFonts w:cstheme="minorHAnsi"/>
          <w:b/>
          <w:bCs/>
          <w:color w:val="000000"/>
          <w:sz w:val="24"/>
          <w:szCs w:val="24"/>
          <w:lang w:val="es-AR"/>
        </w:rPr>
        <w:t>I. Introducción y objeto del informe</w:t>
      </w:r>
    </w:p>
    <w:p w14:paraId="40BDC55F" w14:textId="465670AC" w:rsidR="00F2498F" w:rsidRPr="00F2498F" w:rsidRDefault="00050ED7" w:rsidP="00F2498F">
      <w:pPr>
        <w:spacing w:after="0" w:line="240" w:lineRule="auto"/>
        <w:jc w:val="both"/>
        <w:rPr>
          <w:rFonts w:cstheme="minorHAnsi"/>
          <w:color w:val="000000"/>
          <w:sz w:val="24"/>
          <w:szCs w:val="24"/>
          <w:lang w:val="es-AR"/>
        </w:rPr>
      </w:pPr>
      <w:r>
        <w:rPr>
          <w:rFonts w:cstheme="minorHAnsi"/>
          <w:color w:val="000000"/>
          <w:sz w:val="24"/>
          <w:szCs w:val="24"/>
          <w:lang w:val="es-AR"/>
        </w:rPr>
        <w:t xml:space="preserve">SITUACION </w:t>
      </w:r>
      <w:r w:rsidR="00F2498F" w:rsidRPr="00F2498F">
        <w:rPr>
          <w:rFonts w:cstheme="minorHAnsi"/>
          <w:color w:val="000000"/>
          <w:sz w:val="24"/>
          <w:szCs w:val="24"/>
          <w:lang w:val="es-AR"/>
        </w:rPr>
        <w:t>DE LOS DERECHOS HUMANOS DE LAS MUJERES EN LA REPÚBLICA ARGENTINA**</w:t>
      </w:r>
      <w:r w:rsidR="00F2498F" w:rsidRPr="00F2498F">
        <w:rPr>
          <w:rFonts w:cstheme="minorHAnsi"/>
          <w:color w:val="000000"/>
          <w:sz w:val="24"/>
          <w:szCs w:val="24"/>
          <w:lang w:val="es-AR"/>
        </w:rPr>
        <w:br/>
      </w:r>
      <w:r w:rsidR="00F2498F" w:rsidRPr="00F2498F">
        <w:rPr>
          <w:rFonts w:cstheme="minorHAnsi"/>
          <w:b/>
          <w:bCs/>
          <w:color w:val="000000"/>
          <w:sz w:val="24"/>
          <w:szCs w:val="24"/>
          <w:lang w:val="es-AR"/>
        </w:rPr>
        <w:t>Presentado ante el Comité para la Eliminación de la Discriminación contra la Mujer (CEDAW)</w:t>
      </w:r>
      <w:r w:rsidR="00F2498F" w:rsidRPr="00F2498F">
        <w:rPr>
          <w:rFonts w:cstheme="minorHAnsi"/>
          <w:color w:val="000000"/>
          <w:sz w:val="24"/>
          <w:szCs w:val="24"/>
          <w:lang w:val="es-AR"/>
        </w:rPr>
        <w:br/>
      </w:r>
      <w:r w:rsidR="00F2498F" w:rsidRPr="00F2498F">
        <w:rPr>
          <w:rFonts w:cstheme="minorHAnsi"/>
          <w:b/>
          <w:bCs/>
          <w:color w:val="000000"/>
          <w:sz w:val="24"/>
          <w:szCs w:val="24"/>
          <w:lang w:val="es-AR"/>
        </w:rPr>
        <w:t>Por la Asociación Americana de Juristas</w:t>
      </w:r>
      <w:r w:rsidR="00106020">
        <w:rPr>
          <w:rFonts w:cstheme="minorHAnsi"/>
          <w:b/>
          <w:bCs/>
          <w:color w:val="000000"/>
          <w:sz w:val="24"/>
          <w:szCs w:val="24"/>
          <w:lang w:val="es-AR"/>
        </w:rPr>
        <w:t xml:space="preserve"> (American Association of Jurists)</w:t>
      </w:r>
    </w:p>
    <w:p w14:paraId="4B499478" w14:textId="77777777" w:rsidR="00F2498F" w:rsidRPr="00F2498F" w:rsidRDefault="00EC443C" w:rsidP="00F2498F">
      <w:pPr>
        <w:spacing w:after="0" w:line="240" w:lineRule="auto"/>
        <w:jc w:val="both"/>
        <w:rPr>
          <w:rFonts w:cstheme="minorHAnsi"/>
          <w:color w:val="000000"/>
          <w:sz w:val="24"/>
          <w:szCs w:val="24"/>
          <w:lang w:val="es-AR"/>
        </w:rPr>
      </w:pPr>
      <w:r>
        <w:rPr>
          <w:rFonts w:cstheme="minorHAnsi"/>
          <w:color w:val="000000"/>
          <w:sz w:val="24"/>
          <w:szCs w:val="24"/>
          <w:lang w:val="es-AR"/>
        </w:rPr>
        <w:pict w14:anchorId="2B23D68D">
          <v:rect id="_x0000_i1025" style="width:0;height:1.5pt" o:hralign="center" o:hrstd="t" o:hr="t" fillcolor="#a0a0a0" stroked="f"/>
        </w:pict>
      </w:r>
    </w:p>
    <w:p w14:paraId="640C2817" w14:textId="37AA2B47" w:rsidR="00F2498F" w:rsidRPr="00F2498F" w:rsidRDefault="000E4AC8" w:rsidP="00F2498F">
      <w:pPr>
        <w:spacing w:after="0" w:line="240" w:lineRule="auto"/>
        <w:jc w:val="both"/>
        <w:rPr>
          <w:rFonts w:cstheme="minorHAnsi"/>
          <w:color w:val="000000"/>
          <w:sz w:val="24"/>
          <w:szCs w:val="24"/>
          <w:lang w:val="es-AR"/>
        </w:rPr>
      </w:pPr>
      <w:r w:rsidRPr="000E4AC8">
        <w:rPr>
          <w:rFonts w:cstheme="minorHAnsi"/>
          <w:color w:val="000000"/>
          <w:sz w:val="24"/>
          <w:szCs w:val="24"/>
          <w:lang w:val="es-AR"/>
        </w:rPr>
        <w:t xml:space="preserve">Ante el Consejo Económico y Social de las Naciones Unidas (ECOSOC), presenta el presente Informe Sombra con el objeto de informar al Comité CEDAW </w:t>
      </w:r>
      <w:r w:rsidR="00F2498F" w:rsidRPr="00F2498F">
        <w:rPr>
          <w:rFonts w:cstheme="minorHAnsi"/>
          <w:color w:val="000000"/>
          <w:sz w:val="24"/>
          <w:szCs w:val="24"/>
          <w:lang w:val="es-AR"/>
        </w:rPr>
        <w:t xml:space="preserve">sobre </w:t>
      </w:r>
      <w:r w:rsidR="00F2498F" w:rsidRPr="00F2498F">
        <w:rPr>
          <w:rFonts w:cstheme="minorHAnsi"/>
          <w:b/>
          <w:bCs/>
          <w:color w:val="000000"/>
          <w:sz w:val="24"/>
          <w:szCs w:val="24"/>
          <w:lang w:val="es-AR"/>
        </w:rPr>
        <w:t>graves, sistemáticas y persistentes violaciones a los derechos humanos de las mujeres en la República Argentina</w:t>
      </w:r>
      <w:r w:rsidR="00F2498F" w:rsidRPr="00F2498F">
        <w:rPr>
          <w:rFonts w:cstheme="minorHAnsi"/>
          <w:color w:val="000000"/>
          <w:sz w:val="24"/>
          <w:szCs w:val="24"/>
          <w:lang w:val="es-AR"/>
        </w:rPr>
        <w:t>, producidas a partir del cambio de orientación política del Poder Ejecutivo Nacional desde diciembre de 2023.</w:t>
      </w:r>
    </w:p>
    <w:p w14:paraId="416ADD43" w14:textId="77777777" w:rsidR="00F2498F" w:rsidRPr="00F2498F" w:rsidRDefault="00F2498F" w:rsidP="00F2498F">
      <w:pPr>
        <w:spacing w:after="0" w:line="240" w:lineRule="auto"/>
        <w:jc w:val="both"/>
        <w:rPr>
          <w:rFonts w:cstheme="minorHAnsi"/>
          <w:color w:val="000000"/>
          <w:sz w:val="24"/>
          <w:szCs w:val="24"/>
          <w:lang w:val="es-AR"/>
        </w:rPr>
      </w:pPr>
      <w:r w:rsidRPr="00F2498F">
        <w:rPr>
          <w:rFonts w:cstheme="minorHAnsi"/>
          <w:color w:val="000000"/>
          <w:sz w:val="24"/>
          <w:szCs w:val="24"/>
          <w:lang w:val="es-AR"/>
        </w:rPr>
        <w:t xml:space="preserve">El informe documenta </w:t>
      </w:r>
      <w:r w:rsidRPr="00F2498F">
        <w:rPr>
          <w:rFonts w:cstheme="minorHAnsi"/>
          <w:b/>
          <w:bCs/>
          <w:color w:val="000000"/>
          <w:sz w:val="24"/>
          <w:szCs w:val="24"/>
          <w:lang w:val="es-AR"/>
        </w:rPr>
        <w:t>retrocesos normativos, institucionales, presupuestarios y discursivos</w:t>
      </w:r>
      <w:r w:rsidRPr="00F2498F">
        <w:rPr>
          <w:rFonts w:cstheme="minorHAnsi"/>
          <w:color w:val="000000"/>
          <w:sz w:val="24"/>
          <w:szCs w:val="24"/>
          <w:lang w:val="es-AR"/>
        </w:rPr>
        <w:t xml:space="preserve">, así como </w:t>
      </w:r>
      <w:r w:rsidRPr="00F2498F">
        <w:rPr>
          <w:rFonts w:cstheme="minorHAnsi"/>
          <w:b/>
          <w:bCs/>
          <w:color w:val="000000"/>
          <w:sz w:val="24"/>
          <w:szCs w:val="24"/>
          <w:lang w:val="es-AR"/>
        </w:rPr>
        <w:t>prácticas de criminalización y persecución penal selectiva</w:t>
      </w:r>
      <w:r w:rsidRPr="00F2498F">
        <w:rPr>
          <w:rFonts w:cstheme="minorHAnsi"/>
          <w:color w:val="000000"/>
          <w:sz w:val="24"/>
          <w:szCs w:val="24"/>
          <w:lang w:val="es-AR"/>
        </w:rPr>
        <w:t>, que afectan de manera desproporcionada a mujeres, personas LGTBIQ+, mujeres racializadas y pertenecientes a sectores populares, en violación directa de la Convención sobre la Eliminación de Todas las Formas de Discriminación contra la Mujer (CEDAW), su Recomendación General N.º 35, la Convención de Belém do Pará y demás instrumentos internacionales de derechos humanos con jerarquía constitucional en Argentina¹.</w:t>
      </w:r>
    </w:p>
    <w:p w14:paraId="3BB72430" w14:textId="77777777" w:rsidR="00F2498F" w:rsidRPr="00F2498F" w:rsidRDefault="00EC443C" w:rsidP="00F2498F">
      <w:pPr>
        <w:spacing w:after="0" w:line="240" w:lineRule="auto"/>
        <w:jc w:val="both"/>
        <w:rPr>
          <w:rFonts w:cstheme="minorHAnsi"/>
          <w:color w:val="000000"/>
          <w:sz w:val="24"/>
          <w:szCs w:val="24"/>
          <w:lang w:val="es-AR"/>
        </w:rPr>
      </w:pPr>
      <w:r>
        <w:rPr>
          <w:rFonts w:cstheme="minorHAnsi"/>
          <w:color w:val="000000"/>
          <w:sz w:val="24"/>
          <w:szCs w:val="24"/>
          <w:lang w:val="es-AR"/>
        </w:rPr>
        <w:pict w14:anchorId="18EA9673">
          <v:rect id="_x0000_i1026" style="width:0;height:1.5pt" o:hralign="center" o:hrstd="t" o:hr="t" fillcolor="#a0a0a0" stroked="f"/>
        </w:pict>
      </w:r>
    </w:p>
    <w:p w14:paraId="7BF41EE6" w14:textId="77777777" w:rsidR="00F2498F" w:rsidRPr="00F2498F" w:rsidRDefault="00F2498F" w:rsidP="00F2498F">
      <w:pPr>
        <w:spacing w:after="0" w:line="240" w:lineRule="auto"/>
        <w:jc w:val="both"/>
        <w:rPr>
          <w:rFonts w:cstheme="minorHAnsi"/>
          <w:b/>
          <w:bCs/>
          <w:color w:val="000000"/>
          <w:sz w:val="24"/>
          <w:szCs w:val="24"/>
          <w:lang w:val="es-AR"/>
        </w:rPr>
      </w:pPr>
      <w:r w:rsidRPr="00F2498F">
        <w:rPr>
          <w:rFonts w:cstheme="minorHAnsi"/>
          <w:b/>
          <w:bCs/>
          <w:color w:val="000000"/>
          <w:sz w:val="24"/>
          <w:szCs w:val="24"/>
          <w:lang w:val="es-AR"/>
        </w:rPr>
        <w:t>II. Marco normativo internacional aplicable</w:t>
      </w:r>
    </w:p>
    <w:p w14:paraId="5F52591C" w14:textId="77777777" w:rsidR="00F2498F" w:rsidRPr="00F2498F" w:rsidRDefault="00F2498F" w:rsidP="00F2498F">
      <w:pPr>
        <w:spacing w:after="0" w:line="240" w:lineRule="auto"/>
        <w:jc w:val="both"/>
        <w:rPr>
          <w:rFonts w:cstheme="minorHAnsi"/>
          <w:color w:val="000000"/>
          <w:sz w:val="24"/>
          <w:szCs w:val="24"/>
          <w:lang w:val="es-AR"/>
        </w:rPr>
      </w:pPr>
      <w:r w:rsidRPr="00F2498F">
        <w:rPr>
          <w:rFonts w:cstheme="minorHAnsi"/>
          <w:color w:val="000000"/>
          <w:sz w:val="24"/>
          <w:szCs w:val="24"/>
          <w:lang w:val="es-AR"/>
        </w:rPr>
        <w:t>El Estado argentino se encuentra obligado, entre otros, por los siguientes instrumentos:</w:t>
      </w:r>
    </w:p>
    <w:p w14:paraId="7531753D" w14:textId="77777777" w:rsidR="00F2498F" w:rsidRPr="00F2498F" w:rsidRDefault="00F2498F" w:rsidP="00F2498F">
      <w:pPr>
        <w:numPr>
          <w:ilvl w:val="0"/>
          <w:numId w:val="2"/>
        </w:numPr>
        <w:spacing w:after="0" w:line="240" w:lineRule="auto"/>
        <w:jc w:val="both"/>
        <w:rPr>
          <w:rFonts w:cstheme="minorHAnsi"/>
          <w:color w:val="000000"/>
          <w:sz w:val="24"/>
          <w:szCs w:val="24"/>
          <w:lang w:val="es-AR"/>
        </w:rPr>
      </w:pPr>
      <w:r w:rsidRPr="00F2498F">
        <w:rPr>
          <w:rFonts w:cstheme="minorHAnsi"/>
          <w:color w:val="000000"/>
          <w:sz w:val="24"/>
          <w:szCs w:val="24"/>
          <w:lang w:val="es-AR"/>
        </w:rPr>
        <w:t>Convención CEDAW²</w:t>
      </w:r>
    </w:p>
    <w:p w14:paraId="056B9ED9" w14:textId="77777777" w:rsidR="00F2498F" w:rsidRPr="00F2498F" w:rsidRDefault="00F2498F" w:rsidP="00F2498F">
      <w:pPr>
        <w:numPr>
          <w:ilvl w:val="0"/>
          <w:numId w:val="2"/>
        </w:numPr>
        <w:spacing w:after="0" w:line="240" w:lineRule="auto"/>
        <w:jc w:val="both"/>
        <w:rPr>
          <w:rFonts w:cstheme="minorHAnsi"/>
          <w:color w:val="000000"/>
          <w:sz w:val="24"/>
          <w:szCs w:val="24"/>
          <w:lang w:val="es-AR"/>
        </w:rPr>
      </w:pPr>
      <w:r w:rsidRPr="00F2498F">
        <w:rPr>
          <w:rFonts w:cstheme="minorHAnsi"/>
          <w:color w:val="000000"/>
          <w:sz w:val="24"/>
          <w:szCs w:val="24"/>
          <w:lang w:val="es-AR"/>
        </w:rPr>
        <w:t>Convención de Belém do Pará³</w:t>
      </w:r>
    </w:p>
    <w:p w14:paraId="0CB99DB6" w14:textId="77777777" w:rsidR="00F2498F" w:rsidRPr="00F2498F" w:rsidRDefault="00F2498F" w:rsidP="00F2498F">
      <w:pPr>
        <w:numPr>
          <w:ilvl w:val="0"/>
          <w:numId w:val="2"/>
        </w:numPr>
        <w:spacing w:after="0" w:line="240" w:lineRule="auto"/>
        <w:jc w:val="both"/>
        <w:rPr>
          <w:rFonts w:cstheme="minorHAnsi"/>
          <w:color w:val="000000"/>
          <w:sz w:val="24"/>
          <w:szCs w:val="24"/>
          <w:lang w:val="es-AR"/>
        </w:rPr>
      </w:pPr>
      <w:r w:rsidRPr="00F2498F">
        <w:rPr>
          <w:rFonts w:cstheme="minorHAnsi"/>
          <w:color w:val="000000"/>
          <w:sz w:val="24"/>
          <w:szCs w:val="24"/>
          <w:lang w:val="es-AR"/>
        </w:rPr>
        <w:t>Convención Americana sobre Derechos Humanos (CADH)⁴</w:t>
      </w:r>
    </w:p>
    <w:p w14:paraId="47E40F68" w14:textId="77777777" w:rsidR="00F2498F" w:rsidRPr="00F2498F" w:rsidRDefault="00F2498F" w:rsidP="00F2498F">
      <w:pPr>
        <w:numPr>
          <w:ilvl w:val="0"/>
          <w:numId w:val="2"/>
        </w:numPr>
        <w:spacing w:after="0" w:line="240" w:lineRule="auto"/>
        <w:jc w:val="both"/>
        <w:rPr>
          <w:rFonts w:cstheme="minorHAnsi"/>
          <w:color w:val="000000"/>
          <w:sz w:val="24"/>
          <w:szCs w:val="24"/>
          <w:lang w:val="es-AR"/>
        </w:rPr>
      </w:pPr>
      <w:r w:rsidRPr="00F2498F">
        <w:rPr>
          <w:rFonts w:cstheme="minorHAnsi"/>
          <w:color w:val="000000"/>
          <w:sz w:val="24"/>
          <w:szCs w:val="24"/>
          <w:lang w:val="es-AR"/>
        </w:rPr>
        <w:t>Pacto Internacional de Derechos Civiles y Políticos (PIDCP)⁵</w:t>
      </w:r>
    </w:p>
    <w:p w14:paraId="132FDCC7" w14:textId="77777777" w:rsidR="00F2498F" w:rsidRPr="00F2498F" w:rsidRDefault="00F2498F" w:rsidP="00F2498F">
      <w:pPr>
        <w:numPr>
          <w:ilvl w:val="0"/>
          <w:numId w:val="2"/>
        </w:numPr>
        <w:spacing w:after="0" w:line="240" w:lineRule="auto"/>
        <w:jc w:val="both"/>
        <w:rPr>
          <w:rFonts w:cstheme="minorHAnsi"/>
          <w:color w:val="000000"/>
          <w:sz w:val="24"/>
          <w:szCs w:val="24"/>
          <w:lang w:val="es-AR"/>
        </w:rPr>
      </w:pPr>
      <w:r w:rsidRPr="00F2498F">
        <w:rPr>
          <w:rFonts w:cstheme="minorHAnsi"/>
          <w:color w:val="000000"/>
          <w:sz w:val="24"/>
          <w:szCs w:val="24"/>
          <w:lang w:val="es-AR"/>
        </w:rPr>
        <w:t>Pacto Internacional de Derechos Económicos, Sociales y Culturales (PIDESC)⁶</w:t>
      </w:r>
    </w:p>
    <w:p w14:paraId="2E358986" w14:textId="77777777" w:rsidR="00F2498F" w:rsidRPr="00F2498F" w:rsidRDefault="00F2498F" w:rsidP="00F2498F">
      <w:pPr>
        <w:numPr>
          <w:ilvl w:val="0"/>
          <w:numId w:val="2"/>
        </w:numPr>
        <w:spacing w:after="0" w:line="240" w:lineRule="auto"/>
        <w:jc w:val="both"/>
        <w:rPr>
          <w:rFonts w:cstheme="minorHAnsi"/>
          <w:color w:val="000000"/>
          <w:sz w:val="24"/>
          <w:szCs w:val="24"/>
          <w:lang w:val="es-AR"/>
        </w:rPr>
      </w:pPr>
      <w:r w:rsidRPr="00F2498F">
        <w:rPr>
          <w:rFonts w:cstheme="minorHAnsi"/>
          <w:color w:val="000000"/>
          <w:sz w:val="24"/>
          <w:szCs w:val="24"/>
          <w:lang w:val="es-AR"/>
        </w:rPr>
        <w:t>Convención sobre los Derechos del Niño⁷</w:t>
      </w:r>
    </w:p>
    <w:p w14:paraId="56E99B3E" w14:textId="77777777" w:rsidR="00F2498F" w:rsidRPr="00F2498F" w:rsidRDefault="00F2498F" w:rsidP="00F2498F">
      <w:pPr>
        <w:numPr>
          <w:ilvl w:val="0"/>
          <w:numId w:val="2"/>
        </w:numPr>
        <w:spacing w:after="0" w:line="240" w:lineRule="auto"/>
        <w:jc w:val="both"/>
        <w:rPr>
          <w:rFonts w:cstheme="minorHAnsi"/>
          <w:color w:val="000000"/>
          <w:sz w:val="24"/>
          <w:szCs w:val="24"/>
          <w:lang w:val="es-AR"/>
        </w:rPr>
      </w:pPr>
      <w:r w:rsidRPr="00F2498F">
        <w:rPr>
          <w:rFonts w:cstheme="minorHAnsi"/>
          <w:color w:val="000000"/>
          <w:sz w:val="24"/>
          <w:szCs w:val="24"/>
          <w:lang w:val="es-AR"/>
        </w:rPr>
        <w:t>Principios de Yogyakarta⁸</w:t>
      </w:r>
    </w:p>
    <w:p w14:paraId="5AF570E3" w14:textId="77777777" w:rsidR="00F2498F" w:rsidRPr="00F2498F" w:rsidRDefault="00F2498F" w:rsidP="00F2498F">
      <w:pPr>
        <w:spacing w:after="0" w:line="240" w:lineRule="auto"/>
        <w:jc w:val="both"/>
        <w:rPr>
          <w:rFonts w:cstheme="minorHAnsi"/>
          <w:color w:val="000000"/>
          <w:sz w:val="24"/>
          <w:szCs w:val="24"/>
          <w:lang w:val="es-AR"/>
        </w:rPr>
      </w:pPr>
      <w:r w:rsidRPr="00F2498F">
        <w:rPr>
          <w:rFonts w:cstheme="minorHAnsi"/>
          <w:color w:val="000000"/>
          <w:sz w:val="24"/>
          <w:szCs w:val="24"/>
          <w:lang w:val="es-AR"/>
        </w:rPr>
        <w:t xml:space="preserve">Estos instrumentos imponen </w:t>
      </w:r>
      <w:r w:rsidRPr="00F2498F">
        <w:rPr>
          <w:rFonts w:cstheme="minorHAnsi"/>
          <w:b/>
          <w:bCs/>
          <w:color w:val="000000"/>
          <w:sz w:val="24"/>
          <w:szCs w:val="24"/>
          <w:lang w:val="es-AR"/>
        </w:rPr>
        <w:t>obligaciones positivas de respeto, protección, garantía y no regresividad</w:t>
      </w:r>
      <w:r w:rsidRPr="00F2498F">
        <w:rPr>
          <w:rFonts w:cstheme="minorHAnsi"/>
          <w:color w:val="000000"/>
          <w:sz w:val="24"/>
          <w:szCs w:val="24"/>
          <w:lang w:val="es-AR"/>
        </w:rPr>
        <w:t xml:space="preserve">, así como el deber de </w:t>
      </w:r>
      <w:r w:rsidRPr="00F2498F">
        <w:rPr>
          <w:rFonts w:cstheme="minorHAnsi"/>
          <w:b/>
          <w:bCs/>
          <w:color w:val="000000"/>
          <w:sz w:val="24"/>
          <w:szCs w:val="24"/>
          <w:lang w:val="es-AR"/>
        </w:rPr>
        <w:t>debida diligencia reforzada</w:t>
      </w:r>
      <w:r w:rsidRPr="00F2498F">
        <w:rPr>
          <w:rFonts w:cstheme="minorHAnsi"/>
          <w:color w:val="000000"/>
          <w:sz w:val="24"/>
          <w:szCs w:val="24"/>
          <w:lang w:val="es-AR"/>
        </w:rPr>
        <w:t xml:space="preserve"> frente a la violencia de género y la discriminación estructural.</w:t>
      </w:r>
    </w:p>
    <w:p w14:paraId="14F8ACBA" w14:textId="77777777" w:rsidR="00F2498F" w:rsidRPr="00F2498F" w:rsidRDefault="00EC443C" w:rsidP="00F2498F">
      <w:pPr>
        <w:spacing w:after="0" w:line="240" w:lineRule="auto"/>
        <w:jc w:val="both"/>
        <w:rPr>
          <w:rFonts w:cstheme="minorHAnsi"/>
          <w:color w:val="000000"/>
          <w:sz w:val="24"/>
          <w:szCs w:val="24"/>
          <w:lang w:val="es-AR"/>
        </w:rPr>
      </w:pPr>
      <w:r>
        <w:rPr>
          <w:rFonts w:cstheme="minorHAnsi"/>
          <w:color w:val="000000"/>
          <w:sz w:val="24"/>
          <w:szCs w:val="24"/>
          <w:lang w:val="es-AR"/>
        </w:rPr>
        <w:pict w14:anchorId="7A9A683B">
          <v:rect id="_x0000_i1027" style="width:0;height:1.5pt" o:hralign="center" o:hrstd="t" o:hr="t" fillcolor="#a0a0a0" stroked="f"/>
        </w:pict>
      </w:r>
    </w:p>
    <w:p w14:paraId="23072381" w14:textId="77777777" w:rsidR="00F2498F" w:rsidRPr="00F2498F" w:rsidRDefault="00F2498F" w:rsidP="00F2498F">
      <w:pPr>
        <w:spacing w:after="0" w:line="240" w:lineRule="auto"/>
        <w:jc w:val="both"/>
        <w:rPr>
          <w:rFonts w:cstheme="minorHAnsi"/>
          <w:b/>
          <w:bCs/>
          <w:color w:val="000000"/>
          <w:sz w:val="24"/>
          <w:szCs w:val="24"/>
          <w:lang w:val="es-AR"/>
        </w:rPr>
      </w:pPr>
      <w:r w:rsidRPr="00F2498F">
        <w:rPr>
          <w:rFonts w:cstheme="minorHAnsi"/>
          <w:b/>
          <w:bCs/>
          <w:color w:val="000000"/>
          <w:sz w:val="24"/>
          <w:szCs w:val="24"/>
          <w:lang w:val="es-AR"/>
        </w:rPr>
        <w:t>III. Discursos oficiales de odio, estigmatización y construcción de enemigas internas</w:t>
      </w:r>
    </w:p>
    <w:p w14:paraId="63E9CDB9" w14:textId="77777777" w:rsidR="00F2498F" w:rsidRPr="00F2498F" w:rsidRDefault="00F2498F" w:rsidP="00F2498F">
      <w:pPr>
        <w:spacing w:after="0" w:line="240" w:lineRule="auto"/>
        <w:jc w:val="both"/>
        <w:rPr>
          <w:rFonts w:cstheme="minorHAnsi"/>
          <w:color w:val="000000"/>
          <w:sz w:val="24"/>
          <w:szCs w:val="24"/>
          <w:lang w:val="es-AR"/>
        </w:rPr>
      </w:pPr>
      <w:r w:rsidRPr="00F2498F">
        <w:rPr>
          <w:rFonts w:cstheme="minorHAnsi"/>
          <w:color w:val="000000"/>
          <w:sz w:val="24"/>
          <w:szCs w:val="24"/>
          <w:lang w:val="es-AR"/>
        </w:rPr>
        <w:lastRenderedPageBreak/>
        <w:t>(</w:t>
      </w:r>
      <w:r w:rsidRPr="00F2498F">
        <w:rPr>
          <w:rFonts w:cstheme="minorHAnsi"/>
          <w:b/>
          <w:bCs/>
          <w:color w:val="000000"/>
          <w:sz w:val="24"/>
          <w:szCs w:val="24"/>
          <w:lang w:val="es-AR"/>
        </w:rPr>
        <w:t>Artículos 2, 5 y 7 CEDAW</w:t>
      </w:r>
      <w:r w:rsidRPr="00F2498F">
        <w:rPr>
          <w:rFonts w:cstheme="minorHAnsi"/>
          <w:color w:val="000000"/>
          <w:sz w:val="24"/>
          <w:szCs w:val="24"/>
          <w:lang w:val="es-AR"/>
        </w:rPr>
        <w:t>)</w:t>
      </w:r>
    </w:p>
    <w:p w14:paraId="1B862573" w14:textId="77777777" w:rsidR="00F2498F" w:rsidRPr="00F2498F" w:rsidRDefault="00F2498F" w:rsidP="00F2498F">
      <w:pPr>
        <w:spacing w:after="0" w:line="240" w:lineRule="auto"/>
        <w:jc w:val="both"/>
        <w:rPr>
          <w:rFonts w:cstheme="minorHAnsi"/>
          <w:color w:val="000000"/>
          <w:sz w:val="24"/>
          <w:szCs w:val="24"/>
          <w:lang w:val="es-AR"/>
        </w:rPr>
      </w:pPr>
      <w:r w:rsidRPr="00F2498F">
        <w:rPr>
          <w:rFonts w:cstheme="minorHAnsi"/>
          <w:color w:val="000000"/>
          <w:sz w:val="24"/>
          <w:szCs w:val="24"/>
          <w:lang w:val="es-AR"/>
        </w:rPr>
        <w:t xml:space="preserve">Desde el inicio de la actual gestión gubernamental, encabezada por el Presidente Javier Milei, se ha instalado </w:t>
      </w:r>
      <w:r w:rsidRPr="00F2498F">
        <w:rPr>
          <w:rFonts w:cstheme="minorHAnsi"/>
          <w:b/>
          <w:bCs/>
          <w:color w:val="000000"/>
          <w:sz w:val="24"/>
          <w:szCs w:val="24"/>
          <w:lang w:val="es-AR"/>
        </w:rPr>
        <w:t>un discurso oficial con alto contenido misógino, antigénero y antiderechos</w:t>
      </w:r>
      <w:r w:rsidRPr="00F2498F">
        <w:rPr>
          <w:rFonts w:cstheme="minorHAnsi"/>
          <w:color w:val="000000"/>
          <w:sz w:val="24"/>
          <w:szCs w:val="24"/>
          <w:lang w:val="es-AR"/>
        </w:rPr>
        <w:t>, emitido por las máximas autoridades del Estado, tanto en el ámbito nacional como internacional.</w:t>
      </w:r>
    </w:p>
    <w:p w14:paraId="04576E32" w14:textId="77777777" w:rsidR="00F2498F" w:rsidRPr="00F2498F" w:rsidRDefault="00F2498F" w:rsidP="00F2498F">
      <w:pPr>
        <w:spacing w:after="0" w:line="240" w:lineRule="auto"/>
        <w:jc w:val="both"/>
        <w:rPr>
          <w:rFonts w:cstheme="minorHAnsi"/>
          <w:color w:val="000000"/>
          <w:sz w:val="24"/>
          <w:szCs w:val="24"/>
          <w:lang w:val="es-AR"/>
        </w:rPr>
      </w:pPr>
      <w:r w:rsidRPr="00F2498F">
        <w:rPr>
          <w:rFonts w:cstheme="minorHAnsi"/>
          <w:color w:val="000000"/>
          <w:sz w:val="24"/>
          <w:szCs w:val="24"/>
          <w:lang w:val="es-AR"/>
        </w:rPr>
        <w:t xml:space="preserve">Dichos discursos no constituyen expresiones aisladas, sino que configuran </w:t>
      </w:r>
      <w:r w:rsidRPr="00F2498F">
        <w:rPr>
          <w:rFonts w:cstheme="minorHAnsi"/>
          <w:b/>
          <w:bCs/>
          <w:color w:val="000000"/>
          <w:sz w:val="24"/>
          <w:szCs w:val="24"/>
          <w:lang w:val="es-AR"/>
        </w:rPr>
        <w:t>una política estatal de estigmatización</w:t>
      </w:r>
      <w:r w:rsidRPr="00F2498F">
        <w:rPr>
          <w:rFonts w:cstheme="minorHAnsi"/>
          <w:color w:val="000000"/>
          <w:sz w:val="24"/>
          <w:szCs w:val="24"/>
          <w:lang w:val="es-AR"/>
        </w:rPr>
        <w:t>, orientada a:</w:t>
      </w:r>
    </w:p>
    <w:p w14:paraId="292B173B" w14:textId="77777777" w:rsidR="00F2498F" w:rsidRPr="00F2498F" w:rsidRDefault="00F2498F" w:rsidP="00F2498F">
      <w:pPr>
        <w:spacing w:after="0" w:line="240" w:lineRule="auto"/>
        <w:jc w:val="both"/>
        <w:rPr>
          <w:rFonts w:cstheme="minorHAnsi"/>
          <w:color w:val="000000"/>
          <w:sz w:val="24"/>
          <w:szCs w:val="24"/>
          <w:lang w:val="es-AR"/>
        </w:rPr>
      </w:pPr>
      <w:r w:rsidRPr="00F2498F">
        <w:rPr>
          <w:rFonts w:cstheme="minorHAnsi"/>
          <w:color w:val="000000"/>
          <w:sz w:val="24"/>
          <w:szCs w:val="24"/>
          <w:lang w:val="es-AR"/>
        </w:rPr>
        <w:t>a) deslegitimar las luchas feministas y de diversidad sexual;</w:t>
      </w:r>
      <w:r w:rsidRPr="00F2498F">
        <w:rPr>
          <w:rFonts w:cstheme="minorHAnsi"/>
          <w:color w:val="000000"/>
          <w:sz w:val="24"/>
          <w:szCs w:val="24"/>
          <w:lang w:val="es-AR"/>
        </w:rPr>
        <w:br/>
        <w:t>b) justificar el desmantelamiento de políticas públicas de igualdad;</w:t>
      </w:r>
      <w:r w:rsidRPr="00F2498F">
        <w:rPr>
          <w:rFonts w:cstheme="minorHAnsi"/>
          <w:color w:val="000000"/>
          <w:sz w:val="24"/>
          <w:szCs w:val="24"/>
          <w:lang w:val="es-AR"/>
        </w:rPr>
        <w:br/>
        <w:t>c) habilitar prácticas represivas y regresivas.</w:t>
      </w:r>
    </w:p>
    <w:p w14:paraId="75270C92" w14:textId="77777777" w:rsidR="00F2498F" w:rsidRPr="00F2498F" w:rsidRDefault="00F2498F" w:rsidP="00F2498F">
      <w:pPr>
        <w:spacing w:after="0" w:line="240" w:lineRule="auto"/>
        <w:jc w:val="both"/>
        <w:rPr>
          <w:rFonts w:cstheme="minorHAnsi"/>
          <w:color w:val="000000"/>
          <w:sz w:val="24"/>
          <w:szCs w:val="24"/>
          <w:lang w:val="es-AR"/>
        </w:rPr>
      </w:pPr>
      <w:r w:rsidRPr="00F2498F">
        <w:rPr>
          <w:rFonts w:cstheme="minorHAnsi"/>
          <w:color w:val="000000"/>
          <w:sz w:val="24"/>
          <w:szCs w:val="24"/>
          <w:lang w:val="es-AR"/>
        </w:rPr>
        <w:t xml:space="preserve">El Comité CEDAW ha establecido de forma reiterada que </w:t>
      </w:r>
      <w:r w:rsidRPr="00F2498F">
        <w:rPr>
          <w:rFonts w:cstheme="minorHAnsi"/>
          <w:b/>
          <w:bCs/>
          <w:color w:val="000000"/>
          <w:sz w:val="24"/>
          <w:szCs w:val="24"/>
          <w:lang w:val="es-AR"/>
        </w:rPr>
        <w:t>los discursos de odio provenientes de agentes estatales constituyen una forma de violencia institucional y simbólica</w:t>
      </w:r>
      <w:r w:rsidRPr="00F2498F">
        <w:rPr>
          <w:rFonts w:cstheme="minorHAnsi"/>
          <w:color w:val="000000"/>
          <w:sz w:val="24"/>
          <w:szCs w:val="24"/>
          <w:lang w:val="es-AR"/>
        </w:rPr>
        <w:t>, generadora de responsabilidad internacional⁹.</w:t>
      </w:r>
    </w:p>
    <w:p w14:paraId="761A2A95" w14:textId="77777777" w:rsidR="00F2498F" w:rsidRPr="00F2498F" w:rsidRDefault="00F2498F" w:rsidP="00F2498F">
      <w:pPr>
        <w:spacing w:after="0" w:line="240" w:lineRule="auto"/>
        <w:jc w:val="both"/>
        <w:rPr>
          <w:rFonts w:cstheme="minorHAnsi"/>
          <w:color w:val="000000"/>
          <w:sz w:val="24"/>
          <w:szCs w:val="24"/>
          <w:lang w:val="es-AR"/>
        </w:rPr>
      </w:pPr>
      <w:r w:rsidRPr="00F2498F">
        <w:rPr>
          <w:rFonts w:cstheme="minorHAnsi"/>
          <w:color w:val="000000"/>
          <w:sz w:val="24"/>
          <w:szCs w:val="24"/>
          <w:lang w:val="es-AR"/>
        </w:rPr>
        <w:t xml:space="preserve">Las declaraciones del Presidente de la Nación en el Foro Económico Mundial de Davos (enero 2024 y enero 2025), en las que calificó al feminismo como una “agenda sanguinaria”, al aborto como una “aberración” y a la agenda LGTBIQ+ como promotora de conductas delictivas, configuran </w:t>
      </w:r>
      <w:r w:rsidRPr="00F2498F">
        <w:rPr>
          <w:rFonts w:cstheme="minorHAnsi"/>
          <w:b/>
          <w:bCs/>
          <w:color w:val="000000"/>
          <w:sz w:val="24"/>
          <w:szCs w:val="24"/>
          <w:lang w:val="es-AR"/>
        </w:rPr>
        <w:t>violencia simbólica de género</w:t>
      </w:r>
      <w:r w:rsidRPr="00F2498F">
        <w:rPr>
          <w:rFonts w:cstheme="minorHAnsi"/>
          <w:color w:val="000000"/>
          <w:sz w:val="24"/>
          <w:szCs w:val="24"/>
          <w:lang w:val="es-AR"/>
        </w:rPr>
        <w:t xml:space="preserve"> y </w:t>
      </w:r>
      <w:r w:rsidRPr="00F2498F">
        <w:rPr>
          <w:rFonts w:cstheme="minorHAnsi"/>
          <w:b/>
          <w:bCs/>
          <w:color w:val="000000"/>
          <w:sz w:val="24"/>
          <w:szCs w:val="24"/>
          <w:lang w:val="es-AR"/>
        </w:rPr>
        <w:t>discurso estatal discriminatorio</w:t>
      </w:r>
      <w:r w:rsidRPr="00F2498F">
        <w:rPr>
          <w:rFonts w:cstheme="minorHAnsi"/>
          <w:color w:val="000000"/>
          <w:sz w:val="24"/>
          <w:szCs w:val="24"/>
          <w:lang w:val="es-AR"/>
        </w:rPr>
        <w:t>, prohibido por el derecho internacional¹⁰.</w:t>
      </w:r>
    </w:p>
    <w:p w14:paraId="64E0858C" w14:textId="77777777" w:rsidR="00F2498F" w:rsidRPr="00F2498F" w:rsidRDefault="00EC443C" w:rsidP="00F2498F">
      <w:pPr>
        <w:spacing w:after="0" w:line="240" w:lineRule="auto"/>
        <w:jc w:val="both"/>
        <w:rPr>
          <w:rFonts w:cstheme="minorHAnsi"/>
          <w:color w:val="000000"/>
          <w:sz w:val="24"/>
          <w:szCs w:val="24"/>
          <w:lang w:val="es-AR"/>
        </w:rPr>
      </w:pPr>
      <w:r>
        <w:rPr>
          <w:rFonts w:cstheme="minorHAnsi"/>
          <w:color w:val="000000"/>
          <w:sz w:val="24"/>
          <w:szCs w:val="24"/>
          <w:lang w:val="es-AR"/>
        </w:rPr>
        <w:pict w14:anchorId="109D90F4">
          <v:rect id="_x0000_i1028" style="width:0;height:1.5pt" o:hralign="center" o:hrstd="t" o:hr="t" fillcolor="#a0a0a0" stroked="f"/>
        </w:pict>
      </w:r>
    </w:p>
    <w:p w14:paraId="14702999" w14:textId="77777777" w:rsidR="00F2498F" w:rsidRPr="00F2498F" w:rsidRDefault="00F2498F" w:rsidP="00F2498F">
      <w:pPr>
        <w:spacing w:after="0" w:line="240" w:lineRule="auto"/>
        <w:jc w:val="both"/>
        <w:rPr>
          <w:rFonts w:cstheme="minorHAnsi"/>
          <w:b/>
          <w:bCs/>
          <w:color w:val="000000"/>
          <w:sz w:val="24"/>
          <w:szCs w:val="24"/>
          <w:lang w:val="es-AR"/>
        </w:rPr>
      </w:pPr>
      <w:r w:rsidRPr="00F2498F">
        <w:rPr>
          <w:rFonts w:cstheme="minorHAnsi"/>
          <w:b/>
          <w:bCs/>
          <w:color w:val="000000"/>
          <w:sz w:val="24"/>
          <w:szCs w:val="24"/>
          <w:lang w:val="es-AR"/>
        </w:rPr>
        <w:t>IV. Desmantelamiento institucional y regresividad normativa</w:t>
      </w:r>
    </w:p>
    <w:p w14:paraId="2DF88EFA" w14:textId="77777777" w:rsidR="00F2498F" w:rsidRPr="00F2498F" w:rsidRDefault="00F2498F" w:rsidP="00F2498F">
      <w:pPr>
        <w:spacing w:after="0" w:line="240" w:lineRule="auto"/>
        <w:jc w:val="both"/>
        <w:rPr>
          <w:rFonts w:cstheme="minorHAnsi"/>
          <w:color w:val="000000"/>
          <w:sz w:val="24"/>
          <w:szCs w:val="24"/>
          <w:lang w:val="es-AR"/>
        </w:rPr>
      </w:pPr>
      <w:r w:rsidRPr="00F2498F">
        <w:rPr>
          <w:rFonts w:cstheme="minorHAnsi"/>
          <w:color w:val="000000"/>
          <w:sz w:val="24"/>
          <w:szCs w:val="24"/>
          <w:lang w:val="es-AR"/>
        </w:rPr>
        <w:t>(</w:t>
      </w:r>
      <w:r w:rsidRPr="00F2498F">
        <w:rPr>
          <w:rFonts w:cstheme="minorHAnsi"/>
          <w:b/>
          <w:bCs/>
          <w:color w:val="000000"/>
          <w:sz w:val="24"/>
          <w:szCs w:val="24"/>
          <w:lang w:val="es-AR"/>
        </w:rPr>
        <w:t>Artículos 2, 3 y 24 CEDAW – Principio de no regresividad</w:t>
      </w:r>
      <w:r w:rsidRPr="00F2498F">
        <w:rPr>
          <w:rFonts w:cstheme="minorHAnsi"/>
          <w:color w:val="000000"/>
          <w:sz w:val="24"/>
          <w:szCs w:val="24"/>
          <w:lang w:val="es-AR"/>
        </w:rPr>
        <w:t>)</w:t>
      </w:r>
    </w:p>
    <w:p w14:paraId="3391CFBB" w14:textId="77777777" w:rsidR="00F2498F" w:rsidRPr="00F2498F" w:rsidRDefault="00F2498F" w:rsidP="00F2498F">
      <w:pPr>
        <w:spacing w:after="0" w:line="240" w:lineRule="auto"/>
        <w:jc w:val="both"/>
        <w:rPr>
          <w:rFonts w:cstheme="minorHAnsi"/>
          <w:b/>
          <w:bCs/>
          <w:color w:val="000000"/>
          <w:sz w:val="24"/>
          <w:szCs w:val="24"/>
          <w:lang w:val="es-AR"/>
        </w:rPr>
      </w:pPr>
      <w:r w:rsidRPr="00F2498F">
        <w:rPr>
          <w:rFonts w:cstheme="minorHAnsi"/>
          <w:b/>
          <w:bCs/>
          <w:color w:val="000000"/>
          <w:sz w:val="24"/>
          <w:szCs w:val="24"/>
          <w:lang w:val="es-AR"/>
        </w:rPr>
        <w:t>a) Eliminación de organismos y políticas de género</w:t>
      </w:r>
    </w:p>
    <w:p w14:paraId="7BDB1AA3" w14:textId="77777777" w:rsidR="00F2498F" w:rsidRPr="00F2498F" w:rsidRDefault="00F2498F" w:rsidP="00F2498F">
      <w:pPr>
        <w:spacing w:after="0" w:line="240" w:lineRule="auto"/>
        <w:jc w:val="both"/>
        <w:rPr>
          <w:rFonts w:cstheme="minorHAnsi"/>
          <w:color w:val="000000"/>
          <w:sz w:val="24"/>
          <w:szCs w:val="24"/>
          <w:lang w:val="es-AR"/>
        </w:rPr>
      </w:pPr>
      <w:r w:rsidRPr="00F2498F">
        <w:rPr>
          <w:rFonts w:cstheme="minorHAnsi"/>
          <w:color w:val="000000"/>
          <w:sz w:val="24"/>
          <w:szCs w:val="24"/>
          <w:lang w:val="es-AR"/>
        </w:rPr>
        <w:t>Mediante el Decreto N.º 8/2023 y normas posteriores, el Poder Ejecutivo Nacional:</w:t>
      </w:r>
    </w:p>
    <w:p w14:paraId="1F99DA06" w14:textId="77777777" w:rsidR="00F2498F" w:rsidRPr="00F2498F" w:rsidRDefault="00F2498F" w:rsidP="00F2498F">
      <w:pPr>
        <w:numPr>
          <w:ilvl w:val="0"/>
          <w:numId w:val="3"/>
        </w:numPr>
        <w:spacing w:after="0" w:line="240" w:lineRule="auto"/>
        <w:jc w:val="both"/>
        <w:rPr>
          <w:rFonts w:cstheme="minorHAnsi"/>
          <w:color w:val="000000"/>
          <w:sz w:val="24"/>
          <w:szCs w:val="24"/>
          <w:lang w:val="es-AR"/>
        </w:rPr>
      </w:pPr>
      <w:r w:rsidRPr="00F2498F">
        <w:rPr>
          <w:rFonts w:cstheme="minorHAnsi"/>
          <w:color w:val="000000"/>
          <w:sz w:val="24"/>
          <w:szCs w:val="24"/>
          <w:lang w:val="es-AR"/>
        </w:rPr>
        <w:t>Eliminó el Ministerio de las Mujeres, Géneros y Diversidad</w:t>
      </w:r>
    </w:p>
    <w:p w14:paraId="6C4DE6ED" w14:textId="77777777" w:rsidR="00F2498F" w:rsidRPr="00F2498F" w:rsidRDefault="00F2498F" w:rsidP="00F2498F">
      <w:pPr>
        <w:numPr>
          <w:ilvl w:val="0"/>
          <w:numId w:val="3"/>
        </w:numPr>
        <w:spacing w:after="0" w:line="240" w:lineRule="auto"/>
        <w:jc w:val="both"/>
        <w:rPr>
          <w:rFonts w:cstheme="minorHAnsi"/>
          <w:color w:val="000000"/>
          <w:sz w:val="24"/>
          <w:szCs w:val="24"/>
          <w:lang w:val="es-AR"/>
        </w:rPr>
      </w:pPr>
      <w:r w:rsidRPr="00F2498F">
        <w:rPr>
          <w:rFonts w:cstheme="minorHAnsi"/>
          <w:color w:val="000000"/>
          <w:sz w:val="24"/>
          <w:szCs w:val="24"/>
          <w:lang w:val="es-AR"/>
        </w:rPr>
        <w:t>Redujo programas de prevención de la violencia de género</w:t>
      </w:r>
    </w:p>
    <w:p w14:paraId="03A10EA2" w14:textId="77777777" w:rsidR="00F2498F" w:rsidRPr="00F2498F" w:rsidRDefault="00F2498F" w:rsidP="00F2498F">
      <w:pPr>
        <w:numPr>
          <w:ilvl w:val="0"/>
          <w:numId w:val="3"/>
        </w:numPr>
        <w:spacing w:after="0" w:line="240" w:lineRule="auto"/>
        <w:jc w:val="both"/>
        <w:rPr>
          <w:rFonts w:cstheme="minorHAnsi"/>
          <w:color w:val="000000"/>
          <w:sz w:val="24"/>
          <w:szCs w:val="24"/>
          <w:lang w:val="es-AR"/>
        </w:rPr>
      </w:pPr>
      <w:r w:rsidRPr="00F2498F">
        <w:rPr>
          <w:rFonts w:cstheme="minorHAnsi"/>
          <w:color w:val="000000"/>
          <w:sz w:val="24"/>
          <w:szCs w:val="24"/>
          <w:lang w:val="es-AR"/>
        </w:rPr>
        <w:t>Eliminó partidas presupuestarias específicas</w:t>
      </w:r>
    </w:p>
    <w:p w14:paraId="54BB0C21" w14:textId="77777777" w:rsidR="00F2498F" w:rsidRPr="00F2498F" w:rsidRDefault="00F2498F" w:rsidP="00F2498F">
      <w:pPr>
        <w:numPr>
          <w:ilvl w:val="0"/>
          <w:numId w:val="3"/>
        </w:numPr>
        <w:spacing w:after="0" w:line="240" w:lineRule="auto"/>
        <w:jc w:val="both"/>
        <w:rPr>
          <w:rFonts w:cstheme="minorHAnsi"/>
          <w:color w:val="000000"/>
          <w:sz w:val="24"/>
          <w:szCs w:val="24"/>
          <w:lang w:val="es-AR"/>
        </w:rPr>
      </w:pPr>
      <w:r w:rsidRPr="00F2498F">
        <w:rPr>
          <w:rFonts w:cstheme="minorHAnsi"/>
          <w:color w:val="000000"/>
          <w:sz w:val="24"/>
          <w:szCs w:val="24"/>
          <w:lang w:val="es-AR"/>
        </w:rPr>
        <w:t>Centralizó funciones sin perspectiva de género en el Ministerio de Capital Humano</w:t>
      </w:r>
    </w:p>
    <w:p w14:paraId="26CD3F6E" w14:textId="77777777" w:rsidR="00F2498F" w:rsidRPr="00F2498F" w:rsidRDefault="00F2498F" w:rsidP="00F2498F">
      <w:pPr>
        <w:spacing w:after="0" w:line="240" w:lineRule="auto"/>
        <w:jc w:val="both"/>
        <w:rPr>
          <w:rFonts w:cstheme="minorHAnsi"/>
          <w:color w:val="000000"/>
          <w:sz w:val="24"/>
          <w:szCs w:val="24"/>
          <w:lang w:val="es-AR"/>
        </w:rPr>
      </w:pPr>
      <w:r w:rsidRPr="00F2498F">
        <w:rPr>
          <w:rFonts w:cstheme="minorHAnsi"/>
          <w:color w:val="000000"/>
          <w:sz w:val="24"/>
          <w:szCs w:val="24"/>
          <w:lang w:val="es-AR"/>
        </w:rPr>
        <w:t xml:space="preserve">El Comité CEDAW ha sostenido que </w:t>
      </w:r>
      <w:r w:rsidRPr="00F2498F">
        <w:rPr>
          <w:rFonts w:cstheme="minorHAnsi"/>
          <w:b/>
          <w:bCs/>
          <w:color w:val="000000"/>
          <w:sz w:val="24"/>
          <w:szCs w:val="24"/>
          <w:lang w:val="es-AR"/>
        </w:rPr>
        <w:t>la eliminación de mecanismos institucionales especializados en género constituye una violación autónoma del artículo 2 de la Convención</w:t>
      </w:r>
      <w:r w:rsidRPr="00F2498F">
        <w:rPr>
          <w:rFonts w:cstheme="minorHAnsi"/>
          <w:color w:val="000000"/>
          <w:sz w:val="24"/>
          <w:szCs w:val="24"/>
          <w:lang w:val="es-AR"/>
        </w:rPr>
        <w:t>¹¹.</w:t>
      </w:r>
    </w:p>
    <w:p w14:paraId="2B0738F4" w14:textId="77777777" w:rsidR="00F2498F" w:rsidRPr="00F2498F" w:rsidRDefault="00F2498F" w:rsidP="00F2498F">
      <w:pPr>
        <w:spacing w:after="0" w:line="240" w:lineRule="auto"/>
        <w:jc w:val="both"/>
        <w:rPr>
          <w:rFonts w:cstheme="minorHAnsi"/>
          <w:b/>
          <w:bCs/>
          <w:color w:val="000000"/>
          <w:sz w:val="24"/>
          <w:szCs w:val="24"/>
          <w:lang w:val="es-AR"/>
        </w:rPr>
      </w:pPr>
      <w:r w:rsidRPr="00F2498F">
        <w:rPr>
          <w:rFonts w:cstheme="minorHAnsi"/>
          <w:b/>
          <w:bCs/>
          <w:color w:val="000000"/>
          <w:sz w:val="24"/>
          <w:szCs w:val="24"/>
          <w:lang w:val="es-AR"/>
        </w:rPr>
        <w:t>b) Decreto de Necesidad y Urgencia N.º 70/2023</w:t>
      </w:r>
    </w:p>
    <w:p w14:paraId="4F20A1E3" w14:textId="77777777" w:rsidR="00F2498F" w:rsidRPr="00F2498F" w:rsidRDefault="00F2498F" w:rsidP="00F2498F">
      <w:pPr>
        <w:spacing w:after="0" w:line="240" w:lineRule="auto"/>
        <w:jc w:val="both"/>
        <w:rPr>
          <w:rFonts w:cstheme="minorHAnsi"/>
          <w:color w:val="000000"/>
          <w:sz w:val="24"/>
          <w:szCs w:val="24"/>
          <w:lang w:val="es-AR"/>
        </w:rPr>
      </w:pPr>
      <w:r w:rsidRPr="00F2498F">
        <w:rPr>
          <w:rFonts w:cstheme="minorHAnsi"/>
          <w:color w:val="000000"/>
          <w:sz w:val="24"/>
          <w:szCs w:val="24"/>
          <w:lang w:val="es-AR"/>
        </w:rPr>
        <w:t>El DNU 70/2023 propuso modificaciones regresivas a normas clave como:</w:t>
      </w:r>
    </w:p>
    <w:p w14:paraId="31EF529D" w14:textId="77777777" w:rsidR="00F2498F" w:rsidRPr="00F2498F" w:rsidRDefault="00F2498F" w:rsidP="00F2498F">
      <w:pPr>
        <w:numPr>
          <w:ilvl w:val="0"/>
          <w:numId w:val="4"/>
        </w:numPr>
        <w:spacing w:after="0" w:line="240" w:lineRule="auto"/>
        <w:jc w:val="both"/>
        <w:rPr>
          <w:rFonts w:cstheme="minorHAnsi"/>
          <w:color w:val="000000"/>
          <w:sz w:val="24"/>
          <w:szCs w:val="24"/>
          <w:lang w:val="es-AR"/>
        </w:rPr>
      </w:pPr>
      <w:r w:rsidRPr="00F2498F">
        <w:rPr>
          <w:rFonts w:cstheme="minorHAnsi"/>
          <w:color w:val="000000"/>
          <w:sz w:val="24"/>
          <w:szCs w:val="24"/>
          <w:lang w:val="es-AR"/>
        </w:rPr>
        <w:t>Ley 27.499 (“Ley Micaela”)</w:t>
      </w:r>
    </w:p>
    <w:p w14:paraId="45412002" w14:textId="77777777" w:rsidR="00F2498F" w:rsidRPr="00F2498F" w:rsidRDefault="00F2498F" w:rsidP="00F2498F">
      <w:pPr>
        <w:numPr>
          <w:ilvl w:val="0"/>
          <w:numId w:val="4"/>
        </w:numPr>
        <w:spacing w:after="0" w:line="240" w:lineRule="auto"/>
        <w:jc w:val="both"/>
        <w:rPr>
          <w:rFonts w:cstheme="minorHAnsi"/>
          <w:color w:val="000000"/>
          <w:sz w:val="24"/>
          <w:szCs w:val="24"/>
          <w:lang w:val="es-AR"/>
        </w:rPr>
      </w:pPr>
      <w:r w:rsidRPr="00F2498F">
        <w:rPr>
          <w:rFonts w:cstheme="minorHAnsi"/>
          <w:color w:val="000000"/>
          <w:sz w:val="24"/>
          <w:szCs w:val="24"/>
          <w:lang w:val="es-AR"/>
        </w:rPr>
        <w:t>Ley 27.611 (“Ley de los 1000 días”)</w:t>
      </w:r>
    </w:p>
    <w:p w14:paraId="6E75D7CC" w14:textId="77777777" w:rsidR="00F2498F" w:rsidRPr="00F2498F" w:rsidRDefault="00F2498F" w:rsidP="00F2498F">
      <w:pPr>
        <w:numPr>
          <w:ilvl w:val="0"/>
          <w:numId w:val="4"/>
        </w:numPr>
        <w:spacing w:after="0" w:line="240" w:lineRule="auto"/>
        <w:jc w:val="both"/>
        <w:rPr>
          <w:rFonts w:cstheme="minorHAnsi"/>
          <w:color w:val="000000"/>
          <w:sz w:val="24"/>
          <w:szCs w:val="24"/>
          <w:lang w:val="es-AR"/>
        </w:rPr>
      </w:pPr>
      <w:r w:rsidRPr="00F2498F">
        <w:rPr>
          <w:rFonts w:cstheme="minorHAnsi"/>
          <w:color w:val="000000"/>
          <w:sz w:val="24"/>
          <w:szCs w:val="24"/>
          <w:lang w:val="es-AR"/>
        </w:rPr>
        <w:t>Legislación sobre derechos sexuales y reproductivos</w:t>
      </w:r>
    </w:p>
    <w:p w14:paraId="39E49C9A" w14:textId="77777777" w:rsidR="00F2498F" w:rsidRPr="00F2498F" w:rsidRDefault="00F2498F" w:rsidP="00F2498F">
      <w:pPr>
        <w:spacing w:after="0" w:line="240" w:lineRule="auto"/>
        <w:jc w:val="both"/>
        <w:rPr>
          <w:rFonts w:cstheme="minorHAnsi"/>
          <w:color w:val="000000"/>
          <w:sz w:val="24"/>
          <w:szCs w:val="24"/>
          <w:lang w:val="es-AR"/>
        </w:rPr>
      </w:pPr>
      <w:r w:rsidRPr="00F2498F">
        <w:rPr>
          <w:rFonts w:cstheme="minorHAnsi"/>
          <w:color w:val="000000"/>
          <w:sz w:val="24"/>
          <w:szCs w:val="24"/>
          <w:lang w:val="es-AR"/>
        </w:rPr>
        <w:t xml:space="preserve">Estas modificaciones violan el </w:t>
      </w:r>
      <w:r w:rsidRPr="00F2498F">
        <w:rPr>
          <w:rFonts w:cstheme="minorHAnsi"/>
          <w:b/>
          <w:bCs/>
          <w:color w:val="000000"/>
          <w:sz w:val="24"/>
          <w:szCs w:val="24"/>
          <w:lang w:val="es-AR"/>
        </w:rPr>
        <w:t>principio de no regresividad en derechos humanos</w:t>
      </w:r>
      <w:r w:rsidRPr="00F2498F">
        <w:rPr>
          <w:rFonts w:cstheme="minorHAnsi"/>
          <w:color w:val="000000"/>
          <w:sz w:val="24"/>
          <w:szCs w:val="24"/>
          <w:lang w:val="es-AR"/>
        </w:rPr>
        <w:t>, reconocido por el Comité DESC¹² y aplicable a la CEDAW por vía interpretativa.</w:t>
      </w:r>
    </w:p>
    <w:p w14:paraId="1258A494" w14:textId="77777777" w:rsidR="00F2498F" w:rsidRPr="00F2498F" w:rsidRDefault="00EC443C" w:rsidP="00F2498F">
      <w:pPr>
        <w:spacing w:after="0" w:line="240" w:lineRule="auto"/>
        <w:jc w:val="both"/>
        <w:rPr>
          <w:rFonts w:cstheme="minorHAnsi"/>
          <w:color w:val="000000"/>
          <w:sz w:val="24"/>
          <w:szCs w:val="24"/>
          <w:lang w:val="es-AR"/>
        </w:rPr>
      </w:pPr>
      <w:r>
        <w:rPr>
          <w:rFonts w:cstheme="minorHAnsi"/>
          <w:color w:val="000000"/>
          <w:sz w:val="24"/>
          <w:szCs w:val="24"/>
          <w:lang w:val="es-AR"/>
        </w:rPr>
        <w:pict w14:anchorId="07CE9B50">
          <v:rect id="_x0000_i1029" style="width:0;height:1.5pt" o:hralign="center" o:hrstd="t" o:hr="t" fillcolor="#a0a0a0" stroked="f"/>
        </w:pict>
      </w:r>
    </w:p>
    <w:p w14:paraId="6DAE7311" w14:textId="77777777" w:rsidR="00F2498F" w:rsidRPr="00F2498F" w:rsidRDefault="00F2498F" w:rsidP="00F2498F">
      <w:pPr>
        <w:spacing w:after="0" w:line="240" w:lineRule="auto"/>
        <w:jc w:val="both"/>
        <w:rPr>
          <w:rFonts w:cstheme="minorHAnsi"/>
          <w:b/>
          <w:bCs/>
          <w:color w:val="000000"/>
          <w:sz w:val="24"/>
          <w:szCs w:val="24"/>
          <w:lang w:val="es-AR"/>
        </w:rPr>
      </w:pPr>
      <w:r w:rsidRPr="00F2498F">
        <w:rPr>
          <w:rFonts w:cstheme="minorHAnsi"/>
          <w:b/>
          <w:bCs/>
          <w:color w:val="000000"/>
          <w:sz w:val="24"/>
          <w:szCs w:val="24"/>
          <w:lang w:val="es-AR"/>
        </w:rPr>
        <w:t>V. Criminalización de la protesta social y persecución penal selectiva de mujeres</w:t>
      </w:r>
    </w:p>
    <w:p w14:paraId="588140F2" w14:textId="77777777" w:rsidR="00F2498F" w:rsidRPr="00F2498F" w:rsidRDefault="00F2498F" w:rsidP="00F2498F">
      <w:pPr>
        <w:spacing w:after="0" w:line="240" w:lineRule="auto"/>
        <w:jc w:val="both"/>
        <w:rPr>
          <w:rFonts w:cstheme="minorHAnsi"/>
          <w:color w:val="000000"/>
          <w:sz w:val="24"/>
          <w:szCs w:val="24"/>
          <w:lang w:val="es-AR"/>
        </w:rPr>
      </w:pPr>
      <w:r w:rsidRPr="00F2498F">
        <w:rPr>
          <w:rFonts w:cstheme="minorHAnsi"/>
          <w:color w:val="000000"/>
          <w:sz w:val="24"/>
          <w:szCs w:val="24"/>
          <w:lang w:val="es-AR"/>
        </w:rPr>
        <w:t>(</w:t>
      </w:r>
      <w:r w:rsidRPr="00F2498F">
        <w:rPr>
          <w:rFonts w:cstheme="minorHAnsi"/>
          <w:b/>
          <w:bCs/>
          <w:color w:val="000000"/>
          <w:sz w:val="24"/>
          <w:szCs w:val="24"/>
          <w:lang w:val="es-AR"/>
        </w:rPr>
        <w:t>Artículos 2, 7, 12 y 15 CEDAW</w:t>
      </w:r>
      <w:r w:rsidRPr="00F2498F">
        <w:rPr>
          <w:rFonts w:cstheme="minorHAnsi"/>
          <w:color w:val="000000"/>
          <w:sz w:val="24"/>
          <w:szCs w:val="24"/>
          <w:lang w:val="es-AR"/>
        </w:rPr>
        <w:t>)</w:t>
      </w:r>
    </w:p>
    <w:p w14:paraId="71A561CC" w14:textId="77777777" w:rsidR="00F2498F" w:rsidRPr="00F2498F" w:rsidRDefault="00F2498F" w:rsidP="00F2498F">
      <w:pPr>
        <w:spacing w:after="0" w:line="240" w:lineRule="auto"/>
        <w:jc w:val="both"/>
        <w:rPr>
          <w:rFonts w:cstheme="minorHAnsi"/>
          <w:b/>
          <w:bCs/>
          <w:color w:val="000000"/>
          <w:sz w:val="24"/>
          <w:szCs w:val="24"/>
          <w:lang w:val="es-AR"/>
        </w:rPr>
      </w:pPr>
      <w:r w:rsidRPr="00F2498F">
        <w:rPr>
          <w:rFonts w:cstheme="minorHAnsi"/>
          <w:b/>
          <w:bCs/>
          <w:color w:val="000000"/>
          <w:sz w:val="24"/>
          <w:szCs w:val="24"/>
          <w:lang w:val="es-AR"/>
        </w:rPr>
        <w:t>a) Resolución 943/2023 y línea 134</w:t>
      </w:r>
    </w:p>
    <w:p w14:paraId="70A5BFCD" w14:textId="77777777" w:rsidR="00F2498F" w:rsidRPr="00F2498F" w:rsidRDefault="00F2498F" w:rsidP="00F2498F">
      <w:pPr>
        <w:spacing w:after="0" w:line="240" w:lineRule="auto"/>
        <w:jc w:val="both"/>
        <w:rPr>
          <w:rFonts w:cstheme="minorHAnsi"/>
          <w:color w:val="000000"/>
          <w:sz w:val="24"/>
          <w:szCs w:val="24"/>
          <w:lang w:val="es-AR"/>
        </w:rPr>
      </w:pPr>
      <w:r w:rsidRPr="00F2498F">
        <w:rPr>
          <w:rFonts w:cstheme="minorHAnsi"/>
          <w:color w:val="000000"/>
          <w:sz w:val="24"/>
          <w:szCs w:val="24"/>
          <w:lang w:val="es-AR"/>
        </w:rPr>
        <w:t xml:space="preserve">La implementación del “Protocolo para el mantenimiento del orden público” y la habilitación de la línea telefónica 134 derivaron en </w:t>
      </w:r>
      <w:r w:rsidRPr="00F2498F">
        <w:rPr>
          <w:rFonts w:cstheme="minorHAnsi"/>
          <w:b/>
          <w:bCs/>
          <w:color w:val="000000"/>
          <w:sz w:val="24"/>
          <w:szCs w:val="24"/>
          <w:lang w:val="es-AR"/>
        </w:rPr>
        <w:t>denuncias penales masivas, anónimas y sin control judicial efectivo</w:t>
      </w:r>
      <w:r w:rsidRPr="00F2498F">
        <w:rPr>
          <w:rFonts w:cstheme="minorHAnsi"/>
          <w:color w:val="000000"/>
          <w:sz w:val="24"/>
          <w:szCs w:val="24"/>
          <w:lang w:val="es-AR"/>
        </w:rPr>
        <w:t xml:space="preserve">, dirigidas principalmente contra </w:t>
      </w:r>
      <w:r w:rsidRPr="00F2498F">
        <w:rPr>
          <w:rFonts w:cstheme="minorHAnsi"/>
          <w:b/>
          <w:bCs/>
          <w:color w:val="000000"/>
          <w:sz w:val="24"/>
          <w:szCs w:val="24"/>
          <w:lang w:val="es-AR"/>
        </w:rPr>
        <w:t>mujeres referentes de organizaciones sociales</w:t>
      </w:r>
      <w:r w:rsidRPr="00F2498F">
        <w:rPr>
          <w:rFonts w:cstheme="minorHAnsi"/>
          <w:color w:val="000000"/>
          <w:sz w:val="24"/>
          <w:szCs w:val="24"/>
          <w:lang w:val="es-AR"/>
        </w:rPr>
        <w:t>.</w:t>
      </w:r>
    </w:p>
    <w:p w14:paraId="21BBFC82" w14:textId="77777777" w:rsidR="00F2498F" w:rsidRPr="00F2498F" w:rsidRDefault="00F2498F" w:rsidP="00F2498F">
      <w:pPr>
        <w:spacing w:after="0" w:line="240" w:lineRule="auto"/>
        <w:jc w:val="both"/>
        <w:rPr>
          <w:rFonts w:cstheme="minorHAnsi"/>
          <w:color w:val="000000"/>
          <w:sz w:val="24"/>
          <w:szCs w:val="24"/>
          <w:lang w:val="es-AR"/>
        </w:rPr>
      </w:pPr>
      <w:r w:rsidRPr="00F2498F">
        <w:rPr>
          <w:rFonts w:cstheme="minorHAnsi"/>
          <w:color w:val="000000"/>
          <w:sz w:val="24"/>
          <w:szCs w:val="24"/>
          <w:lang w:val="es-AR"/>
        </w:rPr>
        <w:t>De aproximadamente 2.066 denuncias impulsadas:</w:t>
      </w:r>
    </w:p>
    <w:p w14:paraId="43D2C365" w14:textId="77777777" w:rsidR="00F2498F" w:rsidRPr="00F2498F" w:rsidRDefault="00F2498F" w:rsidP="00F2498F">
      <w:pPr>
        <w:numPr>
          <w:ilvl w:val="0"/>
          <w:numId w:val="5"/>
        </w:numPr>
        <w:spacing w:after="0" w:line="240" w:lineRule="auto"/>
        <w:jc w:val="both"/>
        <w:rPr>
          <w:rFonts w:cstheme="minorHAnsi"/>
          <w:color w:val="000000"/>
          <w:sz w:val="24"/>
          <w:szCs w:val="24"/>
          <w:lang w:val="es-AR"/>
        </w:rPr>
      </w:pPr>
      <w:r w:rsidRPr="00F2498F">
        <w:rPr>
          <w:rFonts w:cstheme="minorHAnsi"/>
          <w:color w:val="000000"/>
          <w:sz w:val="24"/>
          <w:szCs w:val="24"/>
          <w:lang w:val="es-AR"/>
        </w:rPr>
        <w:t>1.173 corresponden a mujeres</w:t>
      </w:r>
    </w:p>
    <w:p w14:paraId="079ECE10" w14:textId="77777777" w:rsidR="00F2498F" w:rsidRPr="00F2498F" w:rsidRDefault="00F2498F" w:rsidP="00F2498F">
      <w:pPr>
        <w:numPr>
          <w:ilvl w:val="0"/>
          <w:numId w:val="5"/>
        </w:numPr>
        <w:spacing w:after="0" w:line="240" w:lineRule="auto"/>
        <w:jc w:val="both"/>
        <w:rPr>
          <w:rFonts w:cstheme="minorHAnsi"/>
          <w:color w:val="000000"/>
          <w:sz w:val="24"/>
          <w:szCs w:val="24"/>
          <w:lang w:val="es-AR"/>
        </w:rPr>
      </w:pPr>
      <w:r w:rsidRPr="00F2498F">
        <w:rPr>
          <w:rFonts w:cstheme="minorHAnsi"/>
          <w:color w:val="000000"/>
          <w:sz w:val="24"/>
          <w:szCs w:val="24"/>
          <w:lang w:val="es-AR"/>
        </w:rPr>
        <w:lastRenderedPageBreak/>
        <w:t>630 a varones</w:t>
      </w:r>
    </w:p>
    <w:p w14:paraId="72540384" w14:textId="77777777" w:rsidR="00F2498F" w:rsidRPr="00F2498F" w:rsidRDefault="00F2498F" w:rsidP="00F2498F">
      <w:pPr>
        <w:spacing w:after="0" w:line="240" w:lineRule="auto"/>
        <w:jc w:val="both"/>
        <w:rPr>
          <w:rFonts w:cstheme="minorHAnsi"/>
          <w:color w:val="000000"/>
          <w:sz w:val="24"/>
          <w:szCs w:val="24"/>
          <w:lang w:val="es-AR"/>
        </w:rPr>
      </w:pPr>
      <w:r w:rsidRPr="00F2498F">
        <w:rPr>
          <w:rFonts w:cstheme="minorHAnsi"/>
          <w:color w:val="000000"/>
          <w:sz w:val="24"/>
          <w:szCs w:val="24"/>
          <w:lang w:val="es-AR"/>
        </w:rPr>
        <w:t xml:space="preserve">La selectividad penal evidencia un </w:t>
      </w:r>
      <w:r w:rsidRPr="00F2498F">
        <w:rPr>
          <w:rFonts w:cstheme="minorHAnsi"/>
          <w:b/>
          <w:bCs/>
          <w:color w:val="000000"/>
          <w:sz w:val="24"/>
          <w:szCs w:val="24"/>
          <w:lang w:val="es-AR"/>
        </w:rPr>
        <w:t>patrón de persecución con sesgo de género, clase y raza</w:t>
      </w:r>
      <w:r w:rsidRPr="00F2498F">
        <w:rPr>
          <w:rFonts w:cstheme="minorHAnsi"/>
          <w:color w:val="000000"/>
          <w:sz w:val="24"/>
          <w:szCs w:val="24"/>
          <w:lang w:val="es-AR"/>
        </w:rPr>
        <w:t>, en violación del principio de igualdad y no discriminación¹³.</w:t>
      </w:r>
    </w:p>
    <w:p w14:paraId="1C17D8A4" w14:textId="77777777" w:rsidR="00F2498F" w:rsidRPr="00F2498F" w:rsidRDefault="00F2498F" w:rsidP="00F2498F">
      <w:pPr>
        <w:spacing w:after="0" w:line="240" w:lineRule="auto"/>
        <w:jc w:val="both"/>
        <w:rPr>
          <w:rFonts w:cstheme="minorHAnsi"/>
          <w:b/>
          <w:bCs/>
          <w:color w:val="000000"/>
          <w:sz w:val="24"/>
          <w:szCs w:val="24"/>
          <w:lang w:val="es-AR"/>
        </w:rPr>
      </w:pPr>
      <w:r w:rsidRPr="00F2498F">
        <w:rPr>
          <w:rFonts w:cstheme="minorHAnsi"/>
          <w:b/>
          <w:bCs/>
          <w:color w:val="000000"/>
          <w:sz w:val="24"/>
          <w:szCs w:val="24"/>
          <w:lang w:val="es-AR"/>
        </w:rPr>
        <w:t>b) Violaciones al debido proceso</w:t>
      </w:r>
    </w:p>
    <w:p w14:paraId="59DEBE74" w14:textId="77777777" w:rsidR="00F2498F" w:rsidRPr="00F2498F" w:rsidRDefault="00F2498F" w:rsidP="00F2498F">
      <w:pPr>
        <w:spacing w:after="0" w:line="240" w:lineRule="auto"/>
        <w:jc w:val="both"/>
        <w:rPr>
          <w:rFonts w:cstheme="minorHAnsi"/>
          <w:color w:val="000000"/>
          <w:sz w:val="24"/>
          <w:szCs w:val="24"/>
          <w:lang w:val="es-AR"/>
        </w:rPr>
      </w:pPr>
      <w:r w:rsidRPr="00F2498F">
        <w:rPr>
          <w:rFonts w:cstheme="minorHAnsi"/>
          <w:color w:val="000000"/>
          <w:sz w:val="24"/>
          <w:szCs w:val="24"/>
          <w:lang w:val="es-AR"/>
        </w:rPr>
        <w:t>Las causas penales se caracterizan por:</w:t>
      </w:r>
    </w:p>
    <w:p w14:paraId="513D4ECB" w14:textId="77777777" w:rsidR="00F2498F" w:rsidRPr="00F2498F" w:rsidRDefault="00F2498F" w:rsidP="00F2498F">
      <w:pPr>
        <w:numPr>
          <w:ilvl w:val="0"/>
          <w:numId w:val="6"/>
        </w:numPr>
        <w:spacing w:after="0" w:line="240" w:lineRule="auto"/>
        <w:jc w:val="both"/>
        <w:rPr>
          <w:rFonts w:cstheme="minorHAnsi"/>
          <w:color w:val="000000"/>
          <w:sz w:val="24"/>
          <w:szCs w:val="24"/>
          <w:lang w:val="es-AR"/>
        </w:rPr>
      </w:pPr>
      <w:r w:rsidRPr="00F2498F">
        <w:rPr>
          <w:rFonts w:cstheme="minorHAnsi"/>
          <w:color w:val="000000"/>
          <w:sz w:val="24"/>
          <w:szCs w:val="24"/>
          <w:lang w:val="es-AR"/>
        </w:rPr>
        <w:t>Denuncias anónimas</w:t>
      </w:r>
    </w:p>
    <w:p w14:paraId="380495BE" w14:textId="77777777" w:rsidR="00F2498F" w:rsidRPr="00F2498F" w:rsidRDefault="00F2498F" w:rsidP="00F2498F">
      <w:pPr>
        <w:numPr>
          <w:ilvl w:val="0"/>
          <w:numId w:val="6"/>
        </w:numPr>
        <w:spacing w:after="0" w:line="240" w:lineRule="auto"/>
        <w:jc w:val="both"/>
        <w:rPr>
          <w:rFonts w:cstheme="minorHAnsi"/>
          <w:color w:val="000000"/>
          <w:sz w:val="24"/>
          <w:szCs w:val="24"/>
          <w:lang w:val="es-AR"/>
        </w:rPr>
      </w:pPr>
      <w:r w:rsidRPr="00F2498F">
        <w:rPr>
          <w:rFonts w:cstheme="minorHAnsi"/>
          <w:color w:val="000000"/>
          <w:sz w:val="24"/>
          <w:szCs w:val="24"/>
          <w:lang w:val="es-AR"/>
        </w:rPr>
        <w:t>Testigos de identidad reservada</w:t>
      </w:r>
    </w:p>
    <w:p w14:paraId="22F16541" w14:textId="77777777" w:rsidR="00F2498F" w:rsidRPr="00F2498F" w:rsidRDefault="00F2498F" w:rsidP="00F2498F">
      <w:pPr>
        <w:numPr>
          <w:ilvl w:val="0"/>
          <w:numId w:val="6"/>
        </w:numPr>
        <w:spacing w:after="0" w:line="240" w:lineRule="auto"/>
        <w:jc w:val="both"/>
        <w:rPr>
          <w:rFonts w:cstheme="minorHAnsi"/>
          <w:color w:val="000000"/>
          <w:sz w:val="24"/>
          <w:szCs w:val="24"/>
          <w:lang w:val="es-AR"/>
        </w:rPr>
      </w:pPr>
      <w:r w:rsidRPr="00F2498F">
        <w:rPr>
          <w:rFonts w:cstheme="minorHAnsi"/>
          <w:color w:val="000000"/>
          <w:sz w:val="24"/>
          <w:szCs w:val="24"/>
          <w:lang w:val="es-AR"/>
        </w:rPr>
        <w:t>Secreto de sumario prolongado</w:t>
      </w:r>
    </w:p>
    <w:p w14:paraId="21C6302D" w14:textId="77777777" w:rsidR="00F2498F" w:rsidRPr="00F2498F" w:rsidRDefault="00F2498F" w:rsidP="00F2498F">
      <w:pPr>
        <w:numPr>
          <w:ilvl w:val="0"/>
          <w:numId w:val="6"/>
        </w:numPr>
        <w:spacing w:after="0" w:line="240" w:lineRule="auto"/>
        <w:jc w:val="both"/>
        <w:rPr>
          <w:rFonts w:cstheme="minorHAnsi"/>
          <w:color w:val="000000"/>
          <w:sz w:val="24"/>
          <w:szCs w:val="24"/>
          <w:lang w:val="es-AR"/>
        </w:rPr>
      </w:pPr>
      <w:r w:rsidRPr="00F2498F">
        <w:rPr>
          <w:rFonts w:cstheme="minorHAnsi"/>
          <w:color w:val="000000"/>
          <w:sz w:val="24"/>
          <w:szCs w:val="24"/>
          <w:lang w:val="es-AR"/>
        </w:rPr>
        <w:t>Falta de acceso a la prueba</w:t>
      </w:r>
    </w:p>
    <w:p w14:paraId="4B3305B7" w14:textId="77777777" w:rsidR="00F2498F" w:rsidRPr="00F2498F" w:rsidRDefault="00F2498F" w:rsidP="00F2498F">
      <w:pPr>
        <w:numPr>
          <w:ilvl w:val="0"/>
          <w:numId w:val="6"/>
        </w:numPr>
        <w:spacing w:after="0" w:line="240" w:lineRule="auto"/>
        <w:jc w:val="both"/>
        <w:rPr>
          <w:rFonts w:cstheme="minorHAnsi"/>
          <w:color w:val="000000"/>
          <w:sz w:val="24"/>
          <w:szCs w:val="24"/>
          <w:lang w:val="es-AR"/>
        </w:rPr>
      </w:pPr>
      <w:r w:rsidRPr="00F2498F">
        <w:rPr>
          <w:rFonts w:cstheme="minorHAnsi"/>
          <w:color w:val="000000"/>
          <w:sz w:val="24"/>
          <w:szCs w:val="24"/>
          <w:lang w:val="es-AR"/>
        </w:rPr>
        <w:t>Allanamientos y espionaje ilegal</w:t>
      </w:r>
    </w:p>
    <w:p w14:paraId="7F6F0F60" w14:textId="77777777" w:rsidR="00F2498F" w:rsidRPr="00F2498F" w:rsidRDefault="00F2498F" w:rsidP="00F2498F">
      <w:pPr>
        <w:spacing w:after="0" w:line="240" w:lineRule="auto"/>
        <w:jc w:val="both"/>
        <w:rPr>
          <w:rFonts w:cstheme="minorHAnsi"/>
          <w:color w:val="000000"/>
          <w:sz w:val="24"/>
          <w:szCs w:val="24"/>
          <w:lang w:val="es-AR"/>
        </w:rPr>
      </w:pPr>
      <w:r w:rsidRPr="00F2498F">
        <w:rPr>
          <w:rFonts w:cstheme="minorHAnsi"/>
          <w:color w:val="000000"/>
          <w:sz w:val="24"/>
          <w:szCs w:val="24"/>
          <w:lang w:val="es-AR"/>
        </w:rPr>
        <w:t xml:space="preserve">Estas prácticas violan los artículos 8 y 25 CADH y constituyen </w:t>
      </w:r>
      <w:r w:rsidRPr="00F2498F">
        <w:rPr>
          <w:rFonts w:cstheme="minorHAnsi"/>
          <w:b/>
          <w:bCs/>
          <w:color w:val="000000"/>
          <w:sz w:val="24"/>
          <w:szCs w:val="24"/>
          <w:lang w:val="es-AR"/>
        </w:rPr>
        <w:t>violencia institucional de género</w:t>
      </w:r>
      <w:r w:rsidRPr="00F2498F">
        <w:rPr>
          <w:rFonts w:cstheme="minorHAnsi"/>
          <w:color w:val="000000"/>
          <w:sz w:val="24"/>
          <w:szCs w:val="24"/>
          <w:lang w:val="es-AR"/>
        </w:rPr>
        <w:t>, conforme a la Recomendación General N.º 35 del Comité CEDAW¹⁴.</w:t>
      </w:r>
    </w:p>
    <w:p w14:paraId="62ADC42B" w14:textId="77777777" w:rsidR="00F2498F" w:rsidRPr="00F2498F" w:rsidRDefault="00EC443C" w:rsidP="00F2498F">
      <w:pPr>
        <w:spacing w:after="0" w:line="240" w:lineRule="auto"/>
        <w:jc w:val="both"/>
        <w:rPr>
          <w:rFonts w:cstheme="minorHAnsi"/>
          <w:color w:val="000000"/>
          <w:sz w:val="24"/>
          <w:szCs w:val="24"/>
          <w:lang w:val="es-AR"/>
        </w:rPr>
      </w:pPr>
      <w:r>
        <w:rPr>
          <w:rFonts w:cstheme="minorHAnsi"/>
          <w:color w:val="000000"/>
          <w:sz w:val="24"/>
          <w:szCs w:val="24"/>
          <w:lang w:val="es-AR"/>
        </w:rPr>
        <w:pict w14:anchorId="1C290828">
          <v:rect id="_x0000_i1030" style="width:0;height:1.5pt" o:hralign="center" o:hrstd="t" o:hr="t" fillcolor="#a0a0a0" stroked="f"/>
        </w:pict>
      </w:r>
    </w:p>
    <w:p w14:paraId="3F4B8DD9" w14:textId="77777777" w:rsidR="00F2498F" w:rsidRPr="00F2498F" w:rsidRDefault="00F2498F" w:rsidP="00F2498F">
      <w:pPr>
        <w:spacing w:after="0" w:line="240" w:lineRule="auto"/>
        <w:jc w:val="both"/>
        <w:rPr>
          <w:rFonts w:cstheme="minorHAnsi"/>
          <w:b/>
          <w:bCs/>
          <w:color w:val="000000"/>
          <w:sz w:val="24"/>
          <w:szCs w:val="24"/>
          <w:lang w:val="es-AR"/>
        </w:rPr>
      </w:pPr>
      <w:r w:rsidRPr="00F2498F">
        <w:rPr>
          <w:rFonts w:cstheme="minorHAnsi"/>
          <w:b/>
          <w:bCs/>
          <w:color w:val="000000"/>
          <w:sz w:val="24"/>
          <w:szCs w:val="24"/>
          <w:lang w:val="es-AR"/>
        </w:rPr>
        <w:t>VI. Impacto diferenciado en mujeres de sectores populares</w:t>
      </w:r>
    </w:p>
    <w:p w14:paraId="508D8AB5" w14:textId="77777777" w:rsidR="00F2498F" w:rsidRPr="00F2498F" w:rsidRDefault="00F2498F" w:rsidP="00F2498F">
      <w:pPr>
        <w:spacing w:after="0" w:line="240" w:lineRule="auto"/>
        <w:jc w:val="both"/>
        <w:rPr>
          <w:rFonts w:cstheme="minorHAnsi"/>
          <w:color w:val="000000"/>
          <w:sz w:val="24"/>
          <w:szCs w:val="24"/>
          <w:lang w:val="es-AR"/>
        </w:rPr>
      </w:pPr>
      <w:r w:rsidRPr="00F2498F">
        <w:rPr>
          <w:rFonts w:cstheme="minorHAnsi"/>
          <w:color w:val="000000"/>
          <w:sz w:val="24"/>
          <w:szCs w:val="24"/>
          <w:lang w:val="es-AR"/>
        </w:rPr>
        <w:t>(</w:t>
      </w:r>
      <w:r w:rsidRPr="00F2498F">
        <w:rPr>
          <w:rFonts w:cstheme="minorHAnsi"/>
          <w:b/>
          <w:bCs/>
          <w:color w:val="000000"/>
          <w:sz w:val="24"/>
          <w:szCs w:val="24"/>
          <w:lang w:val="es-AR"/>
        </w:rPr>
        <w:t>Enfoque interseccional – Recomendación General N.º 28 CEDAW</w:t>
      </w:r>
      <w:r w:rsidRPr="00F2498F">
        <w:rPr>
          <w:rFonts w:cstheme="minorHAnsi"/>
          <w:color w:val="000000"/>
          <w:sz w:val="24"/>
          <w:szCs w:val="24"/>
          <w:lang w:val="es-AR"/>
        </w:rPr>
        <w:t>)</w:t>
      </w:r>
    </w:p>
    <w:p w14:paraId="610F2987" w14:textId="77777777" w:rsidR="00F2498F" w:rsidRPr="00F2498F" w:rsidRDefault="00F2498F" w:rsidP="00F2498F">
      <w:pPr>
        <w:spacing w:after="0" w:line="240" w:lineRule="auto"/>
        <w:jc w:val="both"/>
        <w:rPr>
          <w:rFonts w:cstheme="minorHAnsi"/>
          <w:color w:val="000000"/>
          <w:sz w:val="24"/>
          <w:szCs w:val="24"/>
          <w:lang w:val="es-AR"/>
        </w:rPr>
      </w:pPr>
      <w:r w:rsidRPr="00F2498F">
        <w:rPr>
          <w:rFonts w:cstheme="minorHAnsi"/>
          <w:color w:val="000000"/>
          <w:sz w:val="24"/>
          <w:szCs w:val="24"/>
          <w:lang w:val="es-AR"/>
        </w:rPr>
        <w:t>Las mujeres criminalizadas cumplen funciones comunitarias esenciales: cuidado, alimentación, educación popular, salud comunitaria y prevención de la violencia.</w:t>
      </w:r>
    </w:p>
    <w:p w14:paraId="1DB90FD7" w14:textId="77777777" w:rsidR="00F2498F" w:rsidRPr="00F2498F" w:rsidRDefault="00F2498F" w:rsidP="00F2498F">
      <w:pPr>
        <w:spacing w:after="0" w:line="240" w:lineRule="auto"/>
        <w:jc w:val="both"/>
        <w:rPr>
          <w:rFonts w:cstheme="minorHAnsi"/>
          <w:color w:val="000000"/>
          <w:sz w:val="24"/>
          <w:szCs w:val="24"/>
          <w:lang w:val="es-AR"/>
        </w:rPr>
      </w:pPr>
      <w:r w:rsidRPr="00F2498F">
        <w:rPr>
          <w:rFonts w:cstheme="minorHAnsi"/>
          <w:color w:val="000000"/>
          <w:sz w:val="24"/>
          <w:szCs w:val="24"/>
          <w:lang w:val="es-AR"/>
        </w:rPr>
        <w:t>La prohibición judicial de acercamiento a comedores comunitarios ha generado:</w:t>
      </w:r>
    </w:p>
    <w:p w14:paraId="5FA15EE1" w14:textId="77777777" w:rsidR="00F2498F" w:rsidRPr="00F2498F" w:rsidRDefault="00F2498F" w:rsidP="00F2498F">
      <w:pPr>
        <w:numPr>
          <w:ilvl w:val="0"/>
          <w:numId w:val="7"/>
        </w:numPr>
        <w:spacing w:after="0" w:line="240" w:lineRule="auto"/>
        <w:jc w:val="both"/>
        <w:rPr>
          <w:rFonts w:cstheme="minorHAnsi"/>
          <w:color w:val="000000"/>
          <w:sz w:val="24"/>
          <w:szCs w:val="24"/>
          <w:lang w:val="es-AR"/>
        </w:rPr>
      </w:pPr>
      <w:r w:rsidRPr="00F2498F">
        <w:rPr>
          <w:rFonts w:cstheme="minorHAnsi"/>
          <w:color w:val="000000"/>
          <w:sz w:val="24"/>
          <w:szCs w:val="24"/>
          <w:lang w:val="es-AR"/>
        </w:rPr>
        <w:t>Pérdida de raciones alimentarias</w:t>
      </w:r>
    </w:p>
    <w:p w14:paraId="4CC1CB48" w14:textId="77777777" w:rsidR="00F2498F" w:rsidRPr="00F2498F" w:rsidRDefault="00F2498F" w:rsidP="00F2498F">
      <w:pPr>
        <w:numPr>
          <w:ilvl w:val="0"/>
          <w:numId w:val="7"/>
        </w:numPr>
        <w:spacing w:after="0" w:line="240" w:lineRule="auto"/>
        <w:jc w:val="both"/>
        <w:rPr>
          <w:rFonts w:cstheme="minorHAnsi"/>
          <w:color w:val="000000"/>
          <w:sz w:val="24"/>
          <w:szCs w:val="24"/>
          <w:lang w:val="es-AR"/>
        </w:rPr>
      </w:pPr>
      <w:r w:rsidRPr="00F2498F">
        <w:rPr>
          <w:rFonts w:cstheme="minorHAnsi"/>
          <w:color w:val="000000"/>
          <w:sz w:val="24"/>
          <w:szCs w:val="24"/>
          <w:lang w:val="es-AR"/>
        </w:rPr>
        <w:t>Afectación directa a niñas, niños y personas mayores</w:t>
      </w:r>
    </w:p>
    <w:p w14:paraId="41A0786D" w14:textId="77777777" w:rsidR="00F2498F" w:rsidRPr="00F2498F" w:rsidRDefault="00F2498F" w:rsidP="00F2498F">
      <w:pPr>
        <w:numPr>
          <w:ilvl w:val="0"/>
          <w:numId w:val="7"/>
        </w:numPr>
        <w:spacing w:after="0" w:line="240" w:lineRule="auto"/>
        <w:jc w:val="both"/>
        <w:rPr>
          <w:rFonts w:cstheme="minorHAnsi"/>
          <w:color w:val="000000"/>
          <w:sz w:val="24"/>
          <w:szCs w:val="24"/>
          <w:lang w:val="es-AR"/>
        </w:rPr>
      </w:pPr>
      <w:r w:rsidRPr="00F2498F">
        <w:rPr>
          <w:rFonts w:cstheme="minorHAnsi"/>
          <w:color w:val="000000"/>
          <w:sz w:val="24"/>
          <w:szCs w:val="24"/>
          <w:lang w:val="es-AR"/>
        </w:rPr>
        <w:t>Castigo colectivo encubierto</w:t>
      </w:r>
    </w:p>
    <w:p w14:paraId="4438BD52" w14:textId="77777777" w:rsidR="00F2498F" w:rsidRPr="00F2498F" w:rsidRDefault="00F2498F" w:rsidP="00F2498F">
      <w:pPr>
        <w:spacing w:after="0" w:line="240" w:lineRule="auto"/>
        <w:jc w:val="both"/>
        <w:rPr>
          <w:rFonts w:cstheme="minorHAnsi"/>
          <w:color w:val="000000"/>
          <w:sz w:val="24"/>
          <w:szCs w:val="24"/>
          <w:lang w:val="es-AR"/>
        </w:rPr>
      </w:pPr>
      <w:r w:rsidRPr="00F2498F">
        <w:rPr>
          <w:rFonts w:cstheme="minorHAnsi"/>
          <w:color w:val="000000"/>
          <w:sz w:val="24"/>
          <w:szCs w:val="24"/>
          <w:lang w:val="es-AR"/>
        </w:rPr>
        <w:t xml:space="preserve">El Comité CEDAW ha advertido que </w:t>
      </w:r>
      <w:r w:rsidRPr="00F2498F">
        <w:rPr>
          <w:rFonts w:cstheme="minorHAnsi"/>
          <w:b/>
          <w:bCs/>
          <w:color w:val="000000"/>
          <w:sz w:val="24"/>
          <w:szCs w:val="24"/>
          <w:lang w:val="es-AR"/>
        </w:rPr>
        <w:t>las políticas aparentemente neutras que generan impactos diferenciados constituyen discriminación indirecta</w:t>
      </w:r>
      <w:r w:rsidRPr="00F2498F">
        <w:rPr>
          <w:rFonts w:cstheme="minorHAnsi"/>
          <w:color w:val="000000"/>
          <w:sz w:val="24"/>
          <w:szCs w:val="24"/>
          <w:lang w:val="es-AR"/>
        </w:rPr>
        <w:t>¹⁵.</w:t>
      </w:r>
    </w:p>
    <w:p w14:paraId="4FC3D6D1" w14:textId="77777777" w:rsidR="00F2498F" w:rsidRPr="00F2498F" w:rsidRDefault="00EC443C" w:rsidP="00F2498F">
      <w:pPr>
        <w:spacing w:after="0" w:line="240" w:lineRule="auto"/>
        <w:jc w:val="both"/>
        <w:rPr>
          <w:rFonts w:cstheme="minorHAnsi"/>
          <w:color w:val="000000"/>
          <w:sz w:val="24"/>
          <w:szCs w:val="24"/>
          <w:lang w:val="es-AR"/>
        </w:rPr>
      </w:pPr>
      <w:r>
        <w:rPr>
          <w:rFonts w:cstheme="minorHAnsi"/>
          <w:color w:val="000000"/>
          <w:sz w:val="24"/>
          <w:szCs w:val="24"/>
          <w:lang w:val="es-AR"/>
        </w:rPr>
        <w:pict w14:anchorId="6D2AB3EE">
          <v:rect id="_x0000_i1031" style="width:0;height:1.5pt" o:hralign="center" o:hrstd="t" o:hr="t" fillcolor="#a0a0a0" stroked="f"/>
        </w:pict>
      </w:r>
    </w:p>
    <w:p w14:paraId="2714FC93" w14:textId="77777777" w:rsidR="00F2498F" w:rsidRPr="00F2498F" w:rsidRDefault="00F2498F" w:rsidP="00F2498F">
      <w:pPr>
        <w:spacing w:after="0" w:line="240" w:lineRule="auto"/>
        <w:jc w:val="both"/>
        <w:rPr>
          <w:rFonts w:cstheme="minorHAnsi"/>
          <w:b/>
          <w:bCs/>
          <w:color w:val="000000"/>
          <w:sz w:val="24"/>
          <w:szCs w:val="24"/>
          <w:lang w:val="es-AR"/>
        </w:rPr>
      </w:pPr>
      <w:r w:rsidRPr="00F2498F">
        <w:rPr>
          <w:rFonts w:cstheme="minorHAnsi"/>
          <w:b/>
          <w:bCs/>
          <w:color w:val="000000"/>
          <w:sz w:val="24"/>
          <w:szCs w:val="24"/>
          <w:lang w:val="es-AR"/>
        </w:rPr>
        <w:t>VII. Retrocesos presupuestarios</w:t>
      </w:r>
    </w:p>
    <w:p w14:paraId="6B2A5569" w14:textId="77777777" w:rsidR="00F2498F" w:rsidRPr="00F2498F" w:rsidRDefault="00F2498F" w:rsidP="00F2498F">
      <w:pPr>
        <w:spacing w:after="0" w:line="240" w:lineRule="auto"/>
        <w:jc w:val="both"/>
        <w:rPr>
          <w:rFonts w:cstheme="minorHAnsi"/>
          <w:color w:val="000000"/>
          <w:sz w:val="24"/>
          <w:szCs w:val="24"/>
          <w:lang w:val="es-AR"/>
        </w:rPr>
      </w:pPr>
      <w:r w:rsidRPr="00F2498F">
        <w:rPr>
          <w:rFonts w:cstheme="minorHAnsi"/>
          <w:color w:val="000000"/>
          <w:sz w:val="24"/>
          <w:szCs w:val="24"/>
          <w:lang w:val="es-AR"/>
        </w:rPr>
        <w:t>(</w:t>
      </w:r>
      <w:r w:rsidRPr="00F2498F">
        <w:rPr>
          <w:rFonts w:cstheme="minorHAnsi"/>
          <w:b/>
          <w:bCs/>
          <w:color w:val="000000"/>
          <w:sz w:val="24"/>
          <w:szCs w:val="24"/>
          <w:lang w:val="es-AR"/>
        </w:rPr>
        <w:t>Artículos 3, 12 y 14 CEDAW</w:t>
      </w:r>
      <w:r w:rsidRPr="00F2498F">
        <w:rPr>
          <w:rFonts w:cstheme="minorHAnsi"/>
          <w:color w:val="000000"/>
          <w:sz w:val="24"/>
          <w:szCs w:val="24"/>
          <w:lang w:val="es-AR"/>
        </w:rPr>
        <w:t>)</w:t>
      </w:r>
    </w:p>
    <w:p w14:paraId="521B9E52" w14:textId="77777777" w:rsidR="00F2498F" w:rsidRPr="00F2498F" w:rsidRDefault="00F2498F" w:rsidP="00F2498F">
      <w:pPr>
        <w:spacing w:after="0" w:line="240" w:lineRule="auto"/>
        <w:jc w:val="both"/>
        <w:rPr>
          <w:rFonts w:cstheme="minorHAnsi"/>
          <w:color w:val="000000"/>
          <w:sz w:val="24"/>
          <w:szCs w:val="24"/>
          <w:lang w:val="es-AR"/>
        </w:rPr>
      </w:pPr>
      <w:r w:rsidRPr="00F2498F">
        <w:rPr>
          <w:rFonts w:cstheme="minorHAnsi"/>
          <w:color w:val="000000"/>
          <w:sz w:val="24"/>
          <w:szCs w:val="24"/>
          <w:lang w:val="es-AR"/>
        </w:rPr>
        <w:t>El análisis del Presupuesto Nacional 2025–2026 realizado por ACIJ y ELA demuestra:</w:t>
      </w:r>
    </w:p>
    <w:p w14:paraId="08958F54" w14:textId="77777777" w:rsidR="00F2498F" w:rsidRPr="00F2498F" w:rsidRDefault="00F2498F" w:rsidP="00F2498F">
      <w:pPr>
        <w:numPr>
          <w:ilvl w:val="0"/>
          <w:numId w:val="8"/>
        </w:numPr>
        <w:spacing w:after="0" w:line="240" w:lineRule="auto"/>
        <w:jc w:val="both"/>
        <w:rPr>
          <w:rFonts w:cstheme="minorHAnsi"/>
          <w:color w:val="000000"/>
          <w:sz w:val="24"/>
          <w:szCs w:val="24"/>
          <w:lang w:val="es-AR"/>
        </w:rPr>
      </w:pPr>
      <w:r w:rsidRPr="00F2498F">
        <w:rPr>
          <w:rFonts w:cstheme="minorHAnsi"/>
          <w:color w:val="000000"/>
          <w:sz w:val="24"/>
          <w:szCs w:val="24"/>
          <w:lang w:val="es-AR"/>
        </w:rPr>
        <w:t>Eliminación del Presupuesto con Perspectiva de Género</w:t>
      </w:r>
    </w:p>
    <w:p w14:paraId="6CA82D54" w14:textId="77777777" w:rsidR="00F2498F" w:rsidRPr="00F2498F" w:rsidRDefault="00F2498F" w:rsidP="00F2498F">
      <w:pPr>
        <w:numPr>
          <w:ilvl w:val="0"/>
          <w:numId w:val="8"/>
        </w:numPr>
        <w:spacing w:after="0" w:line="240" w:lineRule="auto"/>
        <w:jc w:val="both"/>
        <w:rPr>
          <w:rFonts w:cstheme="minorHAnsi"/>
          <w:color w:val="000000"/>
          <w:sz w:val="24"/>
          <w:szCs w:val="24"/>
          <w:lang w:val="es-AR"/>
        </w:rPr>
      </w:pPr>
      <w:r w:rsidRPr="00F2498F">
        <w:rPr>
          <w:rFonts w:cstheme="minorHAnsi"/>
          <w:color w:val="000000"/>
          <w:sz w:val="24"/>
          <w:szCs w:val="24"/>
          <w:lang w:val="es-AR"/>
        </w:rPr>
        <w:t>Desfinanciamiento del Programa Acompañar y Línea 144</w:t>
      </w:r>
    </w:p>
    <w:p w14:paraId="0ADFE8FA" w14:textId="77777777" w:rsidR="00F2498F" w:rsidRPr="00F2498F" w:rsidRDefault="00F2498F" w:rsidP="00F2498F">
      <w:pPr>
        <w:numPr>
          <w:ilvl w:val="0"/>
          <w:numId w:val="8"/>
        </w:numPr>
        <w:spacing w:after="0" w:line="240" w:lineRule="auto"/>
        <w:jc w:val="both"/>
        <w:rPr>
          <w:rFonts w:cstheme="minorHAnsi"/>
          <w:color w:val="000000"/>
          <w:sz w:val="24"/>
          <w:szCs w:val="24"/>
          <w:lang w:val="es-AR"/>
        </w:rPr>
      </w:pPr>
      <w:r w:rsidRPr="00F2498F">
        <w:rPr>
          <w:rFonts w:cstheme="minorHAnsi"/>
          <w:color w:val="000000"/>
          <w:sz w:val="24"/>
          <w:szCs w:val="24"/>
          <w:lang w:val="es-AR"/>
        </w:rPr>
        <w:t>Reducción del 85 % del Plan ENIA</w:t>
      </w:r>
    </w:p>
    <w:p w14:paraId="4AF9833B" w14:textId="77777777" w:rsidR="00F2498F" w:rsidRPr="00F2498F" w:rsidRDefault="00F2498F" w:rsidP="00F2498F">
      <w:pPr>
        <w:numPr>
          <w:ilvl w:val="0"/>
          <w:numId w:val="8"/>
        </w:numPr>
        <w:spacing w:after="0" w:line="240" w:lineRule="auto"/>
        <w:jc w:val="both"/>
        <w:rPr>
          <w:rFonts w:cstheme="minorHAnsi"/>
          <w:color w:val="000000"/>
          <w:sz w:val="24"/>
          <w:szCs w:val="24"/>
          <w:lang w:val="es-AR"/>
        </w:rPr>
      </w:pPr>
      <w:r w:rsidRPr="00F2498F">
        <w:rPr>
          <w:rFonts w:cstheme="minorHAnsi"/>
          <w:color w:val="000000"/>
          <w:sz w:val="24"/>
          <w:szCs w:val="24"/>
          <w:lang w:val="es-AR"/>
        </w:rPr>
        <w:t>Vaciamiento total de la Educación Sexual Integral</w:t>
      </w:r>
    </w:p>
    <w:p w14:paraId="612C420D" w14:textId="77777777" w:rsidR="00F2498F" w:rsidRPr="00F2498F" w:rsidRDefault="00F2498F" w:rsidP="00F2498F">
      <w:pPr>
        <w:numPr>
          <w:ilvl w:val="0"/>
          <w:numId w:val="8"/>
        </w:numPr>
        <w:spacing w:after="0" w:line="240" w:lineRule="auto"/>
        <w:jc w:val="both"/>
        <w:rPr>
          <w:rFonts w:cstheme="minorHAnsi"/>
          <w:color w:val="000000"/>
          <w:sz w:val="24"/>
          <w:szCs w:val="24"/>
          <w:lang w:val="es-AR"/>
        </w:rPr>
      </w:pPr>
      <w:r w:rsidRPr="00F2498F">
        <w:rPr>
          <w:rFonts w:cstheme="minorHAnsi"/>
          <w:color w:val="000000"/>
          <w:sz w:val="24"/>
          <w:szCs w:val="24"/>
          <w:lang w:val="es-AR"/>
        </w:rPr>
        <w:t>Impacto desproporcionado en mujeres jubiladas y beneficiarias de AUH/AUE</w:t>
      </w:r>
    </w:p>
    <w:p w14:paraId="79EEE1D5" w14:textId="77777777" w:rsidR="00F2498F" w:rsidRPr="00F2498F" w:rsidRDefault="00F2498F" w:rsidP="00F2498F">
      <w:pPr>
        <w:spacing w:after="0" w:line="240" w:lineRule="auto"/>
        <w:jc w:val="both"/>
        <w:rPr>
          <w:rFonts w:cstheme="minorHAnsi"/>
          <w:color w:val="000000"/>
          <w:sz w:val="24"/>
          <w:szCs w:val="24"/>
          <w:lang w:val="es-AR"/>
        </w:rPr>
      </w:pPr>
      <w:r w:rsidRPr="00F2498F">
        <w:rPr>
          <w:rFonts w:cstheme="minorHAnsi"/>
          <w:color w:val="000000"/>
          <w:sz w:val="24"/>
          <w:szCs w:val="24"/>
          <w:lang w:val="es-AR"/>
        </w:rPr>
        <w:t xml:space="preserve">La falta de asignación presupuestaria adecuada constituye </w:t>
      </w:r>
      <w:r w:rsidRPr="00F2498F">
        <w:rPr>
          <w:rFonts w:cstheme="minorHAnsi"/>
          <w:b/>
          <w:bCs/>
          <w:color w:val="000000"/>
          <w:sz w:val="24"/>
          <w:szCs w:val="24"/>
          <w:lang w:val="es-AR"/>
        </w:rPr>
        <w:t>violación directa de la obligación de garantizar derechos económicos y sociales</w:t>
      </w:r>
      <w:r w:rsidRPr="00F2498F">
        <w:rPr>
          <w:rFonts w:cstheme="minorHAnsi"/>
          <w:color w:val="000000"/>
          <w:sz w:val="24"/>
          <w:szCs w:val="24"/>
          <w:lang w:val="es-AR"/>
        </w:rPr>
        <w:t>¹⁶.</w:t>
      </w:r>
    </w:p>
    <w:p w14:paraId="5C5AA4E9" w14:textId="77777777" w:rsidR="00F2498F" w:rsidRPr="00F2498F" w:rsidRDefault="00EC443C" w:rsidP="00F2498F">
      <w:pPr>
        <w:spacing w:after="0" w:line="240" w:lineRule="auto"/>
        <w:jc w:val="both"/>
        <w:rPr>
          <w:rFonts w:cstheme="minorHAnsi"/>
          <w:color w:val="000000"/>
          <w:sz w:val="24"/>
          <w:szCs w:val="24"/>
          <w:lang w:val="es-AR"/>
        </w:rPr>
      </w:pPr>
      <w:r>
        <w:rPr>
          <w:rFonts w:cstheme="minorHAnsi"/>
          <w:color w:val="000000"/>
          <w:sz w:val="24"/>
          <w:szCs w:val="24"/>
          <w:lang w:val="es-AR"/>
        </w:rPr>
        <w:pict w14:anchorId="1A45A3A7">
          <v:rect id="_x0000_i1032" style="width:0;height:1.5pt" o:hralign="center" o:hrstd="t" o:hr="t" fillcolor="#a0a0a0" stroked="f"/>
        </w:pict>
      </w:r>
    </w:p>
    <w:p w14:paraId="1C75544A" w14:textId="77777777" w:rsidR="00F2498F" w:rsidRPr="00F2498F" w:rsidRDefault="00F2498F" w:rsidP="00F2498F">
      <w:pPr>
        <w:spacing w:after="0" w:line="240" w:lineRule="auto"/>
        <w:jc w:val="both"/>
        <w:rPr>
          <w:rFonts w:cstheme="minorHAnsi"/>
          <w:b/>
          <w:bCs/>
          <w:color w:val="000000"/>
          <w:sz w:val="24"/>
          <w:szCs w:val="24"/>
          <w:lang w:val="es-AR"/>
        </w:rPr>
      </w:pPr>
      <w:r w:rsidRPr="00F2498F">
        <w:rPr>
          <w:rFonts w:cstheme="minorHAnsi"/>
          <w:b/>
          <w:bCs/>
          <w:color w:val="000000"/>
          <w:sz w:val="24"/>
          <w:szCs w:val="24"/>
          <w:lang w:val="es-AR"/>
        </w:rPr>
        <w:t>VIII. Decisiones judiciales regresivas y debilitamiento del estándar de violencia de género</w:t>
      </w:r>
    </w:p>
    <w:p w14:paraId="5C2F65F6" w14:textId="77777777" w:rsidR="00F2498F" w:rsidRPr="00F2498F" w:rsidRDefault="00F2498F" w:rsidP="00F2498F">
      <w:pPr>
        <w:spacing w:after="0" w:line="240" w:lineRule="auto"/>
        <w:jc w:val="both"/>
        <w:rPr>
          <w:rFonts w:cstheme="minorHAnsi"/>
          <w:color w:val="000000"/>
          <w:sz w:val="24"/>
          <w:szCs w:val="24"/>
          <w:lang w:val="es-AR"/>
        </w:rPr>
      </w:pPr>
      <w:r w:rsidRPr="00F2498F">
        <w:rPr>
          <w:rFonts w:cstheme="minorHAnsi"/>
          <w:color w:val="000000"/>
          <w:sz w:val="24"/>
          <w:szCs w:val="24"/>
          <w:lang w:val="es-AR"/>
        </w:rPr>
        <w:t xml:space="preserve">La decisión de la Corte Suprema de Justicia de la Nación de negar el agravante de odio a la identidad de género en el caso del travesticidio de Diana Sacayán constituye un </w:t>
      </w:r>
      <w:r w:rsidRPr="00F2498F">
        <w:rPr>
          <w:rFonts w:cstheme="minorHAnsi"/>
          <w:b/>
          <w:bCs/>
          <w:color w:val="000000"/>
          <w:sz w:val="24"/>
          <w:szCs w:val="24"/>
          <w:lang w:val="es-AR"/>
        </w:rPr>
        <w:t>grave retroceso jurisprudencial</w:t>
      </w:r>
      <w:r w:rsidRPr="00F2498F">
        <w:rPr>
          <w:rFonts w:cstheme="minorHAnsi"/>
          <w:color w:val="000000"/>
          <w:sz w:val="24"/>
          <w:szCs w:val="24"/>
          <w:lang w:val="es-AR"/>
        </w:rPr>
        <w:t xml:space="preserve">, contrario a los estándares interamericanos establecidos en </w:t>
      </w:r>
      <w:r w:rsidRPr="00F2498F">
        <w:rPr>
          <w:rFonts w:cstheme="minorHAnsi"/>
          <w:i/>
          <w:iCs/>
          <w:color w:val="000000"/>
          <w:sz w:val="24"/>
          <w:szCs w:val="24"/>
          <w:lang w:val="es-AR"/>
        </w:rPr>
        <w:t>Atala Riffo</w:t>
      </w:r>
      <w:r w:rsidRPr="00F2498F">
        <w:rPr>
          <w:rFonts w:cstheme="minorHAnsi"/>
          <w:color w:val="000000"/>
          <w:sz w:val="24"/>
          <w:szCs w:val="24"/>
          <w:lang w:val="es-AR"/>
        </w:rPr>
        <w:t xml:space="preserve">, </w:t>
      </w:r>
      <w:r w:rsidRPr="00F2498F">
        <w:rPr>
          <w:rFonts w:cstheme="minorHAnsi"/>
          <w:i/>
          <w:iCs/>
          <w:color w:val="000000"/>
          <w:sz w:val="24"/>
          <w:szCs w:val="24"/>
          <w:lang w:val="es-AR"/>
        </w:rPr>
        <w:t>Azul Rojas Marín</w:t>
      </w:r>
      <w:r w:rsidRPr="00F2498F">
        <w:rPr>
          <w:rFonts w:cstheme="minorHAnsi"/>
          <w:color w:val="000000"/>
          <w:sz w:val="24"/>
          <w:szCs w:val="24"/>
          <w:lang w:val="es-AR"/>
        </w:rPr>
        <w:t xml:space="preserve"> y </w:t>
      </w:r>
      <w:r w:rsidRPr="00F2498F">
        <w:rPr>
          <w:rFonts w:cstheme="minorHAnsi"/>
          <w:i/>
          <w:iCs/>
          <w:color w:val="000000"/>
          <w:sz w:val="24"/>
          <w:szCs w:val="24"/>
          <w:lang w:val="es-AR"/>
        </w:rPr>
        <w:t>Vicky Hernández</w:t>
      </w:r>
      <w:r w:rsidRPr="00F2498F">
        <w:rPr>
          <w:rFonts w:cstheme="minorHAnsi"/>
          <w:color w:val="000000"/>
          <w:sz w:val="24"/>
          <w:szCs w:val="24"/>
          <w:lang w:val="es-AR"/>
        </w:rPr>
        <w:t>¹⁷.</w:t>
      </w:r>
    </w:p>
    <w:p w14:paraId="2167685C" w14:textId="77777777" w:rsidR="00F2498F" w:rsidRPr="00F2498F" w:rsidRDefault="00EC443C" w:rsidP="00F2498F">
      <w:pPr>
        <w:spacing w:after="0" w:line="240" w:lineRule="auto"/>
        <w:jc w:val="both"/>
        <w:rPr>
          <w:rFonts w:cstheme="minorHAnsi"/>
          <w:color w:val="000000"/>
          <w:sz w:val="24"/>
          <w:szCs w:val="24"/>
          <w:lang w:val="es-AR"/>
        </w:rPr>
      </w:pPr>
      <w:r>
        <w:rPr>
          <w:rFonts w:cstheme="minorHAnsi"/>
          <w:color w:val="000000"/>
          <w:sz w:val="24"/>
          <w:szCs w:val="24"/>
          <w:lang w:val="es-AR"/>
        </w:rPr>
        <w:pict w14:anchorId="7CA4109C">
          <v:rect id="_x0000_i1033" style="width:0;height:1.5pt" o:hralign="center" o:hrstd="t" o:hr="t" fillcolor="#a0a0a0" stroked="f"/>
        </w:pict>
      </w:r>
    </w:p>
    <w:p w14:paraId="171B4AAB" w14:textId="77777777" w:rsidR="00F2498F" w:rsidRPr="00F2498F" w:rsidRDefault="00F2498F" w:rsidP="00F2498F">
      <w:pPr>
        <w:spacing w:after="0" w:line="240" w:lineRule="auto"/>
        <w:jc w:val="both"/>
        <w:rPr>
          <w:rFonts w:cstheme="minorHAnsi"/>
          <w:b/>
          <w:bCs/>
          <w:color w:val="000000"/>
          <w:sz w:val="24"/>
          <w:szCs w:val="24"/>
          <w:lang w:val="es-AR"/>
        </w:rPr>
      </w:pPr>
      <w:r w:rsidRPr="00F2498F">
        <w:rPr>
          <w:rFonts w:cstheme="minorHAnsi"/>
          <w:b/>
          <w:bCs/>
          <w:color w:val="000000"/>
          <w:sz w:val="24"/>
          <w:szCs w:val="24"/>
          <w:lang w:val="es-AR"/>
        </w:rPr>
        <w:t>IX. Conclusiones y recomendaciones preliminares</w:t>
      </w:r>
    </w:p>
    <w:p w14:paraId="0D0C5346" w14:textId="77777777" w:rsidR="00F2498F" w:rsidRPr="00F2498F" w:rsidRDefault="00F2498F" w:rsidP="00F2498F">
      <w:pPr>
        <w:spacing w:after="0" w:line="240" w:lineRule="auto"/>
        <w:jc w:val="both"/>
        <w:rPr>
          <w:rFonts w:cstheme="minorHAnsi"/>
          <w:color w:val="000000"/>
          <w:sz w:val="24"/>
          <w:szCs w:val="24"/>
          <w:lang w:val="es-AR"/>
        </w:rPr>
      </w:pPr>
      <w:r w:rsidRPr="00F2498F">
        <w:rPr>
          <w:rFonts w:cstheme="minorHAnsi"/>
          <w:color w:val="000000"/>
          <w:sz w:val="24"/>
          <w:szCs w:val="24"/>
          <w:lang w:val="es-AR"/>
        </w:rPr>
        <w:t>La Asociación Americana de Juristas considera que el Estado argentino:</w:t>
      </w:r>
    </w:p>
    <w:p w14:paraId="2CE34D0B" w14:textId="77777777" w:rsidR="00F2498F" w:rsidRPr="00F2498F" w:rsidRDefault="00F2498F" w:rsidP="00F2498F">
      <w:pPr>
        <w:numPr>
          <w:ilvl w:val="0"/>
          <w:numId w:val="9"/>
        </w:numPr>
        <w:spacing w:after="0" w:line="240" w:lineRule="auto"/>
        <w:jc w:val="both"/>
        <w:rPr>
          <w:rFonts w:cstheme="minorHAnsi"/>
          <w:color w:val="000000"/>
          <w:sz w:val="24"/>
          <w:szCs w:val="24"/>
          <w:lang w:val="es-AR"/>
        </w:rPr>
      </w:pPr>
      <w:r w:rsidRPr="00F2498F">
        <w:rPr>
          <w:rFonts w:cstheme="minorHAnsi"/>
          <w:color w:val="000000"/>
          <w:sz w:val="24"/>
          <w:szCs w:val="24"/>
          <w:lang w:val="es-AR"/>
        </w:rPr>
        <w:t>Ha incumplido de manera grave y sistemática la Convención CEDAW</w:t>
      </w:r>
    </w:p>
    <w:p w14:paraId="270F63B5" w14:textId="77777777" w:rsidR="00F2498F" w:rsidRPr="00F2498F" w:rsidRDefault="00F2498F" w:rsidP="00F2498F">
      <w:pPr>
        <w:numPr>
          <w:ilvl w:val="0"/>
          <w:numId w:val="9"/>
        </w:numPr>
        <w:spacing w:after="0" w:line="240" w:lineRule="auto"/>
        <w:jc w:val="both"/>
        <w:rPr>
          <w:rFonts w:cstheme="minorHAnsi"/>
          <w:color w:val="000000"/>
          <w:sz w:val="24"/>
          <w:szCs w:val="24"/>
          <w:lang w:val="es-AR"/>
        </w:rPr>
      </w:pPr>
      <w:r w:rsidRPr="00F2498F">
        <w:rPr>
          <w:rFonts w:cstheme="minorHAnsi"/>
          <w:color w:val="000000"/>
          <w:sz w:val="24"/>
          <w:szCs w:val="24"/>
          <w:lang w:val="es-AR"/>
        </w:rPr>
        <w:lastRenderedPageBreak/>
        <w:t>Ha adoptado políticas regresivas prohibidas por el derecho internacional</w:t>
      </w:r>
    </w:p>
    <w:p w14:paraId="1470DFE3" w14:textId="77777777" w:rsidR="00F2498F" w:rsidRPr="00F2498F" w:rsidRDefault="00F2498F" w:rsidP="00F2498F">
      <w:pPr>
        <w:numPr>
          <w:ilvl w:val="0"/>
          <w:numId w:val="9"/>
        </w:numPr>
        <w:spacing w:after="0" w:line="240" w:lineRule="auto"/>
        <w:jc w:val="both"/>
        <w:rPr>
          <w:rFonts w:cstheme="minorHAnsi"/>
          <w:color w:val="000000"/>
          <w:sz w:val="24"/>
          <w:szCs w:val="24"/>
          <w:lang w:val="es-AR"/>
        </w:rPr>
      </w:pPr>
      <w:r w:rsidRPr="00F2498F">
        <w:rPr>
          <w:rFonts w:cstheme="minorHAnsi"/>
          <w:color w:val="000000"/>
          <w:sz w:val="24"/>
          <w:szCs w:val="24"/>
          <w:lang w:val="es-AR"/>
        </w:rPr>
        <w:t>Ha promovido discursos estatales de odio</w:t>
      </w:r>
    </w:p>
    <w:p w14:paraId="4949C5BB" w14:textId="77777777" w:rsidR="00F2498F" w:rsidRPr="00F2498F" w:rsidRDefault="00F2498F" w:rsidP="00F2498F">
      <w:pPr>
        <w:numPr>
          <w:ilvl w:val="0"/>
          <w:numId w:val="9"/>
        </w:numPr>
        <w:spacing w:after="0" w:line="240" w:lineRule="auto"/>
        <w:jc w:val="both"/>
        <w:rPr>
          <w:rFonts w:cstheme="minorHAnsi"/>
          <w:color w:val="000000"/>
          <w:sz w:val="24"/>
          <w:szCs w:val="24"/>
          <w:lang w:val="es-AR"/>
        </w:rPr>
      </w:pPr>
      <w:r w:rsidRPr="00F2498F">
        <w:rPr>
          <w:rFonts w:cstheme="minorHAnsi"/>
          <w:color w:val="000000"/>
          <w:sz w:val="24"/>
          <w:szCs w:val="24"/>
          <w:lang w:val="es-AR"/>
        </w:rPr>
        <w:t>Ha criminalizado selectivamente a mujeres organizadas</w:t>
      </w:r>
    </w:p>
    <w:p w14:paraId="2E336E9A" w14:textId="77777777" w:rsidR="00F2498F" w:rsidRPr="00F2498F" w:rsidRDefault="00F2498F" w:rsidP="00F2498F">
      <w:pPr>
        <w:numPr>
          <w:ilvl w:val="0"/>
          <w:numId w:val="9"/>
        </w:numPr>
        <w:spacing w:after="0" w:line="240" w:lineRule="auto"/>
        <w:jc w:val="both"/>
        <w:rPr>
          <w:rFonts w:cstheme="minorHAnsi"/>
          <w:color w:val="000000"/>
          <w:sz w:val="24"/>
          <w:szCs w:val="24"/>
          <w:lang w:val="es-AR"/>
        </w:rPr>
      </w:pPr>
      <w:r w:rsidRPr="00F2498F">
        <w:rPr>
          <w:rFonts w:cstheme="minorHAnsi"/>
          <w:color w:val="000000"/>
          <w:sz w:val="24"/>
          <w:szCs w:val="24"/>
          <w:lang w:val="es-AR"/>
        </w:rPr>
        <w:t>Ha debilitado las garantías judiciales y el acceso a la justicia</w:t>
      </w:r>
    </w:p>
    <w:p w14:paraId="0626D15B" w14:textId="77777777" w:rsidR="00F2498F" w:rsidRPr="00F2498F" w:rsidRDefault="00EC443C" w:rsidP="00F2498F">
      <w:pPr>
        <w:spacing w:after="0" w:line="240" w:lineRule="auto"/>
        <w:jc w:val="both"/>
        <w:rPr>
          <w:rFonts w:cstheme="minorHAnsi"/>
          <w:color w:val="000000"/>
          <w:sz w:val="24"/>
          <w:szCs w:val="24"/>
          <w:lang w:val="es-AR"/>
        </w:rPr>
      </w:pPr>
      <w:r>
        <w:rPr>
          <w:rFonts w:cstheme="minorHAnsi"/>
          <w:color w:val="000000"/>
          <w:sz w:val="24"/>
          <w:szCs w:val="24"/>
          <w:lang w:val="es-AR"/>
        </w:rPr>
        <w:pict w14:anchorId="3D1E33CC">
          <v:rect id="_x0000_i1034" style="width:0;height:1.5pt" o:hralign="center" o:hrstd="t" o:hr="t" fillcolor="#a0a0a0" stroked="f"/>
        </w:pict>
      </w:r>
    </w:p>
    <w:p w14:paraId="1A3A4782" w14:textId="77777777" w:rsidR="00F2498F" w:rsidRPr="00F2498F" w:rsidRDefault="00F2498F" w:rsidP="00F2498F">
      <w:pPr>
        <w:spacing w:after="0" w:line="240" w:lineRule="auto"/>
        <w:jc w:val="both"/>
        <w:rPr>
          <w:rFonts w:cstheme="minorHAnsi"/>
          <w:b/>
          <w:bCs/>
          <w:color w:val="000000"/>
          <w:sz w:val="24"/>
          <w:szCs w:val="24"/>
          <w:lang w:val="es-AR"/>
        </w:rPr>
      </w:pPr>
      <w:r w:rsidRPr="00F2498F">
        <w:rPr>
          <w:rFonts w:cstheme="minorHAnsi"/>
          <w:b/>
          <w:bCs/>
          <w:color w:val="000000"/>
          <w:sz w:val="24"/>
          <w:szCs w:val="24"/>
          <w:lang w:val="es-AR"/>
        </w:rPr>
        <w:t>X. Solicitudes al Comité CEDAW</w:t>
      </w:r>
    </w:p>
    <w:p w14:paraId="48D60996" w14:textId="77777777" w:rsidR="00F2498F" w:rsidRPr="00F2498F" w:rsidRDefault="00F2498F" w:rsidP="00F2498F">
      <w:pPr>
        <w:spacing w:after="0" w:line="240" w:lineRule="auto"/>
        <w:jc w:val="both"/>
        <w:rPr>
          <w:rFonts w:cstheme="minorHAnsi"/>
          <w:color w:val="000000"/>
          <w:sz w:val="24"/>
          <w:szCs w:val="24"/>
          <w:lang w:val="es-AR"/>
        </w:rPr>
      </w:pPr>
      <w:r w:rsidRPr="00F2498F">
        <w:rPr>
          <w:rFonts w:cstheme="minorHAnsi"/>
          <w:color w:val="000000"/>
          <w:sz w:val="24"/>
          <w:szCs w:val="24"/>
          <w:lang w:val="es-AR"/>
        </w:rPr>
        <w:t>Se solicita al Comité que:</w:t>
      </w:r>
    </w:p>
    <w:p w14:paraId="563AA4A5" w14:textId="77777777" w:rsidR="00F2498F" w:rsidRPr="00F2498F" w:rsidRDefault="00F2498F" w:rsidP="00F2498F">
      <w:pPr>
        <w:numPr>
          <w:ilvl w:val="0"/>
          <w:numId w:val="10"/>
        </w:numPr>
        <w:spacing w:after="0" w:line="240" w:lineRule="auto"/>
        <w:jc w:val="both"/>
        <w:rPr>
          <w:rFonts w:cstheme="minorHAnsi"/>
          <w:color w:val="000000"/>
          <w:sz w:val="24"/>
          <w:szCs w:val="24"/>
          <w:lang w:val="es-AR"/>
        </w:rPr>
      </w:pPr>
      <w:r w:rsidRPr="00F2498F">
        <w:rPr>
          <w:rFonts w:cstheme="minorHAnsi"/>
          <w:color w:val="000000"/>
          <w:sz w:val="24"/>
          <w:szCs w:val="24"/>
          <w:lang w:val="es-AR"/>
        </w:rPr>
        <w:t>Requiera explicaciones al Estado argentino sobre el desmantelamiento institucional y presupuestario.</w:t>
      </w:r>
    </w:p>
    <w:p w14:paraId="22CB3006" w14:textId="77777777" w:rsidR="00F2498F" w:rsidRPr="00F2498F" w:rsidRDefault="00F2498F" w:rsidP="00F2498F">
      <w:pPr>
        <w:numPr>
          <w:ilvl w:val="0"/>
          <w:numId w:val="10"/>
        </w:numPr>
        <w:spacing w:after="0" w:line="240" w:lineRule="auto"/>
        <w:jc w:val="both"/>
        <w:rPr>
          <w:rFonts w:cstheme="minorHAnsi"/>
          <w:color w:val="000000"/>
          <w:sz w:val="24"/>
          <w:szCs w:val="24"/>
          <w:lang w:val="es-AR"/>
        </w:rPr>
      </w:pPr>
      <w:r w:rsidRPr="00F2498F">
        <w:rPr>
          <w:rFonts w:cstheme="minorHAnsi"/>
          <w:color w:val="000000"/>
          <w:sz w:val="24"/>
          <w:szCs w:val="24"/>
          <w:lang w:val="es-AR"/>
        </w:rPr>
        <w:t>Recomiende el cese inmediato de la criminalización de mujeres referentes sociales.</w:t>
      </w:r>
    </w:p>
    <w:p w14:paraId="67FE271A" w14:textId="77777777" w:rsidR="00F2498F" w:rsidRPr="00F2498F" w:rsidRDefault="00F2498F" w:rsidP="00F2498F">
      <w:pPr>
        <w:numPr>
          <w:ilvl w:val="0"/>
          <w:numId w:val="10"/>
        </w:numPr>
        <w:spacing w:after="0" w:line="240" w:lineRule="auto"/>
        <w:jc w:val="both"/>
        <w:rPr>
          <w:rFonts w:cstheme="minorHAnsi"/>
          <w:color w:val="000000"/>
          <w:sz w:val="24"/>
          <w:szCs w:val="24"/>
          <w:lang w:val="es-AR"/>
        </w:rPr>
      </w:pPr>
      <w:r w:rsidRPr="00F2498F">
        <w:rPr>
          <w:rFonts w:cstheme="minorHAnsi"/>
          <w:color w:val="000000"/>
          <w:sz w:val="24"/>
          <w:szCs w:val="24"/>
          <w:lang w:val="es-AR"/>
        </w:rPr>
        <w:t>Exija la restitución de políticas públicas con perspectiva de género.</w:t>
      </w:r>
    </w:p>
    <w:p w14:paraId="1C2EF0E1" w14:textId="77777777" w:rsidR="00F2498F" w:rsidRPr="00F2498F" w:rsidRDefault="00F2498F" w:rsidP="00F2498F">
      <w:pPr>
        <w:numPr>
          <w:ilvl w:val="0"/>
          <w:numId w:val="10"/>
        </w:numPr>
        <w:spacing w:after="0" w:line="240" w:lineRule="auto"/>
        <w:jc w:val="both"/>
        <w:rPr>
          <w:rFonts w:cstheme="minorHAnsi"/>
          <w:color w:val="000000"/>
          <w:sz w:val="24"/>
          <w:szCs w:val="24"/>
          <w:lang w:val="es-AR"/>
        </w:rPr>
      </w:pPr>
      <w:r w:rsidRPr="00F2498F">
        <w:rPr>
          <w:rFonts w:cstheme="minorHAnsi"/>
          <w:color w:val="000000"/>
          <w:sz w:val="24"/>
          <w:szCs w:val="24"/>
          <w:lang w:val="es-AR"/>
        </w:rPr>
        <w:t>Incorpore el caso argentino en el seguimiento reforzado de cumplimiento.</w:t>
      </w:r>
    </w:p>
    <w:p w14:paraId="4FDBB8CF" w14:textId="77777777" w:rsidR="00F2498F" w:rsidRPr="00F2498F" w:rsidRDefault="00F2498F" w:rsidP="00F2498F">
      <w:pPr>
        <w:numPr>
          <w:ilvl w:val="0"/>
          <w:numId w:val="10"/>
        </w:numPr>
        <w:spacing w:after="0" w:line="240" w:lineRule="auto"/>
        <w:jc w:val="both"/>
        <w:rPr>
          <w:rFonts w:cstheme="minorHAnsi"/>
          <w:color w:val="000000"/>
          <w:sz w:val="24"/>
          <w:szCs w:val="24"/>
          <w:lang w:val="es-AR"/>
        </w:rPr>
      </w:pPr>
      <w:r w:rsidRPr="00F2498F">
        <w:rPr>
          <w:rFonts w:cstheme="minorHAnsi"/>
          <w:color w:val="000000"/>
          <w:sz w:val="24"/>
          <w:szCs w:val="24"/>
          <w:lang w:val="es-AR"/>
        </w:rPr>
        <w:t>Evalúe la apertura de un procedimiento de alerta temprana.</w:t>
      </w:r>
    </w:p>
    <w:p w14:paraId="3B4DCB92" w14:textId="77777777" w:rsidR="00F2498F" w:rsidRPr="00F2498F" w:rsidRDefault="00EC443C" w:rsidP="00F2498F">
      <w:pPr>
        <w:spacing w:after="0" w:line="240" w:lineRule="auto"/>
        <w:jc w:val="both"/>
        <w:rPr>
          <w:rFonts w:cstheme="minorHAnsi"/>
          <w:color w:val="000000"/>
          <w:sz w:val="24"/>
          <w:szCs w:val="24"/>
          <w:lang w:val="es-AR"/>
        </w:rPr>
      </w:pPr>
      <w:r>
        <w:rPr>
          <w:rFonts w:cstheme="minorHAnsi"/>
          <w:color w:val="000000"/>
          <w:sz w:val="24"/>
          <w:szCs w:val="24"/>
          <w:lang w:val="es-AR"/>
        </w:rPr>
        <w:pict w14:anchorId="4AB5EE27">
          <v:rect id="_x0000_i1035" style="width:0;height:1.5pt" o:hralign="center" o:hrstd="t" o:hr="t" fillcolor="#a0a0a0" stroked="f"/>
        </w:pict>
      </w:r>
    </w:p>
    <w:p w14:paraId="328768DF" w14:textId="77777777" w:rsidR="00F2498F" w:rsidRPr="00F2498F" w:rsidRDefault="00F2498F" w:rsidP="00F2498F">
      <w:pPr>
        <w:spacing w:after="0" w:line="240" w:lineRule="auto"/>
        <w:jc w:val="both"/>
        <w:rPr>
          <w:rFonts w:cstheme="minorHAnsi"/>
          <w:b/>
          <w:bCs/>
          <w:color w:val="000000"/>
          <w:sz w:val="24"/>
          <w:szCs w:val="24"/>
          <w:lang w:val="es-AR"/>
        </w:rPr>
      </w:pPr>
      <w:r w:rsidRPr="00F2498F">
        <w:rPr>
          <w:rFonts w:cstheme="minorHAnsi"/>
          <w:b/>
          <w:bCs/>
          <w:color w:val="000000"/>
          <w:sz w:val="24"/>
          <w:szCs w:val="24"/>
          <w:lang w:val="es-AR"/>
        </w:rPr>
        <w:t>Notas al pie (modelo)</w:t>
      </w:r>
    </w:p>
    <w:p w14:paraId="0FCEFBC5" w14:textId="77777777" w:rsidR="00F2498F" w:rsidRPr="00F2498F" w:rsidRDefault="00F2498F" w:rsidP="00F2498F">
      <w:pPr>
        <w:numPr>
          <w:ilvl w:val="0"/>
          <w:numId w:val="11"/>
        </w:numPr>
        <w:spacing w:after="0" w:line="240" w:lineRule="auto"/>
        <w:jc w:val="both"/>
        <w:rPr>
          <w:rFonts w:cstheme="minorHAnsi"/>
          <w:color w:val="000000"/>
          <w:sz w:val="24"/>
          <w:szCs w:val="24"/>
          <w:lang w:val="es-AR"/>
        </w:rPr>
      </w:pPr>
      <w:r w:rsidRPr="00F2498F">
        <w:rPr>
          <w:rFonts w:cstheme="minorHAnsi"/>
          <w:color w:val="000000"/>
          <w:sz w:val="24"/>
          <w:szCs w:val="24"/>
          <w:lang w:val="es-AR"/>
        </w:rPr>
        <w:t>Constitución Nacional Argentina, art. 75 inc. 22.</w:t>
      </w:r>
    </w:p>
    <w:p w14:paraId="129D765B" w14:textId="77777777" w:rsidR="00F2498F" w:rsidRPr="00F2498F" w:rsidRDefault="00F2498F" w:rsidP="00F2498F">
      <w:pPr>
        <w:numPr>
          <w:ilvl w:val="0"/>
          <w:numId w:val="11"/>
        </w:numPr>
        <w:spacing w:after="0" w:line="240" w:lineRule="auto"/>
        <w:jc w:val="both"/>
        <w:rPr>
          <w:rFonts w:cstheme="minorHAnsi"/>
          <w:color w:val="000000"/>
          <w:sz w:val="24"/>
          <w:szCs w:val="24"/>
          <w:lang w:val="es-AR"/>
        </w:rPr>
      </w:pPr>
      <w:r w:rsidRPr="00F2498F">
        <w:rPr>
          <w:rFonts w:cstheme="minorHAnsi"/>
          <w:color w:val="000000"/>
          <w:sz w:val="24"/>
          <w:szCs w:val="24"/>
          <w:lang w:val="es-AR"/>
        </w:rPr>
        <w:t>CEDAW, ONU, 1979.</w:t>
      </w:r>
    </w:p>
    <w:p w14:paraId="3DD246F8" w14:textId="77777777" w:rsidR="00F2498F" w:rsidRPr="00F2498F" w:rsidRDefault="00F2498F" w:rsidP="00F2498F">
      <w:pPr>
        <w:numPr>
          <w:ilvl w:val="0"/>
          <w:numId w:val="11"/>
        </w:numPr>
        <w:spacing w:after="0" w:line="240" w:lineRule="auto"/>
        <w:jc w:val="both"/>
        <w:rPr>
          <w:rFonts w:cstheme="minorHAnsi"/>
          <w:color w:val="000000"/>
          <w:sz w:val="24"/>
          <w:szCs w:val="24"/>
          <w:lang w:val="es-AR"/>
        </w:rPr>
      </w:pPr>
      <w:r w:rsidRPr="00F2498F">
        <w:rPr>
          <w:rFonts w:cstheme="minorHAnsi"/>
          <w:color w:val="000000"/>
          <w:sz w:val="24"/>
          <w:szCs w:val="24"/>
          <w:lang w:val="es-AR"/>
        </w:rPr>
        <w:t>Convención de Belém do Pará, OEA, 1994.</w:t>
      </w:r>
    </w:p>
    <w:p w14:paraId="46F95DA1" w14:textId="77777777" w:rsidR="00F2498F" w:rsidRPr="00F2498F" w:rsidRDefault="00F2498F" w:rsidP="00F2498F">
      <w:pPr>
        <w:numPr>
          <w:ilvl w:val="0"/>
          <w:numId w:val="11"/>
        </w:numPr>
        <w:spacing w:after="0" w:line="240" w:lineRule="auto"/>
        <w:jc w:val="both"/>
        <w:rPr>
          <w:rFonts w:cstheme="minorHAnsi"/>
          <w:color w:val="000000"/>
          <w:sz w:val="24"/>
          <w:szCs w:val="24"/>
          <w:lang w:val="es-AR"/>
        </w:rPr>
      </w:pPr>
      <w:r w:rsidRPr="00F2498F">
        <w:rPr>
          <w:rFonts w:cstheme="minorHAnsi"/>
          <w:color w:val="000000"/>
          <w:sz w:val="24"/>
          <w:szCs w:val="24"/>
          <w:lang w:val="es-AR"/>
        </w:rPr>
        <w:t>CADH, arts. 1.1, 2, 8 y 25.</w:t>
      </w:r>
    </w:p>
    <w:p w14:paraId="6789B28B" w14:textId="77777777" w:rsidR="00F2498F" w:rsidRPr="00F2498F" w:rsidRDefault="00F2498F" w:rsidP="00F2498F">
      <w:pPr>
        <w:numPr>
          <w:ilvl w:val="0"/>
          <w:numId w:val="11"/>
        </w:numPr>
        <w:spacing w:after="0" w:line="240" w:lineRule="auto"/>
        <w:jc w:val="both"/>
        <w:rPr>
          <w:rFonts w:cstheme="minorHAnsi"/>
          <w:color w:val="000000"/>
          <w:sz w:val="24"/>
          <w:szCs w:val="24"/>
          <w:lang w:val="es-AR"/>
        </w:rPr>
      </w:pPr>
      <w:r w:rsidRPr="00F2498F">
        <w:rPr>
          <w:rFonts w:cstheme="minorHAnsi"/>
          <w:color w:val="000000"/>
          <w:sz w:val="24"/>
          <w:szCs w:val="24"/>
          <w:lang w:val="es-AR"/>
        </w:rPr>
        <w:t>PIDCP, arts. 2 y 26.</w:t>
      </w:r>
    </w:p>
    <w:p w14:paraId="28935C29" w14:textId="77777777" w:rsidR="00F2498F" w:rsidRPr="00F2498F" w:rsidRDefault="00F2498F" w:rsidP="00F2498F">
      <w:pPr>
        <w:numPr>
          <w:ilvl w:val="0"/>
          <w:numId w:val="11"/>
        </w:numPr>
        <w:spacing w:after="0" w:line="240" w:lineRule="auto"/>
        <w:jc w:val="both"/>
        <w:rPr>
          <w:rFonts w:cstheme="minorHAnsi"/>
          <w:color w:val="000000"/>
          <w:sz w:val="24"/>
          <w:szCs w:val="24"/>
          <w:lang w:val="es-AR"/>
        </w:rPr>
      </w:pPr>
      <w:r w:rsidRPr="00F2498F">
        <w:rPr>
          <w:rFonts w:cstheme="minorHAnsi"/>
          <w:color w:val="000000"/>
          <w:sz w:val="24"/>
          <w:szCs w:val="24"/>
          <w:lang w:val="es-AR"/>
        </w:rPr>
        <w:t>PIDESC, Observación General N.º 3.</w:t>
      </w:r>
    </w:p>
    <w:p w14:paraId="38434652" w14:textId="77777777" w:rsidR="00F2498F" w:rsidRPr="00F2498F" w:rsidRDefault="00F2498F" w:rsidP="00F2498F">
      <w:pPr>
        <w:numPr>
          <w:ilvl w:val="0"/>
          <w:numId w:val="11"/>
        </w:numPr>
        <w:spacing w:after="0" w:line="240" w:lineRule="auto"/>
        <w:jc w:val="both"/>
        <w:rPr>
          <w:rFonts w:cstheme="minorHAnsi"/>
          <w:color w:val="000000"/>
          <w:sz w:val="24"/>
          <w:szCs w:val="24"/>
          <w:lang w:val="es-AR"/>
        </w:rPr>
      </w:pPr>
      <w:r w:rsidRPr="00F2498F">
        <w:rPr>
          <w:rFonts w:cstheme="minorHAnsi"/>
          <w:color w:val="000000"/>
          <w:sz w:val="24"/>
          <w:szCs w:val="24"/>
          <w:lang w:val="es-AR"/>
        </w:rPr>
        <w:t>CDN, art. 24.</w:t>
      </w:r>
    </w:p>
    <w:p w14:paraId="07ED7ED3" w14:textId="77777777" w:rsidR="00F2498F" w:rsidRPr="00F2498F" w:rsidRDefault="00F2498F" w:rsidP="00F2498F">
      <w:pPr>
        <w:numPr>
          <w:ilvl w:val="0"/>
          <w:numId w:val="11"/>
        </w:numPr>
        <w:spacing w:after="0" w:line="240" w:lineRule="auto"/>
        <w:jc w:val="both"/>
        <w:rPr>
          <w:rFonts w:cstheme="minorHAnsi"/>
          <w:color w:val="000000"/>
          <w:sz w:val="24"/>
          <w:szCs w:val="24"/>
          <w:lang w:val="es-AR"/>
        </w:rPr>
      </w:pPr>
      <w:r w:rsidRPr="00F2498F">
        <w:rPr>
          <w:rFonts w:cstheme="minorHAnsi"/>
          <w:color w:val="000000"/>
          <w:sz w:val="24"/>
          <w:szCs w:val="24"/>
          <w:lang w:val="es-AR"/>
        </w:rPr>
        <w:t>Principios de Yogyakarta +10.</w:t>
      </w:r>
    </w:p>
    <w:p w14:paraId="3D271F9F" w14:textId="77777777" w:rsidR="00F2498F" w:rsidRPr="00F2498F" w:rsidRDefault="00F2498F" w:rsidP="00F2498F">
      <w:pPr>
        <w:numPr>
          <w:ilvl w:val="0"/>
          <w:numId w:val="11"/>
        </w:numPr>
        <w:spacing w:after="0" w:line="240" w:lineRule="auto"/>
        <w:jc w:val="both"/>
        <w:rPr>
          <w:rFonts w:cstheme="minorHAnsi"/>
          <w:color w:val="000000"/>
          <w:sz w:val="24"/>
          <w:szCs w:val="24"/>
          <w:lang w:val="es-AR"/>
        </w:rPr>
      </w:pPr>
      <w:r w:rsidRPr="00F2498F">
        <w:rPr>
          <w:rFonts w:cstheme="minorHAnsi"/>
          <w:color w:val="000000"/>
          <w:sz w:val="24"/>
          <w:szCs w:val="24"/>
          <w:lang w:val="es-AR"/>
        </w:rPr>
        <w:t>CEDAW, Recomendación General N.º 35, párrs. 19 y 21.</w:t>
      </w:r>
    </w:p>
    <w:p w14:paraId="20F4EEBB" w14:textId="77777777" w:rsidR="00F2498F" w:rsidRPr="00F2498F" w:rsidRDefault="00F2498F" w:rsidP="00F2498F">
      <w:pPr>
        <w:numPr>
          <w:ilvl w:val="0"/>
          <w:numId w:val="11"/>
        </w:numPr>
        <w:spacing w:after="0" w:line="240" w:lineRule="auto"/>
        <w:jc w:val="both"/>
        <w:rPr>
          <w:rFonts w:cstheme="minorHAnsi"/>
          <w:color w:val="000000"/>
          <w:sz w:val="24"/>
          <w:szCs w:val="24"/>
          <w:lang w:val="es-AR"/>
        </w:rPr>
      </w:pPr>
      <w:r w:rsidRPr="00F2498F">
        <w:rPr>
          <w:rFonts w:cstheme="minorHAnsi"/>
          <w:color w:val="000000"/>
          <w:sz w:val="24"/>
          <w:szCs w:val="24"/>
          <w:lang w:val="es-AR"/>
        </w:rPr>
        <w:t>Ídem, párr. 20.</w:t>
      </w:r>
    </w:p>
    <w:p w14:paraId="6F7738D9" w14:textId="77777777" w:rsidR="00F2498F" w:rsidRPr="00F2498F" w:rsidRDefault="00F2498F" w:rsidP="00F2498F">
      <w:pPr>
        <w:numPr>
          <w:ilvl w:val="0"/>
          <w:numId w:val="11"/>
        </w:numPr>
        <w:spacing w:after="0" w:line="240" w:lineRule="auto"/>
        <w:jc w:val="both"/>
        <w:rPr>
          <w:rFonts w:cstheme="minorHAnsi"/>
          <w:color w:val="000000"/>
          <w:sz w:val="24"/>
          <w:szCs w:val="24"/>
          <w:lang w:val="es-AR"/>
        </w:rPr>
      </w:pPr>
      <w:r w:rsidRPr="00F2498F">
        <w:rPr>
          <w:rFonts w:cstheme="minorHAnsi"/>
          <w:color w:val="000000"/>
          <w:sz w:val="24"/>
          <w:szCs w:val="24"/>
          <w:lang w:val="es-AR"/>
        </w:rPr>
        <w:t>CEDAW, Recomendación General N.º 6.</w:t>
      </w:r>
    </w:p>
    <w:p w14:paraId="4BCCD085" w14:textId="77777777" w:rsidR="00F2498F" w:rsidRPr="00F2498F" w:rsidRDefault="00F2498F" w:rsidP="00F2498F">
      <w:pPr>
        <w:numPr>
          <w:ilvl w:val="0"/>
          <w:numId w:val="11"/>
        </w:numPr>
        <w:spacing w:after="0" w:line="240" w:lineRule="auto"/>
        <w:jc w:val="both"/>
        <w:rPr>
          <w:rFonts w:cstheme="minorHAnsi"/>
          <w:color w:val="000000"/>
          <w:sz w:val="24"/>
          <w:szCs w:val="24"/>
          <w:lang w:val="es-AR"/>
        </w:rPr>
      </w:pPr>
      <w:r w:rsidRPr="00F2498F">
        <w:rPr>
          <w:rFonts w:cstheme="minorHAnsi"/>
          <w:color w:val="000000"/>
          <w:sz w:val="24"/>
          <w:szCs w:val="24"/>
          <w:lang w:val="es-AR"/>
        </w:rPr>
        <w:t>Comité DESC, Observación General N.º 3.</w:t>
      </w:r>
    </w:p>
    <w:p w14:paraId="0B68698B" w14:textId="77777777" w:rsidR="00F2498F" w:rsidRPr="00F2498F" w:rsidRDefault="00F2498F" w:rsidP="00F2498F">
      <w:pPr>
        <w:numPr>
          <w:ilvl w:val="0"/>
          <w:numId w:val="11"/>
        </w:numPr>
        <w:spacing w:after="0" w:line="240" w:lineRule="auto"/>
        <w:jc w:val="both"/>
        <w:rPr>
          <w:rFonts w:cstheme="minorHAnsi"/>
          <w:color w:val="000000"/>
          <w:sz w:val="24"/>
          <w:szCs w:val="24"/>
          <w:lang w:val="es-AR"/>
        </w:rPr>
      </w:pPr>
      <w:r w:rsidRPr="00F2498F">
        <w:rPr>
          <w:rFonts w:cstheme="minorHAnsi"/>
          <w:color w:val="000000"/>
          <w:sz w:val="24"/>
          <w:szCs w:val="24"/>
          <w:lang w:val="es-AR"/>
        </w:rPr>
        <w:t xml:space="preserve">Corte IDH, </w:t>
      </w:r>
      <w:r w:rsidRPr="00F2498F">
        <w:rPr>
          <w:rFonts w:cstheme="minorHAnsi"/>
          <w:i/>
          <w:iCs/>
          <w:color w:val="000000"/>
          <w:sz w:val="24"/>
          <w:szCs w:val="24"/>
          <w:lang w:val="es-AR"/>
        </w:rPr>
        <w:t>López Lone vs. Honduras</w:t>
      </w:r>
      <w:r w:rsidRPr="00F2498F">
        <w:rPr>
          <w:rFonts w:cstheme="minorHAnsi"/>
          <w:color w:val="000000"/>
          <w:sz w:val="24"/>
          <w:szCs w:val="24"/>
          <w:lang w:val="es-AR"/>
        </w:rPr>
        <w:t>.</w:t>
      </w:r>
    </w:p>
    <w:p w14:paraId="3FA5AA33" w14:textId="77777777" w:rsidR="00F2498F" w:rsidRPr="00F2498F" w:rsidRDefault="00F2498F" w:rsidP="00F2498F">
      <w:pPr>
        <w:numPr>
          <w:ilvl w:val="0"/>
          <w:numId w:val="11"/>
        </w:numPr>
        <w:spacing w:after="0" w:line="240" w:lineRule="auto"/>
        <w:jc w:val="both"/>
        <w:rPr>
          <w:rFonts w:cstheme="minorHAnsi"/>
          <w:color w:val="000000"/>
          <w:sz w:val="24"/>
          <w:szCs w:val="24"/>
          <w:lang w:val="es-AR"/>
        </w:rPr>
      </w:pPr>
      <w:r w:rsidRPr="00F2498F">
        <w:rPr>
          <w:rFonts w:cstheme="minorHAnsi"/>
          <w:color w:val="000000"/>
          <w:sz w:val="24"/>
          <w:szCs w:val="24"/>
          <w:lang w:val="es-AR"/>
        </w:rPr>
        <w:t>CEDAW, RG 35, párr. 26.</w:t>
      </w:r>
    </w:p>
    <w:p w14:paraId="517F42EA" w14:textId="77777777" w:rsidR="00F2498F" w:rsidRPr="00F2498F" w:rsidRDefault="00F2498F" w:rsidP="00F2498F">
      <w:pPr>
        <w:numPr>
          <w:ilvl w:val="0"/>
          <w:numId w:val="11"/>
        </w:numPr>
        <w:spacing w:after="0" w:line="240" w:lineRule="auto"/>
        <w:jc w:val="both"/>
        <w:rPr>
          <w:rFonts w:cstheme="minorHAnsi"/>
          <w:color w:val="000000"/>
          <w:sz w:val="24"/>
          <w:szCs w:val="24"/>
          <w:lang w:val="es-AR"/>
        </w:rPr>
      </w:pPr>
      <w:r w:rsidRPr="00F2498F">
        <w:rPr>
          <w:rFonts w:cstheme="minorHAnsi"/>
          <w:color w:val="000000"/>
          <w:sz w:val="24"/>
          <w:szCs w:val="24"/>
          <w:lang w:val="es-AR"/>
        </w:rPr>
        <w:t>CEDAW, RG 28.</w:t>
      </w:r>
    </w:p>
    <w:p w14:paraId="1A36E36D" w14:textId="77777777" w:rsidR="00F2498F" w:rsidRPr="00F2498F" w:rsidRDefault="00F2498F" w:rsidP="00F2498F">
      <w:pPr>
        <w:numPr>
          <w:ilvl w:val="0"/>
          <w:numId w:val="11"/>
        </w:numPr>
        <w:spacing w:after="0" w:line="240" w:lineRule="auto"/>
        <w:jc w:val="both"/>
        <w:rPr>
          <w:rFonts w:cstheme="minorHAnsi"/>
          <w:color w:val="000000"/>
          <w:sz w:val="24"/>
          <w:szCs w:val="24"/>
          <w:lang w:val="es-AR"/>
        </w:rPr>
      </w:pPr>
      <w:r w:rsidRPr="00F2498F">
        <w:rPr>
          <w:rFonts w:cstheme="minorHAnsi"/>
          <w:color w:val="000000"/>
          <w:sz w:val="24"/>
          <w:szCs w:val="24"/>
          <w:lang w:val="es-AR"/>
        </w:rPr>
        <w:t xml:space="preserve">Comité DESC, </w:t>
      </w:r>
      <w:r w:rsidRPr="00F2498F">
        <w:rPr>
          <w:rFonts w:cstheme="minorHAnsi"/>
          <w:i/>
          <w:iCs/>
          <w:color w:val="000000"/>
          <w:sz w:val="24"/>
          <w:szCs w:val="24"/>
          <w:lang w:val="es-AR"/>
        </w:rPr>
        <w:t>IDG v. España</w:t>
      </w:r>
      <w:r w:rsidRPr="00F2498F">
        <w:rPr>
          <w:rFonts w:cstheme="minorHAnsi"/>
          <w:color w:val="000000"/>
          <w:sz w:val="24"/>
          <w:szCs w:val="24"/>
          <w:lang w:val="es-AR"/>
        </w:rPr>
        <w:t>.</w:t>
      </w:r>
    </w:p>
    <w:p w14:paraId="46BF8CF6" w14:textId="77777777" w:rsidR="00F2498F" w:rsidRPr="00F2498F" w:rsidRDefault="00F2498F" w:rsidP="00F2498F">
      <w:pPr>
        <w:numPr>
          <w:ilvl w:val="0"/>
          <w:numId w:val="11"/>
        </w:numPr>
        <w:spacing w:after="0" w:line="240" w:lineRule="auto"/>
        <w:jc w:val="both"/>
        <w:rPr>
          <w:rFonts w:cstheme="minorHAnsi"/>
          <w:color w:val="000000"/>
          <w:sz w:val="24"/>
          <w:szCs w:val="24"/>
          <w:lang w:val="es-AR"/>
        </w:rPr>
      </w:pPr>
      <w:r w:rsidRPr="00F2498F">
        <w:rPr>
          <w:rFonts w:cstheme="minorHAnsi"/>
          <w:color w:val="000000"/>
          <w:sz w:val="24"/>
          <w:szCs w:val="24"/>
          <w:lang w:val="es-AR"/>
        </w:rPr>
        <w:t xml:space="preserve">Corte IDH, </w:t>
      </w:r>
      <w:r w:rsidRPr="00F2498F">
        <w:rPr>
          <w:rFonts w:cstheme="minorHAnsi"/>
          <w:i/>
          <w:iCs/>
          <w:color w:val="000000"/>
          <w:sz w:val="24"/>
          <w:szCs w:val="24"/>
          <w:lang w:val="es-AR"/>
        </w:rPr>
        <w:t>Vicky Hernández vs. Honduras</w:t>
      </w:r>
      <w:r w:rsidRPr="00F2498F">
        <w:rPr>
          <w:rFonts w:cstheme="minorHAnsi"/>
          <w:color w:val="000000"/>
          <w:sz w:val="24"/>
          <w:szCs w:val="24"/>
          <w:lang w:val="es-AR"/>
        </w:rPr>
        <w:t>.</w:t>
      </w:r>
    </w:p>
    <w:p w14:paraId="3D8F9455" w14:textId="77777777" w:rsidR="00F2498F" w:rsidRPr="00F2498F" w:rsidRDefault="00EC443C" w:rsidP="00F2498F">
      <w:pPr>
        <w:spacing w:after="0" w:line="240" w:lineRule="auto"/>
        <w:jc w:val="both"/>
        <w:rPr>
          <w:rFonts w:cstheme="minorHAnsi"/>
          <w:color w:val="000000"/>
          <w:sz w:val="24"/>
          <w:szCs w:val="24"/>
          <w:lang w:val="es-AR"/>
        </w:rPr>
      </w:pPr>
      <w:r>
        <w:rPr>
          <w:rFonts w:cstheme="minorHAnsi"/>
          <w:color w:val="000000"/>
          <w:sz w:val="24"/>
          <w:szCs w:val="24"/>
          <w:lang w:val="es-AR"/>
        </w:rPr>
        <w:pict w14:anchorId="407E2E3A">
          <v:rect id="_x0000_i1036" style="width:0;height:1.5pt" o:hralign="center" o:hrstd="t" o:hr="t" fillcolor="#a0a0a0" stroked="f"/>
        </w:pict>
      </w:r>
    </w:p>
    <w:p w14:paraId="483A47FC" w14:textId="22F0FFE8" w:rsidR="00F2498F" w:rsidRPr="00F2498F" w:rsidRDefault="00F2498F" w:rsidP="00F2498F">
      <w:pPr>
        <w:spacing w:after="0" w:line="240" w:lineRule="auto"/>
        <w:jc w:val="both"/>
        <w:rPr>
          <w:rFonts w:cstheme="minorHAnsi"/>
          <w:color w:val="000000"/>
          <w:sz w:val="24"/>
          <w:szCs w:val="24"/>
          <w:lang w:val="es-AR"/>
        </w:rPr>
      </w:pPr>
    </w:p>
    <w:p w14:paraId="28E37447" w14:textId="7707AB00" w:rsidR="00383B89" w:rsidRPr="008519F9" w:rsidRDefault="00383B89" w:rsidP="00F149F1">
      <w:pPr>
        <w:spacing w:after="0" w:line="240" w:lineRule="auto"/>
        <w:jc w:val="both"/>
        <w:rPr>
          <w:rFonts w:cstheme="minorHAnsi"/>
          <w:color w:val="000000"/>
          <w:sz w:val="24"/>
          <w:szCs w:val="24"/>
          <w:lang w:val="es-ES"/>
        </w:rPr>
      </w:pPr>
    </w:p>
    <w:sectPr w:rsidR="00383B89" w:rsidRPr="008519F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DF8585" w14:textId="77777777" w:rsidR="00EC443C" w:rsidRDefault="00EC443C" w:rsidP="00026894">
      <w:pPr>
        <w:spacing w:after="0" w:line="240" w:lineRule="auto"/>
      </w:pPr>
      <w:r>
        <w:separator/>
      </w:r>
    </w:p>
  </w:endnote>
  <w:endnote w:type="continuationSeparator" w:id="0">
    <w:p w14:paraId="27CFE518" w14:textId="77777777" w:rsidR="00EC443C" w:rsidRDefault="00EC443C" w:rsidP="000268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ACFD19" w14:textId="77777777" w:rsidR="00EC443C" w:rsidRDefault="00EC443C" w:rsidP="00026894">
      <w:pPr>
        <w:spacing w:after="0" w:line="240" w:lineRule="auto"/>
      </w:pPr>
      <w:r>
        <w:separator/>
      </w:r>
    </w:p>
  </w:footnote>
  <w:footnote w:type="continuationSeparator" w:id="0">
    <w:p w14:paraId="5EF1C0F4" w14:textId="77777777" w:rsidR="00EC443C" w:rsidRDefault="00EC443C" w:rsidP="0002689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404617"/>
    <w:multiLevelType w:val="multilevel"/>
    <w:tmpl w:val="2FC4B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6B0014D"/>
    <w:multiLevelType w:val="multilevel"/>
    <w:tmpl w:val="141A8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BCC6044"/>
    <w:multiLevelType w:val="multilevel"/>
    <w:tmpl w:val="D47C40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48356B2"/>
    <w:multiLevelType w:val="multilevel"/>
    <w:tmpl w:val="5A7A4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36F3B2F"/>
    <w:multiLevelType w:val="multilevel"/>
    <w:tmpl w:val="7EEE0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ACD68A4"/>
    <w:multiLevelType w:val="multilevel"/>
    <w:tmpl w:val="4BA6A1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2153DB8"/>
    <w:multiLevelType w:val="multilevel"/>
    <w:tmpl w:val="0B948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6163F8B"/>
    <w:multiLevelType w:val="multilevel"/>
    <w:tmpl w:val="0AB40EDA"/>
    <w:lvl w:ilvl="0">
      <w:start w:val="1"/>
      <w:numFmt w:val="none"/>
      <w:suff w:val="nothing"/>
      <w:lvlText w:val=""/>
      <w:lvlJc w:val="left"/>
      <w:pPr>
        <w:ind w:left="0" w:firstLine="0"/>
      </w:pPr>
      <w:rPr>
        <w:position w:val="0"/>
        <w:sz w:val="20"/>
        <w:vertAlign w:val="baseline"/>
      </w:rPr>
    </w:lvl>
    <w:lvl w:ilvl="1">
      <w:start w:val="1"/>
      <w:numFmt w:val="none"/>
      <w:suff w:val="nothing"/>
      <w:lvlText w:val=""/>
      <w:lvlJc w:val="left"/>
      <w:pPr>
        <w:ind w:left="0" w:firstLine="0"/>
      </w:pPr>
      <w:rPr>
        <w:position w:val="0"/>
        <w:sz w:val="24"/>
        <w:vertAlign w:val="baseline"/>
      </w:rPr>
    </w:lvl>
    <w:lvl w:ilvl="2">
      <w:start w:val="1"/>
      <w:numFmt w:val="none"/>
      <w:suff w:val="nothing"/>
      <w:lvlText w:val=""/>
      <w:lvlJc w:val="left"/>
      <w:pPr>
        <w:ind w:left="0" w:firstLine="0"/>
      </w:pPr>
      <w:rPr>
        <w:position w:val="0"/>
        <w:sz w:val="24"/>
        <w:vertAlign w:val="baseline"/>
      </w:rPr>
    </w:lvl>
    <w:lvl w:ilvl="3">
      <w:start w:val="1"/>
      <w:numFmt w:val="none"/>
      <w:suff w:val="nothing"/>
      <w:lvlText w:val=""/>
      <w:lvlJc w:val="left"/>
      <w:pPr>
        <w:ind w:left="0" w:firstLine="0"/>
      </w:pPr>
      <w:rPr>
        <w:position w:val="0"/>
        <w:sz w:val="24"/>
        <w:vertAlign w:val="baseline"/>
      </w:rPr>
    </w:lvl>
    <w:lvl w:ilvl="4">
      <w:start w:val="1"/>
      <w:numFmt w:val="none"/>
      <w:suff w:val="nothing"/>
      <w:lvlText w:val=""/>
      <w:lvlJc w:val="left"/>
      <w:pPr>
        <w:ind w:left="0" w:firstLine="0"/>
      </w:pPr>
      <w:rPr>
        <w:position w:val="0"/>
        <w:sz w:val="24"/>
        <w:vertAlign w:val="baseline"/>
      </w:rPr>
    </w:lvl>
    <w:lvl w:ilvl="5">
      <w:start w:val="1"/>
      <w:numFmt w:val="none"/>
      <w:suff w:val="nothing"/>
      <w:lvlText w:val=""/>
      <w:lvlJc w:val="left"/>
      <w:pPr>
        <w:ind w:left="0" w:firstLine="0"/>
      </w:pPr>
      <w:rPr>
        <w:position w:val="0"/>
        <w:sz w:val="24"/>
        <w:vertAlign w:val="baseline"/>
      </w:rPr>
    </w:lvl>
    <w:lvl w:ilvl="6">
      <w:start w:val="1"/>
      <w:numFmt w:val="none"/>
      <w:suff w:val="nothing"/>
      <w:lvlText w:val=""/>
      <w:lvlJc w:val="left"/>
      <w:pPr>
        <w:ind w:left="0" w:firstLine="0"/>
      </w:pPr>
      <w:rPr>
        <w:position w:val="0"/>
        <w:sz w:val="24"/>
        <w:vertAlign w:val="baseline"/>
      </w:rPr>
    </w:lvl>
    <w:lvl w:ilvl="7">
      <w:start w:val="1"/>
      <w:numFmt w:val="none"/>
      <w:suff w:val="nothing"/>
      <w:lvlText w:val=""/>
      <w:lvlJc w:val="left"/>
      <w:pPr>
        <w:ind w:left="0" w:firstLine="0"/>
      </w:pPr>
      <w:rPr>
        <w:position w:val="0"/>
        <w:sz w:val="24"/>
        <w:vertAlign w:val="baseline"/>
      </w:rPr>
    </w:lvl>
    <w:lvl w:ilvl="8">
      <w:start w:val="1"/>
      <w:numFmt w:val="none"/>
      <w:suff w:val="nothing"/>
      <w:lvlText w:val=""/>
      <w:lvlJc w:val="left"/>
      <w:pPr>
        <w:ind w:left="0" w:firstLine="0"/>
      </w:pPr>
      <w:rPr>
        <w:position w:val="0"/>
        <w:sz w:val="24"/>
        <w:vertAlign w:val="baseline"/>
      </w:rPr>
    </w:lvl>
  </w:abstractNum>
  <w:abstractNum w:abstractNumId="8">
    <w:nsid w:val="59D5071E"/>
    <w:multiLevelType w:val="multilevel"/>
    <w:tmpl w:val="78061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DFA0DE5"/>
    <w:multiLevelType w:val="multilevel"/>
    <w:tmpl w:val="768EC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E125D88"/>
    <w:multiLevelType w:val="multilevel"/>
    <w:tmpl w:val="05D04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0"/>
  </w:num>
  <w:num w:numId="3">
    <w:abstractNumId w:val="0"/>
  </w:num>
  <w:num w:numId="4">
    <w:abstractNumId w:val="9"/>
  </w:num>
  <w:num w:numId="5">
    <w:abstractNumId w:val="8"/>
  </w:num>
  <w:num w:numId="6">
    <w:abstractNumId w:val="6"/>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6894"/>
    <w:rsid w:val="00013A25"/>
    <w:rsid w:val="00026894"/>
    <w:rsid w:val="00027AE2"/>
    <w:rsid w:val="00050ED7"/>
    <w:rsid w:val="0006431C"/>
    <w:rsid w:val="00083FF9"/>
    <w:rsid w:val="000E4AC8"/>
    <w:rsid w:val="000F3E16"/>
    <w:rsid w:val="00100CBA"/>
    <w:rsid w:val="00106020"/>
    <w:rsid w:val="001353E7"/>
    <w:rsid w:val="00156D70"/>
    <w:rsid w:val="00171789"/>
    <w:rsid w:val="0017213D"/>
    <w:rsid w:val="0017430A"/>
    <w:rsid w:val="0023019A"/>
    <w:rsid w:val="00257D13"/>
    <w:rsid w:val="002852ED"/>
    <w:rsid w:val="002C4B25"/>
    <w:rsid w:val="002D4EA4"/>
    <w:rsid w:val="002D7486"/>
    <w:rsid w:val="002E639A"/>
    <w:rsid w:val="00304AE6"/>
    <w:rsid w:val="003661C9"/>
    <w:rsid w:val="00383B89"/>
    <w:rsid w:val="003C5504"/>
    <w:rsid w:val="004248D9"/>
    <w:rsid w:val="00451A5D"/>
    <w:rsid w:val="00480EF2"/>
    <w:rsid w:val="004E3C80"/>
    <w:rsid w:val="0056106C"/>
    <w:rsid w:val="0059157E"/>
    <w:rsid w:val="00597E00"/>
    <w:rsid w:val="005A0C75"/>
    <w:rsid w:val="00607C2C"/>
    <w:rsid w:val="00694FA0"/>
    <w:rsid w:val="006F7DC3"/>
    <w:rsid w:val="00707740"/>
    <w:rsid w:val="00726B24"/>
    <w:rsid w:val="00772AAD"/>
    <w:rsid w:val="007867D9"/>
    <w:rsid w:val="0079222E"/>
    <w:rsid w:val="007D11E6"/>
    <w:rsid w:val="00802F7F"/>
    <w:rsid w:val="008264EF"/>
    <w:rsid w:val="008519F9"/>
    <w:rsid w:val="00870DC3"/>
    <w:rsid w:val="00887365"/>
    <w:rsid w:val="008A6B07"/>
    <w:rsid w:val="008E05A4"/>
    <w:rsid w:val="008E2D54"/>
    <w:rsid w:val="00931C4E"/>
    <w:rsid w:val="009915E3"/>
    <w:rsid w:val="009C2CB2"/>
    <w:rsid w:val="009E1908"/>
    <w:rsid w:val="00A404D1"/>
    <w:rsid w:val="00AC1F7B"/>
    <w:rsid w:val="00B0277E"/>
    <w:rsid w:val="00B24815"/>
    <w:rsid w:val="00B27561"/>
    <w:rsid w:val="00C2088B"/>
    <w:rsid w:val="00C378FD"/>
    <w:rsid w:val="00C5502A"/>
    <w:rsid w:val="00C71FC5"/>
    <w:rsid w:val="00C76703"/>
    <w:rsid w:val="00C93BC0"/>
    <w:rsid w:val="00CB6EF6"/>
    <w:rsid w:val="00CD7CCB"/>
    <w:rsid w:val="00D17EE8"/>
    <w:rsid w:val="00D22383"/>
    <w:rsid w:val="00D51B17"/>
    <w:rsid w:val="00D710E6"/>
    <w:rsid w:val="00DB58E0"/>
    <w:rsid w:val="00DD4EB2"/>
    <w:rsid w:val="00DE2322"/>
    <w:rsid w:val="00EB0B20"/>
    <w:rsid w:val="00EC443C"/>
    <w:rsid w:val="00F027AC"/>
    <w:rsid w:val="00F149F1"/>
    <w:rsid w:val="00F21E84"/>
    <w:rsid w:val="00F2498F"/>
    <w:rsid w:val="00F65E7A"/>
    <w:rsid w:val="00F870B7"/>
    <w:rsid w:val="00F945C8"/>
    <w:rsid w:val="00F97320"/>
    <w:rsid w:val="00FB255F"/>
    <w:rsid w:val="00FC0A87"/>
    <w:rsid w:val="00FD3537"/>
    <w:rsid w:val="00FF78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09A32"/>
  <w15:chartTrackingRefBased/>
  <w15:docId w15:val="{07601014-3036-483E-ABEA-E2AF2227D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F2498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F2498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F2498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5">
    <w:name w:val="heading 5"/>
    <w:basedOn w:val="Normal"/>
    <w:link w:val="Ttulo5Car"/>
    <w:uiPriority w:val="99"/>
    <w:qFormat/>
    <w:rsid w:val="00026894"/>
    <w:pPr>
      <w:spacing w:before="100" w:beforeAutospacing="1" w:after="100" w:afterAutospacing="1" w:line="240" w:lineRule="auto"/>
      <w:outlineLvl w:val="4"/>
    </w:pPr>
    <w:rPr>
      <w:rFonts w:ascii="Times New Roman" w:eastAsia="Calibri" w:hAnsi="Times New Roman" w:cs="Times New Roman"/>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26894"/>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026894"/>
  </w:style>
  <w:style w:type="paragraph" w:styleId="Piedepgina">
    <w:name w:val="footer"/>
    <w:basedOn w:val="Normal"/>
    <w:link w:val="PiedepginaCar"/>
    <w:uiPriority w:val="99"/>
    <w:unhideWhenUsed/>
    <w:rsid w:val="00026894"/>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026894"/>
  </w:style>
  <w:style w:type="character" w:customStyle="1" w:styleId="Ttulo5Car">
    <w:name w:val="Título 5 Car"/>
    <w:basedOn w:val="Fuentedeprrafopredeter"/>
    <w:link w:val="Ttulo5"/>
    <w:uiPriority w:val="99"/>
    <w:rsid w:val="00026894"/>
    <w:rPr>
      <w:rFonts w:ascii="Times New Roman" w:eastAsia="Calibri" w:hAnsi="Times New Roman" w:cs="Times New Roman"/>
      <w:b/>
      <w:bCs/>
      <w:sz w:val="20"/>
      <w:szCs w:val="20"/>
    </w:rPr>
  </w:style>
  <w:style w:type="character" w:styleId="Hipervnculo">
    <w:name w:val="Hyperlink"/>
    <w:basedOn w:val="Fuentedeprrafopredeter"/>
    <w:uiPriority w:val="99"/>
    <w:semiHidden/>
    <w:unhideWhenUsed/>
    <w:rsid w:val="00C378FD"/>
    <w:rPr>
      <w:color w:val="0000FF"/>
      <w:u w:val="single"/>
    </w:rPr>
  </w:style>
  <w:style w:type="paragraph" w:styleId="Prrafodelista">
    <w:name w:val="List Paragraph"/>
    <w:basedOn w:val="Normal"/>
    <w:uiPriority w:val="34"/>
    <w:qFormat/>
    <w:rsid w:val="005A0C75"/>
    <w:pPr>
      <w:spacing w:after="0" w:line="240" w:lineRule="auto"/>
      <w:ind w:left="720"/>
      <w:contextualSpacing/>
    </w:pPr>
    <w:rPr>
      <w:rFonts w:ascii="Arial" w:eastAsia="Arial" w:hAnsi="Arial" w:cs="Arial"/>
      <w:sz w:val="24"/>
      <w:szCs w:val="24"/>
      <w:lang w:val="es-AR" w:eastAsia="es-AR"/>
    </w:rPr>
  </w:style>
  <w:style w:type="character" w:customStyle="1" w:styleId="textocontenidonormal1">
    <w:name w:val="textocontenidonormal1"/>
    <w:rsid w:val="00013A25"/>
    <w:rPr>
      <w:rFonts w:ascii="Arial" w:hAnsi="Arial" w:cs="Arial" w:hint="default"/>
      <w:color w:val="000000"/>
      <w:sz w:val="20"/>
      <w:szCs w:val="20"/>
    </w:rPr>
  </w:style>
  <w:style w:type="character" w:customStyle="1" w:styleId="Ttulo1Car">
    <w:name w:val="Título 1 Car"/>
    <w:basedOn w:val="Fuentedeprrafopredeter"/>
    <w:link w:val="Ttulo1"/>
    <w:uiPriority w:val="9"/>
    <w:rsid w:val="00F2498F"/>
    <w:rPr>
      <w:rFonts w:asciiTheme="majorHAnsi" w:eastAsiaTheme="majorEastAsia" w:hAnsiTheme="majorHAnsi" w:cstheme="majorBidi"/>
      <w:color w:val="2F5496" w:themeColor="accent1" w:themeShade="BF"/>
      <w:sz w:val="32"/>
      <w:szCs w:val="32"/>
    </w:rPr>
  </w:style>
  <w:style w:type="character" w:customStyle="1" w:styleId="Ttulo2Car">
    <w:name w:val="Título 2 Car"/>
    <w:basedOn w:val="Fuentedeprrafopredeter"/>
    <w:link w:val="Ttulo2"/>
    <w:uiPriority w:val="9"/>
    <w:semiHidden/>
    <w:rsid w:val="00F2498F"/>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F2498F"/>
    <w:rPr>
      <w:rFonts w:asciiTheme="majorHAnsi" w:eastAsiaTheme="majorEastAsia" w:hAnsiTheme="majorHAnsi" w:cstheme="majorBidi"/>
      <w:color w:val="1F3763" w:themeColor="accent1" w:themeShade="7F"/>
      <w:sz w:val="24"/>
      <w:szCs w:val="24"/>
    </w:rPr>
  </w:style>
  <w:style w:type="paragraph" w:styleId="Revisin">
    <w:name w:val="Revision"/>
    <w:hidden/>
    <w:uiPriority w:val="99"/>
    <w:semiHidden/>
    <w:rsid w:val="00C7670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37430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1299</Words>
  <Characters>7150</Characters>
  <Application>Microsoft Office Word</Application>
  <DocSecurity>0</DocSecurity>
  <Lines>59</Lines>
  <Paragraphs>16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8433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Ramos, Vanessa (CCHR)</dc:creator>
  <cp:keywords/>
  <dc:description/>
  <cp:lastModifiedBy>Usuario de Windows</cp:lastModifiedBy>
  <cp:revision>2</cp:revision>
  <cp:lastPrinted>2026-01-04T17:25:00Z</cp:lastPrinted>
  <dcterms:created xsi:type="dcterms:W3CDTF">2026-01-04T17:53:00Z</dcterms:created>
  <dcterms:modified xsi:type="dcterms:W3CDTF">2026-01-04T17:53:00Z</dcterms:modified>
</cp:coreProperties>
</file>