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BE462A" w14:paraId="07FC1516" w14:textId="77777777">
        <w:trPr>
          <w:cantSplit/>
          <w:trHeight w:hRule="exact" w:val="851"/>
        </w:trPr>
        <w:tc>
          <w:tcPr>
            <w:tcW w:w="1276" w:type="dxa"/>
            <w:tcBorders>
              <w:bottom w:val="single" w:sz="4" w:space="0" w:color="auto"/>
            </w:tcBorders>
            <w:vAlign w:val="bottom"/>
          </w:tcPr>
          <w:p w14:paraId="7D48D451" w14:textId="77777777" w:rsidR="00023A38" w:rsidRDefault="00023A38">
            <w:pPr>
              <w:spacing w:after="80"/>
            </w:pPr>
          </w:p>
        </w:tc>
        <w:tc>
          <w:tcPr>
            <w:tcW w:w="2268" w:type="dxa"/>
            <w:tcBorders>
              <w:bottom w:val="single" w:sz="4" w:space="0" w:color="auto"/>
            </w:tcBorders>
            <w:vAlign w:val="bottom"/>
          </w:tcPr>
          <w:p w14:paraId="6E062228" w14:textId="1D3A74FD" w:rsidR="00023A38" w:rsidRDefault="00023A38">
            <w:pPr>
              <w:spacing w:after="80" w:line="300" w:lineRule="exact"/>
              <w:rPr>
                <w:b/>
                <w:sz w:val="24"/>
                <w:szCs w:val="24"/>
              </w:rPr>
            </w:pPr>
          </w:p>
        </w:tc>
        <w:tc>
          <w:tcPr>
            <w:tcW w:w="6095" w:type="dxa"/>
            <w:gridSpan w:val="2"/>
            <w:tcBorders>
              <w:bottom w:val="single" w:sz="4" w:space="0" w:color="auto"/>
            </w:tcBorders>
            <w:vAlign w:val="bottom"/>
          </w:tcPr>
          <w:p w14:paraId="7C5946BF" w14:textId="77777777" w:rsidR="00023A38" w:rsidRDefault="00EC51B7">
            <w:pPr>
              <w:suppressAutoHyphens w:val="0"/>
              <w:spacing w:after="20"/>
              <w:jc w:val="right"/>
            </w:pPr>
            <w:r>
              <w:rPr>
                <w:sz w:val="40"/>
              </w:rPr>
              <w:t>CEDAW</w:t>
            </w:r>
            <w:r>
              <w:t>/C/NAM/FCO/6</w:t>
            </w:r>
          </w:p>
        </w:tc>
      </w:tr>
      <w:tr w:rsidR="00BE462A" w14:paraId="01ABAEEA" w14:textId="77777777">
        <w:trPr>
          <w:cantSplit/>
          <w:trHeight w:hRule="exact" w:val="2835"/>
        </w:trPr>
        <w:tc>
          <w:tcPr>
            <w:tcW w:w="1276" w:type="dxa"/>
            <w:tcBorders>
              <w:top w:val="single" w:sz="4" w:space="0" w:color="auto"/>
              <w:bottom w:val="single" w:sz="12" w:space="0" w:color="auto"/>
            </w:tcBorders>
          </w:tcPr>
          <w:p w14:paraId="6CC19EAB" w14:textId="66A6C7AE" w:rsidR="00023A38" w:rsidRDefault="00023A38">
            <w:pPr>
              <w:spacing w:before="120"/>
              <w:jc w:val="center"/>
            </w:pPr>
          </w:p>
        </w:tc>
        <w:tc>
          <w:tcPr>
            <w:tcW w:w="5528" w:type="dxa"/>
            <w:gridSpan w:val="2"/>
            <w:tcBorders>
              <w:top w:val="single" w:sz="4" w:space="0" w:color="auto"/>
              <w:bottom w:val="single" w:sz="12" w:space="0" w:color="auto"/>
            </w:tcBorders>
          </w:tcPr>
          <w:p w14:paraId="5AF0F05E" w14:textId="71B39366" w:rsidR="00023A38" w:rsidRDefault="00EC51B7">
            <w:pPr>
              <w:spacing w:before="120" w:line="380" w:lineRule="exact"/>
              <w:rPr>
                <w:b/>
                <w:sz w:val="34"/>
                <w:szCs w:val="40"/>
              </w:rPr>
            </w:pPr>
            <w:r>
              <w:rPr>
                <w:b/>
                <w:sz w:val="34"/>
                <w:szCs w:val="40"/>
              </w:rPr>
              <w:t>Advance unedited version</w:t>
            </w:r>
          </w:p>
        </w:tc>
        <w:tc>
          <w:tcPr>
            <w:tcW w:w="2835" w:type="dxa"/>
            <w:tcBorders>
              <w:top w:val="single" w:sz="4" w:space="0" w:color="auto"/>
              <w:bottom w:val="single" w:sz="12" w:space="0" w:color="auto"/>
            </w:tcBorders>
          </w:tcPr>
          <w:p w14:paraId="684235DD" w14:textId="77777777" w:rsidR="00023A38" w:rsidRPr="00525F7C" w:rsidRDefault="00EC51B7">
            <w:pPr>
              <w:suppressAutoHyphens w:val="0"/>
              <w:spacing w:before="240" w:line="240" w:lineRule="exact"/>
              <w:rPr>
                <w:lang w:val="en-US"/>
              </w:rPr>
            </w:pPr>
            <w:r w:rsidRPr="00525F7C">
              <w:rPr>
                <w:lang w:val="en-US"/>
              </w:rPr>
              <w:t>Distr.: General</w:t>
            </w:r>
          </w:p>
          <w:p w14:paraId="4F1958D1" w14:textId="48225870" w:rsidR="00023A38" w:rsidRPr="00525F7C" w:rsidRDefault="00191D67">
            <w:pPr>
              <w:suppressAutoHyphens w:val="0"/>
              <w:rPr>
                <w:lang w:val="en-US"/>
              </w:rPr>
            </w:pPr>
            <w:r>
              <w:rPr>
                <w:lang w:val="en-US"/>
              </w:rPr>
              <w:t>7</w:t>
            </w:r>
            <w:r w:rsidR="007F4501" w:rsidRPr="00525F7C">
              <w:rPr>
                <w:lang w:val="en-US"/>
              </w:rPr>
              <w:t xml:space="preserve"> January 2025</w:t>
            </w:r>
          </w:p>
          <w:p w14:paraId="1A713B98" w14:textId="77777777" w:rsidR="00023A38" w:rsidRPr="00525F7C" w:rsidRDefault="00023A38">
            <w:pPr>
              <w:suppressAutoHyphens w:val="0"/>
              <w:rPr>
                <w:lang w:val="en-US"/>
              </w:rPr>
            </w:pPr>
          </w:p>
          <w:p w14:paraId="0507FEC1" w14:textId="77777777" w:rsidR="00023A38" w:rsidRPr="00525F7C" w:rsidRDefault="00EC51B7">
            <w:pPr>
              <w:suppressAutoHyphens w:val="0"/>
              <w:rPr>
                <w:lang w:val="en-US"/>
              </w:rPr>
            </w:pPr>
            <w:r w:rsidRPr="00525F7C">
              <w:rPr>
                <w:lang w:val="en-US"/>
              </w:rPr>
              <w:t>Original: English</w:t>
            </w:r>
          </w:p>
          <w:p w14:paraId="1EC4DEFF" w14:textId="77777777" w:rsidR="00023A38" w:rsidRDefault="007F4501">
            <w:pPr>
              <w:suppressAutoHyphens w:val="0"/>
            </w:pPr>
            <w:r>
              <w:t>English, French and Spanish only</w:t>
            </w:r>
          </w:p>
        </w:tc>
      </w:tr>
    </w:tbl>
    <w:p w14:paraId="3261E50E" w14:textId="77777777" w:rsidR="00023A38" w:rsidRDefault="00EC51B7">
      <w:pPr>
        <w:spacing w:before="120"/>
        <w:rPr>
          <w:b/>
          <w:sz w:val="24"/>
          <w:szCs w:val="24"/>
        </w:rPr>
      </w:pPr>
      <w:r>
        <w:rPr>
          <w:b/>
          <w:sz w:val="24"/>
          <w:szCs w:val="24"/>
        </w:rPr>
        <w:t xml:space="preserve">Committee on the Elimination of Discrimination </w:t>
      </w:r>
      <w:r>
        <w:rPr>
          <w:b/>
          <w:sz w:val="24"/>
          <w:szCs w:val="24"/>
        </w:rPr>
        <w:br/>
        <w:t>against Women</w:t>
      </w:r>
    </w:p>
    <w:p w14:paraId="709D1DB5" w14:textId="11035CAD" w:rsidR="00023A38" w:rsidRDefault="00EC51B7" w:rsidP="004A43A3">
      <w:pPr>
        <w:pStyle w:val="HMG"/>
      </w:pPr>
      <w:r>
        <w:tab/>
      </w:r>
      <w:r>
        <w:tab/>
      </w:r>
      <w:r w:rsidR="003D6145">
        <w:t>Information received from Namibia on follow-up to the concl</w:t>
      </w:r>
      <w:r>
        <w:t xml:space="preserve">uding observations on </w:t>
      </w:r>
      <w:r w:rsidR="003D6145">
        <w:t>its</w:t>
      </w:r>
      <w:r>
        <w:t xml:space="preserve"> </w:t>
      </w:r>
      <w:r w:rsidR="00737760">
        <w:t>sixth periodic report</w:t>
      </w:r>
      <w:r>
        <w:rPr>
          <w:rStyle w:val="FootnoteReference"/>
          <w:b w:val="0"/>
          <w:sz w:val="20"/>
          <w:vertAlign w:val="baseline"/>
        </w:rPr>
        <w:footnoteReference w:customMarkFollows="1" w:id="2"/>
        <w:t>*</w:t>
      </w:r>
    </w:p>
    <w:p w14:paraId="56898E81" w14:textId="732B4112" w:rsidR="00023A38" w:rsidRDefault="00EC51B7">
      <w:pPr>
        <w:pStyle w:val="SingleTxtG"/>
        <w:jc w:val="right"/>
      </w:pPr>
      <w:r>
        <w:t xml:space="preserve">[Date received: </w:t>
      </w:r>
      <w:r w:rsidR="00525F7C">
        <w:t>30 December 2024</w:t>
      </w:r>
      <w:r>
        <w:t>]</w:t>
      </w:r>
    </w:p>
    <w:p w14:paraId="325FD293" w14:textId="463D0AC6" w:rsidR="00525F7C" w:rsidRDefault="00525F7C">
      <w:pPr>
        <w:suppressAutoHyphens w:val="0"/>
        <w:spacing w:after="200" w:line="276" w:lineRule="auto"/>
        <w:rPr>
          <w:rFonts w:eastAsiaTheme="minorHAnsi"/>
        </w:rPr>
      </w:pPr>
      <w:r>
        <w:br w:type="page"/>
      </w:r>
    </w:p>
    <w:p w14:paraId="6D868FF4" w14:textId="200A2BEE" w:rsidR="00CC6737" w:rsidRPr="00CC6737" w:rsidRDefault="00245757" w:rsidP="00245757">
      <w:pPr>
        <w:pStyle w:val="HChG"/>
        <w:rPr>
          <w:lang w:val="en-US"/>
        </w:rPr>
      </w:pPr>
      <w:r>
        <w:rPr>
          <w:lang w:val="en-US"/>
        </w:rPr>
        <w:lastRenderedPageBreak/>
        <w:tab/>
      </w:r>
      <w:r>
        <w:rPr>
          <w:lang w:val="en-US"/>
        </w:rPr>
        <w:tab/>
      </w:r>
      <w:r w:rsidRPr="00CC6737">
        <w:rPr>
          <w:lang w:val="en-US"/>
        </w:rPr>
        <w:t>Introduction</w:t>
      </w:r>
    </w:p>
    <w:p w14:paraId="5E4D78FA" w14:textId="77777777" w:rsidR="00CC6737" w:rsidRPr="00CC6737" w:rsidRDefault="00CC6737" w:rsidP="00245757">
      <w:pPr>
        <w:pStyle w:val="SingleTxtG"/>
        <w:numPr>
          <w:ilvl w:val="0"/>
          <w:numId w:val="21"/>
        </w:numPr>
        <w:ind w:left="1134" w:firstLine="0"/>
        <w:rPr>
          <w:lang w:val="en-US"/>
        </w:rPr>
      </w:pPr>
      <w:r w:rsidRPr="00CC6737">
        <w:rPr>
          <w:lang w:val="en-US"/>
        </w:rPr>
        <w:t xml:space="preserve">Namibia presented its sixth periodic reports to the Committee on the Elimination of Discrimination against Women (CEDAW) in June 2022. At the end of that session, the Committee’s concluding observations (CEDAW/C/NAM/CO/6) were transmitted to Namibia Permanent Mission. The Committee requested Namibia to provide, within two years, written information on the steps taken to implement the recommendations contained in </w:t>
      </w:r>
      <w:r w:rsidRPr="00CC6737">
        <w:rPr>
          <w:bCs/>
          <w:lang w:val="en-US"/>
        </w:rPr>
        <w:t>paragraphs 12 (b), 16 (a), 28 (d) and 54 (b) of the concluding observations</w:t>
      </w:r>
      <w:r w:rsidRPr="00CC6737">
        <w:rPr>
          <w:lang w:val="en-US"/>
        </w:rPr>
        <w:t xml:space="preserve">, </w:t>
      </w:r>
    </w:p>
    <w:p w14:paraId="5D26FA0B" w14:textId="77777777" w:rsidR="00CC6737" w:rsidRPr="00CC6737" w:rsidRDefault="00CC6737" w:rsidP="00245757">
      <w:pPr>
        <w:pStyle w:val="SingleTxtG"/>
        <w:numPr>
          <w:ilvl w:val="0"/>
          <w:numId w:val="21"/>
        </w:numPr>
        <w:ind w:left="1134" w:firstLine="0"/>
        <w:rPr>
          <w:lang w:val="en-US"/>
        </w:rPr>
      </w:pPr>
      <w:r w:rsidRPr="00CC6737">
        <w:rPr>
          <w:lang w:val="en-US"/>
        </w:rPr>
        <w:t>Namely: “</w:t>
      </w:r>
      <w:bookmarkStart w:id="0" w:name="_Hlk184295385"/>
      <w:r w:rsidRPr="00CC6737">
        <w:rPr>
          <w:lang w:val="en-US"/>
        </w:rPr>
        <w:t xml:space="preserve">12. Recalling its previous recommendations (CEDAW/C/NAM/CO/4-5, para. 9), the Committee recommends that the State party: (b) Strengthen efforts to establish a national database, containing gender-disaggregated data, to track the implementation of the recommendations of the Committee.” </w:t>
      </w:r>
    </w:p>
    <w:bookmarkEnd w:id="0"/>
    <w:p w14:paraId="3B534F10" w14:textId="77777777" w:rsidR="00CC6737" w:rsidRPr="00CC6737" w:rsidRDefault="00CC6737" w:rsidP="00245757">
      <w:pPr>
        <w:pStyle w:val="SingleTxtG"/>
        <w:numPr>
          <w:ilvl w:val="0"/>
          <w:numId w:val="21"/>
        </w:numPr>
        <w:ind w:left="1134" w:firstLine="0"/>
        <w:rPr>
          <w:lang w:val="en-US"/>
        </w:rPr>
      </w:pPr>
      <w:r w:rsidRPr="00CC6737">
        <w:rPr>
          <w:lang w:val="en-US"/>
        </w:rPr>
        <w:t>“</w:t>
      </w:r>
      <w:bookmarkStart w:id="1" w:name="_Hlk184295821"/>
      <w:r w:rsidRPr="00CC6737">
        <w:rPr>
          <w:lang w:val="en-US"/>
        </w:rPr>
        <w:t xml:space="preserve">16 (a)Recalling its general recommendation No. 28 (2010) on the core obligations of States parties under article 2 of the Convention and the Committee’s previous concluding observations (CEDAW/C/NAM/CO/4-5, para. 11), the Committee recommends that the State party: (a) Accelerate the adoption of all bills aimed at ensuring formal and substantive equality of women and men, and incorporate a gender-sensitive approach in all relevant legislation.” </w:t>
      </w:r>
    </w:p>
    <w:bookmarkEnd w:id="1"/>
    <w:p w14:paraId="060CF534" w14:textId="77777777" w:rsidR="00CC6737" w:rsidRPr="00CC6737" w:rsidRDefault="00CC6737" w:rsidP="00245757">
      <w:pPr>
        <w:pStyle w:val="SingleTxtG"/>
        <w:numPr>
          <w:ilvl w:val="0"/>
          <w:numId w:val="21"/>
        </w:numPr>
        <w:ind w:left="1134" w:firstLine="0"/>
        <w:rPr>
          <w:b/>
          <w:bCs/>
          <w:lang w:val="en-US"/>
        </w:rPr>
      </w:pPr>
      <w:r w:rsidRPr="00CC6737">
        <w:rPr>
          <w:lang w:val="en-US"/>
        </w:rPr>
        <w:t>28. Recalling its general recommendation No. 35 (2017) on gender-based violence against women, updating general recommendation No. 19, the Committee recommends that the State party: (d) Ensure that police officers trained in responding to gender-based violence are based at each police station, and ensure effective access to protection orders, reparations, shelters and psychosocial treatment and counselling for women and girls who  are victims of gender-based violence in all parts of the State party.</w:t>
      </w:r>
    </w:p>
    <w:p w14:paraId="3A277DF2" w14:textId="77777777" w:rsidR="00CC6737" w:rsidRPr="00CC6737" w:rsidRDefault="00CC6737" w:rsidP="00245757">
      <w:pPr>
        <w:pStyle w:val="SingleTxtG"/>
        <w:numPr>
          <w:ilvl w:val="0"/>
          <w:numId w:val="21"/>
        </w:numPr>
        <w:ind w:left="1134" w:firstLine="0"/>
        <w:rPr>
          <w:lang w:val="en-US"/>
        </w:rPr>
      </w:pPr>
      <w:r w:rsidRPr="00CC6737">
        <w:rPr>
          <w:lang w:val="en-US"/>
        </w:rPr>
        <w:t xml:space="preserve">“54. Recalling its general recommendation No. 21 (1994) on equality in marriage and family relations and its general recommendation No. 29 (2013) on the economic consequences of marriage, family relations and their dissolution, the Committee recommends that the State party: (b) Amend the Child Care and Protection Act (No. 3 of 2015) and the Marriage Act (No. 25 of 1961) to remove all exceptions to the minimum age of marriage of 18 years for women and men, clarify the meaning of “full age” in article 14 (1) of the Constitution, ensure that the minimum age of marriage of 18 years is applied to all marriages and unions in the State party, and support girls who are married by providing mechanisms to increase their access to education and vocational training and by providing information on sexual and reproductive health and rights. ” </w:t>
      </w:r>
    </w:p>
    <w:p w14:paraId="55C817C1" w14:textId="3B08B58B" w:rsidR="00CC6737" w:rsidRDefault="00245757" w:rsidP="00245757">
      <w:pPr>
        <w:pStyle w:val="HChG"/>
        <w:rPr>
          <w:lang w:val="en-US"/>
        </w:rPr>
      </w:pPr>
      <w:r>
        <w:rPr>
          <w:lang w:val="en-US"/>
        </w:rPr>
        <w:tab/>
      </w:r>
      <w:r>
        <w:rPr>
          <w:lang w:val="en-US"/>
        </w:rPr>
        <w:tab/>
      </w:r>
      <w:r w:rsidRPr="00245757">
        <w:rPr>
          <w:lang w:val="en-US"/>
        </w:rPr>
        <w:t>Progress made on the implemention of the above recommendations</w:t>
      </w:r>
    </w:p>
    <w:p w14:paraId="14880EFD" w14:textId="0C291059" w:rsidR="0079192F" w:rsidRPr="0079192F" w:rsidRDefault="0079192F" w:rsidP="0079192F">
      <w:pPr>
        <w:pStyle w:val="H1G"/>
        <w:rPr>
          <w:lang w:val="en-US"/>
        </w:rPr>
      </w:pPr>
      <w:r>
        <w:tab/>
      </w:r>
      <w:bookmarkStart w:id="2" w:name="_Hlk187148141"/>
      <w:r w:rsidRPr="0079192F">
        <w:t>A.</w:t>
      </w:r>
      <w:r w:rsidRPr="0079192F">
        <w:tab/>
      </w:r>
      <w:r w:rsidRPr="0079192F">
        <w:rPr>
          <w:lang w:val="en-US"/>
        </w:rPr>
        <w:t>Follow-up information relating to paragraph 12 (b)</w:t>
      </w:r>
      <w:r w:rsidR="007A48C3">
        <w:rPr>
          <w:lang w:val="en-US"/>
        </w:rPr>
        <w:t xml:space="preserve"> </w:t>
      </w:r>
      <w:r w:rsidRPr="0079192F">
        <w:rPr>
          <w:lang w:val="en-US"/>
        </w:rPr>
        <w:t>of the concluding observations</w:t>
      </w:r>
      <w:bookmarkEnd w:id="2"/>
    </w:p>
    <w:p w14:paraId="45C2EFCE" w14:textId="77777777" w:rsidR="00CC6737" w:rsidRPr="00CC6737" w:rsidRDefault="00CC6737" w:rsidP="0079192F">
      <w:pPr>
        <w:pStyle w:val="SingleTxtG"/>
        <w:numPr>
          <w:ilvl w:val="0"/>
          <w:numId w:val="21"/>
        </w:numPr>
        <w:ind w:left="1134" w:firstLine="0"/>
      </w:pPr>
      <w:r w:rsidRPr="00CC6737">
        <w:t>The National Recommendations Tracking Database (NRTD) was approved by Cabinet directive during the year 2021. The Ministry of Justice, clustered various recommendations in spreadsheet format. The spreadsheet has been used to track, update and take active measures to ensure compliance with recommendations from various treaty bodies, including recommendations on CEDAW. The database has not yet been finalized, and it is not yet publicly available.</w:t>
      </w:r>
    </w:p>
    <w:p w14:paraId="63E9A6F4" w14:textId="77777777" w:rsidR="007A48C3" w:rsidRPr="007A48C3" w:rsidRDefault="00CC6737" w:rsidP="007A48C3">
      <w:pPr>
        <w:pStyle w:val="SingleTxtG"/>
        <w:numPr>
          <w:ilvl w:val="0"/>
          <w:numId w:val="21"/>
        </w:numPr>
        <w:ind w:left="1134" w:firstLine="0"/>
      </w:pPr>
      <w:r w:rsidRPr="00CC6737">
        <w:t>A demo presentation of the software for the national recommendation tracking database was introduced to stakeholders on the 23rd of August 2023, whereby a demonstration was made to show Namibia’s readiness to roll out the software once it is fully operational with assistance from the office of the High Commissioner for Human Rights, Regional Office for Southern Africa.  However, the actual software of the NRTD was not provided to the Ministry due to outstanding training intervention from the Officer of the High Commission on Human Rights.</w:t>
      </w:r>
    </w:p>
    <w:p w14:paraId="28D8E8D4" w14:textId="0A2CB0B1" w:rsidR="007A48C3" w:rsidRDefault="007A48C3" w:rsidP="007A48C3">
      <w:pPr>
        <w:pStyle w:val="H1G"/>
        <w:rPr>
          <w:lang w:val="en-US"/>
        </w:rPr>
      </w:pPr>
      <w:r>
        <w:rPr>
          <w:lang w:val="en-US"/>
        </w:rPr>
        <w:lastRenderedPageBreak/>
        <w:tab/>
        <w:t>B.</w:t>
      </w:r>
      <w:r>
        <w:rPr>
          <w:lang w:val="en-US"/>
        </w:rPr>
        <w:tab/>
      </w:r>
      <w:bookmarkStart w:id="3" w:name="_Hlk187148263"/>
      <w:r w:rsidRPr="007A48C3">
        <w:rPr>
          <w:lang w:val="en-US"/>
        </w:rPr>
        <w:t>Follow-up information relating to paragraph 1</w:t>
      </w:r>
      <w:r>
        <w:rPr>
          <w:lang w:val="en-US"/>
        </w:rPr>
        <w:t>6</w:t>
      </w:r>
      <w:r w:rsidRPr="007A48C3">
        <w:rPr>
          <w:lang w:val="en-US"/>
        </w:rPr>
        <w:t xml:space="preserve"> (</w:t>
      </w:r>
      <w:r>
        <w:rPr>
          <w:lang w:val="en-US"/>
        </w:rPr>
        <w:t>a</w:t>
      </w:r>
      <w:r w:rsidRPr="007A48C3">
        <w:rPr>
          <w:lang w:val="en-US"/>
        </w:rPr>
        <w:t>)</w:t>
      </w:r>
      <w:r>
        <w:rPr>
          <w:lang w:val="en-US"/>
        </w:rPr>
        <w:t xml:space="preserve"> </w:t>
      </w:r>
      <w:r w:rsidRPr="007A48C3">
        <w:rPr>
          <w:lang w:val="en-US"/>
        </w:rPr>
        <w:t xml:space="preserve">of the concluding observations </w:t>
      </w:r>
      <w:bookmarkEnd w:id="3"/>
    </w:p>
    <w:p w14:paraId="01C3A0BC" w14:textId="2CCBFDEB" w:rsidR="00CC6737" w:rsidRPr="00CC6737" w:rsidRDefault="00CC6737" w:rsidP="007A48C3">
      <w:pPr>
        <w:pStyle w:val="SingleTxtG"/>
        <w:numPr>
          <w:ilvl w:val="0"/>
          <w:numId w:val="21"/>
        </w:numPr>
        <w:ind w:left="1134" w:firstLine="0"/>
      </w:pPr>
      <w:r w:rsidRPr="00CC6737">
        <w:t xml:space="preserve">The Government of the Republic of Namibia takes note of this recommendation. In the furtherance of this recommendation, Namibia has introduced the Dissolution of Marriages Act, 2024 (Act No. 10 of 2024), commonly referred to as the Divorce Act), marking a significant </w:t>
      </w:r>
      <w:r w:rsidRPr="00CC6737">
        <w:rPr>
          <w:lang w:val="en-US"/>
        </w:rPr>
        <w:t>overhaul</w:t>
      </w:r>
      <w:r w:rsidRPr="00CC6737">
        <w:t xml:space="preserve"> of the country's divorce laws. The new legislation streamlines the divorce process, prioritising the welfare of children, and provides clear guidelines for asset division and Maintenance arrangement. In addition, the new Marriage Act has also been tabled and passed before parliament. However, both Acts are not yet operational, as the regulations to both Acts have not yet been adopted.</w:t>
      </w:r>
    </w:p>
    <w:p w14:paraId="3AE45473" w14:textId="77777777" w:rsidR="00CC6737" w:rsidRPr="007A48C3" w:rsidRDefault="00CC6737" w:rsidP="0079192F">
      <w:pPr>
        <w:pStyle w:val="SingleTxtG"/>
        <w:numPr>
          <w:ilvl w:val="0"/>
          <w:numId w:val="21"/>
        </w:numPr>
        <w:ind w:left="1134" w:firstLine="0"/>
        <w:rPr>
          <w:b/>
          <w:bCs/>
          <w:lang w:val="en-US"/>
        </w:rPr>
      </w:pPr>
      <w:r w:rsidRPr="00CC6737">
        <w:rPr>
          <w:lang w:val="en-US"/>
        </w:rPr>
        <w:t xml:space="preserve">Additionally, Namibia has amended and promulgated legislations to address Gender Based Violence (GBV). These include the Combating of Rape Amendment Act, 2022 (Act No. 4 of 2022) and Combating of Domestic Violence Amendment Act, 2022 (Act No. 6 of 2022). </w:t>
      </w:r>
    </w:p>
    <w:p w14:paraId="0E1AE9FC" w14:textId="413D536A" w:rsidR="007A48C3" w:rsidRPr="00CC6737" w:rsidRDefault="007A48C3" w:rsidP="007A48C3">
      <w:pPr>
        <w:pStyle w:val="H1G"/>
        <w:rPr>
          <w:lang w:val="en-US"/>
        </w:rPr>
      </w:pPr>
      <w:r>
        <w:rPr>
          <w:lang w:val="en-US"/>
        </w:rPr>
        <w:tab/>
        <w:t>C.</w:t>
      </w:r>
      <w:r>
        <w:rPr>
          <w:lang w:val="en-US"/>
        </w:rPr>
        <w:tab/>
      </w:r>
      <w:r w:rsidRPr="007A48C3">
        <w:rPr>
          <w:lang w:val="en-US"/>
        </w:rPr>
        <w:t xml:space="preserve">Follow-up information relating to paragraph </w:t>
      </w:r>
      <w:r>
        <w:rPr>
          <w:lang w:val="en-US"/>
        </w:rPr>
        <w:t>28</w:t>
      </w:r>
      <w:r w:rsidRPr="007A48C3">
        <w:rPr>
          <w:lang w:val="en-US"/>
        </w:rPr>
        <w:t xml:space="preserve"> (</w:t>
      </w:r>
      <w:r>
        <w:rPr>
          <w:lang w:val="en-US"/>
        </w:rPr>
        <w:t>d</w:t>
      </w:r>
      <w:r w:rsidRPr="007A48C3">
        <w:rPr>
          <w:lang w:val="en-US"/>
        </w:rPr>
        <w:t>) of the concluding observations</w:t>
      </w:r>
    </w:p>
    <w:p w14:paraId="6396DA77" w14:textId="77777777" w:rsidR="00CC6737" w:rsidRPr="00CC6737" w:rsidRDefault="00CC6737" w:rsidP="0079192F">
      <w:pPr>
        <w:pStyle w:val="SingleTxtG"/>
        <w:numPr>
          <w:ilvl w:val="0"/>
          <w:numId w:val="21"/>
        </w:numPr>
        <w:ind w:left="1134" w:firstLine="0"/>
        <w:rPr>
          <w:lang w:val="en-US"/>
        </w:rPr>
      </w:pPr>
      <w:r w:rsidRPr="00CC6737">
        <w:rPr>
          <w:bCs/>
        </w:rPr>
        <w:t>The State Party continues to build capacity of law enforcement to handle GBV cases using the Pocket manual for Law enforcement.  T</w:t>
      </w:r>
      <w:r w:rsidRPr="00CC6737">
        <w:rPr>
          <w:lang w:val="en-US"/>
        </w:rPr>
        <w:t>he Namibian Police Force Pocket Manual has formed part of training materials used at Police training colleges. The pocket manual covers issues related to GBV, Trafficking in Person (TIP) and Violence against Children (VAC). This manual is also used to conduct in-service training for investigators at the GBV Protective Units and Police officers at different Police Stations countrywide. Thus far, approximately 1,207 Police officers have been trained. Trainings are ongoing.  The Units continue to offer services ranging from investigations, psychosocial support, medical treatment and shelter to GBV victims and their families.</w:t>
      </w:r>
    </w:p>
    <w:p w14:paraId="2D47E6C4" w14:textId="77777777" w:rsidR="00CC6737" w:rsidRDefault="00CC6737" w:rsidP="0079192F">
      <w:pPr>
        <w:pStyle w:val="SingleTxtG"/>
        <w:numPr>
          <w:ilvl w:val="0"/>
          <w:numId w:val="21"/>
        </w:numPr>
        <w:ind w:left="1134" w:firstLine="0"/>
        <w:rPr>
          <w:lang w:val="en-US"/>
        </w:rPr>
      </w:pPr>
      <w:r w:rsidRPr="00CC6737">
        <w:rPr>
          <w:lang w:val="en-US"/>
        </w:rPr>
        <w:t>Additionally, Capacity-building for judiciary, health care workers and civil society organizations have also been conducted on prevention and responding to cases of GBV.</w:t>
      </w:r>
      <w:r w:rsidRPr="00CC6737">
        <w:rPr>
          <w:b/>
          <w:bCs/>
        </w:rPr>
        <w:t xml:space="preserve">  </w:t>
      </w:r>
      <w:r w:rsidRPr="00CC6737">
        <w:rPr>
          <w:bCs/>
        </w:rPr>
        <w:t>GBV and Violence Against Children (VAC) have been mainstreamed in the school curriculum and Teachers are being capacitated in this regard.</w:t>
      </w:r>
      <w:r w:rsidRPr="00CC6737">
        <w:rPr>
          <w:lang w:val="en-US"/>
        </w:rPr>
        <w:t xml:space="preserve"> Community support groups and male engagement programs have been strengthened to raise awareness at different levels. </w:t>
      </w:r>
    </w:p>
    <w:p w14:paraId="234A4564" w14:textId="5ECB161D" w:rsidR="007A48C3" w:rsidRPr="00CC6737" w:rsidRDefault="007A48C3" w:rsidP="007A48C3">
      <w:pPr>
        <w:pStyle w:val="H1G"/>
        <w:rPr>
          <w:lang w:val="en-US"/>
        </w:rPr>
      </w:pPr>
      <w:r>
        <w:rPr>
          <w:lang w:val="en-US"/>
        </w:rPr>
        <w:tab/>
        <w:t>D.</w:t>
      </w:r>
      <w:r>
        <w:rPr>
          <w:lang w:val="en-US"/>
        </w:rPr>
        <w:tab/>
      </w:r>
      <w:r w:rsidRPr="007A48C3">
        <w:rPr>
          <w:lang w:val="en-US"/>
        </w:rPr>
        <w:t xml:space="preserve">Follow-up information relating to paragraph </w:t>
      </w:r>
      <w:r>
        <w:rPr>
          <w:lang w:val="en-US"/>
        </w:rPr>
        <w:t>54</w:t>
      </w:r>
      <w:r w:rsidRPr="007A48C3">
        <w:rPr>
          <w:lang w:val="en-US"/>
        </w:rPr>
        <w:t xml:space="preserve"> (</w:t>
      </w:r>
      <w:r>
        <w:rPr>
          <w:lang w:val="en-US"/>
        </w:rPr>
        <w:t>b</w:t>
      </w:r>
      <w:r w:rsidRPr="007A48C3">
        <w:rPr>
          <w:lang w:val="en-US"/>
        </w:rPr>
        <w:t>) of the concluding observations</w:t>
      </w:r>
    </w:p>
    <w:p w14:paraId="56913C70" w14:textId="77777777" w:rsidR="00CC6737" w:rsidRPr="00CC6737" w:rsidRDefault="00CC6737" w:rsidP="0079192F">
      <w:pPr>
        <w:pStyle w:val="SingleTxtG"/>
        <w:numPr>
          <w:ilvl w:val="0"/>
          <w:numId w:val="21"/>
        </w:numPr>
        <w:ind w:left="1134" w:firstLine="0"/>
      </w:pPr>
      <w:r w:rsidRPr="00CC6737">
        <w:t xml:space="preserve">Marriages of children under the age of 18 years are prohibited and is a punishable offence in terms of the Child Care and Protection Act, 2015 (Act, No. 3 of 2015) (CCPA). The Child Care and Protection Act prohibits child marriage by making it a crime to give a child out in marriage or engagement if the child is below the age of 18 or does not consent to the marriage or engagement. The prohibition applies to civil, customary and religious marriages. This crime is punishable by a fine of up to N$50,000 or imprisonment for up to ten years, or both. Cabinet </w:t>
      </w:r>
      <w:r w:rsidRPr="00CC6737">
        <w:rPr>
          <w:lang w:val="en-US"/>
        </w:rPr>
        <w:t>directed</w:t>
      </w:r>
      <w:r w:rsidRPr="00CC6737">
        <w:t xml:space="preserve"> that the Ministry of Gender Equality, Poverty Eradication and Social Welfare (MGEPESW) to take forward the recommendations from the Formative study on child marriages in Namibia. To this end, the MGEPESW is in the process of developing a strategy to end child marriages in the country. </w:t>
      </w:r>
    </w:p>
    <w:p w14:paraId="4F39AEBE" w14:textId="77777777" w:rsidR="00CC6737" w:rsidRPr="00CC6737" w:rsidRDefault="00CC6737" w:rsidP="0079192F">
      <w:pPr>
        <w:pStyle w:val="SingleTxtG"/>
        <w:numPr>
          <w:ilvl w:val="0"/>
          <w:numId w:val="21"/>
        </w:numPr>
        <w:ind w:left="1134" w:firstLine="0"/>
        <w:rPr>
          <w:lang w:val="en-US"/>
        </w:rPr>
      </w:pPr>
      <w:r w:rsidRPr="00CC6737">
        <w:rPr>
          <w:lang w:val="en-US"/>
        </w:rPr>
        <w:t xml:space="preserve">The MGEPESW has completed the development of child friendly materials based on specific provisions in the CCPA, such as those relating to HIV testing, medical consent, child marriage, and harmful practices to ensure that children are not left behind in the implementation of the Act. In addition, these materials will be translated into four local languages. </w:t>
      </w:r>
    </w:p>
    <w:p w14:paraId="18609EAC" w14:textId="30CBDEE9" w:rsidR="00CC6737" w:rsidRPr="00CC6737" w:rsidRDefault="00245757" w:rsidP="00245757">
      <w:pPr>
        <w:pStyle w:val="H1G"/>
      </w:pPr>
      <w:r>
        <w:lastRenderedPageBreak/>
        <w:tab/>
      </w:r>
      <w:r>
        <w:tab/>
      </w:r>
      <w:r w:rsidR="00CC6737" w:rsidRPr="00CC6737">
        <w:t>Clarification of the meaning of “full age”</w:t>
      </w:r>
    </w:p>
    <w:p w14:paraId="4DB3FD8E" w14:textId="653BC8CB" w:rsidR="00CC6737" w:rsidRPr="00CC6737" w:rsidRDefault="00CC6737" w:rsidP="0079192F">
      <w:pPr>
        <w:pStyle w:val="SingleTxtG"/>
        <w:numPr>
          <w:ilvl w:val="0"/>
          <w:numId w:val="21"/>
        </w:numPr>
        <w:ind w:left="1134" w:firstLine="0"/>
      </w:pPr>
      <w:r w:rsidRPr="00CC6737">
        <w:t xml:space="preserve">At present, both the CCPA and the Marriage Bill require parental consent for marriage up to age 21.  Article 14(1) of the Namibian Constitution gives “men and women of full age... the right to marry and to found a family”. The Marriage Bill attempts to address this by defining “full age” as follows:  “full age”, </w:t>
      </w:r>
      <w:r w:rsidRPr="00CC6737">
        <w:rPr>
          <w:i/>
          <w:iCs/>
        </w:rPr>
        <w:t>subject to section 9(2), means the age of 18 years or above</w:t>
      </w:r>
      <w:r w:rsidR="001246D5">
        <w:t>.</w:t>
      </w:r>
    </w:p>
    <w:p w14:paraId="182A8B80" w14:textId="1198986A" w:rsidR="00CC6737" w:rsidRPr="00CC6737" w:rsidRDefault="00245757" w:rsidP="00245757">
      <w:pPr>
        <w:pStyle w:val="H1G"/>
        <w:rPr>
          <w:bCs/>
          <w:lang w:val="en-US"/>
        </w:rPr>
      </w:pPr>
      <w:r>
        <w:rPr>
          <w:lang w:val="en-US"/>
        </w:rPr>
        <w:tab/>
      </w:r>
      <w:r>
        <w:rPr>
          <w:lang w:val="en-US"/>
        </w:rPr>
        <w:tab/>
      </w:r>
      <w:r w:rsidRPr="00CC6737">
        <w:rPr>
          <w:lang w:val="en-US"/>
        </w:rPr>
        <w:t>References</w:t>
      </w:r>
    </w:p>
    <w:p w14:paraId="33366F4A" w14:textId="0F585B20" w:rsidR="00CC6737" w:rsidRPr="00CC6737" w:rsidRDefault="00CC6737" w:rsidP="0079192F">
      <w:pPr>
        <w:pStyle w:val="SingleTxtG"/>
        <w:numPr>
          <w:ilvl w:val="0"/>
          <w:numId w:val="21"/>
        </w:numPr>
        <w:ind w:left="1134" w:firstLine="0"/>
        <w:rPr>
          <w:bCs/>
          <w:lang w:val="en-US"/>
        </w:rPr>
      </w:pPr>
      <w:r w:rsidRPr="00CC6737">
        <w:rPr>
          <w:bCs/>
          <w:lang w:val="en-US"/>
        </w:rPr>
        <w:t xml:space="preserve">Ministry of Gender Equality, Poverty Eradication and Social Welfare. (2015). </w:t>
      </w:r>
      <w:r w:rsidRPr="00CC6737">
        <w:rPr>
          <w:bCs/>
          <w:i/>
          <w:lang w:val="en-US"/>
        </w:rPr>
        <w:t>Child Care and Protection Act No. 3 of 2015</w:t>
      </w:r>
      <w:r w:rsidRPr="00CC6737">
        <w:rPr>
          <w:bCs/>
          <w:lang w:val="en-US"/>
        </w:rPr>
        <w:t xml:space="preserve">. Retrieved from </w:t>
      </w:r>
      <w:hyperlink r:id="rId11" w:history="1">
        <w:r w:rsidRPr="00CC6737">
          <w:rPr>
            <w:rStyle w:val="Hyperlink"/>
            <w:bCs/>
            <w:lang w:val="en-US"/>
          </w:rPr>
          <w:t>https://www.lac.org.na/</w:t>
        </w:r>
        <w:r w:rsidRPr="00CC6737">
          <w:rPr>
            <w:lang w:val="en-US"/>
          </w:rPr>
          <w:t>laws</w:t>
        </w:r>
        <w:r w:rsidRPr="00CC6737">
          <w:rPr>
            <w:rStyle w:val="Hyperlink"/>
            <w:bCs/>
            <w:lang w:val="en-US"/>
          </w:rPr>
          <w:t>/annoSTAT/Child%20Care%20and%20Protection%20Act%203%20of%202015.pdf</w:t>
        </w:r>
      </w:hyperlink>
      <w:r w:rsidR="007A48C3">
        <w:t>.</w:t>
      </w:r>
      <w:r w:rsidRPr="00CC6737">
        <w:rPr>
          <w:bCs/>
          <w:lang w:val="en-US"/>
        </w:rPr>
        <w:t xml:space="preserve"> </w:t>
      </w:r>
    </w:p>
    <w:p w14:paraId="342E4448" w14:textId="65B8F8D9" w:rsidR="00CC6737" w:rsidRPr="00CC6737" w:rsidRDefault="00CC6737" w:rsidP="0079192F">
      <w:pPr>
        <w:pStyle w:val="SingleTxtG"/>
        <w:numPr>
          <w:ilvl w:val="0"/>
          <w:numId w:val="21"/>
        </w:numPr>
        <w:ind w:left="1134" w:firstLine="0"/>
        <w:rPr>
          <w:bCs/>
          <w:lang w:val="en-US"/>
        </w:rPr>
      </w:pPr>
      <w:r w:rsidRPr="00CC6737">
        <w:rPr>
          <w:bCs/>
          <w:lang w:val="en-US"/>
        </w:rPr>
        <w:t xml:space="preserve">Ministry of Home Affairs, Immigration, Safety and Security. (2019). </w:t>
      </w:r>
      <w:r w:rsidRPr="00CC6737">
        <w:rPr>
          <w:bCs/>
          <w:i/>
          <w:lang w:val="en-US"/>
        </w:rPr>
        <w:t xml:space="preserve">Namibian Police Force Pocket Manuals on Gender-Based Violence, Child Protection, Trafficking in Persons and Children in Conflict with the Law. </w:t>
      </w:r>
      <w:r w:rsidRPr="00CC6737">
        <w:rPr>
          <w:bCs/>
          <w:lang w:val="en-US"/>
        </w:rPr>
        <w:t xml:space="preserve">Retrieved from </w:t>
      </w:r>
      <w:hyperlink r:id="rId12" w:history="1">
        <w:r w:rsidRPr="00CC6737">
          <w:rPr>
            <w:rStyle w:val="Hyperlink"/>
            <w:bCs/>
            <w:lang w:val="en-US"/>
          </w:rPr>
          <w:t>www.nampol.gov.na</w:t>
        </w:r>
      </w:hyperlink>
      <w:r w:rsidR="007A48C3">
        <w:t>.</w:t>
      </w:r>
      <w:r w:rsidRPr="00CC6737">
        <w:rPr>
          <w:bCs/>
          <w:lang w:val="en-US"/>
        </w:rPr>
        <w:t xml:space="preserve"> </w:t>
      </w:r>
    </w:p>
    <w:p w14:paraId="4EFEC047" w14:textId="75BBA6B3" w:rsidR="00CC6737" w:rsidRPr="00CC6737" w:rsidRDefault="00CC6737" w:rsidP="0079192F">
      <w:pPr>
        <w:pStyle w:val="SingleTxtG"/>
        <w:numPr>
          <w:ilvl w:val="0"/>
          <w:numId w:val="21"/>
        </w:numPr>
        <w:ind w:left="1134" w:firstLine="0"/>
        <w:rPr>
          <w:bCs/>
          <w:lang w:val="en-US"/>
        </w:rPr>
      </w:pPr>
      <w:bookmarkStart w:id="4" w:name="_Hlk184299302"/>
      <w:r w:rsidRPr="00CC6737">
        <w:rPr>
          <w:bCs/>
          <w:lang w:val="en-US"/>
        </w:rPr>
        <w:t xml:space="preserve">Ministry of Justice. (2022). </w:t>
      </w:r>
      <w:r w:rsidRPr="00CC6737">
        <w:rPr>
          <w:bCs/>
          <w:i/>
          <w:lang w:val="en-US"/>
        </w:rPr>
        <w:t>Combating of Domestic Violence Amendment Act no. 4 of 2022</w:t>
      </w:r>
      <w:r w:rsidRPr="00CC6737">
        <w:rPr>
          <w:bCs/>
          <w:lang w:val="en-US"/>
        </w:rPr>
        <w:t>. Retrieved from</w:t>
      </w:r>
      <w:bookmarkEnd w:id="4"/>
      <w:r w:rsidRPr="00CC6737">
        <w:rPr>
          <w:bCs/>
          <w:lang w:val="en-US"/>
        </w:rPr>
        <w:t xml:space="preserve"> </w:t>
      </w:r>
      <w:hyperlink r:id="rId13" w:history="1">
        <w:r w:rsidRPr="00CC6737">
          <w:rPr>
            <w:rStyle w:val="Hyperlink"/>
            <w:bCs/>
            <w:lang w:val="en-US"/>
          </w:rPr>
          <w:t>https://www.lac.org.na/laws/annoSTAT/Combating%20of%20Domestic%20Violence%20Act%204%20of%202003.pdf</w:t>
        </w:r>
      </w:hyperlink>
      <w:r w:rsidR="007A48C3">
        <w:t>.</w:t>
      </w:r>
    </w:p>
    <w:p w14:paraId="39922002" w14:textId="21CD5AD4" w:rsidR="00CC6737" w:rsidRPr="00CC6737" w:rsidRDefault="00CC6737" w:rsidP="0079192F">
      <w:pPr>
        <w:pStyle w:val="SingleTxtG"/>
        <w:numPr>
          <w:ilvl w:val="0"/>
          <w:numId w:val="21"/>
        </w:numPr>
        <w:ind w:left="1134" w:firstLine="0"/>
        <w:rPr>
          <w:bCs/>
          <w:lang w:val="en-US"/>
        </w:rPr>
      </w:pPr>
      <w:bookmarkStart w:id="5" w:name="_Hlk184299526"/>
      <w:r w:rsidRPr="00CC6737">
        <w:rPr>
          <w:bCs/>
          <w:lang w:val="en-US"/>
        </w:rPr>
        <w:t xml:space="preserve">Ministry of Justice. (2022). </w:t>
      </w:r>
      <w:r w:rsidRPr="00CC6737">
        <w:rPr>
          <w:bCs/>
          <w:i/>
          <w:lang w:val="en-US"/>
        </w:rPr>
        <w:t>Combating of Rape Amendment Act no. 4 of 2022</w:t>
      </w:r>
      <w:r w:rsidRPr="00CC6737">
        <w:rPr>
          <w:bCs/>
          <w:lang w:val="en-US"/>
        </w:rPr>
        <w:t xml:space="preserve">. Retrieved from </w:t>
      </w:r>
      <w:bookmarkEnd w:id="5"/>
      <w:r w:rsidRPr="00CC6737">
        <w:rPr>
          <w:bCs/>
          <w:lang w:val="en-US"/>
        </w:rPr>
        <w:fldChar w:fldCharType="begin"/>
      </w:r>
      <w:r w:rsidRPr="00CC6737">
        <w:rPr>
          <w:bCs/>
          <w:lang w:val="en-US"/>
        </w:rPr>
        <w:instrText xml:space="preserve"> HYPERLINK "https://www.lac.org.na/laws/annoSTAT/Combating%20of%20Rape%20Act%208%20of%202000.pdf" </w:instrText>
      </w:r>
      <w:r w:rsidRPr="00CC6737">
        <w:rPr>
          <w:bCs/>
          <w:lang w:val="en-US"/>
        </w:rPr>
      </w:r>
      <w:r w:rsidRPr="00CC6737">
        <w:rPr>
          <w:bCs/>
          <w:lang w:val="en-US"/>
        </w:rPr>
        <w:fldChar w:fldCharType="separate"/>
      </w:r>
      <w:r w:rsidRPr="00CC6737">
        <w:rPr>
          <w:rStyle w:val="Hyperlink"/>
          <w:bCs/>
          <w:lang w:val="en-US"/>
        </w:rPr>
        <w:t>https://www.lac.org.na/laws/annoSTAT/Combating%20of%20Rape%20Act%208%20of%202000.pdf</w:t>
      </w:r>
      <w:r w:rsidRPr="00CC6737">
        <w:fldChar w:fldCharType="end"/>
      </w:r>
      <w:r w:rsidR="007A48C3">
        <w:t>.</w:t>
      </w:r>
      <w:r w:rsidRPr="00CC6737">
        <w:rPr>
          <w:bCs/>
          <w:lang w:val="en-US"/>
        </w:rPr>
        <w:t xml:space="preserve"> </w:t>
      </w:r>
    </w:p>
    <w:p w14:paraId="0D8EA9E3" w14:textId="77777777" w:rsidR="007A48C3" w:rsidRPr="007A48C3" w:rsidRDefault="00CC6737" w:rsidP="0079192F">
      <w:pPr>
        <w:pStyle w:val="SingleTxtG"/>
        <w:numPr>
          <w:ilvl w:val="0"/>
          <w:numId w:val="21"/>
        </w:numPr>
        <w:ind w:left="1134" w:firstLine="0"/>
        <w:rPr>
          <w:bCs/>
          <w:lang w:val="en-US"/>
        </w:rPr>
      </w:pPr>
      <w:r w:rsidRPr="00CC6737">
        <w:rPr>
          <w:bCs/>
          <w:lang w:val="en-US"/>
        </w:rPr>
        <w:t xml:space="preserve">Ministry of Justice. (1961). </w:t>
      </w:r>
      <w:r w:rsidRPr="00CC6737">
        <w:rPr>
          <w:bCs/>
          <w:i/>
          <w:lang w:val="en-US"/>
        </w:rPr>
        <w:t>Marriage Act no</w:t>
      </w:r>
      <w:r w:rsidRPr="00CC6737">
        <w:rPr>
          <w:i/>
          <w:lang w:val="en-US"/>
        </w:rPr>
        <w:t>. 25 of 1961.</w:t>
      </w:r>
      <w:r w:rsidRPr="00CC6737">
        <w:rPr>
          <w:lang w:val="en-US"/>
        </w:rPr>
        <w:t xml:space="preserve"> Retrieved from </w:t>
      </w:r>
      <w:hyperlink r:id="rId14" w:history="1">
        <w:r w:rsidRPr="00CC6737">
          <w:rPr>
            <w:rStyle w:val="Hyperlink"/>
            <w:lang w:val="en-US"/>
          </w:rPr>
          <w:t>https://www.lac.org.na/laws/annoSTAT/Marriage%20Act%2025%20of%201961.pdf</w:t>
        </w:r>
      </w:hyperlink>
      <w:r w:rsidR="007A48C3">
        <w:t>.</w:t>
      </w:r>
    </w:p>
    <w:p w14:paraId="57BD5C49" w14:textId="0930CF93" w:rsidR="00CC6737" w:rsidRPr="00CC6737" w:rsidRDefault="007A48C3" w:rsidP="007A48C3">
      <w:pPr>
        <w:pStyle w:val="SingleTxtG"/>
        <w:jc w:val="center"/>
        <w:rPr>
          <w:bCs/>
          <w:u w:val="single"/>
          <w:lang w:val="en-US"/>
        </w:rPr>
      </w:pPr>
      <w:r>
        <w:rPr>
          <w:bCs/>
          <w:u w:val="single"/>
          <w:lang w:val="en-US"/>
        </w:rPr>
        <w:tab/>
      </w:r>
      <w:r>
        <w:rPr>
          <w:bCs/>
          <w:u w:val="single"/>
          <w:lang w:val="en-US"/>
        </w:rPr>
        <w:tab/>
      </w:r>
      <w:r>
        <w:rPr>
          <w:bCs/>
          <w:u w:val="single"/>
          <w:lang w:val="en-US"/>
        </w:rPr>
        <w:tab/>
      </w:r>
    </w:p>
    <w:sectPr w:rsidR="00CC6737" w:rsidRPr="00CC6737">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B11A913" w14:textId="77777777" w:rsidR="00023A38" w:rsidRDefault="00023A38">
      <w:pPr>
        <w:spacing w:line="240" w:lineRule="auto"/>
      </w:pPr>
    </w:p>
  </w:endnote>
  <w:endnote w:type="continuationSeparator" w:id="0">
    <w:p w14:paraId="773EE20C" w14:textId="77777777" w:rsidR="00023A38" w:rsidRDefault="00023A38">
      <w:pPr>
        <w:pStyle w:val="Footer"/>
      </w:pPr>
    </w:p>
  </w:endnote>
  <w:endnote w:type="continuationNotice" w:id="1">
    <w:p w14:paraId="49F33771" w14:textId="77777777" w:rsidR="00023A38" w:rsidRDefault="00023A3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BFB72A" w14:textId="77777777" w:rsidR="00023A38" w:rsidRDefault="00EC51B7">
    <w:pPr>
      <w:pStyle w:val="Footer"/>
      <w:tabs>
        <w:tab w:val="right" w:pos="9639"/>
      </w:tabs>
    </w:pPr>
    <w:r>
      <w:rPr>
        <w:b/>
        <w:sz w:val="18"/>
      </w:rPr>
      <w:fldChar w:fldCharType="begin"/>
    </w:r>
    <w:r>
      <w:rPr>
        <w:b/>
        <w:sz w:val="18"/>
      </w:rPr>
      <w:instrText xml:space="preserve"> PAGE  \* MERGEFORMAT </w:instrText>
    </w:r>
    <w:r>
      <w:rPr>
        <w:b/>
        <w:sz w:val="18"/>
      </w:rPr>
      <w:fldChar w:fldCharType="separate"/>
    </w:r>
    <w:r w:rsidR="005F7A44">
      <w:rPr>
        <w:b/>
        <w:noProof/>
        <w:sz w:val="18"/>
      </w:rPr>
      <w:t>2</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012D52" w14:textId="77777777" w:rsidR="00023A38" w:rsidRDefault="007F4501">
    <w:pPr>
      <w:pStyle w:val="Footer"/>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Pr>
        <w:b/>
        <w:noProof/>
        <w:sz w:val="18"/>
      </w:rPr>
      <w:t>3</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2AD7D4" w14:textId="77777777" w:rsidR="00023A38" w:rsidRDefault="00EC51B7">
    <w:pPr>
      <w:pStyle w:val="Footer"/>
      <w:spacing w:before="120"/>
      <w:rPr>
        <w:noProof/>
        <w:sz w:val="20"/>
        <w:lang w:val="fr-FR" w:eastAsia="fr-FR"/>
      </w:rPr>
    </w:pPr>
    <w:r>
      <w:rPr>
        <w:noProof/>
        <w:lang w:val="fr-CH" w:eastAsia="fr-CH"/>
      </w:rPr>
      <w:drawing>
        <wp:anchor distT="0" distB="0" distL="114300" distR="114300" simplePos="0" relativeHeight="251658240" behindDoc="0" locked="1" layoutInCell="1" allowOverlap="1" wp14:anchorId="0F68D8A5" wp14:editId="444BF4A1">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recycle_English"/>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w:t>
    </w:r>
    <w:r>
      <w:rPr>
        <w:noProof/>
        <w:sz w:val="20"/>
        <w:lang w:val="fr-FR" w:eastAsia="fr-FR"/>
      </w:rPr>
      <w:t xml:space="preserve"> </w:t>
    </w:r>
  </w:p>
  <w:tbl>
    <w:tblPr>
      <w:tblStyle w:val="TableGrid"/>
      <w:tblpPr w:leftFromText="181" w:rightFromText="181" w:horzAnchor="page" w:tblpX="7656" w:tblpY="1400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8"/>
      <w:gridCol w:w="1274"/>
    </w:tblGrid>
    <w:tr w:rsidR="00BE462A" w14:paraId="4DBC1C97" w14:textId="77777777">
      <w:tc>
        <w:tcPr>
          <w:tcW w:w="1848" w:type="dxa"/>
          <w:vAlign w:val="bottom"/>
        </w:tcPr>
        <w:p w14:paraId="06A688EE" w14:textId="77777777" w:rsidR="00023A38" w:rsidRDefault="00EC51B7">
          <w:pPr>
            <w:kinsoku w:val="0"/>
            <w:overflowPunct w:val="0"/>
            <w:autoSpaceDE w:val="0"/>
            <w:autoSpaceDN w:val="0"/>
            <w:adjustRightInd w:val="0"/>
            <w:snapToGrid w:val="0"/>
            <w:spacing w:before="120" w:after="120" w:line="240" w:lineRule="auto"/>
            <w:jc w:val="right"/>
            <w:rPr>
              <w:rFonts w:eastAsiaTheme="minorHAnsi"/>
              <w:sz w:val="16"/>
              <w:lang w:val="fr-CH"/>
            </w:rPr>
          </w:pPr>
          <w:r>
            <w:rPr>
              <w:rFonts w:eastAsiaTheme="minorHAnsi"/>
              <w:noProof/>
              <w:lang w:val="fr-CH" w:eastAsia="fr-CH"/>
            </w:rPr>
            <w:drawing>
              <wp:inline distT="0" distB="0" distL="0" distR="0" wp14:anchorId="30F4914B" wp14:editId="3176A4B1">
                <wp:extent cx="931545" cy="232410"/>
                <wp:effectExtent l="0" t="0" r="1905" b="0"/>
                <wp:docPr id="2" name="Image 4"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recycle_English"/>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931545" cy="232410"/>
                        </a:xfrm>
                        <a:prstGeom prst="rect">
                          <a:avLst/>
                        </a:prstGeom>
                        <a:noFill/>
                        <a:ln>
                          <a:noFill/>
                        </a:ln>
                      </pic:spPr>
                    </pic:pic>
                  </a:graphicData>
                </a:graphic>
              </wp:inline>
            </w:drawing>
          </w:r>
        </w:p>
      </w:tc>
      <w:tc>
        <w:tcPr>
          <w:tcW w:w="1274" w:type="dxa"/>
        </w:tcPr>
        <w:p w14:paraId="3DDFCCAF" w14:textId="77777777" w:rsidR="00023A38" w:rsidRDefault="00023A38">
          <w:pPr>
            <w:kinsoku w:val="0"/>
            <w:overflowPunct w:val="0"/>
            <w:autoSpaceDE w:val="0"/>
            <w:autoSpaceDN w:val="0"/>
            <w:adjustRightInd w:val="0"/>
            <w:snapToGrid w:val="0"/>
            <w:spacing w:line="240" w:lineRule="auto"/>
            <w:jc w:val="right"/>
            <w:rPr>
              <w:rFonts w:eastAsiaTheme="minorHAnsi"/>
              <w:sz w:val="16"/>
              <w:lang w:val="fr-CH"/>
            </w:rPr>
          </w:pPr>
        </w:p>
      </w:tc>
    </w:tr>
  </w:tbl>
  <w:p w14:paraId="44A1BDB3" w14:textId="77777777" w:rsidR="00023A38" w:rsidRDefault="00023A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DC24FB2" w14:textId="77777777" w:rsidR="00023A38" w:rsidRDefault="00EC51B7">
      <w:pPr>
        <w:pStyle w:val="Footer"/>
        <w:tabs>
          <w:tab w:val="right" w:pos="2155"/>
        </w:tabs>
        <w:spacing w:after="80" w:line="240" w:lineRule="atLeast"/>
        <w:ind w:left="680"/>
        <w:rPr>
          <w:u w:val="single"/>
        </w:rPr>
      </w:pPr>
      <w:r>
        <w:rPr>
          <w:u w:val="single"/>
        </w:rPr>
        <w:tab/>
      </w:r>
    </w:p>
  </w:footnote>
  <w:footnote w:type="continuationSeparator" w:id="0">
    <w:p w14:paraId="131022ED" w14:textId="77777777" w:rsidR="00023A38" w:rsidRDefault="00EC51B7">
      <w:pPr>
        <w:pStyle w:val="Footer"/>
        <w:tabs>
          <w:tab w:val="right" w:pos="2155"/>
        </w:tabs>
        <w:spacing w:after="80" w:line="240" w:lineRule="atLeast"/>
        <w:ind w:left="680"/>
        <w:rPr>
          <w:u w:val="single"/>
        </w:rPr>
      </w:pPr>
      <w:r>
        <w:rPr>
          <w:u w:val="single"/>
        </w:rPr>
        <w:tab/>
      </w:r>
    </w:p>
  </w:footnote>
  <w:footnote w:type="continuationNotice" w:id="1">
    <w:p w14:paraId="64393331" w14:textId="77777777" w:rsidR="00023A38" w:rsidRDefault="00023A38">
      <w:pPr>
        <w:spacing w:line="240" w:lineRule="auto"/>
        <w:rPr>
          <w:sz w:val="2"/>
          <w:szCs w:val="2"/>
        </w:rPr>
      </w:pPr>
    </w:p>
  </w:footnote>
  <w:footnote w:id="2">
    <w:p w14:paraId="3C702767" w14:textId="77777777" w:rsidR="00023A38" w:rsidRDefault="00EC51B7">
      <w:pPr>
        <w:pStyle w:val="FootnoteText"/>
        <w:rPr>
          <w:lang w:val="en-US"/>
        </w:rPr>
      </w:pPr>
      <w:r>
        <w:tab/>
      </w:r>
      <w:r>
        <w:rPr>
          <w:rStyle w:val="FootnoteReference"/>
          <w:sz w:val="20"/>
          <w:vertAlign w:val="baseline"/>
        </w:rPr>
        <w:t>*</w:t>
      </w:r>
      <w:r>
        <w:rPr>
          <w:sz w:val="20"/>
        </w:rPr>
        <w:tab/>
      </w:r>
      <w: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E7BA65" w14:textId="77777777" w:rsidR="00023A38" w:rsidRDefault="007F4501">
    <w:pPr>
      <w:pStyle w:val="Header"/>
    </w:pPr>
    <w:r>
      <w:t>CEDAW/C/NAM/FCO/6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EC4EA8" w14:textId="77777777" w:rsidR="00023A38" w:rsidRDefault="007F4501">
    <w:pPr>
      <w:pStyle w:val="Header"/>
      <w:jc w:val="right"/>
    </w:pPr>
    <w:r>
      <w:t>CEDAW/C/NAM/FCO/6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037AC3D4">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53EC1D14" w:tentative="1">
      <w:start w:val="1"/>
      <w:numFmt w:val="lowerLetter"/>
      <w:lvlText w:val="%2."/>
      <w:lvlJc w:val="left"/>
      <w:pPr>
        <w:tabs>
          <w:tab w:val="num" w:pos="1440"/>
        </w:tabs>
        <w:ind w:left="1440" w:hanging="360"/>
      </w:pPr>
    </w:lvl>
    <w:lvl w:ilvl="2" w:tplc="F47CD8F4" w:tentative="1">
      <w:start w:val="1"/>
      <w:numFmt w:val="lowerRoman"/>
      <w:lvlText w:val="%3."/>
      <w:lvlJc w:val="right"/>
      <w:pPr>
        <w:tabs>
          <w:tab w:val="num" w:pos="2160"/>
        </w:tabs>
        <w:ind w:left="2160" w:hanging="180"/>
      </w:pPr>
    </w:lvl>
    <w:lvl w:ilvl="3" w:tplc="C5FE4D9E" w:tentative="1">
      <w:start w:val="1"/>
      <w:numFmt w:val="decimal"/>
      <w:lvlText w:val="%4."/>
      <w:lvlJc w:val="left"/>
      <w:pPr>
        <w:tabs>
          <w:tab w:val="num" w:pos="2880"/>
        </w:tabs>
        <w:ind w:left="2880" w:hanging="360"/>
      </w:pPr>
    </w:lvl>
    <w:lvl w:ilvl="4" w:tplc="0492A008" w:tentative="1">
      <w:start w:val="1"/>
      <w:numFmt w:val="lowerLetter"/>
      <w:lvlText w:val="%5."/>
      <w:lvlJc w:val="left"/>
      <w:pPr>
        <w:tabs>
          <w:tab w:val="num" w:pos="3600"/>
        </w:tabs>
        <w:ind w:left="3600" w:hanging="360"/>
      </w:pPr>
    </w:lvl>
    <w:lvl w:ilvl="5" w:tplc="B9F0D192" w:tentative="1">
      <w:start w:val="1"/>
      <w:numFmt w:val="lowerRoman"/>
      <w:lvlText w:val="%6."/>
      <w:lvlJc w:val="right"/>
      <w:pPr>
        <w:tabs>
          <w:tab w:val="num" w:pos="4320"/>
        </w:tabs>
        <w:ind w:left="4320" w:hanging="180"/>
      </w:pPr>
    </w:lvl>
    <w:lvl w:ilvl="6" w:tplc="5D90EB8C" w:tentative="1">
      <w:start w:val="1"/>
      <w:numFmt w:val="decimal"/>
      <w:lvlText w:val="%7."/>
      <w:lvlJc w:val="left"/>
      <w:pPr>
        <w:tabs>
          <w:tab w:val="num" w:pos="5040"/>
        </w:tabs>
        <w:ind w:left="5040" w:hanging="360"/>
      </w:pPr>
    </w:lvl>
    <w:lvl w:ilvl="7" w:tplc="0D9C5FBE" w:tentative="1">
      <w:start w:val="1"/>
      <w:numFmt w:val="lowerLetter"/>
      <w:lvlText w:val="%8."/>
      <w:lvlJc w:val="left"/>
      <w:pPr>
        <w:tabs>
          <w:tab w:val="num" w:pos="5760"/>
        </w:tabs>
        <w:ind w:left="5760" w:hanging="360"/>
      </w:pPr>
    </w:lvl>
    <w:lvl w:ilvl="8" w:tplc="5DF27826" w:tentative="1">
      <w:start w:val="1"/>
      <w:numFmt w:val="lowerRoman"/>
      <w:lvlText w:val="%9."/>
      <w:lvlJc w:val="right"/>
      <w:pPr>
        <w:tabs>
          <w:tab w:val="num" w:pos="6480"/>
        </w:tabs>
        <w:ind w:left="6480" w:hanging="180"/>
      </w:pPr>
    </w:lvl>
  </w:abstractNum>
  <w:abstractNum w:abstractNumId="11" w15:restartNumberingAfterBreak="0">
    <w:nsid w:val="3023658D"/>
    <w:multiLevelType w:val="hybridMultilevel"/>
    <w:tmpl w:val="F92216A4"/>
    <w:lvl w:ilvl="0" w:tplc="144E3CF2">
      <w:start w:val="1"/>
      <w:numFmt w:val="decimal"/>
      <w:lvlText w:val="%1."/>
      <w:lvlJc w:val="left"/>
      <w:pPr>
        <w:ind w:left="1636" w:hanging="360"/>
      </w:pPr>
      <w:rPr>
        <w:b w:val="0"/>
        <w:bCs w:val="0"/>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2" w15:restartNumberingAfterBreak="0">
    <w:nsid w:val="3ACF4EB2"/>
    <w:multiLevelType w:val="hybridMultilevel"/>
    <w:tmpl w:val="CB6C816A"/>
    <w:lvl w:ilvl="0" w:tplc="97E83E24">
      <w:start w:val="1"/>
      <w:numFmt w:val="bullet"/>
      <w:pStyle w:val="Bullet2G"/>
      <w:lvlText w:val="•"/>
      <w:lvlJc w:val="left"/>
      <w:pPr>
        <w:tabs>
          <w:tab w:val="num" w:pos="2268"/>
        </w:tabs>
        <w:ind w:left="2268" w:hanging="170"/>
      </w:pPr>
      <w:rPr>
        <w:rFonts w:ascii="Times New Roman" w:hAnsi="Times New Roman" w:cs="Times New Roman" w:hint="default"/>
      </w:rPr>
    </w:lvl>
    <w:lvl w:ilvl="1" w:tplc="385CB520" w:tentative="1">
      <w:start w:val="1"/>
      <w:numFmt w:val="bullet"/>
      <w:lvlText w:val="o"/>
      <w:lvlJc w:val="left"/>
      <w:pPr>
        <w:tabs>
          <w:tab w:val="num" w:pos="3708"/>
        </w:tabs>
        <w:ind w:left="3708" w:hanging="360"/>
      </w:pPr>
      <w:rPr>
        <w:rFonts w:ascii="Courier New" w:hAnsi="Courier New" w:hint="default"/>
      </w:rPr>
    </w:lvl>
    <w:lvl w:ilvl="2" w:tplc="176E24A8" w:tentative="1">
      <w:start w:val="1"/>
      <w:numFmt w:val="bullet"/>
      <w:lvlText w:val=""/>
      <w:lvlJc w:val="left"/>
      <w:pPr>
        <w:tabs>
          <w:tab w:val="num" w:pos="4428"/>
        </w:tabs>
        <w:ind w:left="4428" w:hanging="360"/>
      </w:pPr>
      <w:rPr>
        <w:rFonts w:ascii="Wingdings" w:hAnsi="Wingdings" w:hint="default"/>
      </w:rPr>
    </w:lvl>
    <w:lvl w:ilvl="3" w:tplc="87B0FFBE" w:tentative="1">
      <w:start w:val="1"/>
      <w:numFmt w:val="bullet"/>
      <w:lvlText w:val=""/>
      <w:lvlJc w:val="left"/>
      <w:pPr>
        <w:tabs>
          <w:tab w:val="num" w:pos="5148"/>
        </w:tabs>
        <w:ind w:left="5148" w:hanging="360"/>
      </w:pPr>
      <w:rPr>
        <w:rFonts w:ascii="Symbol" w:hAnsi="Symbol" w:hint="default"/>
      </w:rPr>
    </w:lvl>
    <w:lvl w:ilvl="4" w:tplc="AFF8520E" w:tentative="1">
      <w:start w:val="1"/>
      <w:numFmt w:val="bullet"/>
      <w:lvlText w:val="o"/>
      <w:lvlJc w:val="left"/>
      <w:pPr>
        <w:tabs>
          <w:tab w:val="num" w:pos="5868"/>
        </w:tabs>
        <w:ind w:left="5868" w:hanging="360"/>
      </w:pPr>
      <w:rPr>
        <w:rFonts w:ascii="Courier New" w:hAnsi="Courier New" w:hint="default"/>
      </w:rPr>
    </w:lvl>
    <w:lvl w:ilvl="5" w:tplc="4EC06E72" w:tentative="1">
      <w:start w:val="1"/>
      <w:numFmt w:val="bullet"/>
      <w:lvlText w:val=""/>
      <w:lvlJc w:val="left"/>
      <w:pPr>
        <w:tabs>
          <w:tab w:val="num" w:pos="6588"/>
        </w:tabs>
        <w:ind w:left="6588" w:hanging="360"/>
      </w:pPr>
      <w:rPr>
        <w:rFonts w:ascii="Wingdings" w:hAnsi="Wingdings" w:hint="default"/>
      </w:rPr>
    </w:lvl>
    <w:lvl w:ilvl="6" w:tplc="9B522AEE" w:tentative="1">
      <w:start w:val="1"/>
      <w:numFmt w:val="bullet"/>
      <w:lvlText w:val=""/>
      <w:lvlJc w:val="left"/>
      <w:pPr>
        <w:tabs>
          <w:tab w:val="num" w:pos="7308"/>
        </w:tabs>
        <w:ind w:left="7308" w:hanging="360"/>
      </w:pPr>
      <w:rPr>
        <w:rFonts w:ascii="Symbol" w:hAnsi="Symbol" w:hint="default"/>
      </w:rPr>
    </w:lvl>
    <w:lvl w:ilvl="7" w:tplc="50AEAF94" w:tentative="1">
      <w:start w:val="1"/>
      <w:numFmt w:val="bullet"/>
      <w:lvlText w:val="o"/>
      <w:lvlJc w:val="left"/>
      <w:pPr>
        <w:tabs>
          <w:tab w:val="num" w:pos="8028"/>
        </w:tabs>
        <w:ind w:left="8028" w:hanging="360"/>
      </w:pPr>
      <w:rPr>
        <w:rFonts w:ascii="Courier New" w:hAnsi="Courier New" w:hint="default"/>
      </w:rPr>
    </w:lvl>
    <w:lvl w:ilvl="8" w:tplc="56849D8C"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9B744A8C">
      <w:start w:val="1"/>
      <w:numFmt w:val="bullet"/>
      <w:pStyle w:val="Bullet1G"/>
      <w:lvlText w:val="•"/>
      <w:lvlJc w:val="left"/>
      <w:pPr>
        <w:tabs>
          <w:tab w:val="num" w:pos="1701"/>
        </w:tabs>
        <w:ind w:left="1701" w:hanging="170"/>
      </w:pPr>
      <w:rPr>
        <w:rFonts w:ascii="Times New Roman" w:hAnsi="Times New Roman" w:cs="Times New Roman" w:hint="default"/>
      </w:rPr>
    </w:lvl>
    <w:lvl w:ilvl="1" w:tplc="3A0C3972" w:tentative="1">
      <w:start w:val="1"/>
      <w:numFmt w:val="bullet"/>
      <w:lvlText w:val="o"/>
      <w:lvlJc w:val="left"/>
      <w:pPr>
        <w:tabs>
          <w:tab w:val="num" w:pos="3141"/>
        </w:tabs>
        <w:ind w:left="3141" w:hanging="360"/>
      </w:pPr>
      <w:rPr>
        <w:rFonts w:ascii="Courier New" w:hAnsi="Courier New" w:hint="default"/>
      </w:rPr>
    </w:lvl>
    <w:lvl w:ilvl="2" w:tplc="3090510E" w:tentative="1">
      <w:start w:val="1"/>
      <w:numFmt w:val="bullet"/>
      <w:lvlText w:val=""/>
      <w:lvlJc w:val="left"/>
      <w:pPr>
        <w:tabs>
          <w:tab w:val="num" w:pos="3861"/>
        </w:tabs>
        <w:ind w:left="3861" w:hanging="360"/>
      </w:pPr>
      <w:rPr>
        <w:rFonts w:ascii="Wingdings" w:hAnsi="Wingdings" w:hint="default"/>
      </w:rPr>
    </w:lvl>
    <w:lvl w:ilvl="3" w:tplc="078CD76E" w:tentative="1">
      <w:start w:val="1"/>
      <w:numFmt w:val="bullet"/>
      <w:lvlText w:val=""/>
      <w:lvlJc w:val="left"/>
      <w:pPr>
        <w:tabs>
          <w:tab w:val="num" w:pos="4581"/>
        </w:tabs>
        <w:ind w:left="4581" w:hanging="360"/>
      </w:pPr>
      <w:rPr>
        <w:rFonts w:ascii="Symbol" w:hAnsi="Symbol" w:hint="default"/>
      </w:rPr>
    </w:lvl>
    <w:lvl w:ilvl="4" w:tplc="43847964" w:tentative="1">
      <w:start w:val="1"/>
      <w:numFmt w:val="bullet"/>
      <w:lvlText w:val="o"/>
      <w:lvlJc w:val="left"/>
      <w:pPr>
        <w:tabs>
          <w:tab w:val="num" w:pos="5301"/>
        </w:tabs>
        <w:ind w:left="5301" w:hanging="360"/>
      </w:pPr>
      <w:rPr>
        <w:rFonts w:ascii="Courier New" w:hAnsi="Courier New" w:hint="default"/>
      </w:rPr>
    </w:lvl>
    <w:lvl w:ilvl="5" w:tplc="4E2681FE" w:tentative="1">
      <w:start w:val="1"/>
      <w:numFmt w:val="bullet"/>
      <w:lvlText w:val=""/>
      <w:lvlJc w:val="left"/>
      <w:pPr>
        <w:tabs>
          <w:tab w:val="num" w:pos="6021"/>
        </w:tabs>
        <w:ind w:left="6021" w:hanging="360"/>
      </w:pPr>
      <w:rPr>
        <w:rFonts w:ascii="Wingdings" w:hAnsi="Wingdings" w:hint="default"/>
      </w:rPr>
    </w:lvl>
    <w:lvl w:ilvl="6" w:tplc="909295B8" w:tentative="1">
      <w:start w:val="1"/>
      <w:numFmt w:val="bullet"/>
      <w:lvlText w:val=""/>
      <w:lvlJc w:val="left"/>
      <w:pPr>
        <w:tabs>
          <w:tab w:val="num" w:pos="6741"/>
        </w:tabs>
        <w:ind w:left="6741" w:hanging="360"/>
      </w:pPr>
      <w:rPr>
        <w:rFonts w:ascii="Symbol" w:hAnsi="Symbol" w:hint="default"/>
      </w:rPr>
    </w:lvl>
    <w:lvl w:ilvl="7" w:tplc="5972EAF6" w:tentative="1">
      <w:start w:val="1"/>
      <w:numFmt w:val="bullet"/>
      <w:lvlText w:val="o"/>
      <w:lvlJc w:val="left"/>
      <w:pPr>
        <w:tabs>
          <w:tab w:val="num" w:pos="7461"/>
        </w:tabs>
        <w:ind w:left="7461" w:hanging="360"/>
      </w:pPr>
      <w:rPr>
        <w:rFonts w:ascii="Courier New" w:hAnsi="Courier New" w:hint="default"/>
      </w:rPr>
    </w:lvl>
    <w:lvl w:ilvl="8" w:tplc="817AB576"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317417789">
    <w:abstractNumId w:val="16"/>
  </w:num>
  <w:num w:numId="2" w16cid:durableId="531651998">
    <w:abstractNumId w:val="12"/>
  </w:num>
  <w:num w:numId="3" w16cid:durableId="2022855360">
    <w:abstractNumId w:val="10"/>
  </w:num>
  <w:num w:numId="4" w16cid:durableId="2048988805">
    <w:abstractNumId w:val="8"/>
  </w:num>
  <w:num w:numId="5" w16cid:durableId="1868717308">
    <w:abstractNumId w:val="3"/>
  </w:num>
  <w:num w:numId="6" w16cid:durableId="2012020920">
    <w:abstractNumId w:val="2"/>
  </w:num>
  <w:num w:numId="7" w16cid:durableId="1720275113">
    <w:abstractNumId w:val="1"/>
  </w:num>
  <w:num w:numId="8" w16cid:durableId="354696941">
    <w:abstractNumId w:val="0"/>
  </w:num>
  <w:num w:numId="9" w16cid:durableId="1169910224">
    <w:abstractNumId w:val="9"/>
  </w:num>
  <w:num w:numId="10" w16cid:durableId="997030943">
    <w:abstractNumId w:val="7"/>
  </w:num>
  <w:num w:numId="11" w16cid:durableId="1280454908">
    <w:abstractNumId w:val="6"/>
  </w:num>
  <w:num w:numId="12" w16cid:durableId="1905949389">
    <w:abstractNumId w:val="5"/>
  </w:num>
  <w:num w:numId="13" w16cid:durableId="1427189644">
    <w:abstractNumId w:val="4"/>
  </w:num>
  <w:num w:numId="14" w16cid:durableId="350496429">
    <w:abstractNumId w:val="16"/>
  </w:num>
  <w:num w:numId="15" w16cid:durableId="592199760">
    <w:abstractNumId w:val="12"/>
  </w:num>
  <w:num w:numId="16" w16cid:durableId="939097492">
    <w:abstractNumId w:val="10"/>
  </w:num>
  <w:num w:numId="17" w16cid:durableId="275915722">
    <w:abstractNumId w:val="13"/>
  </w:num>
  <w:num w:numId="18" w16cid:durableId="901016803">
    <w:abstractNumId w:val="15"/>
  </w:num>
  <w:num w:numId="19" w16cid:durableId="598105660">
    <w:abstractNumId w:val="14"/>
  </w:num>
  <w:num w:numId="20" w16cid:durableId="1668820757">
    <w:abstractNumId w:val="17"/>
  </w:num>
  <w:num w:numId="21" w16cid:durableId="8199315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3A38"/>
    <w:rsid w:val="00023A38"/>
    <w:rsid w:val="001246D5"/>
    <w:rsid w:val="00191D67"/>
    <w:rsid w:val="00245757"/>
    <w:rsid w:val="00394C19"/>
    <w:rsid w:val="003D6145"/>
    <w:rsid w:val="004330CD"/>
    <w:rsid w:val="004A43A3"/>
    <w:rsid w:val="004B2CD5"/>
    <w:rsid w:val="00525F7C"/>
    <w:rsid w:val="005F7A44"/>
    <w:rsid w:val="00737760"/>
    <w:rsid w:val="0079192F"/>
    <w:rsid w:val="00794BB4"/>
    <w:rsid w:val="0079707C"/>
    <w:rsid w:val="007973B5"/>
    <w:rsid w:val="007A48C3"/>
    <w:rsid w:val="007C6769"/>
    <w:rsid w:val="007F4501"/>
    <w:rsid w:val="00942F27"/>
    <w:rsid w:val="009C7D19"/>
    <w:rsid w:val="00A44539"/>
    <w:rsid w:val="00A55394"/>
    <w:rsid w:val="00AF4F64"/>
    <w:rsid w:val="00BE462A"/>
    <w:rsid w:val="00CC6737"/>
    <w:rsid w:val="00DE4689"/>
    <w:rsid w:val="00EB7B4D"/>
    <w:rsid w:val="00EC51B7"/>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6F5CBB"/>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30CD"/>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pPr>
      <w:keepNext/>
      <w:keepLines/>
      <w:spacing w:after="0" w:line="240" w:lineRule="auto"/>
      <w:ind w:right="0"/>
      <w:jc w:val="left"/>
      <w:outlineLvl w:val="0"/>
    </w:pPr>
  </w:style>
  <w:style w:type="paragraph" w:styleId="Heading2">
    <w:name w:val="heading 2"/>
    <w:basedOn w:val="Normal"/>
    <w:next w:val="Normal"/>
    <w:link w:val="Heading2Char"/>
    <w:semiHidden/>
    <w:qFormat/>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Pr>
      <w:rFonts w:ascii="Times New Roman" w:hAnsi="Times New Roman" w:cs="Times New Roman"/>
      <w:b/>
      <w:sz w:val="18"/>
      <w:szCs w:val="20"/>
      <w:lang w:val="en-GB"/>
    </w:rPr>
  </w:style>
  <w:style w:type="paragraph" w:styleId="Footer">
    <w:name w:val="footer"/>
    <w:aliases w:val="3_G"/>
    <w:basedOn w:val="Normal"/>
    <w:link w:val="FooterChar"/>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Pr>
      <w:rFonts w:ascii="Times New Roman" w:hAnsi="Times New Roman" w:cs="Times New Roman"/>
      <w:sz w:val="16"/>
      <w:szCs w:val="20"/>
      <w:lang w:val="en-GB"/>
    </w:rPr>
  </w:style>
  <w:style w:type="paragraph" w:customStyle="1" w:styleId="HMG">
    <w:name w:val="_ H __M_G"/>
    <w:basedOn w:val="Normal"/>
    <w:next w:val="Normal"/>
    <w:qFormat/>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pPr>
      <w:numPr>
        <w:numId w:val="16"/>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Pr>
      <w:rFonts w:ascii="Times New Roman" w:hAnsi="Times New Roman"/>
      <w:sz w:val="18"/>
      <w:vertAlign w:val="superscript"/>
      <w:lang w:val="en-GB"/>
    </w:rPr>
  </w:style>
  <w:style w:type="character" w:styleId="EndnoteReference">
    <w:name w:val="endnote reference"/>
    <w:aliases w:val="1_G"/>
    <w:basedOn w:val="FootnoteReference"/>
    <w:qFormat/>
    <w:rPr>
      <w:rFonts w:ascii="Times New Roman" w:hAnsi="Times New Roman"/>
      <w:sz w:val="18"/>
      <w:vertAlign w:val="superscript"/>
      <w:lang w:val="en-GB"/>
    </w:rPr>
  </w:style>
  <w:style w:type="table" w:styleId="TableGrid">
    <w:name w:val="Table Grid"/>
    <w:basedOn w:val="Table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Pr>
      <w:color w:val="0000FF"/>
      <w:u w:val="none"/>
    </w:rPr>
  </w:style>
  <w:style w:type="character" w:styleId="FollowedHyperlink">
    <w:name w:val="FollowedHyperlink"/>
    <w:basedOn w:val="DefaultParagraphFont"/>
    <w:semiHidden/>
    <w:rPr>
      <w:color w:val="0000FF"/>
      <w:u w:val="none"/>
    </w:rPr>
  </w:style>
  <w:style w:type="paragraph" w:styleId="FootnoteText">
    <w:name w:val="footnote text"/>
    <w:aliases w:val="5_G"/>
    <w:basedOn w:val="Normal"/>
    <w:link w:val="FootnoteTextChar"/>
    <w:qFormat/>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Pr>
      <w:rFonts w:ascii="Times New Roman" w:hAnsi="Times New Roman" w:cs="Times New Roman"/>
      <w:sz w:val="18"/>
      <w:szCs w:val="20"/>
      <w:lang w:val="en-GB"/>
    </w:rPr>
  </w:style>
  <w:style w:type="paragraph" w:styleId="EndnoteText">
    <w:name w:val="endnote text"/>
    <w:aliases w:val="2_G"/>
    <w:basedOn w:val="FootnoteText"/>
    <w:link w:val="EndnoteTextChar"/>
    <w:qFormat/>
  </w:style>
  <w:style w:type="character" w:customStyle="1" w:styleId="EndnoteTextChar">
    <w:name w:val="Endnote Text Char"/>
    <w:aliases w:val="2_G Char"/>
    <w:basedOn w:val="DefaultParagraphFont"/>
    <w:link w:val="EndnoteText"/>
    <w:rPr>
      <w:rFonts w:ascii="Times New Roman" w:hAnsi="Times New Roman" w:cs="Times New Roman"/>
      <w:sz w:val="18"/>
      <w:szCs w:val="20"/>
      <w:lang w:val="en-GB"/>
    </w:rPr>
  </w:style>
  <w:style w:type="character" w:styleId="PageNumber">
    <w:name w:val="page number"/>
    <w:aliases w:val="7_G"/>
    <w:basedOn w:val="DefaultParagraphFont"/>
    <w:qFormat/>
    <w:rPr>
      <w:rFonts w:ascii="Times New Roman" w:hAnsi="Times New Roman"/>
      <w:b/>
      <w:sz w:val="18"/>
      <w:lang w:val="en-GB"/>
    </w:rPr>
  </w:style>
  <w:style w:type="character" w:customStyle="1" w:styleId="Heading1Char">
    <w:name w:val="Heading 1 Char"/>
    <w:aliases w:val="Table_G Char"/>
    <w:basedOn w:val="DefaultParagraphFont"/>
    <w:link w:val="Heading1"/>
    <w:rPr>
      <w:rFonts w:ascii="Times New Roman" w:hAnsi="Times New Roman" w:cs="Times New Roman"/>
      <w:sz w:val="20"/>
      <w:szCs w:val="20"/>
      <w:lang w:val="en-GB"/>
    </w:rPr>
  </w:style>
  <w:style w:type="character" w:customStyle="1" w:styleId="Heading2Char">
    <w:name w:val="Heading 2 Char"/>
    <w:basedOn w:val="DefaultParagraphFont"/>
    <w:link w:val="Heading2"/>
    <w:semiHidden/>
    <w:rPr>
      <w:rFonts w:ascii="Times New Roman" w:hAnsi="Times New Roman" w:cs="Times New Roman"/>
      <w:sz w:val="20"/>
      <w:szCs w:val="20"/>
    </w:rPr>
  </w:style>
  <w:style w:type="character" w:customStyle="1" w:styleId="Heading3Char">
    <w:name w:val="Heading 3 Char"/>
    <w:basedOn w:val="DefaultParagraphFont"/>
    <w:link w:val="Heading3"/>
    <w:semiHidden/>
    <w:rPr>
      <w:rFonts w:ascii="Times New Roman" w:hAnsi="Times New Roman" w:cs="Times New Roman"/>
      <w:sz w:val="20"/>
      <w:szCs w:val="20"/>
    </w:rPr>
  </w:style>
  <w:style w:type="character" w:customStyle="1" w:styleId="Heading4Char">
    <w:name w:val="Heading 4 Char"/>
    <w:basedOn w:val="DefaultParagraphFont"/>
    <w:link w:val="Heading4"/>
    <w:semiHidden/>
    <w:rPr>
      <w:rFonts w:ascii="Times New Roman" w:hAnsi="Times New Roman" w:cs="Times New Roman"/>
      <w:sz w:val="20"/>
      <w:szCs w:val="20"/>
    </w:rPr>
  </w:style>
  <w:style w:type="character" w:customStyle="1" w:styleId="Heading5Char">
    <w:name w:val="Heading 5 Char"/>
    <w:basedOn w:val="DefaultParagraphFont"/>
    <w:link w:val="Heading5"/>
    <w:semiHidden/>
    <w:rPr>
      <w:rFonts w:ascii="Times New Roman" w:hAnsi="Times New Roman" w:cs="Times New Roman"/>
      <w:sz w:val="20"/>
      <w:szCs w:val="20"/>
    </w:rPr>
  </w:style>
  <w:style w:type="character" w:customStyle="1" w:styleId="Heading6Char">
    <w:name w:val="Heading 6 Char"/>
    <w:basedOn w:val="DefaultParagraphFont"/>
    <w:link w:val="Heading6"/>
    <w:semiHidden/>
    <w:rPr>
      <w:rFonts w:ascii="Times New Roman" w:hAnsi="Times New Roman" w:cs="Times New Roman"/>
      <w:sz w:val="20"/>
      <w:szCs w:val="20"/>
    </w:rPr>
  </w:style>
  <w:style w:type="character" w:customStyle="1" w:styleId="Heading7Char">
    <w:name w:val="Heading 7 Char"/>
    <w:basedOn w:val="DefaultParagraphFont"/>
    <w:link w:val="Heading7"/>
    <w:semiHidden/>
    <w:rPr>
      <w:rFonts w:ascii="Times New Roman" w:hAnsi="Times New Roman" w:cs="Times New Roman"/>
      <w:sz w:val="20"/>
      <w:szCs w:val="20"/>
    </w:rPr>
  </w:style>
  <w:style w:type="character" w:customStyle="1" w:styleId="Heading8Char">
    <w:name w:val="Heading 8 Char"/>
    <w:basedOn w:val="DefaultParagraphFont"/>
    <w:link w:val="Heading8"/>
    <w:semiHidden/>
    <w:rPr>
      <w:rFonts w:ascii="Times New Roman" w:hAnsi="Times New Roman" w:cs="Times New Roman"/>
      <w:sz w:val="20"/>
      <w:szCs w:val="20"/>
    </w:rPr>
  </w:style>
  <w:style w:type="character" w:customStyle="1" w:styleId="Heading9Char">
    <w:name w:val="Heading 9 Char"/>
    <w:basedOn w:val="DefaultParagraphFont"/>
    <w:link w:val="Heading9"/>
    <w:semiHidden/>
    <w:rPr>
      <w:rFonts w:ascii="Times New Roman" w:hAnsi="Times New Roman" w:cs="Times New Roman"/>
      <w:sz w:val="20"/>
      <w:szCs w:val="20"/>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GB"/>
    </w:rPr>
  </w:style>
  <w:style w:type="character" w:customStyle="1" w:styleId="SingleTxtGChar">
    <w:name w:val="_ Single Txt_G Char"/>
    <w:link w:val="SingleTxtG"/>
    <w:locked/>
    <w:rPr>
      <w:rFonts w:ascii="Times New Roman" w:hAnsi="Times New Roman" w:cs="Times New Roman"/>
      <w:sz w:val="20"/>
      <w:szCs w:val="20"/>
      <w:lang w:val="en-GB"/>
    </w:rPr>
  </w:style>
  <w:style w:type="numbering" w:styleId="111111">
    <w:name w:val="Outline List 2"/>
    <w:basedOn w:val="NoList"/>
    <w:semiHidden/>
    <w:pPr>
      <w:numPr>
        <w:numId w:val="18"/>
      </w:numPr>
    </w:pPr>
  </w:style>
  <w:style w:type="numbering" w:styleId="1ai">
    <w:name w:val="Outline List 1"/>
    <w:basedOn w:val="NoList"/>
    <w:semiHidden/>
    <w:pPr>
      <w:numPr>
        <w:numId w:val="20"/>
      </w:numPr>
    </w:pPr>
  </w:style>
  <w:style w:type="table" w:customStyle="1" w:styleId="TableGrid1">
    <w:name w:val="Table Grid1"/>
    <w:basedOn w:val="TableNormal"/>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CC673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lac.org.na/laws/annoSTAT/Combating%20of%20Domestic%20Violence%20Act%204%20of%202003.pdf"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www.nampol.gov.na"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lac.org.na/laws/annoSTAT/Child%20Care%20and%20Protection%20Act%203%20of%202015.pdf"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lac.org.na/laws/annoSTAT/Marriage%20Act%2025%20of%201961.pdf"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29926d6b-938b-4af7-b041-aee0d57e6e3d">
      <Terms xmlns="http://schemas.microsoft.com/office/infopath/2007/PartnerControls"/>
    </lcf76f155ced4ddcb4097134ff3c332f>
    <Document_x0020_Date xmlns="985ec44e-1bab-4c0b-9df0-6ba128686fc9">2025-01-07T11:50:25+00:00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0bf77183540d9c58761496886d6db9e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d53a20a8c358b5f155380b692fbadd09"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4DFC919-DEF2-4D93-B3A2-2D836A1CAF8D}">
  <ds:schemaRefs>
    <ds:schemaRef ds:uri="http://schemas.microsoft.com/office/2006/metadata/properties"/>
    <ds:schemaRef ds:uri="http://schemas.microsoft.com/office/infopath/2007/PartnerControls"/>
    <ds:schemaRef ds:uri="985ec44e-1bab-4c0b-9df0-6ba128686fc9"/>
    <ds:schemaRef ds:uri="29926d6b-938b-4af7-b041-aee0d57e6e3d"/>
    <ds:schemaRef ds:uri="11a6fe0c-d8de-4390-afb3-d9c7c54181f0"/>
    <ds:schemaRef ds:uri="http://schemas.microsoft.com/sharepoint/v3"/>
  </ds:schemaRefs>
</ds:datastoreItem>
</file>

<file path=customXml/itemProps2.xml><?xml version="1.0" encoding="utf-8"?>
<ds:datastoreItem xmlns:ds="http://schemas.openxmlformats.org/officeDocument/2006/customXml" ds:itemID="{2EA5D47C-D9C6-499E-9359-81CF91844D52}">
  <ds:schemaRefs>
    <ds:schemaRef ds:uri="http://schemas.microsoft.com/sharepoint/v3/contenttype/forms"/>
  </ds:schemaRefs>
</ds:datastoreItem>
</file>

<file path=customXml/itemProps3.xml><?xml version="1.0" encoding="utf-8"?>
<ds:datastoreItem xmlns:ds="http://schemas.openxmlformats.org/officeDocument/2006/customXml" ds:itemID="{17F9E75E-66D9-4F16-98CE-17FED88B9E2F}">
  <ds:schemaRefs>
    <ds:schemaRef ds:uri="http://schemas.openxmlformats.org/officeDocument/2006/bibliography"/>
  </ds:schemaRefs>
</ds:datastoreItem>
</file>

<file path=customXml/itemProps4.xml><?xml version="1.0" encoding="utf-8"?>
<ds:datastoreItem xmlns:ds="http://schemas.openxmlformats.org/officeDocument/2006/customXml" ds:itemID="{EF619E33-0477-46BB-896C-E3A0CEC495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29926d6b-938b-4af7-b041-aee0d57e6e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1428</Words>
  <Characters>8145</Characters>
  <Application>Microsoft Office Word</Application>
  <DocSecurity>0</DocSecurity>
  <Lines>67</Lines>
  <Paragraphs>19</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CEDAW/C/NAM/FCO/6</vt:lpstr>
      <vt:lpstr/>
      <vt:lpstr/>
    </vt:vector>
  </TitlesOfParts>
  <Company>DCM</Company>
  <LinksUpToDate>false</LinksUpToDate>
  <CharactersWithSpaces>9554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CEDAW/C/NAM/FCO/6</dc:title>
  <dc:creator>Gloria</dc:creator>
  <cp:lastModifiedBy>Jamila Devi Seerathun</cp:lastModifiedBy>
  <cp:revision>4</cp:revision>
  <cp:lastPrinted>2017-04-21T12:16:00Z</cp:lastPrinted>
  <dcterms:created xsi:type="dcterms:W3CDTF">2025-01-07T12:29:00Z</dcterms:created>
  <dcterms:modified xsi:type="dcterms:W3CDTF">2025-01-07T12:49:00Z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CEDAW</vt:lpwstr>
  </property>
  <property fmtid="{D5CDD505-2E9C-101B-9397-08002B2CF9AE}" pid="7" name="count">
    <vt:lpwstr>Namibia</vt:lpwstr>
  </property>
  <property fmtid="{D5CDD505-2E9C-101B-9397-08002B2CF9AE}" pid="8" name="countw">
    <vt:lpwstr>Namibia</vt:lpwstr>
  </property>
  <property fmtid="{D5CDD505-2E9C-101B-9397-08002B2CF9AE}" pid="9" name="countwd">
    <vt:lpwstr>Namibia</vt:lpwstr>
  </property>
  <property fmtid="{D5CDD505-2E9C-101B-9397-08002B2CF9AE}" pid="10" name="date">
    <vt:lpwstr>8 January 2025</vt:lpwstr>
  </property>
  <property fmtid="{D5CDD505-2E9C-101B-9397-08002B2CF9AE}" pid="11" name="Date-Generated">
    <vt:filetime>2025-01-07T11:49:05Z</vt:filetime>
  </property>
  <property fmtid="{D5CDD505-2E9C-101B-9397-08002B2CF9AE}" pid="12" name="dist">
    <vt:lpwstr>General</vt:lpwstr>
  </property>
  <property fmtid="{D5CDD505-2E9C-101B-9397-08002B2CF9AE}" pid="13" name="doctype">
    <vt:lpwstr>FInal</vt:lpwstr>
  </property>
  <property fmtid="{D5CDD505-2E9C-101B-9397-08002B2CF9AE}" pid="14" name="Entity">
    <vt:lpwstr>Concluding observations - Follow-up</vt:lpwstr>
  </property>
  <property fmtid="{D5CDD505-2E9C-101B-9397-08002B2CF9AE}" pid="15" name="gdoc">
    <vt:lpwstr/>
  </property>
  <property fmtid="{D5CDD505-2E9C-101B-9397-08002B2CF9AE}" pid="16" name="gdocf">
    <vt:lpwstr/>
  </property>
  <property fmtid="{D5CDD505-2E9C-101B-9397-08002B2CF9AE}" pid="17" name="Nmeet">
    <vt:lpwstr>Number</vt:lpwstr>
  </property>
  <property fmtid="{D5CDD505-2E9C-101B-9397-08002B2CF9AE}" pid="18" name="olang">
    <vt:lpwstr>English</vt:lpwstr>
  </property>
  <property fmtid="{D5CDD505-2E9C-101B-9397-08002B2CF9AE}" pid="19" name="Order">
    <vt:r8>160000</vt:r8>
  </property>
  <property fmtid="{D5CDD505-2E9C-101B-9397-08002B2CF9AE}" pid="20" name="Org">
    <vt:lpwstr>OHCHR</vt:lpwstr>
  </property>
  <property fmtid="{D5CDD505-2E9C-101B-9397-08002B2CF9AE}" pid="21" name="prep">
    <vt:lpwstr>sixth periodic report of Namibia</vt:lpwstr>
  </property>
  <property fmtid="{D5CDD505-2E9C-101B-9397-08002B2CF9AE}" pid="22" name="preps">
    <vt:lpwstr>sixth periodic report of Namibia</vt:lpwstr>
  </property>
  <property fmtid="{D5CDD505-2E9C-101B-9397-08002B2CF9AE}" pid="23" name="prepw">
    <vt:lpwstr>sixth periodic report</vt:lpwstr>
  </property>
  <property fmtid="{D5CDD505-2E9C-101B-9397-08002B2CF9AE}" pid="24" name="prepwc">
    <vt:lpwstr>Sixth periodic report </vt:lpwstr>
  </property>
  <property fmtid="{D5CDD505-2E9C-101B-9397-08002B2CF9AE}" pid="25" name="prepws">
    <vt:lpwstr>sixth periodic report</vt:lpwstr>
  </property>
  <property fmtid="{D5CDD505-2E9C-101B-9397-08002B2CF9AE}" pid="26" name="sdate">
    <vt:lpwstr>[Start-End Dates]</vt:lpwstr>
  </property>
  <property fmtid="{D5CDD505-2E9C-101B-9397-08002B2CF9AE}" pid="27" name="sloca">
    <vt:lpwstr>[Location]</vt:lpwstr>
  </property>
  <property fmtid="{D5CDD505-2E9C-101B-9397-08002B2CF9AE}" pid="28" name="snum">
    <vt:lpwstr>[NUMBER]</vt:lpwstr>
  </property>
  <property fmtid="{D5CDD505-2E9C-101B-9397-08002B2CF9AE}" pid="29" name="stitle">
    <vt:lpwstr>[Title]</vt:lpwstr>
  </property>
  <property fmtid="{D5CDD505-2E9C-101B-9397-08002B2CF9AE}" pid="30" name="sym1">
    <vt:lpwstr>C/NAM/FCO/6</vt:lpwstr>
  </property>
  <property fmtid="{D5CDD505-2E9C-101B-9397-08002B2CF9AE}" pid="31" name="symh">
    <vt:lpwstr>CEDAW/C/NAM/FCO/6</vt:lpwstr>
  </property>
  <property fmtid="{D5CDD505-2E9C-101B-9397-08002B2CF9AE}" pid="32" name="Title">
    <vt:lpwstr>CEDAW/C/NAM/FCO/6</vt:lpwstr>
  </property>
  <property fmtid="{D5CDD505-2E9C-101B-9397-08002B2CF9AE}" pid="33" name="tlang">
    <vt:lpwstr/>
  </property>
  <property fmtid="{D5CDD505-2E9C-101B-9397-08002B2CF9AE}" pid="34" name="virs">
    <vt:lpwstr>English, French and Spanish only</vt:lpwstr>
  </property>
  <property fmtid="{D5CDD505-2E9C-101B-9397-08002B2CF9AE}" pid="35" name="ContentTypeId">
    <vt:lpwstr>0x010100A3CFA62B47352B44BFD11BEB9CD9FD5A</vt:lpwstr>
  </property>
  <property fmtid="{D5CDD505-2E9C-101B-9397-08002B2CF9AE}" pid="36" name="MediaServiceImageTags">
    <vt:lpwstr/>
  </property>
</Properties>
</file>