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6578" w:rsidRPr="001125D7" w:rsidRDefault="002A6578">
      <w:pPr>
        <w:rPr>
          <w:rFonts w:asciiTheme="minorHAnsi" w:hAnsiTheme="minorHAnsi" w:cstheme="minorHAnsi"/>
          <w:sz w:val="22"/>
          <w:szCs w:val="22"/>
          <w:highlight w:val="lightGray"/>
        </w:rPr>
      </w:pPr>
    </w:p>
    <w:p w:rsidR="00095DCD" w:rsidRDefault="00095DCD" w:rsidP="00D31220">
      <w:pPr>
        <w:jc w:val="center"/>
        <w:rPr>
          <w:rFonts w:asciiTheme="minorHAnsi" w:hAnsiTheme="minorHAnsi" w:cstheme="minorHAnsi"/>
          <w:b/>
          <w:bCs/>
          <w:sz w:val="36"/>
          <w:szCs w:val="36"/>
        </w:rPr>
      </w:pPr>
    </w:p>
    <w:p w:rsidR="00095DCD" w:rsidRDefault="00095DCD" w:rsidP="00D31220">
      <w:pPr>
        <w:jc w:val="center"/>
        <w:rPr>
          <w:rFonts w:asciiTheme="minorHAnsi" w:hAnsiTheme="minorHAnsi" w:cstheme="minorHAnsi"/>
          <w:b/>
          <w:bCs/>
          <w:sz w:val="36"/>
          <w:szCs w:val="36"/>
        </w:rPr>
      </w:pPr>
    </w:p>
    <w:p w:rsidR="00095DCD" w:rsidRDefault="00095DCD" w:rsidP="00D31220">
      <w:pPr>
        <w:jc w:val="center"/>
        <w:rPr>
          <w:rFonts w:asciiTheme="minorHAnsi" w:hAnsiTheme="minorHAnsi" w:cstheme="minorHAnsi"/>
          <w:b/>
          <w:bCs/>
          <w:sz w:val="36"/>
          <w:szCs w:val="36"/>
        </w:rPr>
      </w:pPr>
    </w:p>
    <w:p w:rsidR="00095DCD" w:rsidRDefault="00095DCD" w:rsidP="00D31220">
      <w:pPr>
        <w:jc w:val="center"/>
        <w:rPr>
          <w:rFonts w:asciiTheme="minorHAnsi" w:hAnsiTheme="minorHAnsi" w:cstheme="minorHAnsi"/>
          <w:b/>
          <w:bCs/>
          <w:sz w:val="36"/>
          <w:szCs w:val="36"/>
        </w:rPr>
      </w:pPr>
    </w:p>
    <w:p w:rsidR="00095DCD" w:rsidRDefault="00095DCD" w:rsidP="00D31220">
      <w:pPr>
        <w:jc w:val="center"/>
        <w:rPr>
          <w:rFonts w:asciiTheme="minorHAnsi" w:hAnsiTheme="minorHAnsi" w:cstheme="minorHAnsi"/>
          <w:b/>
          <w:bCs/>
          <w:sz w:val="36"/>
          <w:szCs w:val="36"/>
        </w:rPr>
      </w:pPr>
    </w:p>
    <w:p w:rsidR="00D31220" w:rsidRPr="00095DCD" w:rsidRDefault="00D31220" w:rsidP="00D31220">
      <w:pPr>
        <w:jc w:val="center"/>
        <w:rPr>
          <w:rFonts w:asciiTheme="minorHAnsi" w:hAnsiTheme="minorHAnsi" w:cstheme="minorHAnsi"/>
          <w:b/>
          <w:bCs/>
          <w:sz w:val="36"/>
          <w:szCs w:val="36"/>
        </w:rPr>
      </w:pPr>
      <w:r w:rsidRPr="00095DCD">
        <w:rPr>
          <w:rFonts w:asciiTheme="minorHAnsi" w:hAnsiTheme="minorHAnsi" w:cstheme="minorHAnsi"/>
          <w:b/>
          <w:bCs/>
          <w:sz w:val="36"/>
          <w:szCs w:val="36"/>
        </w:rPr>
        <w:t xml:space="preserve">NGO Report to the UN Committee on the Elimination of Racial Discrimination in Advance of its </w:t>
      </w:r>
    </w:p>
    <w:p w:rsidR="00D31220" w:rsidRPr="00095DCD" w:rsidRDefault="00D31220" w:rsidP="00DB3E1D">
      <w:pPr>
        <w:jc w:val="center"/>
        <w:rPr>
          <w:rFonts w:asciiTheme="minorHAnsi" w:hAnsiTheme="minorHAnsi" w:cstheme="minorHAnsi"/>
          <w:b/>
          <w:bCs/>
          <w:sz w:val="36"/>
          <w:szCs w:val="36"/>
        </w:rPr>
      </w:pPr>
      <w:r w:rsidRPr="00095DCD">
        <w:rPr>
          <w:rFonts w:asciiTheme="minorHAnsi" w:hAnsiTheme="minorHAnsi" w:cstheme="minorHAnsi"/>
          <w:b/>
          <w:bCs/>
          <w:sz w:val="36"/>
          <w:szCs w:val="36"/>
        </w:rPr>
        <w:t xml:space="preserve">List of </w:t>
      </w:r>
      <w:r w:rsidR="00DB3E1D" w:rsidRPr="00095DCD">
        <w:rPr>
          <w:rFonts w:asciiTheme="minorHAnsi" w:hAnsiTheme="minorHAnsi" w:cstheme="minorHAnsi"/>
          <w:b/>
          <w:bCs/>
          <w:sz w:val="36"/>
          <w:szCs w:val="36"/>
        </w:rPr>
        <w:t>Themes</w:t>
      </w:r>
      <w:r w:rsidRPr="00095DCD">
        <w:rPr>
          <w:rFonts w:asciiTheme="minorHAnsi" w:hAnsiTheme="minorHAnsi" w:cstheme="minorHAnsi"/>
          <w:b/>
          <w:bCs/>
          <w:sz w:val="36"/>
          <w:szCs w:val="36"/>
        </w:rPr>
        <w:t xml:space="preserve"> for the State of Israel</w:t>
      </w:r>
    </w:p>
    <w:p w:rsidR="00D31220" w:rsidRPr="00095DCD" w:rsidRDefault="00D31220" w:rsidP="00D31220">
      <w:pPr>
        <w:jc w:val="center"/>
        <w:rPr>
          <w:rFonts w:asciiTheme="minorHAnsi" w:hAnsiTheme="minorHAnsi" w:cstheme="minorHAnsi"/>
          <w:b/>
          <w:bCs/>
          <w:sz w:val="36"/>
          <w:szCs w:val="36"/>
        </w:rPr>
      </w:pPr>
    </w:p>
    <w:p w:rsidR="00D31220" w:rsidRPr="00095DCD" w:rsidRDefault="00D31220" w:rsidP="00D31220">
      <w:pPr>
        <w:jc w:val="center"/>
        <w:rPr>
          <w:rFonts w:asciiTheme="minorHAnsi" w:hAnsiTheme="minorHAnsi" w:cstheme="minorHAnsi"/>
          <w:sz w:val="36"/>
          <w:szCs w:val="36"/>
        </w:rPr>
      </w:pPr>
      <w:r w:rsidRPr="00095DCD">
        <w:rPr>
          <w:rFonts w:asciiTheme="minorHAnsi" w:hAnsiTheme="minorHAnsi" w:cstheme="minorHAnsi"/>
          <w:sz w:val="36"/>
          <w:szCs w:val="36"/>
        </w:rPr>
        <w:t xml:space="preserve">Violations of the ICERD committed by the State of Israel against Palestinian </w:t>
      </w:r>
      <w:r w:rsidR="00095DCD">
        <w:rPr>
          <w:rFonts w:asciiTheme="minorHAnsi" w:hAnsiTheme="minorHAnsi" w:cstheme="minorHAnsi"/>
          <w:sz w:val="36"/>
          <w:szCs w:val="36"/>
        </w:rPr>
        <w:t xml:space="preserve">citizens of </w:t>
      </w:r>
      <w:r w:rsidRPr="00095DCD">
        <w:rPr>
          <w:rFonts w:asciiTheme="minorHAnsi" w:hAnsiTheme="minorHAnsi" w:cstheme="minorHAnsi"/>
          <w:sz w:val="36"/>
          <w:szCs w:val="36"/>
        </w:rPr>
        <w:t xml:space="preserve">Israel </w:t>
      </w:r>
    </w:p>
    <w:p w:rsidR="00D31220" w:rsidRPr="00095DCD" w:rsidRDefault="00D31220" w:rsidP="00D31220">
      <w:pPr>
        <w:jc w:val="center"/>
        <w:rPr>
          <w:rFonts w:asciiTheme="minorHAnsi" w:hAnsiTheme="minorHAnsi" w:cstheme="minorHAnsi"/>
          <w:sz w:val="36"/>
          <w:szCs w:val="36"/>
        </w:rPr>
      </w:pPr>
    </w:p>
    <w:p w:rsidR="007E6AC0" w:rsidRPr="00095DCD" w:rsidRDefault="007E6AC0" w:rsidP="00D31220">
      <w:pPr>
        <w:jc w:val="center"/>
        <w:rPr>
          <w:rFonts w:asciiTheme="minorHAnsi" w:hAnsiTheme="minorHAnsi" w:cstheme="minorHAnsi"/>
          <w:sz w:val="36"/>
          <w:szCs w:val="36"/>
        </w:rPr>
      </w:pPr>
    </w:p>
    <w:p w:rsidR="007E6AC0" w:rsidRPr="00095DCD" w:rsidRDefault="007E6AC0" w:rsidP="00D31220">
      <w:pPr>
        <w:jc w:val="center"/>
        <w:rPr>
          <w:rFonts w:asciiTheme="minorHAnsi" w:hAnsiTheme="minorHAnsi" w:cstheme="minorHAnsi"/>
          <w:sz w:val="36"/>
          <w:szCs w:val="36"/>
        </w:rPr>
      </w:pPr>
    </w:p>
    <w:p w:rsidR="007E6AC0" w:rsidRDefault="007E6AC0" w:rsidP="00D31220">
      <w:pPr>
        <w:jc w:val="center"/>
        <w:rPr>
          <w:rFonts w:asciiTheme="minorHAnsi" w:hAnsiTheme="minorHAnsi" w:cstheme="minorHAnsi"/>
          <w:sz w:val="36"/>
          <w:szCs w:val="36"/>
        </w:rPr>
      </w:pPr>
    </w:p>
    <w:p w:rsidR="00095DCD" w:rsidRDefault="00095DCD" w:rsidP="00D31220">
      <w:pPr>
        <w:jc w:val="center"/>
        <w:rPr>
          <w:rFonts w:asciiTheme="minorHAnsi" w:hAnsiTheme="minorHAnsi" w:cstheme="minorHAnsi"/>
          <w:sz w:val="36"/>
          <w:szCs w:val="36"/>
        </w:rPr>
      </w:pPr>
    </w:p>
    <w:p w:rsidR="00095DCD" w:rsidRDefault="00095DCD" w:rsidP="00D31220">
      <w:pPr>
        <w:jc w:val="center"/>
        <w:rPr>
          <w:rFonts w:asciiTheme="minorHAnsi" w:hAnsiTheme="minorHAnsi" w:cstheme="minorHAnsi"/>
          <w:sz w:val="36"/>
          <w:szCs w:val="36"/>
        </w:rPr>
      </w:pPr>
    </w:p>
    <w:p w:rsidR="00095DCD" w:rsidRPr="00095DCD" w:rsidRDefault="00095DCD" w:rsidP="00D31220">
      <w:pPr>
        <w:jc w:val="center"/>
        <w:rPr>
          <w:rFonts w:asciiTheme="minorHAnsi" w:hAnsiTheme="minorHAnsi" w:cstheme="minorHAnsi"/>
          <w:sz w:val="36"/>
          <w:szCs w:val="36"/>
        </w:rPr>
      </w:pPr>
    </w:p>
    <w:p w:rsidR="00D31220" w:rsidRPr="00095DCD" w:rsidRDefault="00D31220" w:rsidP="00D31220">
      <w:pPr>
        <w:jc w:val="center"/>
        <w:rPr>
          <w:rFonts w:asciiTheme="minorHAnsi" w:hAnsiTheme="minorHAnsi" w:cstheme="minorHAnsi"/>
          <w:sz w:val="36"/>
          <w:szCs w:val="36"/>
        </w:rPr>
      </w:pPr>
      <w:r w:rsidRPr="00095DCD">
        <w:rPr>
          <w:rFonts w:asciiTheme="minorHAnsi" w:hAnsiTheme="minorHAnsi" w:cstheme="minorHAnsi"/>
          <w:sz w:val="36"/>
          <w:szCs w:val="36"/>
        </w:rPr>
        <w:t>Submitted by</w:t>
      </w:r>
    </w:p>
    <w:p w:rsidR="00D31220" w:rsidRPr="00095DCD" w:rsidRDefault="00D31220" w:rsidP="00D31220">
      <w:pPr>
        <w:jc w:val="center"/>
        <w:rPr>
          <w:rFonts w:asciiTheme="minorHAnsi" w:hAnsiTheme="minorHAnsi" w:cstheme="minorHAnsi"/>
          <w:sz w:val="36"/>
          <w:szCs w:val="36"/>
          <w:highlight w:val="yellow"/>
        </w:rPr>
      </w:pPr>
      <w:proofErr w:type="spellStart"/>
      <w:r w:rsidRPr="00095DCD">
        <w:rPr>
          <w:rFonts w:asciiTheme="minorHAnsi" w:hAnsiTheme="minorHAnsi" w:cstheme="minorHAnsi"/>
          <w:b/>
          <w:bCs/>
          <w:sz w:val="36"/>
          <w:szCs w:val="36"/>
        </w:rPr>
        <w:t>Adalah</w:t>
      </w:r>
      <w:proofErr w:type="spellEnd"/>
      <w:r w:rsidRPr="00095DCD">
        <w:rPr>
          <w:rFonts w:asciiTheme="minorHAnsi" w:hAnsiTheme="minorHAnsi" w:cstheme="minorHAnsi"/>
          <w:b/>
          <w:bCs/>
          <w:sz w:val="36"/>
          <w:szCs w:val="36"/>
        </w:rPr>
        <w:t xml:space="preserve"> – The Legal Center for Arab Minority Rights in Israel</w:t>
      </w:r>
    </w:p>
    <w:p w:rsidR="00D31220" w:rsidRPr="00095DCD" w:rsidRDefault="00D31220" w:rsidP="00D31220">
      <w:pPr>
        <w:jc w:val="center"/>
        <w:rPr>
          <w:rFonts w:asciiTheme="minorHAnsi" w:hAnsiTheme="minorHAnsi" w:cstheme="minorHAnsi"/>
          <w:sz w:val="36"/>
          <w:szCs w:val="36"/>
        </w:rPr>
      </w:pPr>
    </w:p>
    <w:p w:rsidR="00D31220" w:rsidRPr="00095DCD" w:rsidRDefault="00D31220" w:rsidP="00D31220">
      <w:pPr>
        <w:jc w:val="center"/>
        <w:rPr>
          <w:rFonts w:asciiTheme="minorHAnsi" w:hAnsiTheme="minorHAnsi" w:cstheme="minorHAnsi"/>
          <w:sz w:val="36"/>
          <w:szCs w:val="36"/>
        </w:rPr>
      </w:pPr>
    </w:p>
    <w:p w:rsidR="007E6AC0" w:rsidRPr="00095DCD" w:rsidRDefault="007E6AC0" w:rsidP="00D31220">
      <w:pPr>
        <w:jc w:val="center"/>
        <w:rPr>
          <w:rFonts w:asciiTheme="minorHAnsi" w:hAnsiTheme="minorHAnsi" w:cstheme="minorHAnsi"/>
          <w:sz w:val="36"/>
          <w:szCs w:val="36"/>
        </w:rPr>
      </w:pPr>
    </w:p>
    <w:p w:rsidR="007E6AC0" w:rsidRPr="00095DCD" w:rsidRDefault="007E6AC0" w:rsidP="00D31220">
      <w:pPr>
        <w:jc w:val="center"/>
        <w:rPr>
          <w:rFonts w:asciiTheme="minorHAnsi" w:hAnsiTheme="minorHAnsi" w:cstheme="minorHAnsi"/>
          <w:sz w:val="36"/>
          <w:szCs w:val="36"/>
        </w:rPr>
      </w:pPr>
    </w:p>
    <w:p w:rsidR="00D31220" w:rsidRPr="00095DCD" w:rsidRDefault="00095DCD" w:rsidP="00D31220">
      <w:pPr>
        <w:jc w:val="center"/>
        <w:rPr>
          <w:rFonts w:asciiTheme="minorHAnsi" w:hAnsiTheme="minorHAnsi" w:cstheme="minorHAnsi"/>
          <w:sz w:val="36"/>
          <w:szCs w:val="36"/>
        </w:rPr>
      </w:pPr>
      <w:r>
        <w:rPr>
          <w:rFonts w:asciiTheme="minorHAnsi" w:hAnsiTheme="minorHAnsi" w:cstheme="minorHAnsi"/>
          <w:sz w:val="36"/>
          <w:szCs w:val="36"/>
        </w:rPr>
        <w:t xml:space="preserve">12 </w:t>
      </w:r>
      <w:r w:rsidR="00D31220" w:rsidRPr="00095DCD">
        <w:rPr>
          <w:rFonts w:asciiTheme="minorHAnsi" w:hAnsiTheme="minorHAnsi" w:cstheme="minorHAnsi"/>
          <w:sz w:val="36"/>
          <w:szCs w:val="36"/>
        </w:rPr>
        <w:t>September 2019</w:t>
      </w:r>
    </w:p>
    <w:p w:rsidR="00D31220" w:rsidRPr="001125D7" w:rsidRDefault="00D31220" w:rsidP="00794C73">
      <w:pPr>
        <w:jc w:val="right"/>
        <w:rPr>
          <w:rFonts w:asciiTheme="minorHAnsi" w:hAnsiTheme="minorHAnsi" w:cstheme="minorHAnsi"/>
          <w:b/>
          <w:bCs/>
          <w:sz w:val="22"/>
          <w:szCs w:val="22"/>
        </w:rPr>
      </w:pPr>
    </w:p>
    <w:p w:rsidR="00802B99" w:rsidRPr="001125D7" w:rsidRDefault="00802B99">
      <w:pPr>
        <w:rPr>
          <w:rFonts w:asciiTheme="minorHAnsi" w:hAnsiTheme="minorHAnsi" w:cstheme="minorHAnsi"/>
          <w:sz w:val="22"/>
          <w:szCs w:val="22"/>
        </w:rPr>
      </w:pPr>
    </w:p>
    <w:p w:rsidR="00D31220" w:rsidRPr="001125D7" w:rsidRDefault="00D31220">
      <w:pPr>
        <w:rPr>
          <w:rFonts w:asciiTheme="minorHAnsi" w:hAnsiTheme="minorHAnsi" w:cstheme="minorHAnsi"/>
          <w:b/>
          <w:bCs/>
          <w:sz w:val="22"/>
          <w:szCs w:val="22"/>
          <w:highlight w:val="yellow"/>
        </w:rPr>
      </w:pPr>
      <w:r w:rsidRPr="001125D7">
        <w:rPr>
          <w:rFonts w:asciiTheme="minorHAnsi" w:hAnsiTheme="minorHAnsi" w:cstheme="minorHAnsi"/>
          <w:b/>
          <w:bCs/>
          <w:sz w:val="22"/>
          <w:szCs w:val="22"/>
          <w:highlight w:val="yellow"/>
        </w:rPr>
        <w:br w:type="page"/>
      </w:r>
    </w:p>
    <w:p w:rsidR="00794C73" w:rsidRPr="001125D7" w:rsidRDefault="00D31220" w:rsidP="001125D7">
      <w:pPr>
        <w:pStyle w:val="ListParagraph"/>
        <w:numPr>
          <w:ilvl w:val="0"/>
          <w:numId w:val="7"/>
        </w:numPr>
        <w:rPr>
          <w:rFonts w:asciiTheme="minorHAnsi" w:hAnsiTheme="minorHAnsi" w:cstheme="minorHAnsi"/>
          <w:b/>
          <w:bCs/>
          <w:sz w:val="22"/>
          <w:szCs w:val="22"/>
          <w:u w:val="single"/>
        </w:rPr>
      </w:pPr>
      <w:r w:rsidRPr="001125D7">
        <w:rPr>
          <w:rFonts w:asciiTheme="minorHAnsi" w:hAnsiTheme="minorHAnsi" w:cstheme="minorHAnsi"/>
          <w:b/>
          <w:bCs/>
          <w:sz w:val="22"/>
          <w:szCs w:val="22"/>
          <w:u w:val="single"/>
        </w:rPr>
        <w:lastRenderedPageBreak/>
        <w:t xml:space="preserve">Violations of the </w:t>
      </w:r>
      <w:r w:rsidR="00794C73" w:rsidRPr="001125D7">
        <w:rPr>
          <w:rFonts w:asciiTheme="minorHAnsi" w:hAnsiTheme="minorHAnsi" w:cstheme="minorHAnsi"/>
          <w:b/>
          <w:bCs/>
          <w:sz w:val="22"/>
          <w:szCs w:val="22"/>
          <w:u w:val="single"/>
        </w:rPr>
        <w:t xml:space="preserve">Right to Equality </w:t>
      </w:r>
      <w:r w:rsidRPr="001125D7">
        <w:rPr>
          <w:rFonts w:asciiTheme="minorHAnsi" w:hAnsiTheme="minorHAnsi" w:cstheme="minorHAnsi"/>
          <w:b/>
          <w:bCs/>
          <w:sz w:val="22"/>
          <w:szCs w:val="22"/>
          <w:u w:val="single"/>
        </w:rPr>
        <w:t>and</w:t>
      </w:r>
      <w:r w:rsidR="00794C73" w:rsidRPr="001125D7">
        <w:rPr>
          <w:rFonts w:asciiTheme="minorHAnsi" w:hAnsiTheme="minorHAnsi" w:cstheme="minorHAnsi"/>
          <w:b/>
          <w:bCs/>
          <w:sz w:val="22"/>
          <w:szCs w:val="22"/>
          <w:u w:val="single"/>
        </w:rPr>
        <w:t xml:space="preserve"> Prohibition on Racial Discrimination</w:t>
      </w:r>
    </w:p>
    <w:p w:rsidR="001125D7" w:rsidRDefault="001125D7" w:rsidP="007D5DC6">
      <w:pPr>
        <w:jc w:val="both"/>
        <w:rPr>
          <w:rFonts w:asciiTheme="minorHAnsi" w:hAnsiTheme="minorHAnsi" w:cstheme="minorHAnsi"/>
          <w:sz w:val="22"/>
          <w:szCs w:val="22"/>
        </w:rPr>
      </w:pPr>
    </w:p>
    <w:p w:rsidR="00052D7E" w:rsidRPr="001125D7" w:rsidRDefault="00052D7E" w:rsidP="007D5DC6">
      <w:pPr>
        <w:jc w:val="both"/>
        <w:rPr>
          <w:rFonts w:asciiTheme="minorHAnsi" w:hAnsiTheme="minorHAnsi" w:cstheme="minorHAnsi"/>
          <w:sz w:val="22"/>
          <w:szCs w:val="22"/>
        </w:rPr>
      </w:pPr>
      <w:r w:rsidRPr="001125D7">
        <w:rPr>
          <w:rFonts w:asciiTheme="minorHAnsi" w:hAnsiTheme="minorHAnsi" w:cstheme="minorHAnsi"/>
          <w:sz w:val="22"/>
          <w:szCs w:val="22"/>
        </w:rPr>
        <w:t xml:space="preserve">In its last </w:t>
      </w:r>
      <w:r w:rsidR="007D5DC6" w:rsidRPr="001125D7">
        <w:rPr>
          <w:rFonts w:asciiTheme="minorHAnsi" w:hAnsiTheme="minorHAnsi" w:cstheme="minorHAnsi"/>
          <w:sz w:val="22"/>
          <w:szCs w:val="22"/>
        </w:rPr>
        <w:t xml:space="preserve">2012 </w:t>
      </w:r>
      <w:r w:rsidRPr="001125D7">
        <w:rPr>
          <w:rFonts w:asciiTheme="minorHAnsi" w:hAnsiTheme="minorHAnsi" w:cstheme="minorHAnsi"/>
          <w:sz w:val="22"/>
          <w:szCs w:val="22"/>
        </w:rPr>
        <w:t xml:space="preserve">Concluding Observations to Israel, the Committee reiterated its concern that no general provision for equality and prohibition of racial discrimination has been included in the Basic Law: Human Dignity and Liberty (1992), which serves as Israel’s bill of rights. The Committee further recommended that </w:t>
      </w:r>
      <w:r w:rsidR="00CA7F4F" w:rsidRPr="001125D7">
        <w:rPr>
          <w:rFonts w:asciiTheme="minorHAnsi" w:hAnsiTheme="minorHAnsi" w:cstheme="minorHAnsi"/>
          <w:sz w:val="22"/>
          <w:szCs w:val="22"/>
        </w:rPr>
        <w:t xml:space="preserve">Israel </w:t>
      </w:r>
      <w:r w:rsidR="00794C73" w:rsidRPr="001125D7">
        <w:rPr>
          <w:rFonts w:asciiTheme="minorHAnsi" w:hAnsiTheme="minorHAnsi" w:cstheme="minorHAnsi"/>
          <w:sz w:val="22"/>
          <w:szCs w:val="22"/>
        </w:rPr>
        <w:t>“</w:t>
      </w:r>
      <w:r w:rsidRPr="001125D7">
        <w:rPr>
          <w:rFonts w:asciiTheme="minorHAnsi" w:hAnsiTheme="minorHAnsi" w:cstheme="minorHAnsi"/>
          <w:sz w:val="22"/>
          <w:szCs w:val="22"/>
        </w:rPr>
        <w:t>ensure that the prohibition of racial discrimination and the principle of equality are included in the Basic Law and that a definition of racial discrimination is duly incorporated into the Law</w:t>
      </w:r>
      <w:r w:rsidR="00794C73" w:rsidRPr="001125D7">
        <w:rPr>
          <w:rFonts w:asciiTheme="minorHAnsi" w:hAnsiTheme="minorHAnsi" w:cstheme="minorHAnsi"/>
          <w:sz w:val="22"/>
          <w:szCs w:val="22"/>
        </w:rPr>
        <w:t>”</w:t>
      </w:r>
      <w:r w:rsidRPr="001125D7">
        <w:rPr>
          <w:rFonts w:asciiTheme="minorHAnsi" w:hAnsiTheme="minorHAnsi" w:cstheme="minorHAnsi"/>
          <w:sz w:val="22"/>
          <w:szCs w:val="22"/>
        </w:rPr>
        <w:t xml:space="preserve"> (CERD/C/ISR/CO/14-16</w:t>
      </w:r>
      <w:r w:rsidR="00132D22" w:rsidRPr="001125D7">
        <w:rPr>
          <w:rFonts w:asciiTheme="minorHAnsi" w:hAnsiTheme="minorHAnsi" w:cstheme="minorHAnsi"/>
          <w:sz w:val="22"/>
          <w:szCs w:val="22"/>
        </w:rPr>
        <w:t>,</w:t>
      </w:r>
      <w:r w:rsidRPr="001125D7">
        <w:rPr>
          <w:rFonts w:asciiTheme="minorHAnsi" w:hAnsiTheme="minorHAnsi" w:cstheme="minorHAnsi"/>
          <w:sz w:val="22"/>
          <w:szCs w:val="22"/>
        </w:rPr>
        <w:t xml:space="preserve"> para. 13).</w:t>
      </w:r>
    </w:p>
    <w:p w:rsidR="001125D7" w:rsidRDefault="001125D7" w:rsidP="007D5DC6">
      <w:pPr>
        <w:jc w:val="both"/>
        <w:rPr>
          <w:rFonts w:asciiTheme="minorHAnsi" w:hAnsiTheme="minorHAnsi" w:cstheme="minorHAnsi"/>
          <w:sz w:val="22"/>
          <w:szCs w:val="22"/>
        </w:rPr>
      </w:pPr>
    </w:p>
    <w:p w:rsidR="00605D0A" w:rsidRPr="001125D7" w:rsidRDefault="00132D22" w:rsidP="007D5DC6">
      <w:pPr>
        <w:jc w:val="both"/>
        <w:rPr>
          <w:rFonts w:asciiTheme="minorHAnsi" w:hAnsiTheme="minorHAnsi" w:cstheme="minorHAnsi"/>
          <w:sz w:val="22"/>
          <w:szCs w:val="22"/>
        </w:rPr>
      </w:pPr>
      <w:r w:rsidRPr="001125D7">
        <w:rPr>
          <w:rFonts w:asciiTheme="minorHAnsi" w:hAnsiTheme="minorHAnsi" w:cstheme="minorHAnsi"/>
          <w:sz w:val="22"/>
          <w:szCs w:val="22"/>
        </w:rPr>
        <w:t xml:space="preserve">In </w:t>
      </w:r>
      <w:r w:rsidR="007D5DC6" w:rsidRPr="001125D7">
        <w:rPr>
          <w:rFonts w:asciiTheme="minorHAnsi" w:hAnsiTheme="minorHAnsi" w:cstheme="minorHAnsi"/>
          <w:sz w:val="22"/>
          <w:szCs w:val="22"/>
        </w:rPr>
        <w:t xml:space="preserve">the state’s </w:t>
      </w:r>
      <w:r w:rsidRPr="001125D7">
        <w:rPr>
          <w:rFonts w:asciiTheme="minorHAnsi" w:hAnsiTheme="minorHAnsi" w:cstheme="minorHAnsi"/>
          <w:sz w:val="22"/>
          <w:szCs w:val="22"/>
        </w:rPr>
        <w:t>last report to the Committee</w:t>
      </w:r>
      <w:r w:rsidR="007D5DC6" w:rsidRPr="001125D7">
        <w:rPr>
          <w:rFonts w:asciiTheme="minorHAnsi" w:hAnsiTheme="minorHAnsi" w:cstheme="minorHAnsi"/>
          <w:sz w:val="22"/>
          <w:szCs w:val="22"/>
        </w:rPr>
        <w:t xml:space="preserve"> in 2017</w:t>
      </w:r>
      <w:r w:rsidRPr="001125D7">
        <w:rPr>
          <w:rFonts w:asciiTheme="minorHAnsi" w:hAnsiTheme="minorHAnsi" w:cstheme="minorHAnsi"/>
          <w:sz w:val="22"/>
          <w:szCs w:val="22"/>
        </w:rPr>
        <w:t xml:space="preserve">, Israel argued that racial discrimination is prohibited under Israel law (CERD/C/ISR/17-19, para. 24). </w:t>
      </w:r>
      <w:r w:rsidR="00834B13" w:rsidRPr="001125D7">
        <w:rPr>
          <w:rFonts w:asciiTheme="minorHAnsi" w:hAnsiTheme="minorHAnsi" w:cstheme="minorHAnsi"/>
          <w:sz w:val="22"/>
          <w:szCs w:val="22"/>
        </w:rPr>
        <w:t xml:space="preserve">However, as the Committee has previously recognized, </w:t>
      </w:r>
      <w:r w:rsidR="00605D0A" w:rsidRPr="001125D7">
        <w:rPr>
          <w:rFonts w:asciiTheme="minorHAnsi" w:hAnsiTheme="minorHAnsi" w:cstheme="minorHAnsi"/>
          <w:sz w:val="22"/>
          <w:szCs w:val="22"/>
        </w:rPr>
        <w:t xml:space="preserve">the right to equality and freedom from discrimination is not explicitly enshrined in Israeli law as </w:t>
      </w:r>
      <w:r w:rsidR="007D5DC6" w:rsidRPr="001125D7">
        <w:rPr>
          <w:rFonts w:asciiTheme="minorHAnsi" w:hAnsiTheme="minorHAnsi" w:cstheme="minorHAnsi"/>
          <w:sz w:val="22"/>
          <w:szCs w:val="22"/>
        </w:rPr>
        <w:t>a</w:t>
      </w:r>
      <w:r w:rsidR="00605D0A" w:rsidRPr="001125D7">
        <w:rPr>
          <w:rFonts w:asciiTheme="minorHAnsi" w:hAnsiTheme="minorHAnsi" w:cstheme="minorHAnsi"/>
          <w:sz w:val="22"/>
          <w:szCs w:val="22"/>
        </w:rPr>
        <w:t xml:space="preserve"> constitutional right, </w:t>
      </w:r>
      <w:r w:rsidR="007C4DE1" w:rsidRPr="001125D7">
        <w:rPr>
          <w:rFonts w:asciiTheme="minorHAnsi" w:hAnsiTheme="minorHAnsi" w:cstheme="minorHAnsi"/>
          <w:sz w:val="22"/>
          <w:szCs w:val="22"/>
        </w:rPr>
        <w:t xml:space="preserve">nor is </w:t>
      </w:r>
      <w:r w:rsidR="007D5DC6" w:rsidRPr="001125D7">
        <w:rPr>
          <w:rFonts w:asciiTheme="minorHAnsi" w:hAnsiTheme="minorHAnsi" w:cstheme="minorHAnsi"/>
          <w:sz w:val="22"/>
          <w:szCs w:val="22"/>
        </w:rPr>
        <w:t xml:space="preserve">it </w:t>
      </w:r>
      <w:r w:rsidR="00605D0A" w:rsidRPr="001125D7">
        <w:rPr>
          <w:rFonts w:asciiTheme="minorHAnsi" w:hAnsiTheme="minorHAnsi" w:cstheme="minorHAnsi"/>
          <w:sz w:val="22"/>
          <w:szCs w:val="22"/>
        </w:rPr>
        <w:t xml:space="preserve">protected by statute. </w:t>
      </w:r>
    </w:p>
    <w:p w:rsidR="001125D7" w:rsidRDefault="001125D7" w:rsidP="007D5DC6">
      <w:pPr>
        <w:jc w:val="both"/>
        <w:rPr>
          <w:rFonts w:asciiTheme="minorHAnsi" w:hAnsiTheme="minorHAnsi" w:cstheme="minorHAnsi"/>
          <w:sz w:val="22"/>
          <w:szCs w:val="22"/>
        </w:rPr>
      </w:pPr>
    </w:p>
    <w:p w:rsidR="00052D7E" w:rsidRPr="001125D7" w:rsidRDefault="00834B13" w:rsidP="007D5DC6">
      <w:pPr>
        <w:jc w:val="both"/>
        <w:rPr>
          <w:rFonts w:asciiTheme="minorHAnsi" w:hAnsiTheme="minorHAnsi" w:cstheme="minorHAnsi"/>
          <w:sz w:val="22"/>
          <w:szCs w:val="22"/>
        </w:rPr>
      </w:pPr>
      <w:r w:rsidRPr="001125D7">
        <w:rPr>
          <w:rFonts w:asciiTheme="minorHAnsi" w:hAnsiTheme="minorHAnsi" w:cstheme="minorHAnsi"/>
          <w:sz w:val="22"/>
          <w:szCs w:val="22"/>
        </w:rPr>
        <w:t>Moreover, th</w:t>
      </w:r>
      <w:r w:rsidR="00132D22" w:rsidRPr="001125D7">
        <w:rPr>
          <w:rFonts w:asciiTheme="minorHAnsi" w:hAnsiTheme="minorHAnsi" w:cstheme="minorHAnsi"/>
          <w:sz w:val="22"/>
          <w:szCs w:val="22"/>
        </w:rPr>
        <w:t>e</w:t>
      </w:r>
      <w:r w:rsidRPr="001125D7">
        <w:rPr>
          <w:rFonts w:asciiTheme="minorHAnsi" w:hAnsiTheme="minorHAnsi" w:cstheme="minorHAnsi"/>
          <w:sz w:val="22"/>
          <w:szCs w:val="22"/>
        </w:rPr>
        <w:t xml:space="preserve"> recent</w:t>
      </w:r>
      <w:r w:rsidR="00132D22" w:rsidRPr="001125D7">
        <w:rPr>
          <w:rFonts w:asciiTheme="minorHAnsi" w:hAnsiTheme="minorHAnsi" w:cstheme="minorHAnsi"/>
          <w:sz w:val="22"/>
          <w:szCs w:val="22"/>
        </w:rPr>
        <w:t xml:space="preserve"> enactment of </w:t>
      </w:r>
      <w:r w:rsidR="006F5386" w:rsidRPr="001125D7">
        <w:rPr>
          <w:rFonts w:asciiTheme="minorHAnsi" w:hAnsiTheme="minorHAnsi" w:cstheme="minorHAnsi"/>
          <w:i/>
          <w:iCs/>
          <w:color w:val="222222"/>
          <w:sz w:val="22"/>
          <w:szCs w:val="22"/>
          <w:shd w:val="clear" w:color="auto" w:fill="FFFFFF"/>
        </w:rPr>
        <w:t xml:space="preserve">The Basic Law: Israel – The Nation-State of the Jewish People </w:t>
      </w:r>
      <w:r w:rsidR="006F5386" w:rsidRPr="001125D7">
        <w:rPr>
          <w:rFonts w:asciiTheme="minorHAnsi" w:hAnsiTheme="minorHAnsi" w:cstheme="minorHAnsi"/>
          <w:color w:val="222222"/>
          <w:sz w:val="22"/>
          <w:szCs w:val="22"/>
          <w:shd w:val="clear" w:color="auto" w:fill="FFFFFF"/>
        </w:rPr>
        <w:t>(</w:t>
      </w:r>
      <w:r w:rsidR="006F5386" w:rsidRPr="001125D7">
        <w:rPr>
          <w:rFonts w:asciiTheme="minorHAnsi" w:hAnsiTheme="minorHAnsi" w:cstheme="minorHAnsi"/>
          <w:sz w:val="22"/>
          <w:szCs w:val="22"/>
        </w:rPr>
        <w:t>JNS Law)</w:t>
      </w:r>
      <w:r w:rsidRPr="001125D7">
        <w:rPr>
          <w:rFonts w:asciiTheme="minorHAnsi" w:hAnsiTheme="minorHAnsi" w:cstheme="minorHAnsi"/>
          <w:sz w:val="22"/>
          <w:szCs w:val="22"/>
        </w:rPr>
        <w:t>,</w:t>
      </w:r>
      <w:r w:rsidR="006F5386" w:rsidRPr="001125D7">
        <w:rPr>
          <w:rFonts w:asciiTheme="minorHAnsi" w:hAnsiTheme="minorHAnsi" w:cstheme="minorHAnsi"/>
          <w:sz w:val="22"/>
          <w:szCs w:val="22"/>
        </w:rPr>
        <w:t xml:space="preserve"> o</w:t>
      </w:r>
      <w:r w:rsidR="00132D22" w:rsidRPr="001125D7">
        <w:rPr>
          <w:rFonts w:asciiTheme="minorHAnsi" w:hAnsiTheme="minorHAnsi" w:cstheme="minorHAnsi"/>
          <w:sz w:val="22"/>
          <w:szCs w:val="22"/>
        </w:rPr>
        <w:t xml:space="preserve">n </w:t>
      </w:r>
      <w:r w:rsidR="006F5386" w:rsidRPr="001125D7">
        <w:rPr>
          <w:rFonts w:asciiTheme="minorHAnsi" w:hAnsiTheme="minorHAnsi" w:cstheme="minorHAnsi"/>
          <w:sz w:val="22"/>
          <w:szCs w:val="22"/>
        </w:rPr>
        <w:t xml:space="preserve">19 </w:t>
      </w:r>
      <w:r w:rsidR="00132D22" w:rsidRPr="001125D7">
        <w:rPr>
          <w:rFonts w:asciiTheme="minorHAnsi" w:hAnsiTheme="minorHAnsi" w:cstheme="minorHAnsi"/>
          <w:sz w:val="22"/>
          <w:szCs w:val="22"/>
        </w:rPr>
        <w:t>July 2018</w:t>
      </w:r>
      <w:r w:rsidR="00605D0A" w:rsidRPr="001125D7">
        <w:rPr>
          <w:rFonts w:asciiTheme="minorHAnsi" w:hAnsiTheme="minorHAnsi" w:cstheme="minorHAnsi"/>
          <w:sz w:val="22"/>
          <w:szCs w:val="22"/>
        </w:rPr>
        <w:t>, has further weakened the constitutional status</w:t>
      </w:r>
      <w:r w:rsidR="00132D22" w:rsidRPr="001125D7">
        <w:rPr>
          <w:rFonts w:asciiTheme="minorHAnsi" w:hAnsiTheme="minorHAnsi" w:cstheme="minorHAnsi"/>
          <w:sz w:val="22"/>
          <w:szCs w:val="22"/>
        </w:rPr>
        <w:t xml:space="preserve"> </w:t>
      </w:r>
      <w:r w:rsidR="00605D0A" w:rsidRPr="001125D7">
        <w:rPr>
          <w:rFonts w:asciiTheme="minorHAnsi" w:hAnsiTheme="minorHAnsi" w:cstheme="minorHAnsi"/>
          <w:sz w:val="22"/>
          <w:szCs w:val="22"/>
        </w:rPr>
        <w:t xml:space="preserve">of the </w:t>
      </w:r>
      <w:r w:rsidR="007D5DC6" w:rsidRPr="001125D7">
        <w:rPr>
          <w:rFonts w:asciiTheme="minorHAnsi" w:hAnsiTheme="minorHAnsi" w:cstheme="minorHAnsi"/>
          <w:sz w:val="22"/>
          <w:szCs w:val="22"/>
        </w:rPr>
        <w:t xml:space="preserve">Palestinian </w:t>
      </w:r>
      <w:r w:rsidR="00605D0A" w:rsidRPr="001125D7">
        <w:rPr>
          <w:rFonts w:asciiTheme="minorHAnsi" w:hAnsiTheme="minorHAnsi" w:cstheme="minorHAnsi"/>
          <w:sz w:val="22"/>
          <w:szCs w:val="22"/>
        </w:rPr>
        <w:t xml:space="preserve">minority in Israel. The law is in </w:t>
      </w:r>
      <w:r w:rsidR="00052D7E" w:rsidRPr="001125D7">
        <w:rPr>
          <w:rFonts w:asciiTheme="minorHAnsi" w:hAnsiTheme="minorHAnsi" w:cstheme="minorHAnsi"/>
          <w:sz w:val="22"/>
          <w:szCs w:val="22"/>
        </w:rPr>
        <w:t>direct contrad</w:t>
      </w:r>
      <w:r w:rsidR="00605D0A" w:rsidRPr="001125D7">
        <w:rPr>
          <w:rFonts w:asciiTheme="minorHAnsi" w:hAnsiTheme="minorHAnsi" w:cstheme="minorHAnsi"/>
          <w:sz w:val="22"/>
          <w:szCs w:val="22"/>
        </w:rPr>
        <w:t xml:space="preserve">iction of the Committee’s </w:t>
      </w:r>
      <w:r w:rsidR="00052D7E" w:rsidRPr="001125D7">
        <w:rPr>
          <w:rFonts w:asciiTheme="minorHAnsi" w:hAnsiTheme="minorHAnsi" w:cstheme="minorHAnsi"/>
          <w:sz w:val="22"/>
          <w:szCs w:val="22"/>
        </w:rPr>
        <w:t xml:space="preserve">recommendations, </w:t>
      </w:r>
      <w:r w:rsidR="00605D0A" w:rsidRPr="001125D7">
        <w:rPr>
          <w:rFonts w:asciiTheme="minorHAnsi" w:hAnsiTheme="minorHAnsi" w:cstheme="minorHAnsi"/>
          <w:sz w:val="22"/>
          <w:szCs w:val="22"/>
        </w:rPr>
        <w:t>a</w:t>
      </w:r>
      <w:r w:rsidRPr="001125D7">
        <w:rPr>
          <w:rFonts w:asciiTheme="minorHAnsi" w:hAnsiTheme="minorHAnsi" w:cstheme="minorHAnsi"/>
          <w:sz w:val="22"/>
          <w:szCs w:val="22"/>
        </w:rPr>
        <w:t>long with</w:t>
      </w:r>
      <w:r w:rsidR="00605D0A" w:rsidRPr="001125D7">
        <w:rPr>
          <w:rFonts w:asciiTheme="minorHAnsi" w:hAnsiTheme="minorHAnsi" w:cstheme="minorHAnsi"/>
          <w:sz w:val="22"/>
          <w:szCs w:val="22"/>
        </w:rPr>
        <w:t xml:space="preserve"> other additional l</w:t>
      </w:r>
      <w:r w:rsidR="00052D7E" w:rsidRPr="001125D7">
        <w:rPr>
          <w:rFonts w:asciiTheme="minorHAnsi" w:hAnsiTheme="minorHAnsi" w:cstheme="minorHAnsi"/>
          <w:sz w:val="22"/>
          <w:szCs w:val="22"/>
        </w:rPr>
        <w:t xml:space="preserve">aws that discriminate against Palestinian citizens of Israel </w:t>
      </w:r>
      <w:r w:rsidR="00605D0A" w:rsidRPr="001125D7">
        <w:rPr>
          <w:rFonts w:asciiTheme="minorHAnsi" w:hAnsiTheme="minorHAnsi" w:cstheme="minorHAnsi"/>
          <w:sz w:val="22"/>
          <w:szCs w:val="22"/>
        </w:rPr>
        <w:t xml:space="preserve">enacted by </w:t>
      </w:r>
      <w:r w:rsidR="00052D7E" w:rsidRPr="001125D7">
        <w:rPr>
          <w:rFonts w:asciiTheme="minorHAnsi" w:hAnsiTheme="minorHAnsi" w:cstheme="minorHAnsi"/>
          <w:sz w:val="22"/>
          <w:szCs w:val="22"/>
        </w:rPr>
        <w:t xml:space="preserve">the Israeli Knesset </w:t>
      </w:r>
      <w:r w:rsidR="00605D0A" w:rsidRPr="001125D7">
        <w:rPr>
          <w:rFonts w:asciiTheme="minorHAnsi" w:hAnsiTheme="minorHAnsi" w:cstheme="minorHAnsi"/>
          <w:sz w:val="22"/>
          <w:szCs w:val="22"/>
        </w:rPr>
        <w:t>in the interim period</w:t>
      </w:r>
      <w:r w:rsidR="007D5DC6" w:rsidRPr="001125D7">
        <w:rPr>
          <w:rFonts w:asciiTheme="minorHAnsi" w:hAnsiTheme="minorHAnsi" w:cstheme="minorHAnsi"/>
          <w:sz w:val="22"/>
          <w:szCs w:val="22"/>
        </w:rPr>
        <w:t xml:space="preserve"> from 2012</w:t>
      </w:r>
      <w:r w:rsidR="00052D7E" w:rsidRPr="001125D7">
        <w:rPr>
          <w:rFonts w:asciiTheme="minorHAnsi" w:hAnsiTheme="minorHAnsi" w:cstheme="minorHAnsi"/>
          <w:sz w:val="22"/>
          <w:szCs w:val="22"/>
        </w:rPr>
        <w:t xml:space="preserve">. Many of these laws are discussed throughout this report. </w:t>
      </w:r>
    </w:p>
    <w:p w:rsidR="001125D7" w:rsidRDefault="001125D7" w:rsidP="006F5386">
      <w:pPr>
        <w:rPr>
          <w:rFonts w:asciiTheme="minorHAnsi" w:hAnsiTheme="minorHAnsi" w:cstheme="minorHAnsi"/>
          <w:b/>
          <w:bCs/>
          <w:i/>
          <w:iCs/>
          <w:sz w:val="22"/>
          <w:szCs w:val="22"/>
        </w:rPr>
      </w:pPr>
    </w:p>
    <w:p w:rsidR="006F5386" w:rsidRPr="001125D7" w:rsidRDefault="006F5386" w:rsidP="006F5386">
      <w:pPr>
        <w:rPr>
          <w:rFonts w:asciiTheme="minorHAnsi" w:hAnsiTheme="minorHAnsi" w:cstheme="minorHAnsi"/>
          <w:b/>
          <w:bCs/>
          <w:i/>
          <w:iCs/>
          <w:sz w:val="22"/>
          <w:szCs w:val="22"/>
        </w:rPr>
      </w:pPr>
      <w:r w:rsidRPr="001125D7">
        <w:rPr>
          <w:rFonts w:asciiTheme="minorHAnsi" w:hAnsiTheme="minorHAnsi" w:cstheme="minorHAnsi"/>
          <w:b/>
          <w:bCs/>
          <w:i/>
          <w:iCs/>
          <w:sz w:val="22"/>
          <w:szCs w:val="22"/>
        </w:rPr>
        <w:t>The Basic Law: Israel – The Nation-State of the Jewish People</w:t>
      </w:r>
      <w:r w:rsidR="00794C73" w:rsidRPr="001125D7">
        <w:rPr>
          <w:rStyle w:val="FootnoteReference"/>
          <w:rFonts w:asciiTheme="minorHAnsi" w:hAnsiTheme="minorHAnsi" w:cstheme="minorHAnsi"/>
          <w:b/>
          <w:bCs/>
          <w:i/>
          <w:iCs/>
          <w:sz w:val="22"/>
          <w:szCs w:val="22"/>
        </w:rPr>
        <w:footnoteReference w:id="1"/>
      </w:r>
      <w:r w:rsidRPr="001125D7">
        <w:rPr>
          <w:rFonts w:asciiTheme="minorHAnsi" w:hAnsiTheme="minorHAnsi" w:cstheme="minorHAnsi"/>
          <w:b/>
          <w:bCs/>
          <w:i/>
          <w:iCs/>
          <w:sz w:val="22"/>
          <w:szCs w:val="22"/>
        </w:rPr>
        <w:t xml:space="preserve"> </w:t>
      </w:r>
    </w:p>
    <w:p w:rsidR="001125D7" w:rsidRDefault="001125D7" w:rsidP="006F5386">
      <w:pPr>
        <w:jc w:val="both"/>
        <w:rPr>
          <w:rFonts w:asciiTheme="minorHAnsi" w:hAnsiTheme="minorHAnsi" w:cstheme="minorHAnsi"/>
          <w:sz w:val="22"/>
          <w:szCs w:val="22"/>
        </w:rPr>
      </w:pPr>
    </w:p>
    <w:p w:rsidR="00052D7E" w:rsidRPr="001125D7" w:rsidRDefault="006F5386" w:rsidP="006F5386">
      <w:pPr>
        <w:jc w:val="both"/>
        <w:rPr>
          <w:rFonts w:asciiTheme="minorHAnsi" w:hAnsiTheme="minorHAnsi" w:cstheme="minorHAnsi"/>
          <w:sz w:val="22"/>
          <w:szCs w:val="22"/>
          <w:lang w:val="en-GB"/>
        </w:rPr>
      </w:pPr>
      <w:r w:rsidRPr="001125D7">
        <w:rPr>
          <w:rFonts w:asciiTheme="minorHAnsi" w:hAnsiTheme="minorHAnsi" w:cstheme="minorHAnsi"/>
          <w:sz w:val="22"/>
          <w:szCs w:val="22"/>
        </w:rPr>
        <w:t xml:space="preserve">The JNS law sets forth the constitutional order of Israel and articulates the ethnic-religious identity of the state as exclusively Jewish. It is </w:t>
      </w:r>
      <w:r w:rsidRPr="001125D7">
        <w:rPr>
          <w:rFonts w:asciiTheme="minorHAnsi" w:hAnsiTheme="minorHAnsi" w:cstheme="minorHAnsi"/>
          <w:sz w:val="22"/>
          <w:szCs w:val="22"/>
          <w:lang w:val="en-GB"/>
        </w:rPr>
        <w:t xml:space="preserve">the </w:t>
      </w:r>
      <w:r w:rsidRPr="001125D7">
        <w:rPr>
          <w:rFonts w:asciiTheme="minorHAnsi" w:hAnsiTheme="minorHAnsi" w:cstheme="minorHAnsi"/>
          <w:sz w:val="22"/>
          <w:szCs w:val="22"/>
        </w:rPr>
        <w:t>“law of laws”, capable of overriding any ordinary legislation.</w:t>
      </w:r>
      <w:r w:rsidRPr="001125D7">
        <w:rPr>
          <w:rFonts w:asciiTheme="minorHAnsi" w:hAnsiTheme="minorHAnsi" w:cstheme="minorHAnsi"/>
          <w:sz w:val="22"/>
          <w:szCs w:val="22"/>
          <w:lang w:val="en-GB"/>
        </w:rPr>
        <w:t xml:space="preserve"> It alters the constitutional framework of the state, making changes that violate established international norms: there is no democratic constitution in the world that designates the</w:t>
      </w:r>
      <w:r w:rsidRPr="001125D7">
        <w:rPr>
          <w:rFonts w:asciiTheme="minorHAnsi" w:hAnsiTheme="minorHAnsi" w:cstheme="minorHAnsi"/>
          <w:sz w:val="22"/>
          <w:szCs w:val="22"/>
        </w:rPr>
        <w:t xml:space="preserve"> constitutional identity</w:t>
      </w:r>
      <w:r w:rsidRPr="001125D7">
        <w:rPr>
          <w:rFonts w:asciiTheme="minorHAnsi" w:hAnsiTheme="minorHAnsi" w:cstheme="minorHAnsi"/>
          <w:sz w:val="22"/>
          <w:szCs w:val="22"/>
          <w:lang w:val="en-GB"/>
        </w:rPr>
        <w:t xml:space="preserve"> of the state on racial grounds, as serving one ethnic group.</w:t>
      </w:r>
    </w:p>
    <w:p w:rsidR="001125D7" w:rsidRDefault="001125D7" w:rsidP="00ED3C67">
      <w:pPr>
        <w:jc w:val="both"/>
        <w:rPr>
          <w:rFonts w:asciiTheme="minorHAnsi" w:hAnsiTheme="minorHAnsi" w:cstheme="minorHAnsi"/>
          <w:sz w:val="22"/>
          <w:szCs w:val="22"/>
        </w:rPr>
      </w:pPr>
    </w:p>
    <w:p w:rsidR="00ED3C67" w:rsidRPr="001125D7" w:rsidRDefault="00ED3C67" w:rsidP="00ED3C67">
      <w:pPr>
        <w:jc w:val="both"/>
        <w:rPr>
          <w:rFonts w:asciiTheme="minorHAnsi" w:hAnsiTheme="minorHAnsi" w:cstheme="minorHAnsi"/>
          <w:sz w:val="22"/>
          <w:szCs w:val="22"/>
        </w:rPr>
      </w:pPr>
      <w:r w:rsidRPr="001125D7">
        <w:rPr>
          <w:rFonts w:asciiTheme="minorHAnsi" w:hAnsiTheme="minorHAnsi" w:cstheme="minorHAnsi"/>
          <w:sz w:val="22"/>
          <w:szCs w:val="22"/>
        </w:rPr>
        <w:t xml:space="preserve">The main provisions of the JNS Law:  </w:t>
      </w:r>
    </w:p>
    <w:p w:rsidR="00ED3C67" w:rsidRPr="001125D7" w:rsidRDefault="00ED3C67" w:rsidP="00ED3C67">
      <w:pPr>
        <w:pStyle w:val="ListParagraph"/>
        <w:numPr>
          <w:ilvl w:val="0"/>
          <w:numId w:val="3"/>
        </w:numPr>
        <w:jc w:val="both"/>
        <w:rPr>
          <w:rFonts w:asciiTheme="minorHAnsi" w:hAnsiTheme="minorHAnsi" w:cstheme="minorHAnsi"/>
          <w:sz w:val="22"/>
          <w:szCs w:val="22"/>
        </w:rPr>
      </w:pPr>
      <w:r w:rsidRPr="001125D7">
        <w:rPr>
          <w:rFonts w:asciiTheme="minorHAnsi" w:hAnsiTheme="minorHAnsi" w:cstheme="minorHAnsi"/>
          <w:sz w:val="22"/>
          <w:szCs w:val="22"/>
        </w:rPr>
        <w:t xml:space="preserve">Article 1 states that the Land of Israel (“Eretz Israel”) is the historic national home of the Jewish people, in which the State of Israel was established, and in which the Jewish people exercises its natural, cultural, and historic right to self-determination. It adds that the right to exercise national self-determination in the State of Israel is solely for the Jewish people. </w:t>
      </w:r>
    </w:p>
    <w:p w:rsidR="00ED3C67" w:rsidRPr="001125D7" w:rsidRDefault="00ED3C67" w:rsidP="00ED3C67">
      <w:pPr>
        <w:pStyle w:val="ListParagraph"/>
        <w:numPr>
          <w:ilvl w:val="0"/>
          <w:numId w:val="3"/>
        </w:numPr>
        <w:jc w:val="both"/>
        <w:rPr>
          <w:rFonts w:asciiTheme="minorHAnsi" w:hAnsiTheme="minorHAnsi" w:cstheme="minorHAnsi"/>
          <w:sz w:val="22"/>
          <w:szCs w:val="22"/>
        </w:rPr>
      </w:pPr>
      <w:r w:rsidRPr="001125D7">
        <w:rPr>
          <w:rFonts w:asciiTheme="minorHAnsi" w:hAnsiTheme="minorHAnsi" w:cstheme="minorHAnsi"/>
          <w:sz w:val="22"/>
          <w:szCs w:val="22"/>
        </w:rPr>
        <w:t xml:space="preserve">Article 2 sets forth the symbols of the state, all specifically Jewish in character. </w:t>
      </w:r>
    </w:p>
    <w:p w:rsidR="00ED3C67" w:rsidRPr="001125D7" w:rsidRDefault="00ED3C67" w:rsidP="00ED3C67">
      <w:pPr>
        <w:pStyle w:val="ListParagraph"/>
        <w:numPr>
          <w:ilvl w:val="0"/>
          <w:numId w:val="3"/>
        </w:numPr>
        <w:jc w:val="both"/>
        <w:rPr>
          <w:rFonts w:asciiTheme="minorHAnsi" w:hAnsiTheme="minorHAnsi" w:cstheme="minorHAnsi"/>
          <w:sz w:val="22"/>
          <w:szCs w:val="22"/>
        </w:rPr>
      </w:pPr>
      <w:r w:rsidRPr="001125D7">
        <w:rPr>
          <w:rFonts w:asciiTheme="minorHAnsi" w:hAnsiTheme="minorHAnsi" w:cstheme="minorHAnsi"/>
          <w:sz w:val="22"/>
          <w:szCs w:val="22"/>
        </w:rPr>
        <w:t xml:space="preserve">Article 3 defines the capital of Israel as Jerusalem, which includes occupied East Jerusalem. </w:t>
      </w:r>
    </w:p>
    <w:p w:rsidR="00ED3C67" w:rsidRPr="001125D7" w:rsidRDefault="00ED3C67" w:rsidP="00ED3C67">
      <w:pPr>
        <w:pStyle w:val="ListParagraph"/>
        <w:numPr>
          <w:ilvl w:val="0"/>
          <w:numId w:val="3"/>
        </w:numPr>
        <w:jc w:val="both"/>
        <w:rPr>
          <w:rFonts w:asciiTheme="minorHAnsi" w:hAnsiTheme="minorHAnsi" w:cstheme="minorHAnsi"/>
          <w:sz w:val="22"/>
          <w:szCs w:val="22"/>
        </w:rPr>
      </w:pPr>
      <w:r w:rsidRPr="001125D7">
        <w:rPr>
          <w:rFonts w:asciiTheme="minorHAnsi" w:hAnsiTheme="minorHAnsi" w:cstheme="minorHAnsi"/>
          <w:sz w:val="22"/>
          <w:szCs w:val="22"/>
        </w:rPr>
        <w:t xml:space="preserve">Article 4 states that the official language of the state is Hebrew, demoting Arabic, which was previously a second official language, to a language with an undefined “special status”. </w:t>
      </w:r>
    </w:p>
    <w:p w:rsidR="00ED3C67" w:rsidRPr="001125D7" w:rsidRDefault="00ED3C67" w:rsidP="00ED3C67">
      <w:pPr>
        <w:pStyle w:val="ListParagraph"/>
        <w:numPr>
          <w:ilvl w:val="0"/>
          <w:numId w:val="3"/>
        </w:numPr>
        <w:jc w:val="both"/>
        <w:rPr>
          <w:rFonts w:asciiTheme="minorHAnsi" w:hAnsiTheme="minorHAnsi" w:cstheme="minorHAnsi"/>
          <w:sz w:val="22"/>
          <w:szCs w:val="22"/>
        </w:rPr>
      </w:pPr>
      <w:r w:rsidRPr="001125D7">
        <w:rPr>
          <w:rFonts w:asciiTheme="minorHAnsi" w:hAnsiTheme="minorHAnsi" w:cstheme="minorHAnsi"/>
          <w:sz w:val="22"/>
          <w:szCs w:val="22"/>
        </w:rPr>
        <w:t xml:space="preserve">Article 5 establishes that immigration leading to automatic citizenship is exclusive to Jews. </w:t>
      </w:r>
    </w:p>
    <w:p w:rsidR="00ED3C67" w:rsidRPr="001125D7" w:rsidRDefault="00ED3C67" w:rsidP="00ED3C67">
      <w:pPr>
        <w:pStyle w:val="ListParagraph"/>
        <w:numPr>
          <w:ilvl w:val="0"/>
          <w:numId w:val="3"/>
        </w:numPr>
        <w:jc w:val="both"/>
        <w:rPr>
          <w:rFonts w:asciiTheme="minorHAnsi" w:hAnsiTheme="minorHAnsi" w:cstheme="minorHAnsi"/>
          <w:sz w:val="22"/>
          <w:szCs w:val="22"/>
        </w:rPr>
      </w:pPr>
      <w:r w:rsidRPr="001125D7">
        <w:rPr>
          <w:rFonts w:asciiTheme="minorHAnsi" w:hAnsiTheme="minorHAnsi" w:cstheme="minorHAnsi"/>
          <w:sz w:val="22"/>
          <w:szCs w:val="22"/>
        </w:rPr>
        <w:t xml:space="preserve">Article 6 provides that the state will strengthen ties between the state and Jewish people around the word, and preserve the cultural, historic, and religious heritage of the Jewish people in the Diaspora. </w:t>
      </w:r>
    </w:p>
    <w:p w:rsidR="00ED3C67" w:rsidRPr="001125D7" w:rsidRDefault="00ED3C67" w:rsidP="00ED3C67">
      <w:pPr>
        <w:pStyle w:val="ListParagraph"/>
        <w:numPr>
          <w:ilvl w:val="0"/>
          <w:numId w:val="3"/>
        </w:numPr>
        <w:jc w:val="both"/>
        <w:rPr>
          <w:rFonts w:asciiTheme="minorHAnsi" w:hAnsiTheme="minorHAnsi" w:cstheme="minorHAnsi"/>
          <w:sz w:val="22"/>
          <w:szCs w:val="22"/>
          <w:lang w:val="en-GB"/>
        </w:rPr>
      </w:pPr>
      <w:r w:rsidRPr="001125D7">
        <w:rPr>
          <w:rFonts w:asciiTheme="minorHAnsi" w:hAnsiTheme="minorHAnsi" w:cstheme="minorHAnsi"/>
          <w:sz w:val="22"/>
          <w:szCs w:val="22"/>
        </w:rPr>
        <w:t>Article 7 provides that the sate views development of Jewish settlement as a national value, and will act to encourage, promote and consolidate its establishment, thereby instituting segregation as a new legal norm, and allowing for the annexation of the West Bank.</w:t>
      </w:r>
    </w:p>
    <w:p w:rsidR="005F4678" w:rsidRDefault="005F4678" w:rsidP="00ED3C67">
      <w:pPr>
        <w:jc w:val="both"/>
        <w:rPr>
          <w:rFonts w:asciiTheme="minorHAnsi" w:hAnsiTheme="minorHAnsi" w:cstheme="minorHAnsi"/>
          <w:sz w:val="22"/>
          <w:szCs w:val="22"/>
        </w:rPr>
      </w:pPr>
    </w:p>
    <w:p w:rsidR="00ED3C67" w:rsidRPr="001125D7" w:rsidRDefault="00ED3C67" w:rsidP="00ED3C67">
      <w:pPr>
        <w:jc w:val="both"/>
        <w:rPr>
          <w:rFonts w:asciiTheme="minorHAnsi" w:hAnsiTheme="minorHAnsi" w:cstheme="minorHAnsi"/>
          <w:sz w:val="22"/>
          <w:szCs w:val="22"/>
          <w:lang w:val="en-GB"/>
        </w:rPr>
      </w:pPr>
      <w:r w:rsidRPr="001125D7">
        <w:rPr>
          <w:rFonts w:asciiTheme="minorHAnsi" w:hAnsiTheme="minorHAnsi" w:cstheme="minorHAnsi"/>
          <w:sz w:val="22"/>
          <w:szCs w:val="22"/>
        </w:rPr>
        <w:lastRenderedPageBreak/>
        <w:t xml:space="preserve">Despite the foundational nature and far-reaching scope of the JNS Law, it contains no commitment to democratic norms, or a guarantee of the right to equality, or a prohibition of discrimination on the basis of race, nationality, ethnicity or any other category for all people living under Israeli sovereignty. Indeed, it does not even define its citizenry, </w:t>
      </w:r>
      <w:proofErr w:type="spellStart"/>
      <w:r w:rsidRPr="001125D7">
        <w:rPr>
          <w:rFonts w:asciiTheme="minorHAnsi" w:hAnsiTheme="minorHAnsi" w:cstheme="minorHAnsi"/>
          <w:sz w:val="22"/>
          <w:szCs w:val="22"/>
        </w:rPr>
        <w:t>referring</w:t>
      </w:r>
      <w:proofErr w:type="spellEnd"/>
      <w:r w:rsidRPr="001125D7">
        <w:rPr>
          <w:rFonts w:asciiTheme="minorHAnsi" w:hAnsiTheme="minorHAnsi" w:cstheme="minorHAnsi"/>
          <w:sz w:val="22"/>
          <w:szCs w:val="22"/>
        </w:rPr>
        <w:t xml:space="preserve"> instead to the Jewish people as its subject, and defining sovereignty and democratic self-rule as belonging solely to the Jewish people, wherever they live around the world. </w:t>
      </w:r>
    </w:p>
    <w:p w:rsidR="001125D7" w:rsidRDefault="001125D7" w:rsidP="00ED3C67">
      <w:pPr>
        <w:jc w:val="both"/>
        <w:rPr>
          <w:rFonts w:asciiTheme="minorHAnsi" w:hAnsiTheme="minorHAnsi" w:cstheme="minorHAnsi"/>
          <w:sz w:val="22"/>
          <w:szCs w:val="22"/>
        </w:rPr>
      </w:pPr>
    </w:p>
    <w:p w:rsidR="006F5386" w:rsidRPr="001125D7" w:rsidRDefault="00ED3C67" w:rsidP="00ED3C67">
      <w:pPr>
        <w:jc w:val="both"/>
        <w:rPr>
          <w:rFonts w:asciiTheme="minorHAnsi" w:hAnsiTheme="minorHAnsi" w:cstheme="minorHAnsi"/>
          <w:sz w:val="22"/>
          <w:szCs w:val="22"/>
        </w:rPr>
      </w:pPr>
      <w:r w:rsidRPr="001125D7">
        <w:rPr>
          <w:rFonts w:asciiTheme="minorHAnsi" w:hAnsiTheme="minorHAnsi" w:cstheme="minorHAnsi"/>
          <w:sz w:val="22"/>
          <w:szCs w:val="22"/>
        </w:rPr>
        <w:t>The Basic Law states (</w:t>
      </w:r>
      <w:r w:rsidRPr="001125D7">
        <w:rPr>
          <w:rFonts w:asciiTheme="minorHAnsi" w:hAnsiTheme="minorHAnsi" w:cstheme="minorHAnsi"/>
          <w:i/>
          <w:iCs/>
          <w:sz w:val="22"/>
          <w:szCs w:val="22"/>
        </w:rPr>
        <w:t>inter alia</w:t>
      </w:r>
      <w:r w:rsidRPr="001125D7">
        <w:rPr>
          <w:rFonts w:asciiTheme="minorHAnsi" w:hAnsiTheme="minorHAnsi" w:cstheme="minorHAnsi"/>
          <w:sz w:val="22"/>
          <w:szCs w:val="22"/>
        </w:rPr>
        <w:t>) that “</w:t>
      </w:r>
      <w:r w:rsidR="00794C73" w:rsidRPr="001125D7">
        <w:rPr>
          <w:rFonts w:asciiTheme="minorHAnsi" w:hAnsiTheme="minorHAnsi" w:cstheme="minorHAnsi"/>
          <w:sz w:val="22"/>
          <w:szCs w:val="22"/>
        </w:rPr>
        <w:t>the State of Israel is the nation-state of the Jewish people</w:t>
      </w:r>
      <w:r w:rsidRPr="001125D7">
        <w:rPr>
          <w:rFonts w:asciiTheme="minorHAnsi" w:hAnsiTheme="minorHAnsi" w:cstheme="minorHAnsi"/>
          <w:sz w:val="22"/>
          <w:szCs w:val="22"/>
        </w:rPr>
        <w:t>”</w:t>
      </w:r>
      <w:r w:rsidR="00794C73" w:rsidRPr="001125D7">
        <w:rPr>
          <w:rFonts w:asciiTheme="minorHAnsi" w:hAnsiTheme="minorHAnsi" w:cstheme="minorHAnsi"/>
          <w:sz w:val="22"/>
          <w:szCs w:val="22"/>
        </w:rPr>
        <w:t xml:space="preserve"> and that the realization of national self-determination in the State of Israel will be exclusively for the Jewish people; immigration to Israel leading to automatic citizenship is exclusive to Jews (from around the world) under the Law of Return; Hebrew is the </w:t>
      </w:r>
      <w:r w:rsidRPr="001125D7">
        <w:rPr>
          <w:rFonts w:asciiTheme="minorHAnsi" w:hAnsiTheme="minorHAnsi" w:cstheme="minorHAnsi"/>
          <w:sz w:val="22"/>
          <w:szCs w:val="22"/>
        </w:rPr>
        <w:t xml:space="preserve">sole </w:t>
      </w:r>
      <w:r w:rsidR="00794C73" w:rsidRPr="001125D7">
        <w:rPr>
          <w:rFonts w:asciiTheme="minorHAnsi" w:hAnsiTheme="minorHAnsi" w:cstheme="minorHAnsi"/>
          <w:sz w:val="22"/>
          <w:szCs w:val="22"/>
        </w:rPr>
        <w:t xml:space="preserve">official language of the state; the State shall encourage, promote and </w:t>
      </w:r>
      <w:r w:rsidRPr="001125D7">
        <w:rPr>
          <w:rFonts w:asciiTheme="minorHAnsi" w:hAnsiTheme="minorHAnsi" w:cstheme="minorHAnsi"/>
          <w:sz w:val="22"/>
          <w:szCs w:val="22"/>
        </w:rPr>
        <w:t xml:space="preserve">establish Jewish communities and settlements; </w:t>
      </w:r>
      <w:r w:rsidR="00794C73" w:rsidRPr="001125D7">
        <w:rPr>
          <w:rFonts w:asciiTheme="minorHAnsi" w:hAnsiTheme="minorHAnsi" w:cstheme="minorHAnsi"/>
          <w:sz w:val="22"/>
          <w:szCs w:val="22"/>
        </w:rPr>
        <w:t>t</w:t>
      </w:r>
      <w:r w:rsidRPr="001125D7">
        <w:rPr>
          <w:rFonts w:asciiTheme="minorHAnsi" w:hAnsiTheme="minorHAnsi" w:cstheme="minorHAnsi"/>
          <w:sz w:val="22"/>
          <w:szCs w:val="22"/>
        </w:rPr>
        <w:t xml:space="preserve">he national anthem is </w:t>
      </w:r>
      <w:r w:rsidRPr="001125D7">
        <w:rPr>
          <w:rFonts w:asciiTheme="minorHAnsi" w:hAnsiTheme="minorHAnsi" w:cstheme="minorHAnsi"/>
          <w:i/>
          <w:iCs/>
          <w:sz w:val="22"/>
          <w:szCs w:val="22"/>
        </w:rPr>
        <w:t>Hatikvah</w:t>
      </w:r>
      <w:r w:rsidR="00794C73" w:rsidRPr="001125D7">
        <w:rPr>
          <w:rFonts w:asciiTheme="minorHAnsi" w:hAnsiTheme="minorHAnsi" w:cstheme="minorHAnsi"/>
          <w:sz w:val="22"/>
          <w:szCs w:val="22"/>
        </w:rPr>
        <w:t>;</w:t>
      </w:r>
      <w:r w:rsidRPr="001125D7">
        <w:rPr>
          <w:rFonts w:asciiTheme="minorHAnsi" w:hAnsiTheme="minorHAnsi" w:cstheme="minorHAnsi"/>
          <w:sz w:val="22"/>
          <w:szCs w:val="22"/>
        </w:rPr>
        <w:t xml:space="preserve"> only Jewish people are represented in the symbols of the state:</w:t>
      </w:r>
      <w:r w:rsidR="00794C73" w:rsidRPr="001125D7">
        <w:rPr>
          <w:rFonts w:asciiTheme="minorHAnsi" w:hAnsiTheme="minorHAnsi" w:cstheme="minorHAnsi"/>
          <w:sz w:val="22"/>
          <w:szCs w:val="22"/>
        </w:rPr>
        <w:t xml:space="preserve"> the flag is Israeli (a prayer shawl); Independence Day is a national holiday; the Hebrew calendar is the official calendar of the state; the official holidays are Jewish holidays; and the State </w:t>
      </w:r>
      <w:r w:rsidRPr="001125D7">
        <w:rPr>
          <w:rFonts w:asciiTheme="minorHAnsi" w:hAnsiTheme="minorHAnsi" w:cstheme="minorHAnsi"/>
          <w:sz w:val="22"/>
          <w:szCs w:val="22"/>
        </w:rPr>
        <w:t>must</w:t>
      </w:r>
      <w:r w:rsidR="00794C73" w:rsidRPr="001125D7">
        <w:rPr>
          <w:rFonts w:asciiTheme="minorHAnsi" w:hAnsiTheme="minorHAnsi" w:cstheme="minorHAnsi"/>
          <w:sz w:val="22"/>
          <w:szCs w:val="22"/>
        </w:rPr>
        <w:t xml:space="preserve"> work to foster ties with Diaspora Jewry</w:t>
      </w:r>
      <w:r w:rsidRPr="001125D7">
        <w:rPr>
          <w:rFonts w:asciiTheme="minorHAnsi" w:hAnsiTheme="minorHAnsi" w:cstheme="minorHAnsi"/>
          <w:sz w:val="22"/>
          <w:szCs w:val="22"/>
        </w:rPr>
        <w:t>, while the Palestinian refugees continue to be denied the right to return to their homeland, in violation of international human rights and humanitarian law, and UN Security Council Resolutions</w:t>
      </w:r>
      <w:r w:rsidR="00794C73" w:rsidRPr="001125D7">
        <w:rPr>
          <w:rFonts w:asciiTheme="minorHAnsi" w:hAnsiTheme="minorHAnsi" w:cstheme="minorHAnsi"/>
          <w:sz w:val="22"/>
          <w:szCs w:val="22"/>
        </w:rPr>
        <w:t>.</w:t>
      </w:r>
    </w:p>
    <w:p w:rsidR="001125D7" w:rsidRDefault="001125D7" w:rsidP="00ED3C67">
      <w:pPr>
        <w:jc w:val="both"/>
        <w:rPr>
          <w:rFonts w:asciiTheme="minorHAnsi" w:hAnsiTheme="minorHAnsi" w:cstheme="minorHAnsi"/>
          <w:sz w:val="22"/>
          <w:szCs w:val="22"/>
        </w:rPr>
      </w:pPr>
    </w:p>
    <w:p w:rsidR="00ED3C67" w:rsidRPr="001125D7" w:rsidRDefault="00ED3C67" w:rsidP="00ED3C67">
      <w:pPr>
        <w:jc w:val="both"/>
        <w:rPr>
          <w:rFonts w:asciiTheme="minorHAnsi" w:hAnsiTheme="minorHAnsi" w:cstheme="minorHAnsi"/>
          <w:sz w:val="22"/>
          <w:szCs w:val="22"/>
        </w:rPr>
      </w:pPr>
      <w:r w:rsidRPr="001125D7">
        <w:rPr>
          <w:rFonts w:asciiTheme="minorHAnsi" w:hAnsiTheme="minorHAnsi" w:cstheme="minorHAnsi"/>
          <w:sz w:val="22"/>
          <w:szCs w:val="22"/>
        </w:rPr>
        <w:t xml:space="preserve">Within the Green Line, the law gives constitutional backing to the state to consolidate Jewish demographic majorities throughout Israel, and is likely to be used to establish segregated, exclusively Jewish towns in areas where Palestinian citizens are most concentrated, including the Galilee and the </w:t>
      </w:r>
      <w:proofErr w:type="spellStart"/>
      <w:r w:rsidRPr="001125D7">
        <w:rPr>
          <w:rFonts w:asciiTheme="minorHAnsi" w:hAnsiTheme="minorHAnsi" w:cstheme="minorHAnsi"/>
          <w:sz w:val="22"/>
          <w:szCs w:val="22"/>
        </w:rPr>
        <w:t>Naqab</w:t>
      </w:r>
      <w:proofErr w:type="spellEnd"/>
      <w:r w:rsidRPr="001125D7">
        <w:rPr>
          <w:rFonts w:asciiTheme="minorHAnsi" w:hAnsiTheme="minorHAnsi" w:cstheme="minorHAnsi"/>
          <w:sz w:val="22"/>
          <w:szCs w:val="22"/>
        </w:rPr>
        <w:t xml:space="preserve"> (Negev) desert in southern Israel, the traditional home of the Bedouin. The law legitimizes discriminatory land policies, such as admissions committees that filter non-Jewish families and individuals out of small towns throughout the state. It would also give constitutional justification to discriminatory budgeting policies that channel public funds to Jewish communities and even to Jewish individuals, for the purpose of incentivizing them to relocate to certain areas.</w:t>
      </w:r>
    </w:p>
    <w:p w:rsidR="001125D7" w:rsidRDefault="001125D7" w:rsidP="00A73A23">
      <w:pPr>
        <w:jc w:val="both"/>
        <w:rPr>
          <w:rFonts w:asciiTheme="minorHAnsi" w:hAnsiTheme="minorHAnsi" w:cstheme="minorHAnsi"/>
          <w:sz w:val="22"/>
          <w:szCs w:val="22"/>
        </w:rPr>
      </w:pPr>
    </w:p>
    <w:p w:rsidR="007C4DE1" w:rsidRPr="001125D7" w:rsidRDefault="001125D7" w:rsidP="00A73A23">
      <w:pPr>
        <w:jc w:val="both"/>
        <w:rPr>
          <w:rStyle w:val="Strong"/>
          <w:rFonts w:asciiTheme="minorHAnsi" w:hAnsiTheme="minorHAnsi" w:cstheme="minorHAnsi"/>
          <w:b w:val="0"/>
          <w:bCs w:val="0"/>
          <w:sz w:val="22"/>
          <w:szCs w:val="22"/>
        </w:rPr>
      </w:pPr>
      <w:r>
        <w:rPr>
          <w:rFonts w:asciiTheme="minorHAnsi" w:hAnsiTheme="minorHAnsi" w:cstheme="minorHAnsi"/>
          <w:sz w:val="22"/>
          <w:szCs w:val="22"/>
        </w:rPr>
        <w:t xml:space="preserve">Fourteen petitions are </w:t>
      </w:r>
      <w:r w:rsidR="007C4DE1" w:rsidRPr="001125D7">
        <w:rPr>
          <w:rFonts w:asciiTheme="minorHAnsi" w:hAnsiTheme="minorHAnsi" w:cstheme="minorHAnsi"/>
          <w:sz w:val="22"/>
          <w:szCs w:val="22"/>
        </w:rPr>
        <w:t xml:space="preserve">currently pending against the Jewish Nation-State Law before the Israeli Supreme Court (SCT), including one filed by </w:t>
      </w:r>
      <w:proofErr w:type="spellStart"/>
      <w:r w:rsidR="007C4DE1" w:rsidRPr="001125D7">
        <w:rPr>
          <w:rFonts w:asciiTheme="minorHAnsi" w:hAnsiTheme="minorHAnsi" w:cstheme="minorHAnsi"/>
          <w:sz w:val="22"/>
          <w:szCs w:val="22"/>
        </w:rPr>
        <w:t>Adalah</w:t>
      </w:r>
      <w:proofErr w:type="spellEnd"/>
      <w:r w:rsidR="007C4DE1" w:rsidRPr="001125D7">
        <w:rPr>
          <w:rFonts w:asciiTheme="minorHAnsi" w:hAnsiTheme="minorHAnsi" w:cstheme="minorHAnsi"/>
          <w:sz w:val="22"/>
          <w:szCs w:val="22"/>
        </w:rPr>
        <w:t xml:space="preserve"> in August 2018 on behalf of the Palestinian leadership in Israel </w:t>
      </w:r>
      <w:r w:rsidR="007C4DE1" w:rsidRPr="001125D7">
        <w:rPr>
          <w:rFonts w:asciiTheme="minorHAnsi" w:hAnsiTheme="minorHAnsi" w:cstheme="minorHAnsi"/>
          <w:color w:val="000000"/>
          <w:sz w:val="22"/>
          <w:szCs w:val="22"/>
        </w:rPr>
        <w:t>–</w:t>
      </w:r>
      <w:r w:rsidR="007C4DE1" w:rsidRPr="001125D7">
        <w:rPr>
          <w:rFonts w:asciiTheme="minorHAnsi" w:hAnsiTheme="minorHAnsi" w:cstheme="minorHAnsi"/>
          <w:sz w:val="22"/>
          <w:szCs w:val="22"/>
        </w:rPr>
        <w:t xml:space="preserve"> the High Follow-Up Committee for Arab Citizens of Israel, the National Committee of Arab Mayors, and the Joint List parliamentary faction.</w:t>
      </w:r>
      <w:r w:rsidR="007C4DE1" w:rsidRPr="001125D7">
        <w:rPr>
          <w:rStyle w:val="FootnoteReference"/>
          <w:rFonts w:asciiTheme="minorHAnsi" w:hAnsiTheme="minorHAnsi" w:cstheme="minorHAnsi"/>
          <w:sz w:val="22"/>
          <w:szCs w:val="22"/>
        </w:rPr>
        <w:footnoteReference w:id="2"/>
      </w:r>
      <w:r w:rsidR="007C4DE1" w:rsidRPr="001125D7">
        <w:rPr>
          <w:rStyle w:val="Strong"/>
          <w:rFonts w:asciiTheme="minorHAnsi" w:eastAsia="Calibri" w:hAnsiTheme="minorHAnsi" w:cstheme="minorHAnsi"/>
          <w:sz w:val="22"/>
          <w:szCs w:val="22"/>
        </w:rPr>
        <w:t> </w:t>
      </w:r>
      <w:r w:rsidR="00A73A23" w:rsidRPr="001125D7">
        <w:rPr>
          <w:rFonts w:asciiTheme="minorHAnsi" w:hAnsiTheme="minorHAnsi" w:cstheme="minorHAnsi"/>
          <w:color w:val="000000"/>
          <w:sz w:val="22"/>
          <w:szCs w:val="22"/>
          <w:shd w:val="clear" w:color="auto" w:fill="FFFFFF"/>
        </w:rPr>
        <w:t>The petition demands that the Court cancel the law as it contradicts fundamental international human rights norms in place since the end of World War II; negates almost 20 years of Supreme Court caselaw concerning the right to equality and land rights; and constitutes an abuse of power by the majority in the Knesset.</w:t>
      </w:r>
      <w:r w:rsidR="00A73A23" w:rsidRPr="001125D7">
        <w:rPr>
          <w:rFonts w:asciiTheme="minorHAnsi" w:hAnsiTheme="minorHAnsi" w:cstheme="minorHAnsi"/>
          <w:sz w:val="22"/>
          <w:szCs w:val="22"/>
        </w:rPr>
        <w:t xml:space="preserve"> </w:t>
      </w:r>
      <w:r w:rsidR="00D55064" w:rsidRPr="001125D7">
        <w:rPr>
          <w:rStyle w:val="Strong"/>
          <w:rFonts w:asciiTheme="minorHAnsi" w:eastAsia="Calibri" w:hAnsiTheme="minorHAnsi" w:cstheme="minorHAnsi"/>
          <w:b w:val="0"/>
          <w:bCs w:val="0"/>
          <w:sz w:val="22"/>
          <w:szCs w:val="22"/>
        </w:rPr>
        <w:t xml:space="preserve">The SCT has granted multiple requests by the state to postpone its response to the petitions. </w:t>
      </w:r>
      <w:r w:rsidR="007C4DE1" w:rsidRPr="001125D7">
        <w:rPr>
          <w:rStyle w:val="Strong"/>
          <w:rFonts w:asciiTheme="minorHAnsi" w:eastAsia="Calibri" w:hAnsiTheme="minorHAnsi" w:cstheme="minorHAnsi"/>
          <w:b w:val="0"/>
          <w:bCs w:val="0"/>
          <w:sz w:val="22"/>
          <w:szCs w:val="22"/>
        </w:rPr>
        <w:t xml:space="preserve">While the SCT decided that an expanded 11-justice panel will hear the case, no hearing date has </w:t>
      </w:r>
      <w:r w:rsidR="00A73A23" w:rsidRPr="001125D7">
        <w:rPr>
          <w:rStyle w:val="Strong"/>
          <w:rFonts w:asciiTheme="minorHAnsi" w:eastAsia="Calibri" w:hAnsiTheme="minorHAnsi" w:cstheme="minorHAnsi"/>
          <w:b w:val="0"/>
          <w:bCs w:val="0"/>
          <w:sz w:val="22"/>
          <w:szCs w:val="22"/>
        </w:rPr>
        <w:t xml:space="preserve">yet </w:t>
      </w:r>
      <w:r w:rsidR="007C4DE1" w:rsidRPr="001125D7">
        <w:rPr>
          <w:rStyle w:val="Strong"/>
          <w:rFonts w:asciiTheme="minorHAnsi" w:eastAsia="Calibri" w:hAnsiTheme="minorHAnsi" w:cstheme="minorHAnsi"/>
          <w:b w:val="0"/>
          <w:bCs w:val="0"/>
          <w:sz w:val="22"/>
          <w:szCs w:val="22"/>
        </w:rPr>
        <w:t>been schedule</w:t>
      </w:r>
      <w:r w:rsidR="00D55064" w:rsidRPr="001125D7">
        <w:rPr>
          <w:rStyle w:val="Strong"/>
          <w:rFonts w:asciiTheme="minorHAnsi" w:eastAsia="Calibri" w:hAnsiTheme="minorHAnsi" w:cstheme="minorHAnsi"/>
          <w:b w:val="0"/>
          <w:bCs w:val="0"/>
          <w:sz w:val="22"/>
          <w:szCs w:val="22"/>
        </w:rPr>
        <w:t>d.</w:t>
      </w:r>
    </w:p>
    <w:p w:rsidR="001125D7" w:rsidRDefault="001125D7" w:rsidP="00D55064">
      <w:pPr>
        <w:pStyle w:val="NormalWeb"/>
        <w:spacing w:before="0" w:beforeAutospacing="0" w:after="0" w:afterAutospacing="0"/>
        <w:jc w:val="both"/>
        <w:textAlignment w:val="baseline"/>
        <w:rPr>
          <w:rFonts w:asciiTheme="minorHAnsi" w:hAnsiTheme="minorHAnsi" w:cstheme="minorHAnsi"/>
          <w:color w:val="000000"/>
          <w:sz w:val="22"/>
          <w:szCs w:val="22"/>
        </w:rPr>
      </w:pPr>
    </w:p>
    <w:p w:rsidR="00D55064" w:rsidRPr="001125D7" w:rsidRDefault="00D55064" w:rsidP="00D55064">
      <w:pPr>
        <w:pStyle w:val="NormalWeb"/>
        <w:spacing w:before="0" w:beforeAutospacing="0" w:after="0" w:afterAutospacing="0"/>
        <w:jc w:val="both"/>
        <w:textAlignment w:val="baseline"/>
        <w:rPr>
          <w:rFonts w:asciiTheme="minorHAnsi" w:hAnsiTheme="minorHAnsi" w:cstheme="minorHAnsi"/>
          <w:b/>
          <w:bCs/>
          <w:color w:val="000000" w:themeColor="text1"/>
          <w:sz w:val="22"/>
          <w:szCs w:val="22"/>
        </w:rPr>
      </w:pPr>
      <w:r w:rsidRPr="001125D7">
        <w:rPr>
          <w:rFonts w:asciiTheme="minorHAnsi" w:hAnsiTheme="minorHAnsi" w:cstheme="minorHAnsi"/>
          <w:color w:val="000000"/>
          <w:sz w:val="22"/>
          <w:szCs w:val="22"/>
        </w:rPr>
        <w:t>Following a</w:t>
      </w:r>
      <w:r w:rsidRPr="001125D7">
        <w:rPr>
          <w:rStyle w:val="apple-converted-space"/>
          <w:rFonts w:asciiTheme="minorHAnsi" w:hAnsiTheme="minorHAnsi" w:cstheme="minorHAnsi"/>
          <w:color w:val="000000"/>
          <w:sz w:val="22"/>
          <w:szCs w:val="22"/>
        </w:rPr>
        <w:t> </w:t>
      </w:r>
      <w:r w:rsidR="000D4D90" w:rsidRPr="001125D7">
        <w:rPr>
          <w:rStyle w:val="apple-converted-space"/>
          <w:rFonts w:asciiTheme="minorHAnsi" w:hAnsiTheme="minorHAnsi" w:cstheme="minorHAnsi"/>
          <w:color w:val="000000"/>
          <w:sz w:val="22"/>
          <w:szCs w:val="22"/>
        </w:rPr>
        <w:t xml:space="preserve">letter </w:t>
      </w:r>
      <w:r w:rsidRPr="001125D7">
        <w:rPr>
          <w:rStyle w:val="apple-converted-space"/>
          <w:rFonts w:asciiTheme="minorHAnsi" w:hAnsiTheme="minorHAnsi" w:cstheme="minorHAnsi"/>
          <w:color w:val="000000"/>
          <w:sz w:val="22"/>
          <w:szCs w:val="22"/>
        </w:rPr>
        <w:t xml:space="preserve">submitted by </w:t>
      </w:r>
      <w:proofErr w:type="spellStart"/>
      <w:r w:rsidRPr="001125D7">
        <w:rPr>
          <w:rStyle w:val="apple-converted-space"/>
          <w:rFonts w:asciiTheme="minorHAnsi" w:hAnsiTheme="minorHAnsi" w:cstheme="minorHAnsi"/>
          <w:color w:val="000000"/>
          <w:sz w:val="22"/>
          <w:szCs w:val="22"/>
        </w:rPr>
        <w:t>Adalah</w:t>
      </w:r>
      <w:proofErr w:type="spellEnd"/>
      <w:r w:rsidR="006D486D" w:rsidRPr="001125D7">
        <w:rPr>
          <w:rStyle w:val="apple-converted-space"/>
          <w:rFonts w:asciiTheme="minorHAnsi" w:hAnsiTheme="minorHAnsi" w:cstheme="minorHAnsi"/>
          <w:color w:val="000000"/>
          <w:sz w:val="22"/>
          <w:szCs w:val="22"/>
        </w:rPr>
        <w:t xml:space="preserve"> in October</w:t>
      </w:r>
      <w:r w:rsidR="000D4D90" w:rsidRPr="001125D7">
        <w:rPr>
          <w:rStyle w:val="apple-converted-space"/>
          <w:rFonts w:asciiTheme="minorHAnsi" w:hAnsiTheme="minorHAnsi" w:cstheme="minorHAnsi"/>
          <w:color w:val="000000"/>
          <w:sz w:val="22"/>
          <w:szCs w:val="22"/>
        </w:rPr>
        <w:t xml:space="preserve"> 2018</w:t>
      </w:r>
      <w:r w:rsidR="00A73A23" w:rsidRPr="001125D7">
        <w:rPr>
          <w:rStyle w:val="apple-converted-space"/>
          <w:rFonts w:asciiTheme="minorHAnsi" w:hAnsiTheme="minorHAnsi" w:cstheme="minorHAnsi"/>
          <w:color w:val="000000"/>
          <w:sz w:val="22"/>
          <w:szCs w:val="22"/>
        </w:rPr>
        <w:t>,</w:t>
      </w:r>
      <w:r w:rsidRPr="001125D7">
        <w:rPr>
          <w:rStyle w:val="FootnoteReference"/>
          <w:rFonts w:asciiTheme="minorHAnsi" w:hAnsiTheme="minorHAnsi" w:cstheme="minorHAnsi"/>
          <w:color w:val="000000"/>
          <w:sz w:val="22"/>
          <w:szCs w:val="22"/>
        </w:rPr>
        <w:footnoteReference w:id="3"/>
      </w:r>
      <w:r w:rsidRPr="001125D7">
        <w:rPr>
          <w:rFonts w:asciiTheme="minorHAnsi" w:hAnsiTheme="minorHAnsi" w:cstheme="minorHAnsi"/>
          <w:color w:val="000000"/>
          <w:sz w:val="22"/>
          <w:szCs w:val="22"/>
        </w:rPr>
        <w:t xml:space="preserve"> four UN Special Rapporteurs in the field of cultural rights, on the situation of human rights in the Palestinian territories occupied since 1967, on minority issues, and on contemporary forms of racism</w:t>
      </w:r>
      <w:r w:rsidRPr="001125D7">
        <w:rPr>
          <w:rFonts w:asciiTheme="minorHAnsi" w:hAnsiTheme="minorHAnsi" w:cstheme="minorHAnsi"/>
          <w:color w:val="000000" w:themeColor="text1"/>
          <w:sz w:val="22"/>
          <w:szCs w:val="22"/>
        </w:rPr>
        <w:t xml:space="preserve"> sent a communique to Israel expressing their deep concern </w:t>
      </w:r>
      <w:r w:rsidRPr="001125D7">
        <w:rPr>
          <w:rStyle w:val="Strong"/>
          <w:rFonts w:asciiTheme="minorHAnsi" w:hAnsiTheme="minorHAnsi" w:cstheme="minorHAnsi"/>
          <w:b w:val="0"/>
          <w:bCs w:val="0"/>
          <w:color w:val="000000" w:themeColor="text1"/>
          <w:sz w:val="22"/>
          <w:szCs w:val="22"/>
        </w:rPr>
        <w:t>that the Basic Law appears "to be discriminatory in nature and in practice against non-</w:t>
      </w:r>
      <w:r w:rsidRPr="001125D7">
        <w:rPr>
          <w:rStyle w:val="Strong"/>
          <w:rFonts w:asciiTheme="minorHAnsi" w:hAnsiTheme="minorHAnsi" w:cstheme="minorHAnsi"/>
          <w:b w:val="0"/>
          <w:bCs w:val="0"/>
          <w:color w:val="000000" w:themeColor="text1"/>
          <w:sz w:val="22"/>
          <w:szCs w:val="22"/>
        </w:rPr>
        <w:lastRenderedPageBreak/>
        <w:t>Jewish citizens and other minorities and does not apply the principle of equality between citizens, which is one of the key principles for democratic political systems."</w:t>
      </w:r>
      <w:r w:rsidR="00A73A23" w:rsidRPr="001125D7">
        <w:rPr>
          <w:rStyle w:val="FootnoteReference"/>
          <w:rFonts w:asciiTheme="minorHAnsi" w:hAnsiTheme="minorHAnsi" w:cstheme="minorHAnsi"/>
          <w:b/>
          <w:bCs/>
          <w:color w:val="000000" w:themeColor="text1"/>
          <w:sz w:val="22"/>
          <w:szCs w:val="22"/>
        </w:rPr>
        <w:footnoteReference w:id="4"/>
      </w:r>
    </w:p>
    <w:p w:rsidR="00A73A23" w:rsidRPr="001125D7" w:rsidRDefault="00A73A23" w:rsidP="00D55064">
      <w:pPr>
        <w:pStyle w:val="NormalWeb"/>
        <w:spacing w:before="0" w:beforeAutospacing="0" w:after="0" w:afterAutospacing="0"/>
        <w:jc w:val="both"/>
        <w:textAlignment w:val="baseline"/>
        <w:rPr>
          <w:rFonts w:asciiTheme="minorHAnsi" w:hAnsiTheme="minorHAnsi" w:cstheme="minorHAnsi"/>
          <w:color w:val="000000" w:themeColor="text1"/>
          <w:sz w:val="22"/>
          <w:szCs w:val="22"/>
        </w:rPr>
      </w:pPr>
    </w:p>
    <w:p w:rsidR="00A73A23" w:rsidRPr="001125D7" w:rsidRDefault="00A73A23" w:rsidP="00A73A23">
      <w:pPr>
        <w:jc w:val="both"/>
        <w:rPr>
          <w:rFonts w:asciiTheme="minorHAnsi" w:hAnsiTheme="minorHAnsi" w:cstheme="minorHAnsi"/>
          <w:sz w:val="22"/>
          <w:szCs w:val="22"/>
        </w:rPr>
      </w:pPr>
      <w:r w:rsidRPr="001125D7">
        <w:rPr>
          <w:rFonts w:asciiTheme="minorHAnsi" w:hAnsiTheme="minorHAnsi" w:cstheme="minorHAnsi"/>
          <w:color w:val="000000"/>
          <w:sz w:val="22"/>
          <w:szCs w:val="22"/>
          <w:shd w:val="clear" w:color="auto" w:fill="FFFFFF"/>
        </w:rPr>
        <w:t>The special rapporteurs also emphasized that they fear that "the law as adopted offers a legal basis for the pre-eminence of Jewish people over non-Jewish citizens who are members of other ethno-religious and linguistic minority groups, and creates a legal order and an environment that could potentially lead to further discriminatory legislative and/or policy actions, which contravene the international human rights obligations of Israel."</w:t>
      </w:r>
      <w:r w:rsidRPr="001125D7">
        <w:rPr>
          <w:rStyle w:val="FootnoteReference"/>
          <w:rFonts w:asciiTheme="minorHAnsi" w:hAnsiTheme="minorHAnsi" w:cstheme="minorHAnsi"/>
          <w:color w:val="000000"/>
          <w:sz w:val="22"/>
          <w:szCs w:val="22"/>
          <w:shd w:val="clear" w:color="auto" w:fill="FFFFFF"/>
        </w:rPr>
        <w:footnoteReference w:id="5"/>
      </w:r>
      <w:r w:rsidR="006D486D" w:rsidRPr="001125D7">
        <w:rPr>
          <w:rFonts w:asciiTheme="minorHAnsi" w:hAnsiTheme="minorHAnsi" w:cstheme="minorHAnsi"/>
          <w:color w:val="000000"/>
          <w:sz w:val="22"/>
          <w:szCs w:val="22"/>
          <w:shd w:val="clear" w:color="auto" w:fill="FFFFFF"/>
        </w:rPr>
        <w:t xml:space="preserve"> Although asked to do so by the Special Rapporteurs, the State of Israel has not responded to the communique.</w:t>
      </w:r>
    </w:p>
    <w:p w:rsidR="00D55064" w:rsidRPr="001125D7" w:rsidRDefault="00D55064" w:rsidP="00D55064">
      <w:pPr>
        <w:pStyle w:val="NormalWeb"/>
        <w:spacing w:before="0" w:beforeAutospacing="0" w:after="0" w:afterAutospacing="0"/>
        <w:jc w:val="both"/>
        <w:textAlignment w:val="baseline"/>
        <w:rPr>
          <w:rFonts w:asciiTheme="minorHAnsi" w:hAnsiTheme="minorHAnsi" w:cstheme="minorHAnsi"/>
          <w:color w:val="000000" w:themeColor="text1"/>
          <w:sz w:val="22"/>
          <w:szCs w:val="22"/>
        </w:rPr>
      </w:pPr>
      <w:r w:rsidRPr="001125D7">
        <w:rPr>
          <w:rFonts w:asciiTheme="minorHAnsi" w:hAnsiTheme="minorHAnsi" w:cstheme="minorHAnsi"/>
          <w:color w:val="000000" w:themeColor="text1"/>
          <w:sz w:val="22"/>
          <w:szCs w:val="22"/>
        </w:rPr>
        <w:t> </w:t>
      </w:r>
    </w:p>
    <w:p w:rsidR="00052D7E" w:rsidRDefault="006F5386">
      <w:pPr>
        <w:rPr>
          <w:rFonts w:asciiTheme="minorHAnsi" w:hAnsiTheme="minorHAnsi" w:cstheme="minorHAnsi"/>
          <w:b/>
          <w:bCs/>
          <w:i/>
          <w:iCs/>
          <w:sz w:val="22"/>
          <w:szCs w:val="22"/>
        </w:rPr>
      </w:pPr>
      <w:r w:rsidRPr="001125D7">
        <w:rPr>
          <w:rFonts w:asciiTheme="minorHAnsi" w:hAnsiTheme="minorHAnsi" w:cstheme="minorHAnsi"/>
          <w:b/>
          <w:bCs/>
          <w:i/>
          <w:iCs/>
          <w:sz w:val="22"/>
          <w:szCs w:val="22"/>
        </w:rPr>
        <w:t>The Status of the Arabic Language in Israel</w:t>
      </w:r>
    </w:p>
    <w:p w:rsidR="005F4678" w:rsidRPr="001125D7" w:rsidRDefault="005F4678">
      <w:pPr>
        <w:rPr>
          <w:rFonts w:asciiTheme="minorHAnsi" w:hAnsiTheme="minorHAnsi" w:cstheme="minorHAnsi"/>
          <w:b/>
          <w:bCs/>
          <w:i/>
          <w:iCs/>
          <w:sz w:val="22"/>
          <w:szCs w:val="22"/>
        </w:rPr>
      </w:pPr>
    </w:p>
    <w:p w:rsidR="006F5386" w:rsidRPr="001125D7" w:rsidRDefault="006F5386" w:rsidP="006F5386">
      <w:pPr>
        <w:jc w:val="both"/>
        <w:rPr>
          <w:rFonts w:asciiTheme="minorHAnsi" w:hAnsiTheme="minorHAnsi" w:cstheme="minorHAnsi"/>
          <w:sz w:val="22"/>
          <w:szCs w:val="22"/>
        </w:rPr>
      </w:pPr>
      <w:r w:rsidRPr="001125D7">
        <w:rPr>
          <w:rFonts w:asciiTheme="minorHAnsi" w:hAnsiTheme="minorHAnsi" w:cstheme="minorHAnsi"/>
          <w:sz w:val="22"/>
          <w:szCs w:val="22"/>
        </w:rPr>
        <w:t xml:space="preserve">In its </w:t>
      </w:r>
      <w:r w:rsidR="000D4D90" w:rsidRPr="001125D7">
        <w:rPr>
          <w:rFonts w:asciiTheme="minorHAnsi" w:hAnsiTheme="minorHAnsi" w:cstheme="minorHAnsi"/>
          <w:sz w:val="22"/>
          <w:szCs w:val="22"/>
        </w:rPr>
        <w:t xml:space="preserve">2017 </w:t>
      </w:r>
      <w:r w:rsidRPr="001125D7">
        <w:rPr>
          <w:rFonts w:asciiTheme="minorHAnsi" w:hAnsiTheme="minorHAnsi" w:cstheme="minorHAnsi"/>
          <w:sz w:val="22"/>
          <w:szCs w:val="22"/>
        </w:rPr>
        <w:t xml:space="preserve">report to the Committee, Israel made little mention of the status of Arabic, the language of the Arab national minority in Israel, </w:t>
      </w:r>
      <w:r w:rsidR="000D4D90" w:rsidRPr="001125D7">
        <w:rPr>
          <w:rFonts w:asciiTheme="minorHAnsi" w:hAnsiTheme="minorHAnsi" w:cstheme="minorHAnsi"/>
          <w:sz w:val="22"/>
          <w:szCs w:val="22"/>
        </w:rPr>
        <w:t xml:space="preserve">numbering over 1.5 million people or 20% of the population, </w:t>
      </w:r>
      <w:r w:rsidRPr="001125D7">
        <w:rPr>
          <w:rFonts w:asciiTheme="minorHAnsi" w:hAnsiTheme="minorHAnsi" w:cstheme="minorHAnsi"/>
          <w:sz w:val="22"/>
          <w:szCs w:val="22"/>
        </w:rPr>
        <w:t>only noting a number of initiatives undertaken to support the Arabic language in Israel, including an official Arabic-language day in the Knesset, and an evaluation of higher education study programs in Arabic carried out in 2014 (CERD/C/ISR/CO/14-16, para. 306-308).</w:t>
      </w:r>
    </w:p>
    <w:p w:rsidR="001125D7" w:rsidRDefault="001125D7" w:rsidP="000D4D90">
      <w:pPr>
        <w:jc w:val="both"/>
        <w:rPr>
          <w:rFonts w:asciiTheme="minorHAnsi" w:hAnsiTheme="minorHAnsi" w:cstheme="minorHAnsi"/>
          <w:sz w:val="22"/>
          <w:szCs w:val="22"/>
        </w:rPr>
      </w:pPr>
    </w:p>
    <w:p w:rsidR="006F5386" w:rsidRPr="001125D7" w:rsidRDefault="006F5386" w:rsidP="000D4D90">
      <w:pPr>
        <w:jc w:val="both"/>
        <w:rPr>
          <w:rFonts w:asciiTheme="minorHAnsi" w:hAnsiTheme="minorHAnsi" w:cstheme="minorHAnsi"/>
          <w:sz w:val="22"/>
          <w:szCs w:val="22"/>
        </w:rPr>
      </w:pPr>
      <w:r w:rsidRPr="001125D7">
        <w:rPr>
          <w:rFonts w:asciiTheme="minorHAnsi" w:hAnsiTheme="minorHAnsi" w:cstheme="minorHAnsi"/>
          <w:sz w:val="22"/>
          <w:szCs w:val="22"/>
        </w:rPr>
        <w:t>Article 4 of the J</w:t>
      </w:r>
      <w:r w:rsidR="000D4D90" w:rsidRPr="001125D7">
        <w:rPr>
          <w:rFonts w:asciiTheme="minorHAnsi" w:hAnsiTheme="minorHAnsi" w:cstheme="minorHAnsi"/>
          <w:sz w:val="22"/>
          <w:szCs w:val="22"/>
        </w:rPr>
        <w:t xml:space="preserve">ewish Nation-State </w:t>
      </w:r>
      <w:r w:rsidRPr="001125D7">
        <w:rPr>
          <w:rFonts w:asciiTheme="minorHAnsi" w:hAnsiTheme="minorHAnsi" w:cstheme="minorHAnsi"/>
          <w:sz w:val="22"/>
          <w:szCs w:val="22"/>
        </w:rPr>
        <w:t xml:space="preserve">Law </w:t>
      </w:r>
      <w:r w:rsidR="000D4D90" w:rsidRPr="001125D7">
        <w:rPr>
          <w:rFonts w:asciiTheme="minorHAnsi" w:hAnsiTheme="minorHAnsi" w:cstheme="minorHAnsi"/>
          <w:sz w:val="22"/>
          <w:szCs w:val="22"/>
        </w:rPr>
        <w:t xml:space="preserve">(JNS Law) </w:t>
      </w:r>
      <w:r w:rsidRPr="001125D7">
        <w:rPr>
          <w:rFonts w:asciiTheme="minorHAnsi" w:hAnsiTheme="minorHAnsi" w:cstheme="minorHAnsi"/>
          <w:sz w:val="22"/>
          <w:szCs w:val="22"/>
        </w:rPr>
        <w:t>demote</w:t>
      </w:r>
      <w:r w:rsidR="000D4D90" w:rsidRPr="001125D7">
        <w:rPr>
          <w:rFonts w:asciiTheme="minorHAnsi" w:hAnsiTheme="minorHAnsi" w:cstheme="minorHAnsi"/>
          <w:sz w:val="22"/>
          <w:szCs w:val="22"/>
        </w:rPr>
        <w:t>s</w:t>
      </w:r>
      <w:r w:rsidRPr="001125D7">
        <w:rPr>
          <w:rFonts w:asciiTheme="minorHAnsi" w:hAnsiTheme="minorHAnsi" w:cstheme="minorHAnsi"/>
          <w:sz w:val="22"/>
          <w:szCs w:val="22"/>
        </w:rPr>
        <w:t xml:space="preserve"> </w:t>
      </w:r>
      <w:r w:rsidR="000D4D90" w:rsidRPr="001125D7">
        <w:rPr>
          <w:rFonts w:asciiTheme="minorHAnsi" w:hAnsiTheme="minorHAnsi" w:cstheme="minorHAnsi"/>
          <w:sz w:val="22"/>
          <w:szCs w:val="22"/>
        </w:rPr>
        <w:t xml:space="preserve">the status of </w:t>
      </w:r>
      <w:r w:rsidRPr="001125D7">
        <w:rPr>
          <w:rFonts w:asciiTheme="minorHAnsi" w:hAnsiTheme="minorHAnsi" w:cstheme="minorHAnsi"/>
          <w:sz w:val="22"/>
          <w:szCs w:val="22"/>
        </w:rPr>
        <w:t>Arabic, providing that the official language of the state is Hebrew alone. Arabic, which was previously a second official language, has now become a language with an undefined “special status”</w:t>
      </w:r>
      <w:r w:rsidR="00794C73" w:rsidRPr="001125D7">
        <w:rPr>
          <w:rFonts w:asciiTheme="minorHAnsi" w:hAnsiTheme="minorHAnsi" w:cstheme="minorHAnsi"/>
          <w:sz w:val="22"/>
          <w:szCs w:val="22"/>
        </w:rPr>
        <w:t>, which is inferior to an “official status”. This “special status” offers the possibility of using Arabic only in practice and at the individual level, but does not recognize it at the collective level as the language of the minority.</w:t>
      </w:r>
    </w:p>
    <w:p w:rsidR="00794C73" w:rsidRPr="001125D7" w:rsidRDefault="00794C73" w:rsidP="00794C73">
      <w:pPr>
        <w:rPr>
          <w:rFonts w:asciiTheme="minorHAnsi" w:hAnsiTheme="minorHAnsi" w:cstheme="minorHAnsi"/>
          <w:sz w:val="22"/>
          <w:szCs w:val="22"/>
        </w:rPr>
      </w:pPr>
    </w:p>
    <w:p w:rsidR="001125D7" w:rsidRPr="005F4678" w:rsidRDefault="00794C73" w:rsidP="005F4678">
      <w:pPr>
        <w:jc w:val="both"/>
        <w:rPr>
          <w:rFonts w:asciiTheme="minorHAnsi" w:hAnsiTheme="minorHAnsi" w:cstheme="minorHAnsi"/>
          <w:sz w:val="22"/>
          <w:szCs w:val="22"/>
        </w:rPr>
      </w:pPr>
      <w:proofErr w:type="gramStart"/>
      <w:r w:rsidRPr="001125D7">
        <w:rPr>
          <w:rFonts w:asciiTheme="minorHAnsi" w:hAnsiTheme="minorHAnsi" w:cstheme="minorHAnsi"/>
          <w:sz w:val="22"/>
          <w:szCs w:val="22"/>
        </w:rPr>
        <w:t>Thus</w:t>
      </w:r>
      <w:proofErr w:type="gramEnd"/>
      <w:r w:rsidRPr="001125D7">
        <w:rPr>
          <w:rFonts w:asciiTheme="minorHAnsi" w:hAnsiTheme="minorHAnsi" w:cstheme="minorHAnsi"/>
          <w:sz w:val="22"/>
          <w:szCs w:val="22"/>
        </w:rPr>
        <w:t xml:space="preserve"> the JNS Law undermines the status of the Arabic language, and, for the first time, demotes its </w:t>
      </w:r>
      <w:r w:rsidRPr="001125D7">
        <w:rPr>
          <w:rFonts w:asciiTheme="minorHAnsi" w:hAnsiTheme="minorHAnsi" w:cstheme="minorHAnsi"/>
          <w:i/>
          <w:iCs/>
          <w:sz w:val="22"/>
          <w:szCs w:val="22"/>
        </w:rPr>
        <w:t>de jure</w:t>
      </w:r>
      <w:r w:rsidRPr="001125D7">
        <w:rPr>
          <w:rFonts w:asciiTheme="minorHAnsi" w:hAnsiTheme="minorHAnsi" w:cstheme="minorHAnsi"/>
          <w:sz w:val="22"/>
          <w:szCs w:val="22"/>
        </w:rPr>
        <w:t xml:space="preserve"> status from that of an official language in Israel. In practice, the authorities did not respect the law and treated the Arabic language in a manner inconsistent with its official status. However, there is a huge gap between this unacceptable practice, and its constitutional entrenchment. Whereas previously Arabic was not treated as a second official language in public life, there was </w:t>
      </w:r>
      <w:r w:rsidR="006F5386" w:rsidRPr="001125D7">
        <w:rPr>
          <w:rFonts w:asciiTheme="minorHAnsi" w:hAnsiTheme="minorHAnsi" w:cstheme="minorHAnsi"/>
          <w:sz w:val="22"/>
          <w:szCs w:val="22"/>
        </w:rPr>
        <w:t xml:space="preserve">a strong argument that </w:t>
      </w:r>
      <w:r w:rsidRPr="001125D7">
        <w:rPr>
          <w:rFonts w:asciiTheme="minorHAnsi" w:hAnsiTheme="minorHAnsi" w:cstheme="minorHAnsi"/>
          <w:sz w:val="22"/>
          <w:szCs w:val="22"/>
        </w:rPr>
        <w:t>could be</w:t>
      </w:r>
      <w:r w:rsidR="006F5386" w:rsidRPr="001125D7">
        <w:rPr>
          <w:rFonts w:asciiTheme="minorHAnsi" w:hAnsiTheme="minorHAnsi" w:cstheme="minorHAnsi"/>
          <w:sz w:val="22"/>
          <w:szCs w:val="22"/>
        </w:rPr>
        <w:t xml:space="preserve"> made before the authorities that its status should be respected as an official language under the law. Under the </w:t>
      </w:r>
      <w:r w:rsidRPr="001125D7">
        <w:rPr>
          <w:rFonts w:asciiTheme="minorHAnsi" w:hAnsiTheme="minorHAnsi" w:cstheme="minorHAnsi"/>
          <w:sz w:val="22"/>
          <w:szCs w:val="22"/>
        </w:rPr>
        <w:t xml:space="preserve">JNS </w:t>
      </w:r>
      <w:r w:rsidR="006F5386" w:rsidRPr="001125D7">
        <w:rPr>
          <w:rFonts w:asciiTheme="minorHAnsi" w:hAnsiTheme="minorHAnsi" w:cstheme="minorHAnsi"/>
          <w:sz w:val="22"/>
          <w:szCs w:val="22"/>
        </w:rPr>
        <w:t xml:space="preserve">Law, this argument loses its </w:t>
      </w:r>
      <w:r w:rsidRPr="001125D7">
        <w:rPr>
          <w:rFonts w:asciiTheme="minorHAnsi" w:hAnsiTheme="minorHAnsi" w:cstheme="minorHAnsi"/>
          <w:sz w:val="22"/>
          <w:szCs w:val="22"/>
        </w:rPr>
        <w:t>power and reduces the circumstances in which legal challenges can be made to promote the use of Arabic within Israel</w:t>
      </w:r>
      <w:r w:rsidR="006F5386" w:rsidRPr="001125D7">
        <w:rPr>
          <w:rFonts w:asciiTheme="minorHAnsi" w:hAnsiTheme="minorHAnsi" w:cstheme="minorHAnsi"/>
          <w:sz w:val="22"/>
          <w:szCs w:val="22"/>
        </w:rPr>
        <w:t>.</w:t>
      </w:r>
    </w:p>
    <w:p w:rsidR="001125D7" w:rsidRDefault="001125D7" w:rsidP="00D312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sz w:val="22"/>
          <w:szCs w:val="22"/>
          <w:u w:val="single"/>
        </w:rPr>
      </w:pPr>
    </w:p>
    <w:p w:rsidR="00D31220" w:rsidRPr="001125D7" w:rsidRDefault="00D31220" w:rsidP="001125D7">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sz w:val="22"/>
          <w:szCs w:val="22"/>
          <w:u w:val="single"/>
        </w:rPr>
      </w:pPr>
      <w:r w:rsidRPr="001125D7">
        <w:rPr>
          <w:rFonts w:asciiTheme="minorHAnsi" w:hAnsiTheme="minorHAnsi" w:cstheme="minorHAnsi"/>
          <w:b/>
          <w:bCs/>
          <w:sz w:val="22"/>
          <w:szCs w:val="22"/>
          <w:u w:val="single"/>
        </w:rPr>
        <w:t>Racial Discrimination and Policies of Demographic Control</w:t>
      </w:r>
    </w:p>
    <w:p w:rsidR="005F4678" w:rsidRDefault="005F4678" w:rsidP="00D312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D312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The</w:t>
      </w:r>
      <w:r w:rsidR="00D31220" w:rsidRPr="001125D7">
        <w:rPr>
          <w:rFonts w:asciiTheme="minorHAnsi" w:hAnsiTheme="minorHAnsi" w:cstheme="minorHAnsi"/>
          <w:sz w:val="22"/>
          <w:szCs w:val="22"/>
        </w:rPr>
        <w:t xml:space="preserve"> state’</w:t>
      </w:r>
      <w:r w:rsidRPr="001125D7">
        <w:rPr>
          <w:rFonts w:asciiTheme="minorHAnsi" w:hAnsiTheme="minorHAnsi" w:cstheme="minorHAnsi"/>
          <w:sz w:val="22"/>
          <w:szCs w:val="22"/>
        </w:rPr>
        <w:t>s ethnic</w:t>
      </w:r>
      <w:r w:rsidR="00D31220" w:rsidRPr="001125D7">
        <w:rPr>
          <w:rFonts w:asciiTheme="minorHAnsi" w:hAnsiTheme="minorHAnsi" w:cstheme="minorHAnsi"/>
          <w:sz w:val="22"/>
          <w:szCs w:val="22"/>
        </w:rPr>
        <w:t>ally-based self-</w:t>
      </w:r>
      <w:r w:rsidRPr="001125D7">
        <w:rPr>
          <w:rFonts w:asciiTheme="minorHAnsi" w:hAnsiTheme="minorHAnsi" w:cstheme="minorHAnsi"/>
          <w:sz w:val="22"/>
          <w:szCs w:val="22"/>
        </w:rPr>
        <w:t>definition</w:t>
      </w:r>
      <w:r w:rsidR="000D4D90" w:rsidRPr="001125D7">
        <w:rPr>
          <w:rFonts w:asciiTheme="minorHAnsi" w:hAnsiTheme="minorHAnsi" w:cstheme="minorHAnsi"/>
          <w:sz w:val="22"/>
          <w:szCs w:val="22"/>
        </w:rPr>
        <w:t xml:space="preserve">, coupled with the </w:t>
      </w:r>
      <w:r w:rsidRPr="001125D7">
        <w:rPr>
          <w:rFonts w:asciiTheme="minorHAnsi" w:hAnsiTheme="minorHAnsi" w:cstheme="minorHAnsi"/>
          <w:sz w:val="22"/>
          <w:szCs w:val="22"/>
        </w:rPr>
        <w:t>Basic Laws</w:t>
      </w:r>
      <w:r w:rsidR="000D4D90" w:rsidRPr="001125D7">
        <w:rPr>
          <w:rFonts w:asciiTheme="minorHAnsi" w:hAnsiTheme="minorHAnsi" w:cstheme="minorHAnsi"/>
          <w:sz w:val="22"/>
          <w:szCs w:val="22"/>
        </w:rPr>
        <w:t>,</w:t>
      </w:r>
      <w:r w:rsidRPr="001125D7">
        <w:rPr>
          <w:rFonts w:asciiTheme="minorHAnsi" w:hAnsiTheme="minorHAnsi" w:cstheme="minorHAnsi"/>
          <w:sz w:val="22"/>
          <w:szCs w:val="22"/>
        </w:rPr>
        <w:t xml:space="preserve"> ha</w:t>
      </w:r>
      <w:r w:rsidR="000D4D90" w:rsidRPr="001125D7">
        <w:rPr>
          <w:rFonts w:asciiTheme="minorHAnsi" w:hAnsiTheme="minorHAnsi" w:cstheme="minorHAnsi"/>
          <w:sz w:val="22"/>
          <w:szCs w:val="22"/>
        </w:rPr>
        <w:t>ve</w:t>
      </w:r>
      <w:r w:rsidRPr="001125D7">
        <w:rPr>
          <w:rFonts w:asciiTheme="minorHAnsi" w:hAnsiTheme="minorHAnsi" w:cstheme="minorHAnsi"/>
          <w:sz w:val="22"/>
          <w:szCs w:val="22"/>
        </w:rPr>
        <w:t xml:space="preserve"> led to the enactment of </w:t>
      </w:r>
      <w:r w:rsidR="000D4D90" w:rsidRPr="001125D7">
        <w:rPr>
          <w:rFonts w:asciiTheme="minorHAnsi" w:hAnsiTheme="minorHAnsi" w:cstheme="minorHAnsi"/>
          <w:sz w:val="22"/>
          <w:szCs w:val="22"/>
        </w:rPr>
        <w:t xml:space="preserve">further </w:t>
      </w:r>
      <w:r w:rsidRPr="001125D7">
        <w:rPr>
          <w:rFonts w:asciiTheme="minorHAnsi" w:hAnsiTheme="minorHAnsi" w:cstheme="minorHAnsi"/>
          <w:sz w:val="22"/>
          <w:szCs w:val="22"/>
        </w:rPr>
        <w:t xml:space="preserve">laws that grant privileges and powers to the Jewish majority in Israel in various spheres. These fields include control over the land and discrimination in land planning and construction; demographic control and discrimination in citizenship and residency; discrimination in the realm of civil, political, economic, and social rights; and cultural dominance. </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 xml:space="preserve">Thus, for example, the Knesset enacted laws, which perpetuate the demographic gap between Jewish and Arab citizens of the state in order to preserve a Jewish majority. This domination is achieved, inter </w:t>
      </w:r>
      <w:r w:rsidRPr="001125D7">
        <w:rPr>
          <w:rFonts w:asciiTheme="minorHAnsi" w:hAnsiTheme="minorHAnsi" w:cstheme="minorHAnsi"/>
          <w:sz w:val="22"/>
          <w:szCs w:val="22"/>
        </w:rPr>
        <w:lastRenderedPageBreak/>
        <w:t>alia, by means of two laws:  The Law of Return</w:t>
      </w:r>
      <w:r w:rsidR="000D4D90" w:rsidRPr="001125D7">
        <w:rPr>
          <w:rFonts w:asciiTheme="minorHAnsi" w:hAnsiTheme="minorHAnsi" w:cstheme="minorHAnsi"/>
          <w:sz w:val="22"/>
          <w:szCs w:val="22"/>
        </w:rPr>
        <w:t xml:space="preserve"> (1950)</w:t>
      </w:r>
      <w:r w:rsidRPr="001125D7">
        <w:rPr>
          <w:rFonts w:asciiTheme="minorHAnsi" w:hAnsiTheme="minorHAnsi" w:cstheme="minorHAnsi"/>
          <w:sz w:val="22"/>
          <w:szCs w:val="22"/>
          <w:vertAlign w:val="superscript"/>
        </w:rPr>
        <w:footnoteReference w:id="6"/>
      </w:r>
      <w:r w:rsidRPr="001125D7">
        <w:rPr>
          <w:rFonts w:asciiTheme="minorHAnsi" w:hAnsiTheme="minorHAnsi" w:cstheme="minorHAnsi"/>
          <w:sz w:val="22"/>
          <w:szCs w:val="22"/>
        </w:rPr>
        <w:t xml:space="preserve"> and the Citizenship and Entry into Israel Law </w:t>
      </w:r>
      <w:r w:rsidR="000D4D90" w:rsidRPr="001125D7">
        <w:rPr>
          <w:rFonts w:asciiTheme="minorHAnsi" w:hAnsiTheme="minorHAnsi" w:cstheme="minorHAnsi"/>
          <w:sz w:val="22"/>
          <w:szCs w:val="22"/>
        </w:rPr>
        <w:t xml:space="preserve">(Temporary Order) (2003) </w:t>
      </w:r>
      <w:r w:rsidRPr="001125D7">
        <w:rPr>
          <w:rFonts w:asciiTheme="minorHAnsi" w:hAnsiTheme="minorHAnsi" w:cstheme="minorHAnsi"/>
          <w:sz w:val="22"/>
          <w:szCs w:val="22"/>
        </w:rPr>
        <w:t>that focuses on the prevention of Palestinian family unification in Israel.</w:t>
      </w:r>
      <w:r w:rsidRPr="001125D7">
        <w:rPr>
          <w:rFonts w:asciiTheme="minorHAnsi" w:hAnsiTheme="minorHAnsi" w:cstheme="minorHAnsi"/>
          <w:sz w:val="22"/>
          <w:szCs w:val="22"/>
          <w:vertAlign w:val="superscript"/>
        </w:rPr>
        <w:footnoteReference w:id="7"/>
      </w:r>
      <w:r w:rsidRPr="001125D7">
        <w:rPr>
          <w:rFonts w:asciiTheme="minorHAnsi" w:hAnsiTheme="minorHAnsi" w:cstheme="minorHAnsi"/>
          <w:sz w:val="22"/>
          <w:szCs w:val="22"/>
        </w:rPr>
        <w:t xml:space="preserve"> </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EA65EB">
      <w:pPr>
        <w:jc w:val="both"/>
        <w:rPr>
          <w:rFonts w:asciiTheme="minorHAnsi" w:hAnsiTheme="minorHAnsi" w:cstheme="minorHAnsi"/>
          <w:sz w:val="22"/>
          <w:szCs w:val="22"/>
        </w:rPr>
      </w:pPr>
      <w:r w:rsidRPr="001125D7">
        <w:rPr>
          <w:rFonts w:asciiTheme="minorHAnsi" w:hAnsiTheme="minorHAnsi" w:cstheme="minorHAnsi"/>
          <w:sz w:val="22"/>
          <w:szCs w:val="22"/>
        </w:rPr>
        <w:t xml:space="preserve">By actively controlling </w:t>
      </w:r>
      <w:r w:rsidR="000D4D90" w:rsidRPr="001125D7">
        <w:rPr>
          <w:rFonts w:asciiTheme="minorHAnsi" w:hAnsiTheme="minorHAnsi" w:cstheme="minorHAnsi"/>
          <w:sz w:val="22"/>
          <w:szCs w:val="22"/>
        </w:rPr>
        <w:t xml:space="preserve">demography, </w:t>
      </w:r>
      <w:r w:rsidRPr="001125D7">
        <w:rPr>
          <w:rFonts w:asciiTheme="minorHAnsi" w:hAnsiTheme="minorHAnsi" w:cstheme="minorHAnsi"/>
          <w:sz w:val="22"/>
          <w:szCs w:val="22"/>
        </w:rPr>
        <w:t xml:space="preserve">the </w:t>
      </w:r>
      <w:r w:rsidR="000D4D90" w:rsidRPr="001125D7">
        <w:rPr>
          <w:rFonts w:asciiTheme="minorHAnsi" w:hAnsiTheme="minorHAnsi" w:cstheme="minorHAnsi"/>
          <w:sz w:val="22"/>
          <w:szCs w:val="22"/>
        </w:rPr>
        <w:t xml:space="preserve">state </w:t>
      </w:r>
      <w:r w:rsidRPr="001125D7">
        <w:rPr>
          <w:rFonts w:asciiTheme="minorHAnsi" w:hAnsiTheme="minorHAnsi" w:cstheme="minorHAnsi"/>
          <w:sz w:val="22"/>
          <w:szCs w:val="22"/>
        </w:rPr>
        <w:t>is pursuing policies that, as a consequence, distinguish in the rights granted to different racial groups of the population, namely Jewish and Palestinians. Th</w:t>
      </w:r>
      <w:r w:rsidR="000D4D90" w:rsidRPr="001125D7">
        <w:rPr>
          <w:rFonts w:asciiTheme="minorHAnsi" w:hAnsiTheme="minorHAnsi" w:cstheme="minorHAnsi"/>
          <w:sz w:val="22"/>
          <w:szCs w:val="22"/>
        </w:rPr>
        <w:t>ese</w:t>
      </w:r>
      <w:r w:rsidRPr="001125D7">
        <w:rPr>
          <w:rFonts w:asciiTheme="minorHAnsi" w:hAnsiTheme="minorHAnsi" w:cstheme="minorHAnsi"/>
          <w:sz w:val="22"/>
          <w:szCs w:val="22"/>
        </w:rPr>
        <w:t xml:space="preserve"> laws and policies violate the Convention, notably Articles 1.1, 1.4, 5, and 6. In its </w:t>
      </w:r>
      <w:r w:rsidR="000D4D90" w:rsidRPr="001125D7">
        <w:rPr>
          <w:rFonts w:asciiTheme="minorHAnsi" w:hAnsiTheme="minorHAnsi" w:cstheme="minorHAnsi"/>
          <w:sz w:val="22"/>
          <w:szCs w:val="22"/>
        </w:rPr>
        <w:t xml:space="preserve">2012 </w:t>
      </w:r>
      <w:r w:rsidRPr="001125D7">
        <w:rPr>
          <w:rFonts w:asciiTheme="minorHAnsi" w:hAnsiTheme="minorHAnsi" w:cstheme="minorHAnsi"/>
          <w:sz w:val="22"/>
          <w:szCs w:val="22"/>
        </w:rPr>
        <w:t xml:space="preserve">concluding observations, </w:t>
      </w:r>
      <w:r w:rsidR="00EA65EB" w:rsidRPr="001125D7">
        <w:rPr>
          <w:rFonts w:asciiTheme="minorHAnsi" w:hAnsiTheme="minorHAnsi" w:cstheme="minorHAnsi"/>
          <w:sz w:val="22"/>
          <w:szCs w:val="22"/>
        </w:rPr>
        <w:t>the Committee</w:t>
      </w:r>
      <w:r w:rsidRPr="001125D7">
        <w:rPr>
          <w:rFonts w:asciiTheme="minorHAnsi" w:hAnsiTheme="minorHAnsi" w:cstheme="minorHAnsi"/>
          <w:sz w:val="22"/>
          <w:szCs w:val="22"/>
        </w:rPr>
        <w:t xml:space="preserve"> expresse</w:t>
      </w:r>
      <w:r w:rsidR="000D4D90" w:rsidRPr="001125D7">
        <w:rPr>
          <w:rFonts w:asciiTheme="minorHAnsi" w:hAnsiTheme="minorHAnsi" w:cstheme="minorHAnsi"/>
          <w:sz w:val="22"/>
          <w:szCs w:val="22"/>
        </w:rPr>
        <w:t>d</w:t>
      </w:r>
      <w:r w:rsidRPr="001125D7">
        <w:rPr>
          <w:rFonts w:asciiTheme="minorHAnsi" w:hAnsiTheme="minorHAnsi" w:cstheme="minorHAnsi"/>
          <w:sz w:val="22"/>
          <w:szCs w:val="22"/>
        </w:rPr>
        <w:t xml:space="preserve"> its concern over demographic policies generally and clearly state</w:t>
      </w:r>
      <w:r w:rsidR="000D4D90" w:rsidRPr="001125D7">
        <w:rPr>
          <w:rFonts w:asciiTheme="minorHAnsi" w:hAnsiTheme="minorHAnsi" w:cstheme="minorHAnsi"/>
          <w:sz w:val="22"/>
          <w:szCs w:val="22"/>
        </w:rPr>
        <w:t>d</w:t>
      </w:r>
      <w:r w:rsidRPr="001125D7">
        <w:rPr>
          <w:rFonts w:asciiTheme="minorHAnsi" w:hAnsiTheme="minorHAnsi" w:cstheme="minorHAnsi"/>
          <w:sz w:val="22"/>
          <w:szCs w:val="22"/>
        </w:rPr>
        <w:t xml:space="preserve"> </w:t>
      </w:r>
      <w:r w:rsidR="00EA65EB" w:rsidRPr="001125D7">
        <w:rPr>
          <w:rFonts w:asciiTheme="minorHAnsi" w:hAnsiTheme="minorHAnsi" w:cstheme="minorHAnsi"/>
          <w:sz w:val="22"/>
          <w:szCs w:val="22"/>
        </w:rPr>
        <w:t>that they v</w:t>
      </w:r>
      <w:r w:rsidRPr="001125D7">
        <w:rPr>
          <w:rFonts w:asciiTheme="minorHAnsi" w:hAnsiTheme="minorHAnsi" w:cstheme="minorHAnsi"/>
          <w:sz w:val="22"/>
          <w:szCs w:val="22"/>
        </w:rPr>
        <w:t>iolat</w:t>
      </w:r>
      <w:r w:rsidR="00EA65EB" w:rsidRPr="001125D7">
        <w:rPr>
          <w:rFonts w:asciiTheme="minorHAnsi" w:hAnsiTheme="minorHAnsi" w:cstheme="minorHAnsi"/>
          <w:sz w:val="22"/>
          <w:szCs w:val="22"/>
        </w:rPr>
        <w:t>e</w:t>
      </w:r>
      <w:r w:rsidRPr="001125D7">
        <w:rPr>
          <w:rFonts w:asciiTheme="minorHAnsi" w:hAnsiTheme="minorHAnsi" w:cstheme="minorHAnsi"/>
          <w:sz w:val="22"/>
          <w:szCs w:val="22"/>
        </w:rPr>
        <w:t xml:space="preserve"> human rights and international humanitarian law</w:t>
      </w:r>
      <w:r w:rsidR="00EA65EB" w:rsidRPr="001125D7">
        <w:rPr>
          <w:rFonts w:asciiTheme="minorHAnsi" w:hAnsiTheme="minorHAnsi" w:cstheme="minorHAnsi"/>
          <w:sz w:val="22"/>
          <w:szCs w:val="22"/>
        </w:rPr>
        <w:t xml:space="preserve"> (CERD/C/ISR/CO/14-16, para. 4 and 25).</w:t>
      </w:r>
    </w:p>
    <w:p w:rsidR="001125D7" w:rsidRDefault="001125D7"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i/>
          <w:iCs/>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i/>
          <w:iCs/>
          <w:color w:val="767171" w:themeColor="background2" w:themeShade="80"/>
          <w:sz w:val="22"/>
          <w:szCs w:val="22"/>
        </w:rPr>
      </w:pPr>
      <w:r w:rsidRPr="001125D7">
        <w:rPr>
          <w:rFonts w:asciiTheme="minorHAnsi" w:hAnsiTheme="minorHAnsi" w:cstheme="minorHAnsi"/>
          <w:b/>
          <w:bCs/>
          <w:i/>
          <w:iCs/>
          <w:sz w:val="22"/>
          <w:szCs w:val="22"/>
        </w:rPr>
        <w:t>Racially Discriminatory Citizenship Laws</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i/>
          <w:iCs/>
          <w:color w:val="767171" w:themeColor="background2" w:themeShade="80"/>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 xml:space="preserve">Israeli citizenship law is split into two citizenship tracks that co-exist on the basis of ethnic separation, a track for Jews and a track for non-Jews. The first track, The </w:t>
      </w:r>
      <w:r w:rsidR="00EA65EB" w:rsidRPr="001125D7">
        <w:rPr>
          <w:rFonts w:asciiTheme="minorHAnsi" w:hAnsiTheme="minorHAnsi" w:cstheme="minorHAnsi"/>
          <w:sz w:val="22"/>
          <w:szCs w:val="22"/>
        </w:rPr>
        <w:t xml:space="preserve">Law of </w:t>
      </w:r>
      <w:r w:rsidRPr="001125D7">
        <w:rPr>
          <w:rFonts w:asciiTheme="minorHAnsi" w:hAnsiTheme="minorHAnsi" w:cstheme="minorHAnsi"/>
          <w:sz w:val="22"/>
          <w:szCs w:val="22"/>
        </w:rPr>
        <w:t>Return</w:t>
      </w:r>
      <w:r w:rsidR="00EA65EB" w:rsidRPr="001125D7">
        <w:rPr>
          <w:rFonts w:asciiTheme="minorHAnsi" w:hAnsiTheme="minorHAnsi" w:cstheme="minorHAnsi"/>
          <w:sz w:val="22"/>
          <w:szCs w:val="22"/>
        </w:rPr>
        <w:t xml:space="preserve"> -</w:t>
      </w:r>
      <w:r w:rsidRPr="001125D7">
        <w:rPr>
          <w:rFonts w:asciiTheme="minorHAnsi" w:hAnsiTheme="minorHAnsi" w:cstheme="minorHAnsi"/>
          <w:sz w:val="22"/>
          <w:szCs w:val="22"/>
        </w:rPr>
        <w:t xml:space="preserve"> 1950, enables every Jewish person to settle in the State of Israel (perform </w:t>
      </w:r>
      <w:r w:rsidR="00EA65EB" w:rsidRPr="001125D7">
        <w:rPr>
          <w:rFonts w:asciiTheme="minorHAnsi" w:hAnsiTheme="minorHAnsi" w:cstheme="minorHAnsi"/>
          <w:sz w:val="22"/>
          <w:szCs w:val="22"/>
        </w:rPr>
        <w:t>A</w:t>
      </w:r>
      <w:r w:rsidRPr="001125D7">
        <w:rPr>
          <w:rFonts w:asciiTheme="minorHAnsi" w:hAnsiTheme="minorHAnsi" w:cstheme="minorHAnsi"/>
          <w:sz w:val="22"/>
          <w:szCs w:val="22"/>
        </w:rPr>
        <w:t xml:space="preserve">liyah) and obtain citizenship upon applying on arrival. For every other person, including Palestinians, citizenship </w:t>
      </w:r>
      <w:r w:rsidR="00EA65EB" w:rsidRPr="001125D7">
        <w:rPr>
          <w:rFonts w:asciiTheme="minorHAnsi" w:hAnsiTheme="minorHAnsi" w:cstheme="minorHAnsi"/>
          <w:sz w:val="22"/>
          <w:szCs w:val="22"/>
        </w:rPr>
        <w:t xml:space="preserve">is </w:t>
      </w:r>
      <w:r w:rsidRPr="001125D7">
        <w:rPr>
          <w:rFonts w:asciiTheme="minorHAnsi" w:hAnsiTheme="minorHAnsi" w:cstheme="minorHAnsi"/>
          <w:sz w:val="22"/>
          <w:szCs w:val="22"/>
        </w:rPr>
        <w:t xml:space="preserve">determined by the Citizenship Law </w:t>
      </w:r>
      <w:r w:rsidR="00EA65EB" w:rsidRPr="001125D7">
        <w:rPr>
          <w:rFonts w:asciiTheme="minorHAnsi" w:hAnsiTheme="minorHAnsi" w:cstheme="minorHAnsi"/>
          <w:sz w:val="22"/>
          <w:szCs w:val="22"/>
        </w:rPr>
        <w:t xml:space="preserve">- </w:t>
      </w:r>
      <w:r w:rsidRPr="001125D7">
        <w:rPr>
          <w:rFonts w:asciiTheme="minorHAnsi" w:hAnsiTheme="minorHAnsi" w:cstheme="minorHAnsi"/>
          <w:sz w:val="22"/>
          <w:szCs w:val="22"/>
        </w:rPr>
        <w:t>1952, and the Citizenship and Entry into Israel Law (</w:t>
      </w:r>
      <w:r w:rsidR="00EA65EB" w:rsidRPr="001125D7">
        <w:rPr>
          <w:rFonts w:asciiTheme="minorHAnsi" w:hAnsiTheme="minorHAnsi" w:cstheme="minorHAnsi"/>
          <w:sz w:val="22"/>
          <w:szCs w:val="22"/>
        </w:rPr>
        <w:t>T</w:t>
      </w:r>
      <w:r w:rsidRPr="001125D7">
        <w:rPr>
          <w:rFonts w:asciiTheme="minorHAnsi" w:hAnsiTheme="minorHAnsi" w:cstheme="minorHAnsi"/>
          <w:sz w:val="22"/>
          <w:szCs w:val="22"/>
        </w:rPr>
        <w:t xml:space="preserve">emporary </w:t>
      </w:r>
      <w:r w:rsidR="00EA65EB" w:rsidRPr="001125D7">
        <w:rPr>
          <w:rFonts w:asciiTheme="minorHAnsi" w:hAnsiTheme="minorHAnsi" w:cstheme="minorHAnsi"/>
          <w:sz w:val="22"/>
          <w:szCs w:val="22"/>
        </w:rPr>
        <w:t>O</w:t>
      </w:r>
      <w:r w:rsidRPr="001125D7">
        <w:rPr>
          <w:rFonts w:asciiTheme="minorHAnsi" w:hAnsiTheme="minorHAnsi" w:cstheme="minorHAnsi"/>
          <w:sz w:val="22"/>
          <w:szCs w:val="22"/>
        </w:rPr>
        <w:t xml:space="preserve">rder) </w:t>
      </w:r>
      <w:r w:rsidR="00EA65EB" w:rsidRPr="001125D7">
        <w:rPr>
          <w:rFonts w:asciiTheme="minorHAnsi" w:hAnsiTheme="minorHAnsi" w:cstheme="minorHAnsi"/>
          <w:sz w:val="22"/>
          <w:szCs w:val="22"/>
        </w:rPr>
        <w:t>-</w:t>
      </w:r>
      <w:r w:rsidRPr="001125D7">
        <w:rPr>
          <w:rFonts w:asciiTheme="minorHAnsi" w:hAnsiTheme="minorHAnsi" w:cstheme="minorHAnsi"/>
          <w:sz w:val="22"/>
          <w:szCs w:val="22"/>
        </w:rPr>
        <w:t xml:space="preserve"> 2003, </w:t>
      </w:r>
      <w:r w:rsidR="00EA65EB" w:rsidRPr="001125D7">
        <w:rPr>
          <w:rFonts w:asciiTheme="minorHAnsi" w:hAnsiTheme="minorHAnsi" w:cstheme="minorHAnsi"/>
          <w:sz w:val="22"/>
          <w:szCs w:val="22"/>
        </w:rPr>
        <w:t xml:space="preserve">which has been </w:t>
      </w:r>
      <w:r w:rsidRPr="001125D7">
        <w:rPr>
          <w:rFonts w:asciiTheme="minorHAnsi" w:hAnsiTheme="minorHAnsi" w:cstheme="minorHAnsi"/>
          <w:sz w:val="22"/>
          <w:szCs w:val="22"/>
        </w:rPr>
        <w:t>continuously renewed</w:t>
      </w:r>
      <w:r w:rsidR="00EA65EB" w:rsidRPr="001125D7">
        <w:rPr>
          <w:rFonts w:asciiTheme="minorHAnsi" w:hAnsiTheme="minorHAnsi" w:cstheme="minorHAnsi"/>
          <w:sz w:val="22"/>
          <w:szCs w:val="22"/>
        </w:rPr>
        <w:t xml:space="preserve"> for the last 16 years</w:t>
      </w:r>
      <w:r w:rsidRPr="001125D7">
        <w:rPr>
          <w:rFonts w:asciiTheme="minorHAnsi" w:hAnsiTheme="minorHAnsi" w:cstheme="minorHAnsi"/>
          <w:sz w:val="22"/>
          <w:szCs w:val="22"/>
        </w:rPr>
        <w:t xml:space="preserve"> and de facto functions as a </w:t>
      </w:r>
      <w:r w:rsidR="00EA65EB" w:rsidRPr="001125D7">
        <w:rPr>
          <w:rFonts w:asciiTheme="minorHAnsi" w:hAnsiTheme="minorHAnsi" w:cstheme="minorHAnsi"/>
          <w:sz w:val="22"/>
          <w:szCs w:val="22"/>
        </w:rPr>
        <w:t xml:space="preserve">permanent </w:t>
      </w:r>
      <w:r w:rsidRPr="001125D7">
        <w:rPr>
          <w:rFonts w:asciiTheme="minorHAnsi" w:hAnsiTheme="minorHAnsi" w:cstheme="minorHAnsi"/>
          <w:sz w:val="22"/>
          <w:szCs w:val="22"/>
        </w:rPr>
        <w:t>law.</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 xml:space="preserve">The </w:t>
      </w:r>
      <w:r w:rsidR="00F762A6" w:rsidRPr="001125D7">
        <w:rPr>
          <w:rFonts w:asciiTheme="minorHAnsi" w:hAnsiTheme="minorHAnsi" w:cstheme="minorHAnsi"/>
          <w:sz w:val="22"/>
          <w:szCs w:val="22"/>
        </w:rPr>
        <w:t xml:space="preserve">Law of </w:t>
      </w:r>
      <w:r w:rsidRPr="001125D7">
        <w:rPr>
          <w:rFonts w:asciiTheme="minorHAnsi" w:hAnsiTheme="minorHAnsi" w:cstheme="minorHAnsi"/>
          <w:sz w:val="22"/>
          <w:szCs w:val="22"/>
        </w:rPr>
        <w:t>Return discriminates against Palestinian</w:t>
      </w:r>
      <w:r w:rsidR="00F762A6" w:rsidRPr="001125D7">
        <w:rPr>
          <w:rFonts w:asciiTheme="minorHAnsi" w:hAnsiTheme="minorHAnsi" w:cstheme="minorHAnsi"/>
          <w:sz w:val="22"/>
          <w:szCs w:val="22"/>
        </w:rPr>
        <w:t>s living in the</w:t>
      </w:r>
      <w:r w:rsidRPr="001125D7">
        <w:rPr>
          <w:rFonts w:asciiTheme="minorHAnsi" w:hAnsiTheme="minorHAnsi" w:cstheme="minorHAnsi"/>
          <w:sz w:val="22"/>
          <w:szCs w:val="22"/>
        </w:rPr>
        <w:t xml:space="preserve"> diaspora in several ways. Firstly, this law denies the right of return to Palestinians who fled or who were forced to flee during the 1948 War and are still defined as refugees and reside in the West Bank, the Gaza Strip, and the wider Middle East and other countries around the world. The State of Israel declared these refugees as absentees and expropriated all of their land and property by law.</w:t>
      </w:r>
      <w:r w:rsidRPr="001125D7">
        <w:rPr>
          <w:rFonts w:asciiTheme="minorHAnsi" w:hAnsiTheme="minorHAnsi" w:cstheme="minorHAnsi"/>
          <w:sz w:val="22"/>
          <w:szCs w:val="22"/>
          <w:vertAlign w:val="superscript"/>
        </w:rPr>
        <w:footnoteReference w:id="8"/>
      </w:r>
      <w:r w:rsidRPr="001125D7">
        <w:rPr>
          <w:rFonts w:asciiTheme="minorHAnsi" w:hAnsiTheme="minorHAnsi" w:cstheme="minorHAnsi"/>
          <w:sz w:val="22"/>
          <w:szCs w:val="22"/>
        </w:rPr>
        <w:t xml:space="preserve"> The same legal system grants Jewish absentees the right to citizenship and residence in Israel through mechanisms for acquiring citizenship that are based solely on ethnic/religious affiliation. </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Moreover, the Law of Return is the basis for distinguishing between Palestinians in the OPT and Illegal Israeli Jewish settlers in these areas</w:t>
      </w:r>
      <w:r w:rsidR="0019475B" w:rsidRPr="001125D7">
        <w:rPr>
          <w:rFonts w:asciiTheme="minorHAnsi" w:hAnsiTheme="minorHAnsi" w:cstheme="minorHAnsi"/>
          <w:sz w:val="22"/>
          <w:szCs w:val="22"/>
        </w:rPr>
        <w:t xml:space="preserve">. The </w:t>
      </w:r>
      <w:r w:rsidRPr="001125D7">
        <w:rPr>
          <w:rFonts w:asciiTheme="minorHAnsi" w:hAnsiTheme="minorHAnsi" w:cstheme="minorHAnsi"/>
          <w:sz w:val="22"/>
          <w:szCs w:val="22"/>
        </w:rPr>
        <w:t xml:space="preserve">law extending the Emergency Regulations determines that, for certain statutes, people who live in the </w:t>
      </w:r>
      <w:r w:rsidR="0019475B" w:rsidRPr="001125D7">
        <w:rPr>
          <w:rFonts w:asciiTheme="minorHAnsi" w:hAnsiTheme="minorHAnsi" w:cstheme="minorHAnsi"/>
          <w:sz w:val="22"/>
          <w:szCs w:val="22"/>
        </w:rPr>
        <w:t>Occupied Palestinian Territory (</w:t>
      </w:r>
      <w:r w:rsidRPr="001125D7">
        <w:rPr>
          <w:rFonts w:asciiTheme="minorHAnsi" w:hAnsiTheme="minorHAnsi" w:cstheme="minorHAnsi"/>
          <w:sz w:val="22"/>
          <w:szCs w:val="22"/>
        </w:rPr>
        <w:t>OPT</w:t>
      </w:r>
      <w:r w:rsidR="0019475B" w:rsidRPr="001125D7">
        <w:rPr>
          <w:rFonts w:asciiTheme="minorHAnsi" w:hAnsiTheme="minorHAnsi" w:cstheme="minorHAnsi"/>
          <w:sz w:val="22"/>
          <w:szCs w:val="22"/>
        </w:rPr>
        <w:t>)</w:t>
      </w:r>
      <w:r w:rsidRPr="001125D7">
        <w:rPr>
          <w:rFonts w:asciiTheme="minorHAnsi" w:hAnsiTheme="minorHAnsi" w:cstheme="minorHAnsi"/>
          <w:sz w:val="22"/>
          <w:szCs w:val="22"/>
        </w:rPr>
        <w:t xml:space="preserve"> will be considered residents of Israel if they are Israeli citizens or are "entitled to immigrate to Israel under the Law of Return</w:t>
      </w:r>
      <w:r w:rsidR="0019475B" w:rsidRPr="001125D7">
        <w:rPr>
          <w:rFonts w:asciiTheme="minorHAnsi" w:hAnsiTheme="minorHAnsi" w:cstheme="minorHAnsi"/>
          <w:sz w:val="22"/>
          <w:szCs w:val="22"/>
        </w:rPr>
        <w:t>.</w:t>
      </w:r>
      <w:r w:rsidRPr="001125D7">
        <w:rPr>
          <w:rFonts w:asciiTheme="minorHAnsi" w:hAnsiTheme="minorHAnsi" w:cstheme="minorHAnsi"/>
          <w:sz w:val="22"/>
          <w:szCs w:val="22"/>
        </w:rPr>
        <w:t xml:space="preserve">"  </w:t>
      </w:r>
      <w:proofErr w:type="gramStart"/>
      <w:r w:rsidRPr="001125D7">
        <w:rPr>
          <w:rFonts w:asciiTheme="minorHAnsi" w:hAnsiTheme="minorHAnsi" w:cstheme="minorHAnsi"/>
          <w:sz w:val="22"/>
          <w:szCs w:val="22"/>
        </w:rPr>
        <w:t>Th</w:t>
      </w:r>
      <w:r w:rsidR="0019475B" w:rsidRPr="001125D7">
        <w:rPr>
          <w:rFonts w:asciiTheme="minorHAnsi" w:hAnsiTheme="minorHAnsi" w:cstheme="minorHAnsi"/>
          <w:sz w:val="22"/>
          <w:szCs w:val="22"/>
        </w:rPr>
        <w:t>us</w:t>
      </w:r>
      <w:proofErr w:type="gramEnd"/>
      <w:r w:rsidRPr="001125D7">
        <w:rPr>
          <w:rFonts w:asciiTheme="minorHAnsi" w:hAnsiTheme="minorHAnsi" w:cstheme="minorHAnsi"/>
          <w:sz w:val="22"/>
          <w:szCs w:val="22"/>
        </w:rPr>
        <w:t xml:space="preserve"> </w:t>
      </w:r>
      <w:r w:rsidR="0019475B" w:rsidRPr="001125D7">
        <w:rPr>
          <w:rFonts w:asciiTheme="minorHAnsi" w:hAnsiTheme="minorHAnsi" w:cstheme="minorHAnsi"/>
          <w:sz w:val="22"/>
          <w:szCs w:val="22"/>
        </w:rPr>
        <w:t>t</w:t>
      </w:r>
      <w:r w:rsidRPr="001125D7">
        <w:rPr>
          <w:rFonts w:asciiTheme="minorHAnsi" w:hAnsiTheme="minorHAnsi" w:cstheme="minorHAnsi"/>
          <w:sz w:val="22"/>
          <w:szCs w:val="22"/>
        </w:rPr>
        <w:t xml:space="preserve">he Law of Return is the principal law that makes the existence of separate tracks based on national origin possible both within the Green Line and in the OPT. </w:t>
      </w:r>
    </w:p>
    <w:p w:rsidR="005F4678" w:rsidRDefault="005F4678" w:rsidP="0019475B">
      <w:pPr>
        <w:pStyle w:val="FootnoteText"/>
        <w:jc w:val="both"/>
        <w:rPr>
          <w:rFonts w:asciiTheme="minorHAnsi" w:hAnsiTheme="minorHAnsi" w:cstheme="minorHAnsi"/>
          <w:sz w:val="22"/>
          <w:szCs w:val="22"/>
        </w:rPr>
      </w:pPr>
    </w:p>
    <w:p w:rsidR="00903CF5" w:rsidRPr="001125D7" w:rsidRDefault="00903CF5" w:rsidP="0019475B">
      <w:pPr>
        <w:pStyle w:val="FootnoteText"/>
        <w:jc w:val="both"/>
        <w:rPr>
          <w:rFonts w:asciiTheme="minorHAnsi" w:hAnsiTheme="minorHAnsi" w:cstheme="minorHAnsi"/>
          <w:sz w:val="22"/>
          <w:szCs w:val="22"/>
        </w:rPr>
      </w:pPr>
      <w:r w:rsidRPr="001125D7">
        <w:rPr>
          <w:rFonts w:asciiTheme="minorHAnsi" w:hAnsiTheme="minorHAnsi" w:cstheme="minorHAnsi"/>
          <w:sz w:val="22"/>
          <w:szCs w:val="22"/>
        </w:rPr>
        <w:t xml:space="preserve">The </w:t>
      </w:r>
      <w:r w:rsidR="0019475B" w:rsidRPr="001125D7">
        <w:rPr>
          <w:rFonts w:asciiTheme="minorHAnsi" w:hAnsiTheme="minorHAnsi" w:cstheme="minorHAnsi"/>
          <w:sz w:val="22"/>
          <w:szCs w:val="22"/>
        </w:rPr>
        <w:t xml:space="preserve">Committee has </w:t>
      </w:r>
      <w:r w:rsidRPr="001125D7">
        <w:rPr>
          <w:rFonts w:asciiTheme="minorHAnsi" w:hAnsiTheme="minorHAnsi" w:cstheme="minorHAnsi"/>
          <w:sz w:val="22"/>
          <w:szCs w:val="22"/>
        </w:rPr>
        <w:t>expressed serious concern about the Law of Return. In its concluding observations in 2007 and 2012, it recognized the problematic nature of creating a national identity based on ethnic distinctions, and has called on Israel to ensure that the right of return and possession of property is granted equally without racial discrimination</w:t>
      </w:r>
      <w:r w:rsidR="0019475B" w:rsidRPr="001125D7">
        <w:rPr>
          <w:rFonts w:asciiTheme="minorHAnsi" w:hAnsiTheme="minorHAnsi" w:cstheme="minorHAnsi"/>
          <w:sz w:val="22"/>
          <w:szCs w:val="22"/>
        </w:rPr>
        <w:t xml:space="preserve"> (CERD/C/ISR/CO/14-16 (2012) paras. 15; 20 and CERD/C/ISR/CO/13 (2007), para. 17- 18).  </w:t>
      </w:r>
      <w:r w:rsidRPr="001125D7">
        <w:rPr>
          <w:rFonts w:asciiTheme="minorHAnsi" w:hAnsiTheme="minorHAnsi" w:cstheme="minorHAnsi"/>
          <w:sz w:val="22"/>
          <w:szCs w:val="22"/>
        </w:rPr>
        <w:t>It concluded that Israel does not do enough to prevent racial discrimination or guarantee the protection of human rights</w:t>
      </w:r>
      <w:r w:rsidR="0019475B" w:rsidRPr="001125D7">
        <w:rPr>
          <w:rFonts w:asciiTheme="minorHAnsi" w:hAnsiTheme="minorHAnsi" w:cstheme="minorHAnsi"/>
          <w:sz w:val="22"/>
          <w:szCs w:val="22"/>
        </w:rPr>
        <w:t xml:space="preserve"> (CERD/C/ISR/CO/14-16 (2012) para. 17),</w:t>
      </w:r>
      <w:r w:rsidRPr="001125D7">
        <w:rPr>
          <w:rFonts w:asciiTheme="minorHAnsi" w:hAnsiTheme="minorHAnsi" w:cstheme="minorHAnsi"/>
          <w:sz w:val="22"/>
          <w:szCs w:val="22"/>
        </w:rPr>
        <w:t xml:space="preserve"> a responsibility which is firmly established in articles 2-5 of the Convention</w:t>
      </w:r>
      <w:r w:rsidR="0019475B" w:rsidRPr="001125D7">
        <w:rPr>
          <w:rFonts w:asciiTheme="minorHAnsi" w:hAnsiTheme="minorHAnsi" w:cstheme="minorHAnsi"/>
          <w:sz w:val="22"/>
          <w:szCs w:val="22"/>
        </w:rPr>
        <w:t xml:space="preserve"> </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19475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lastRenderedPageBreak/>
        <w:t xml:space="preserve">In </w:t>
      </w:r>
      <w:r w:rsidR="0019475B" w:rsidRPr="001125D7">
        <w:rPr>
          <w:rFonts w:asciiTheme="minorHAnsi" w:hAnsiTheme="minorHAnsi" w:cstheme="minorHAnsi"/>
          <w:sz w:val="22"/>
          <w:szCs w:val="22"/>
        </w:rPr>
        <w:t xml:space="preserve">its previous </w:t>
      </w:r>
      <w:r w:rsidRPr="001125D7">
        <w:rPr>
          <w:rFonts w:asciiTheme="minorHAnsi" w:hAnsiTheme="minorHAnsi" w:cstheme="minorHAnsi"/>
          <w:sz w:val="22"/>
          <w:szCs w:val="22"/>
        </w:rPr>
        <w:t>reports, Israel states that no change has been made</w:t>
      </w:r>
      <w:r w:rsidR="0019475B" w:rsidRPr="001125D7">
        <w:rPr>
          <w:rFonts w:asciiTheme="minorHAnsi" w:hAnsiTheme="minorHAnsi" w:cstheme="minorHAnsi"/>
          <w:sz w:val="22"/>
          <w:szCs w:val="22"/>
        </w:rPr>
        <w:t xml:space="preserve"> concerning the laws regulating citizenship</w:t>
      </w:r>
      <w:r w:rsidRPr="001125D7">
        <w:rPr>
          <w:rFonts w:asciiTheme="minorHAnsi" w:hAnsiTheme="minorHAnsi" w:cstheme="minorHAnsi"/>
          <w:sz w:val="22"/>
          <w:szCs w:val="22"/>
        </w:rPr>
        <w:t xml:space="preserve">, </w:t>
      </w:r>
      <w:r w:rsidR="0019475B" w:rsidRPr="001125D7">
        <w:rPr>
          <w:rFonts w:asciiTheme="minorHAnsi" w:hAnsiTheme="minorHAnsi" w:cstheme="minorHAnsi"/>
          <w:sz w:val="22"/>
          <w:szCs w:val="22"/>
        </w:rPr>
        <w:t xml:space="preserve">thus </w:t>
      </w:r>
      <w:r w:rsidRPr="001125D7">
        <w:rPr>
          <w:rFonts w:asciiTheme="minorHAnsi" w:hAnsiTheme="minorHAnsi" w:cstheme="minorHAnsi"/>
          <w:sz w:val="22"/>
          <w:szCs w:val="22"/>
        </w:rPr>
        <w:t xml:space="preserve">demonstrating </w:t>
      </w:r>
      <w:r w:rsidR="0019475B" w:rsidRPr="001125D7">
        <w:rPr>
          <w:rFonts w:asciiTheme="minorHAnsi" w:hAnsiTheme="minorHAnsi" w:cstheme="minorHAnsi"/>
          <w:sz w:val="22"/>
          <w:szCs w:val="22"/>
        </w:rPr>
        <w:t xml:space="preserve">its </w:t>
      </w:r>
      <w:r w:rsidRPr="001125D7">
        <w:rPr>
          <w:rFonts w:asciiTheme="minorHAnsi" w:hAnsiTheme="minorHAnsi" w:cstheme="minorHAnsi"/>
          <w:sz w:val="22"/>
          <w:szCs w:val="22"/>
        </w:rPr>
        <w:t xml:space="preserve">unwillingness to </w:t>
      </w:r>
      <w:r w:rsidR="00595691" w:rsidRPr="001125D7">
        <w:rPr>
          <w:rFonts w:asciiTheme="minorHAnsi" w:hAnsiTheme="minorHAnsi" w:cstheme="minorHAnsi"/>
          <w:sz w:val="22"/>
          <w:szCs w:val="22"/>
        </w:rPr>
        <w:t xml:space="preserve">fulfill the Committee’s concluding observations and its </w:t>
      </w:r>
      <w:r w:rsidRPr="001125D7">
        <w:rPr>
          <w:rFonts w:asciiTheme="minorHAnsi" w:hAnsiTheme="minorHAnsi" w:cstheme="minorHAnsi"/>
          <w:sz w:val="22"/>
          <w:szCs w:val="22"/>
        </w:rPr>
        <w:t>duties prescribed by the Convention.</w:t>
      </w:r>
      <w:r w:rsidRPr="001125D7">
        <w:rPr>
          <w:rStyle w:val="FootnoteReference"/>
          <w:rFonts w:asciiTheme="minorHAnsi" w:hAnsiTheme="minorHAnsi" w:cstheme="minorHAnsi"/>
          <w:sz w:val="22"/>
          <w:szCs w:val="22"/>
        </w:rPr>
        <w:footnoteReference w:id="9"/>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i/>
          <w:iCs/>
          <w:color w:val="767171" w:themeColor="background2" w:themeShade="80"/>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i/>
          <w:iCs/>
          <w:sz w:val="22"/>
          <w:szCs w:val="22"/>
        </w:rPr>
      </w:pPr>
      <w:r w:rsidRPr="001125D7">
        <w:rPr>
          <w:rFonts w:asciiTheme="minorHAnsi" w:hAnsiTheme="minorHAnsi" w:cstheme="minorHAnsi"/>
          <w:b/>
          <w:bCs/>
          <w:i/>
          <w:iCs/>
          <w:sz w:val="22"/>
          <w:szCs w:val="22"/>
        </w:rPr>
        <w:t xml:space="preserve">The ongoing ban on unification for Palestinian families </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i/>
          <w:iCs/>
          <w:color w:val="767171" w:themeColor="background2" w:themeShade="80"/>
          <w:sz w:val="22"/>
          <w:szCs w:val="22"/>
        </w:rPr>
      </w:pPr>
    </w:p>
    <w:p w:rsidR="00595691" w:rsidRPr="001125D7" w:rsidRDefault="00903CF5" w:rsidP="00595691">
      <w:pPr>
        <w:pStyle w:val="FootnoteText"/>
        <w:jc w:val="both"/>
        <w:rPr>
          <w:rFonts w:asciiTheme="minorHAnsi" w:hAnsiTheme="minorHAnsi" w:cstheme="minorHAnsi"/>
          <w:sz w:val="22"/>
          <w:szCs w:val="22"/>
        </w:rPr>
      </w:pPr>
      <w:r w:rsidRPr="001125D7">
        <w:rPr>
          <w:rFonts w:asciiTheme="minorHAnsi" w:hAnsiTheme="minorHAnsi" w:cstheme="minorHAnsi"/>
          <w:sz w:val="22"/>
          <w:szCs w:val="22"/>
        </w:rPr>
        <w:t xml:space="preserve">In </w:t>
      </w:r>
      <w:r w:rsidR="00595691" w:rsidRPr="001125D7">
        <w:rPr>
          <w:rFonts w:asciiTheme="minorHAnsi" w:hAnsiTheme="minorHAnsi" w:cstheme="minorHAnsi"/>
          <w:sz w:val="22"/>
          <w:szCs w:val="22"/>
        </w:rPr>
        <w:t xml:space="preserve">its 2012 concluding observations, the </w:t>
      </w:r>
      <w:r w:rsidRPr="001125D7">
        <w:rPr>
          <w:rFonts w:asciiTheme="minorHAnsi" w:hAnsiTheme="minorHAnsi" w:cstheme="minorHAnsi"/>
          <w:sz w:val="22"/>
          <w:szCs w:val="22"/>
        </w:rPr>
        <w:t>Committee called on Israel to revoke the Citizenship and Entry into Israel Law (Temporary Order) – 2003, and to "facilitate family reunification of all citizens irrespective of their ethnicity or national or other origin”</w:t>
      </w:r>
      <w:r w:rsidR="0019475B" w:rsidRPr="001125D7">
        <w:rPr>
          <w:rFonts w:asciiTheme="minorHAnsi" w:hAnsiTheme="minorHAnsi" w:cstheme="minorHAnsi"/>
          <w:sz w:val="22"/>
          <w:szCs w:val="22"/>
        </w:rPr>
        <w:t xml:space="preserve"> (CERD/C/ISR/CO/14-16, para. 18).</w:t>
      </w:r>
      <w:r w:rsidR="00595691" w:rsidRPr="001125D7">
        <w:rPr>
          <w:rFonts w:asciiTheme="minorHAnsi" w:hAnsiTheme="minorHAnsi" w:cstheme="minorHAnsi"/>
          <w:sz w:val="22"/>
          <w:szCs w:val="22"/>
        </w:rPr>
        <w:t xml:space="preserve"> </w:t>
      </w:r>
    </w:p>
    <w:p w:rsidR="00595691" w:rsidRPr="001125D7" w:rsidRDefault="00595691" w:rsidP="00595691">
      <w:pPr>
        <w:pStyle w:val="FootnoteText"/>
        <w:jc w:val="both"/>
        <w:rPr>
          <w:rFonts w:asciiTheme="minorHAnsi" w:hAnsiTheme="minorHAnsi" w:cstheme="minorHAnsi"/>
          <w:sz w:val="22"/>
          <w:szCs w:val="22"/>
        </w:rPr>
      </w:pPr>
    </w:p>
    <w:p w:rsidR="00595691" w:rsidRPr="001125D7" w:rsidRDefault="00903CF5" w:rsidP="00595691">
      <w:pPr>
        <w:pStyle w:val="FootnoteText"/>
        <w:jc w:val="both"/>
        <w:rPr>
          <w:rFonts w:asciiTheme="minorHAnsi" w:hAnsiTheme="minorHAnsi" w:cstheme="minorHAnsi"/>
          <w:sz w:val="22"/>
          <w:szCs w:val="22"/>
        </w:rPr>
      </w:pPr>
      <w:r w:rsidRPr="001125D7">
        <w:rPr>
          <w:rFonts w:asciiTheme="minorHAnsi" w:hAnsiTheme="minorHAnsi" w:cstheme="minorHAnsi"/>
          <w:sz w:val="22"/>
          <w:szCs w:val="22"/>
        </w:rPr>
        <w:t xml:space="preserve">The law </w:t>
      </w:r>
      <w:r w:rsidRPr="001125D7">
        <w:rPr>
          <w:rFonts w:asciiTheme="minorHAnsi" w:hAnsiTheme="minorHAnsi" w:cstheme="minorHAnsi"/>
          <w:color w:val="000000"/>
          <w:sz w:val="22"/>
          <w:szCs w:val="22"/>
        </w:rPr>
        <w:t>bans family unification in Israel between Palestinian citizens of Israel and Palestinians from the OPT, affecting thousands of families. The law has now been in effect for 1</w:t>
      </w:r>
      <w:r w:rsidR="00595691" w:rsidRPr="001125D7">
        <w:rPr>
          <w:rFonts w:asciiTheme="minorHAnsi" w:hAnsiTheme="minorHAnsi" w:cstheme="minorHAnsi"/>
          <w:color w:val="000000"/>
          <w:sz w:val="22"/>
          <w:szCs w:val="22"/>
        </w:rPr>
        <w:t>6</w:t>
      </w:r>
      <w:r w:rsidRPr="001125D7">
        <w:rPr>
          <w:rFonts w:asciiTheme="minorHAnsi" w:hAnsiTheme="minorHAnsi" w:cstheme="minorHAnsi"/>
          <w:color w:val="000000"/>
          <w:sz w:val="22"/>
          <w:szCs w:val="22"/>
        </w:rPr>
        <w:t xml:space="preserve"> years, renewed perfunctorily by the Knesset each year when it expires</w:t>
      </w:r>
      <w:r w:rsidRPr="001125D7">
        <w:rPr>
          <w:rFonts w:asciiTheme="minorHAnsi" w:hAnsiTheme="minorHAnsi" w:cstheme="minorHAnsi"/>
          <w:sz w:val="22"/>
          <w:szCs w:val="22"/>
        </w:rPr>
        <w:t xml:space="preserve">. The law was last extended </w:t>
      </w:r>
      <w:r w:rsidRPr="001125D7">
        <w:rPr>
          <w:rFonts w:asciiTheme="minorHAnsi" w:hAnsiTheme="minorHAnsi" w:cstheme="minorHAnsi"/>
          <w:color w:val="222222"/>
          <w:sz w:val="22"/>
          <w:szCs w:val="22"/>
          <w:shd w:val="clear" w:color="auto" w:fill="FFFFFF"/>
        </w:rPr>
        <w:t>in May 2019, and is currently valid until </w:t>
      </w:r>
      <w:r w:rsidRPr="001125D7">
        <w:rPr>
          <w:rStyle w:val="aqj"/>
          <w:rFonts w:asciiTheme="minorHAnsi" w:hAnsiTheme="minorHAnsi" w:cstheme="minorHAnsi"/>
          <w:color w:val="222222"/>
          <w:sz w:val="22"/>
          <w:szCs w:val="22"/>
          <w:shd w:val="clear" w:color="auto" w:fill="FFFFFF"/>
        </w:rPr>
        <w:t xml:space="preserve">30 July 2020. </w:t>
      </w:r>
      <w:r w:rsidRPr="001125D7">
        <w:rPr>
          <w:rFonts w:asciiTheme="minorHAnsi" w:hAnsiTheme="minorHAnsi" w:cstheme="minorHAnsi"/>
          <w:color w:val="000000"/>
          <w:sz w:val="22"/>
          <w:szCs w:val="22"/>
        </w:rPr>
        <w:t xml:space="preserve">While officially a temporary measure, Israel is using the law to create a permanent ban on Palestinian family unification in Israel, despite the severe violations of human rights entailed, including the rights to equality, dignity and family life. </w:t>
      </w:r>
      <w:r w:rsidRPr="001125D7">
        <w:rPr>
          <w:rFonts w:asciiTheme="minorHAnsi" w:hAnsiTheme="minorHAnsi" w:cstheme="minorHAnsi"/>
          <w:sz w:val="22"/>
          <w:szCs w:val="22"/>
        </w:rPr>
        <w:t xml:space="preserve">This flagrantly discriminatory law continues to ban family unification in Israel, with certain exceptions, between Palestinian citizens of Israel and their spouses who are residents of the OPT and certain Arab and Muslim countries classified by Israel as “enemy states”, based entirely on the spouse’s nationality. </w:t>
      </w:r>
    </w:p>
    <w:p w:rsidR="00595691" w:rsidRPr="001125D7" w:rsidRDefault="00595691" w:rsidP="00595691">
      <w:pPr>
        <w:pStyle w:val="FootnoteText"/>
        <w:jc w:val="both"/>
        <w:rPr>
          <w:rFonts w:asciiTheme="minorHAnsi" w:hAnsiTheme="minorHAnsi" w:cstheme="minorHAnsi"/>
          <w:sz w:val="22"/>
          <w:szCs w:val="22"/>
        </w:rPr>
      </w:pPr>
    </w:p>
    <w:p w:rsidR="00903CF5" w:rsidRPr="001125D7" w:rsidRDefault="00595691" w:rsidP="00595691">
      <w:pPr>
        <w:pStyle w:val="FootnoteText"/>
        <w:jc w:val="both"/>
        <w:rPr>
          <w:rFonts w:asciiTheme="minorHAnsi" w:hAnsiTheme="minorHAnsi" w:cstheme="minorHAnsi"/>
          <w:sz w:val="22"/>
          <w:szCs w:val="22"/>
        </w:rPr>
      </w:pPr>
      <w:r w:rsidRPr="001125D7">
        <w:rPr>
          <w:rFonts w:asciiTheme="minorHAnsi" w:hAnsiTheme="minorHAnsi" w:cstheme="minorHAnsi"/>
          <w:sz w:val="22"/>
          <w:szCs w:val="22"/>
        </w:rPr>
        <w:t>O</w:t>
      </w:r>
      <w:r w:rsidR="00903CF5" w:rsidRPr="001125D7">
        <w:rPr>
          <w:rFonts w:asciiTheme="minorHAnsi" w:hAnsiTheme="minorHAnsi" w:cstheme="minorHAnsi"/>
          <w:sz w:val="22"/>
          <w:szCs w:val="22"/>
        </w:rPr>
        <w:t>ther UN human rights treaty bodies have repeatedly criticized the law, and called on Israel to revoke it and to facilitate family unification:</w:t>
      </w:r>
    </w:p>
    <w:p w:rsidR="00903CF5" w:rsidRPr="001125D7" w:rsidRDefault="00903CF5" w:rsidP="00595691">
      <w:pPr>
        <w:pStyle w:val="ListParagraph"/>
        <w:numPr>
          <w:ilvl w:val="0"/>
          <w:numId w:val="4"/>
        </w:numPr>
        <w:ind w:left="284" w:hanging="284"/>
        <w:jc w:val="both"/>
        <w:rPr>
          <w:rFonts w:asciiTheme="minorHAnsi" w:hAnsiTheme="minorHAnsi" w:cstheme="minorHAnsi"/>
          <w:sz w:val="22"/>
          <w:szCs w:val="22"/>
        </w:rPr>
      </w:pPr>
      <w:r w:rsidRPr="001125D7">
        <w:rPr>
          <w:rFonts w:asciiTheme="minorHAnsi" w:hAnsiTheme="minorHAnsi" w:cstheme="minorHAnsi"/>
          <w:sz w:val="22"/>
          <w:szCs w:val="22"/>
        </w:rPr>
        <w:t>In 2017, the CEDAW reiterated its call on Israel from 2011 to review the law in order to facilitate family reunification of all citizens and permanent residents of Israel, and to bring the law into compliance with the CEDAW Convention, while respecting the principles of equality and proportionality (para. 41, CEDAW/C/ISR/CO/6).</w:t>
      </w:r>
    </w:p>
    <w:p w:rsidR="00903CF5" w:rsidRPr="001125D7" w:rsidRDefault="00903CF5" w:rsidP="00595691">
      <w:pPr>
        <w:pStyle w:val="ListParagraph"/>
        <w:numPr>
          <w:ilvl w:val="0"/>
          <w:numId w:val="4"/>
        </w:numPr>
        <w:ind w:left="284" w:hanging="284"/>
        <w:jc w:val="both"/>
        <w:rPr>
          <w:rFonts w:asciiTheme="minorHAnsi" w:hAnsiTheme="minorHAnsi" w:cstheme="minorHAnsi"/>
          <w:sz w:val="22"/>
          <w:szCs w:val="22"/>
        </w:rPr>
      </w:pPr>
      <w:r w:rsidRPr="001125D7">
        <w:rPr>
          <w:rFonts w:asciiTheme="minorHAnsi" w:hAnsiTheme="minorHAnsi" w:cstheme="minorHAnsi"/>
          <w:sz w:val="22"/>
          <w:szCs w:val="22"/>
        </w:rPr>
        <w:t xml:space="preserve">In 2014 the HRC </w:t>
      </w:r>
      <w:r w:rsidR="00595691" w:rsidRPr="001125D7">
        <w:rPr>
          <w:rFonts w:asciiTheme="minorHAnsi" w:hAnsiTheme="minorHAnsi" w:cstheme="minorHAnsi"/>
          <w:sz w:val="22"/>
          <w:szCs w:val="22"/>
        </w:rPr>
        <w:t xml:space="preserve">(which monitors the ICCPR) </w:t>
      </w:r>
      <w:r w:rsidRPr="001125D7">
        <w:rPr>
          <w:rFonts w:asciiTheme="minorHAnsi" w:hAnsiTheme="minorHAnsi" w:cstheme="minorHAnsi"/>
          <w:sz w:val="22"/>
          <w:szCs w:val="22"/>
        </w:rPr>
        <w:t>reiterated its concerns about the Law and again called for its revocation (CCPR/C/ISR/CO/4 para. 21</w:t>
      </w:r>
      <w:r w:rsidR="00595691" w:rsidRPr="001125D7">
        <w:rPr>
          <w:rFonts w:asciiTheme="minorHAnsi" w:hAnsiTheme="minorHAnsi" w:cstheme="minorHAnsi"/>
          <w:sz w:val="22"/>
          <w:szCs w:val="22"/>
        </w:rPr>
        <w:t>)</w:t>
      </w:r>
      <w:r w:rsidRPr="001125D7">
        <w:rPr>
          <w:rFonts w:asciiTheme="minorHAnsi" w:hAnsiTheme="minorHAnsi" w:cstheme="minorHAnsi"/>
          <w:sz w:val="22"/>
          <w:szCs w:val="22"/>
        </w:rPr>
        <w:t xml:space="preserve">. </w:t>
      </w:r>
    </w:p>
    <w:p w:rsidR="00903CF5" w:rsidRPr="001125D7" w:rsidRDefault="00903CF5" w:rsidP="00595691">
      <w:pPr>
        <w:pStyle w:val="ListParagraph"/>
        <w:numPr>
          <w:ilvl w:val="0"/>
          <w:numId w:val="4"/>
        </w:numPr>
        <w:ind w:left="284" w:hanging="284"/>
        <w:jc w:val="both"/>
        <w:rPr>
          <w:rFonts w:asciiTheme="minorHAnsi" w:hAnsiTheme="minorHAnsi" w:cstheme="minorHAnsi"/>
          <w:sz w:val="22"/>
          <w:szCs w:val="22"/>
        </w:rPr>
      </w:pPr>
      <w:r w:rsidRPr="001125D7">
        <w:rPr>
          <w:rFonts w:asciiTheme="minorHAnsi" w:hAnsiTheme="minorHAnsi" w:cstheme="minorHAnsi"/>
          <w:sz w:val="22"/>
          <w:szCs w:val="22"/>
        </w:rPr>
        <w:t xml:space="preserve">In 2013, the CRC expressed concern that thousands of Palestinian children are deprived of their right to live and grow up in a family environment with both of their parents or with their siblings and that thousands live under the fear of being separated because of the severe restrictions on family reunifications. The CRC also recommended that Israel revoke the law (paras. 49 and 50, CRC/C/ISR/CO/2-4); </w:t>
      </w:r>
    </w:p>
    <w:p w:rsidR="00903CF5" w:rsidRPr="001125D7" w:rsidRDefault="00903CF5" w:rsidP="00903CF5">
      <w:pPr>
        <w:pStyle w:val="ListParagraph"/>
        <w:numPr>
          <w:ilvl w:val="0"/>
          <w:numId w:val="4"/>
        </w:numPr>
        <w:ind w:left="284" w:hanging="284"/>
        <w:jc w:val="both"/>
        <w:rPr>
          <w:rFonts w:asciiTheme="minorHAnsi" w:hAnsiTheme="minorHAnsi" w:cstheme="minorHAnsi"/>
          <w:sz w:val="22"/>
          <w:szCs w:val="22"/>
        </w:rPr>
      </w:pPr>
      <w:r w:rsidRPr="001125D7">
        <w:rPr>
          <w:rFonts w:asciiTheme="minorHAnsi" w:hAnsiTheme="minorHAnsi" w:cstheme="minorHAnsi"/>
          <w:sz w:val="22"/>
          <w:szCs w:val="22"/>
        </w:rPr>
        <w:t>The CESCR also called on Israel in its concluding observations in 2011, “to guarantee and facilitate family reunification for all citizens and permanent residents irrespective of their status or background, and ensure the widest possible protection of, and assistance to, the family” (para. 20, E/C.12/ISR/CO/3).</w:t>
      </w:r>
    </w:p>
    <w:p w:rsidR="005F4678" w:rsidRDefault="005F4678" w:rsidP="00595691">
      <w:pPr>
        <w:pStyle w:val="FootnoteText"/>
        <w:jc w:val="both"/>
        <w:rPr>
          <w:rFonts w:asciiTheme="minorHAnsi" w:hAnsiTheme="minorHAnsi" w:cstheme="minorHAnsi"/>
          <w:sz w:val="22"/>
          <w:szCs w:val="22"/>
        </w:rPr>
      </w:pPr>
    </w:p>
    <w:p w:rsidR="00595691" w:rsidRDefault="00903CF5" w:rsidP="00595691">
      <w:pPr>
        <w:pStyle w:val="FootnoteText"/>
        <w:jc w:val="both"/>
        <w:rPr>
          <w:rFonts w:asciiTheme="minorHAnsi" w:hAnsiTheme="minorHAnsi" w:cstheme="minorHAnsi"/>
          <w:sz w:val="22"/>
          <w:szCs w:val="22"/>
        </w:rPr>
      </w:pPr>
      <w:r w:rsidRPr="001125D7">
        <w:rPr>
          <w:rFonts w:asciiTheme="minorHAnsi" w:hAnsiTheme="minorHAnsi" w:cstheme="minorHAnsi"/>
          <w:sz w:val="22"/>
          <w:szCs w:val="22"/>
        </w:rPr>
        <w:t xml:space="preserve">On 12 February 2018, </w:t>
      </w:r>
      <w:r w:rsidR="00595691" w:rsidRPr="001125D7">
        <w:rPr>
          <w:rFonts w:asciiTheme="minorHAnsi" w:hAnsiTheme="minorHAnsi" w:cstheme="minorHAnsi"/>
          <w:sz w:val="22"/>
          <w:szCs w:val="22"/>
        </w:rPr>
        <w:t xml:space="preserve">then </w:t>
      </w:r>
      <w:r w:rsidRPr="001125D7">
        <w:rPr>
          <w:rFonts w:asciiTheme="minorHAnsi" w:hAnsiTheme="minorHAnsi" w:cstheme="minorHAnsi"/>
          <w:sz w:val="22"/>
          <w:szCs w:val="22"/>
        </w:rPr>
        <w:t xml:space="preserve">Israeli Justice Minister Ayelet </w:t>
      </w:r>
      <w:proofErr w:type="spellStart"/>
      <w:r w:rsidRPr="001125D7">
        <w:rPr>
          <w:rFonts w:asciiTheme="minorHAnsi" w:hAnsiTheme="minorHAnsi" w:cstheme="minorHAnsi"/>
          <w:sz w:val="22"/>
          <w:szCs w:val="22"/>
        </w:rPr>
        <w:t>Shaked</w:t>
      </w:r>
      <w:proofErr w:type="spellEnd"/>
      <w:r w:rsidRPr="001125D7">
        <w:rPr>
          <w:rFonts w:asciiTheme="minorHAnsi" w:hAnsiTheme="minorHAnsi" w:cstheme="minorHAnsi"/>
          <w:sz w:val="22"/>
          <w:szCs w:val="22"/>
        </w:rPr>
        <w:t xml:space="preserve"> </w:t>
      </w:r>
      <w:r w:rsidRPr="001125D7">
        <w:rPr>
          <w:rFonts w:asciiTheme="minorHAnsi" w:hAnsiTheme="minorHAnsi" w:cstheme="minorHAnsi"/>
          <w:color w:val="000000"/>
          <w:sz w:val="22"/>
          <w:szCs w:val="22"/>
          <w:bdr w:val="none" w:sz="0" w:space="0" w:color="auto" w:frame="1"/>
        </w:rPr>
        <w:t xml:space="preserve">made inflammatory, anti-democratic remarks against human rights and against Palestinian citizens of Israel </w:t>
      </w:r>
      <w:r w:rsidRPr="001125D7">
        <w:rPr>
          <w:rFonts w:asciiTheme="minorHAnsi" w:hAnsiTheme="minorHAnsi" w:cstheme="minorHAnsi"/>
          <w:sz w:val="22"/>
          <w:szCs w:val="22"/>
        </w:rPr>
        <w:t>at a conference held by the Israeli Congress on Judaism and Democracy.</w:t>
      </w:r>
      <w:r w:rsidRPr="001125D7">
        <w:rPr>
          <w:rStyle w:val="FootnoteReference"/>
          <w:rFonts w:asciiTheme="minorHAnsi" w:hAnsiTheme="minorHAnsi" w:cstheme="minorHAnsi"/>
          <w:sz w:val="22"/>
          <w:szCs w:val="22"/>
        </w:rPr>
        <w:footnoteReference w:id="10"/>
      </w:r>
      <w:r w:rsidRPr="001125D7">
        <w:rPr>
          <w:rFonts w:asciiTheme="minorHAnsi" w:hAnsiTheme="minorHAnsi" w:cstheme="minorHAnsi"/>
          <w:sz w:val="22"/>
          <w:szCs w:val="22"/>
        </w:rPr>
        <w:t xml:space="preserve"> Regarding the </w:t>
      </w:r>
      <w:r w:rsidR="00595691" w:rsidRPr="001125D7">
        <w:rPr>
          <w:rFonts w:asciiTheme="minorHAnsi" w:hAnsiTheme="minorHAnsi" w:cstheme="minorHAnsi"/>
          <w:sz w:val="22"/>
          <w:szCs w:val="22"/>
        </w:rPr>
        <w:t xml:space="preserve">ban on Palestinian family unification, </w:t>
      </w:r>
      <w:r w:rsidRPr="001125D7">
        <w:rPr>
          <w:rFonts w:asciiTheme="minorHAnsi" w:hAnsiTheme="minorHAnsi" w:cstheme="minorHAnsi"/>
          <w:sz w:val="22"/>
          <w:szCs w:val="22"/>
        </w:rPr>
        <w:t xml:space="preserve">Minister </w:t>
      </w:r>
      <w:proofErr w:type="spellStart"/>
      <w:r w:rsidRPr="001125D7">
        <w:rPr>
          <w:rFonts w:asciiTheme="minorHAnsi" w:hAnsiTheme="minorHAnsi" w:cstheme="minorHAnsi"/>
          <w:sz w:val="22"/>
          <w:szCs w:val="22"/>
        </w:rPr>
        <w:t>Shaked</w:t>
      </w:r>
      <w:proofErr w:type="spellEnd"/>
      <w:r w:rsidRPr="001125D7">
        <w:rPr>
          <w:rFonts w:asciiTheme="minorHAnsi" w:hAnsiTheme="minorHAnsi" w:cstheme="minorHAnsi"/>
          <w:sz w:val="22"/>
          <w:szCs w:val="22"/>
        </w:rPr>
        <w:t xml:space="preserve"> stated that “There is place to maintain a Jewish majority even at the expense of the violation of human rights”, and that “I was disturbed that in both the state’s position and the reasoning of the justices, the State did not defend the law for national demographic reasons.”</w:t>
      </w:r>
      <w:r w:rsidR="00595691" w:rsidRPr="001125D7">
        <w:rPr>
          <w:rFonts w:asciiTheme="minorHAnsi" w:hAnsiTheme="minorHAnsi" w:cstheme="minorHAnsi"/>
          <w:sz w:val="22"/>
          <w:szCs w:val="22"/>
        </w:rPr>
        <w:t xml:space="preserve"> </w:t>
      </w:r>
      <w:r w:rsidR="00595691" w:rsidRPr="00095DCD">
        <w:rPr>
          <w:rFonts w:asciiTheme="minorHAnsi" w:hAnsiTheme="minorHAnsi" w:cstheme="minorHAnsi"/>
          <w:sz w:val="22"/>
          <w:szCs w:val="22"/>
        </w:rPr>
        <w:t xml:space="preserve">The Israeli </w:t>
      </w:r>
      <w:r w:rsidR="00595691" w:rsidRPr="00095DCD">
        <w:rPr>
          <w:rFonts w:asciiTheme="minorHAnsi" w:hAnsiTheme="minorHAnsi" w:cstheme="minorHAnsi"/>
          <w:sz w:val="22"/>
          <w:szCs w:val="22"/>
        </w:rPr>
        <w:lastRenderedPageBreak/>
        <w:t xml:space="preserve">Supreme Court has twice upheld the constitutionality of this law in </w:t>
      </w:r>
      <w:r w:rsidR="00095DCD" w:rsidRPr="00095DCD">
        <w:rPr>
          <w:rFonts w:asciiTheme="minorHAnsi" w:hAnsiTheme="minorHAnsi" w:cstheme="minorHAnsi"/>
          <w:sz w:val="22"/>
          <w:szCs w:val="22"/>
        </w:rPr>
        <w:t>6</w:t>
      </w:r>
      <w:r w:rsidR="00595691" w:rsidRPr="00095DCD">
        <w:rPr>
          <w:rFonts w:asciiTheme="minorHAnsi" w:hAnsiTheme="minorHAnsi" w:cstheme="minorHAnsi"/>
          <w:sz w:val="22"/>
          <w:szCs w:val="22"/>
        </w:rPr>
        <w:t xml:space="preserve"> to </w:t>
      </w:r>
      <w:r w:rsidR="00095DCD" w:rsidRPr="00095DCD">
        <w:rPr>
          <w:rFonts w:asciiTheme="minorHAnsi" w:hAnsiTheme="minorHAnsi" w:cstheme="minorHAnsi"/>
          <w:sz w:val="22"/>
          <w:szCs w:val="22"/>
        </w:rPr>
        <w:t>5</w:t>
      </w:r>
      <w:r w:rsidR="00595691" w:rsidRPr="00095DCD">
        <w:rPr>
          <w:rFonts w:asciiTheme="minorHAnsi" w:hAnsiTheme="minorHAnsi" w:cstheme="minorHAnsi"/>
          <w:sz w:val="22"/>
          <w:szCs w:val="22"/>
        </w:rPr>
        <w:t xml:space="preserve"> split decisions, basing much of its reasoning on sweeping security concerns, which it did not require the state to substantiate.</w:t>
      </w:r>
      <w:r w:rsidR="00095DCD">
        <w:rPr>
          <w:rStyle w:val="FootnoteReference"/>
          <w:rFonts w:asciiTheme="minorHAnsi" w:hAnsiTheme="minorHAnsi" w:cstheme="minorHAnsi"/>
          <w:sz w:val="22"/>
          <w:szCs w:val="22"/>
        </w:rPr>
        <w:footnoteReference w:id="11"/>
      </w:r>
    </w:p>
    <w:p w:rsidR="00595691" w:rsidRPr="001125D7" w:rsidRDefault="00595691"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2F181E" w:rsidRPr="001125D7" w:rsidRDefault="00903CF5" w:rsidP="002F181E">
      <w:pPr>
        <w:pStyle w:val="FootnoteText"/>
        <w:jc w:val="both"/>
        <w:rPr>
          <w:rFonts w:asciiTheme="minorHAnsi" w:hAnsiTheme="minorHAnsi" w:cstheme="minorHAnsi"/>
          <w:sz w:val="22"/>
          <w:szCs w:val="22"/>
        </w:rPr>
      </w:pPr>
      <w:r w:rsidRPr="001125D7">
        <w:rPr>
          <w:rFonts w:asciiTheme="minorHAnsi" w:hAnsiTheme="minorHAnsi" w:cstheme="minorHAnsi"/>
          <w:sz w:val="22"/>
          <w:szCs w:val="22"/>
        </w:rPr>
        <w:t xml:space="preserve">In its </w:t>
      </w:r>
      <w:r w:rsidR="00595691" w:rsidRPr="001125D7">
        <w:rPr>
          <w:rFonts w:asciiTheme="minorHAnsi" w:hAnsiTheme="minorHAnsi" w:cstheme="minorHAnsi"/>
          <w:sz w:val="22"/>
          <w:szCs w:val="22"/>
        </w:rPr>
        <w:t xml:space="preserve">2017 </w:t>
      </w:r>
      <w:r w:rsidRPr="001125D7">
        <w:rPr>
          <w:rFonts w:asciiTheme="minorHAnsi" w:hAnsiTheme="minorHAnsi" w:cstheme="minorHAnsi"/>
          <w:sz w:val="22"/>
          <w:szCs w:val="22"/>
        </w:rPr>
        <w:t>report</w:t>
      </w:r>
      <w:r w:rsidR="00595691" w:rsidRPr="001125D7">
        <w:rPr>
          <w:rFonts w:asciiTheme="minorHAnsi" w:hAnsiTheme="minorHAnsi" w:cstheme="minorHAnsi"/>
          <w:sz w:val="22"/>
          <w:szCs w:val="22"/>
        </w:rPr>
        <w:t xml:space="preserve"> to the Committee</w:t>
      </w:r>
      <w:r w:rsidRPr="001125D7">
        <w:rPr>
          <w:rFonts w:asciiTheme="minorHAnsi" w:hAnsiTheme="minorHAnsi" w:cstheme="minorHAnsi"/>
          <w:sz w:val="22"/>
          <w:szCs w:val="22"/>
        </w:rPr>
        <w:t xml:space="preserve">, the State of Israel </w:t>
      </w:r>
      <w:r w:rsidR="00595691" w:rsidRPr="001125D7">
        <w:rPr>
          <w:rFonts w:asciiTheme="minorHAnsi" w:hAnsiTheme="minorHAnsi" w:cstheme="minorHAnsi"/>
          <w:sz w:val="22"/>
          <w:szCs w:val="22"/>
        </w:rPr>
        <w:t xml:space="preserve">noted </w:t>
      </w:r>
      <w:r w:rsidRPr="001125D7">
        <w:rPr>
          <w:rFonts w:asciiTheme="minorHAnsi" w:hAnsiTheme="minorHAnsi" w:cstheme="minorHAnsi"/>
          <w:sz w:val="22"/>
          <w:szCs w:val="22"/>
        </w:rPr>
        <w:t>that it does</w:t>
      </w:r>
      <w:r w:rsidR="00595691" w:rsidRPr="001125D7">
        <w:rPr>
          <w:rFonts w:asciiTheme="minorHAnsi" w:hAnsiTheme="minorHAnsi" w:cstheme="minorHAnsi"/>
          <w:sz w:val="22"/>
          <w:szCs w:val="22"/>
        </w:rPr>
        <w:t xml:space="preserve"> not</w:t>
      </w:r>
      <w:r w:rsidRPr="001125D7">
        <w:rPr>
          <w:rFonts w:asciiTheme="minorHAnsi" w:hAnsiTheme="minorHAnsi" w:cstheme="minorHAnsi"/>
          <w:sz w:val="22"/>
          <w:szCs w:val="22"/>
        </w:rPr>
        <w:t xml:space="preserve"> intend to cancel the law, but rather cites minor changes to it</w:t>
      </w:r>
      <w:r w:rsidR="00595691" w:rsidRPr="001125D7">
        <w:rPr>
          <w:rFonts w:asciiTheme="minorHAnsi" w:hAnsiTheme="minorHAnsi" w:cstheme="minorHAnsi"/>
          <w:sz w:val="22"/>
          <w:szCs w:val="22"/>
        </w:rPr>
        <w:t xml:space="preserve"> (CERD/C/ISR/17-19 (2017) paras. 146-154). </w:t>
      </w:r>
      <w:r w:rsidRPr="001125D7">
        <w:rPr>
          <w:rFonts w:asciiTheme="minorHAnsi" w:hAnsiTheme="minorHAnsi" w:cstheme="minorHAnsi"/>
          <w:sz w:val="22"/>
          <w:szCs w:val="22"/>
        </w:rPr>
        <w:t xml:space="preserve">These changes </w:t>
      </w:r>
      <w:r w:rsidR="002F181E" w:rsidRPr="001125D7">
        <w:rPr>
          <w:rFonts w:asciiTheme="minorHAnsi" w:hAnsiTheme="minorHAnsi" w:cstheme="minorHAnsi"/>
          <w:sz w:val="22"/>
          <w:szCs w:val="22"/>
        </w:rPr>
        <w:t xml:space="preserve">do not change </w:t>
      </w:r>
      <w:r w:rsidRPr="001125D7">
        <w:rPr>
          <w:rFonts w:asciiTheme="minorHAnsi" w:hAnsiTheme="minorHAnsi" w:cstheme="minorHAnsi"/>
          <w:sz w:val="22"/>
          <w:szCs w:val="22"/>
        </w:rPr>
        <w:t>the discriminatory nature of the law</w:t>
      </w:r>
      <w:r w:rsidR="002F181E" w:rsidRPr="001125D7">
        <w:rPr>
          <w:rFonts w:asciiTheme="minorHAnsi" w:hAnsiTheme="minorHAnsi" w:cstheme="minorHAnsi"/>
          <w:sz w:val="22"/>
          <w:szCs w:val="22"/>
        </w:rPr>
        <w:t>,</w:t>
      </w:r>
      <w:r w:rsidRPr="001125D7">
        <w:rPr>
          <w:rFonts w:asciiTheme="minorHAnsi" w:hAnsiTheme="minorHAnsi" w:cstheme="minorHAnsi"/>
          <w:sz w:val="22"/>
          <w:szCs w:val="22"/>
        </w:rPr>
        <w:t xml:space="preserve"> which is unremittingly based on ethnicity and nationality, or provide evidence that limitations to family unification are "strictly necessary and limited in scope," as the CERD concluding observations demand</w:t>
      </w:r>
      <w:r w:rsidR="002F181E" w:rsidRPr="001125D7">
        <w:rPr>
          <w:rFonts w:asciiTheme="minorHAnsi" w:hAnsiTheme="minorHAnsi" w:cstheme="minorHAnsi"/>
          <w:sz w:val="22"/>
          <w:szCs w:val="22"/>
        </w:rPr>
        <w:t xml:space="preserve"> (CERD/C/ISR/CO/13 (2007), para. 20).</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i/>
          <w:iCs/>
          <w:sz w:val="22"/>
          <w:szCs w:val="22"/>
        </w:rPr>
      </w:pPr>
      <w:r w:rsidRPr="001125D7">
        <w:rPr>
          <w:rFonts w:asciiTheme="minorHAnsi" w:hAnsiTheme="minorHAnsi" w:cstheme="minorHAnsi"/>
          <w:b/>
          <w:bCs/>
          <w:i/>
          <w:iCs/>
          <w:sz w:val="22"/>
          <w:szCs w:val="22"/>
        </w:rPr>
        <w:t xml:space="preserve">Arbitrarily Revoking Citizenship </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b/>
          <w:bCs/>
          <w:i/>
          <w:iCs/>
          <w:sz w:val="22"/>
          <w:szCs w:val="22"/>
        </w:rPr>
      </w:pPr>
    </w:p>
    <w:p w:rsidR="002F181E" w:rsidRPr="001125D7" w:rsidRDefault="00903CF5" w:rsidP="005F46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In 20</w:t>
      </w:r>
      <w:r w:rsidR="002F181E" w:rsidRPr="001125D7">
        <w:rPr>
          <w:rFonts w:asciiTheme="minorHAnsi" w:hAnsiTheme="minorHAnsi" w:cstheme="minorHAnsi"/>
          <w:sz w:val="22"/>
          <w:szCs w:val="22"/>
        </w:rPr>
        <w:t>0</w:t>
      </w:r>
      <w:r w:rsidRPr="001125D7">
        <w:rPr>
          <w:rFonts w:asciiTheme="minorHAnsi" w:hAnsiTheme="minorHAnsi" w:cstheme="minorHAnsi"/>
          <w:sz w:val="22"/>
          <w:szCs w:val="22"/>
        </w:rPr>
        <w:t>8</w:t>
      </w:r>
      <w:r w:rsidR="002F181E" w:rsidRPr="001125D7">
        <w:rPr>
          <w:rFonts w:asciiTheme="minorHAnsi" w:hAnsiTheme="minorHAnsi" w:cstheme="minorHAnsi"/>
          <w:sz w:val="22"/>
          <w:szCs w:val="22"/>
        </w:rPr>
        <w:t>,</w:t>
      </w:r>
      <w:r w:rsidRPr="001125D7">
        <w:rPr>
          <w:rFonts w:asciiTheme="minorHAnsi" w:hAnsiTheme="minorHAnsi" w:cstheme="minorHAnsi"/>
          <w:sz w:val="22"/>
          <w:szCs w:val="22"/>
        </w:rPr>
        <w:t xml:space="preserve"> the </w:t>
      </w:r>
      <w:r w:rsidR="002F181E" w:rsidRPr="001125D7">
        <w:rPr>
          <w:rFonts w:asciiTheme="minorHAnsi" w:hAnsiTheme="minorHAnsi" w:cstheme="minorHAnsi"/>
          <w:sz w:val="22"/>
          <w:szCs w:val="22"/>
        </w:rPr>
        <w:t xml:space="preserve">Knesset </w:t>
      </w:r>
      <w:r w:rsidRPr="001125D7">
        <w:rPr>
          <w:rFonts w:asciiTheme="minorHAnsi" w:hAnsiTheme="minorHAnsi" w:cstheme="minorHAnsi"/>
          <w:sz w:val="22"/>
          <w:szCs w:val="22"/>
        </w:rPr>
        <w:t xml:space="preserve">amended </w:t>
      </w:r>
      <w:r w:rsidR="002F181E" w:rsidRPr="001125D7">
        <w:rPr>
          <w:rFonts w:asciiTheme="minorHAnsi" w:hAnsiTheme="minorHAnsi" w:cstheme="minorHAnsi"/>
          <w:sz w:val="22"/>
          <w:szCs w:val="22"/>
        </w:rPr>
        <w:t xml:space="preserve">the </w:t>
      </w:r>
      <w:r w:rsidRPr="001125D7">
        <w:rPr>
          <w:rFonts w:asciiTheme="minorHAnsi" w:hAnsiTheme="minorHAnsi" w:cstheme="minorHAnsi"/>
          <w:sz w:val="22"/>
          <w:szCs w:val="22"/>
        </w:rPr>
        <w:t>Citizenship Law (1952)</w:t>
      </w:r>
      <w:r w:rsidR="002F181E" w:rsidRPr="001125D7">
        <w:rPr>
          <w:rFonts w:asciiTheme="minorHAnsi" w:hAnsiTheme="minorHAnsi" w:cstheme="minorHAnsi"/>
          <w:sz w:val="22"/>
          <w:szCs w:val="22"/>
        </w:rPr>
        <w:t xml:space="preserve"> </w:t>
      </w:r>
      <w:r w:rsidR="001125D7" w:rsidRPr="001125D7">
        <w:rPr>
          <w:rFonts w:asciiTheme="minorHAnsi" w:hAnsiTheme="minorHAnsi" w:cstheme="minorHAnsi"/>
          <w:sz w:val="22"/>
          <w:szCs w:val="22"/>
        </w:rPr>
        <w:t xml:space="preserve">(Amendment 9) </w:t>
      </w:r>
      <w:r w:rsidR="002F181E" w:rsidRPr="001125D7">
        <w:rPr>
          <w:rFonts w:asciiTheme="minorHAnsi" w:hAnsiTheme="minorHAnsi" w:cstheme="minorHAnsi"/>
          <w:sz w:val="22"/>
          <w:szCs w:val="22"/>
        </w:rPr>
        <w:t xml:space="preserve">to </w:t>
      </w:r>
      <w:r w:rsidRPr="001125D7">
        <w:rPr>
          <w:rFonts w:asciiTheme="minorHAnsi" w:hAnsiTheme="minorHAnsi" w:cstheme="minorHAnsi"/>
          <w:sz w:val="22"/>
          <w:szCs w:val="22"/>
        </w:rPr>
        <w:t>allow the court to approve requests from the</w:t>
      </w:r>
      <w:r w:rsidR="002F181E" w:rsidRPr="001125D7">
        <w:rPr>
          <w:rFonts w:asciiTheme="minorHAnsi" w:hAnsiTheme="minorHAnsi" w:cstheme="minorHAnsi"/>
          <w:sz w:val="22"/>
          <w:szCs w:val="22"/>
        </w:rPr>
        <w:t xml:space="preserve"> I</w:t>
      </w:r>
      <w:r w:rsidRPr="001125D7">
        <w:rPr>
          <w:rFonts w:asciiTheme="minorHAnsi" w:hAnsiTheme="minorHAnsi" w:cstheme="minorHAnsi"/>
          <w:sz w:val="22"/>
          <w:szCs w:val="22"/>
        </w:rPr>
        <w:t xml:space="preserve">nterior </w:t>
      </w:r>
      <w:r w:rsidR="002F181E" w:rsidRPr="001125D7">
        <w:rPr>
          <w:rFonts w:asciiTheme="minorHAnsi" w:hAnsiTheme="minorHAnsi" w:cstheme="minorHAnsi"/>
          <w:sz w:val="22"/>
          <w:szCs w:val="22"/>
        </w:rPr>
        <w:t>M</w:t>
      </w:r>
      <w:r w:rsidRPr="001125D7">
        <w:rPr>
          <w:rFonts w:asciiTheme="minorHAnsi" w:hAnsiTheme="minorHAnsi" w:cstheme="minorHAnsi"/>
          <w:sz w:val="22"/>
          <w:szCs w:val="22"/>
        </w:rPr>
        <w:t>inister to revoke the citizenship of Israeli citizens for "breach of loyalty".</w:t>
      </w:r>
      <w:r w:rsidR="001125D7" w:rsidRPr="001125D7">
        <w:rPr>
          <w:rStyle w:val="FootnoteReference"/>
          <w:rFonts w:asciiTheme="minorHAnsi" w:hAnsiTheme="minorHAnsi" w:cstheme="minorHAnsi"/>
          <w:sz w:val="22"/>
          <w:szCs w:val="22"/>
        </w:rPr>
        <w:footnoteReference w:id="12"/>
      </w:r>
      <w:r w:rsidRPr="001125D7">
        <w:rPr>
          <w:rFonts w:asciiTheme="minorHAnsi" w:hAnsiTheme="minorHAnsi" w:cstheme="minorHAnsi"/>
          <w:sz w:val="22"/>
          <w:szCs w:val="22"/>
        </w:rPr>
        <w:t xml:space="preserve"> </w:t>
      </w:r>
      <w:r w:rsidR="005F4678">
        <w:rPr>
          <w:rFonts w:asciiTheme="minorHAnsi" w:hAnsiTheme="minorHAnsi" w:cstheme="minorHAnsi"/>
          <w:sz w:val="22"/>
          <w:szCs w:val="22"/>
        </w:rPr>
        <w:t xml:space="preserve"> </w:t>
      </w:r>
      <w:r w:rsidRPr="001125D7">
        <w:rPr>
          <w:rFonts w:asciiTheme="minorHAnsi" w:hAnsiTheme="minorHAnsi" w:cstheme="minorHAnsi"/>
          <w:sz w:val="22"/>
          <w:szCs w:val="22"/>
        </w:rPr>
        <w:t>This law is being applied</w:t>
      </w:r>
      <w:r w:rsidR="002F181E" w:rsidRPr="001125D7">
        <w:rPr>
          <w:rFonts w:asciiTheme="minorHAnsi" w:hAnsiTheme="minorHAnsi" w:cstheme="minorHAnsi"/>
          <w:sz w:val="22"/>
          <w:szCs w:val="22"/>
        </w:rPr>
        <w:t xml:space="preserve"> by the state</w:t>
      </w:r>
      <w:r w:rsidRPr="001125D7">
        <w:rPr>
          <w:rFonts w:asciiTheme="minorHAnsi" w:hAnsiTheme="minorHAnsi" w:cstheme="minorHAnsi"/>
          <w:sz w:val="22"/>
          <w:szCs w:val="22"/>
        </w:rPr>
        <w:t xml:space="preserve"> in a selective and discriminatory manner</w:t>
      </w:r>
      <w:r w:rsidR="002F181E" w:rsidRPr="001125D7">
        <w:rPr>
          <w:rFonts w:asciiTheme="minorHAnsi" w:hAnsiTheme="minorHAnsi" w:cstheme="minorHAnsi"/>
          <w:sz w:val="22"/>
          <w:szCs w:val="22"/>
        </w:rPr>
        <w:t>,</w:t>
      </w:r>
      <w:r w:rsidRPr="001125D7">
        <w:rPr>
          <w:rFonts w:asciiTheme="minorHAnsi" w:hAnsiTheme="minorHAnsi" w:cstheme="minorHAnsi"/>
          <w:sz w:val="22"/>
          <w:szCs w:val="22"/>
        </w:rPr>
        <w:t xml:space="preserve"> only to Palestinians citizens</w:t>
      </w:r>
      <w:r w:rsidR="002F181E" w:rsidRPr="001125D7">
        <w:rPr>
          <w:rFonts w:asciiTheme="minorHAnsi" w:hAnsiTheme="minorHAnsi" w:cstheme="minorHAnsi"/>
          <w:sz w:val="22"/>
          <w:szCs w:val="22"/>
        </w:rPr>
        <w:t xml:space="preserve"> of Israel</w:t>
      </w:r>
      <w:r w:rsidRPr="001125D7">
        <w:rPr>
          <w:rFonts w:asciiTheme="minorHAnsi" w:hAnsiTheme="minorHAnsi" w:cstheme="minorHAnsi"/>
          <w:sz w:val="22"/>
          <w:szCs w:val="22"/>
        </w:rPr>
        <w:t xml:space="preserve"> and not to Jewish citizens. </w:t>
      </w:r>
      <w:r w:rsidR="002F181E" w:rsidRPr="001125D7">
        <w:rPr>
          <w:rFonts w:asciiTheme="minorHAnsi" w:hAnsiTheme="minorHAnsi" w:cstheme="minorHAnsi"/>
          <w:sz w:val="22"/>
          <w:szCs w:val="22"/>
        </w:rPr>
        <w:t xml:space="preserve">In a recent case, which is currently </w:t>
      </w:r>
      <w:r w:rsidR="007B104A" w:rsidRPr="001125D7">
        <w:rPr>
          <w:rFonts w:asciiTheme="minorHAnsi" w:hAnsiTheme="minorHAnsi" w:cstheme="minorHAnsi"/>
          <w:sz w:val="22"/>
          <w:szCs w:val="22"/>
        </w:rPr>
        <w:t xml:space="preserve">on appeal </w:t>
      </w:r>
      <w:r w:rsidR="002F181E" w:rsidRPr="001125D7">
        <w:rPr>
          <w:rFonts w:asciiTheme="minorHAnsi" w:hAnsiTheme="minorHAnsi" w:cstheme="minorHAnsi"/>
          <w:sz w:val="22"/>
          <w:szCs w:val="22"/>
        </w:rPr>
        <w:t>before the Israeli Supreme</w:t>
      </w:r>
      <w:r w:rsidR="007B104A" w:rsidRPr="001125D7">
        <w:rPr>
          <w:rFonts w:asciiTheme="minorHAnsi" w:hAnsiTheme="minorHAnsi" w:cstheme="minorHAnsi"/>
          <w:sz w:val="22"/>
          <w:szCs w:val="22"/>
        </w:rPr>
        <w:t xml:space="preserve"> Court</w:t>
      </w:r>
      <w:r w:rsidR="002F181E" w:rsidRPr="001125D7">
        <w:rPr>
          <w:rFonts w:asciiTheme="minorHAnsi" w:hAnsiTheme="minorHAnsi" w:cstheme="minorHAnsi"/>
          <w:sz w:val="22"/>
          <w:szCs w:val="22"/>
        </w:rPr>
        <w:t xml:space="preserve">, the state applied the law to </w:t>
      </w:r>
      <w:r w:rsidRPr="001125D7">
        <w:rPr>
          <w:rFonts w:asciiTheme="minorHAnsi" w:hAnsiTheme="minorHAnsi" w:cstheme="minorHAnsi"/>
          <w:sz w:val="22"/>
          <w:szCs w:val="22"/>
        </w:rPr>
        <w:t xml:space="preserve">Mr. </w:t>
      </w:r>
      <w:proofErr w:type="spellStart"/>
      <w:r w:rsidRPr="001125D7">
        <w:rPr>
          <w:rFonts w:asciiTheme="minorHAnsi" w:hAnsiTheme="minorHAnsi" w:cstheme="minorHAnsi"/>
          <w:sz w:val="22"/>
          <w:szCs w:val="22"/>
        </w:rPr>
        <w:t>Alaa</w:t>
      </w:r>
      <w:proofErr w:type="spellEnd"/>
      <w:r w:rsidRPr="001125D7">
        <w:rPr>
          <w:rFonts w:asciiTheme="minorHAnsi" w:hAnsiTheme="minorHAnsi" w:cstheme="minorHAnsi"/>
          <w:sz w:val="22"/>
          <w:szCs w:val="22"/>
        </w:rPr>
        <w:t xml:space="preserve"> </w:t>
      </w:r>
      <w:proofErr w:type="spellStart"/>
      <w:r w:rsidRPr="001125D7">
        <w:rPr>
          <w:rFonts w:asciiTheme="minorHAnsi" w:hAnsiTheme="minorHAnsi" w:cstheme="minorHAnsi"/>
          <w:sz w:val="22"/>
          <w:szCs w:val="22"/>
        </w:rPr>
        <w:t>Zayoud</w:t>
      </w:r>
      <w:proofErr w:type="spellEnd"/>
      <w:r w:rsidRPr="001125D7">
        <w:rPr>
          <w:rFonts w:asciiTheme="minorHAnsi" w:hAnsiTheme="minorHAnsi" w:cstheme="minorHAnsi"/>
          <w:sz w:val="22"/>
          <w:szCs w:val="22"/>
        </w:rPr>
        <w:t>, a Palestinian citizen of Israel from the town of Umm al-</w:t>
      </w:r>
      <w:proofErr w:type="spellStart"/>
      <w:r w:rsidRPr="001125D7">
        <w:rPr>
          <w:rFonts w:asciiTheme="minorHAnsi" w:hAnsiTheme="minorHAnsi" w:cstheme="minorHAnsi"/>
          <w:sz w:val="22"/>
          <w:szCs w:val="22"/>
        </w:rPr>
        <w:t>Fahem</w:t>
      </w:r>
      <w:proofErr w:type="spellEnd"/>
      <w:r w:rsidRPr="001125D7">
        <w:rPr>
          <w:rFonts w:asciiTheme="minorHAnsi" w:hAnsiTheme="minorHAnsi" w:cstheme="minorHAnsi"/>
          <w:sz w:val="22"/>
          <w:szCs w:val="22"/>
        </w:rPr>
        <w:t xml:space="preserve"> who was sentenced to 25 years in prison on charges related to an attempted murder</w:t>
      </w:r>
      <w:r w:rsidR="002F181E" w:rsidRPr="001125D7">
        <w:rPr>
          <w:rFonts w:asciiTheme="minorHAnsi" w:hAnsiTheme="minorHAnsi" w:cstheme="minorHAnsi"/>
          <w:sz w:val="22"/>
          <w:szCs w:val="22"/>
        </w:rPr>
        <w:t>.</w:t>
      </w:r>
      <w:r w:rsidR="007B104A" w:rsidRPr="001125D7">
        <w:rPr>
          <w:rStyle w:val="FootnoteReference"/>
          <w:rFonts w:asciiTheme="minorHAnsi" w:hAnsiTheme="minorHAnsi" w:cstheme="minorHAnsi"/>
          <w:sz w:val="22"/>
          <w:szCs w:val="22"/>
        </w:rPr>
        <w:footnoteReference w:id="13"/>
      </w:r>
      <w:r w:rsidRPr="001125D7">
        <w:rPr>
          <w:rFonts w:asciiTheme="minorHAnsi" w:hAnsiTheme="minorHAnsi" w:cstheme="minorHAnsi"/>
          <w:sz w:val="22"/>
          <w:szCs w:val="22"/>
        </w:rPr>
        <w:t xml:space="preserve"> </w:t>
      </w:r>
    </w:p>
    <w:p w:rsidR="007B104A" w:rsidRPr="001125D7" w:rsidRDefault="007B104A"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2F181E"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 xml:space="preserve">However, the state did not </w:t>
      </w:r>
      <w:r w:rsidR="00903CF5" w:rsidRPr="001125D7">
        <w:rPr>
          <w:rFonts w:asciiTheme="minorHAnsi" w:hAnsiTheme="minorHAnsi" w:cstheme="minorHAnsi"/>
          <w:sz w:val="22"/>
          <w:szCs w:val="22"/>
        </w:rPr>
        <w:t>appl</w:t>
      </w:r>
      <w:r w:rsidR="007B104A" w:rsidRPr="001125D7">
        <w:rPr>
          <w:rFonts w:asciiTheme="minorHAnsi" w:hAnsiTheme="minorHAnsi" w:cstheme="minorHAnsi"/>
          <w:sz w:val="22"/>
          <w:szCs w:val="22"/>
        </w:rPr>
        <w:t xml:space="preserve">y </w:t>
      </w:r>
      <w:r w:rsidR="00DF477F" w:rsidRPr="001125D7">
        <w:rPr>
          <w:rFonts w:asciiTheme="minorHAnsi" w:hAnsiTheme="minorHAnsi" w:cstheme="minorHAnsi"/>
          <w:sz w:val="22"/>
          <w:szCs w:val="22"/>
        </w:rPr>
        <w:t>the</w:t>
      </w:r>
      <w:r w:rsidR="00903CF5" w:rsidRPr="001125D7">
        <w:rPr>
          <w:rFonts w:asciiTheme="minorHAnsi" w:hAnsiTheme="minorHAnsi" w:cstheme="minorHAnsi"/>
          <w:sz w:val="22"/>
          <w:szCs w:val="22"/>
        </w:rPr>
        <w:t xml:space="preserve"> </w:t>
      </w:r>
      <w:r w:rsidRPr="001125D7">
        <w:rPr>
          <w:rFonts w:asciiTheme="minorHAnsi" w:hAnsiTheme="minorHAnsi" w:cstheme="minorHAnsi"/>
          <w:sz w:val="22"/>
          <w:szCs w:val="22"/>
        </w:rPr>
        <w:t xml:space="preserve">law to any </w:t>
      </w:r>
      <w:r w:rsidR="00903CF5" w:rsidRPr="001125D7">
        <w:rPr>
          <w:rFonts w:asciiTheme="minorHAnsi" w:hAnsiTheme="minorHAnsi" w:cstheme="minorHAnsi"/>
          <w:sz w:val="22"/>
          <w:szCs w:val="22"/>
        </w:rPr>
        <w:t xml:space="preserve">cases </w:t>
      </w:r>
      <w:r w:rsidRPr="001125D7">
        <w:rPr>
          <w:rFonts w:asciiTheme="minorHAnsi" w:hAnsiTheme="minorHAnsi" w:cstheme="minorHAnsi"/>
          <w:sz w:val="22"/>
          <w:szCs w:val="22"/>
        </w:rPr>
        <w:t xml:space="preserve">involving </w:t>
      </w:r>
      <w:r w:rsidR="00903CF5" w:rsidRPr="001125D7">
        <w:rPr>
          <w:rFonts w:asciiTheme="minorHAnsi" w:hAnsiTheme="minorHAnsi" w:cstheme="minorHAnsi"/>
          <w:sz w:val="22"/>
          <w:szCs w:val="22"/>
        </w:rPr>
        <w:t>Israeli Jewish citizens</w:t>
      </w:r>
      <w:r w:rsidRPr="001125D7">
        <w:rPr>
          <w:rFonts w:asciiTheme="minorHAnsi" w:hAnsiTheme="minorHAnsi" w:cstheme="minorHAnsi"/>
          <w:sz w:val="22"/>
          <w:szCs w:val="22"/>
        </w:rPr>
        <w:t>,</w:t>
      </w:r>
      <w:r w:rsidR="00903CF5" w:rsidRPr="001125D7">
        <w:rPr>
          <w:rFonts w:asciiTheme="minorHAnsi" w:hAnsiTheme="minorHAnsi" w:cstheme="minorHAnsi"/>
          <w:sz w:val="22"/>
          <w:szCs w:val="22"/>
        </w:rPr>
        <w:t xml:space="preserve"> including a number of serious incidents in which Israeli Jewish citizens attacked Palestinians in Israel and the OPT. Examples </w:t>
      </w:r>
      <w:r w:rsidRPr="001125D7">
        <w:rPr>
          <w:rFonts w:asciiTheme="minorHAnsi" w:hAnsiTheme="minorHAnsi" w:cstheme="minorHAnsi"/>
          <w:sz w:val="22"/>
          <w:szCs w:val="22"/>
        </w:rPr>
        <w:t xml:space="preserve">of these cases </w:t>
      </w:r>
      <w:r w:rsidR="00903CF5" w:rsidRPr="001125D7">
        <w:rPr>
          <w:rFonts w:asciiTheme="minorHAnsi" w:hAnsiTheme="minorHAnsi" w:cstheme="minorHAnsi"/>
          <w:sz w:val="22"/>
          <w:szCs w:val="22"/>
        </w:rPr>
        <w:t xml:space="preserve">include: </w:t>
      </w:r>
      <w:r w:rsidRPr="001125D7">
        <w:rPr>
          <w:rFonts w:asciiTheme="minorHAnsi" w:hAnsiTheme="minorHAnsi" w:cstheme="minorHAnsi"/>
          <w:sz w:val="22"/>
          <w:szCs w:val="22"/>
        </w:rPr>
        <w:t>Th</w:t>
      </w:r>
      <w:r w:rsidR="00903CF5" w:rsidRPr="001125D7">
        <w:rPr>
          <w:rFonts w:asciiTheme="minorHAnsi" w:hAnsiTheme="minorHAnsi" w:cstheme="minorHAnsi"/>
          <w:sz w:val="22"/>
          <w:szCs w:val="22"/>
        </w:rPr>
        <w:t xml:space="preserve">ree Israeli Jewish citizens convicted in the murder of Muhammad Abu </w:t>
      </w:r>
      <w:proofErr w:type="spellStart"/>
      <w:r w:rsidR="00903CF5" w:rsidRPr="001125D7">
        <w:rPr>
          <w:rFonts w:asciiTheme="minorHAnsi" w:hAnsiTheme="minorHAnsi" w:cstheme="minorHAnsi"/>
          <w:sz w:val="22"/>
          <w:szCs w:val="22"/>
        </w:rPr>
        <w:t>Khdeir</w:t>
      </w:r>
      <w:proofErr w:type="spellEnd"/>
      <w:r w:rsidR="00903CF5" w:rsidRPr="001125D7">
        <w:rPr>
          <w:rFonts w:asciiTheme="minorHAnsi" w:hAnsiTheme="minorHAnsi" w:cstheme="minorHAnsi"/>
          <w:sz w:val="22"/>
          <w:szCs w:val="22"/>
        </w:rPr>
        <w:t xml:space="preserve"> (a 16-year-old Palestinian boy from </w:t>
      </w:r>
      <w:proofErr w:type="spellStart"/>
      <w:r w:rsidR="00903CF5" w:rsidRPr="001125D7">
        <w:rPr>
          <w:rFonts w:asciiTheme="minorHAnsi" w:hAnsiTheme="minorHAnsi" w:cstheme="minorHAnsi"/>
          <w:sz w:val="22"/>
          <w:szCs w:val="22"/>
        </w:rPr>
        <w:t>Shuafat</w:t>
      </w:r>
      <w:proofErr w:type="spellEnd"/>
      <w:r w:rsidR="00903CF5" w:rsidRPr="001125D7">
        <w:rPr>
          <w:rFonts w:asciiTheme="minorHAnsi" w:hAnsiTheme="minorHAnsi" w:cstheme="minorHAnsi"/>
          <w:sz w:val="22"/>
          <w:szCs w:val="22"/>
        </w:rPr>
        <w:t>, in East Jerusalem, who was beaten and burned to death)</w:t>
      </w:r>
      <w:r w:rsidRPr="001125D7">
        <w:rPr>
          <w:rFonts w:asciiTheme="minorHAnsi" w:hAnsiTheme="minorHAnsi" w:cstheme="minorHAnsi"/>
          <w:sz w:val="22"/>
          <w:szCs w:val="22"/>
        </w:rPr>
        <w:t xml:space="preserve">, </w:t>
      </w:r>
      <w:r w:rsidR="00903CF5" w:rsidRPr="001125D7">
        <w:rPr>
          <w:rFonts w:asciiTheme="minorHAnsi" w:hAnsiTheme="minorHAnsi" w:cstheme="minorHAnsi"/>
          <w:sz w:val="22"/>
          <w:szCs w:val="22"/>
        </w:rPr>
        <w:t xml:space="preserve">and the Israeli arson attack that killed three members of the </w:t>
      </w:r>
      <w:proofErr w:type="spellStart"/>
      <w:r w:rsidR="00903CF5" w:rsidRPr="001125D7">
        <w:rPr>
          <w:rFonts w:asciiTheme="minorHAnsi" w:hAnsiTheme="minorHAnsi" w:cstheme="minorHAnsi"/>
          <w:sz w:val="22"/>
          <w:szCs w:val="22"/>
        </w:rPr>
        <w:t>Dawabsheh</w:t>
      </w:r>
      <w:proofErr w:type="spellEnd"/>
      <w:r w:rsidR="00903CF5" w:rsidRPr="001125D7">
        <w:rPr>
          <w:rFonts w:asciiTheme="minorHAnsi" w:hAnsiTheme="minorHAnsi" w:cstheme="minorHAnsi"/>
          <w:sz w:val="22"/>
          <w:szCs w:val="22"/>
        </w:rPr>
        <w:t xml:space="preserve"> family in the West Bank village of Duma.</w:t>
      </w:r>
      <w:r w:rsidR="00F836F8" w:rsidRPr="001125D7">
        <w:rPr>
          <w:rStyle w:val="FootnoteReference"/>
          <w:rFonts w:asciiTheme="minorHAnsi" w:hAnsiTheme="minorHAnsi" w:cstheme="minorHAnsi"/>
          <w:sz w:val="22"/>
          <w:szCs w:val="22"/>
        </w:rPr>
        <w:footnoteReference w:id="14"/>
      </w:r>
      <w:r w:rsidR="00903CF5" w:rsidRPr="001125D7">
        <w:rPr>
          <w:rFonts w:asciiTheme="minorHAnsi" w:hAnsiTheme="minorHAnsi" w:cstheme="minorHAnsi"/>
          <w:sz w:val="22"/>
          <w:szCs w:val="22"/>
        </w:rPr>
        <w:t xml:space="preserve"> </w:t>
      </w:r>
    </w:p>
    <w:p w:rsidR="002F181E" w:rsidRPr="001125D7" w:rsidRDefault="002F181E"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 xml:space="preserve">The law </w:t>
      </w:r>
      <w:r w:rsidR="00DF477F" w:rsidRPr="001125D7">
        <w:rPr>
          <w:rFonts w:asciiTheme="minorHAnsi" w:hAnsiTheme="minorHAnsi" w:cstheme="minorHAnsi"/>
          <w:sz w:val="22"/>
          <w:szCs w:val="22"/>
        </w:rPr>
        <w:t xml:space="preserve">gives </w:t>
      </w:r>
      <w:r w:rsidRPr="001125D7">
        <w:rPr>
          <w:rFonts w:asciiTheme="minorHAnsi" w:hAnsiTheme="minorHAnsi" w:cstheme="minorHAnsi"/>
          <w:sz w:val="22"/>
          <w:szCs w:val="22"/>
        </w:rPr>
        <w:t xml:space="preserve">sweeping </w:t>
      </w:r>
      <w:r w:rsidR="00DF477F" w:rsidRPr="001125D7">
        <w:rPr>
          <w:rFonts w:asciiTheme="minorHAnsi" w:hAnsiTheme="minorHAnsi" w:cstheme="minorHAnsi"/>
          <w:sz w:val="22"/>
          <w:szCs w:val="22"/>
        </w:rPr>
        <w:t xml:space="preserve">discretion to the Interior Minister, which also allows for its arbitrary </w:t>
      </w:r>
      <w:r w:rsidRPr="001125D7">
        <w:rPr>
          <w:rFonts w:asciiTheme="minorHAnsi" w:hAnsiTheme="minorHAnsi" w:cstheme="minorHAnsi"/>
          <w:sz w:val="22"/>
          <w:szCs w:val="22"/>
        </w:rPr>
        <w:t>application</w:t>
      </w:r>
      <w:r w:rsidR="00DF477F" w:rsidRPr="001125D7">
        <w:rPr>
          <w:rFonts w:asciiTheme="minorHAnsi" w:hAnsiTheme="minorHAnsi" w:cstheme="minorHAnsi"/>
          <w:sz w:val="22"/>
          <w:szCs w:val="22"/>
        </w:rPr>
        <w:t xml:space="preserve"> </w:t>
      </w:r>
      <w:r w:rsidRPr="001125D7">
        <w:rPr>
          <w:rFonts w:asciiTheme="minorHAnsi" w:hAnsiTheme="minorHAnsi" w:cstheme="minorHAnsi"/>
          <w:sz w:val="22"/>
          <w:szCs w:val="22"/>
        </w:rPr>
        <w:t>in accordance with political considerations</w:t>
      </w:r>
      <w:r w:rsidR="00DF477F" w:rsidRPr="001125D7">
        <w:rPr>
          <w:rFonts w:asciiTheme="minorHAnsi" w:hAnsiTheme="minorHAnsi" w:cstheme="minorHAnsi"/>
          <w:sz w:val="22"/>
          <w:szCs w:val="22"/>
        </w:rPr>
        <w:t xml:space="preserve">. The revocation of citizenship is </w:t>
      </w:r>
      <w:r w:rsidRPr="001125D7">
        <w:rPr>
          <w:rFonts w:asciiTheme="minorHAnsi" w:hAnsiTheme="minorHAnsi" w:cstheme="minorHAnsi"/>
          <w:sz w:val="22"/>
          <w:szCs w:val="22"/>
        </w:rPr>
        <w:t>an extreme act</w:t>
      </w:r>
      <w:r w:rsidR="00DF477F" w:rsidRPr="001125D7">
        <w:rPr>
          <w:rFonts w:asciiTheme="minorHAnsi" w:hAnsiTheme="minorHAnsi" w:cstheme="minorHAnsi"/>
          <w:sz w:val="22"/>
          <w:szCs w:val="22"/>
        </w:rPr>
        <w:t>,</w:t>
      </w:r>
      <w:r w:rsidRPr="001125D7">
        <w:rPr>
          <w:rFonts w:asciiTheme="minorHAnsi" w:hAnsiTheme="minorHAnsi" w:cstheme="minorHAnsi"/>
          <w:sz w:val="22"/>
          <w:szCs w:val="22"/>
        </w:rPr>
        <w:t xml:space="preserve"> as it involves the </w:t>
      </w:r>
      <w:r w:rsidR="00DF477F" w:rsidRPr="001125D7">
        <w:rPr>
          <w:rFonts w:asciiTheme="minorHAnsi" w:hAnsiTheme="minorHAnsi" w:cstheme="minorHAnsi"/>
          <w:sz w:val="22"/>
          <w:szCs w:val="22"/>
        </w:rPr>
        <w:t xml:space="preserve">taking away </w:t>
      </w:r>
      <w:r w:rsidRPr="001125D7">
        <w:rPr>
          <w:rFonts w:asciiTheme="minorHAnsi" w:hAnsiTheme="minorHAnsi" w:cstheme="minorHAnsi"/>
          <w:sz w:val="22"/>
          <w:szCs w:val="22"/>
        </w:rPr>
        <w:t>of the most important constitutional right of all rights – the right to citizenship.</w:t>
      </w:r>
      <w:r w:rsidR="00DF477F" w:rsidRPr="001125D7">
        <w:rPr>
          <w:rFonts w:asciiTheme="minorHAnsi" w:hAnsiTheme="minorHAnsi" w:cstheme="minorHAnsi"/>
          <w:sz w:val="22"/>
          <w:szCs w:val="22"/>
        </w:rPr>
        <w:t xml:space="preserve"> Further, </w:t>
      </w:r>
      <w:r w:rsidRPr="001125D7">
        <w:rPr>
          <w:rFonts w:asciiTheme="minorHAnsi" w:hAnsiTheme="minorHAnsi" w:cstheme="minorHAnsi"/>
          <w:sz w:val="22"/>
          <w:szCs w:val="22"/>
        </w:rPr>
        <w:t xml:space="preserve">the law </w:t>
      </w:r>
      <w:r w:rsidR="00DF477F" w:rsidRPr="001125D7">
        <w:rPr>
          <w:rFonts w:asciiTheme="minorHAnsi" w:hAnsiTheme="minorHAnsi" w:cstheme="minorHAnsi"/>
          <w:sz w:val="22"/>
          <w:szCs w:val="22"/>
        </w:rPr>
        <w:t xml:space="preserve">provides for </w:t>
      </w:r>
      <w:r w:rsidRPr="001125D7">
        <w:rPr>
          <w:rFonts w:asciiTheme="minorHAnsi" w:hAnsiTheme="minorHAnsi" w:cstheme="minorHAnsi"/>
          <w:sz w:val="22"/>
          <w:szCs w:val="22"/>
        </w:rPr>
        <w:t xml:space="preserve">additional punishment beyond that </w:t>
      </w:r>
      <w:r w:rsidR="00DF477F" w:rsidRPr="001125D7">
        <w:rPr>
          <w:rFonts w:asciiTheme="minorHAnsi" w:hAnsiTheme="minorHAnsi" w:cstheme="minorHAnsi"/>
          <w:sz w:val="22"/>
          <w:szCs w:val="22"/>
        </w:rPr>
        <w:t xml:space="preserve">what is </w:t>
      </w:r>
      <w:proofErr w:type="spellStart"/>
      <w:r w:rsidRPr="001125D7">
        <w:rPr>
          <w:rFonts w:asciiTheme="minorHAnsi" w:hAnsiTheme="minorHAnsi" w:cstheme="minorHAnsi"/>
          <w:sz w:val="22"/>
          <w:szCs w:val="22"/>
        </w:rPr>
        <w:t>imposed</w:t>
      </w:r>
      <w:proofErr w:type="spellEnd"/>
      <w:r w:rsidRPr="001125D7">
        <w:rPr>
          <w:rFonts w:asciiTheme="minorHAnsi" w:hAnsiTheme="minorHAnsi" w:cstheme="minorHAnsi"/>
          <w:sz w:val="22"/>
          <w:szCs w:val="22"/>
        </w:rPr>
        <w:t xml:space="preserve"> by the criminal law based on “breach of loyalty”</w:t>
      </w:r>
      <w:r w:rsidR="00DF477F" w:rsidRPr="001125D7">
        <w:rPr>
          <w:rFonts w:asciiTheme="minorHAnsi" w:hAnsiTheme="minorHAnsi" w:cstheme="minorHAnsi"/>
          <w:sz w:val="22"/>
          <w:szCs w:val="22"/>
        </w:rPr>
        <w:t>,</w:t>
      </w:r>
      <w:r w:rsidRPr="001125D7">
        <w:rPr>
          <w:rFonts w:asciiTheme="minorHAnsi" w:hAnsiTheme="minorHAnsi" w:cstheme="minorHAnsi"/>
          <w:sz w:val="22"/>
          <w:szCs w:val="22"/>
        </w:rPr>
        <w:t xml:space="preserve"> which is too vague </w:t>
      </w:r>
      <w:r w:rsidR="00DF477F" w:rsidRPr="001125D7">
        <w:rPr>
          <w:rFonts w:asciiTheme="minorHAnsi" w:hAnsiTheme="minorHAnsi" w:cstheme="minorHAnsi"/>
          <w:sz w:val="22"/>
          <w:szCs w:val="22"/>
        </w:rPr>
        <w:t xml:space="preserve">and overbroad </w:t>
      </w:r>
      <w:r w:rsidRPr="001125D7">
        <w:rPr>
          <w:rFonts w:asciiTheme="minorHAnsi" w:hAnsiTheme="minorHAnsi" w:cstheme="minorHAnsi"/>
          <w:sz w:val="22"/>
          <w:szCs w:val="22"/>
        </w:rPr>
        <w:t xml:space="preserve">to </w:t>
      </w:r>
      <w:r w:rsidR="00DF477F" w:rsidRPr="001125D7">
        <w:rPr>
          <w:rFonts w:asciiTheme="minorHAnsi" w:hAnsiTheme="minorHAnsi" w:cstheme="minorHAnsi"/>
          <w:sz w:val="22"/>
          <w:szCs w:val="22"/>
        </w:rPr>
        <w:t xml:space="preserve">serve </w:t>
      </w:r>
      <w:r w:rsidRPr="001125D7">
        <w:rPr>
          <w:rFonts w:asciiTheme="minorHAnsi" w:hAnsiTheme="minorHAnsi" w:cstheme="minorHAnsi"/>
          <w:sz w:val="22"/>
          <w:szCs w:val="22"/>
        </w:rPr>
        <w:t>as a justification for revoking an individual’s citizenship.</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4C5180" w:rsidRPr="001125D7" w:rsidRDefault="00DF477F" w:rsidP="004C5180">
      <w:pPr>
        <w:spacing w:after="160"/>
        <w:jc w:val="both"/>
        <w:textAlignment w:val="baseline"/>
        <w:rPr>
          <w:rFonts w:asciiTheme="minorHAnsi" w:hAnsiTheme="minorHAnsi" w:cstheme="minorHAnsi"/>
          <w:sz w:val="22"/>
          <w:szCs w:val="22"/>
        </w:rPr>
      </w:pPr>
      <w:r w:rsidRPr="001125D7">
        <w:rPr>
          <w:rFonts w:asciiTheme="minorHAnsi" w:hAnsiTheme="minorHAnsi" w:cstheme="minorHAnsi"/>
          <w:sz w:val="22"/>
          <w:szCs w:val="22"/>
        </w:rPr>
        <w:t>I</w:t>
      </w:r>
      <w:r w:rsidR="00903CF5" w:rsidRPr="001125D7">
        <w:rPr>
          <w:rFonts w:asciiTheme="minorHAnsi" w:hAnsiTheme="minorHAnsi" w:cstheme="minorHAnsi"/>
          <w:sz w:val="22"/>
          <w:szCs w:val="22"/>
        </w:rPr>
        <w:t>n 2018</w:t>
      </w:r>
      <w:r w:rsidRPr="001125D7">
        <w:rPr>
          <w:rFonts w:asciiTheme="minorHAnsi" w:hAnsiTheme="minorHAnsi" w:cstheme="minorHAnsi"/>
          <w:sz w:val="22"/>
          <w:szCs w:val="22"/>
        </w:rPr>
        <w:t xml:space="preserve">, the Knesset also passed an </w:t>
      </w:r>
      <w:r w:rsidR="00903CF5" w:rsidRPr="001125D7">
        <w:rPr>
          <w:rFonts w:asciiTheme="minorHAnsi" w:hAnsiTheme="minorHAnsi" w:cstheme="minorHAnsi"/>
          <w:sz w:val="22"/>
          <w:szCs w:val="22"/>
        </w:rPr>
        <w:t>amend</w:t>
      </w:r>
      <w:r w:rsidRPr="001125D7">
        <w:rPr>
          <w:rFonts w:asciiTheme="minorHAnsi" w:hAnsiTheme="minorHAnsi" w:cstheme="minorHAnsi"/>
          <w:sz w:val="22"/>
          <w:szCs w:val="22"/>
        </w:rPr>
        <w:t xml:space="preserve">ment to </w:t>
      </w:r>
      <w:r w:rsidR="00903CF5" w:rsidRPr="001125D7">
        <w:rPr>
          <w:rFonts w:asciiTheme="minorHAnsi" w:hAnsiTheme="minorHAnsi" w:cstheme="minorHAnsi"/>
          <w:sz w:val="22"/>
          <w:szCs w:val="22"/>
        </w:rPr>
        <w:t>the Entry into Israel Law (1952) (Amendment No. 30)</w:t>
      </w:r>
      <w:r w:rsidRPr="001125D7">
        <w:rPr>
          <w:rFonts w:asciiTheme="minorHAnsi" w:hAnsiTheme="minorHAnsi" w:cstheme="minorHAnsi"/>
          <w:sz w:val="22"/>
          <w:szCs w:val="22"/>
        </w:rPr>
        <w:t>, which</w:t>
      </w:r>
      <w:r w:rsidR="00903CF5" w:rsidRPr="001125D7">
        <w:rPr>
          <w:rFonts w:asciiTheme="minorHAnsi" w:hAnsiTheme="minorHAnsi" w:cstheme="minorHAnsi"/>
          <w:sz w:val="22"/>
          <w:szCs w:val="22"/>
        </w:rPr>
        <w:t xml:space="preserve"> allow</w:t>
      </w:r>
      <w:r w:rsidRPr="001125D7">
        <w:rPr>
          <w:rFonts w:asciiTheme="minorHAnsi" w:hAnsiTheme="minorHAnsi" w:cstheme="minorHAnsi"/>
          <w:sz w:val="22"/>
          <w:szCs w:val="22"/>
        </w:rPr>
        <w:t>s</w:t>
      </w:r>
      <w:r w:rsidR="00903CF5" w:rsidRPr="001125D7">
        <w:rPr>
          <w:rFonts w:asciiTheme="minorHAnsi" w:hAnsiTheme="minorHAnsi" w:cstheme="minorHAnsi"/>
          <w:sz w:val="22"/>
          <w:szCs w:val="22"/>
        </w:rPr>
        <w:t xml:space="preserve"> the Israeli interior minister to revoke the permanent residency status of any Palestinian </w:t>
      </w:r>
      <w:r w:rsidRPr="001125D7">
        <w:rPr>
          <w:rFonts w:asciiTheme="minorHAnsi" w:hAnsiTheme="minorHAnsi" w:cstheme="minorHAnsi"/>
          <w:sz w:val="22"/>
          <w:szCs w:val="22"/>
        </w:rPr>
        <w:t xml:space="preserve">for </w:t>
      </w:r>
      <w:r w:rsidR="00903CF5" w:rsidRPr="001125D7">
        <w:rPr>
          <w:rFonts w:asciiTheme="minorHAnsi" w:hAnsiTheme="minorHAnsi" w:cstheme="minorHAnsi"/>
          <w:sz w:val="22"/>
          <w:szCs w:val="22"/>
        </w:rPr>
        <w:t xml:space="preserve">"breach of loyalty" to Israel. </w:t>
      </w:r>
      <w:r w:rsidR="00867A54" w:rsidRPr="001125D7">
        <w:rPr>
          <w:rFonts w:asciiTheme="minorHAnsi" w:hAnsiTheme="minorHAnsi" w:cstheme="minorHAnsi"/>
          <w:sz w:val="22"/>
          <w:szCs w:val="22"/>
        </w:rPr>
        <w:t xml:space="preserve">Thus, with this </w:t>
      </w:r>
      <w:r w:rsidR="00903CF5" w:rsidRPr="001125D7">
        <w:rPr>
          <w:rFonts w:asciiTheme="minorHAnsi" w:hAnsiTheme="minorHAnsi" w:cstheme="minorHAnsi"/>
          <w:sz w:val="22"/>
          <w:szCs w:val="22"/>
        </w:rPr>
        <w:t>law</w:t>
      </w:r>
      <w:r w:rsidR="00867A54" w:rsidRPr="001125D7">
        <w:rPr>
          <w:rFonts w:asciiTheme="minorHAnsi" w:hAnsiTheme="minorHAnsi" w:cstheme="minorHAnsi"/>
          <w:sz w:val="22"/>
          <w:szCs w:val="22"/>
        </w:rPr>
        <w:t>, the</w:t>
      </w:r>
      <w:r w:rsidR="00903CF5" w:rsidRPr="001125D7">
        <w:rPr>
          <w:rFonts w:asciiTheme="minorHAnsi" w:hAnsiTheme="minorHAnsi" w:cstheme="minorHAnsi"/>
          <w:sz w:val="22"/>
          <w:szCs w:val="22"/>
        </w:rPr>
        <w:t xml:space="preserve"> </w:t>
      </w:r>
      <w:r w:rsidR="00867A54" w:rsidRPr="001125D7">
        <w:rPr>
          <w:rFonts w:asciiTheme="minorHAnsi" w:hAnsiTheme="minorHAnsi" w:cstheme="minorHAnsi"/>
          <w:sz w:val="22"/>
          <w:szCs w:val="22"/>
        </w:rPr>
        <w:t>i</w:t>
      </w:r>
      <w:r w:rsidR="00903CF5" w:rsidRPr="001125D7">
        <w:rPr>
          <w:rFonts w:asciiTheme="minorHAnsi" w:hAnsiTheme="minorHAnsi" w:cstheme="minorHAnsi"/>
          <w:sz w:val="22"/>
          <w:szCs w:val="22"/>
        </w:rPr>
        <w:t xml:space="preserve">nterior </w:t>
      </w:r>
      <w:r w:rsidR="00867A54" w:rsidRPr="001125D7">
        <w:rPr>
          <w:rFonts w:asciiTheme="minorHAnsi" w:hAnsiTheme="minorHAnsi" w:cstheme="minorHAnsi"/>
          <w:sz w:val="22"/>
          <w:szCs w:val="22"/>
        </w:rPr>
        <w:t>m</w:t>
      </w:r>
      <w:r w:rsidR="00903CF5" w:rsidRPr="001125D7">
        <w:rPr>
          <w:rFonts w:asciiTheme="minorHAnsi" w:hAnsiTheme="minorHAnsi" w:cstheme="minorHAnsi"/>
          <w:sz w:val="22"/>
          <w:szCs w:val="22"/>
        </w:rPr>
        <w:t xml:space="preserve">inister </w:t>
      </w:r>
      <w:r w:rsidR="00867A54" w:rsidRPr="001125D7">
        <w:rPr>
          <w:rFonts w:asciiTheme="minorHAnsi" w:hAnsiTheme="minorHAnsi" w:cstheme="minorHAnsi"/>
          <w:sz w:val="22"/>
          <w:szCs w:val="22"/>
        </w:rPr>
        <w:t xml:space="preserve">may </w:t>
      </w:r>
      <w:r w:rsidR="00903CF5" w:rsidRPr="001125D7">
        <w:rPr>
          <w:rFonts w:asciiTheme="minorHAnsi" w:hAnsiTheme="minorHAnsi" w:cstheme="minorHAnsi"/>
          <w:sz w:val="22"/>
          <w:szCs w:val="22"/>
        </w:rPr>
        <w:t xml:space="preserve">revoke the Israeli identity card and permanent residency status of East Jerusalem Palestinians, leading to </w:t>
      </w:r>
      <w:r w:rsidR="00867A54" w:rsidRPr="001125D7">
        <w:rPr>
          <w:rFonts w:asciiTheme="minorHAnsi" w:hAnsiTheme="minorHAnsi" w:cstheme="minorHAnsi"/>
          <w:sz w:val="22"/>
          <w:szCs w:val="22"/>
        </w:rPr>
        <w:t xml:space="preserve">their </w:t>
      </w:r>
      <w:r w:rsidR="00903CF5" w:rsidRPr="001125D7">
        <w:rPr>
          <w:rFonts w:asciiTheme="minorHAnsi" w:hAnsiTheme="minorHAnsi" w:cstheme="minorHAnsi"/>
          <w:sz w:val="22"/>
          <w:szCs w:val="22"/>
        </w:rPr>
        <w:t>eviction from the city of their birth</w:t>
      </w:r>
      <w:r w:rsidR="00867A54" w:rsidRPr="001125D7">
        <w:rPr>
          <w:rFonts w:asciiTheme="minorHAnsi" w:hAnsiTheme="minorHAnsi" w:cstheme="minorHAnsi"/>
          <w:sz w:val="22"/>
          <w:szCs w:val="22"/>
        </w:rPr>
        <w:t>,</w:t>
      </w:r>
      <w:r w:rsidR="00903CF5" w:rsidRPr="001125D7">
        <w:rPr>
          <w:rFonts w:asciiTheme="minorHAnsi" w:hAnsiTheme="minorHAnsi" w:cstheme="minorHAnsi"/>
          <w:sz w:val="22"/>
          <w:szCs w:val="22"/>
        </w:rPr>
        <w:t xml:space="preserve"> which is an occupied territory </w:t>
      </w:r>
      <w:r w:rsidR="00867A54" w:rsidRPr="001125D7">
        <w:rPr>
          <w:rFonts w:asciiTheme="minorHAnsi" w:hAnsiTheme="minorHAnsi" w:cstheme="minorHAnsi"/>
          <w:sz w:val="22"/>
          <w:szCs w:val="22"/>
        </w:rPr>
        <w:t>under i</w:t>
      </w:r>
      <w:r w:rsidR="00903CF5" w:rsidRPr="001125D7">
        <w:rPr>
          <w:rFonts w:asciiTheme="minorHAnsi" w:hAnsiTheme="minorHAnsi" w:cstheme="minorHAnsi"/>
          <w:sz w:val="22"/>
          <w:szCs w:val="22"/>
        </w:rPr>
        <w:t>nternational law</w:t>
      </w:r>
      <w:r w:rsidR="00867A54" w:rsidRPr="001125D7">
        <w:rPr>
          <w:rFonts w:asciiTheme="minorHAnsi" w:hAnsiTheme="minorHAnsi" w:cstheme="minorHAnsi"/>
          <w:sz w:val="22"/>
          <w:szCs w:val="22"/>
        </w:rPr>
        <w:t xml:space="preserve">. In the view of </w:t>
      </w:r>
      <w:proofErr w:type="spellStart"/>
      <w:r w:rsidR="00867A54" w:rsidRPr="001125D7">
        <w:rPr>
          <w:rFonts w:asciiTheme="minorHAnsi" w:hAnsiTheme="minorHAnsi" w:cstheme="minorHAnsi"/>
          <w:sz w:val="22"/>
          <w:szCs w:val="22"/>
        </w:rPr>
        <w:t>Adalah</w:t>
      </w:r>
      <w:proofErr w:type="spellEnd"/>
      <w:r w:rsidR="00867A54" w:rsidRPr="001125D7">
        <w:rPr>
          <w:rFonts w:asciiTheme="minorHAnsi" w:hAnsiTheme="minorHAnsi" w:cstheme="minorHAnsi"/>
          <w:sz w:val="22"/>
          <w:szCs w:val="22"/>
        </w:rPr>
        <w:t xml:space="preserve"> and numerous other human rights organizations, international humanitarian law forbids </w:t>
      </w:r>
      <w:r w:rsidR="00867A54" w:rsidRPr="001125D7">
        <w:rPr>
          <w:rFonts w:asciiTheme="minorHAnsi" w:hAnsiTheme="minorHAnsi" w:cstheme="minorHAnsi"/>
          <w:sz w:val="22"/>
          <w:szCs w:val="22"/>
        </w:rPr>
        <w:lastRenderedPageBreak/>
        <w:t>Israel</w:t>
      </w:r>
      <w:r w:rsidR="004C5180" w:rsidRPr="001125D7">
        <w:rPr>
          <w:rFonts w:asciiTheme="minorHAnsi" w:hAnsiTheme="minorHAnsi" w:cstheme="minorHAnsi"/>
          <w:sz w:val="22"/>
          <w:szCs w:val="22"/>
        </w:rPr>
        <w:t>, as an occupying power,</w:t>
      </w:r>
      <w:r w:rsidR="00867A54" w:rsidRPr="001125D7">
        <w:rPr>
          <w:rFonts w:asciiTheme="minorHAnsi" w:hAnsiTheme="minorHAnsi" w:cstheme="minorHAnsi"/>
          <w:sz w:val="22"/>
          <w:szCs w:val="22"/>
        </w:rPr>
        <w:t xml:space="preserve"> from imposing an obligation of loyalty upon </w:t>
      </w:r>
      <w:r w:rsidR="001125D7" w:rsidRPr="001125D7">
        <w:rPr>
          <w:rFonts w:asciiTheme="minorHAnsi" w:hAnsiTheme="minorHAnsi" w:cstheme="minorHAnsi"/>
          <w:sz w:val="22"/>
          <w:szCs w:val="22"/>
        </w:rPr>
        <w:t xml:space="preserve">the </w:t>
      </w:r>
      <w:r w:rsidR="00867A54" w:rsidRPr="001125D7">
        <w:rPr>
          <w:rFonts w:asciiTheme="minorHAnsi" w:hAnsiTheme="minorHAnsi" w:cstheme="minorHAnsi"/>
          <w:sz w:val="22"/>
          <w:szCs w:val="22"/>
        </w:rPr>
        <w:t xml:space="preserve">occupied population, </w:t>
      </w:r>
      <w:r w:rsidR="001125D7" w:rsidRPr="001125D7">
        <w:rPr>
          <w:rFonts w:asciiTheme="minorHAnsi" w:hAnsiTheme="minorHAnsi" w:cstheme="minorHAnsi"/>
          <w:sz w:val="22"/>
          <w:szCs w:val="22"/>
        </w:rPr>
        <w:t xml:space="preserve">including </w:t>
      </w:r>
      <w:r w:rsidR="00867A54" w:rsidRPr="001125D7">
        <w:rPr>
          <w:rFonts w:asciiTheme="minorHAnsi" w:hAnsiTheme="minorHAnsi" w:cstheme="minorHAnsi"/>
          <w:sz w:val="22"/>
          <w:szCs w:val="22"/>
        </w:rPr>
        <w:t>Palestinian residents of occupied East Jerusalem.</w:t>
      </w:r>
      <w:r w:rsidR="004C5180" w:rsidRPr="001125D7">
        <w:rPr>
          <w:rStyle w:val="FootnoteReference"/>
          <w:rFonts w:asciiTheme="minorHAnsi" w:hAnsiTheme="minorHAnsi" w:cstheme="minorHAnsi"/>
          <w:sz w:val="22"/>
          <w:szCs w:val="22"/>
        </w:rPr>
        <w:footnoteReference w:id="15"/>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 xml:space="preserve">The law was </w:t>
      </w:r>
      <w:r w:rsidR="00867A54" w:rsidRPr="001125D7">
        <w:rPr>
          <w:rFonts w:asciiTheme="minorHAnsi" w:hAnsiTheme="minorHAnsi" w:cstheme="minorHAnsi"/>
          <w:sz w:val="22"/>
          <w:szCs w:val="22"/>
        </w:rPr>
        <w:t xml:space="preserve">passed </w:t>
      </w:r>
      <w:r w:rsidRPr="001125D7">
        <w:rPr>
          <w:rFonts w:asciiTheme="minorHAnsi" w:hAnsiTheme="minorHAnsi" w:cstheme="minorHAnsi"/>
          <w:sz w:val="22"/>
          <w:szCs w:val="22"/>
        </w:rPr>
        <w:t>following an Israeli Supreme Court decision of 13 September 2017 to accept a petition filed against the revocation of Israeli residency permits of four Palestinian parliamentarians from East Jerusalem.</w:t>
      </w:r>
      <w:r w:rsidR="00867A54" w:rsidRPr="001125D7">
        <w:rPr>
          <w:rStyle w:val="FootnoteReference"/>
          <w:rFonts w:asciiTheme="minorHAnsi" w:hAnsiTheme="minorHAnsi" w:cstheme="minorHAnsi"/>
          <w:sz w:val="22"/>
          <w:szCs w:val="22"/>
        </w:rPr>
        <w:footnoteReference w:id="16"/>
      </w:r>
      <w:r w:rsidRPr="001125D7">
        <w:rPr>
          <w:rFonts w:asciiTheme="minorHAnsi" w:hAnsiTheme="minorHAnsi" w:cstheme="minorHAnsi"/>
          <w:sz w:val="22"/>
          <w:szCs w:val="22"/>
        </w:rPr>
        <w:t xml:space="preserve"> The court ruled </w:t>
      </w:r>
      <w:r w:rsidR="00867A54" w:rsidRPr="001125D7">
        <w:rPr>
          <w:rFonts w:asciiTheme="minorHAnsi" w:hAnsiTheme="minorHAnsi" w:cstheme="minorHAnsi"/>
          <w:sz w:val="22"/>
          <w:szCs w:val="22"/>
        </w:rPr>
        <w:t xml:space="preserve">in this case </w:t>
      </w:r>
      <w:r w:rsidRPr="001125D7">
        <w:rPr>
          <w:rFonts w:asciiTheme="minorHAnsi" w:hAnsiTheme="minorHAnsi" w:cstheme="minorHAnsi"/>
          <w:sz w:val="22"/>
          <w:szCs w:val="22"/>
        </w:rPr>
        <w:t>that there was no law that granted the interior ministry authority to revoke residency status for "breach of loyalty."</w:t>
      </w: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p>
    <w:p w:rsidR="00903CF5" w:rsidRPr="001125D7" w:rsidRDefault="00903CF5" w:rsidP="00903C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sz w:val="22"/>
          <w:szCs w:val="22"/>
        </w:rPr>
      </w:pPr>
      <w:r w:rsidRPr="001125D7">
        <w:rPr>
          <w:rFonts w:asciiTheme="minorHAnsi" w:hAnsiTheme="minorHAnsi" w:cstheme="minorHAnsi"/>
          <w:sz w:val="22"/>
          <w:szCs w:val="22"/>
        </w:rPr>
        <w:t xml:space="preserve">International law </w:t>
      </w:r>
      <w:r w:rsidR="004C5180" w:rsidRPr="001125D7">
        <w:rPr>
          <w:rFonts w:asciiTheme="minorHAnsi" w:hAnsiTheme="minorHAnsi" w:cstheme="minorHAnsi"/>
          <w:sz w:val="22"/>
          <w:szCs w:val="22"/>
        </w:rPr>
        <w:t xml:space="preserve">abhors </w:t>
      </w:r>
      <w:r w:rsidRPr="001125D7">
        <w:rPr>
          <w:rFonts w:asciiTheme="minorHAnsi" w:hAnsiTheme="minorHAnsi" w:cstheme="minorHAnsi"/>
          <w:sz w:val="22"/>
          <w:szCs w:val="22"/>
        </w:rPr>
        <w:t xml:space="preserve">the revocation of citizenship, effectively leaving a person stateless, as established in various conventions such as the Article 5 of the CERD, and other international instruments such as Universal Declaration of Human Rights, the </w:t>
      </w:r>
      <w:r w:rsidRPr="00095DCD">
        <w:rPr>
          <w:rFonts w:asciiTheme="minorHAnsi" w:hAnsiTheme="minorHAnsi" w:cstheme="minorHAnsi"/>
          <w:sz w:val="22"/>
          <w:szCs w:val="22"/>
        </w:rPr>
        <w:t>Convention Relating to the Status of Stateless Persons, and the Convention on the Reduction of Statelessness, all of which Israel has signed.</w:t>
      </w:r>
      <w:r w:rsidRPr="001125D7">
        <w:rPr>
          <w:rFonts w:asciiTheme="minorHAnsi" w:hAnsiTheme="minorHAnsi" w:cstheme="minorHAnsi"/>
          <w:sz w:val="22"/>
          <w:szCs w:val="22"/>
        </w:rPr>
        <w:t xml:space="preserve"> </w:t>
      </w:r>
    </w:p>
    <w:p w:rsidR="00903CF5" w:rsidRPr="001125D7" w:rsidRDefault="00903CF5" w:rsidP="00903CF5">
      <w:pPr>
        <w:jc w:val="both"/>
        <w:rPr>
          <w:rFonts w:asciiTheme="minorHAnsi" w:hAnsiTheme="minorHAnsi" w:cstheme="minorHAnsi"/>
          <w:sz w:val="22"/>
          <w:szCs w:val="22"/>
        </w:rPr>
      </w:pPr>
    </w:p>
    <w:p w:rsidR="001125D7" w:rsidRPr="00BA7368" w:rsidRDefault="00D31220" w:rsidP="00BA7368">
      <w:pPr>
        <w:pStyle w:val="ListParagraph"/>
        <w:numPr>
          <w:ilvl w:val="0"/>
          <w:numId w:val="7"/>
        </w:numPr>
        <w:jc w:val="both"/>
        <w:rPr>
          <w:rFonts w:asciiTheme="minorHAnsi" w:hAnsiTheme="minorHAnsi" w:cstheme="minorHAnsi"/>
          <w:b/>
          <w:bCs/>
          <w:sz w:val="22"/>
          <w:szCs w:val="22"/>
          <w:u w:val="single"/>
        </w:rPr>
      </w:pPr>
      <w:r w:rsidRPr="00BA7368">
        <w:rPr>
          <w:rFonts w:asciiTheme="minorHAnsi" w:hAnsiTheme="minorHAnsi" w:cstheme="minorHAnsi"/>
          <w:b/>
          <w:bCs/>
          <w:sz w:val="22"/>
          <w:szCs w:val="22"/>
          <w:u w:val="single"/>
        </w:rPr>
        <w:t xml:space="preserve">Violations of the Rights to </w:t>
      </w:r>
      <w:r w:rsidR="00903CF5" w:rsidRPr="00BA7368">
        <w:rPr>
          <w:rFonts w:asciiTheme="minorHAnsi" w:hAnsiTheme="minorHAnsi" w:cstheme="minorHAnsi"/>
          <w:b/>
          <w:bCs/>
          <w:sz w:val="22"/>
          <w:szCs w:val="22"/>
          <w:u w:val="single"/>
        </w:rPr>
        <w:t xml:space="preserve">Political </w:t>
      </w:r>
      <w:r w:rsidRPr="00BA7368">
        <w:rPr>
          <w:rFonts w:asciiTheme="minorHAnsi" w:hAnsiTheme="minorHAnsi" w:cstheme="minorHAnsi"/>
          <w:b/>
          <w:bCs/>
          <w:sz w:val="22"/>
          <w:szCs w:val="22"/>
          <w:u w:val="single"/>
        </w:rPr>
        <w:t>Participation of Palestinian Citizens of Israel</w:t>
      </w:r>
    </w:p>
    <w:p w:rsidR="00EB0272" w:rsidRDefault="00EB0272" w:rsidP="00903CF5">
      <w:pPr>
        <w:jc w:val="both"/>
        <w:rPr>
          <w:rFonts w:asciiTheme="minorHAnsi" w:hAnsiTheme="minorHAnsi" w:cstheme="minorHAnsi"/>
          <w:b/>
          <w:bCs/>
          <w:i/>
          <w:iCs/>
          <w:sz w:val="22"/>
          <w:szCs w:val="22"/>
        </w:rPr>
      </w:pPr>
    </w:p>
    <w:p w:rsidR="00C10CF9" w:rsidRPr="001125D7" w:rsidRDefault="00C10CF9" w:rsidP="00903CF5">
      <w:pPr>
        <w:jc w:val="both"/>
        <w:rPr>
          <w:rFonts w:asciiTheme="minorHAnsi" w:hAnsiTheme="minorHAnsi" w:cstheme="minorHAnsi"/>
          <w:b/>
          <w:bCs/>
          <w:i/>
          <w:iCs/>
          <w:sz w:val="22"/>
          <w:szCs w:val="22"/>
        </w:rPr>
      </w:pPr>
      <w:r w:rsidRPr="001125D7">
        <w:rPr>
          <w:rFonts w:asciiTheme="minorHAnsi" w:hAnsiTheme="minorHAnsi" w:cstheme="minorHAnsi"/>
          <w:b/>
          <w:bCs/>
          <w:i/>
          <w:iCs/>
          <w:sz w:val="22"/>
          <w:szCs w:val="22"/>
        </w:rPr>
        <w:t xml:space="preserve">New </w:t>
      </w:r>
      <w:r w:rsidR="00BA7368">
        <w:rPr>
          <w:rFonts w:asciiTheme="minorHAnsi" w:hAnsiTheme="minorHAnsi" w:cstheme="minorHAnsi"/>
          <w:b/>
          <w:bCs/>
          <w:i/>
          <w:iCs/>
          <w:sz w:val="22"/>
          <w:szCs w:val="22"/>
        </w:rPr>
        <w:t xml:space="preserve">laws </w:t>
      </w:r>
      <w:r w:rsidRPr="001125D7">
        <w:rPr>
          <w:rFonts w:asciiTheme="minorHAnsi" w:hAnsiTheme="minorHAnsi" w:cstheme="minorHAnsi"/>
          <w:b/>
          <w:bCs/>
          <w:i/>
          <w:iCs/>
          <w:sz w:val="22"/>
          <w:szCs w:val="22"/>
        </w:rPr>
        <w:t xml:space="preserve">and policies aimed at reducing the political participation of Palestinian citizens in Israel </w:t>
      </w:r>
    </w:p>
    <w:p w:rsidR="001125D7" w:rsidRPr="001125D7" w:rsidRDefault="001125D7" w:rsidP="00C10CF9">
      <w:pPr>
        <w:jc w:val="both"/>
        <w:rPr>
          <w:rFonts w:asciiTheme="minorHAnsi" w:hAnsiTheme="minorHAnsi" w:cstheme="minorHAnsi"/>
          <w:sz w:val="22"/>
          <w:szCs w:val="22"/>
        </w:rPr>
      </w:pPr>
    </w:p>
    <w:p w:rsidR="001125D7" w:rsidRPr="001125D7" w:rsidRDefault="00C10CF9" w:rsidP="001125D7">
      <w:pPr>
        <w:jc w:val="both"/>
        <w:rPr>
          <w:rFonts w:asciiTheme="minorHAnsi" w:hAnsiTheme="minorHAnsi" w:cstheme="minorHAnsi"/>
          <w:sz w:val="22"/>
          <w:szCs w:val="22"/>
        </w:rPr>
      </w:pPr>
      <w:r w:rsidRPr="001125D7">
        <w:rPr>
          <w:rFonts w:asciiTheme="minorHAnsi" w:hAnsiTheme="minorHAnsi" w:cstheme="minorHAnsi"/>
          <w:sz w:val="22"/>
          <w:szCs w:val="22"/>
        </w:rPr>
        <w:t>Since the Committee’s last review of Israel</w:t>
      </w:r>
      <w:r w:rsidR="001125D7" w:rsidRPr="001125D7">
        <w:rPr>
          <w:rFonts w:asciiTheme="minorHAnsi" w:hAnsiTheme="minorHAnsi" w:cstheme="minorHAnsi"/>
          <w:sz w:val="22"/>
          <w:szCs w:val="22"/>
        </w:rPr>
        <w:t xml:space="preserve"> in 2012</w:t>
      </w:r>
      <w:r w:rsidRPr="001125D7">
        <w:rPr>
          <w:rFonts w:asciiTheme="minorHAnsi" w:hAnsiTheme="minorHAnsi" w:cstheme="minorHAnsi"/>
          <w:sz w:val="22"/>
          <w:szCs w:val="22"/>
        </w:rPr>
        <w:t xml:space="preserve">, the </w:t>
      </w:r>
      <w:r w:rsidR="001125D7" w:rsidRPr="001125D7">
        <w:rPr>
          <w:rFonts w:asciiTheme="minorHAnsi" w:hAnsiTheme="minorHAnsi" w:cstheme="minorHAnsi"/>
          <w:sz w:val="22"/>
          <w:szCs w:val="22"/>
        </w:rPr>
        <w:t xml:space="preserve">Knesset has enacted </w:t>
      </w:r>
      <w:r w:rsidRPr="001125D7">
        <w:rPr>
          <w:rFonts w:asciiTheme="minorHAnsi" w:hAnsiTheme="minorHAnsi" w:cstheme="minorHAnsi"/>
          <w:sz w:val="22"/>
          <w:szCs w:val="22"/>
        </w:rPr>
        <w:t xml:space="preserve">the following new </w:t>
      </w:r>
      <w:r w:rsidR="001125D7" w:rsidRPr="001125D7">
        <w:rPr>
          <w:rFonts w:asciiTheme="minorHAnsi" w:hAnsiTheme="minorHAnsi" w:cstheme="minorHAnsi"/>
          <w:sz w:val="22"/>
          <w:szCs w:val="22"/>
        </w:rPr>
        <w:t xml:space="preserve">laws, </w:t>
      </w:r>
      <w:r w:rsidRPr="001125D7">
        <w:rPr>
          <w:rFonts w:asciiTheme="minorHAnsi" w:hAnsiTheme="minorHAnsi" w:cstheme="minorHAnsi"/>
          <w:sz w:val="22"/>
          <w:szCs w:val="22"/>
        </w:rPr>
        <w:t>which all share the common goal of delegitimizing the elected representatives of Palestinian citizens of Israel and limiting their participation in the national political life of the state as individuals and as a national minority group.</w:t>
      </w:r>
      <w:r w:rsidR="00C603B0">
        <w:rPr>
          <w:rStyle w:val="FootnoteReference"/>
          <w:rFonts w:asciiTheme="minorHAnsi" w:hAnsiTheme="minorHAnsi" w:cstheme="minorHAnsi"/>
          <w:sz w:val="22"/>
          <w:szCs w:val="22"/>
        </w:rPr>
        <w:footnoteReference w:id="17"/>
      </w:r>
    </w:p>
    <w:p w:rsidR="001125D7" w:rsidRPr="001125D7" w:rsidRDefault="001125D7" w:rsidP="001125D7">
      <w:pPr>
        <w:jc w:val="both"/>
        <w:rPr>
          <w:rFonts w:asciiTheme="minorHAnsi" w:hAnsiTheme="minorHAnsi" w:cstheme="minorHAnsi"/>
          <w:sz w:val="22"/>
          <w:szCs w:val="22"/>
        </w:rPr>
      </w:pPr>
    </w:p>
    <w:p w:rsidR="00C10CF9" w:rsidRPr="001125D7" w:rsidRDefault="00C10CF9" w:rsidP="00C10CF9">
      <w:pPr>
        <w:pStyle w:val="FootnoteText"/>
        <w:spacing w:after="160"/>
        <w:jc w:val="both"/>
        <w:rPr>
          <w:rFonts w:asciiTheme="minorHAnsi" w:hAnsiTheme="minorHAnsi" w:cstheme="minorHAnsi"/>
          <w:sz w:val="22"/>
          <w:szCs w:val="22"/>
        </w:rPr>
      </w:pPr>
      <w:r w:rsidRPr="001125D7">
        <w:rPr>
          <w:rFonts w:asciiTheme="minorHAnsi" w:hAnsiTheme="minorHAnsi" w:cstheme="minorHAnsi"/>
          <w:b/>
          <w:bCs/>
          <w:i/>
          <w:iCs/>
          <w:sz w:val="22"/>
          <w:szCs w:val="22"/>
        </w:rPr>
        <w:t>The Electoral Threshold Law – 2014:</w:t>
      </w:r>
      <w:r w:rsidRPr="001125D7">
        <w:rPr>
          <w:rStyle w:val="FootnoteReference"/>
          <w:rFonts w:asciiTheme="minorHAnsi" w:hAnsiTheme="minorHAnsi" w:cstheme="minorHAnsi"/>
          <w:b/>
          <w:bCs/>
          <w:i/>
          <w:iCs/>
          <w:sz w:val="22"/>
          <w:szCs w:val="22"/>
        </w:rPr>
        <w:footnoteReference w:id="18"/>
      </w:r>
      <w:r w:rsidRPr="001125D7">
        <w:rPr>
          <w:rFonts w:asciiTheme="minorHAnsi" w:hAnsiTheme="minorHAnsi" w:cstheme="minorHAnsi"/>
          <w:b/>
          <w:bCs/>
          <w:sz w:val="22"/>
          <w:szCs w:val="22"/>
        </w:rPr>
        <w:t xml:space="preserve"> </w:t>
      </w:r>
      <w:r w:rsidRPr="001125D7">
        <w:rPr>
          <w:rFonts w:asciiTheme="minorHAnsi" w:hAnsiTheme="minorHAnsi" w:cstheme="minorHAnsi"/>
          <w:sz w:val="22"/>
          <w:szCs w:val="22"/>
        </w:rPr>
        <w:t>The Knesset amended the Election Law in 2014 to raise the threshold required of political parties to enter the parliament from 2% to 3.25%, ahead of the March 2015 Israeli general elections. The goal behind this anti-democratic law was to substantially weaken or exclude the three main Arab political parties, which ran separately for the Knesset, with each attaining three-to-four seats. In response to the new law, the Arab parties decided to run together as a single slate – called the Joint List (</w:t>
      </w:r>
      <w:r w:rsidRPr="001125D7">
        <w:rPr>
          <w:rFonts w:asciiTheme="minorHAnsi" w:hAnsiTheme="minorHAnsi" w:cstheme="minorHAnsi"/>
          <w:i/>
          <w:iCs/>
          <w:sz w:val="22"/>
          <w:szCs w:val="22"/>
        </w:rPr>
        <w:t>al-</w:t>
      </w:r>
      <w:proofErr w:type="spellStart"/>
      <w:r w:rsidRPr="001125D7">
        <w:rPr>
          <w:rFonts w:asciiTheme="minorHAnsi" w:hAnsiTheme="minorHAnsi" w:cstheme="minorHAnsi"/>
          <w:i/>
          <w:iCs/>
          <w:sz w:val="22"/>
          <w:szCs w:val="22"/>
        </w:rPr>
        <w:t>Qa’imah</w:t>
      </w:r>
      <w:proofErr w:type="spellEnd"/>
      <w:r w:rsidRPr="001125D7">
        <w:rPr>
          <w:rFonts w:asciiTheme="minorHAnsi" w:hAnsiTheme="minorHAnsi" w:cstheme="minorHAnsi"/>
          <w:i/>
          <w:iCs/>
          <w:sz w:val="22"/>
          <w:szCs w:val="22"/>
        </w:rPr>
        <w:t xml:space="preserve"> al-</w:t>
      </w:r>
      <w:proofErr w:type="spellStart"/>
      <w:r w:rsidRPr="001125D7">
        <w:rPr>
          <w:rFonts w:asciiTheme="minorHAnsi" w:hAnsiTheme="minorHAnsi" w:cstheme="minorHAnsi"/>
          <w:i/>
          <w:iCs/>
          <w:sz w:val="22"/>
          <w:szCs w:val="22"/>
        </w:rPr>
        <w:t>Mushtarakah</w:t>
      </w:r>
      <w:proofErr w:type="spellEnd"/>
      <w:r w:rsidRPr="001125D7">
        <w:rPr>
          <w:rFonts w:asciiTheme="minorHAnsi" w:hAnsiTheme="minorHAnsi" w:cstheme="minorHAnsi"/>
          <w:sz w:val="22"/>
          <w:szCs w:val="22"/>
        </w:rPr>
        <w:t xml:space="preserve"> in Arabic) – despite their political and ideological differences (socialist-secular, religious, nationalist, etc.). </w:t>
      </w:r>
      <w:proofErr w:type="spellStart"/>
      <w:r w:rsidRPr="001125D7">
        <w:rPr>
          <w:rFonts w:asciiTheme="minorHAnsi" w:hAnsiTheme="minorHAnsi" w:cstheme="minorHAnsi"/>
          <w:sz w:val="22"/>
          <w:szCs w:val="22"/>
        </w:rPr>
        <w:t>Adalah</w:t>
      </w:r>
      <w:proofErr w:type="spellEnd"/>
      <w:r w:rsidRPr="001125D7">
        <w:rPr>
          <w:rFonts w:asciiTheme="minorHAnsi" w:hAnsiTheme="minorHAnsi" w:cstheme="minorHAnsi"/>
          <w:sz w:val="22"/>
          <w:szCs w:val="22"/>
        </w:rPr>
        <w:t xml:space="preserve"> and the Association for Civil Rights in Israel (ACRI) submitted an </w:t>
      </w:r>
      <w:r w:rsidRPr="001125D7">
        <w:rPr>
          <w:rFonts w:asciiTheme="minorHAnsi" w:hAnsiTheme="minorHAnsi" w:cstheme="minorHAnsi"/>
          <w:i/>
          <w:sz w:val="22"/>
          <w:szCs w:val="22"/>
        </w:rPr>
        <w:t>amicus curiae</w:t>
      </w:r>
      <w:r w:rsidRPr="001125D7">
        <w:rPr>
          <w:rFonts w:asciiTheme="minorHAnsi" w:hAnsiTheme="minorHAnsi" w:cstheme="minorHAnsi"/>
          <w:sz w:val="22"/>
          <w:szCs w:val="22"/>
        </w:rPr>
        <w:t xml:space="preserve"> opinion arguing for the unconstitutionality of the new law before the Supreme Court, which dismissed the case in an 8-1 vote in January 2015.</w:t>
      </w:r>
      <w:r w:rsidRPr="001125D7">
        <w:rPr>
          <w:rStyle w:val="FootnoteReference"/>
          <w:rFonts w:asciiTheme="minorHAnsi" w:hAnsiTheme="minorHAnsi" w:cstheme="minorHAnsi"/>
          <w:sz w:val="22"/>
          <w:szCs w:val="22"/>
        </w:rPr>
        <w:footnoteReference w:id="19"/>
      </w:r>
      <w:r w:rsidRPr="001125D7">
        <w:rPr>
          <w:rFonts w:asciiTheme="minorHAnsi" w:hAnsiTheme="minorHAnsi" w:cstheme="minorHAnsi"/>
          <w:sz w:val="22"/>
          <w:szCs w:val="22"/>
        </w:rPr>
        <w:t xml:space="preserve"> </w:t>
      </w:r>
      <w:r w:rsidR="00BA7368">
        <w:rPr>
          <w:rFonts w:cstheme="minorHAnsi"/>
          <w:sz w:val="22"/>
          <w:szCs w:val="22"/>
        </w:rPr>
        <w:t>T</w:t>
      </w:r>
      <w:r w:rsidRPr="001125D7">
        <w:rPr>
          <w:rFonts w:asciiTheme="minorHAnsi" w:hAnsiTheme="minorHAnsi" w:cstheme="minorHAnsi"/>
          <w:sz w:val="22"/>
          <w:szCs w:val="22"/>
        </w:rPr>
        <w:t xml:space="preserve">he law </w:t>
      </w:r>
      <w:r w:rsidR="00BA7368">
        <w:rPr>
          <w:rFonts w:cstheme="minorHAnsi"/>
          <w:sz w:val="22"/>
          <w:szCs w:val="22"/>
        </w:rPr>
        <w:t xml:space="preserve">has </w:t>
      </w:r>
      <w:r w:rsidRPr="001125D7">
        <w:rPr>
          <w:rFonts w:asciiTheme="minorHAnsi" w:hAnsiTheme="minorHAnsi" w:cstheme="minorHAnsi"/>
          <w:sz w:val="22"/>
          <w:szCs w:val="22"/>
        </w:rPr>
        <w:t xml:space="preserve">forced Palestinian citizens of Israel to forfeit their right to multi-party representation, </w:t>
      </w:r>
      <w:r w:rsidRPr="001125D7">
        <w:rPr>
          <w:rFonts w:asciiTheme="minorHAnsi" w:hAnsiTheme="minorHAnsi" w:cstheme="minorHAnsi"/>
          <w:sz w:val="22"/>
          <w:szCs w:val="22"/>
        </w:rPr>
        <w:lastRenderedPageBreak/>
        <w:t xml:space="preserve">with different ideologies and platforms, and to integrate their four main political parties into a single </w:t>
      </w:r>
      <w:r w:rsidR="00BA7368">
        <w:rPr>
          <w:rFonts w:cstheme="minorHAnsi"/>
          <w:sz w:val="22"/>
          <w:szCs w:val="22"/>
        </w:rPr>
        <w:t xml:space="preserve">list or into two </w:t>
      </w:r>
      <w:r w:rsidRPr="001125D7">
        <w:rPr>
          <w:rFonts w:asciiTheme="minorHAnsi" w:hAnsiTheme="minorHAnsi" w:cstheme="minorHAnsi"/>
          <w:sz w:val="22"/>
          <w:szCs w:val="22"/>
        </w:rPr>
        <w:t>electoral list</w:t>
      </w:r>
      <w:r w:rsidR="00BA7368">
        <w:rPr>
          <w:rFonts w:cstheme="minorHAnsi"/>
          <w:sz w:val="22"/>
          <w:szCs w:val="22"/>
        </w:rPr>
        <w:t>s, with the latter just barely passing the threshold</w:t>
      </w:r>
      <w:r w:rsidRPr="001125D7">
        <w:rPr>
          <w:rFonts w:asciiTheme="minorHAnsi" w:hAnsiTheme="minorHAnsi" w:cstheme="minorHAnsi"/>
          <w:sz w:val="22"/>
          <w:szCs w:val="22"/>
        </w:rPr>
        <w:t>.</w:t>
      </w:r>
    </w:p>
    <w:p w:rsidR="00614843" w:rsidRPr="00614843" w:rsidRDefault="00C10CF9" w:rsidP="00614843">
      <w:pPr>
        <w:jc w:val="both"/>
        <w:rPr>
          <w:rFonts w:asciiTheme="minorHAnsi" w:hAnsiTheme="minorHAnsi" w:cstheme="minorHAnsi"/>
          <w:sz w:val="22"/>
          <w:szCs w:val="22"/>
        </w:rPr>
      </w:pPr>
      <w:r w:rsidRPr="00614843">
        <w:rPr>
          <w:rFonts w:asciiTheme="minorHAnsi" w:hAnsiTheme="minorHAnsi" w:cstheme="minorHAnsi"/>
          <w:b/>
          <w:bCs/>
          <w:i/>
          <w:iCs/>
          <w:sz w:val="22"/>
          <w:szCs w:val="22"/>
        </w:rPr>
        <w:t>The Expulsion of MKs Law – 2016:</w:t>
      </w:r>
      <w:r w:rsidRPr="00614843">
        <w:rPr>
          <w:rFonts w:asciiTheme="minorHAnsi" w:hAnsiTheme="minorHAnsi" w:cstheme="minorHAnsi"/>
          <w:i/>
          <w:iCs/>
          <w:color w:val="000000" w:themeColor="text1"/>
          <w:sz w:val="22"/>
          <w:szCs w:val="22"/>
          <w:vertAlign w:val="superscript"/>
        </w:rPr>
        <w:footnoteReference w:id="20"/>
      </w:r>
      <w:r w:rsidRPr="00614843">
        <w:rPr>
          <w:rFonts w:asciiTheme="minorHAnsi" w:hAnsiTheme="minorHAnsi" w:cstheme="minorHAnsi"/>
          <w:b/>
          <w:bCs/>
          <w:sz w:val="22"/>
          <w:szCs w:val="22"/>
        </w:rPr>
        <w:t xml:space="preserve"> </w:t>
      </w:r>
      <w:r w:rsidRPr="00614843">
        <w:rPr>
          <w:rFonts w:asciiTheme="minorHAnsi" w:hAnsiTheme="minorHAnsi" w:cstheme="minorHAnsi"/>
          <w:sz w:val="22"/>
          <w:szCs w:val="22"/>
        </w:rPr>
        <w:t>This law, enacted by the Knesset on 20 July 2016, allows a majority of 90 Knesset Members (MKs) to oust a serving MK for the full period of the Knesset’s remaining term on the following two grounds,</w:t>
      </w:r>
      <w:r w:rsidRPr="00614843">
        <w:rPr>
          <w:rFonts w:asciiTheme="minorHAnsi" w:hAnsiTheme="minorHAnsi" w:cstheme="minorHAnsi"/>
          <w:sz w:val="22"/>
          <w:szCs w:val="22"/>
          <w:highlight w:val="white"/>
        </w:rPr>
        <w:t xml:space="preserve"> </w:t>
      </w:r>
      <w:r w:rsidRPr="00614843">
        <w:rPr>
          <w:rFonts w:asciiTheme="minorHAnsi" w:hAnsiTheme="minorHAnsi" w:cstheme="minorHAnsi"/>
          <w:sz w:val="22"/>
          <w:szCs w:val="22"/>
        </w:rPr>
        <w:t>as enumerated in Section 7A of the Basic Law: The Knesset: (1) incitement to racism; and/or (2) support for armed struggle of an enemy state or a terrorist organization against Israel.</w:t>
      </w:r>
      <w:r w:rsidRPr="00614843">
        <w:rPr>
          <w:rFonts w:asciiTheme="minorHAnsi" w:hAnsiTheme="minorHAnsi" w:cstheme="minorHAnsi"/>
          <w:sz w:val="22"/>
          <w:szCs w:val="22"/>
          <w:highlight w:val="white"/>
        </w:rPr>
        <w:t xml:space="preserve"> </w:t>
      </w:r>
      <w:r w:rsidRPr="00614843">
        <w:rPr>
          <w:rFonts w:asciiTheme="minorHAnsi" w:hAnsiTheme="minorHAnsi" w:cstheme="minorHAnsi"/>
          <w:sz w:val="22"/>
          <w:szCs w:val="22"/>
        </w:rPr>
        <w:t>It presents a grave danger to the most basic civil rights in a democratic society: the right to vote and the right to be elected, and threatens to further restrict the space currently allowed for freedom of expression.</w:t>
      </w:r>
      <w:r w:rsidRPr="00614843">
        <w:rPr>
          <w:rFonts w:asciiTheme="minorHAnsi" w:hAnsiTheme="minorHAnsi" w:cstheme="minorHAnsi"/>
          <w:sz w:val="22"/>
          <w:szCs w:val="22"/>
          <w:vertAlign w:val="superscript"/>
        </w:rPr>
        <w:footnoteReference w:id="21"/>
      </w:r>
      <w:r w:rsidRPr="00614843">
        <w:rPr>
          <w:rFonts w:asciiTheme="minorHAnsi" w:hAnsiTheme="minorHAnsi" w:cstheme="minorHAnsi"/>
          <w:sz w:val="22"/>
          <w:szCs w:val="22"/>
        </w:rPr>
        <w:t xml:space="preserve"> The law stipulates that when the Knesset decides on an expulsion, the statements of the “suspect” MK will also be examined and not only their aims or actions. It would therefore allow the Israeli Jewish majority in the Knesset to oust elected Arab MKs and political lists on the basis of purely political/ideological considerations, despite the clear conflict of interest entailed in MKs voting to unseat their political rivals. In the case of a criminal offense, standing MKs can already be expelled from the Knesset for a conviction with moral turpitude under existing provisions of the Basic Law: The Knesset and the law is therefore superfluous and not fit for this purpose. </w:t>
      </w:r>
      <w:r w:rsidR="00614843" w:rsidRPr="00614843">
        <w:rPr>
          <w:rStyle w:val="apple-converted-space"/>
          <w:rFonts w:asciiTheme="minorHAnsi" w:hAnsiTheme="minorHAnsi" w:cstheme="minorHAnsi"/>
          <w:color w:val="000000"/>
          <w:sz w:val="22"/>
          <w:szCs w:val="22"/>
          <w:shd w:val="clear" w:color="auto" w:fill="FFFFFF"/>
        </w:rPr>
        <w:t> </w:t>
      </w:r>
      <w:r w:rsidR="00614843" w:rsidRPr="00614843">
        <w:rPr>
          <w:rFonts w:asciiTheme="minorHAnsi" w:hAnsiTheme="minorHAnsi" w:cstheme="minorHAnsi"/>
          <w:color w:val="000000"/>
          <w:sz w:val="22"/>
          <w:szCs w:val="22"/>
          <w:shd w:val="clear" w:color="auto" w:fill="FFFFFF"/>
        </w:rPr>
        <w:t xml:space="preserve">MK Yousef </w:t>
      </w:r>
      <w:proofErr w:type="spellStart"/>
      <w:r w:rsidR="00614843" w:rsidRPr="00614843">
        <w:rPr>
          <w:rFonts w:asciiTheme="minorHAnsi" w:hAnsiTheme="minorHAnsi" w:cstheme="minorHAnsi"/>
          <w:color w:val="000000"/>
          <w:sz w:val="22"/>
          <w:szCs w:val="22"/>
          <w:shd w:val="clear" w:color="auto" w:fill="FFFFFF"/>
        </w:rPr>
        <w:t>Jabareen</w:t>
      </w:r>
      <w:proofErr w:type="spellEnd"/>
      <w:r w:rsidR="00614843" w:rsidRPr="00614843">
        <w:rPr>
          <w:rFonts w:asciiTheme="minorHAnsi" w:hAnsiTheme="minorHAnsi" w:cstheme="minorHAnsi"/>
          <w:color w:val="000000"/>
          <w:sz w:val="22"/>
          <w:szCs w:val="22"/>
          <w:shd w:val="clear" w:color="auto" w:fill="FFFFFF"/>
        </w:rPr>
        <w:t xml:space="preserve">, </w:t>
      </w:r>
      <w:proofErr w:type="spellStart"/>
      <w:r w:rsidR="00614843" w:rsidRPr="00614843">
        <w:rPr>
          <w:rFonts w:asciiTheme="minorHAnsi" w:hAnsiTheme="minorHAnsi" w:cstheme="minorHAnsi"/>
          <w:color w:val="000000"/>
          <w:sz w:val="22"/>
          <w:szCs w:val="22"/>
          <w:shd w:val="clear" w:color="auto" w:fill="FFFFFF"/>
        </w:rPr>
        <w:t>Adalah</w:t>
      </w:r>
      <w:proofErr w:type="spellEnd"/>
      <w:r w:rsidR="00614843" w:rsidRPr="00614843">
        <w:rPr>
          <w:rFonts w:asciiTheme="minorHAnsi" w:hAnsiTheme="minorHAnsi" w:cstheme="minorHAnsi"/>
          <w:color w:val="000000"/>
          <w:sz w:val="22"/>
          <w:szCs w:val="22"/>
          <w:shd w:val="clear" w:color="auto" w:fill="FFFFFF"/>
        </w:rPr>
        <w:t xml:space="preserve"> and ACRI challenged the constitutionality of this law before the SCT.</w:t>
      </w:r>
      <w:r w:rsidR="00614843">
        <w:rPr>
          <w:rFonts w:asciiTheme="minorHAnsi" w:hAnsiTheme="minorHAnsi" w:cstheme="minorHAnsi"/>
          <w:sz w:val="22"/>
          <w:szCs w:val="22"/>
        </w:rPr>
        <w:t xml:space="preserve"> </w:t>
      </w:r>
      <w:r w:rsidR="00614843" w:rsidRPr="00614843">
        <w:rPr>
          <w:rFonts w:asciiTheme="minorHAnsi" w:hAnsiTheme="minorHAnsi" w:cstheme="minorHAnsi"/>
          <w:color w:val="000000"/>
          <w:sz w:val="22"/>
          <w:szCs w:val="22"/>
          <w:shd w:val="clear" w:color="auto" w:fill="FFFFFF"/>
        </w:rPr>
        <w:t xml:space="preserve"> </w:t>
      </w:r>
      <w:r w:rsidR="00614843" w:rsidRPr="00614843">
        <w:rPr>
          <w:rFonts w:asciiTheme="minorHAnsi" w:hAnsiTheme="minorHAnsi" w:cstheme="minorHAnsi"/>
          <w:color w:val="000000"/>
          <w:sz w:val="22"/>
          <w:szCs w:val="22"/>
          <w:shd w:val="clear" w:color="auto" w:fill="FFFFFF"/>
        </w:rPr>
        <w:t>On 27 May 2018, the SCT rejected the petitions allowing MKs to oust their colleagues from the Knesset.</w:t>
      </w:r>
      <w:r w:rsidR="00614843">
        <w:rPr>
          <w:rStyle w:val="FootnoteReference"/>
          <w:rFonts w:asciiTheme="minorHAnsi" w:hAnsiTheme="minorHAnsi" w:cstheme="minorHAnsi"/>
          <w:color w:val="000000"/>
          <w:sz w:val="22"/>
          <w:szCs w:val="22"/>
          <w:shd w:val="clear" w:color="auto" w:fill="FFFFFF"/>
        </w:rPr>
        <w:footnoteReference w:id="22"/>
      </w:r>
    </w:p>
    <w:p w:rsidR="001125D7" w:rsidRPr="001125D7" w:rsidRDefault="001125D7" w:rsidP="00C10CF9">
      <w:pPr>
        <w:jc w:val="both"/>
        <w:rPr>
          <w:rFonts w:asciiTheme="minorHAnsi" w:hAnsiTheme="minorHAnsi" w:cstheme="minorHAnsi"/>
          <w:b/>
          <w:bCs/>
          <w:i/>
          <w:iCs/>
          <w:sz w:val="22"/>
          <w:szCs w:val="22"/>
        </w:rPr>
      </w:pPr>
    </w:p>
    <w:p w:rsidR="00C10CF9" w:rsidRPr="001125D7" w:rsidRDefault="00C10CF9" w:rsidP="00C10CF9">
      <w:pPr>
        <w:jc w:val="both"/>
        <w:rPr>
          <w:rFonts w:asciiTheme="minorHAnsi" w:hAnsiTheme="minorHAnsi" w:cstheme="minorHAnsi"/>
          <w:sz w:val="22"/>
          <w:szCs w:val="22"/>
        </w:rPr>
      </w:pPr>
      <w:r w:rsidRPr="001125D7">
        <w:rPr>
          <w:rFonts w:asciiTheme="minorHAnsi" w:hAnsiTheme="minorHAnsi" w:cstheme="minorHAnsi"/>
          <w:b/>
          <w:bCs/>
          <w:i/>
          <w:iCs/>
          <w:sz w:val="22"/>
          <w:szCs w:val="22"/>
        </w:rPr>
        <w:t>The Basic Law: The Knesset – Expansion of Grounds for Disqualifying Candidates from Knesset Elections</w:t>
      </w:r>
      <w:r w:rsidR="00BA7368">
        <w:rPr>
          <w:rFonts w:asciiTheme="minorHAnsi" w:hAnsiTheme="minorHAnsi" w:cstheme="minorHAnsi"/>
          <w:b/>
          <w:bCs/>
          <w:i/>
          <w:iCs/>
          <w:sz w:val="22"/>
          <w:szCs w:val="22"/>
        </w:rPr>
        <w:t xml:space="preserve"> - 2017</w:t>
      </w:r>
      <w:r w:rsidRPr="001125D7">
        <w:rPr>
          <w:rFonts w:asciiTheme="minorHAnsi" w:hAnsiTheme="minorHAnsi" w:cstheme="minorHAnsi"/>
          <w:b/>
          <w:bCs/>
          <w:i/>
          <w:iCs/>
          <w:sz w:val="22"/>
          <w:szCs w:val="22"/>
        </w:rPr>
        <w:t>:</w:t>
      </w:r>
      <w:r w:rsidRPr="001125D7">
        <w:rPr>
          <w:rStyle w:val="FootnoteReference"/>
          <w:rFonts w:asciiTheme="minorHAnsi" w:hAnsiTheme="minorHAnsi" w:cstheme="minorHAnsi"/>
          <w:b/>
          <w:bCs/>
          <w:i/>
          <w:iCs/>
          <w:sz w:val="22"/>
          <w:szCs w:val="22"/>
        </w:rPr>
        <w:footnoteReference w:id="23"/>
      </w:r>
      <w:r w:rsidRPr="001125D7">
        <w:rPr>
          <w:rFonts w:asciiTheme="minorHAnsi" w:hAnsiTheme="minorHAnsi" w:cstheme="minorHAnsi"/>
          <w:b/>
          <w:bCs/>
          <w:sz w:val="22"/>
          <w:szCs w:val="22"/>
        </w:rPr>
        <w:t xml:space="preserve"> </w:t>
      </w:r>
      <w:r w:rsidRPr="001125D7">
        <w:rPr>
          <w:rFonts w:asciiTheme="minorHAnsi" w:hAnsiTheme="minorHAnsi" w:cstheme="minorHAnsi"/>
          <w:sz w:val="22"/>
          <w:szCs w:val="22"/>
        </w:rPr>
        <w:t>Enacted by the Knesset on 14 March 2017, this law amends Article 7A of the Basic Law to expand the grounds on which political parties and individual candidates can be disqualified from elections to the Knesset to include not only their goals and actions, but also their statements. Under the law, parties and individual candidates can be disqualified if their goals/actions – explicitly or implicitly – negate the existence of the State of Israel as a “Jewish and democratic state”; or incite to racism; or support armed struggle by a hostile state or terrorist organization against the State of Israel. The amendment makes it easier to disqualify candidates and parties from the Knesset by including statements among the accepted grounds, which are by their nature more liable to overly-broad interpretation.</w:t>
      </w:r>
    </w:p>
    <w:p w:rsidR="001125D7" w:rsidRPr="001125D7" w:rsidRDefault="001125D7" w:rsidP="00EE3948">
      <w:pPr>
        <w:pStyle w:val="NormalWeb"/>
        <w:shd w:val="clear" w:color="auto" w:fill="FFFFFF"/>
        <w:spacing w:before="0" w:beforeAutospacing="0" w:after="0" w:afterAutospacing="0"/>
        <w:jc w:val="both"/>
        <w:textAlignment w:val="baseline"/>
        <w:rPr>
          <w:rFonts w:asciiTheme="minorHAnsi" w:eastAsiaTheme="minorHAnsi" w:hAnsiTheme="minorHAnsi" w:cstheme="minorHAnsi"/>
          <w:b/>
          <w:bCs/>
          <w:i/>
          <w:iCs/>
          <w:sz w:val="22"/>
          <w:szCs w:val="22"/>
        </w:rPr>
      </w:pPr>
    </w:p>
    <w:p w:rsidR="00EE3948" w:rsidRPr="001125D7" w:rsidRDefault="00EE3948" w:rsidP="00EE3948">
      <w:pPr>
        <w:pStyle w:val="NormalWeb"/>
        <w:shd w:val="clear" w:color="auto" w:fill="FFFFFF"/>
        <w:spacing w:before="0" w:beforeAutospacing="0" w:after="0" w:afterAutospacing="0"/>
        <w:jc w:val="both"/>
        <w:textAlignment w:val="baseline"/>
        <w:rPr>
          <w:rFonts w:asciiTheme="minorHAnsi" w:eastAsiaTheme="minorHAnsi" w:hAnsiTheme="minorHAnsi" w:cstheme="minorHAnsi"/>
          <w:b/>
          <w:bCs/>
          <w:i/>
          <w:iCs/>
          <w:sz w:val="22"/>
          <w:szCs w:val="22"/>
        </w:rPr>
      </w:pPr>
      <w:r w:rsidRPr="001125D7">
        <w:rPr>
          <w:rFonts w:asciiTheme="minorHAnsi" w:eastAsiaTheme="minorHAnsi" w:hAnsiTheme="minorHAnsi" w:cstheme="minorHAnsi"/>
          <w:b/>
          <w:bCs/>
          <w:i/>
          <w:iCs/>
          <w:sz w:val="22"/>
          <w:szCs w:val="22"/>
        </w:rPr>
        <w:t>Incitement and attempts to limit voter participation among Arab citizens in the 2019 elections</w:t>
      </w:r>
    </w:p>
    <w:p w:rsidR="00EE3948" w:rsidRPr="001125D7" w:rsidRDefault="00EE3948" w:rsidP="00EE3948">
      <w:pPr>
        <w:pStyle w:val="NormalWeb"/>
        <w:shd w:val="clear" w:color="auto" w:fill="FFFFFF"/>
        <w:spacing w:before="0" w:beforeAutospacing="0" w:after="0" w:afterAutospacing="0"/>
        <w:ind w:left="720"/>
        <w:jc w:val="both"/>
        <w:textAlignment w:val="baseline"/>
        <w:rPr>
          <w:rFonts w:asciiTheme="minorHAnsi" w:eastAsiaTheme="minorHAnsi" w:hAnsiTheme="minorHAnsi" w:cstheme="minorHAnsi"/>
          <w:sz w:val="22"/>
          <w:szCs w:val="22"/>
        </w:rPr>
      </w:pPr>
    </w:p>
    <w:p w:rsidR="00EE3948" w:rsidRPr="001125D7" w:rsidRDefault="00EE3948" w:rsidP="00EE3948">
      <w:pPr>
        <w:pStyle w:val="NormalWeb"/>
        <w:numPr>
          <w:ilvl w:val="0"/>
          <w:numId w:val="5"/>
        </w:numPr>
        <w:shd w:val="clear" w:color="auto" w:fill="FFFFFF"/>
        <w:spacing w:before="0" w:beforeAutospacing="0" w:after="0" w:afterAutospacing="0"/>
        <w:jc w:val="both"/>
        <w:textAlignment w:val="baseline"/>
        <w:rPr>
          <w:rFonts w:asciiTheme="minorHAnsi" w:eastAsiaTheme="minorHAnsi" w:hAnsiTheme="minorHAnsi" w:cstheme="minorHAnsi"/>
          <w:b/>
          <w:bCs/>
          <w:sz w:val="22"/>
          <w:szCs w:val="22"/>
        </w:rPr>
      </w:pPr>
      <w:r w:rsidRPr="001125D7">
        <w:rPr>
          <w:rFonts w:asciiTheme="minorHAnsi" w:eastAsiaTheme="minorHAnsi" w:hAnsiTheme="minorHAnsi" w:cstheme="minorHAnsi"/>
          <w:b/>
          <w:bCs/>
          <w:sz w:val="22"/>
          <w:szCs w:val="22"/>
        </w:rPr>
        <w:t xml:space="preserve">Requests to disqualify Arab political parties </w:t>
      </w:r>
    </w:p>
    <w:p w:rsidR="001125D7" w:rsidRPr="001125D7" w:rsidRDefault="001125D7" w:rsidP="00EE3948">
      <w:pPr>
        <w:jc w:val="both"/>
        <w:rPr>
          <w:rFonts w:asciiTheme="minorHAnsi" w:hAnsiTheme="minorHAnsi" w:cstheme="minorHAnsi"/>
          <w:sz w:val="22"/>
          <w:szCs w:val="22"/>
        </w:rPr>
      </w:pPr>
    </w:p>
    <w:p w:rsidR="009C2AF1" w:rsidRDefault="002B6CA8" w:rsidP="002B6CA8">
      <w:pPr>
        <w:jc w:val="both"/>
        <w:rPr>
          <w:rFonts w:asciiTheme="minorHAnsi" w:hAnsiTheme="minorHAnsi" w:cstheme="minorHAnsi"/>
          <w:sz w:val="22"/>
          <w:szCs w:val="22"/>
        </w:rPr>
      </w:pPr>
      <w:r>
        <w:rPr>
          <w:rFonts w:asciiTheme="minorHAnsi" w:hAnsiTheme="minorHAnsi" w:cstheme="minorHAnsi"/>
          <w:sz w:val="22"/>
          <w:szCs w:val="22"/>
        </w:rPr>
        <w:t xml:space="preserve">For the last 20 years, right-wing political parties and leaders, and </w:t>
      </w:r>
      <w:r w:rsidR="009C2AF1">
        <w:rPr>
          <w:rFonts w:asciiTheme="minorHAnsi" w:hAnsiTheme="minorHAnsi" w:cstheme="minorHAnsi"/>
          <w:sz w:val="22"/>
          <w:szCs w:val="22"/>
        </w:rPr>
        <w:t>in 2002 the Attorney General, have tried to disqualify Arab political parties and leaders from running in the elections on the alleged grounds that they deny the existence of Israel as a Jewish state and support terror organizations, pursuant to Section 7A of the Basic Law: The Knesset.</w:t>
      </w:r>
      <w:r w:rsidR="009C2AF1">
        <w:rPr>
          <w:rStyle w:val="FootnoteReference"/>
          <w:rFonts w:asciiTheme="minorHAnsi" w:hAnsiTheme="minorHAnsi" w:cstheme="minorHAnsi"/>
          <w:sz w:val="22"/>
          <w:szCs w:val="22"/>
        </w:rPr>
        <w:footnoteReference w:id="24"/>
      </w:r>
      <w:r w:rsidR="009C2AF1">
        <w:rPr>
          <w:rFonts w:asciiTheme="minorHAnsi" w:hAnsiTheme="minorHAnsi" w:cstheme="minorHAnsi"/>
          <w:sz w:val="22"/>
          <w:szCs w:val="22"/>
        </w:rPr>
        <w:t xml:space="preserve"> </w:t>
      </w:r>
    </w:p>
    <w:p w:rsidR="009C2AF1" w:rsidRDefault="009C2AF1" w:rsidP="002B6CA8">
      <w:pPr>
        <w:jc w:val="both"/>
        <w:rPr>
          <w:rFonts w:asciiTheme="minorHAnsi" w:hAnsiTheme="minorHAnsi" w:cstheme="minorHAnsi"/>
          <w:sz w:val="22"/>
          <w:szCs w:val="22"/>
        </w:rPr>
      </w:pPr>
    </w:p>
    <w:p w:rsidR="00090D42" w:rsidRPr="002B6CA8" w:rsidRDefault="00090D42" w:rsidP="00E75A03">
      <w:pPr>
        <w:jc w:val="both"/>
        <w:rPr>
          <w:rFonts w:asciiTheme="minorHAnsi" w:hAnsiTheme="minorHAnsi" w:cstheme="minorHAnsi"/>
          <w:sz w:val="22"/>
          <w:szCs w:val="22"/>
        </w:rPr>
      </w:pPr>
      <w:r w:rsidRPr="001125D7">
        <w:rPr>
          <w:rFonts w:asciiTheme="minorHAnsi" w:hAnsiTheme="minorHAnsi" w:cstheme="minorHAnsi"/>
          <w:sz w:val="22"/>
          <w:szCs w:val="22"/>
        </w:rPr>
        <w:t xml:space="preserve">On 6 March 2019, the Central Elections Committee (CEC) </w:t>
      </w:r>
      <w:r w:rsidR="002B6CA8">
        <w:rPr>
          <w:rFonts w:asciiTheme="minorHAnsi" w:hAnsiTheme="minorHAnsi" w:cstheme="minorHAnsi"/>
          <w:sz w:val="22"/>
          <w:szCs w:val="22"/>
        </w:rPr>
        <w:t xml:space="preserve">decided </w:t>
      </w:r>
      <w:r w:rsidRPr="001125D7">
        <w:rPr>
          <w:rFonts w:asciiTheme="minorHAnsi" w:hAnsiTheme="minorHAnsi" w:cstheme="minorHAnsi"/>
          <w:sz w:val="22"/>
          <w:szCs w:val="22"/>
        </w:rPr>
        <w:t xml:space="preserve">to disqualify Dr. </w:t>
      </w:r>
      <w:proofErr w:type="spellStart"/>
      <w:r w:rsidRPr="001125D7">
        <w:rPr>
          <w:rFonts w:asciiTheme="minorHAnsi" w:hAnsiTheme="minorHAnsi" w:cstheme="minorHAnsi"/>
          <w:sz w:val="22"/>
          <w:szCs w:val="22"/>
        </w:rPr>
        <w:t>Ofer</w:t>
      </w:r>
      <w:proofErr w:type="spellEnd"/>
      <w:r w:rsidRPr="001125D7">
        <w:rPr>
          <w:rFonts w:asciiTheme="minorHAnsi" w:hAnsiTheme="minorHAnsi" w:cstheme="minorHAnsi"/>
          <w:sz w:val="22"/>
          <w:szCs w:val="22"/>
        </w:rPr>
        <w:t xml:space="preserve"> </w:t>
      </w:r>
      <w:proofErr w:type="spellStart"/>
      <w:r w:rsidRPr="001125D7">
        <w:rPr>
          <w:rFonts w:asciiTheme="minorHAnsi" w:hAnsiTheme="minorHAnsi" w:cstheme="minorHAnsi"/>
          <w:sz w:val="22"/>
          <w:szCs w:val="22"/>
        </w:rPr>
        <w:t>Kassif</w:t>
      </w:r>
      <w:proofErr w:type="spellEnd"/>
      <w:r w:rsidRPr="001125D7">
        <w:rPr>
          <w:rFonts w:asciiTheme="minorHAnsi" w:hAnsiTheme="minorHAnsi" w:cstheme="minorHAnsi"/>
          <w:sz w:val="22"/>
          <w:szCs w:val="22"/>
        </w:rPr>
        <w:t xml:space="preserve">, a member of the political party list </w:t>
      </w:r>
      <w:proofErr w:type="spellStart"/>
      <w:r w:rsidRPr="001125D7">
        <w:rPr>
          <w:rFonts w:asciiTheme="minorHAnsi" w:hAnsiTheme="minorHAnsi" w:cstheme="minorHAnsi"/>
          <w:sz w:val="22"/>
          <w:szCs w:val="22"/>
        </w:rPr>
        <w:t>Hadash-Ta’al</w:t>
      </w:r>
      <w:proofErr w:type="spellEnd"/>
      <w:r w:rsidRPr="001125D7">
        <w:rPr>
          <w:rFonts w:asciiTheme="minorHAnsi" w:hAnsiTheme="minorHAnsi" w:cstheme="minorHAnsi"/>
          <w:sz w:val="22"/>
          <w:szCs w:val="22"/>
        </w:rPr>
        <w:t xml:space="preserve"> (Democratic Front for Peace and Equality – Arab Movement for Change) and </w:t>
      </w:r>
      <w:proofErr w:type="spellStart"/>
      <w:r w:rsidRPr="001125D7">
        <w:rPr>
          <w:rFonts w:asciiTheme="minorHAnsi" w:hAnsiTheme="minorHAnsi" w:cstheme="minorHAnsi"/>
          <w:sz w:val="22"/>
          <w:szCs w:val="22"/>
        </w:rPr>
        <w:t>Balad-Ra’am</w:t>
      </w:r>
      <w:proofErr w:type="spellEnd"/>
      <w:r w:rsidRPr="001125D7">
        <w:rPr>
          <w:rFonts w:asciiTheme="minorHAnsi" w:hAnsiTheme="minorHAnsi" w:cstheme="minorHAnsi"/>
          <w:sz w:val="22"/>
          <w:szCs w:val="22"/>
        </w:rPr>
        <w:t xml:space="preserve"> (National Democratic Assembly – United Arab List) from running in the </w:t>
      </w:r>
      <w:r w:rsidR="002B6CA8">
        <w:rPr>
          <w:rFonts w:asciiTheme="minorHAnsi" w:hAnsiTheme="minorHAnsi" w:cstheme="minorHAnsi"/>
          <w:sz w:val="22"/>
          <w:szCs w:val="22"/>
        </w:rPr>
        <w:t xml:space="preserve">April 2019 </w:t>
      </w:r>
      <w:r w:rsidRPr="001125D7">
        <w:rPr>
          <w:rFonts w:asciiTheme="minorHAnsi" w:hAnsiTheme="minorHAnsi" w:cstheme="minorHAnsi"/>
          <w:sz w:val="22"/>
          <w:szCs w:val="22"/>
        </w:rPr>
        <w:t>national elections</w:t>
      </w:r>
      <w:r w:rsidR="002B6CA8">
        <w:rPr>
          <w:rFonts w:asciiTheme="minorHAnsi" w:hAnsiTheme="minorHAnsi" w:cstheme="minorHAnsi"/>
          <w:sz w:val="22"/>
          <w:szCs w:val="22"/>
        </w:rPr>
        <w:t xml:space="preserve">. </w:t>
      </w:r>
      <w:r w:rsidRPr="001125D7">
        <w:rPr>
          <w:rFonts w:asciiTheme="minorHAnsi" w:hAnsiTheme="minorHAnsi" w:cstheme="minorHAnsi"/>
          <w:sz w:val="22"/>
          <w:szCs w:val="22"/>
        </w:rPr>
        <w:t xml:space="preserve">The decision violated the rights to vote and to stand for </w:t>
      </w:r>
      <w:r w:rsidRPr="001125D7">
        <w:rPr>
          <w:rFonts w:asciiTheme="minorHAnsi" w:hAnsiTheme="minorHAnsi" w:cstheme="minorHAnsi"/>
          <w:sz w:val="22"/>
          <w:szCs w:val="22"/>
        </w:rPr>
        <w:lastRenderedPageBreak/>
        <w:t xml:space="preserve">election of the Arab minority in Israel, and supported the ongoing attempts by right-wing politicians to delegitimize the elected representatives of the Arab public in Israel. </w:t>
      </w:r>
      <w:proofErr w:type="spellStart"/>
      <w:r w:rsidRPr="001125D7">
        <w:rPr>
          <w:rFonts w:asciiTheme="minorHAnsi" w:hAnsiTheme="minorHAnsi" w:cstheme="minorHAnsi"/>
          <w:sz w:val="22"/>
          <w:szCs w:val="22"/>
        </w:rPr>
        <w:t>Adalah</w:t>
      </w:r>
      <w:proofErr w:type="spellEnd"/>
      <w:r w:rsidRPr="001125D7">
        <w:rPr>
          <w:rFonts w:asciiTheme="minorHAnsi" w:hAnsiTheme="minorHAnsi" w:cstheme="minorHAnsi"/>
          <w:sz w:val="22"/>
          <w:szCs w:val="22"/>
        </w:rPr>
        <w:t xml:space="preserve"> represented Dr. </w:t>
      </w:r>
      <w:proofErr w:type="spellStart"/>
      <w:r w:rsidRPr="001125D7">
        <w:rPr>
          <w:rFonts w:asciiTheme="minorHAnsi" w:hAnsiTheme="minorHAnsi" w:cstheme="minorHAnsi"/>
          <w:sz w:val="22"/>
          <w:szCs w:val="22"/>
        </w:rPr>
        <w:t>Ofer</w:t>
      </w:r>
      <w:proofErr w:type="spellEnd"/>
      <w:r w:rsidRPr="001125D7">
        <w:rPr>
          <w:rFonts w:asciiTheme="minorHAnsi" w:hAnsiTheme="minorHAnsi" w:cstheme="minorHAnsi"/>
          <w:sz w:val="22"/>
          <w:szCs w:val="22"/>
        </w:rPr>
        <w:t xml:space="preserve"> </w:t>
      </w:r>
      <w:proofErr w:type="spellStart"/>
      <w:r w:rsidRPr="001125D7">
        <w:rPr>
          <w:rFonts w:asciiTheme="minorHAnsi" w:hAnsiTheme="minorHAnsi" w:cstheme="minorHAnsi"/>
          <w:sz w:val="22"/>
          <w:szCs w:val="22"/>
        </w:rPr>
        <w:t>Kassif</w:t>
      </w:r>
      <w:proofErr w:type="spellEnd"/>
      <w:r w:rsidRPr="001125D7">
        <w:rPr>
          <w:rFonts w:asciiTheme="minorHAnsi" w:hAnsiTheme="minorHAnsi" w:cstheme="minorHAnsi"/>
          <w:sz w:val="22"/>
          <w:szCs w:val="22"/>
        </w:rPr>
        <w:t xml:space="preserve"> and the </w:t>
      </w:r>
      <w:proofErr w:type="spellStart"/>
      <w:r w:rsidRPr="001125D7">
        <w:rPr>
          <w:rFonts w:asciiTheme="minorHAnsi" w:hAnsiTheme="minorHAnsi" w:cstheme="minorHAnsi"/>
          <w:sz w:val="22"/>
          <w:szCs w:val="22"/>
        </w:rPr>
        <w:t>Hadash-Ta'al</w:t>
      </w:r>
      <w:proofErr w:type="spellEnd"/>
      <w:r w:rsidRPr="001125D7">
        <w:rPr>
          <w:rFonts w:asciiTheme="minorHAnsi" w:hAnsiTheme="minorHAnsi" w:cstheme="minorHAnsi"/>
          <w:sz w:val="22"/>
          <w:szCs w:val="22"/>
        </w:rPr>
        <w:t xml:space="preserve"> and </w:t>
      </w:r>
      <w:proofErr w:type="spellStart"/>
      <w:r w:rsidRPr="001125D7">
        <w:rPr>
          <w:rFonts w:asciiTheme="minorHAnsi" w:hAnsiTheme="minorHAnsi" w:cstheme="minorHAnsi"/>
          <w:sz w:val="22"/>
          <w:szCs w:val="22"/>
        </w:rPr>
        <w:t>Balad-Ra'am</w:t>
      </w:r>
      <w:proofErr w:type="spellEnd"/>
      <w:r w:rsidRPr="001125D7">
        <w:rPr>
          <w:rFonts w:asciiTheme="minorHAnsi" w:hAnsiTheme="minorHAnsi" w:cstheme="minorHAnsi"/>
          <w:sz w:val="22"/>
          <w:szCs w:val="22"/>
        </w:rPr>
        <w:t xml:space="preserve"> lists in the disqualification motions</w:t>
      </w:r>
      <w:r w:rsidR="002B6CA8">
        <w:rPr>
          <w:rFonts w:asciiTheme="minorHAnsi" w:hAnsiTheme="minorHAnsi" w:cstheme="minorHAnsi"/>
          <w:sz w:val="22"/>
          <w:szCs w:val="22"/>
        </w:rPr>
        <w:t xml:space="preserve"> before the CEC. The Supreme Court overturned the decisions to disqualify Dr. </w:t>
      </w:r>
      <w:proofErr w:type="spellStart"/>
      <w:r w:rsidR="002B6CA8">
        <w:rPr>
          <w:rFonts w:asciiTheme="minorHAnsi" w:hAnsiTheme="minorHAnsi" w:cstheme="minorHAnsi"/>
          <w:sz w:val="22"/>
          <w:szCs w:val="22"/>
        </w:rPr>
        <w:t>Kassif</w:t>
      </w:r>
      <w:proofErr w:type="spellEnd"/>
      <w:r w:rsidR="002B6CA8">
        <w:rPr>
          <w:rFonts w:asciiTheme="minorHAnsi" w:hAnsiTheme="minorHAnsi" w:cstheme="minorHAnsi"/>
          <w:sz w:val="22"/>
          <w:szCs w:val="22"/>
        </w:rPr>
        <w:t xml:space="preserve"> and </w:t>
      </w:r>
      <w:proofErr w:type="spellStart"/>
      <w:r w:rsidR="002B6CA8">
        <w:rPr>
          <w:rFonts w:asciiTheme="minorHAnsi" w:hAnsiTheme="minorHAnsi" w:cstheme="minorHAnsi"/>
          <w:sz w:val="22"/>
          <w:szCs w:val="22"/>
        </w:rPr>
        <w:t>Balad-Ra’am</w:t>
      </w:r>
      <w:proofErr w:type="spellEnd"/>
      <w:r w:rsidRPr="001125D7">
        <w:rPr>
          <w:rFonts w:asciiTheme="minorHAnsi" w:hAnsiTheme="minorHAnsi" w:cstheme="minorHAnsi"/>
          <w:sz w:val="22"/>
          <w:szCs w:val="22"/>
        </w:rPr>
        <w:t xml:space="preserve">, </w:t>
      </w:r>
      <w:r w:rsidR="002B6CA8">
        <w:rPr>
          <w:rFonts w:asciiTheme="minorHAnsi" w:hAnsiTheme="minorHAnsi" w:cstheme="minorHAnsi"/>
          <w:sz w:val="22"/>
          <w:szCs w:val="22"/>
        </w:rPr>
        <w:t xml:space="preserve">and rejected the appeal against the CEC’s decision to qualify </w:t>
      </w:r>
      <w:proofErr w:type="spellStart"/>
      <w:r w:rsidR="002B6CA8">
        <w:rPr>
          <w:rFonts w:asciiTheme="minorHAnsi" w:hAnsiTheme="minorHAnsi" w:cstheme="minorHAnsi"/>
          <w:sz w:val="22"/>
          <w:szCs w:val="22"/>
        </w:rPr>
        <w:t>Hadash-Ta’al</w:t>
      </w:r>
      <w:proofErr w:type="spellEnd"/>
      <w:r w:rsidR="002B6CA8">
        <w:rPr>
          <w:rFonts w:asciiTheme="minorHAnsi" w:hAnsiTheme="minorHAnsi" w:cstheme="minorHAnsi"/>
          <w:sz w:val="22"/>
          <w:szCs w:val="22"/>
        </w:rPr>
        <w:t xml:space="preserve"> in </w:t>
      </w:r>
      <w:r w:rsidRPr="001125D7">
        <w:rPr>
          <w:rFonts w:asciiTheme="minorHAnsi" w:hAnsiTheme="minorHAnsi" w:cstheme="minorHAnsi"/>
          <w:sz w:val="22"/>
          <w:szCs w:val="22"/>
        </w:rPr>
        <w:t>March 2019.</w:t>
      </w:r>
      <w:r w:rsidR="00EE3948" w:rsidRPr="001125D7">
        <w:rPr>
          <w:rFonts w:asciiTheme="minorHAnsi" w:hAnsiTheme="minorHAnsi" w:cstheme="minorHAnsi"/>
          <w:sz w:val="22"/>
          <w:szCs w:val="22"/>
        </w:rPr>
        <w:t xml:space="preserve"> </w:t>
      </w:r>
      <w:r w:rsidR="00E75A03">
        <w:rPr>
          <w:rFonts w:asciiTheme="minorHAnsi" w:hAnsiTheme="minorHAnsi" w:cstheme="minorHAnsi"/>
          <w:sz w:val="22"/>
          <w:szCs w:val="22"/>
        </w:rPr>
        <w:t xml:space="preserve">These processes show once again the discriminatory nature of the disqualification system. </w:t>
      </w:r>
      <w:r w:rsidRPr="001125D7">
        <w:rPr>
          <w:rFonts w:asciiTheme="minorHAnsi" w:hAnsiTheme="minorHAnsi" w:cstheme="minorHAnsi"/>
          <w:sz w:val="22"/>
          <w:szCs w:val="22"/>
        </w:rPr>
        <w:t>The Supreme Court’s decision</w:t>
      </w:r>
      <w:r w:rsidR="002B6CA8">
        <w:rPr>
          <w:rFonts w:asciiTheme="minorHAnsi" w:hAnsiTheme="minorHAnsi" w:cstheme="minorHAnsi"/>
          <w:sz w:val="22"/>
          <w:szCs w:val="22"/>
        </w:rPr>
        <w:t>s</w:t>
      </w:r>
      <w:r w:rsidRPr="001125D7">
        <w:rPr>
          <w:rFonts w:asciiTheme="minorHAnsi" w:hAnsiTheme="minorHAnsi" w:cstheme="minorHAnsi"/>
          <w:sz w:val="22"/>
          <w:szCs w:val="22"/>
        </w:rPr>
        <w:t xml:space="preserve"> demonstrate that the CEC is a political body that operates in overt contradiction of law and court rulings in order to humiliate Arab candidates. </w:t>
      </w:r>
      <w:r w:rsidR="00EE3948" w:rsidRPr="001125D7">
        <w:rPr>
          <w:rFonts w:asciiTheme="minorHAnsi" w:hAnsiTheme="minorHAnsi" w:cstheme="minorHAnsi"/>
          <w:sz w:val="22"/>
          <w:szCs w:val="22"/>
        </w:rPr>
        <w:t>In the run-up to the upcoming second round of national elections</w:t>
      </w:r>
      <w:r w:rsidR="009C2AF1">
        <w:rPr>
          <w:rFonts w:asciiTheme="minorHAnsi" w:hAnsiTheme="minorHAnsi" w:cstheme="minorHAnsi"/>
          <w:sz w:val="22"/>
          <w:szCs w:val="22"/>
        </w:rPr>
        <w:t xml:space="preserve"> to be held on 17 September 2019</w:t>
      </w:r>
      <w:r w:rsidR="00EE3948" w:rsidRPr="001125D7">
        <w:rPr>
          <w:rFonts w:asciiTheme="minorHAnsi" w:hAnsiTheme="minorHAnsi" w:cstheme="minorHAnsi"/>
          <w:sz w:val="22"/>
          <w:szCs w:val="22"/>
        </w:rPr>
        <w:t>, the “Jewish Power” political party requested the disqualification of the Arab Joint List political party</w:t>
      </w:r>
      <w:r w:rsidR="002B6CA8">
        <w:rPr>
          <w:rFonts w:asciiTheme="minorHAnsi" w:hAnsiTheme="minorHAnsi" w:cstheme="minorHAnsi"/>
          <w:sz w:val="22"/>
          <w:szCs w:val="22"/>
        </w:rPr>
        <w:t>, and t</w:t>
      </w:r>
      <w:r w:rsidR="00EE3948" w:rsidRPr="001125D7">
        <w:rPr>
          <w:rFonts w:asciiTheme="minorHAnsi" w:hAnsiTheme="minorHAnsi" w:cstheme="minorHAnsi"/>
          <w:sz w:val="22"/>
          <w:szCs w:val="22"/>
        </w:rPr>
        <w:t xml:space="preserve">he Supreme Court rejected the </w:t>
      </w:r>
      <w:r w:rsidR="002B6CA8">
        <w:rPr>
          <w:rFonts w:asciiTheme="minorHAnsi" w:hAnsiTheme="minorHAnsi" w:cstheme="minorHAnsi"/>
          <w:sz w:val="22"/>
          <w:szCs w:val="22"/>
        </w:rPr>
        <w:t xml:space="preserve">appeal against the CEC’s approval of the List </w:t>
      </w:r>
      <w:r w:rsidR="00EE3948" w:rsidRPr="001125D7">
        <w:rPr>
          <w:rFonts w:asciiTheme="minorHAnsi" w:hAnsiTheme="minorHAnsi" w:cstheme="minorHAnsi"/>
          <w:sz w:val="22"/>
          <w:szCs w:val="22"/>
        </w:rPr>
        <w:t>on 25 August 2019.</w:t>
      </w:r>
    </w:p>
    <w:p w:rsidR="00D8750F" w:rsidRPr="001125D7" w:rsidRDefault="00D8750F" w:rsidP="00DA2E75">
      <w:pPr>
        <w:pStyle w:val="NormalWeb"/>
        <w:shd w:val="clear" w:color="auto" w:fill="FFFFFF"/>
        <w:spacing w:before="0" w:beforeAutospacing="0" w:after="0" w:afterAutospacing="0"/>
        <w:jc w:val="both"/>
        <w:textAlignment w:val="baseline"/>
        <w:rPr>
          <w:rFonts w:asciiTheme="minorHAnsi" w:eastAsiaTheme="minorHAnsi" w:hAnsiTheme="minorHAnsi" w:cstheme="minorHAnsi"/>
          <w:sz w:val="22"/>
          <w:szCs w:val="22"/>
        </w:rPr>
      </w:pPr>
    </w:p>
    <w:p w:rsidR="00D8750F" w:rsidRPr="009C2AF1" w:rsidRDefault="00D8750F" w:rsidP="00D8750F">
      <w:pPr>
        <w:pStyle w:val="NormalWeb"/>
        <w:numPr>
          <w:ilvl w:val="0"/>
          <w:numId w:val="5"/>
        </w:numPr>
        <w:shd w:val="clear" w:color="auto" w:fill="FFFFFF"/>
        <w:spacing w:before="0" w:beforeAutospacing="0" w:after="0" w:afterAutospacing="0"/>
        <w:jc w:val="both"/>
        <w:textAlignment w:val="baseline"/>
        <w:rPr>
          <w:rFonts w:asciiTheme="minorHAnsi" w:eastAsiaTheme="minorHAnsi" w:hAnsiTheme="minorHAnsi" w:cstheme="minorHAnsi"/>
          <w:b/>
          <w:bCs/>
          <w:sz w:val="22"/>
          <w:szCs w:val="22"/>
        </w:rPr>
      </w:pPr>
      <w:r w:rsidRPr="009C2AF1">
        <w:rPr>
          <w:rFonts w:asciiTheme="minorHAnsi" w:eastAsiaTheme="minorHAnsi" w:hAnsiTheme="minorHAnsi" w:cstheme="minorHAnsi"/>
          <w:b/>
          <w:bCs/>
          <w:sz w:val="22"/>
          <w:szCs w:val="22"/>
        </w:rPr>
        <w:t>Racial incitement against Arab citizens by Prime Minister Netanyahu</w:t>
      </w:r>
    </w:p>
    <w:p w:rsidR="009C2AF1" w:rsidRPr="001125D7" w:rsidRDefault="009C2AF1" w:rsidP="009C2AF1">
      <w:pPr>
        <w:pStyle w:val="NormalWeb"/>
        <w:shd w:val="clear" w:color="auto" w:fill="FFFFFF"/>
        <w:spacing w:before="0" w:beforeAutospacing="0" w:after="0" w:afterAutospacing="0"/>
        <w:jc w:val="both"/>
        <w:textAlignment w:val="baseline"/>
        <w:rPr>
          <w:rFonts w:asciiTheme="minorHAnsi" w:eastAsiaTheme="minorHAnsi" w:hAnsiTheme="minorHAnsi" w:cstheme="minorHAnsi"/>
          <w:sz w:val="22"/>
          <w:szCs w:val="22"/>
        </w:rPr>
      </w:pPr>
    </w:p>
    <w:p w:rsidR="00DA2E75" w:rsidRDefault="00DA2E75" w:rsidP="00BA0F18">
      <w:pPr>
        <w:pStyle w:val="NormalWeb"/>
        <w:shd w:val="clear" w:color="auto" w:fill="FFFFFF"/>
        <w:spacing w:before="0" w:beforeAutospacing="0" w:after="0" w:afterAutospacing="0"/>
        <w:jc w:val="both"/>
        <w:textAlignment w:val="baseline"/>
        <w:rPr>
          <w:rFonts w:asciiTheme="minorHAnsi" w:hAnsiTheme="minorHAnsi" w:cstheme="minorHAnsi"/>
          <w:sz w:val="22"/>
          <w:szCs w:val="22"/>
        </w:rPr>
      </w:pPr>
      <w:r w:rsidRPr="001125D7">
        <w:rPr>
          <w:rFonts w:asciiTheme="minorHAnsi" w:eastAsiaTheme="minorHAnsi" w:hAnsiTheme="minorHAnsi" w:cstheme="minorHAnsi"/>
          <w:sz w:val="22"/>
          <w:szCs w:val="22"/>
        </w:rPr>
        <w:t xml:space="preserve">In the run-up to </w:t>
      </w:r>
      <w:r w:rsidR="00BA0F18">
        <w:rPr>
          <w:rFonts w:asciiTheme="minorHAnsi" w:eastAsiaTheme="minorHAnsi" w:hAnsiTheme="minorHAnsi" w:cstheme="minorHAnsi"/>
          <w:sz w:val="22"/>
          <w:szCs w:val="22"/>
        </w:rPr>
        <w:t xml:space="preserve">September 2019 </w:t>
      </w:r>
      <w:r w:rsidRPr="001125D7">
        <w:rPr>
          <w:rFonts w:asciiTheme="minorHAnsi" w:eastAsiaTheme="minorHAnsi" w:hAnsiTheme="minorHAnsi" w:cstheme="minorHAnsi"/>
          <w:sz w:val="22"/>
          <w:szCs w:val="22"/>
        </w:rPr>
        <w:t>elections, Israeli Prime Minister Benjamin Netanyahu issued a statement saying that “the Arabs want to destroy all of us” in an exchange of digital messages with party activists during which he directed them how to appeal to the Israeli public in election campaign telephone calls.</w:t>
      </w:r>
      <w:r w:rsidRPr="001125D7">
        <w:rPr>
          <w:rStyle w:val="FootnoteReference"/>
          <w:rFonts w:asciiTheme="minorHAnsi" w:eastAsiaTheme="minorHAnsi" w:hAnsiTheme="minorHAnsi" w:cstheme="minorHAnsi"/>
          <w:sz w:val="22"/>
          <w:szCs w:val="22"/>
        </w:rPr>
        <w:footnoteReference w:id="25"/>
      </w:r>
      <w:r w:rsidR="00BA0F18">
        <w:rPr>
          <w:rFonts w:asciiTheme="minorHAnsi" w:eastAsiaTheme="minorHAnsi" w:hAnsiTheme="minorHAnsi" w:cstheme="minorHAnsi"/>
          <w:sz w:val="22"/>
          <w:szCs w:val="22"/>
        </w:rPr>
        <w:t xml:space="preserve"> </w:t>
      </w:r>
      <w:r w:rsidRPr="001125D7">
        <w:rPr>
          <w:rFonts w:asciiTheme="minorHAnsi" w:hAnsiTheme="minorHAnsi" w:cstheme="minorHAnsi"/>
          <w:sz w:val="22"/>
          <w:szCs w:val="22"/>
        </w:rPr>
        <w:t xml:space="preserve">The Joint List of Arab political parties, via </w:t>
      </w:r>
      <w:proofErr w:type="spellStart"/>
      <w:r w:rsidRPr="001125D7">
        <w:rPr>
          <w:rFonts w:asciiTheme="minorHAnsi" w:hAnsiTheme="minorHAnsi" w:cstheme="minorHAnsi"/>
          <w:sz w:val="22"/>
          <w:szCs w:val="22"/>
        </w:rPr>
        <w:t>Adalah</w:t>
      </w:r>
      <w:proofErr w:type="spellEnd"/>
      <w:r w:rsidRPr="001125D7">
        <w:rPr>
          <w:rFonts w:asciiTheme="minorHAnsi" w:hAnsiTheme="minorHAnsi" w:cstheme="minorHAnsi"/>
          <w:sz w:val="22"/>
          <w:szCs w:val="22"/>
        </w:rPr>
        <w:t xml:space="preserve">, called on </w:t>
      </w:r>
      <w:r w:rsidR="00BA0F18">
        <w:rPr>
          <w:rFonts w:asciiTheme="minorHAnsi" w:hAnsiTheme="minorHAnsi" w:cstheme="minorHAnsi"/>
          <w:sz w:val="22"/>
          <w:szCs w:val="22"/>
        </w:rPr>
        <w:t xml:space="preserve">the </w:t>
      </w:r>
      <w:r w:rsidRPr="001125D7">
        <w:rPr>
          <w:rFonts w:asciiTheme="minorHAnsi" w:hAnsiTheme="minorHAnsi" w:cstheme="minorHAnsi"/>
          <w:sz w:val="22"/>
          <w:szCs w:val="22"/>
        </w:rPr>
        <w:t>Chairman of the C</w:t>
      </w:r>
      <w:r w:rsidR="00BA0F18">
        <w:rPr>
          <w:rFonts w:asciiTheme="minorHAnsi" w:hAnsiTheme="minorHAnsi" w:cstheme="minorHAnsi"/>
          <w:sz w:val="22"/>
          <w:szCs w:val="22"/>
        </w:rPr>
        <w:t xml:space="preserve">EC, </w:t>
      </w:r>
      <w:r w:rsidRPr="001125D7">
        <w:rPr>
          <w:rFonts w:asciiTheme="minorHAnsi" w:hAnsiTheme="minorHAnsi" w:cstheme="minorHAnsi"/>
          <w:sz w:val="22"/>
          <w:szCs w:val="22"/>
        </w:rPr>
        <w:t xml:space="preserve">Justice Hanan </w:t>
      </w:r>
      <w:proofErr w:type="spellStart"/>
      <w:r w:rsidRPr="001125D7">
        <w:rPr>
          <w:rFonts w:asciiTheme="minorHAnsi" w:hAnsiTheme="minorHAnsi" w:cstheme="minorHAnsi"/>
          <w:sz w:val="22"/>
          <w:szCs w:val="22"/>
        </w:rPr>
        <w:t>Melcer</w:t>
      </w:r>
      <w:proofErr w:type="spellEnd"/>
      <w:r w:rsidRPr="001125D7">
        <w:rPr>
          <w:rFonts w:asciiTheme="minorHAnsi" w:hAnsiTheme="minorHAnsi" w:cstheme="minorHAnsi"/>
          <w:sz w:val="22"/>
          <w:szCs w:val="22"/>
        </w:rPr>
        <w:t xml:space="preserve">, to issue a restraining order banning Netanyahu from further illegal dissemination of racist election propaganda, and on </w:t>
      </w:r>
      <w:r w:rsidR="00BA0F18">
        <w:rPr>
          <w:rFonts w:asciiTheme="minorHAnsi" w:hAnsiTheme="minorHAnsi" w:cstheme="minorHAnsi"/>
          <w:sz w:val="22"/>
          <w:szCs w:val="22"/>
        </w:rPr>
        <w:t xml:space="preserve">the </w:t>
      </w:r>
      <w:r w:rsidRPr="001125D7">
        <w:rPr>
          <w:rFonts w:asciiTheme="minorHAnsi" w:hAnsiTheme="minorHAnsi" w:cstheme="minorHAnsi"/>
          <w:sz w:val="22"/>
          <w:szCs w:val="22"/>
        </w:rPr>
        <w:t xml:space="preserve">Attorney General to open a criminal investigation into the Israeli Prime Minister's incitement to racism. </w:t>
      </w:r>
      <w:proofErr w:type="spellStart"/>
      <w:r w:rsidRPr="001125D7">
        <w:rPr>
          <w:rFonts w:asciiTheme="minorHAnsi" w:hAnsiTheme="minorHAnsi" w:cstheme="minorHAnsi"/>
          <w:sz w:val="22"/>
          <w:szCs w:val="22"/>
        </w:rPr>
        <w:t>Adalah</w:t>
      </w:r>
      <w:proofErr w:type="spellEnd"/>
      <w:r w:rsidRPr="001125D7">
        <w:rPr>
          <w:rFonts w:asciiTheme="minorHAnsi" w:hAnsiTheme="minorHAnsi" w:cstheme="minorHAnsi"/>
          <w:sz w:val="22"/>
          <w:szCs w:val="22"/>
        </w:rPr>
        <w:t xml:space="preserve"> argued that Netanyahu was illegally using election propaganda to commit racial incitement and to disseminate hate speech against Arab citizens.</w:t>
      </w:r>
    </w:p>
    <w:p w:rsidR="00BA0F18" w:rsidRDefault="00BA0F18" w:rsidP="00BA0F18">
      <w:pPr>
        <w:pStyle w:val="NormalWeb"/>
        <w:shd w:val="clear" w:color="auto" w:fill="FFFFFF"/>
        <w:spacing w:before="0" w:beforeAutospacing="0" w:after="0" w:afterAutospacing="0"/>
        <w:jc w:val="both"/>
        <w:textAlignment w:val="baseline"/>
        <w:rPr>
          <w:rFonts w:asciiTheme="minorHAnsi" w:hAnsiTheme="minorHAnsi" w:cstheme="minorHAnsi"/>
          <w:sz w:val="22"/>
          <w:szCs w:val="22"/>
        </w:rPr>
      </w:pPr>
    </w:p>
    <w:p w:rsidR="00E75A03" w:rsidRDefault="00E75A03" w:rsidP="00E75A03">
      <w:pPr>
        <w:pStyle w:val="NormalWeb"/>
        <w:shd w:val="clear" w:color="auto" w:fill="FFFFFF"/>
        <w:spacing w:before="0" w:beforeAutospacing="0" w:after="0" w:afterAutospacing="0"/>
        <w:jc w:val="both"/>
        <w:textAlignment w:val="baseline"/>
        <w:rPr>
          <w:rFonts w:asciiTheme="minorHAnsi" w:hAnsiTheme="minorHAnsi" w:cstheme="minorHAnsi"/>
          <w:color w:val="000000"/>
          <w:sz w:val="22"/>
          <w:szCs w:val="22"/>
        </w:rPr>
      </w:pPr>
      <w:r w:rsidRPr="00EB0272">
        <w:rPr>
          <w:rStyle w:val="Strong"/>
          <w:rFonts w:asciiTheme="minorHAnsi" w:hAnsiTheme="minorHAnsi" w:cstheme="minorHAnsi"/>
          <w:b w:val="0"/>
          <w:bCs w:val="0"/>
          <w:color w:val="000000"/>
          <w:sz w:val="22"/>
          <w:szCs w:val="22"/>
        </w:rPr>
        <w:t>Rampant incitement</w:t>
      </w:r>
      <w:r w:rsidRPr="00EB0272">
        <w:rPr>
          <w:rStyle w:val="apple-converted-space"/>
          <w:rFonts w:asciiTheme="minorHAnsi" w:hAnsiTheme="minorHAnsi" w:cstheme="minorHAnsi"/>
          <w:b/>
          <w:bCs/>
          <w:color w:val="000000"/>
          <w:sz w:val="22"/>
          <w:szCs w:val="22"/>
        </w:rPr>
        <w:t> </w:t>
      </w:r>
      <w:r w:rsidRPr="00EB0272">
        <w:rPr>
          <w:rFonts w:asciiTheme="minorHAnsi" w:hAnsiTheme="minorHAnsi" w:cstheme="minorHAnsi"/>
          <w:color w:val="000000"/>
          <w:sz w:val="22"/>
          <w:szCs w:val="22"/>
        </w:rPr>
        <w:t xml:space="preserve">by Netanyahu and other politicians against the Arab </w:t>
      </w:r>
      <w:r w:rsidR="00EB0272" w:rsidRPr="00EB0272">
        <w:rPr>
          <w:rFonts w:asciiTheme="minorHAnsi" w:hAnsiTheme="minorHAnsi" w:cstheme="minorHAnsi"/>
          <w:color w:val="000000"/>
          <w:sz w:val="22"/>
          <w:szCs w:val="22"/>
        </w:rPr>
        <w:t xml:space="preserve">citizens and their </w:t>
      </w:r>
      <w:r w:rsidRPr="00EB0272">
        <w:rPr>
          <w:rFonts w:asciiTheme="minorHAnsi" w:hAnsiTheme="minorHAnsi" w:cstheme="minorHAnsi"/>
          <w:color w:val="000000"/>
          <w:sz w:val="22"/>
          <w:szCs w:val="22"/>
        </w:rPr>
        <w:t>political leadership in Israel</w:t>
      </w:r>
      <w:r w:rsidRPr="00EB0272">
        <w:rPr>
          <w:rFonts w:asciiTheme="minorHAnsi" w:hAnsiTheme="minorHAnsi" w:cstheme="minorHAnsi"/>
          <w:color w:val="000000"/>
          <w:sz w:val="22"/>
          <w:szCs w:val="22"/>
        </w:rPr>
        <w:t xml:space="preserve"> also took place during the </w:t>
      </w:r>
      <w:r w:rsidRPr="00EB0272">
        <w:rPr>
          <w:rStyle w:val="apple-converted-space"/>
          <w:rFonts w:asciiTheme="minorHAnsi" w:hAnsiTheme="minorHAnsi" w:cstheme="minorHAnsi"/>
          <w:color w:val="000000"/>
          <w:sz w:val="22"/>
          <w:szCs w:val="22"/>
        </w:rPr>
        <w:t>April 2019 elections campaign</w:t>
      </w:r>
      <w:r w:rsidR="00EB0272" w:rsidRPr="00EB0272">
        <w:rPr>
          <w:rStyle w:val="apple-converted-space"/>
          <w:rFonts w:asciiTheme="minorHAnsi" w:hAnsiTheme="minorHAnsi" w:cstheme="minorHAnsi"/>
          <w:color w:val="000000"/>
          <w:sz w:val="22"/>
          <w:szCs w:val="22"/>
        </w:rPr>
        <w:t>.</w:t>
      </w:r>
      <w:r w:rsidRPr="00EB0272">
        <w:rPr>
          <w:rStyle w:val="apple-converted-space"/>
          <w:rFonts w:asciiTheme="minorHAnsi" w:hAnsiTheme="minorHAnsi" w:cstheme="minorHAnsi"/>
          <w:color w:val="000000"/>
          <w:sz w:val="22"/>
          <w:szCs w:val="22"/>
        </w:rPr>
        <w:t xml:space="preserve"> </w:t>
      </w:r>
      <w:r w:rsidR="00EB0272" w:rsidRPr="00EB0272">
        <w:rPr>
          <w:rFonts w:asciiTheme="minorHAnsi" w:hAnsiTheme="minorHAnsi" w:cstheme="minorHAnsi"/>
          <w:color w:val="000000"/>
          <w:sz w:val="22"/>
          <w:szCs w:val="22"/>
        </w:rPr>
        <w:t xml:space="preserve">For example, </w:t>
      </w:r>
      <w:r w:rsidRPr="00EB0272">
        <w:rPr>
          <w:rFonts w:asciiTheme="minorHAnsi" w:hAnsiTheme="minorHAnsi" w:cstheme="minorHAnsi"/>
          <w:color w:val="202020"/>
          <w:sz w:val="22"/>
          <w:szCs w:val="22"/>
        </w:rPr>
        <w:t>Netanyahu declar</w:t>
      </w:r>
      <w:r w:rsidRPr="00EB0272">
        <w:rPr>
          <w:rFonts w:asciiTheme="minorHAnsi" w:hAnsiTheme="minorHAnsi" w:cstheme="minorHAnsi"/>
          <w:color w:val="202020"/>
          <w:sz w:val="22"/>
          <w:szCs w:val="22"/>
        </w:rPr>
        <w:t xml:space="preserve">ed </w:t>
      </w:r>
      <w:r w:rsidRPr="00EB0272">
        <w:rPr>
          <w:rFonts w:asciiTheme="minorHAnsi" w:hAnsiTheme="minorHAnsi" w:cstheme="minorHAnsi"/>
          <w:color w:val="202020"/>
          <w:sz w:val="22"/>
          <w:szCs w:val="22"/>
        </w:rPr>
        <w:t xml:space="preserve">that Israel is </w:t>
      </w:r>
      <w:r w:rsidRPr="00EB0272">
        <w:rPr>
          <w:rFonts w:asciiTheme="minorHAnsi" w:hAnsiTheme="minorHAnsi" w:cstheme="minorHAnsi"/>
          <w:b/>
          <w:bCs/>
          <w:color w:val="202020"/>
          <w:sz w:val="22"/>
          <w:szCs w:val="22"/>
        </w:rPr>
        <w:t>“</w:t>
      </w:r>
      <w:r w:rsidRPr="00EB0272">
        <w:rPr>
          <w:rStyle w:val="Strong"/>
          <w:rFonts w:asciiTheme="minorHAnsi" w:hAnsiTheme="minorHAnsi" w:cstheme="minorHAnsi"/>
          <w:b w:val="0"/>
          <w:bCs w:val="0"/>
          <w:color w:val="202020"/>
          <w:sz w:val="22"/>
          <w:szCs w:val="22"/>
        </w:rPr>
        <w:t>not a state of all its citizens</w:t>
      </w:r>
      <w:r w:rsidRPr="00EB0272">
        <w:rPr>
          <w:rStyle w:val="apple-converted-space"/>
          <w:rFonts w:asciiTheme="minorHAnsi" w:hAnsiTheme="minorHAnsi" w:cstheme="minorHAnsi"/>
          <w:b/>
          <w:bCs/>
          <w:color w:val="202020"/>
          <w:sz w:val="22"/>
          <w:szCs w:val="22"/>
        </w:rPr>
        <w:t> </w:t>
      </w:r>
      <w:r w:rsidRPr="00EB0272">
        <w:rPr>
          <w:rFonts w:asciiTheme="minorHAnsi" w:hAnsiTheme="minorHAnsi" w:cstheme="minorHAnsi"/>
          <w:b/>
          <w:bCs/>
          <w:color w:val="202020"/>
          <w:sz w:val="22"/>
          <w:szCs w:val="22"/>
        </w:rPr>
        <w:t xml:space="preserve">… </w:t>
      </w:r>
      <w:r w:rsidRPr="00EB0272">
        <w:rPr>
          <w:rFonts w:asciiTheme="minorHAnsi" w:hAnsiTheme="minorHAnsi" w:cstheme="minorHAnsi"/>
          <w:color w:val="202020"/>
          <w:sz w:val="22"/>
          <w:szCs w:val="22"/>
        </w:rPr>
        <w:t>Israel is the nation state of the Jewish people – and it alone”.</w:t>
      </w:r>
      <w:r w:rsidR="00EB0272">
        <w:rPr>
          <w:rStyle w:val="FootnoteReference"/>
          <w:rFonts w:asciiTheme="minorHAnsi" w:hAnsiTheme="minorHAnsi" w:cstheme="minorHAnsi"/>
          <w:color w:val="202020"/>
          <w:sz w:val="22"/>
          <w:szCs w:val="22"/>
        </w:rPr>
        <w:footnoteReference w:id="26"/>
      </w:r>
      <w:r w:rsidRPr="00EB0272">
        <w:rPr>
          <w:rFonts w:asciiTheme="minorHAnsi" w:hAnsiTheme="minorHAnsi" w:cstheme="minorHAnsi"/>
          <w:color w:val="202020"/>
          <w:sz w:val="22"/>
          <w:szCs w:val="22"/>
        </w:rPr>
        <w:t xml:space="preserve"> </w:t>
      </w:r>
      <w:r w:rsidRPr="00EB0272">
        <w:rPr>
          <w:rFonts w:asciiTheme="minorHAnsi" w:hAnsiTheme="minorHAnsi" w:cstheme="minorHAnsi"/>
          <w:color w:val="000000"/>
          <w:sz w:val="22"/>
          <w:szCs w:val="22"/>
        </w:rPr>
        <w:t xml:space="preserve">Benny </w:t>
      </w:r>
      <w:proofErr w:type="spellStart"/>
      <w:r w:rsidRPr="00EB0272">
        <w:rPr>
          <w:rFonts w:asciiTheme="minorHAnsi" w:hAnsiTheme="minorHAnsi" w:cstheme="minorHAnsi"/>
          <w:color w:val="000000"/>
          <w:sz w:val="22"/>
          <w:szCs w:val="22"/>
        </w:rPr>
        <w:t>Gantz</w:t>
      </w:r>
      <w:proofErr w:type="spellEnd"/>
      <w:r w:rsidRPr="00EB0272">
        <w:rPr>
          <w:rFonts w:asciiTheme="minorHAnsi" w:hAnsiTheme="minorHAnsi" w:cstheme="minorHAnsi"/>
          <w:color w:val="000000"/>
          <w:sz w:val="22"/>
          <w:szCs w:val="22"/>
        </w:rPr>
        <w:t>, Netanyahu’s main rival</w:t>
      </w:r>
      <w:r w:rsidRPr="00EB0272">
        <w:rPr>
          <w:rFonts w:asciiTheme="minorHAnsi" w:hAnsiTheme="minorHAnsi" w:cstheme="minorHAnsi"/>
          <w:color w:val="000000"/>
          <w:sz w:val="22"/>
          <w:szCs w:val="22"/>
        </w:rPr>
        <w:t xml:space="preserve"> then and now</w:t>
      </w:r>
      <w:r w:rsidRPr="00EB0272">
        <w:rPr>
          <w:rFonts w:asciiTheme="minorHAnsi" w:hAnsiTheme="minorHAnsi" w:cstheme="minorHAnsi"/>
          <w:color w:val="000000"/>
          <w:sz w:val="22"/>
          <w:szCs w:val="22"/>
        </w:rPr>
        <w:t>, adopted the</w:t>
      </w:r>
      <w:r w:rsidRPr="00EB0272">
        <w:rPr>
          <w:rFonts w:asciiTheme="minorHAnsi" w:hAnsiTheme="minorHAnsi" w:cstheme="minorHAnsi"/>
          <w:color w:val="000000"/>
          <w:sz w:val="22"/>
          <w:szCs w:val="22"/>
        </w:rPr>
        <w:t xml:space="preserve"> same racist rhetoric,</w:t>
      </w:r>
      <w:r w:rsidRPr="00EB0272">
        <w:rPr>
          <w:rStyle w:val="apple-converted-space"/>
          <w:rFonts w:asciiTheme="minorHAnsi" w:hAnsiTheme="minorHAnsi" w:cstheme="minorHAnsi"/>
          <w:color w:val="000000"/>
          <w:sz w:val="22"/>
          <w:szCs w:val="22"/>
        </w:rPr>
        <w:t> </w:t>
      </w:r>
      <w:r w:rsidRPr="00EB0272">
        <w:rPr>
          <w:rFonts w:asciiTheme="minorHAnsi" w:hAnsiTheme="minorHAnsi" w:cstheme="minorHAnsi"/>
          <w:color w:val="000000"/>
          <w:sz w:val="22"/>
          <w:szCs w:val="22"/>
        </w:rPr>
        <w:t>claiming that he “can’t have any political discourse” with the Arab parties, whom he alleged “don’t serve their [Arab constituents'] interests and are irrelevant”.</w:t>
      </w:r>
      <w:r w:rsidRPr="00EB0272">
        <w:rPr>
          <w:rStyle w:val="FootnoteReference"/>
          <w:rFonts w:asciiTheme="minorHAnsi" w:hAnsiTheme="minorHAnsi" w:cstheme="minorHAnsi"/>
          <w:color w:val="000000"/>
          <w:sz w:val="22"/>
          <w:szCs w:val="22"/>
        </w:rPr>
        <w:footnoteReference w:id="27"/>
      </w:r>
    </w:p>
    <w:p w:rsidR="005F4678" w:rsidRDefault="005F4678" w:rsidP="00E75A03">
      <w:pPr>
        <w:pStyle w:val="NormalWeb"/>
        <w:shd w:val="clear" w:color="auto" w:fill="FFFFFF"/>
        <w:spacing w:before="0" w:beforeAutospacing="0" w:after="0" w:afterAutospacing="0"/>
        <w:jc w:val="both"/>
        <w:textAlignment w:val="baseline"/>
        <w:rPr>
          <w:rFonts w:asciiTheme="minorHAnsi" w:hAnsiTheme="minorHAnsi" w:cstheme="minorHAnsi"/>
          <w:color w:val="000000"/>
          <w:sz w:val="22"/>
          <w:szCs w:val="22"/>
        </w:rPr>
      </w:pPr>
    </w:p>
    <w:p w:rsidR="00DA2E75" w:rsidRPr="00BA0F18" w:rsidRDefault="00DA2E75" w:rsidP="00D8750F">
      <w:pPr>
        <w:pStyle w:val="NormalWeb"/>
        <w:numPr>
          <w:ilvl w:val="0"/>
          <w:numId w:val="5"/>
        </w:numPr>
        <w:shd w:val="clear" w:color="auto" w:fill="FFFFFF"/>
        <w:spacing w:before="0" w:beforeAutospacing="0" w:after="0" w:afterAutospacing="0"/>
        <w:jc w:val="both"/>
        <w:textAlignment w:val="baseline"/>
        <w:rPr>
          <w:rFonts w:asciiTheme="minorHAnsi" w:eastAsiaTheme="minorHAnsi" w:hAnsiTheme="minorHAnsi" w:cstheme="minorHAnsi"/>
          <w:b/>
          <w:bCs/>
          <w:sz w:val="22"/>
          <w:szCs w:val="22"/>
        </w:rPr>
      </w:pPr>
      <w:r w:rsidRPr="00BA0F18">
        <w:rPr>
          <w:rFonts w:asciiTheme="minorHAnsi" w:eastAsiaTheme="minorHAnsi" w:hAnsiTheme="minorHAnsi" w:cstheme="minorHAnsi"/>
          <w:b/>
          <w:bCs/>
          <w:sz w:val="22"/>
          <w:szCs w:val="22"/>
        </w:rPr>
        <w:t>Hidden surveillance cameras in polling stations in Arab communities</w:t>
      </w:r>
      <w:r w:rsidR="00D8750F" w:rsidRPr="00BA0F18">
        <w:rPr>
          <w:rFonts w:asciiTheme="minorHAnsi" w:eastAsiaTheme="minorHAnsi" w:hAnsiTheme="minorHAnsi" w:cstheme="minorHAnsi"/>
          <w:b/>
          <w:bCs/>
          <w:sz w:val="22"/>
          <w:szCs w:val="22"/>
        </w:rPr>
        <w:t xml:space="preserve"> in Israel</w:t>
      </w:r>
    </w:p>
    <w:p w:rsidR="00C603B0" w:rsidRDefault="00C603B0" w:rsidP="00D8750F">
      <w:pPr>
        <w:pStyle w:val="NormalWeb"/>
        <w:shd w:val="clear" w:color="auto" w:fill="FFFFFF"/>
        <w:spacing w:before="0" w:beforeAutospacing="0" w:after="0" w:afterAutospacing="0"/>
        <w:jc w:val="both"/>
        <w:textAlignment w:val="baseline"/>
        <w:rPr>
          <w:rFonts w:asciiTheme="minorHAnsi" w:hAnsiTheme="minorHAnsi" w:cstheme="minorHAnsi"/>
          <w:color w:val="000000"/>
          <w:sz w:val="22"/>
          <w:szCs w:val="22"/>
        </w:rPr>
      </w:pPr>
    </w:p>
    <w:p w:rsidR="00DA2E75" w:rsidRPr="001125D7" w:rsidRDefault="00DA2E75" w:rsidP="00D8750F">
      <w:pPr>
        <w:pStyle w:val="NormalWeb"/>
        <w:shd w:val="clear" w:color="auto" w:fill="FFFFFF"/>
        <w:spacing w:before="0" w:beforeAutospacing="0" w:after="0" w:afterAutospacing="0"/>
        <w:jc w:val="both"/>
        <w:textAlignment w:val="baseline"/>
        <w:rPr>
          <w:rFonts w:asciiTheme="minorHAnsi" w:hAnsiTheme="minorHAnsi" w:cstheme="minorHAnsi"/>
          <w:color w:val="000000"/>
          <w:sz w:val="22"/>
          <w:szCs w:val="22"/>
        </w:rPr>
      </w:pPr>
      <w:r w:rsidRPr="001125D7">
        <w:rPr>
          <w:rFonts w:asciiTheme="minorHAnsi" w:hAnsiTheme="minorHAnsi" w:cstheme="minorHAnsi"/>
          <w:color w:val="000000"/>
          <w:sz w:val="22"/>
          <w:szCs w:val="22"/>
        </w:rPr>
        <w:t>During the course of the 9 April 2019 Knesset elections, media reports indicated that members of the Likud party's polling committee planted some 1,200 hidden surveillance cameras in polling stations in Arab communities.</w:t>
      </w:r>
      <w:r w:rsidR="00D8750F" w:rsidRPr="001125D7">
        <w:rPr>
          <w:rFonts w:asciiTheme="minorHAnsi" w:hAnsiTheme="minorHAnsi" w:cstheme="minorHAnsi"/>
          <w:color w:val="000000"/>
          <w:sz w:val="22"/>
          <w:szCs w:val="22"/>
        </w:rPr>
        <w:t xml:space="preserve"> </w:t>
      </w:r>
      <w:r w:rsidRPr="001125D7">
        <w:rPr>
          <w:rFonts w:asciiTheme="minorHAnsi" w:hAnsiTheme="minorHAnsi" w:cstheme="minorHAnsi"/>
          <w:color w:val="000000"/>
          <w:sz w:val="22"/>
          <w:szCs w:val="22"/>
        </w:rPr>
        <w:t xml:space="preserve">These reports were subsequently confirmed by the </w:t>
      </w:r>
      <w:r w:rsidR="00C603B0">
        <w:rPr>
          <w:rFonts w:asciiTheme="minorHAnsi" w:hAnsiTheme="minorHAnsi" w:cstheme="minorHAnsi"/>
          <w:color w:val="000000"/>
          <w:sz w:val="22"/>
          <w:szCs w:val="22"/>
        </w:rPr>
        <w:t xml:space="preserve">CEC. </w:t>
      </w:r>
      <w:r w:rsidR="00D8750F" w:rsidRPr="001125D7">
        <w:rPr>
          <w:rFonts w:asciiTheme="minorHAnsi" w:hAnsiTheme="minorHAnsi" w:cstheme="minorHAnsi"/>
          <w:color w:val="000000"/>
          <w:sz w:val="22"/>
          <w:szCs w:val="22"/>
        </w:rPr>
        <w:t xml:space="preserve">Following </w:t>
      </w:r>
      <w:proofErr w:type="spellStart"/>
      <w:r w:rsidR="00C603B0">
        <w:rPr>
          <w:rFonts w:asciiTheme="minorHAnsi" w:hAnsiTheme="minorHAnsi" w:cstheme="minorHAnsi"/>
          <w:color w:val="000000"/>
          <w:sz w:val="22"/>
          <w:szCs w:val="22"/>
        </w:rPr>
        <w:t>Adalah’s</w:t>
      </w:r>
      <w:proofErr w:type="spellEnd"/>
      <w:r w:rsidR="00C603B0">
        <w:rPr>
          <w:rFonts w:asciiTheme="minorHAnsi" w:hAnsiTheme="minorHAnsi" w:cstheme="minorHAnsi"/>
          <w:color w:val="000000"/>
          <w:sz w:val="22"/>
          <w:szCs w:val="22"/>
        </w:rPr>
        <w:t xml:space="preserve"> </w:t>
      </w:r>
      <w:r w:rsidR="00D8750F" w:rsidRPr="001125D7">
        <w:rPr>
          <w:rFonts w:asciiTheme="minorHAnsi" w:hAnsiTheme="minorHAnsi" w:cstheme="minorHAnsi"/>
          <w:color w:val="000000"/>
          <w:sz w:val="22"/>
          <w:szCs w:val="22"/>
        </w:rPr>
        <w:t>legal intervention</w:t>
      </w:r>
      <w:r w:rsidR="00C603B0">
        <w:rPr>
          <w:rFonts w:asciiTheme="minorHAnsi" w:hAnsiTheme="minorHAnsi" w:cstheme="minorHAnsi"/>
          <w:color w:val="000000"/>
          <w:sz w:val="22"/>
          <w:szCs w:val="22"/>
        </w:rPr>
        <w:t xml:space="preserve">, the head of the CEC </w:t>
      </w:r>
      <w:r w:rsidR="00D8750F" w:rsidRPr="001125D7">
        <w:rPr>
          <w:rFonts w:asciiTheme="minorHAnsi" w:hAnsiTheme="minorHAnsi" w:cstheme="minorHAnsi"/>
          <w:color w:val="000000"/>
          <w:sz w:val="22"/>
          <w:szCs w:val="22"/>
          <w:bdr w:val="none" w:sz="0" w:space="0" w:color="auto" w:frame="1"/>
        </w:rPr>
        <w:t>decided</w:t>
      </w:r>
      <w:r w:rsidR="00D8750F" w:rsidRPr="001125D7">
        <w:rPr>
          <w:rFonts w:asciiTheme="minorHAnsi" w:hAnsiTheme="minorHAnsi" w:cstheme="minorHAnsi"/>
          <w:color w:val="000000"/>
          <w:sz w:val="22"/>
          <w:szCs w:val="22"/>
        </w:rPr>
        <w:t xml:space="preserve"> on 26 August 2019 to forbid the Likud and all other political parties from deploying surveillance cameras in polling stations on the upcoming election day on 17 </w:t>
      </w:r>
      <w:r w:rsidR="00D8750F" w:rsidRPr="001125D7">
        <w:rPr>
          <w:rFonts w:asciiTheme="minorHAnsi" w:hAnsiTheme="minorHAnsi" w:cstheme="minorHAnsi"/>
          <w:color w:val="000000"/>
          <w:sz w:val="22"/>
          <w:szCs w:val="22"/>
        </w:rPr>
        <w:lastRenderedPageBreak/>
        <w:t>September 2019.</w:t>
      </w:r>
      <w:r w:rsidR="00D8750F" w:rsidRPr="001125D7">
        <w:rPr>
          <w:rStyle w:val="FootnoteReference"/>
          <w:rFonts w:asciiTheme="minorHAnsi" w:hAnsiTheme="minorHAnsi" w:cstheme="minorHAnsi"/>
          <w:color w:val="000000"/>
          <w:sz w:val="22"/>
          <w:szCs w:val="22"/>
        </w:rPr>
        <w:footnoteReference w:id="28"/>
      </w:r>
      <w:r w:rsidR="00D8750F" w:rsidRPr="001125D7">
        <w:rPr>
          <w:rFonts w:asciiTheme="minorHAnsi" w:hAnsiTheme="minorHAnsi" w:cstheme="minorHAnsi"/>
          <w:color w:val="000000"/>
          <w:sz w:val="22"/>
          <w:szCs w:val="22"/>
        </w:rPr>
        <w:t xml:space="preserve"> The Likud party's placement of cameras in polling stations in Arab communities constituted ethnic profiling of Arab citizens and was intended to deter them from voting. The placement of cameras was likewise a violation of the constitutional right to vote freely and with privacy.</w:t>
      </w:r>
    </w:p>
    <w:p w:rsidR="00D8750F" w:rsidRPr="001125D7" w:rsidRDefault="00D8750F" w:rsidP="00D8750F">
      <w:pPr>
        <w:pStyle w:val="NormalWeb"/>
        <w:shd w:val="clear" w:color="auto" w:fill="FFFFFF"/>
        <w:spacing w:before="0" w:beforeAutospacing="0" w:after="0" w:afterAutospacing="0"/>
        <w:jc w:val="both"/>
        <w:textAlignment w:val="baseline"/>
        <w:rPr>
          <w:rFonts w:asciiTheme="minorHAnsi" w:hAnsiTheme="minorHAnsi" w:cstheme="minorHAnsi"/>
          <w:color w:val="000000"/>
          <w:sz w:val="22"/>
          <w:szCs w:val="22"/>
        </w:rPr>
      </w:pPr>
    </w:p>
    <w:p w:rsidR="00D8750F" w:rsidRPr="001125D7" w:rsidRDefault="00D8750F" w:rsidP="00D8750F">
      <w:pPr>
        <w:pStyle w:val="NormalWeb"/>
        <w:shd w:val="clear" w:color="auto" w:fill="FFFFFF"/>
        <w:spacing w:before="0" w:beforeAutospacing="0" w:after="0" w:afterAutospacing="0"/>
        <w:jc w:val="both"/>
        <w:textAlignment w:val="baseline"/>
        <w:rPr>
          <w:rFonts w:asciiTheme="minorHAnsi" w:hAnsiTheme="minorHAnsi" w:cstheme="minorHAnsi"/>
          <w:color w:val="000000"/>
          <w:sz w:val="22"/>
          <w:szCs w:val="22"/>
        </w:rPr>
      </w:pPr>
      <w:r w:rsidRPr="001125D7">
        <w:rPr>
          <w:rFonts w:asciiTheme="minorHAnsi" w:hAnsiTheme="minorHAnsi" w:cstheme="minorHAnsi"/>
          <w:color w:val="000000"/>
          <w:sz w:val="22"/>
          <w:szCs w:val="22"/>
        </w:rPr>
        <w:t>On 9 September 2019, the Likud party’s proposed “camera law”, that sought to allow the deployment of surveillance cameras in polling stations in Arab communities on Israeli election day by law, was defeated in the Knesset.</w:t>
      </w:r>
      <w:r w:rsidRPr="001125D7">
        <w:rPr>
          <w:rStyle w:val="FootnoteReference"/>
          <w:rFonts w:asciiTheme="minorHAnsi" w:hAnsiTheme="minorHAnsi" w:cstheme="minorHAnsi"/>
          <w:color w:val="000000"/>
          <w:sz w:val="22"/>
          <w:szCs w:val="22"/>
        </w:rPr>
        <w:footnoteReference w:id="29"/>
      </w:r>
      <w:r w:rsidRPr="001125D7">
        <w:rPr>
          <w:rFonts w:asciiTheme="minorHAnsi" w:hAnsiTheme="minorHAnsi" w:cstheme="minorHAnsi"/>
          <w:color w:val="000000"/>
          <w:sz w:val="22"/>
          <w:szCs w:val="22"/>
        </w:rPr>
        <w:t xml:space="preserve"> The purpose of the bill was to influence the upcoming elections via racial incitement via selective and discriminatory monitoring of polling stations used by Arab citizens.</w:t>
      </w:r>
    </w:p>
    <w:p w:rsidR="00D31220" w:rsidRPr="001125D7" w:rsidRDefault="00D31220" w:rsidP="00D8750F">
      <w:pPr>
        <w:pStyle w:val="NormalWeb"/>
        <w:shd w:val="clear" w:color="auto" w:fill="FFFFFF"/>
        <w:spacing w:before="0" w:beforeAutospacing="0" w:after="0" w:afterAutospacing="0"/>
        <w:jc w:val="both"/>
        <w:textAlignment w:val="baseline"/>
        <w:rPr>
          <w:rFonts w:asciiTheme="minorHAnsi" w:hAnsiTheme="minorHAnsi" w:cstheme="minorHAnsi"/>
          <w:color w:val="000000"/>
          <w:sz w:val="22"/>
          <w:szCs w:val="22"/>
        </w:rPr>
      </w:pPr>
    </w:p>
    <w:p w:rsidR="00C9086D" w:rsidRPr="00C603B0" w:rsidRDefault="00C9086D" w:rsidP="00C603B0">
      <w:pPr>
        <w:pStyle w:val="ListParagraph"/>
        <w:numPr>
          <w:ilvl w:val="0"/>
          <w:numId w:val="7"/>
        </w:numPr>
        <w:jc w:val="both"/>
        <w:rPr>
          <w:rFonts w:asciiTheme="minorHAnsi" w:hAnsiTheme="minorHAnsi" w:cstheme="minorHAnsi"/>
          <w:b/>
          <w:bCs/>
          <w:sz w:val="22"/>
          <w:szCs w:val="22"/>
          <w:u w:val="single"/>
        </w:rPr>
      </w:pPr>
      <w:r w:rsidRPr="00C603B0">
        <w:rPr>
          <w:rFonts w:asciiTheme="minorHAnsi" w:hAnsiTheme="minorHAnsi" w:cstheme="minorHAnsi"/>
          <w:b/>
          <w:bCs/>
          <w:sz w:val="22"/>
          <w:szCs w:val="22"/>
          <w:u w:val="single"/>
        </w:rPr>
        <w:t>Representation of Arabs and Arab Women in the Civil Service</w:t>
      </w:r>
    </w:p>
    <w:p w:rsidR="00BA0F18" w:rsidRDefault="00BA0F18" w:rsidP="00C9086D">
      <w:pPr>
        <w:jc w:val="both"/>
        <w:rPr>
          <w:rFonts w:asciiTheme="minorHAnsi" w:hAnsiTheme="minorHAnsi" w:cstheme="minorHAnsi"/>
          <w:color w:val="000000"/>
          <w:sz w:val="22"/>
          <w:szCs w:val="22"/>
        </w:rPr>
      </w:pPr>
    </w:p>
    <w:p w:rsidR="00C9086D" w:rsidRPr="001125D7" w:rsidRDefault="00C9086D" w:rsidP="00C9086D">
      <w:pPr>
        <w:jc w:val="both"/>
        <w:rPr>
          <w:rFonts w:asciiTheme="minorHAnsi" w:hAnsiTheme="minorHAnsi" w:cstheme="minorHAnsi"/>
          <w:color w:val="000000"/>
          <w:sz w:val="22"/>
          <w:szCs w:val="22"/>
        </w:rPr>
      </w:pPr>
      <w:r w:rsidRPr="001125D7">
        <w:rPr>
          <w:rFonts w:asciiTheme="minorHAnsi" w:hAnsiTheme="minorHAnsi" w:cstheme="minorHAnsi"/>
          <w:color w:val="000000"/>
          <w:sz w:val="22"/>
          <w:szCs w:val="22"/>
        </w:rPr>
        <w:t xml:space="preserve">In its </w:t>
      </w:r>
      <w:r w:rsidR="00C603B0">
        <w:rPr>
          <w:rFonts w:asciiTheme="minorHAnsi" w:hAnsiTheme="minorHAnsi" w:cstheme="minorHAnsi"/>
          <w:color w:val="000000"/>
          <w:sz w:val="22"/>
          <w:szCs w:val="22"/>
        </w:rPr>
        <w:t xml:space="preserve">2012 </w:t>
      </w:r>
      <w:r w:rsidRPr="001125D7">
        <w:rPr>
          <w:rFonts w:asciiTheme="minorHAnsi" w:hAnsiTheme="minorHAnsi" w:cstheme="minorHAnsi"/>
          <w:color w:val="000000"/>
          <w:sz w:val="22"/>
          <w:szCs w:val="22"/>
        </w:rPr>
        <w:t>Concluding Observations</w:t>
      </w:r>
      <w:r w:rsidR="00C603B0">
        <w:rPr>
          <w:rFonts w:asciiTheme="minorHAnsi" w:hAnsiTheme="minorHAnsi" w:cstheme="minorHAnsi"/>
          <w:color w:val="000000"/>
          <w:sz w:val="22"/>
          <w:szCs w:val="22"/>
        </w:rPr>
        <w:t>,</w:t>
      </w:r>
      <w:r w:rsidRPr="001125D7">
        <w:rPr>
          <w:rFonts w:asciiTheme="minorHAnsi" w:hAnsiTheme="minorHAnsi" w:cstheme="minorHAnsi"/>
          <w:color w:val="000000"/>
          <w:sz w:val="22"/>
          <w:szCs w:val="22"/>
        </w:rPr>
        <w:t xml:space="preserve"> the Committee refers to the issue of representation of Palestinian</w:t>
      </w:r>
      <w:r w:rsidR="00C603B0">
        <w:rPr>
          <w:rFonts w:asciiTheme="minorHAnsi" w:hAnsiTheme="minorHAnsi" w:cstheme="minorHAnsi"/>
          <w:color w:val="000000"/>
          <w:sz w:val="22"/>
          <w:szCs w:val="22"/>
        </w:rPr>
        <w:t xml:space="preserve"> citizens of Israel</w:t>
      </w:r>
      <w:r w:rsidRPr="001125D7">
        <w:rPr>
          <w:rFonts w:asciiTheme="minorHAnsi" w:hAnsiTheme="minorHAnsi" w:cstheme="minorHAnsi"/>
          <w:color w:val="000000"/>
          <w:sz w:val="22"/>
          <w:szCs w:val="22"/>
        </w:rPr>
        <w:t xml:space="preserve"> in the civil service as a “positive aspect” in the states actions to implement the convention (para. 9). However, actions taken by the state in this regard have not been effective and demonstrate its ongoing lack of serious will to improve the situation.</w:t>
      </w:r>
    </w:p>
    <w:p w:rsidR="00BA0F18" w:rsidRDefault="00BA0F18" w:rsidP="00C9086D">
      <w:pPr>
        <w:pStyle w:val="Default"/>
        <w:jc w:val="both"/>
        <w:rPr>
          <w:rFonts w:asciiTheme="minorHAnsi" w:hAnsiTheme="minorHAnsi" w:cstheme="minorHAnsi"/>
          <w:sz w:val="22"/>
          <w:szCs w:val="22"/>
        </w:rPr>
      </w:pPr>
    </w:p>
    <w:p w:rsidR="00C9086D" w:rsidRPr="001125D7" w:rsidRDefault="00C9086D" w:rsidP="005F4678">
      <w:pPr>
        <w:pStyle w:val="Default"/>
        <w:jc w:val="both"/>
        <w:rPr>
          <w:rFonts w:asciiTheme="minorHAnsi" w:hAnsiTheme="minorHAnsi" w:cstheme="minorHAnsi"/>
          <w:sz w:val="22"/>
          <w:szCs w:val="22"/>
        </w:rPr>
      </w:pPr>
      <w:r w:rsidRPr="001125D7">
        <w:rPr>
          <w:rFonts w:asciiTheme="minorHAnsi" w:hAnsiTheme="minorHAnsi" w:cstheme="minorHAnsi"/>
          <w:sz w:val="22"/>
          <w:szCs w:val="22"/>
        </w:rPr>
        <w:t>The legal obligation to ensure appropriate representation for certain groups in the Israeli civil service is set forth in Article 15(a) of the Civil Service Law (Appointments) – 1959.</w:t>
      </w:r>
      <w:r w:rsidRPr="001125D7">
        <w:rPr>
          <w:rStyle w:val="FootnoteReference"/>
          <w:rFonts w:asciiTheme="minorHAnsi" w:hAnsiTheme="minorHAnsi" w:cstheme="minorHAnsi"/>
          <w:sz w:val="22"/>
          <w:szCs w:val="22"/>
        </w:rPr>
        <w:footnoteReference w:id="30"/>
      </w:r>
      <w:r w:rsidRPr="001125D7">
        <w:rPr>
          <w:rFonts w:asciiTheme="minorHAnsi" w:hAnsiTheme="minorHAnsi" w:cstheme="minorHAnsi"/>
          <w:sz w:val="22"/>
          <w:szCs w:val="22"/>
        </w:rPr>
        <w:t xml:space="preserve">  It stipulates that government ministries and their auxiliary units must ensure appropriate representation for women (as amended in 1995) and for Arab</w:t>
      </w:r>
      <w:r w:rsidR="00C603B0">
        <w:rPr>
          <w:rFonts w:asciiTheme="minorHAnsi" w:hAnsiTheme="minorHAnsi" w:cstheme="minorHAnsi"/>
          <w:sz w:val="22"/>
          <w:szCs w:val="22"/>
        </w:rPr>
        <w:t xml:space="preserve"> citizens</w:t>
      </w:r>
      <w:r w:rsidRPr="001125D7">
        <w:rPr>
          <w:rFonts w:asciiTheme="minorHAnsi" w:hAnsiTheme="minorHAnsi" w:cstheme="minorHAnsi"/>
          <w:sz w:val="22"/>
          <w:szCs w:val="22"/>
        </w:rPr>
        <w:t xml:space="preserve"> (as amended in 2000). Later amendments of the Civil Service Law introduced an obligation of appropriate representation in relation to additional groups: Ethiopians, persons with disability, new Jewish immigrants and Haredi Jews.  Whereas the law sets a general obligation for proper representation, it does not define any quantitative targets for fulfilling it. Consequently, representation quotas were left to be decided by the Israeli Government itself. Over the years, the Government has released specific decisions in relation to the representation of certain groups in the civil service. With respect to Arab representation, Government Resolution No. 2579 (2007) sets an interim target of 10% Arab representation which should have been attained by the year 2012. The decision also requires ministries to designate 30% of the new positions each year to Arab citizens.</w:t>
      </w:r>
      <w:r w:rsidRPr="001125D7">
        <w:rPr>
          <w:rStyle w:val="FootnoteReference"/>
          <w:rFonts w:asciiTheme="minorHAnsi" w:hAnsiTheme="minorHAnsi" w:cstheme="minorHAnsi"/>
          <w:sz w:val="22"/>
          <w:szCs w:val="22"/>
        </w:rPr>
        <w:footnoteReference w:id="31"/>
      </w:r>
      <w:r w:rsidRPr="001125D7">
        <w:rPr>
          <w:rFonts w:asciiTheme="minorHAnsi" w:hAnsiTheme="minorHAnsi" w:cstheme="minorHAnsi"/>
          <w:sz w:val="22"/>
          <w:szCs w:val="22"/>
        </w:rPr>
        <w:t xml:space="preserve"> As for women, Government Resolution No. 1697 (2014) requires ministries to ensure 50% of women representation in high level positions.  </w:t>
      </w: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jc w:val="both"/>
        <w:rPr>
          <w:rFonts w:asciiTheme="minorHAnsi" w:hAnsiTheme="minorHAnsi" w:cstheme="minorHAnsi"/>
          <w:sz w:val="22"/>
          <w:szCs w:val="22"/>
        </w:rPr>
      </w:pPr>
      <w:r w:rsidRPr="001125D7">
        <w:rPr>
          <w:rFonts w:asciiTheme="minorHAnsi" w:hAnsiTheme="minorHAnsi" w:cstheme="minorHAnsi"/>
          <w:sz w:val="22"/>
          <w:szCs w:val="22"/>
        </w:rPr>
        <w:t xml:space="preserve">Since 2008, </w:t>
      </w:r>
      <w:proofErr w:type="spellStart"/>
      <w:r w:rsidRPr="001125D7">
        <w:rPr>
          <w:rFonts w:asciiTheme="minorHAnsi" w:hAnsiTheme="minorHAnsi" w:cstheme="minorHAnsi"/>
          <w:sz w:val="22"/>
          <w:szCs w:val="22"/>
        </w:rPr>
        <w:t>Adalah</w:t>
      </w:r>
      <w:proofErr w:type="spellEnd"/>
      <w:r w:rsidRPr="001125D7">
        <w:rPr>
          <w:rFonts w:asciiTheme="minorHAnsi" w:hAnsiTheme="minorHAnsi" w:cstheme="minorHAnsi"/>
          <w:sz w:val="22"/>
          <w:szCs w:val="22"/>
        </w:rPr>
        <w:t xml:space="preserve"> has requested regularly data from several ministries on the implementation of the law and the operative measures that were taken to ensure an appropriate representation of Arab women in the civil service. The responses received </w:t>
      </w:r>
      <w:r w:rsidR="00C603B0">
        <w:rPr>
          <w:rFonts w:asciiTheme="minorHAnsi" w:hAnsiTheme="minorHAnsi" w:cstheme="minorHAnsi"/>
          <w:sz w:val="22"/>
          <w:szCs w:val="22"/>
        </w:rPr>
        <w:t xml:space="preserve">from </w:t>
      </w:r>
      <w:r w:rsidRPr="001125D7">
        <w:rPr>
          <w:rFonts w:asciiTheme="minorHAnsi" w:hAnsiTheme="minorHAnsi" w:cstheme="minorHAnsi"/>
          <w:sz w:val="22"/>
          <w:szCs w:val="22"/>
        </w:rPr>
        <w:t xml:space="preserve">the state up until 2013 revealed that no effective operative steps were taken by the ministries in this regard, and that the rate of employment of Arab women in the civil service remained negligible, and government ministries failed to achieve the designated 10% quota for Arab citizens. </w:t>
      </w:r>
    </w:p>
    <w:p w:rsidR="00C9086D" w:rsidRPr="001125D7" w:rsidRDefault="00C9086D" w:rsidP="00C9086D">
      <w:pPr>
        <w:pStyle w:val="Default"/>
        <w:tabs>
          <w:tab w:val="left" w:pos="3644"/>
        </w:tabs>
        <w:jc w:val="both"/>
        <w:rPr>
          <w:rFonts w:asciiTheme="minorHAnsi" w:hAnsiTheme="minorHAnsi" w:cstheme="minorHAnsi"/>
          <w:sz w:val="22"/>
          <w:szCs w:val="22"/>
        </w:rPr>
      </w:pPr>
      <w:r w:rsidRPr="001125D7">
        <w:rPr>
          <w:rFonts w:asciiTheme="minorHAnsi" w:hAnsiTheme="minorHAnsi" w:cstheme="minorHAnsi"/>
          <w:sz w:val="22"/>
          <w:szCs w:val="22"/>
        </w:rPr>
        <w:tab/>
      </w:r>
    </w:p>
    <w:p w:rsidR="00C9086D" w:rsidRPr="001125D7" w:rsidRDefault="00C9086D" w:rsidP="005F4678">
      <w:pPr>
        <w:pStyle w:val="Default"/>
        <w:jc w:val="both"/>
        <w:rPr>
          <w:rFonts w:asciiTheme="minorHAnsi" w:hAnsiTheme="minorHAnsi" w:cstheme="minorHAnsi"/>
          <w:sz w:val="22"/>
          <w:szCs w:val="22"/>
        </w:rPr>
      </w:pPr>
      <w:r w:rsidRPr="001125D7">
        <w:rPr>
          <w:rFonts w:asciiTheme="minorHAnsi" w:hAnsiTheme="minorHAnsi" w:cstheme="minorHAnsi"/>
          <w:sz w:val="22"/>
          <w:szCs w:val="22"/>
        </w:rPr>
        <w:t xml:space="preserve">In 2018, </w:t>
      </w:r>
      <w:proofErr w:type="spellStart"/>
      <w:r w:rsidRPr="001125D7">
        <w:rPr>
          <w:rFonts w:asciiTheme="minorHAnsi" w:hAnsiTheme="minorHAnsi" w:cstheme="minorHAnsi"/>
          <w:sz w:val="22"/>
          <w:szCs w:val="22"/>
        </w:rPr>
        <w:t>Adalah</w:t>
      </w:r>
      <w:proofErr w:type="spellEnd"/>
      <w:r w:rsidRPr="001125D7">
        <w:rPr>
          <w:rFonts w:asciiTheme="minorHAnsi" w:hAnsiTheme="minorHAnsi" w:cstheme="minorHAnsi"/>
          <w:sz w:val="22"/>
          <w:szCs w:val="22"/>
        </w:rPr>
        <w:t xml:space="preserve"> requested data from ministries again regarding their employees during the years 2015-2018. Based on the information we received, as well as data collected from previous years, </w:t>
      </w:r>
      <w:proofErr w:type="spellStart"/>
      <w:r w:rsidR="00C603B0">
        <w:rPr>
          <w:rFonts w:asciiTheme="minorHAnsi" w:hAnsiTheme="minorHAnsi" w:cstheme="minorHAnsi"/>
          <w:sz w:val="22"/>
          <w:szCs w:val="22"/>
        </w:rPr>
        <w:t>Adalah</w:t>
      </w:r>
      <w:proofErr w:type="spellEnd"/>
      <w:r w:rsidR="00C603B0">
        <w:rPr>
          <w:rFonts w:asciiTheme="minorHAnsi" w:hAnsiTheme="minorHAnsi" w:cstheme="minorHAnsi"/>
          <w:sz w:val="22"/>
          <w:szCs w:val="22"/>
        </w:rPr>
        <w:t xml:space="preserve"> </w:t>
      </w:r>
      <w:r w:rsidRPr="001125D7">
        <w:rPr>
          <w:rFonts w:asciiTheme="minorHAnsi" w:hAnsiTheme="minorHAnsi" w:cstheme="minorHAnsi"/>
          <w:sz w:val="22"/>
          <w:szCs w:val="22"/>
        </w:rPr>
        <w:t xml:space="preserve">organized employment data in </w:t>
      </w:r>
      <w:r w:rsidRPr="00095DCD">
        <w:rPr>
          <w:rFonts w:asciiTheme="minorHAnsi" w:hAnsiTheme="minorHAnsi" w:cstheme="minorHAnsi"/>
          <w:sz w:val="22"/>
          <w:szCs w:val="22"/>
        </w:rPr>
        <w:t>tables (attached as annexes) comparing</w:t>
      </w:r>
      <w:r w:rsidRPr="001125D7">
        <w:rPr>
          <w:rFonts w:asciiTheme="minorHAnsi" w:hAnsiTheme="minorHAnsi" w:cstheme="minorHAnsi"/>
          <w:sz w:val="22"/>
          <w:szCs w:val="22"/>
        </w:rPr>
        <w:t xml:space="preserve"> employment rates in six different ministries over a span of ten years (Ministr</w:t>
      </w:r>
      <w:r w:rsidR="005F4678">
        <w:rPr>
          <w:rFonts w:asciiTheme="minorHAnsi" w:hAnsiTheme="minorHAnsi" w:cstheme="minorHAnsi"/>
          <w:sz w:val="22"/>
          <w:szCs w:val="22"/>
        </w:rPr>
        <w:t xml:space="preserve">ies </w:t>
      </w:r>
      <w:r w:rsidRPr="001125D7">
        <w:rPr>
          <w:rFonts w:asciiTheme="minorHAnsi" w:hAnsiTheme="minorHAnsi" w:cstheme="minorHAnsi"/>
          <w:sz w:val="22"/>
          <w:szCs w:val="22"/>
        </w:rPr>
        <w:t xml:space="preserve">of Construction and Housing, Transport, </w:t>
      </w:r>
      <w:r w:rsidRPr="001125D7">
        <w:rPr>
          <w:rFonts w:asciiTheme="minorHAnsi" w:hAnsiTheme="minorHAnsi" w:cstheme="minorHAnsi"/>
          <w:sz w:val="22"/>
          <w:szCs w:val="22"/>
        </w:rPr>
        <w:lastRenderedPageBreak/>
        <w:t>Energy, Communications, Economy</w:t>
      </w:r>
      <w:r w:rsidR="00C603B0">
        <w:rPr>
          <w:rFonts w:asciiTheme="minorHAnsi" w:hAnsiTheme="minorHAnsi" w:cstheme="minorHAnsi"/>
          <w:sz w:val="22"/>
          <w:szCs w:val="22"/>
        </w:rPr>
        <w:t xml:space="preserve">, </w:t>
      </w:r>
      <w:r w:rsidRPr="001125D7">
        <w:rPr>
          <w:rFonts w:asciiTheme="minorHAnsi" w:hAnsiTheme="minorHAnsi" w:cstheme="minorHAnsi"/>
          <w:sz w:val="22"/>
          <w:szCs w:val="22"/>
        </w:rPr>
        <w:t>and Finance).</w:t>
      </w:r>
      <w:r w:rsidRPr="001125D7">
        <w:rPr>
          <w:rStyle w:val="FootnoteReference"/>
          <w:rFonts w:asciiTheme="minorHAnsi" w:hAnsiTheme="minorHAnsi" w:cstheme="minorHAnsi"/>
          <w:sz w:val="22"/>
          <w:szCs w:val="22"/>
        </w:rPr>
        <w:footnoteReference w:id="32"/>
      </w:r>
      <w:r w:rsidRPr="001125D7">
        <w:rPr>
          <w:rFonts w:asciiTheme="minorHAnsi" w:hAnsiTheme="minorHAnsi" w:cstheme="minorHAnsi"/>
          <w:sz w:val="22"/>
          <w:szCs w:val="22"/>
        </w:rPr>
        <w:t xml:space="preserve"> </w:t>
      </w:r>
      <w:r w:rsidR="005F4678">
        <w:rPr>
          <w:rFonts w:asciiTheme="minorHAnsi" w:hAnsiTheme="minorHAnsi" w:cstheme="minorHAnsi"/>
          <w:sz w:val="22"/>
          <w:szCs w:val="22"/>
        </w:rPr>
        <w:t xml:space="preserve"> </w:t>
      </w:r>
      <w:r w:rsidRPr="001125D7">
        <w:rPr>
          <w:rFonts w:asciiTheme="minorHAnsi" w:hAnsiTheme="minorHAnsi" w:cstheme="minorHAnsi"/>
          <w:sz w:val="22"/>
          <w:szCs w:val="22"/>
        </w:rPr>
        <w:t xml:space="preserve">The data received shows that in 2018, six years after the date by which government ministries were supposed to attain the 10% Arab representation in the civil service, none of the reviewed ministries had met this </w:t>
      </w:r>
      <w:r w:rsidR="00BD4015" w:rsidRPr="001125D7">
        <w:rPr>
          <w:rFonts w:asciiTheme="minorHAnsi" w:hAnsiTheme="minorHAnsi" w:cstheme="minorHAnsi"/>
          <w:sz w:val="22"/>
          <w:szCs w:val="22"/>
        </w:rPr>
        <w:t>target</w:t>
      </w:r>
      <w:r w:rsidRPr="001125D7">
        <w:rPr>
          <w:rFonts w:asciiTheme="minorHAnsi" w:hAnsiTheme="minorHAnsi" w:cstheme="minorHAnsi"/>
          <w:sz w:val="22"/>
          <w:szCs w:val="22"/>
        </w:rPr>
        <w:t xml:space="preserve">. The rate of Arab employment in 2018 varied widely according to the ministries (ranging from 3.2% to 9.0%), </w:t>
      </w:r>
      <w:r w:rsidR="00BD4015" w:rsidRPr="001125D7">
        <w:rPr>
          <w:rFonts w:asciiTheme="minorHAnsi" w:hAnsiTheme="minorHAnsi" w:cstheme="minorHAnsi"/>
          <w:sz w:val="22"/>
          <w:szCs w:val="22"/>
        </w:rPr>
        <w:t xml:space="preserve">while </w:t>
      </w:r>
      <w:r w:rsidRPr="001125D7">
        <w:rPr>
          <w:rFonts w:asciiTheme="minorHAnsi" w:hAnsiTheme="minorHAnsi" w:cstheme="minorHAnsi"/>
          <w:sz w:val="22"/>
          <w:szCs w:val="22"/>
        </w:rPr>
        <w:t xml:space="preserve">the rate of employment in each ministry </w:t>
      </w:r>
      <w:r w:rsidR="00BD4015" w:rsidRPr="001125D7">
        <w:rPr>
          <w:rFonts w:asciiTheme="minorHAnsi" w:hAnsiTheme="minorHAnsi" w:cstheme="minorHAnsi"/>
          <w:sz w:val="22"/>
          <w:szCs w:val="22"/>
        </w:rPr>
        <w:t>fluctuated</w:t>
      </w:r>
      <w:r w:rsidRPr="001125D7">
        <w:rPr>
          <w:rFonts w:asciiTheme="minorHAnsi" w:hAnsiTheme="minorHAnsi" w:cstheme="minorHAnsi"/>
          <w:sz w:val="22"/>
          <w:szCs w:val="22"/>
        </w:rPr>
        <w:t xml:space="preserve"> over </w:t>
      </w:r>
      <w:r w:rsidR="00BD4015" w:rsidRPr="001125D7">
        <w:rPr>
          <w:rFonts w:asciiTheme="minorHAnsi" w:hAnsiTheme="minorHAnsi" w:cstheme="minorHAnsi"/>
          <w:sz w:val="22"/>
          <w:szCs w:val="22"/>
        </w:rPr>
        <w:t>time</w:t>
      </w:r>
      <w:r w:rsidRPr="001125D7">
        <w:rPr>
          <w:rFonts w:asciiTheme="minorHAnsi" w:hAnsiTheme="minorHAnsi" w:cstheme="minorHAnsi"/>
          <w:sz w:val="22"/>
          <w:szCs w:val="22"/>
        </w:rPr>
        <w:t>. This is not surprising considering that the vast majority of government ministries (95.3 %) do not meet the stated goal of representation.</w:t>
      </w:r>
      <w:r w:rsidRPr="001125D7">
        <w:rPr>
          <w:rStyle w:val="FootnoteReference"/>
          <w:rFonts w:asciiTheme="minorHAnsi" w:hAnsiTheme="minorHAnsi" w:cstheme="minorHAnsi"/>
          <w:sz w:val="22"/>
          <w:szCs w:val="22"/>
        </w:rPr>
        <w:footnoteReference w:id="33"/>
      </w:r>
      <w:r w:rsidRPr="001125D7">
        <w:rPr>
          <w:rFonts w:asciiTheme="minorHAnsi" w:hAnsiTheme="minorHAnsi" w:cstheme="minorHAnsi"/>
          <w:sz w:val="22"/>
          <w:szCs w:val="22"/>
        </w:rPr>
        <w:t xml:space="preserve"> The presented data suggests that no effective measures were put in place to monitor the implementation of decision No. 2579. </w:t>
      </w:r>
      <w:r w:rsidR="00BD4015" w:rsidRPr="001125D7">
        <w:rPr>
          <w:rFonts w:asciiTheme="minorHAnsi" w:hAnsiTheme="minorHAnsi" w:cstheme="minorHAnsi"/>
          <w:sz w:val="22"/>
          <w:szCs w:val="22"/>
        </w:rPr>
        <w:t>Moreover</w:t>
      </w:r>
      <w:r w:rsidRPr="001125D7">
        <w:rPr>
          <w:rFonts w:asciiTheme="minorHAnsi" w:hAnsiTheme="minorHAnsi" w:cstheme="minorHAnsi"/>
          <w:sz w:val="22"/>
          <w:szCs w:val="22"/>
        </w:rPr>
        <w:t xml:space="preserve">, there was no new decision by the government since 2012 to adjust the temporary target of 10% Arab representation, or even to address the issues that </w:t>
      </w:r>
      <w:r w:rsidR="00BD4015" w:rsidRPr="001125D7">
        <w:rPr>
          <w:rFonts w:asciiTheme="minorHAnsi" w:hAnsiTheme="minorHAnsi" w:cstheme="minorHAnsi"/>
          <w:sz w:val="22"/>
          <w:szCs w:val="22"/>
        </w:rPr>
        <w:t>prevented</w:t>
      </w:r>
      <w:r w:rsidRPr="001125D7">
        <w:rPr>
          <w:rFonts w:asciiTheme="minorHAnsi" w:hAnsiTheme="minorHAnsi" w:cstheme="minorHAnsi"/>
          <w:sz w:val="22"/>
          <w:szCs w:val="22"/>
        </w:rPr>
        <w:t xml:space="preserve"> government ministries from reaching this target.   </w:t>
      </w: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BD4015">
      <w:pPr>
        <w:pStyle w:val="Default"/>
        <w:jc w:val="both"/>
        <w:rPr>
          <w:rFonts w:asciiTheme="minorHAnsi" w:hAnsiTheme="minorHAnsi" w:cstheme="minorHAnsi"/>
          <w:sz w:val="22"/>
          <w:szCs w:val="22"/>
        </w:rPr>
      </w:pPr>
      <w:r w:rsidRPr="001125D7">
        <w:rPr>
          <w:rFonts w:asciiTheme="minorHAnsi" w:hAnsiTheme="minorHAnsi" w:cstheme="minorHAnsi"/>
          <w:sz w:val="22"/>
          <w:szCs w:val="22"/>
        </w:rPr>
        <w:t>According to the data</w:t>
      </w:r>
      <w:r w:rsidR="00BD4015" w:rsidRPr="001125D7">
        <w:rPr>
          <w:rFonts w:asciiTheme="minorHAnsi" w:hAnsiTheme="minorHAnsi" w:cstheme="minorHAnsi"/>
          <w:sz w:val="22"/>
          <w:szCs w:val="22"/>
        </w:rPr>
        <w:t>,</w:t>
      </w:r>
      <w:r w:rsidRPr="001125D7">
        <w:rPr>
          <w:rFonts w:asciiTheme="minorHAnsi" w:hAnsiTheme="minorHAnsi" w:cstheme="minorHAnsi"/>
          <w:sz w:val="22"/>
          <w:szCs w:val="22"/>
        </w:rPr>
        <w:t xml:space="preserve"> the percentage of Arab women </w:t>
      </w:r>
      <w:r w:rsidR="00BD4015" w:rsidRPr="001125D7">
        <w:rPr>
          <w:rFonts w:asciiTheme="minorHAnsi" w:hAnsiTheme="minorHAnsi" w:cstheme="minorHAnsi"/>
          <w:sz w:val="22"/>
          <w:szCs w:val="22"/>
        </w:rPr>
        <w:t xml:space="preserve">of </w:t>
      </w:r>
      <w:r w:rsidRPr="001125D7">
        <w:rPr>
          <w:rFonts w:asciiTheme="minorHAnsi" w:hAnsiTheme="minorHAnsi" w:cstheme="minorHAnsi"/>
          <w:sz w:val="22"/>
          <w:szCs w:val="22"/>
        </w:rPr>
        <w:t xml:space="preserve">the total number of Arab employees in all reviewed ministries falls well below 50%. </w:t>
      </w:r>
      <w:r w:rsidR="00BD4015" w:rsidRPr="001125D7">
        <w:rPr>
          <w:rFonts w:asciiTheme="minorHAnsi" w:hAnsiTheme="minorHAnsi" w:cstheme="minorHAnsi"/>
          <w:sz w:val="22"/>
          <w:szCs w:val="22"/>
        </w:rPr>
        <w:t>W</w:t>
      </w:r>
      <w:r w:rsidRPr="001125D7">
        <w:rPr>
          <w:rFonts w:asciiTheme="minorHAnsi" w:hAnsiTheme="minorHAnsi" w:cstheme="minorHAnsi"/>
          <w:sz w:val="22"/>
          <w:szCs w:val="22"/>
        </w:rPr>
        <w:t xml:space="preserve">hile the average percentage of all women (Jewish and Arabs) employees during the period 2009-2018 </w:t>
      </w:r>
      <w:r w:rsidR="00BD4015" w:rsidRPr="001125D7">
        <w:rPr>
          <w:rFonts w:asciiTheme="minorHAnsi" w:hAnsiTheme="minorHAnsi" w:cstheme="minorHAnsi"/>
          <w:sz w:val="22"/>
          <w:szCs w:val="22"/>
        </w:rPr>
        <w:t xml:space="preserve">was </w:t>
      </w:r>
      <w:r w:rsidRPr="001125D7">
        <w:rPr>
          <w:rFonts w:asciiTheme="minorHAnsi" w:hAnsiTheme="minorHAnsi" w:cstheme="minorHAnsi"/>
          <w:sz w:val="22"/>
          <w:szCs w:val="22"/>
        </w:rPr>
        <w:t xml:space="preserve">higher than 50% in all </w:t>
      </w:r>
      <w:r w:rsidR="00BD4015" w:rsidRPr="001125D7">
        <w:rPr>
          <w:rFonts w:asciiTheme="minorHAnsi" w:hAnsiTheme="minorHAnsi" w:cstheme="minorHAnsi"/>
          <w:sz w:val="22"/>
          <w:szCs w:val="22"/>
        </w:rPr>
        <w:t>the surveyed</w:t>
      </w:r>
      <w:r w:rsidRPr="001125D7">
        <w:rPr>
          <w:rFonts w:asciiTheme="minorHAnsi" w:hAnsiTheme="minorHAnsi" w:cstheme="minorHAnsi"/>
          <w:sz w:val="22"/>
          <w:szCs w:val="22"/>
        </w:rPr>
        <w:t xml:space="preserve"> ministries, the percentage of Arab women </w:t>
      </w:r>
      <w:r w:rsidR="00BD4015" w:rsidRPr="001125D7">
        <w:rPr>
          <w:rFonts w:asciiTheme="minorHAnsi" w:hAnsiTheme="minorHAnsi" w:cstheme="minorHAnsi"/>
          <w:sz w:val="22"/>
          <w:szCs w:val="22"/>
        </w:rPr>
        <w:t xml:space="preserve">of </w:t>
      </w:r>
      <w:r w:rsidRPr="001125D7">
        <w:rPr>
          <w:rFonts w:asciiTheme="minorHAnsi" w:hAnsiTheme="minorHAnsi" w:cstheme="minorHAnsi"/>
          <w:sz w:val="22"/>
          <w:szCs w:val="22"/>
        </w:rPr>
        <w:t xml:space="preserve">the total number of women employees in each ministry remains extremely low (ranging from 0% to 4.9%). </w:t>
      </w:r>
      <w:r w:rsidR="00BD4015" w:rsidRPr="001125D7">
        <w:rPr>
          <w:rFonts w:asciiTheme="minorHAnsi" w:hAnsiTheme="minorHAnsi" w:cstheme="minorHAnsi"/>
          <w:sz w:val="22"/>
          <w:szCs w:val="22"/>
        </w:rPr>
        <w:t>These gaps indicate</w:t>
      </w:r>
      <w:r w:rsidRPr="001125D7">
        <w:rPr>
          <w:rFonts w:asciiTheme="minorHAnsi" w:hAnsiTheme="minorHAnsi" w:cstheme="minorHAnsi"/>
          <w:sz w:val="22"/>
          <w:szCs w:val="22"/>
        </w:rPr>
        <w:t xml:space="preserve"> that the legal provisions concerning appropriate representation for women were implemented effectively only </w:t>
      </w:r>
      <w:r w:rsidR="00BD4015" w:rsidRPr="001125D7">
        <w:rPr>
          <w:rFonts w:asciiTheme="minorHAnsi" w:hAnsiTheme="minorHAnsi" w:cstheme="minorHAnsi"/>
          <w:sz w:val="22"/>
          <w:szCs w:val="22"/>
        </w:rPr>
        <w:t xml:space="preserve">in the case of </w:t>
      </w:r>
      <w:r w:rsidRPr="001125D7">
        <w:rPr>
          <w:rFonts w:asciiTheme="minorHAnsi" w:hAnsiTheme="minorHAnsi" w:cstheme="minorHAnsi"/>
          <w:sz w:val="22"/>
          <w:szCs w:val="22"/>
        </w:rPr>
        <w:t>Jewish women</w:t>
      </w:r>
      <w:r w:rsidR="00BD4015" w:rsidRPr="001125D7">
        <w:rPr>
          <w:rFonts w:asciiTheme="minorHAnsi" w:hAnsiTheme="minorHAnsi" w:cstheme="minorHAnsi"/>
          <w:sz w:val="22"/>
          <w:szCs w:val="22"/>
        </w:rPr>
        <w:t>,</w:t>
      </w:r>
      <w:r w:rsidRPr="001125D7">
        <w:rPr>
          <w:rFonts w:asciiTheme="minorHAnsi" w:hAnsiTheme="minorHAnsi" w:cstheme="minorHAnsi"/>
          <w:sz w:val="22"/>
          <w:szCs w:val="22"/>
        </w:rPr>
        <w:t xml:space="preserve"> </w:t>
      </w:r>
      <w:r w:rsidR="00BD4015" w:rsidRPr="001125D7">
        <w:rPr>
          <w:rFonts w:asciiTheme="minorHAnsi" w:hAnsiTheme="minorHAnsi" w:cstheme="minorHAnsi"/>
          <w:sz w:val="22"/>
          <w:szCs w:val="22"/>
        </w:rPr>
        <w:t xml:space="preserve">and not with respect to </w:t>
      </w:r>
      <w:r w:rsidRPr="001125D7">
        <w:rPr>
          <w:rFonts w:asciiTheme="minorHAnsi" w:hAnsiTheme="minorHAnsi" w:cstheme="minorHAnsi"/>
          <w:sz w:val="22"/>
          <w:szCs w:val="22"/>
        </w:rPr>
        <w:t>Arab women</w:t>
      </w:r>
      <w:r w:rsidR="00BD4015" w:rsidRPr="001125D7">
        <w:rPr>
          <w:rFonts w:asciiTheme="minorHAnsi" w:hAnsiTheme="minorHAnsi" w:cstheme="minorHAnsi"/>
          <w:sz w:val="22"/>
          <w:szCs w:val="22"/>
        </w:rPr>
        <w:t>, as a doubly-discriminated group</w:t>
      </w:r>
      <w:r w:rsidRPr="001125D7">
        <w:rPr>
          <w:rFonts w:asciiTheme="minorHAnsi" w:hAnsiTheme="minorHAnsi" w:cstheme="minorHAnsi"/>
          <w:sz w:val="22"/>
          <w:szCs w:val="22"/>
        </w:rPr>
        <w:t xml:space="preserve">. In fact, the percentage of Arab women </w:t>
      </w:r>
      <w:r w:rsidR="00BD4015" w:rsidRPr="001125D7">
        <w:rPr>
          <w:rFonts w:asciiTheme="minorHAnsi" w:hAnsiTheme="minorHAnsi" w:cstheme="minorHAnsi"/>
          <w:sz w:val="22"/>
          <w:szCs w:val="22"/>
        </w:rPr>
        <w:t xml:space="preserve">of </w:t>
      </w:r>
      <w:r w:rsidRPr="001125D7">
        <w:rPr>
          <w:rFonts w:asciiTheme="minorHAnsi" w:hAnsiTheme="minorHAnsi" w:cstheme="minorHAnsi"/>
          <w:sz w:val="22"/>
          <w:szCs w:val="22"/>
        </w:rPr>
        <w:t xml:space="preserve">the total number of women employees in reviewed government ministries is much lower than their percentage </w:t>
      </w:r>
      <w:r w:rsidR="00BD4015" w:rsidRPr="001125D7">
        <w:rPr>
          <w:rFonts w:asciiTheme="minorHAnsi" w:hAnsiTheme="minorHAnsi" w:cstheme="minorHAnsi"/>
          <w:sz w:val="22"/>
          <w:szCs w:val="22"/>
        </w:rPr>
        <w:t>of</w:t>
      </w:r>
      <w:r w:rsidRPr="001125D7">
        <w:rPr>
          <w:rFonts w:asciiTheme="minorHAnsi" w:hAnsiTheme="minorHAnsi" w:cstheme="minorHAnsi"/>
          <w:sz w:val="22"/>
          <w:szCs w:val="22"/>
        </w:rPr>
        <w:t xml:space="preserve"> the total number of women in the </w:t>
      </w:r>
      <w:r w:rsidR="00BD4015" w:rsidRPr="001125D7">
        <w:rPr>
          <w:rFonts w:asciiTheme="minorHAnsi" w:hAnsiTheme="minorHAnsi" w:cstheme="minorHAnsi"/>
          <w:sz w:val="22"/>
          <w:szCs w:val="22"/>
        </w:rPr>
        <w:t xml:space="preserve">overall labor </w:t>
      </w:r>
      <w:r w:rsidRPr="001125D7">
        <w:rPr>
          <w:rFonts w:asciiTheme="minorHAnsi" w:hAnsiTheme="minorHAnsi" w:cstheme="minorHAnsi"/>
          <w:sz w:val="22"/>
          <w:szCs w:val="22"/>
        </w:rPr>
        <w:t>sector.</w:t>
      </w:r>
      <w:r w:rsidRPr="001125D7">
        <w:rPr>
          <w:rStyle w:val="FootnoteReference"/>
          <w:rFonts w:asciiTheme="minorHAnsi" w:hAnsiTheme="minorHAnsi" w:cstheme="minorHAnsi"/>
          <w:sz w:val="22"/>
          <w:szCs w:val="22"/>
        </w:rPr>
        <w:footnoteReference w:id="34"/>
      </w:r>
      <w:r w:rsidRPr="001125D7">
        <w:rPr>
          <w:rFonts w:asciiTheme="minorHAnsi" w:hAnsiTheme="minorHAnsi" w:cstheme="minorHAnsi"/>
          <w:sz w:val="22"/>
          <w:szCs w:val="22"/>
        </w:rPr>
        <w:t xml:space="preserve">   </w:t>
      </w:r>
    </w:p>
    <w:p w:rsidR="00C9086D" w:rsidRPr="001125D7" w:rsidRDefault="00C9086D" w:rsidP="00C9086D">
      <w:pPr>
        <w:pStyle w:val="Default"/>
        <w:ind w:left="360"/>
        <w:jc w:val="both"/>
        <w:rPr>
          <w:rFonts w:asciiTheme="minorHAnsi" w:hAnsiTheme="minorHAnsi" w:cstheme="minorHAnsi"/>
          <w:sz w:val="22"/>
          <w:szCs w:val="22"/>
        </w:rPr>
      </w:pPr>
    </w:p>
    <w:p w:rsidR="00C9086D" w:rsidRPr="001125D7" w:rsidRDefault="00C9086D" w:rsidP="00BD4015">
      <w:pPr>
        <w:pStyle w:val="Default"/>
        <w:jc w:val="both"/>
        <w:rPr>
          <w:rFonts w:asciiTheme="minorHAnsi" w:hAnsiTheme="minorHAnsi" w:cstheme="minorHAnsi"/>
          <w:sz w:val="22"/>
          <w:szCs w:val="22"/>
        </w:rPr>
      </w:pPr>
      <w:r w:rsidRPr="001125D7">
        <w:rPr>
          <w:rFonts w:asciiTheme="minorHAnsi" w:hAnsiTheme="minorHAnsi" w:cstheme="minorHAnsi"/>
          <w:sz w:val="22"/>
          <w:szCs w:val="22"/>
        </w:rPr>
        <w:t xml:space="preserve">Although government ministries are required by law to ensure appropriate representation </w:t>
      </w:r>
      <w:r w:rsidR="00BD4015" w:rsidRPr="001125D7">
        <w:rPr>
          <w:rFonts w:asciiTheme="minorHAnsi" w:hAnsiTheme="minorHAnsi" w:cstheme="minorHAnsi"/>
          <w:sz w:val="22"/>
          <w:szCs w:val="22"/>
        </w:rPr>
        <w:t xml:space="preserve">at </w:t>
      </w:r>
      <w:r w:rsidRPr="001125D7">
        <w:rPr>
          <w:rFonts w:asciiTheme="minorHAnsi" w:hAnsiTheme="minorHAnsi" w:cstheme="minorHAnsi"/>
          <w:sz w:val="22"/>
          <w:szCs w:val="22"/>
        </w:rPr>
        <w:t xml:space="preserve">all professional </w:t>
      </w:r>
      <w:r w:rsidR="00BD4015" w:rsidRPr="001125D7">
        <w:rPr>
          <w:rFonts w:asciiTheme="minorHAnsi" w:hAnsiTheme="minorHAnsi" w:cstheme="minorHAnsi"/>
          <w:sz w:val="22"/>
          <w:szCs w:val="22"/>
        </w:rPr>
        <w:t>ranks</w:t>
      </w:r>
      <w:r w:rsidRPr="001125D7">
        <w:rPr>
          <w:rFonts w:asciiTheme="minorHAnsi" w:hAnsiTheme="minorHAnsi" w:cstheme="minorHAnsi"/>
          <w:sz w:val="22"/>
          <w:szCs w:val="22"/>
        </w:rPr>
        <w:t>, Arab</w:t>
      </w:r>
      <w:r w:rsidR="00095DCD">
        <w:rPr>
          <w:rFonts w:asciiTheme="minorHAnsi" w:hAnsiTheme="minorHAnsi" w:cstheme="minorHAnsi"/>
          <w:sz w:val="22"/>
          <w:szCs w:val="22"/>
        </w:rPr>
        <w:t xml:space="preserve"> citizens</w:t>
      </w:r>
      <w:r w:rsidRPr="001125D7">
        <w:rPr>
          <w:rFonts w:asciiTheme="minorHAnsi" w:hAnsiTheme="minorHAnsi" w:cstheme="minorHAnsi"/>
          <w:sz w:val="22"/>
          <w:szCs w:val="22"/>
        </w:rPr>
        <w:t xml:space="preserve"> are mark</w:t>
      </w:r>
      <w:r w:rsidR="00BD4015" w:rsidRPr="001125D7">
        <w:rPr>
          <w:rFonts w:asciiTheme="minorHAnsi" w:hAnsiTheme="minorHAnsi" w:cstheme="minorHAnsi"/>
          <w:sz w:val="22"/>
          <w:szCs w:val="22"/>
        </w:rPr>
        <w:t>ed</w:t>
      </w:r>
      <w:r w:rsidRPr="001125D7">
        <w:rPr>
          <w:rFonts w:asciiTheme="minorHAnsi" w:hAnsiTheme="minorHAnsi" w:cstheme="minorHAnsi"/>
          <w:sz w:val="22"/>
          <w:szCs w:val="22"/>
        </w:rPr>
        <w:t xml:space="preserve">ly absent from </w:t>
      </w:r>
      <w:r w:rsidR="00BD4015" w:rsidRPr="001125D7">
        <w:rPr>
          <w:rFonts w:asciiTheme="minorHAnsi" w:hAnsiTheme="minorHAnsi" w:cstheme="minorHAnsi"/>
          <w:sz w:val="22"/>
          <w:szCs w:val="22"/>
        </w:rPr>
        <w:t xml:space="preserve">senior </w:t>
      </w:r>
      <w:r w:rsidRPr="001125D7">
        <w:rPr>
          <w:rFonts w:asciiTheme="minorHAnsi" w:hAnsiTheme="minorHAnsi" w:cstheme="minorHAnsi"/>
          <w:sz w:val="22"/>
          <w:szCs w:val="22"/>
        </w:rPr>
        <w:t xml:space="preserve">positions </w:t>
      </w:r>
      <w:r w:rsidR="00BD4015" w:rsidRPr="001125D7">
        <w:rPr>
          <w:rFonts w:asciiTheme="minorHAnsi" w:hAnsiTheme="minorHAnsi" w:cstheme="minorHAnsi"/>
          <w:sz w:val="22"/>
          <w:szCs w:val="22"/>
        </w:rPr>
        <w:t xml:space="preserve">in </w:t>
      </w:r>
      <w:r w:rsidRPr="001125D7">
        <w:rPr>
          <w:rFonts w:asciiTheme="minorHAnsi" w:hAnsiTheme="minorHAnsi" w:cstheme="minorHAnsi"/>
          <w:sz w:val="22"/>
          <w:szCs w:val="22"/>
        </w:rPr>
        <w:t xml:space="preserve">the civil service. In the period 2015-2018, only </w:t>
      </w:r>
      <w:r w:rsidR="00BD4015" w:rsidRPr="001125D7">
        <w:rPr>
          <w:rFonts w:asciiTheme="minorHAnsi" w:hAnsiTheme="minorHAnsi" w:cstheme="minorHAnsi"/>
          <w:sz w:val="22"/>
          <w:szCs w:val="22"/>
        </w:rPr>
        <w:t>two</w:t>
      </w:r>
      <w:r w:rsidRPr="001125D7">
        <w:rPr>
          <w:rFonts w:asciiTheme="minorHAnsi" w:hAnsiTheme="minorHAnsi" w:cstheme="minorHAnsi"/>
          <w:sz w:val="22"/>
          <w:szCs w:val="22"/>
        </w:rPr>
        <w:t xml:space="preserve"> ministries (The Ministry of Finance and the Ministry of Economy) </w:t>
      </w:r>
      <w:r w:rsidR="00BD4015" w:rsidRPr="001125D7">
        <w:rPr>
          <w:rFonts w:asciiTheme="minorHAnsi" w:hAnsiTheme="minorHAnsi" w:cstheme="minorHAnsi"/>
          <w:sz w:val="22"/>
          <w:szCs w:val="22"/>
        </w:rPr>
        <w:t>of</w:t>
      </w:r>
      <w:r w:rsidRPr="001125D7">
        <w:rPr>
          <w:rFonts w:asciiTheme="minorHAnsi" w:hAnsiTheme="minorHAnsi" w:cstheme="minorHAnsi"/>
          <w:sz w:val="22"/>
          <w:szCs w:val="22"/>
        </w:rPr>
        <w:t xml:space="preserve"> the six </w:t>
      </w:r>
      <w:r w:rsidR="00BD4015" w:rsidRPr="001125D7">
        <w:rPr>
          <w:rFonts w:asciiTheme="minorHAnsi" w:hAnsiTheme="minorHAnsi" w:cstheme="minorHAnsi"/>
          <w:sz w:val="22"/>
          <w:szCs w:val="22"/>
        </w:rPr>
        <w:t xml:space="preserve">surveyed </w:t>
      </w:r>
      <w:r w:rsidRPr="001125D7">
        <w:rPr>
          <w:rFonts w:asciiTheme="minorHAnsi" w:hAnsiTheme="minorHAnsi" w:cstheme="minorHAnsi"/>
          <w:sz w:val="22"/>
          <w:szCs w:val="22"/>
        </w:rPr>
        <w:t>ministries employed Arab</w:t>
      </w:r>
      <w:r w:rsidR="00095DCD">
        <w:rPr>
          <w:rFonts w:asciiTheme="minorHAnsi" w:hAnsiTheme="minorHAnsi" w:cstheme="minorHAnsi"/>
          <w:sz w:val="22"/>
          <w:szCs w:val="22"/>
        </w:rPr>
        <w:t xml:space="preserve"> citizen</w:t>
      </w:r>
      <w:r w:rsidRPr="001125D7">
        <w:rPr>
          <w:rFonts w:asciiTheme="minorHAnsi" w:hAnsiTheme="minorHAnsi" w:cstheme="minorHAnsi"/>
          <w:sz w:val="22"/>
          <w:szCs w:val="22"/>
        </w:rPr>
        <w:t xml:space="preserve">s in high level positions, and even in those cases, their percentage </w:t>
      </w:r>
      <w:r w:rsidR="00BD4015" w:rsidRPr="001125D7">
        <w:rPr>
          <w:rFonts w:asciiTheme="minorHAnsi" w:hAnsiTheme="minorHAnsi" w:cstheme="minorHAnsi"/>
          <w:sz w:val="22"/>
          <w:szCs w:val="22"/>
        </w:rPr>
        <w:t xml:space="preserve">of </w:t>
      </w:r>
      <w:r w:rsidRPr="001125D7">
        <w:rPr>
          <w:rFonts w:asciiTheme="minorHAnsi" w:hAnsiTheme="minorHAnsi" w:cstheme="minorHAnsi"/>
          <w:sz w:val="22"/>
          <w:szCs w:val="22"/>
        </w:rPr>
        <w:t xml:space="preserve">the total number of </w:t>
      </w:r>
      <w:r w:rsidR="00BD4015" w:rsidRPr="001125D7">
        <w:rPr>
          <w:rFonts w:asciiTheme="minorHAnsi" w:hAnsiTheme="minorHAnsi" w:cstheme="minorHAnsi"/>
          <w:sz w:val="22"/>
          <w:szCs w:val="22"/>
        </w:rPr>
        <w:t xml:space="preserve">senior-level </w:t>
      </w:r>
      <w:r w:rsidRPr="001125D7">
        <w:rPr>
          <w:rFonts w:asciiTheme="minorHAnsi" w:hAnsiTheme="minorHAnsi" w:cstheme="minorHAnsi"/>
          <w:sz w:val="22"/>
          <w:szCs w:val="22"/>
        </w:rPr>
        <w:t xml:space="preserve">employees </w:t>
      </w:r>
      <w:r w:rsidR="00BD4015" w:rsidRPr="001125D7">
        <w:rPr>
          <w:rFonts w:asciiTheme="minorHAnsi" w:hAnsiTheme="minorHAnsi" w:cstheme="minorHAnsi"/>
          <w:sz w:val="22"/>
          <w:szCs w:val="22"/>
        </w:rPr>
        <w:t xml:space="preserve">was under </w:t>
      </w:r>
      <w:r w:rsidRPr="001125D7">
        <w:rPr>
          <w:rFonts w:asciiTheme="minorHAnsi" w:hAnsiTheme="minorHAnsi" w:cstheme="minorHAnsi"/>
          <w:sz w:val="22"/>
          <w:szCs w:val="22"/>
        </w:rPr>
        <w:t xml:space="preserve">4.1%. None of the six </w:t>
      </w:r>
      <w:r w:rsidR="00BD4015" w:rsidRPr="001125D7">
        <w:rPr>
          <w:rFonts w:asciiTheme="minorHAnsi" w:hAnsiTheme="minorHAnsi" w:cstheme="minorHAnsi"/>
          <w:sz w:val="22"/>
          <w:szCs w:val="22"/>
        </w:rPr>
        <w:t xml:space="preserve">surveyed </w:t>
      </w:r>
      <w:r w:rsidRPr="001125D7">
        <w:rPr>
          <w:rFonts w:asciiTheme="minorHAnsi" w:hAnsiTheme="minorHAnsi" w:cstheme="minorHAnsi"/>
          <w:sz w:val="22"/>
          <w:szCs w:val="22"/>
        </w:rPr>
        <w:t xml:space="preserve">ministries employed Arab women in </w:t>
      </w:r>
      <w:r w:rsidR="00BD4015" w:rsidRPr="001125D7">
        <w:rPr>
          <w:rFonts w:asciiTheme="minorHAnsi" w:hAnsiTheme="minorHAnsi" w:cstheme="minorHAnsi"/>
          <w:sz w:val="22"/>
          <w:szCs w:val="22"/>
        </w:rPr>
        <w:t xml:space="preserve">senior </w:t>
      </w:r>
      <w:r w:rsidRPr="001125D7">
        <w:rPr>
          <w:rFonts w:asciiTheme="minorHAnsi" w:hAnsiTheme="minorHAnsi" w:cstheme="minorHAnsi"/>
          <w:sz w:val="22"/>
          <w:szCs w:val="22"/>
        </w:rPr>
        <w:t xml:space="preserve">positions. </w:t>
      </w:r>
    </w:p>
    <w:p w:rsidR="00C9086D" w:rsidRPr="001125D7" w:rsidRDefault="00C9086D" w:rsidP="00C9086D">
      <w:pPr>
        <w:pStyle w:val="Default"/>
        <w:jc w:val="both"/>
        <w:rPr>
          <w:rFonts w:asciiTheme="minorHAnsi" w:hAnsiTheme="minorHAnsi" w:cstheme="minorHAnsi"/>
          <w:sz w:val="22"/>
          <w:szCs w:val="22"/>
        </w:rPr>
      </w:pPr>
    </w:p>
    <w:p w:rsidR="00BD4015" w:rsidRPr="001125D7" w:rsidRDefault="00BD4015" w:rsidP="005F4678">
      <w:pPr>
        <w:pStyle w:val="Default"/>
        <w:jc w:val="both"/>
        <w:rPr>
          <w:rFonts w:asciiTheme="minorHAnsi" w:hAnsiTheme="minorHAnsi" w:cstheme="minorHAnsi"/>
          <w:sz w:val="22"/>
          <w:szCs w:val="22"/>
        </w:rPr>
      </w:pPr>
      <w:r w:rsidRPr="001125D7">
        <w:rPr>
          <w:rFonts w:asciiTheme="minorHAnsi" w:hAnsiTheme="minorHAnsi" w:cstheme="minorHAnsi"/>
          <w:sz w:val="22"/>
          <w:szCs w:val="22"/>
        </w:rPr>
        <w:t>Government Resolution</w:t>
      </w:r>
      <w:r w:rsidR="00C9086D" w:rsidRPr="001125D7">
        <w:rPr>
          <w:rFonts w:asciiTheme="minorHAnsi" w:hAnsiTheme="minorHAnsi" w:cstheme="minorHAnsi"/>
          <w:sz w:val="22"/>
          <w:szCs w:val="22"/>
        </w:rPr>
        <w:t xml:space="preserve"> no. 2579 requires ministries to designate 30% of new positions each year to Arab citizens</w:t>
      </w:r>
      <w:r w:rsidRPr="001125D7">
        <w:rPr>
          <w:rFonts w:asciiTheme="minorHAnsi" w:hAnsiTheme="minorHAnsi" w:cstheme="minorHAnsi"/>
          <w:sz w:val="22"/>
          <w:szCs w:val="22"/>
        </w:rPr>
        <w:t xml:space="preserve"> has also not been implemented in </w:t>
      </w:r>
      <w:r w:rsidR="00C9086D" w:rsidRPr="001125D7">
        <w:rPr>
          <w:rFonts w:asciiTheme="minorHAnsi" w:hAnsiTheme="minorHAnsi" w:cstheme="minorHAnsi"/>
          <w:sz w:val="22"/>
          <w:szCs w:val="22"/>
        </w:rPr>
        <w:t xml:space="preserve">practice. For each year from 2015 through 2018, the percentage of Arab recruits </w:t>
      </w:r>
      <w:r w:rsidRPr="001125D7">
        <w:rPr>
          <w:rFonts w:asciiTheme="minorHAnsi" w:hAnsiTheme="minorHAnsi" w:cstheme="minorHAnsi"/>
          <w:sz w:val="22"/>
          <w:szCs w:val="22"/>
        </w:rPr>
        <w:t xml:space="preserve">of </w:t>
      </w:r>
      <w:r w:rsidR="00C9086D" w:rsidRPr="001125D7">
        <w:rPr>
          <w:rFonts w:asciiTheme="minorHAnsi" w:hAnsiTheme="minorHAnsi" w:cstheme="minorHAnsi"/>
          <w:sz w:val="22"/>
          <w:szCs w:val="22"/>
        </w:rPr>
        <w:t xml:space="preserve">the total number of new recruits </w:t>
      </w:r>
      <w:r w:rsidRPr="001125D7">
        <w:rPr>
          <w:rFonts w:asciiTheme="minorHAnsi" w:hAnsiTheme="minorHAnsi" w:cstheme="minorHAnsi"/>
          <w:sz w:val="22"/>
          <w:szCs w:val="22"/>
        </w:rPr>
        <w:t xml:space="preserve">was </w:t>
      </w:r>
      <w:r w:rsidR="00C9086D" w:rsidRPr="001125D7">
        <w:rPr>
          <w:rFonts w:asciiTheme="minorHAnsi" w:hAnsiTheme="minorHAnsi" w:cstheme="minorHAnsi"/>
          <w:sz w:val="22"/>
          <w:szCs w:val="22"/>
        </w:rPr>
        <w:t xml:space="preserve">far below 30% in all ministries. In some ministries, the percentage of Arab recruits even </w:t>
      </w:r>
      <w:r w:rsidRPr="001125D7">
        <w:rPr>
          <w:rFonts w:asciiTheme="minorHAnsi" w:hAnsiTheme="minorHAnsi" w:cstheme="minorHAnsi"/>
          <w:sz w:val="22"/>
          <w:szCs w:val="22"/>
        </w:rPr>
        <w:t xml:space="preserve">fell </w:t>
      </w:r>
      <w:r w:rsidR="00C9086D" w:rsidRPr="001125D7">
        <w:rPr>
          <w:rFonts w:asciiTheme="minorHAnsi" w:hAnsiTheme="minorHAnsi" w:cstheme="minorHAnsi"/>
          <w:sz w:val="22"/>
          <w:szCs w:val="22"/>
        </w:rPr>
        <w:t xml:space="preserve">below 10% (the target quota for </w:t>
      </w:r>
      <w:r w:rsidRPr="001125D7">
        <w:rPr>
          <w:rFonts w:asciiTheme="minorHAnsi" w:hAnsiTheme="minorHAnsi" w:cstheme="minorHAnsi"/>
          <w:sz w:val="22"/>
          <w:szCs w:val="22"/>
        </w:rPr>
        <w:t xml:space="preserve">all </w:t>
      </w:r>
      <w:r w:rsidR="00C9086D" w:rsidRPr="001125D7">
        <w:rPr>
          <w:rFonts w:asciiTheme="minorHAnsi" w:hAnsiTheme="minorHAnsi" w:cstheme="minorHAnsi"/>
          <w:sz w:val="22"/>
          <w:szCs w:val="22"/>
        </w:rPr>
        <w:t>Arab representation), leading to a decrease in the percentage of Arab employees in the ministry. In theory, the Civil Service Commission could ensure that one third of new positions be reserved to persons from entitled groups, given its power to approve requests on the part of ministries to provide new job openings.</w:t>
      </w:r>
      <w:r w:rsidR="00C9086D" w:rsidRPr="001125D7">
        <w:rPr>
          <w:rStyle w:val="FootnoteReference"/>
          <w:rFonts w:asciiTheme="minorHAnsi" w:hAnsiTheme="minorHAnsi" w:cstheme="minorHAnsi"/>
          <w:sz w:val="22"/>
          <w:szCs w:val="22"/>
        </w:rPr>
        <w:footnoteReference w:id="35"/>
      </w:r>
      <w:r w:rsidR="00C9086D" w:rsidRPr="001125D7">
        <w:rPr>
          <w:rFonts w:asciiTheme="minorHAnsi" w:hAnsiTheme="minorHAnsi" w:cstheme="minorHAnsi"/>
          <w:sz w:val="22"/>
          <w:szCs w:val="22"/>
        </w:rPr>
        <w:t xml:space="preserve"> However, the low number of Arab recruits suggests that the Commission has not made full use of its </w:t>
      </w:r>
      <w:r w:rsidRPr="001125D7">
        <w:rPr>
          <w:rFonts w:asciiTheme="minorHAnsi" w:hAnsiTheme="minorHAnsi" w:cstheme="minorHAnsi"/>
          <w:sz w:val="22"/>
          <w:szCs w:val="22"/>
        </w:rPr>
        <w:t>authority</w:t>
      </w:r>
      <w:r w:rsidR="00C9086D" w:rsidRPr="001125D7">
        <w:rPr>
          <w:rFonts w:asciiTheme="minorHAnsi" w:hAnsiTheme="minorHAnsi" w:cstheme="minorHAnsi"/>
          <w:sz w:val="22"/>
          <w:szCs w:val="22"/>
        </w:rPr>
        <w:t xml:space="preserve"> in the case of Arab representation.  Another problem was the lack of monitoring of the percentage of Arab recruits each year, as in the case of Ministry of Transport</w:t>
      </w:r>
      <w:r w:rsidRPr="001125D7">
        <w:rPr>
          <w:rFonts w:asciiTheme="minorHAnsi" w:hAnsiTheme="minorHAnsi" w:cstheme="minorHAnsi"/>
          <w:sz w:val="22"/>
          <w:szCs w:val="22"/>
        </w:rPr>
        <w:t>,</w:t>
      </w:r>
      <w:r w:rsidR="00C9086D" w:rsidRPr="001125D7">
        <w:rPr>
          <w:rFonts w:asciiTheme="minorHAnsi" w:hAnsiTheme="minorHAnsi" w:cstheme="minorHAnsi"/>
          <w:sz w:val="22"/>
          <w:szCs w:val="22"/>
        </w:rPr>
        <w:t xml:space="preserve"> which did not </w:t>
      </w:r>
      <w:r w:rsidRPr="001125D7">
        <w:rPr>
          <w:rFonts w:asciiTheme="minorHAnsi" w:hAnsiTheme="minorHAnsi" w:cstheme="minorHAnsi"/>
          <w:sz w:val="22"/>
          <w:szCs w:val="22"/>
        </w:rPr>
        <w:t xml:space="preserve">keep records of </w:t>
      </w:r>
      <w:r w:rsidR="00C9086D" w:rsidRPr="001125D7">
        <w:rPr>
          <w:rFonts w:asciiTheme="minorHAnsi" w:hAnsiTheme="minorHAnsi" w:cstheme="minorHAnsi"/>
          <w:sz w:val="22"/>
          <w:szCs w:val="22"/>
        </w:rPr>
        <w:t xml:space="preserve">the number of </w:t>
      </w:r>
      <w:r w:rsidRPr="001125D7">
        <w:rPr>
          <w:rFonts w:asciiTheme="minorHAnsi" w:hAnsiTheme="minorHAnsi" w:cstheme="minorHAnsi"/>
          <w:sz w:val="22"/>
          <w:szCs w:val="22"/>
        </w:rPr>
        <w:t xml:space="preserve">new </w:t>
      </w:r>
      <w:r w:rsidR="00C9086D" w:rsidRPr="001125D7">
        <w:rPr>
          <w:rFonts w:asciiTheme="minorHAnsi" w:hAnsiTheme="minorHAnsi" w:cstheme="minorHAnsi"/>
          <w:sz w:val="22"/>
          <w:szCs w:val="22"/>
        </w:rPr>
        <w:t xml:space="preserve">Arab </w:t>
      </w:r>
      <w:r w:rsidRPr="001125D7">
        <w:rPr>
          <w:rFonts w:asciiTheme="minorHAnsi" w:hAnsiTheme="minorHAnsi" w:cstheme="minorHAnsi"/>
          <w:sz w:val="22"/>
          <w:szCs w:val="22"/>
        </w:rPr>
        <w:t>employees</w:t>
      </w:r>
      <w:r w:rsidR="00C9086D" w:rsidRPr="001125D7">
        <w:rPr>
          <w:rFonts w:asciiTheme="minorHAnsi" w:hAnsiTheme="minorHAnsi" w:cstheme="minorHAnsi"/>
          <w:sz w:val="22"/>
          <w:szCs w:val="22"/>
        </w:rPr>
        <w:t xml:space="preserve"> for the years 2015-2017. </w:t>
      </w:r>
      <w:r w:rsidRPr="001125D7">
        <w:rPr>
          <w:rFonts w:asciiTheme="minorHAnsi" w:hAnsiTheme="minorHAnsi" w:cstheme="minorHAnsi"/>
          <w:sz w:val="22"/>
          <w:szCs w:val="22"/>
        </w:rPr>
        <w:br w:type="page"/>
      </w:r>
    </w:p>
    <w:p w:rsidR="00C9086D" w:rsidRPr="001125D7" w:rsidRDefault="00C9086D" w:rsidP="00BD4015">
      <w:pPr>
        <w:pStyle w:val="Default"/>
        <w:jc w:val="both"/>
        <w:rPr>
          <w:rFonts w:asciiTheme="minorHAnsi" w:hAnsiTheme="minorHAnsi" w:cstheme="minorHAnsi"/>
          <w:b/>
          <w:bCs/>
          <w:color w:val="auto"/>
          <w:sz w:val="22"/>
          <w:szCs w:val="22"/>
        </w:rPr>
      </w:pPr>
      <w:r w:rsidRPr="001125D7">
        <w:rPr>
          <w:rFonts w:asciiTheme="minorHAnsi" w:hAnsiTheme="minorHAnsi" w:cstheme="minorHAnsi"/>
          <w:b/>
          <w:bCs/>
          <w:i/>
          <w:iCs/>
          <w:color w:val="auto"/>
          <w:sz w:val="22"/>
          <w:szCs w:val="22"/>
        </w:rPr>
        <w:lastRenderedPageBreak/>
        <w:t>Anne</w:t>
      </w:r>
      <w:bookmarkStart w:id="0" w:name="_GoBack"/>
      <w:bookmarkEnd w:id="0"/>
      <w:r w:rsidRPr="001125D7">
        <w:rPr>
          <w:rFonts w:asciiTheme="minorHAnsi" w:hAnsiTheme="minorHAnsi" w:cstheme="minorHAnsi"/>
          <w:b/>
          <w:bCs/>
          <w:i/>
          <w:iCs/>
          <w:color w:val="auto"/>
          <w:sz w:val="22"/>
          <w:szCs w:val="22"/>
        </w:rPr>
        <w:t>xes</w:t>
      </w:r>
      <w:r w:rsidRPr="001125D7">
        <w:rPr>
          <w:rFonts w:asciiTheme="minorHAnsi" w:hAnsiTheme="minorHAnsi" w:cstheme="minorHAnsi"/>
          <w:b/>
          <w:bCs/>
          <w:color w:val="auto"/>
          <w:sz w:val="22"/>
          <w:szCs w:val="22"/>
        </w:rPr>
        <w:t xml:space="preserve"> </w:t>
      </w: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numPr>
          <w:ilvl w:val="0"/>
          <w:numId w:val="6"/>
        </w:numPr>
        <w:jc w:val="both"/>
        <w:rPr>
          <w:rFonts w:asciiTheme="minorHAnsi" w:hAnsiTheme="minorHAnsi" w:cstheme="minorHAnsi"/>
          <w:b/>
          <w:bCs/>
          <w:sz w:val="22"/>
          <w:szCs w:val="22"/>
        </w:rPr>
      </w:pPr>
      <w:r w:rsidRPr="001125D7">
        <w:rPr>
          <w:rFonts w:asciiTheme="minorHAnsi" w:hAnsiTheme="minorHAnsi" w:cstheme="minorHAnsi"/>
          <w:b/>
          <w:bCs/>
          <w:sz w:val="22"/>
          <w:szCs w:val="22"/>
        </w:rPr>
        <w:t xml:space="preserve">Tables comparing the employment rates in six ministries over a span of ten years </w:t>
      </w:r>
      <w:r w:rsidRPr="001125D7">
        <w:rPr>
          <w:rFonts w:asciiTheme="minorHAnsi" w:hAnsiTheme="minorHAnsi" w:cstheme="minorHAnsi"/>
          <w:noProof/>
          <w:sz w:val="22"/>
          <w:szCs w:val="22"/>
          <w:lang w:bidi="ar-SA"/>
        </w:rPr>
        <w:drawing>
          <wp:inline distT="0" distB="0" distL="0" distR="0" wp14:anchorId="12532BEC" wp14:editId="1BC8A679">
            <wp:extent cx="5274259" cy="395020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1.PNG"/>
                    <pic:cNvPicPr/>
                  </pic:nvPicPr>
                  <pic:blipFill>
                    <a:blip r:embed="rId8">
                      <a:extLst>
                        <a:ext uri="{28A0092B-C50C-407E-A947-70E740481C1C}">
                          <a14:useLocalDpi xmlns:a14="http://schemas.microsoft.com/office/drawing/2010/main" val="0"/>
                        </a:ext>
                      </a:extLst>
                    </a:blip>
                    <a:stretch>
                      <a:fillRect/>
                    </a:stretch>
                  </pic:blipFill>
                  <pic:spPr>
                    <a:xfrm>
                      <a:off x="0" y="0"/>
                      <a:ext cx="5274311" cy="3950247"/>
                    </a:xfrm>
                    <a:prstGeom prst="rect">
                      <a:avLst/>
                    </a:prstGeom>
                  </pic:spPr>
                </pic:pic>
              </a:graphicData>
            </a:graphic>
          </wp:inline>
        </w:drawing>
      </w: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jc w:val="both"/>
        <w:rPr>
          <w:rFonts w:asciiTheme="minorHAnsi" w:hAnsiTheme="minorHAnsi" w:cstheme="minorHAnsi"/>
          <w:sz w:val="22"/>
          <w:szCs w:val="22"/>
        </w:rPr>
      </w:pPr>
      <w:r w:rsidRPr="001125D7">
        <w:rPr>
          <w:rFonts w:asciiTheme="minorHAnsi" w:hAnsiTheme="minorHAnsi" w:cstheme="minorHAnsi"/>
          <w:noProof/>
          <w:sz w:val="22"/>
          <w:szCs w:val="22"/>
          <w:lang w:bidi="ar-SA"/>
        </w:rPr>
        <w:lastRenderedPageBreak/>
        <w:drawing>
          <wp:inline distT="0" distB="0" distL="0" distR="0" wp14:anchorId="7BA72A19" wp14:editId="5706FF7C">
            <wp:extent cx="5274259" cy="4279392"/>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2.PNG"/>
                    <pic:cNvPicPr/>
                  </pic:nvPicPr>
                  <pic:blipFill>
                    <a:blip r:embed="rId9">
                      <a:extLst>
                        <a:ext uri="{28A0092B-C50C-407E-A947-70E740481C1C}">
                          <a14:useLocalDpi xmlns:a14="http://schemas.microsoft.com/office/drawing/2010/main" val="0"/>
                        </a:ext>
                      </a:extLst>
                    </a:blip>
                    <a:stretch>
                      <a:fillRect/>
                    </a:stretch>
                  </pic:blipFill>
                  <pic:spPr>
                    <a:xfrm>
                      <a:off x="0" y="0"/>
                      <a:ext cx="5274310" cy="4279433"/>
                    </a:xfrm>
                    <a:prstGeom prst="rect">
                      <a:avLst/>
                    </a:prstGeom>
                  </pic:spPr>
                </pic:pic>
              </a:graphicData>
            </a:graphic>
          </wp:inline>
        </w:drawing>
      </w: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jc w:val="both"/>
        <w:rPr>
          <w:rFonts w:asciiTheme="minorHAnsi" w:hAnsiTheme="minorHAnsi" w:cstheme="minorHAnsi"/>
          <w:sz w:val="22"/>
          <w:szCs w:val="22"/>
        </w:rPr>
      </w:pPr>
      <w:r w:rsidRPr="001125D7">
        <w:rPr>
          <w:rFonts w:asciiTheme="minorHAnsi" w:hAnsiTheme="minorHAnsi" w:cstheme="minorHAnsi"/>
          <w:noProof/>
          <w:sz w:val="22"/>
          <w:szCs w:val="22"/>
          <w:lang w:bidi="ar-SA"/>
        </w:rPr>
        <w:drawing>
          <wp:inline distT="0" distB="0" distL="0" distR="0" wp14:anchorId="4284225F" wp14:editId="622766AF">
            <wp:extent cx="5274259" cy="4074566"/>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3.PNG"/>
                    <pic:cNvPicPr/>
                  </pic:nvPicPr>
                  <pic:blipFill>
                    <a:blip r:embed="rId10">
                      <a:extLst>
                        <a:ext uri="{28A0092B-C50C-407E-A947-70E740481C1C}">
                          <a14:useLocalDpi xmlns:a14="http://schemas.microsoft.com/office/drawing/2010/main" val="0"/>
                        </a:ext>
                      </a:extLst>
                    </a:blip>
                    <a:stretch>
                      <a:fillRect/>
                    </a:stretch>
                  </pic:blipFill>
                  <pic:spPr>
                    <a:xfrm>
                      <a:off x="0" y="0"/>
                      <a:ext cx="5274310" cy="4074605"/>
                    </a:xfrm>
                    <a:prstGeom prst="rect">
                      <a:avLst/>
                    </a:prstGeom>
                  </pic:spPr>
                </pic:pic>
              </a:graphicData>
            </a:graphic>
          </wp:inline>
        </w:drawing>
      </w:r>
    </w:p>
    <w:p w:rsidR="00C9086D" w:rsidRPr="001125D7" w:rsidRDefault="00C9086D" w:rsidP="00C9086D">
      <w:pPr>
        <w:pStyle w:val="Default"/>
        <w:jc w:val="both"/>
        <w:rPr>
          <w:rFonts w:asciiTheme="minorHAnsi" w:hAnsiTheme="minorHAnsi" w:cstheme="minorHAnsi"/>
          <w:sz w:val="22"/>
          <w:szCs w:val="22"/>
        </w:rPr>
      </w:pPr>
      <w:r w:rsidRPr="001125D7">
        <w:rPr>
          <w:rFonts w:asciiTheme="minorHAnsi" w:hAnsiTheme="minorHAnsi" w:cstheme="minorHAnsi"/>
          <w:noProof/>
          <w:sz w:val="22"/>
          <w:szCs w:val="22"/>
          <w:lang w:bidi="ar-SA"/>
        </w:rPr>
        <w:lastRenderedPageBreak/>
        <w:drawing>
          <wp:inline distT="0" distB="0" distL="0" distR="0" wp14:anchorId="1C9B2F0D" wp14:editId="0868D9A5">
            <wp:extent cx="5274258" cy="4315968"/>
            <wp:effectExtent l="0" t="0" r="317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4.PNG"/>
                    <pic:cNvPicPr/>
                  </pic:nvPicPr>
                  <pic:blipFill>
                    <a:blip r:embed="rId11">
                      <a:extLst>
                        <a:ext uri="{28A0092B-C50C-407E-A947-70E740481C1C}">
                          <a14:useLocalDpi xmlns:a14="http://schemas.microsoft.com/office/drawing/2010/main" val="0"/>
                        </a:ext>
                      </a:extLst>
                    </a:blip>
                    <a:stretch>
                      <a:fillRect/>
                    </a:stretch>
                  </pic:blipFill>
                  <pic:spPr>
                    <a:xfrm>
                      <a:off x="0" y="0"/>
                      <a:ext cx="5274311" cy="4316011"/>
                    </a:xfrm>
                    <a:prstGeom prst="rect">
                      <a:avLst/>
                    </a:prstGeom>
                  </pic:spPr>
                </pic:pic>
              </a:graphicData>
            </a:graphic>
          </wp:inline>
        </w:drawing>
      </w: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numPr>
          <w:ilvl w:val="0"/>
          <w:numId w:val="6"/>
        </w:numPr>
        <w:jc w:val="both"/>
        <w:rPr>
          <w:rFonts w:asciiTheme="minorHAnsi" w:hAnsiTheme="minorHAnsi" w:cstheme="minorHAnsi"/>
          <w:b/>
          <w:bCs/>
          <w:sz w:val="22"/>
          <w:szCs w:val="22"/>
        </w:rPr>
      </w:pPr>
      <w:r w:rsidRPr="001125D7">
        <w:rPr>
          <w:rFonts w:asciiTheme="minorHAnsi" w:hAnsiTheme="minorHAnsi" w:cstheme="minorHAnsi"/>
          <w:b/>
          <w:bCs/>
          <w:sz w:val="22"/>
          <w:szCs w:val="22"/>
        </w:rPr>
        <w:t>Employment data in six ministries for the period 2015-2018</w:t>
      </w:r>
    </w:p>
    <w:p w:rsidR="00C9086D" w:rsidRPr="001125D7" w:rsidRDefault="00C9086D" w:rsidP="00C9086D">
      <w:pPr>
        <w:pStyle w:val="Default"/>
        <w:jc w:val="both"/>
        <w:rPr>
          <w:rFonts w:asciiTheme="minorHAnsi" w:hAnsiTheme="minorHAnsi" w:cstheme="minorHAnsi"/>
          <w:sz w:val="22"/>
          <w:szCs w:val="22"/>
        </w:rPr>
      </w:pPr>
    </w:p>
    <w:p w:rsidR="00C9086D" w:rsidRPr="001125D7" w:rsidRDefault="00C9086D" w:rsidP="00C9086D">
      <w:pPr>
        <w:pStyle w:val="Default"/>
        <w:jc w:val="both"/>
        <w:rPr>
          <w:rFonts w:asciiTheme="minorHAnsi" w:hAnsiTheme="minorHAnsi" w:cstheme="minorHAnsi"/>
          <w:sz w:val="22"/>
          <w:szCs w:val="22"/>
        </w:rPr>
      </w:pPr>
      <w:r w:rsidRPr="001125D7">
        <w:rPr>
          <w:rFonts w:asciiTheme="minorHAnsi" w:hAnsiTheme="minorHAnsi" w:cstheme="minorHAnsi"/>
          <w:noProof/>
          <w:sz w:val="22"/>
          <w:szCs w:val="22"/>
          <w:rtl/>
          <w:lang w:bidi="ar-SA"/>
        </w:rPr>
        <w:drawing>
          <wp:inline distT="0" distB="0" distL="0" distR="0" wp14:anchorId="39725334" wp14:editId="71EEB792">
            <wp:extent cx="5266943" cy="13167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6943" cy="1316736"/>
                    </a:xfrm>
                    <a:prstGeom prst="rect">
                      <a:avLst/>
                    </a:prstGeom>
                    <a:noFill/>
                    <a:ln>
                      <a:noFill/>
                    </a:ln>
                  </pic:spPr>
                </pic:pic>
              </a:graphicData>
            </a:graphic>
          </wp:inline>
        </w:drawing>
      </w:r>
      <w:r w:rsidRPr="001125D7">
        <w:rPr>
          <w:rFonts w:asciiTheme="minorHAnsi" w:hAnsiTheme="minorHAnsi" w:cstheme="minorHAnsi"/>
          <w:noProof/>
          <w:sz w:val="22"/>
          <w:szCs w:val="22"/>
          <w:lang w:bidi="ar-SA"/>
        </w:rPr>
        <w:drawing>
          <wp:inline distT="0" distB="0" distL="0" distR="0" wp14:anchorId="6E055964" wp14:editId="5E434D2F">
            <wp:extent cx="5274255" cy="1404518"/>
            <wp:effectExtent l="0" t="0" r="317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1404533"/>
                    </a:xfrm>
                    <a:prstGeom prst="rect">
                      <a:avLst/>
                    </a:prstGeom>
                    <a:noFill/>
                    <a:ln>
                      <a:noFill/>
                    </a:ln>
                  </pic:spPr>
                </pic:pic>
              </a:graphicData>
            </a:graphic>
          </wp:inline>
        </w:drawing>
      </w:r>
    </w:p>
    <w:p w:rsidR="00C9086D" w:rsidRPr="001125D7" w:rsidRDefault="00C9086D" w:rsidP="00C9086D">
      <w:pPr>
        <w:pStyle w:val="Default"/>
        <w:jc w:val="both"/>
        <w:rPr>
          <w:rFonts w:asciiTheme="minorHAnsi" w:hAnsiTheme="minorHAnsi" w:cstheme="minorHAnsi"/>
          <w:sz w:val="22"/>
          <w:szCs w:val="22"/>
        </w:rPr>
      </w:pPr>
      <w:r w:rsidRPr="001125D7">
        <w:rPr>
          <w:rFonts w:asciiTheme="minorHAnsi" w:hAnsiTheme="minorHAnsi" w:cstheme="minorHAnsi"/>
          <w:noProof/>
          <w:sz w:val="22"/>
          <w:szCs w:val="22"/>
          <w:rtl/>
          <w:lang w:bidi="ar-SA"/>
        </w:rPr>
        <w:lastRenderedPageBreak/>
        <w:drawing>
          <wp:inline distT="0" distB="0" distL="0" distR="0" wp14:anchorId="56F4E7A7" wp14:editId="0C67DADF">
            <wp:extent cx="5257066" cy="1506931"/>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062" cy="1506930"/>
                    </a:xfrm>
                    <a:prstGeom prst="rect">
                      <a:avLst/>
                    </a:prstGeom>
                    <a:noFill/>
                    <a:ln>
                      <a:noFill/>
                    </a:ln>
                  </pic:spPr>
                </pic:pic>
              </a:graphicData>
            </a:graphic>
          </wp:inline>
        </w:drawing>
      </w:r>
      <w:r w:rsidRPr="001125D7">
        <w:rPr>
          <w:rFonts w:asciiTheme="minorHAnsi" w:hAnsiTheme="minorHAnsi" w:cstheme="minorHAnsi"/>
          <w:noProof/>
          <w:sz w:val="22"/>
          <w:szCs w:val="22"/>
          <w:rtl/>
          <w:lang w:bidi="ar-SA"/>
        </w:rPr>
        <w:drawing>
          <wp:inline distT="0" distB="0" distL="0" distR="0" wp14:anchorId="07445164" wp14:editId="62F31B87">
            <wp:extent cx="5272852" cy="1441095"/>
            <wp:effectExtent l="0" t="0" r="444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1441494"/>
                    </a:xfrm>
                    <a:prstGeom prst="rect">
                      <a:avLst/>
                    </a:prstGeom>
                    <a:noFill/>
                    <a:ln>
                      <a:noFill/>
                    </a:ln>
                  </pic:spPr>
                </pic:pic>
              </a:graphicData>
            </a:graphic>
          </wp:inline>
        </w:drawing>
      </w:r>
      <w:r w:rsidRPr="001125D7">
        <w:rPr>
          <w:rFonts w:asciiTheme="minorHAnsi" w:hAnsiTheme="minorHAnsi" w:cstheme="minorHAnsi"/>
          <w:noProof/>
          <w:sz w:val="22"/>
          <w:szCs w:val="22"/>
          <w:rtl/>
          <w:lang w:bidi="ar-SA"/>
        </w:rPr>
        <w:drawing>
          <wp:inline distT="0" distB="0" distL="0" distR="0" wp14:anchorId="2373FEB5" wp14:editId="33FF387A">
            <wp:extent cx="5259065" cy="13533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1357235"/>
                    </a:xfrm>
                    <a:prstGeom prst="rect">
                      <a:avLst/>
                    </a:prstGeom>
                    <a:noFill/>
                    <a:ln>
                      <a:noFill/>
                    </a:ln>
                  </pic:spPr>
                </pic:pic>
              </a:graphicData>
            </a:graphic>
          </wp:inline>
        </w:drawing>
      </w:r>
      <w:r w:rsidRPr="001125D7">
        <w:rPr>
          <w:rFonts w:asciiTheme="minorHAnsi" w:hAnsiTheme="minorHAnsi" w:cstheme="minorHAnsi"/>
          <w:noProof/>
          <w:sz w:val="22"/>
          <w:szCs w:val="22"/>
          <w:rtl/>
          <w:lang w:bidi="ar-SA"/>
        </w:rPr>
        <w:drawing>
          <wp:inline distT="0" distB="0" distL="0" distR="0" wp14:anchorId="6126682D" wp14:editId="1977679B">
            <wp:extent cx="5274310" cy="125448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1254485"/>
                    </a:xfrm>
                    <a:prstGeom prst="rect">
                      <a:avLst/>
                    </a:prstGeom>
                    <a:noFill/>
                    <a:ln>
                      <a:noFill/>
                    </a:ln>
                  </pic:spPr>
                </pic:pic>
              </a:graphicData>
            </a:graphic>
          </wp:inline>
        </w:drawing>
      </w:r>
    </w:p>
    <w:p w:rsidR="00C9086D" w:rsidRPr="001125D7" w:rsidRDefault="00C9086D" w:rsidP="00C9086D">
      <w:pPr>
        <w:jc w:val="both"/>
        <w:rPr>
          <w:rFonts w:asciiTheme="minorHAnsi" w:hAnsiTheme="minorHAnsi" w:cstheme="minorHAnsi"/>
          <w:sz w:val="22"/>
          <w:szCs w:val="22"/>
          <w:rtl/>
        </w:rPr>
      </w:pPr>
    </w:p>
    <w:p w:rsidR="00D8750F" w:rsidRPr="001125D7" w:rsidRDefault="00D8750F" w:rsidP="00D8750F">
      <w:pPr>
        <w:pStyle w:val="NormalWeb"/>
        <w:shd w:val="clear" w:color="auto" w:fill="FFFFFF"/>
        <w:spacing w:before="0" w:beforeAutospacing="0" w:after="0" w:afterAutospacing="0"/>
        <w:jc w:val="both"/>
        <w:textAlignment w:val="baseline"/>
        <w:rPr>
          <w:rFonts w:asciiTheme="minorHAnsi" w:hAnsiTheme="minorHAnsi" w:cstheme="minorHAnsi"/>
          <w:b/>
          <w:bCs/>
          <w:sz w:val="22"/>
          <w:szCs w:val="22"/>
        </w:rPr>
      </w:pPr>
    </w:p>
    <w:sectPr w:rsidR="00D8750F" w:rsidRPr="001125D7" w:rsidSect="005F4678">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14F" w:rsidRDefault="0047014F" w:rsidP="00052D7E">
      <w:r>
        <w:separator/>
      </w:r>
    </w:p>
  </w:endnote>
  <w:endnote w:type="continuationSeparator" w:id="0">
    <w:p w:rsidR="0047014F" w:rsidRDefault="0047014F" w:rsidP="00052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9029244"/>
      <w:docPartObj>
        <w:docPartGallery w:val="Page Numbers (Bottom of Page)"/>
        <w:docPartUnique/>
      </w:docPartObj>
    </w:sdtPr>
    <w:sdtContent>
      <w:p w:rsidR="005F4678" w:rsidRDefault="005F4678" w:rsidP="000F43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F4678" w:rsidRDefault="005F46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93503890"/>
      <w:docPartObj>
        <w:docPartGallery w:val="Page Numbers (Bottom of Page)"/>
        <w:docPartUnique/>
      </w:docPartObj>
    </w:sdtPr>
    <w:sdtContent>
      <w:p w:rsidR="005F4678" w:rsidRDefault="005F4678" w:rsidP="000F43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67A54" w:rsidRDefault="00867A54">
    <w:pPr>
      <w:pStyle w:val="Footer"/>
      <w:jc w:val="center"/>
    </w:pPr>
  </w:p>
  <w:p w:rsidR="00867A54" w:rsidRDefault="00867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14F" w:rsidRDefault="0047014F" w:rsidP="00052D7E">
      <w:r>
        <w:separator/>
      </w:r>
    </w:p>
  </w:footnote>
  <w:footnote w:type="continuationSeparator" w:id="0">
    <w:p w:rsidR="0047014F" w:rsidRDefault="0047014F" w:rsidP="00052D7E">
      <w:r>
        <w:continuationSeparator/>
      </w:r>
    </w:p>
  </w:footnote>
  <w:footnote w:id="1">
    <w:p w:rsidR="00867A54" w:rsidRPr="005F4678" w:rsidRDefault="00867A54" w:rsidP="00794C73">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The full text of the JNS Law in the original Hebrew: </w:t>
      </w:r>
      <w:hyperlink r:id="rId1" w:history="1">
        <w:r w:rsidRPr="005F4678">
          <w:rPr>
            <w:rStyle w:val="Hyperlink"/>
            <w:rFonts w:asciiTheme="minorHAnsi" w:hAnsiTheme="minorHAnsi" w:cstheme="minorHAnsi"/>
          </w:rPr>
          <w:t>https://www.adalah.org/uploads/uploads/Basic_Law_Israel_as_the_Nation_State_of_the_Jewish_People_HEB_25072018.pdf</w:t>
        </w:r>
      </w:hyperlink>
      <w:r w:rsidRPr="005F4678">
        <w:rPr>
          <w:rFonts w:asciiTheme="minorHAnsi" w:hAnsiTheme="minorHAnsi" w:cstheme="minorHAnsi"/>
        </w:rPr>
        <w:t xml:space="preserve"> An unofficial English translation of the JNS Law is available on the website of the Knesset: </w:t>
      </w:r>
      <w:hyperlink r:id="rId2" w:history="1">
        <w:r w:rsidRPr="005F4678">
          <w:rPr>
            <w:rStyle w:val="Hyperlink"/>
            <w:rFonts w:asciiTheme="minorHAnsi" w:hAnsiTheme="minorHAnsi" w:cstheme="minorHAnsi"/>
          </w:rPr>
          <w:t>https://knesset.gov.il/laws/special/eng/BasicLawNationState.pdf</w:t>
        </w:r>
      </w:hyperlink>
    </w:p>
    <w:p w:rsidR="00867A54" w:rsidRDefault="00867A54" w:rsidP="00794C73">
      <w:pPr>
        <w:pStyle w:val="FootnoteText"/>
      </w:pPr>
      <w:r>
        <w:t xml:space="preserve"> </w:t>
      </w:r>
    </w:p>
  </w:footnote>
  <w:footnote w:id="2">
    <w:p w:rsidR="00867A54" w:rsidRPr="005F4678" w:rsidRDefault="00867A54" w:rsidP="00A73A23">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HCJ 5866/18 </w:t>
      </w:r>
      <w:r w:rsidRPr="005F4678">
        <w:rPr>
          <w:rFonts w:asciiTheme="minorHAnsi" w:hAnsiTheme="minorHAnsi" w:cstheme="minorHAnsi"/>
          <w:i/>
          <w:iCs/>
        </w:rPr>
        <w:t>The High Follow-up Committee for Arab Citizens of Israel, et al. v. The Knesset, et. al</w:t>
      </w:r>
      <w:r w:rsidRPr="005F4678">
        <w:rPr>
          <w:rFonts w:asciiTheme="minorHAnsi" w:hAnsiTheme="minorHAnsi" w:cstheme="minorHAnsi"/>
        </w:rPr>
        <w:t xml:space="preserve"> (case pending). An English translation of the petition is available on </w:t>
      </w:r>
      <w:proofErr w:type="spellStart"/>
      <w:r w:rsidRPr="005F4678">
        <w:rPr>
          <w:rFonts w:asciiTheme="minorHAnsi" w:hAnsiTheme="minorHAnsi" w:cstheme="minorHAnsi"/>
        </w:rPr>
        <w:t>Adalah’s</w:t>
      </w:r>
      <w:proofErr w:type="spellEnd"/>
      <w:r w:rsidRPr="005F4678">
        <w:rPr>
          <w:rFonts w:asciiTheme="minorHAnsi" w:hAnsiTheme="minorHAnsi" w:cstheme="minorHAnsi"/>
        </w:rPr>
        <w:t xml:space="preserve"> website: </w:t>
      </w:r>
      <w:hyperlink r:id="rId3" w:history="1">
        <w:r w:rsidRPr="005F4678">
          <w:rPr>
            <w:rStyle w:val="Hyperlink"/>
            <w:rFonts w:asciiTheme="minorHAnsi" w:hAnsiTheme="minorHAnsi" w:cstheme="minorHAnsi"/>
          </w:rPr>
          <w:t>https://www.adalah.org/uploads/uploads/Jewish_Nation_State_Law_Petition_English_Final_October_2018.pdf</w:t>
        </w:r>
      </w:hyperlink>
    </w:p>
  </w:footnote>
  <w:footnote w:id="3">
    <w:p w:rsidR="00867A54" w:rsidRPr="005F4678" w:rsidRDefault="00867A54" w:rsidP="00A73A23">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w:t>
      </w:r>
      <w:proofErr w:type="spellStart"/>
      <w:r w:rsidRPr="005F4678">
        <w:rPr>
          <w:rFonts w:asciiTheme="minorHAnsi" w:hAnsiTheme="minorHAnsi" w:cstheme="minorHAnsi"/>
        </w:rPr>
        <w:t>Adalah’s</w:t>
      </w:r>
      <w:proofErr w:type="spellEnd"/>
      <w:r w:rsidRPr="005F4678">
        <w:rPr>
          <w:rFonts w:asciiTheme="minorHAnsi" w:hAnsiTheme="minorHAnsi" w:cstheme="minorHAnsi"/>
        </w:rPr>
        <w:t xml:space="preserve"> letter to the UN Special Rapporteurs:  </w:t>
      </w:r>
      <w:hyperlink r:id="rId4" w:history="1">
        <w:r w:rsidRPr="005F4678">
          <w:rPr>
            <w:rStyle w:val="Hyperlink"/>
            <w:rFonts w:asciiTheme="minorHAnsi" w:hAnsiTheme="minorHAnsi" w:cstheme="minorHAnsi"/>
          </w:rPr>
          <w:t>https://www.adalah.org/uploads/uploads/Adalah_Request_for_action_UN_Spec_Rapp_21102018.pdf</w:t>
        </w:r>
      </w:hyperlink>
      <w:r w:rsidRPr="005F4678">
        <w:rPr>
          <w:rFonts w:asciiTheme="minorHAnsi" w:hAnsiTheme="minorHAnsi" w:cstheme="minorHAnsi"/>
        </w:rPr>
        <w:t xml:space="preserve">. Attached to the letter is also a request for Urgent Action submitted by </w:t>
      </w:r>
      <w:proofErr w:type="spellStart"/>
      <w:r w:rsidRPr="005F4678">
        <w:rPr>
          <w:rFonts w:asciiTheme="minorHAnsi" w:hAnsiTheme="minorHAnsi" w:cstheme="minorHAnsi"/>
        </w:rPr>
        <w:t>Adalah</w:t>
      </w:r>
      <w:proofErr w:type="spellEnd"/>
      <w:r w:rsidRPr="005F4678">
        <w:rPr>
          <w:rFonts w:asciiTheme="minorHAnsi" w:hAnsiTheme="minorHAnsi" w:cstheme="minorHAnsi"/>
        </w:rPr>
        <w:t xml:space="preserve"> to the CERD Committee in September 2018. The Committee has not responded. </w:t>
      </w:r>
    </w:p>
  </w:footnote>
  <w:footnote w:id="4">
    <w:p w:rsidR="00867A54" w:rsidRPr="005F4678" w:rsidRDefault="00867A54" w:rsidP="006D486D">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Communique: </w:t>
      </w:r>
      <w:hyperlink r:id="rId5" w:history="1">
        <w:r w:rsidRPr="005F4678">
          <w:rPr>
            <w:rStyle w:val="Hyperlink"/>
            <w:rFonts w:asciiTheme="minorHAnsi" w:hAnsiTheme="minorHAnsi" w:cstheme="minorHAnsi"/>
          </w:rPr>
          <w:t>https://www.adalah.org/uploads/uploads/4_UN_Spec_Rapp_communication_02112018.pdf</w:t>
        </w:r>
      </w:hyperlink>
      <w:r w:rsidRPr="005F4678">
        <w:rPr>
          <w:rFonts w:asciiTheme="minorHAnsi" w:hAnsiTheme="minorHAnsi" w:cstheme="minorHAnsi"/>
        </w:rPr>
        <w:t xml:space="preserve"> </w:t>
      </w:r>
    </w:p>
    <w:p w:rsidR="00867A54" w:rsidRPr="005F4678" w:rsidRDefault="00867A54" w:rsidP="000D4D90">
      <w:pPr>
        <w:pStyle w:val="FootnoteText"/>
        <w:rPr>
          <w:rFonts w:asciiTheme="minorHAnsi" w:hAnsiTheme="minorHAnsi" w:cstheme="minorHAnsi"/>
          <w:bCs/>
          <w:color w:val="000000" w:themeColor="text1"/>
        </w:rPr>
      </w:pPr>
      <w:r w:rsidRPr="005F4678">
        <w:rPr>
          <w:rFonts w:asciiTheme="minorHAnsi" w:hAnsiTheme="minorHAnsi" w:cstheme="minorHAnsi"/>
          <w:bCs/>
          <w:color w:val="000000" w:themeColor="text1"/>
        </w:rPr>
        <w:t xml:space="preserve">See also </w:t>
      </w:r>
      <w:proofErr w:type="spellStart"/>
      <w:r w:rsidRPr="005F4678">
        <w:rPr>
          <w:rFonts w:asciiTheme="minorHAnsi" w:hAnsiTheme="minorHAnsi" w:cstheme="minorHAnsi"/>
          <w:bCs/>
          <w:color w:val="000000" w:themeColor="text1"/>
        </w:rPr>
        <w:t>Adalah</w:t>
      </w:r>
      <w:proofErr w:type="spellEnd"/>
      <w:r w:rsidRPr="005F4678">
        <w:rPr>
          <w:rFonts w:asciiTheme="minorHAnsi" w:hAnsiTheme="minorHAnsi" w:cstheme="minorHAnsi"/>
          <w:bCs/>
          <w:color w:val="000000" w:themeColor="text1"/>
        </w:rPr>
        <w:t xml:space="preserve"> Press Release, “UN Special Rapporteurs give Israel 60 days to respond to 'deep concerns' regarding Jewish Nation-State Law,” 15 November 2018: </w:t>
      </w:r>
      <w:hyperlink r:id="rId6" w:history="1">
        <w:r w:rsidRPr="005F4678">
          <w:rPr>
            <w:rStyle w:val="Hyperlink"/>
            <w:rFonts w:asciiTheme="minorHAnsi" w:hAnsiTheme="minorHAnsi" w:cstheme="minorHAnsi"/>
            <w:bCs/>
          </w:rPr>
          <w:t>https://www.adalah.org/en/content/view/9626</w:t>
        </w:r>
      </w:hyperlink>
    </w:p>
  </w:footnote>
  <w:footnote w:id="5">
    <w:p w:rsidR="00867A54" w:rsidRPr="005F4678" w:rsidRDefault="00867A54">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Ibid.</w:t>
      </w:r>
    </w:p>
  </w:footnote>
  <w:footnote w:id="6">
    <w:p w:rsidR="00867A54" w:rsidRPr="005F4678" w:rsidRDefault="00867A54" w:rsidP="00F762A6">
      <w:pPr>
        <w:pStyle w:val="FootnoteText"/>
        <w:jc w:val="both"/>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w:t>
      </w:r>
      <w:r w:rsidRPr="005F4678">
        <w:rPr>
          <w:rFonts w:asciiTheme="minorHAnsi" w:hAnsiTheme="minorHAnsi" w:cstheme="minorHAnsi"/>
          <w:bdr w:val="none" w:sz="0" w:space="0" w:color="auto" w:frame="1"/>
          <w:shd w:val="clear" w:color="auto" w:fill="FFFFFF"/>
        </w:rPr>
        <w:t>Law of Return, 1950.</w:t>
      </w:r>
      <w:r w:rsidRPr="005F4678">
        <w:rPr>
          <w:rFonts w:asciiTheme="minorHAnsi" w:hAnsiTheme="minorHAnsi" w:cstheme="minorHAnsi"/>
        </w:rPr>
        <w:t xml:space="preserve"> Available at: </w:t>
      </w:r>
      <w:hyperlink r:id="rId7" w:history="1">
        <w:r w:rsidRPr="005F4678">
          <w:rPr>
            <w:rStyle w:val="Hyperlink"/>
            <w:rFonts w:asciiTheme="minorHAnsi" w:hAnsiTheme="minorHAnsi" w:cstheme="minorHAnsi"/>
          </w:rPr>
          <w:t>https://www.adalah.org/en/law/view/537</w:t>
        </w:r>
      </w:hyperlink>
    </w:p>
  </w:footnote>
  <w:footnote w:id="7">
    <w:p w:rsidR="00867A54" w:rsidRPr="005F4678" w:rsidRDefault="00867A54" w:rsidP="00F762A6">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Citizenship </w:t>
      </w:r>
      <w:r w:rsidRPr="005F4678">
        <w:rPr>
          <w:rFonts w:asciiTheme="minorHAnsi" w:hAnsiTheme="minorHAnsi" w:cstheme="minorHAnsi"/>
          <w:color w:val="000000"/>
          <w:shd w:val="clear" w:color="auto" w:fill="FFFFFF"/>
        </w:rPr>
        <w:t xml:space="preserve">and Entry into Israel Law (Temporary Order) – 2003. Available at: </w:t>
      </w:r>
      <w:hyperlink r:id="rId8" w:history="1">
        <w:r w:rsidRPr="005F4678">
          <w:rPr>
            <w:rStyle w:val="Hyperlink"/>
            <w:rFonts w:asciiTheme="minorHAnsi" w:hAnsiTheme="minorHAnsi" w:cstheme="minorHAnsi"/>
            <w:shd w:val="clear" w:color="auto" w:fill="FFFFFF"/>
          </w:rPr>
          <w:t>https://www.adalah.org/en/law/view/511</w:t>
        </w:r>
      </w:hyperlink>
      <w:r w:rsidRPr="005F4678">
        <w:rPr>
          <w:rFonts w:asciiTheme="minorHAnsi" w:hAnsiTheme="minorHAnsi" w:cstheme="minorHAnsi"/>
          <w:color w:val="000000"/>
          <w:shd w:val="clear" w:color="auto" w:fill="FFFFFF"/>
        </w:rPr>
        <w:t xml:space="preserve"> </w:t>
      </w:r>
    </w:p>
  </w:footnote>
  <w:footnote w:id="8">
    <w:p w:rsidR="00867A54" w:rsidRPr="005F4678" w:rsidRDefault="00867A54" w:rsidP="00903CF5">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w:t>
      </w:r>
      <w:r w:rsidRPr="005F4678">
        <w:rPr>
          <w:rFonts w:asciiTheme="minorHAnsi" w:hAnsiTheme="minorHAnsi" w:cstheme="minorHAnsi"/>
          <w:color w:val="222222"/>
          <w:shd w:val="clear" w:color="auto" w:fill="FFFFFF"/>
        </w:rPr>
        <w:t>The Absentees’ Property Law, 1950.</w:t>
      </w:r>
      <w:r w:rsidRPr="005F4678">
        <w:rPr>
          <w:rFonts w:asciiTheme="minorHAnsi" w:hAnsiTheme="minorHAnsi" w:cstheme="minorHAnsi"/>
        </w:rPr>
        <w:t xml:space="preserve"> Available at: </w:t>
      </w:r>
      <w:hyperlink r:id="rId9" w:history="1">
        <w:r w:rsidRPr="005F4678">
          <w:rPr>
            <w:rStyle w:val="Hyperlink"/>
            <w:rFonts w:asciiTheme="minorHAnsi" w:hAnsiTheme="minorHAnsi" w:cstheme="minorHAnsi"/>
          </w:rPr>
          <w:t>https://www.adalah.org/en/law/view/538</w:t>
        </w:r>
      </w:hyperlink>
    </w:p>
    <w:p w:rsidR="00867A54" w:rsidRPr="005F4678" w:rsidRDefault="00867A54" w:rsidP="00903CF5">
      <w:pPr>
        <w:pStyle w:val="FootnoteText"/>
        <w:rPr>
          <w:rFonts w:asciiTheme="minorHAnsi" w:hAnsiTheme="minorHAnsi" w:cstheme="minorHAnsi"/>
        </w:rPr>
      </w:pPr>
    </w:p>
  </w:footnote>
  <w:footnote w:id="9">
    <w:p w:rsidR="00867A54" w:rsidRPr="005F4678" w:rsidRDefault="00867A54" w:rsidP="00903CF5">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See Israel’s Reports to CERD, CERD/C/ISR/14-16, 17 January 2007, paras. 388-391 and CERD/C/ISR/17-19, 14 March 2017, para. 137.</w:t>
      </w:r>
    </w:p>
  </w:footnote>
  <w:footnote w:id="10">
    <w:p w:rsidR="00867A54" w:rsidRPr="005F4678" w:rsidRDefault="00867A54" w:rsidP="00867A54">
      <w:pPr>
        <w:pStyle w:val="FootnoteText"/>
        <w:jc w:val="both"/>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For more information see, e.g., </w:t>
      </w:r>
      <w:proofErr w:type="spellStart"/>
      <w:r w:rsidRPr="005F4678">
        <w:rPr>
          <w:rFonts w:asciiTheme="minorHAnsi" w:hAnsiTheme="minorHAnsi" w:cstheme="minorHAnsi"/>
        </w:rPr>
        <w:t>Revital</w:t>
      </w:r>
      <w:proofErr w:type="spellEnd"/>
      <w:r w:rsidRPr="005F4678">
        <w:rPr>
          <w:rFonts w:asciiTheme="minorHAnsi" w:hAnsiTheme="minorHAnsi" w:cstheme="minorHAnsi"/>
        </w:rPr>
        <w:t xml:space="preserve"> Hovel, “Justice Minister: Israel Must Keep Jewish Majority Even at the Expense of Human Rights,” </w:t>
      </w:r>
      <w:r w:rsidRPr="005F4678">
        <w:rPr>
          <w:rFonts w:asciiTheme="minorHAnsi" w:hAnsiTheme="minorHAnsi" w:cstheme="minorHAnsi"/>
          <w:i/>
          <w:iCs/>
        </w:rPr>
        <w:t>Haaretz</w:t>
      </w:r>
      <w:r w:rsidRPr="005F4678">
        <w:rPr>
          <w:rFonts w:asciiTheme="minorHAnsi" w:hAnsiTheme="minorHAnsi" w:cstheme="minorHAnsi"/>
        </w:rPr>
        <w:t xml:space="preserve">, 13 February 2018: </w:t>
      </w:r>
      <w:hyperlink r:id="rId10" w:history="1">
        <w:r w:rsidRPr="005F4678">
          <w:rPr>
            <w:rStyle w:val="Hyperlink"/>
            <w:rFonts w:asciiTheme="minorHAnsi" w:hAnsiTheme="minorHAnsi" w:cstheme="minorHAnsi"/>
          </w:rPr>
          <w:t>https://www.haaretz.com/israel-news/justice-minister-israel-s-jewish-majority-trumps-than-human-rights-1.5811106</w:t>
        </w:r>
      </w:hyperlink>
      <w:r w:rsidRPr="005F4678">
        <w:rPr>
          <w:rFonts w:asciiTheme="minorHAnsi" w:hAnsiTheme="minorHAnsi" w:cstheme="minorHAnsi"/>
        </w:rPr>
        <w:t xml:space="preserve"> </w:t>
      </w:r>
    </w:p>
  </w:footnote>
  <w:footnote w:id="11">
    <w:p w:rsidR="00095DCD" w:rsidRPr="005F4678" w:rsidRDefault="00095DCD" w:rsidP="005F4678">
      <w:pPr>
        <w:rPr>
          <w:rFonts w:asciiTheme="minorHAnsi" w:hAnsiTheme="minorHAnsi" w:cstheme="minorHAnsi"/>
          <w:color w:val="000000"/>
          <w:sz w:val="20"/>
          <w:szCs w:val="20"/>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Pr>
        <w:t xml:space="preserve"> </w:t>
      </w:r>
      <w:r w:rsidRPr="00095DCD">
        <w:rPr>
          <w:rFonts w:asciiTheme="minorHAnsi" w:hAnsiTheme="minorHAnsi" w:cstheme="minorHAnsi"/>
          <w:color w:val="000000"/>
          <w:sz w:val="20"/>
          <w:szCs w:val="20"/>
        </w:rPr>
        <w:t>HCJ 7052/03, </w:t>
      </w:r>
      <w:proofErr w:type="spellStart"/>
      <w:r w:rsidRPr="00095DCD">
        <w:rPr>
          <w:rFonts w:asciiTheme="minorHAnsi" w:hAnsiTheme="minorHAnsi" w:cstheme="minorHAnsi"/>
          <w:i/>
          <w:iCs/>
          <w:color w:val="000000"/>
          <w:sz w:val="20"/>
          <w:szCs w:val="20"/>
          <w:bdr w:val="none" w:sz="0" w:space="0" w:color="auto" w:frame="1"/>
        </w:rPr>
        <w:t>Adalah</w:t>
      </w:r>
      <w:proofErr w:type="spellEnd"/>
      <w:r w:rsidRPr="00095DCD">
        <w:rPr>
          <w:rFonts w:asciiTheme="minorHAnsi" w:hAnsiTheme="minorHAnsi" w:cstheme="minorHAnsi"/>
          <w:i/>
          <w:iCs/>
          <w:color w:val="000000"/>
          <w:sz w:val="20"/>
          <w:szCs w:val="20"/>
          <w:bdr w:val="none" w:sz="0" w:space="0" w:color="auto" w:frame="1"/>
        </w:rPr>
        <w:t xml:space="preserve"> et al. v. The Interior Ministry</w:t>
      </w:r>
      <w:r w:rsidRPr="00095DCD">
        <w:rPr>
          <w:rFonts w:asciiTheme="minorHAnsi" w:hAnsiTheme="minorHAnsi" w:cstheme="minorHAnsi"/>
          <w:color w:val="000000"/>
          <w:sz w:val="20"/>
          <w:szCs w:val="20"/>
        </w:rPr>
        <w:t>, et. al</w:t>
      </w:r>
      <w:r w:rsidRPr="005F4678">
        <w:rPr>
          <w:rFonts w:asciiTheme="minorHAnsi" w:hAnsiTheme="minorHAnsi" w:cstheme="minorHAnsi"/>
          <w:color w:val="000000"/>
          <w:sz w:val="20"/>
          <w:szCs w:val="20"/>
        </w:rPr>
        <w:t xml:space="preserve"> (petition dismissed 14 May 2006</w:t>
      </w:r>
      <w:r w:rsidRPr="00095DCD">
        <w:rPr>
          <w:rFonts w:asciiTheme="minorHAnsi" w:hAnsiTheme="minorHAnsi" w:cstheme="minorHAnsi"/>
          <w:color w:val="000000"/>
          <w:sz w:val="20"/>
          <w:szCs w:val="20"/>
        </w:rPr>
        <w:t>)</w:t>
      </w:r>
      <w:r w:rsidRPr="005F4678">
        <w:rPr>
          <w:rFonts w:asciiTheme="minorHAnsi" w:hAnsiTheme="minorHAnsi" w:cstheme="minorHAnsi"/>
          <w:color w:val="000000"/>
          <w:sz w:val="20"/>
          <w:szCs w:val="20"/>
        </w:rPr>
        <w:t xml:space="preserve"> and </w:t>
      </w:r>
      <w:r w:rsidRPr="005F4678">
        <w:rPr>
          <w:rFonts w:asciiTheme="minorHAnsi" w:hAnsiTheme="minorHAnsi" w:cstheme="minorHAnsi"/>
          <w:color w:val="000000"/>
          <w:sz w:val="20"/>
          <w:szCs w:val="20"/>
          <w:shd w:val="clear" w:color="auto" w:fill="FFFFFF"/>
        </w:rPr>
        <w:t>HCJ 466/07, </w:t>
      </w:r>
      <w:r w:rsidRPr="005F4678">
        <w:rPr>
          <w:rFonts w:asciiTheme="minorHAnsi" w:hAnsiTheme="minorHAnsi" w:cstheme="minorHAnsi"/>
          <w:i/>
          <w:iCs/>
          <w:color w:val="000000"/>
          <w:sz w:val="20"/>
          <w:szCs w:val="20"/>
        </w:rPr>
        <w:t xml:space="preserve">MK </w:t>
      </w:r>
      <w:proofErr w:type="spellStart"/>
      <w:r w:rsidRPr="005F4678">
        <w:rPr>
          <w:rFonts w:asciiTheme="minorHAnsi" w:hAnsiTheme="minorHAnsi" w:cstheme="minorHAnsi"/>
          <w:i/>
          <w:iCs/>
          <w:color w:val="000000"/>
          <w:sz w:val="20"/>
          <w:szCs w:val="20"/>
        </w:rPr>
        <w:t>Zahava</w:t>
      </w:r>
      <w:proofErr w:type="spellEnd"/>
      <w:r w:rsidRPr="005F4678">
        <w:rPr>
          <w:rFonts w:asciiTheme="minorHAnsi" w:hAnsiTheme="minorHAnsi" w:cstheme="minorHAnsi"/>
          <w:i/>
          <w:iCs/>
          <w:color w:val="000000"/>
          <w:sz w:val="20"/>
          <w:szCs w:val="20"/>
        </w:rPr>
        <w:t xml:space="preserve"> </w:t>
      </w:r>
      <w:proofErr w:type="spellStart"/>
      <w:r w:rsidRPr="005F4678">
        <w:rPr>
          <w:rFonts w:asciiTheme="minorHAnsi" w:hAnsiTheme="minorHAnsi" w:cstheme="minorHAnsi"/>
          <w:i/>
          <w:iCs/>
          <w:color w:val="000000"/>
          <w:sz w:val="20"/>
          <w:szCs w:val="20"/>
        </w:rPr>
        <w:t>Galon</w:t>
      </w:r>
      <w:proofErr w:type="spellEnd"/>
      <w:r w:rsidRPr="005F4678">
        <w:rPr>
          <w:rFonts w:asciiTheme="minorHAnsi" w:hAnsiTheme="minorHAnsi" w:cstheme="minorHAnsi"/>
          <w:i/>
          <w:iCs/>
          <w:color w:val="000000"/>
          <w:sz w:val="20"/>
          <w:szCs w:val="20"/>
        </w:rPr>
        <w:t xml:space="preserve"> v. The Attorney General, et al.</w:t>
      </w:r>
      <w:r w:rsidRPr="005F4678">
        <w:rPr>
          <w:rFonts w:asciiTheme="minorHAnsi" w:hAnsiTheme="minorHAnsi" w:cstheme="minorHAnsi"/>
          <w:color w:val="000000"/>
          <w:sz w:val="20"/>
          <w:szCs w:val="20"/>
          <w:shd w:val="clear" w:color="auto" w:fill="FFFFFF"/>
        </w:rPr>
        <w:t> (petition dismissed 11 January 2012).</w:t>
      </w:r>
      <w:r w:rsidRPr="005F4678">
        <w:rPr>
          <w:rFonts w:asciiTheme="minorHAnsi" w:hAnsiTheme="minorHAnsi" w:cstheme="minorHAnsi"/>
          <w:color w:val="000000"/>
          <w:sz w:val="20"/>
          <w:szCs w:val="20"/>
        </w:rPr>
        <w:t xml:space="preserve"> </w:t>
      </w:r>
    </w:p>
  </w:footnote>
  <w:footnote w:id="12">
    <w:p w:rsidR="001125D7" w:rsidRPr="005F4678" w:rsidRDefault="001125D7" w:rsidP="001125D7">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See Citizenship Law (1952) and Amendment 9 (2008): </w:t>
      </w:r>
      <w:hyperlink r:id="rId11" w:history="1">
        <w:r w:rsidRPr="005F4678">
          <w:rPr>
            <w:rStyle w:val="Hyperlink"/>
            <w:rFonts w:asciiTheme="minorHAnsi" w:hAnsiTheme="minorHAnsi" w:cstheme="minorHAnsi"/>
          </w:rPr>
          <w:t>https://www.adalah.org/en/law/view/536</w:t>
        </w:r>
      </w:hyperlink>
    </w:p>
  </w:footnote>
  <w:footnote w:id="13">
    <w:p w:rsidR="00867A54" w:rsidRPr="005F4678" w:rsidRDefault="00867A54" w:rsidP="001125D7">
      <w:pPr>
        <w:pStyle w:val="Heading1"/>
        <w:spacing w:before="75" w:after="150"/>
        <w:jc w:val="both"/>
        <w:textAlignment w:val="baseline"/>
        <w:rPr>
          <w:rFonts w:asciiTheme="minorHAnsi" w:hAnsiTheme="minorHAnsi" w:cstheme="minorHAnsi"/>
          <w:sz w:val="20"/>
          <w:szCs w:val="20"/>
        </w:rPr>
      </w:pPr>
      <w:r w:rsidRPr="005F4678">
        <w:rPr>
          <w:rStyle w:val="FootnoteReference"/>
          <w:rFonts w:asciiTheme="minorHAnsi" w:hAnsiTheme="minorHAnsi" w:cstheme="minorHAnsi"/>
          <w:b w:val="0"/>
          <w:bCs/>
          <w:color w:val="000000" w:themeColor="text1"/>
          <w:sz w:val="20"/>
          <w:szCs w:val="20"/>
        </w:rPr>
        <w:footnoteRef/>
      </w:r>
      <w:r w:rsidRPr="005F4678">
        <w:rPr>
          <w:rFonts w:asciiTheme="minorHAnsi" w:hAnsiTheme="minorHAnsi" w:cstheme="minorHAnsi"/>
          <w:b w:val="0"/>
          <w:bCs/>
          <w:color w:val="000000" w:themeColor="text1"/>
          <w:sz w:val="20"/>
          <w:szCs w:val="20"/>
        </w:rPr>
        <w:t xml:space="preserve"> </w:t>
      </w:r>
      <w:proofErr w:type="spellStart"/>
      <w:r w:rsidRPr="005F4678">
        <w:rPr>
          <w:rFonts w:asciiTheme="minorHAnsi" w:hAnsiTheme="minorHAnsi" w:cstheme="minorHAnsi"/>
          <w:b w:val="0"/>
          <w:bCs/>
          <w:color w:val="000000" w:themeColor="text1"/>
          <w:sz w:val="20"/>
          <w:szCs w:val="20"/>
        </w:rPr>
        <w:t>Adalah</w:t>
      </w:r>
      <w:proofErr w:type="spellEnd"/>
      <w:r w:rsidRPr="005F4678">
        <w:rPr>
          <w:rFonts w:asciiTheme="minorHAnsi" w:hAnsiTheme="minorHAnsi" w:cstheme="minorHAnsi"/>
          <w:b w:val="0"/>
          <w:bCs/>
          <w:color w:val="000000" w:themeColor="text1"/>
          <w:sz w:val="20"/>
          <w:szCs w:val="20"/>
        </w:rPr>
        <w:t xml:space="preserve"> and ACRI Press Release, “Israeli Supreme Court temporarily delays revocation of </w:t>
      </w:r>
      <w:proofErr w:type="spellStart"/>
      <w:r w:rsidRPr="005F4678">
        <w:rPr>
          <w:rFonts w:asciiTheme="minorHAnsi" w:hAnsiTheme="minorHAnsi" w:cstheme="minorHAnsi"/>
          <w:b w:val="0"/>
          <w:bCs/>
          <w:color w:val="000000" w:themeColor="text1"/>
          <w:sz w:val="20"/>
          <w:szCs w:val="20"/>
        </w:rPr>
        <w:t>Alaa</w:t>
      </w:r>
      <w:proofErr w:type="spellEnd"/>
      <w:r w:rsidRPr="005F4678">
        <w:rPr>
          <w:rFonts w:asciiTheme="minorHAnsi" w:hAnsiTheme="minorHAnsi" w:cstheme="minorHAnsi"/>
          <w:b w:val="0"/>
          <w:bCs/>
          <w:color w:val="000000" w:themeColor="text1"/>
          <w:sz w:val="20"/>
          <w:szCs w:val="20"/>
        </w:rPr>
        <w:t xml:space="preserve"> </w:t>
      </w:r>
      <w:proofErr w:type="spellStart"/>
      <w:r w:rsidRPr="005F4678">
        <w:rPr>
          <w:rFonts w:asciiTheme="minorHAnsi" w:hAnsiTheme="minorHAnsi" w:cstheme="minorHAnsi"/>
          <w:b w:val="0"/>
          <w:bCs/>
          <w:color w:val="000000" w:themeColor="text1"/>
          <w:sz w:val="20"/>
          <w:szCs w:val="20"/>
        </w:rPr>
        <w:t>Zayoud's</w:t>
      </w:r>
      <w:proofErr w:type="spellEnd"/>
      <w:r w:rsidRPr="005F4678">
        <w:rPr>
          <w:rFonts w:asciiTheme="minorHAnsi" w:hAnsiTheme="minorHAnsi" w:cstheme="minorHAnsi"/>
          <w:b w:val="0"/>
          <w:bCs/>
          <w:color w:val="000000" w:themeColor="text1"/>
          <w:sz w:val="20"/>
          <w:szCs w:val="20"/>
        </w:rPr>
        <w:t xml:space="preserve"> citizenship,” 1 November 2017: </w:t>
      </w:r>
      <w:hyperlink r:id="rId12" w:history="1">
        <w:r w:rsidRPr="005F4678">
          <w:rPr>
            <w:rStyle w:val="Hyperlink"/>
            <w:rFonts w:asciiTheme="minorHAnsi" w:hAnsiTheme="minorHAnsi" w:cstheme="minorHAnsi"/>
            <w:b w:val="0"/>
            <w:bCs/>
            <w:sz w:val="20"/>
            <w:szCs w:val="20"/>
          </w:rPr>
          <w:t>https://www.adalah.org/en/content/view/9283</w:t>
        </w:r>
      </w:hyperlink>
    </w:p>
  </w:footnote>
  <w:footnote w:id="14">
    <w:p w:rsidR="00F836F8" w:rsidRPr="005F4678" w:rsidRDefault="00F836F8">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w:t>
      </w:r>
      <w:r w:rsidR="001125D7" w:rsidRPr="005F4678">
        <w:rPr>
          <w:rFonts w:asciiTheme="minorHAnsi" w:hAnsiTheme="minorHAnsi" w:cstheme="minorHAnsi"/>
        </w:rPr>
        <w:t xml:space="preserve">Ruth Margalit, “Israel’s Jewish Terrorist Problem,” The New Yorker, 4 August 2015: </w:t>
      </w:r>
      <w:hyperlink r:id="rId13" w:history="1">
        <w:r w:rsidR="001125D7" w:rsidRPr="005F4678">
          <w:rPr>
            <w:rStyle w:val="Hyperlink"/>
            <w:rFonts w:asciiTheme="minorHAnsi" w:hAnsiTheme="minorHAnsi" w:cstheme="minorHAnsi"/>
          </w:rPr>
          <w:t>https://www.newyorker.com/news/news-desk/israels-jewish-terrorist-problem</w:t>
        </w:r>
      </w:hyperlink>
    </w:p>
    <w:p w:rsidR="001125D7" w:rsidRPr="005F4678" w:rsidRDefault="001125D7">
      <w:pPr>
        <w:pStyle w:val="FootnoteText"/>
        <w:rPr>
          <w:rFonts w:asciiTheme="minorHAnsi" w:hAnsiTheme="minorHAnsi" w:cstheme="minorHAnsi"/>
        </w:rPr>
      </w:pPr>
    </w:p>
  </w:footnote>
  <w:footnote w:id="15">
    <w:p w:rsidR="004C5180" w:rsidRPr="005F4678" w:rsidRDefault="004C5180" w:rsidP="004C5180">
      <w:pPr>
        <w:pStyle w:val="Heading1"/>
        <w:spacing w:before="75" w:after="150"/>
        <w:jc w:val="both"/>
        <w:textAlignment w:val="baseline"/>
        <w:rPr>
          <w:rFonts w:asciiTheme="minorHAnsi" w:hAnsiTheme="minorHAnsi" w:cstheme="minorHAnsi"/>
          <w:b w:val="0"/>
          <w:bCs/>
          <w:color w:val="000000" w:themeColor="text1"/>
          <w:sz w:val="20"/>
          <w:szCs w:val="20"/>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Pr>
        <w:t xml:space="preserve"> </w:t>
      </w:r>
      <w:r w:rsidRPr="005F4678">
        <w:rPr>
          <w:rFonts w:asciiTheme="minorHAnsi" w:hAnsiTheme="minorHAnsi" w:cstheme="minorHAnsi"/>
          <w:b w:val="0"/>
          <w:bCs/>
          <w:color w:val="000000" w:themeColor="text1"/>
          <w:sz w:val="20"/>
          <w:szCs w:val="20"/>
        </w:rPr>
        <w:t xml:space="preserve">See </w:t>
      </w:r>
      <w:proofErr w:type="spellStart"/>
      <w:r w:rsidRPr="005F4678">
        <w:rPr>
          <w:rFonts w:asciiTheme="minorHAnsi" w:hAnsiTheme="minorHAnsi" w:cstheme="minorHAnsi"/>
          <w:b w:val="0"/>
          <w:bCs/>
          <w:color w:val="000000" w:themeColor="text1"/>
          <w:sz w:val="20"/>
          <w:szCs w:val="20"/>
        </w:rPr>
        <w:t>Adalah</w:t>
      </w:r>
      <w:proofErr w:type="spellEnd"/>
      <w:r w:rsidRPr="005F4678">
        <w:rPr>
          <w:rFonts w:asciiTheme="minorHAnsi" w:hAnsiTheme="minorHAnsi" w:cstheme="minorHAnsi"/>
          <w:b w:val="0"/>
          <w:bCs/>
          <w:color w:val="000000" w:themeColor="text1"/>
          <w:sz w:val="20"/>
          <w:szCs w:val="20"/>
        </w:rPr>
        <w:t xml:space="preserve">, ACRI and </w:t>
      </w:r>
      <w:proofErr w:type="spellStart"/>
      <w:r w:rsidRPr="005F4678">
        <w:rPr>
          <w:rFonts w:asciiTheme="minorHAnsi" w:hAnsiTheme="minorHAnsi" w:cstheme="minorHAnsi"/>
          <w:b w:val="0"/>
          <w:bCs/>
          <w:color w:val="000000" w:themeColor="text1"/>
          <w:sz w:val="20"/>
          <w:szCs w:val="20"/>
        </w:rPr>
        <w:t>HaMoked</w:t>
      </w:r>
      <w:proofErr w:type="spellEnd"/>
      <w:r w:rsidRPr="005F4678">
        <w:rPr>
          <w:rFonts w:asciiTheme="minorHAnsi" w:hAnsiTheme="minorHAnsi" w:cstheme="minorHAnsi"/>
          <w:b w:val="0"/>
          <w:bCs/>
          <w:color w:val="000000" w:themeColor="text1"/>
          <w:sz w:val="20"/>
          <w:szCs w:val="20"/>
        </w:rPr>
        <w:t xml:space="preserve"> Press Release, “New Israeli law that lets interior minister revoke Palestinian residency in Jerusalem for 'breach of loyalty' is illegal,” 11 March 2018: </w:t>
      </w:r>
      <w:hyperlink r:id="rId14" w:history="1">
        <w:r w:rsidRPr="005F4678">
          <w:rPr>
            <w:rStyle w:val="Hyperlink"/>
            <w:rFonts w:asciiTheme="minorHAnsi" w:hAnsiTheme="minorHAnsi" w:cstheme="minorHAnsi"/>
            <w:b w:val="0"/>
            <w:bCs/>
            <w:sz w:val="20"/>
            <w:szCs w:val="20"/>
          </w:rPr>
          <w:t>https://www.adalah.org/en/content/view/9425</w:t>
        </w:r>
      </w:hyperlink>
    </w:p>
  </w:footnote>
  <w:footnote w:id="16">
    <w:p w:rsidR="00867A54" w:rsidRPr="005F4678" w:rsidRDefault="00867A54" w:rsidP="00C603B0">
      <w:pPr>
        <w:pStyle w:val="Heading1"/>
        <w:spacing w:before="75" w:after="150"/>
        <w:jc w:val="both"/>
        <w:textAlignment w:val="baseline"/>
        <w:rPr>
          <w:rFonts w:asciiTheme="minorHAnsi" w:hAnsiTheme="minorHAnsi" w:cstheme="minorHAnsi"/>
          <w:sz w:val="20"/>
          <w:szCs w:val="20"/>
        </w:rPr>
      </w:pPr>
      <w:r w:rsidRPr="005F4678">
        <w:rPr>
          <w:rStyle w:val="FootnoteReference"/>
          <w:rFonts w:asciiTheme="minorHAnsi" w:hAnsiTheme="minorHAnsi" w:cstheme="minorHAnsi"/>
          <w:b w:val="0"/>
          <w:bCs/>
          <w:color w:val="000000" w:themeColor="text1"/>
          <w:sz w:val="20"/>
          <w:szCs w:val="20"/>
        </w:rPr>
        <w:footnoteRef/>
      </w:r>
      <w:r w:rsidRPr="005F4678">
        <w:rPr>
          <w:rFonts w:asciiTheme="minorHAnsi" w:hAnsiTheme="minorHAnsi" w:cstheme="minorHAnsi"/>
          <w:b w:val="0"/>
          <w:bCs/>
          <w:color w:val="000000" w:themeColor="text1"/>
          <w:sz w:val="20"/>
          <w:szCs w:val="20"/>
        </w:rPr>
        <w:t xml:space="preserve"> </w:t>
      </w:r>
      <w:r w:rsidRPr="005F4678">
        <w:rPr>
          <w:rFonts w:asciiTheme="minorHAnsi" w:eastAsia="Times New Roman" w:hAnsiTheme="minorHAnsi" w:cstheme="minorHAnsi"/>
          <w:b w:val="0"/>
          <w:bCs/>
          <w:color w:val="000000" w:themeColor="text1"/>
          <w:sz w:val="20"/>
          <w:szCs w:val="20"/>
          <w:shd w:val="clear" w:color="auto" w:fill="FFFFFF"/>
        </w:rPr>
        <w:t>HCJ 7803/06,</w:t>
      </w:r>
      <w:r w:rsidRPr="005F4678">
        <w:rPr>
          <w:rFonts w:asciiTheme="minorHAnsi" w:eastAsia="Times New Roman" w:hAnsiTheme="minorHAnsi" w:cstheme="minorHAnsi"/>
          <w:b w:val="0"/>
          <w:bCs/>
          <w:color w:val="000000" w:themeColor="text1"/>
          <w:sz w:val="20"/>
          <w:szCs w:val="20"/>
        </w:rPr>
        <w:t> </w:t>
      </w:r>
      <w:r w:rsidRPr="005F4678">
        <w:rPr>
          <w:rFonts w:asciiTheme="minorHAnsi" w:eastAsia="Times New Roman" w:hAnsiTheme="minorHAnsi" w:cstheme="minorHAnsi"/>
          <w:b w:val="0"/>
          <w:bCs/>
          <w:i/>
          <w:iCs/>
          <w:color w:val="000000" w:themeColor="text1"/>
          <w:sz w:val="20"/>
          <w:szCs w:val="20"/>
        </w:rPr>
        <w:t xml:space="preserve">Khalid Abu </w:t>
      </w:r>
      <w:proofErr w:type="spellStart"/>
      <w:r w:rsidRPr="005F4678">
        <w:rPr>
          <w:rFonts w:asciiTheme="minorHAnsi" w:eastAsia="Times New Roman" w:hAnsiTheme="minorHAnsi" w:cstheme="minorHAnsi"/>
          <w:b w:val="0"/>
          <w:bCs/>
          <w:i/>
          <w:iCs/>
          <w:color w:val="000000" w:themeColor="text1"/>
          <w:sz w:val="20"/>
          <w:szCs w:val="20"/>
        </w:rPr>
        <w:t>Arafeh</w:t>
      </w:r>
      <w:proofErr w:type="spellEnd"/>
      <w:r w:rsidRPr="005F4678">
        <w:rPr>
          <w:rFonts w:asciiTheme="minorHAnsi" w:eastAsia="Times New Roman" w:hAnsiTheme="minorHAnsi" w:cstheme="minorHAnsi"/>
          <w:b w:val="0"/>
          <w:bCs/>
          <w:i/>
          <w:iCs/>
          <w:color w:val="000000" w:themeColor="text1"/>
          <w:sz w:val="20"/>
          <w:szCs w:val="20"/>
        </w:rPr>
        <w:t xml:space="preserve"> et al. v. Minister of Interior</w:t>
      </w:r>
      <w:r w:rsidRPr="005F4678">
        <w:rPr>
          <w:rFonts w:asciiTheme="minorHAnsi" w:eastAsia="Times New Roman" w:hAnsiTheme="minorHAnsi" w:cstheme="minorHAnsi"/>
          <w:b w:val="0"/>
          <w:bCs/>
          <w:color w:val="000000" w:themeColor="text1"/>
          <w:sz w:val="20"/>
          <w:szCs w:val="20"/>
        </w:rPr>
        <w:t xml:space="preserve"> (decision delivered 13 September 2017). See </w:t>
      </w:r>
      <w:proofErr w:type="spellStart"/>
      <w:r w:rsidRPr="005F4678">
        <w:rPr>
          <w:rFonts w:asciiTheme="minorHAnsi" w:eastAsia="Times New Roman" w:hAnsiTheme="minorHAnsi" w:cstheme="minorHAnsi"/>
          <w:b w:val="0"/>
          <w:bCs/>
          <w:color w:val="000000" w:themeColor="text1"/>
          <w:sz w:val="20"/>
          <w:szCs w:val="20"/>
        </w:rPr>
        <w:t>Adalah</w:t>
      </w:r>
      <w:proofErr w:type="spellEnd"/>
      <w:r w:rsidRPr="005F4678">
        <w:rPr>
          <w:rFonts w:asciiTheme="minorHAnsi" w:eastAsia="Times New Roman" w:hAnsiTheme="minorHAnsi" w:cstheme="minorHAnsi"/>
          <w:b w:val="0"/>
          <w:bCs/>
          <w:color w:val="000000" w:themeColor="text1"/>
          <w:sz w:val="20"/>
          <w:szCs w:val="20"/>
        </w:rPr>
        <w:t xml:space="preserve"> and ACRI Press Release, “</w:t>
      </w:r>
      <w:r w:rsidRPr="005F4678">
        <w:rPr>
          <w:rFonts w:asciiTheme="minorHAnsi" w:hAnsiTheme="minorHAnsi" w:cstheme="minorHAnsi"/>
          <w:b w:val="0"/>
          <w:bCs/>
          <w:color w:val="000000" w:themeColor="text1"/>
          <w:sz w:val="20"/>
          <w:szCs w:val="20"/>
        </w:rPr>
        <w:t xml:space="preserve">After 10 years of litigation, Israeli Supreme Court rules interior minister cannot revoke Palestinian parliamentarians' Jerusalem residency for 'breach of loyalty',” 13 September 2017: </w:t>
      </w:r>
      <w:hyperlink r:id="rId15" w:history="1">
        <w:r w:rsidRPr="005F4678">
          <w:rPr>
            <w:rStyle w:val="Hyperlink"/>
            <w:rFonts w:asciiTheme="minorHAnsi" w:hAnsiTheme="minorHAnsi" w:cstheme="minorHAnsi"/>
            <w:b w:val="0"/>
            <w:bCs/>
            <w:sz w:val="20"/>
            <w:szCs w:val="20"/>
          </w:rPr>
          <w:t>https://www.adalah.org/en/content/view/9227</w:t>
        </w:r>
      </w:hyperlink>
    </w:p>
  </w:footnote>
  <w:footnote w:id="17">
    <w:p w:rsidR="00C603B0" w:rsidRPr="005F4678" w:rsidRDefault="00C603B0" w:rsidP="00C603B0">
      <w:pPr>
        <w:jc w:val="both"/>
        <w:rPr>
          <w:rFonts w:asciiTheme="minorHAnsi" w:hAnsiTheme="minorHAnsi" w:cstheme="minorHAnsi"/>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Pr>
        <w:t xml:space="preserve"> A new report issued by Amnesty International, </w:t>
      </w:r>
      <w:hyperlink r:id="rId16" w:history="1">
        <w:r w:rsidRPr="005F4678">
          <w:rPr>
            <w:rStyle w:val="Emphasis"/>
            <w:rFonts w:asciiTheme="minorHAnsi" w:hAnsiTheme="minorHAnsi" w:cstheme="minorHAnsi"/>
            <w:color w:val="336699"/>
            <w:sz w:val="20"/>
            <w:szCs w:val="20"/>
            <w:u w:val="single"/>
          </w:rPr>
          <w:t>Elected but restricted: Shrinking space for Palestinian parliamentarians in Israel’s Knesset</w:t>
        </w:r>
      </w:hyperlink>
      <w:r w:rsidRPr="005F4678">
        <w:rPr>
          <w:rFonts w:asciiTheme="minorHAnsi" w:hAnsiTheme="minorHAnsi" w:cstheme="minorHAnsi"/>
          <w:color w:val="000000"/>
          <w:sz w:val="20"/>
          <w:szCs w:val="20"/>
        </w:rPr>
        <w:t>, details how the right to freedom of expression of Palestinian members of the Knesset (MKs) is threatened by discriminatory legislative changes, proposed bills and Knesset regulations. It also highlights the inflammatory rhetoric used by Israeli government ministers to stigmatize Palestinian MKs and exposes how bills put forward by Palestinian MKs have been unfairly disqualified on discriminatory grounds.</w:t>
      </w:r>
      <w:r w:rsidRPr="005F4678">
        <w:rPr>
          <w:rFonts w:asciiTheme="minorHAnsi" w:hAnsiTheme="minorHAnsi" w:cstheme="minorHAnsi"/>
          <w:color w:val="000000"/>
          <w:sz w:val="20"/>
          <w:szCs w:val="20"/>
        </w:rPr>
        <w:t xml:space="preserve"> The report was released on 4 September 2019: </w:t>
      </w:r>
      <w:hyperlink r:id="rId17" w:history="1">
        <w:r w:rsidRPr="005F4678">
          <w:rPr>
            <w:rStyle w:val="Hyperlink"/>
            <w:rFonts w:asciiTheme="minorHAnsi" w:hAnsiTheme="minorHAnsi" w:cstheme="minorHAnsi"/>
            <w:sz w:val="20"/>
            <w:szCs w:val="20"/>
          </w:rPr>
          <w:t>https://www.amnesty.org/en/latest/news/2019/09/israel-discriminatory-measures-undermine-palestinian-representation-in-knesset/</w:t>
        </w:r>
      </w:hyperlink>
    </w:p>
  </w:footnote>
  <w:footnote w:id="18">
    <w:p w:rsidR="00BA7368" w:rsidRPr="005F4678" w:rsidRDefault="00867A54" w:rsidP="00BA7368">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For the text of the law in Hebrew see: </w:t>
      </w:r>
      <w:hyperlink r:id="rId18" w:history="1">
        <w:r w:rsidR="00BA7368" w:rsidRPr="005F4678">
          <w:rPr>
            <w:rStyle w:val="Hyperlink"/>
            <w:rFonts w:asciiTheme="minorHAnsi" w:hAnsiTheme="minorHAnsi" w:cstheme="minorHAnsi"/>
          </w:rPr>
          <w:t>https://www.adalah.org/en/law/view/571</w:t>
        </w:r>
      </w:hyperlink>
    </w:p>
  </w:footnote>
  <w:footnote w:id="19">
    <w:p w:rsidR="00867A54" w:rsidRPr="005F4678" w:rsidRDefault="00867A54" w:rsidP="00C10CF9">
      <w:pPr>
        <w:rPr>
          <w:rFonts w:asciiTheme="minorHAnsi" w:hAnsiTheme="minorHAnsi" w:cstheme="minorHAnsi"/>
          <w:sz w:val="20"/>
          <w:szCs w:val="20"/>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Pr>
        <w:t xml:space="preserve"> </w:t>
      </w:r>
      <w:r w:rsidRPr="005F4678">
        <w:rPr>
          <w:rFonts w:asciiTheme="minorHAnsi" w:hAnsiTheme="minorHAnsi" w:cstheme="minorHAnsi"/>
          <w:bCs/>
          <w:iCs/>
          <w:sz w:val="20"/>
          <w:szCs w:val="20"/>
          <w:bdr w:val="none" w:sz="0" w:space="0" w:color="auto" w:frame="1"/>
        </w:rPr>
        <w:t xml:space="preserve">HCJ 3166/14 </w:t>
      </w:r>
      <w:r w:rsidRPr="005F4678">
        <w:rPr>
          <w:rFonts w:asciiTheme="minorHAnsi" w:hAnsiTheme="minorHAnsi" w:cstheme="minorHAnsi"/>
          <w:bCs/>
          <w:i/>
          <w:iCs/>
          <w:sz w:val="20"/>
          <w:szCs w:val="20"/>
          <w:bdr w:val="none" w:sz="0" w:space="0" w:color="auto" w:frame="1"/>
        </w:rPr>
        <w:t>Yehuda Gutman v. Attorney General et al.</w:t>
      </w:r>
      <w:r w:rsidRPr="005F4678">
        <w:rPr>
          <w:rFonts w:asciiTheme="minorHAnsi" w:hAnsiTheme="minorHAnsi" w:cstheme="minorHAnsi"/>
          <w:bCs/>
          <w:iCs/>
          <w:sz w:val="20"/>
          <w:szCs w:val="20"/>
          <w:bdr w:val="none" w:sz="0" w:space="0" w:color="auto" w:frame="1"/>
        </w:rPr>
        <w:t xml:space="preserve"> (petition dismissed 14 January 2014).</w:t>
      </w:r>
      <w:r w:rsidRPr="005F4678">
        <w:rPr>
          <w:rFonts w:asciiTheme="minorHAnsi" w:hAnsiTheme="minorHAnsi" w:cstheme="minorHAnsi"/>
          <w:sz w:val="20"/>
          <w:szCs w:val="20"/>
        </w:rPr>
        <w:t xml:space="preserve"> </w:t>
      </w:r>
    </w:p>
  </w:footnote>
  <w:footnote w:id="20">
    <w:p w:rsidR="00867A54" w:rsidRPr="005F4678" w:rsidRDefault="00867A54" w:rsidP="00C10CF9">
      <w:pPr>
        <w:rPr>
          <w:rFonts w:asciiTheme="minorHAnsi" w:hAnsiTheme="minorHAnsi" w:cstheme="minorHAnsi"/>
          <w:sz w:val="20"/>
          <w:szCs w:val="20"/>
        </w:rPr>
      </w:pPr>
      <w:r w:rsidRPr="005F4678">
        <w:rPr>
          <w:rFonts w:asciiTheme="minorHAnsi" w:hAnsiTheme="minorHAnsi" w:cstheme="minorHAnsi"/>
          <w:sz w:val="20"/>
          <w:szCs w:val="20"/>
          <w:vertAlign w:val="superscript"/>
        </w:rPr>
        <w:footnoteRef/>
      </w:r>
      <w:r w:rsidRPr="005F4678">
        <w:rPr>
          <w:rFonts w:asciiTheme="minorHAnsi" w:hAnsiTheme="minorHAnsi" w:cstheme="minorHAnsi"/>
          <w:sz w:val="20"/>
          <w:szCs w:val="20"/>
        </w:rPr>
        <w:t xml:space="preserve"> For the text of the law in Hebrew see: </w:t>
      </w:r>
      <w:hyperlink r:id="rId19">
        <w:r w:rsidRPr="005F4678">
          <w:rPr>
            <w:rFonts w:asciiTheme="minorHAnsi" w:hAnsiTheme="minorHAnsi" w:cstheme="minorHAnsi"/>
            <w:color w:val="0000FF"/>
            <w:sz w:val="20"/>
            <w:szCs w:val="20"/>
            <w:u w:val="single"/>
          </w:rPr>
          <w:t>http://fs.knesset.gov.il//20/law/20_lsr_347851.pdf</w:t>
        </w:r>
      </w:hyperlink>
    </w:p>
  </w:footnote>
  <w:footnote w:id="21">
    <w:p w:rsidR="00867A54" w:rsidRPr="005F4678" w:rsidRDefault="00867A54" w:rsidP="00C10CF9">
      <w:pPr>
        <w:pStyle w:val="Heading1"/>
        <w:shd w:val="clear" w:color="auto" w:fill="FFFFFF"/>
        <w:spacing w:before="0" w:line="240" w:lineRule="auto"/>
        <w:textAlignment w:val="baseline"/>
        <w:rPr>
          <w:rFonts w:asciiTheme="minorHAnsi" w:hAnsiTheme="minorHAnsi" w:cstheme="minorHAnsi"/>
          <w:b w:val="0"/>
          <w:bCs/>
          <w:color w:val="000000" w:themeColor="text1"/>
          <w:sz w:val="20"/>
          <w:szCs w:val="20"/>
        </w:rPr>
      </w:pPr>
      <w:r w:rsidRPr="005F4678">
        <w:rPr>
          <w:rFonts w:asciiTheme="minorHAnsi" w:hAnsiTheme="minorHAnsi" w:cstheme="minorHAnsi"/>
          <w:b w:val="0"/>
          <w:bCs/>
          <w:color w:val="auto"/>
          <w:sz w:val="20"/>
          <w:szCs w:val="20"/>
          <w:vertAlign w:val="superscript"/>
        </w:rPr>
        <w:footnoteRef/>
      </w:r>
      <w:r w:rsidRPr="005F4678">
        <w:rPr>
          <w:rFonts w:asciiTheme="minorHAnsi" w:hAnsiTheme="minorHAnsi" w:cstheme="minorHAnsi"/>
          <w:b w:val="0"/>
          <w:bCs/>
          <w:color w:val="auto"/>
          <w:sz w:val="20"/>
          <w:szCs w:val="20"/>
        </w:rPr>
        <w:t xml:space="preserve"> </w:t>
      </w:r>
      <w:proofErr w:type="spellStart"/>
      <w:r w:rsidRPr="005F4678">
        <w:rPr>
          <w:rFonts w:asciiTheme="minorHAnsi" w:hAnsiTheme="minorHAnsi" w:cstheme="minorHAnsi"/>
          <w:b w:val="0"/>
          <w:bCs/>
          <w:color w:val="auto"/>
          <w:sz w:val="20"/>
          <w:szCs w:val="20"/>
        </w:rPr>
        <w:t>Adalah</w:t>
      </w:r>
      <w:proofErr w:type="spellEnd"/>
      <w:r w:rsidRPr="005F4678">
        <w:rPr>
          <w:rFonts w:asciiTheme="minorHAnsi" w:hAnsiTheme="minorHAnsi" w:cstheme="minorHAnsi"/>
          <w:b w:val="0"/>
          <w:bCs/>
          <w:color w:val="auto"/>
          <w:sz w:val="20"/>
          <w:szCs w:val="20"/>
        </w:rPr>
        <w:t>, “Israeli Knesset’s approval of ‘Expulsion Law’ poses grave danger to basic democratic rights,” 20 July 2016:</w:t>
      </w:r>
      <w:r w:rsidRPr="005F4678">
        <w:rPr>
          <w:rFonts w:asciiTheme="minorHAnsi" w:hAnsiTheme="minorHAnsi" w:cstheme="minorHAnsi"/>
          <w:color w:val="auto"/>
          <w:sz w:val="20"/>
          <w:szCs w:val="20"/>
        </w:rPr>
        <w:t xml:space="preserve"> </w:t>
      </w:r>
      <w:hyperlink r:id="rId20">
        <w:r w:rsidRPr="005F4678">
          <w:rPr>
            <w:rFonts w:asciiTheme="minorHAnsi" w:hAnsiTheme="minorHAnsi" w:cstheme="minorHAnsi"/>
            <w:b w:val="0"/>
            <w:bCs/>
            <w:color w:val="0000FF"/>
            <w:sz w:val="20"/>
            <w:szCs w:val="20"/>
            <w:u w:val="single"/>
          </w:rPr>
          <w:t>https://www.adalah.org/en/content/view/8866</w:t>
        </w:r>
      </w:hyperlink>
      <w:r w:rsidRPr="005F4678">
        <w:rPr>
          <w:rFonts w:asciiTheme="minorHAnsi" w:hAnsiTheme="minorHAnsi" w:cstheme="minorHAnsi"/>
          <w:b w:val="0"/>
          <w:bCs/>
          <w:color w:val="000000" w:themeColor="text1"/>
          <w:sz w:val="20"/>
          <w:szCs w:val="20"/>
        </w:rPr>
        <w:t xml:space="preserve">. See </w:t>
      </w:r>
      <w:proofErr w:type="spellStart"/>
      <w:r w:rsidRPr="005F4678">
        <w:rPr>
          <w:rFonts w:asciiTheme="minorHAnsi" w:hAnsiTheme="minorHAnsi" w:cstheme="minorHAnsi"/>
          <w:b w:val="0"/>
          <w:bCs/>
          <w:color w:val="000000" w:themeColor="text1"/>
          <w:sz w:val="20"/>
          <w:szCs w:val="20"/>
        </w:rPr>
        <w:t>Adalah</w:t>
      </w:r>
      <w:proofErr w:type="spellEnd"/>
      <w:r w:rsidRPr="005F4678">
        <w:rPr>
          <w:rFonts w:asciiTheme="minorHAnsi" w:hAnsiTheme="minorHAnsi" w:cstheme="minorHAnsi"/>
          <w:b w:val="0"/>
          <w:bCs/>
          <w:color w:val="000000" w:themeColor="text1"/>
          <w:sz w:val="20"/>
          <w:szCs w:val="20"/>
        </w:rPr>
        <w:t xml:space="preserve">, “MK </w:t>
      </w:r>
      <w:proofErr w:type="spellStart"/>
      <w:r w:rsidRPr="005F4678">
        <w:rPr>
          <w:rFonts w:asciiTheme="minorHAnsi" w:hAnsiTheme="minorHAnsi" w:cstheme="minorHAnsi"/>
          <w:b w:val="0"/>
          <w:bCs/>
          <w:color w:val="000000" w:themeColor="text1"/>
          <w:sz w:val="20"/>
          <w:szCs w:val="20"/>
        </w:rPr>
        <w:t>Jabareen</w:t>
      </w:r>
      <w:proofErr w:type="spellEnd"/>
      <w:r w:rsidRPr="005F4678">
        <w:rPr>
          <w:rFonts w:asciiTheme="minorHAnsi" w:hAnsiTheme="minorHAnsi" w:cstheme="minorHAnsi"/>
          <w:b w:val="0"/>
          <w:bCs/>
          <w:color w:val="000000" w:themeColor="text1"/>
          <w:sz w:val="20"/>
          <w:szCs w:val="20"/>
        </w:rPr>
        <w:t xml:space="preserve">, </w:t>
      </w:r>
      <w:proofErr w:type="spellStart"/>
      <w:r w:rsidRPr="005F4678">
        <w:rPr>
          <w:rFonts w:asciiTheme="minorHAnsi" w:hAnsiTheme="minorHAnsi" w:cstheme="minorHAnsi"/>
          <w:b w:val="0"/>
          <w:bCs/>
          <w:color w:val="000000" w:themeColor="text1"/>
          <w:sz w:val="20"/>
          <w:szCs w:val="20"/>
        </w:rPr>
        <w:t>Adalah</w:t>
      </w:r>
      <w:proofErr w:type="spellEnd"/>
      <w:r w:rsidRPr="005F4678">
        <w:rPr>
          <w:rFonts w:asciiTheme="minorHAnsi" w:hAnsiTheme="minorHAnsi" w:cstheme="minorHAnsi"/>
          <w:b w:val="0"/>
          <w:bCs/>
          <w:color w:val="000000" w:themeColor="text1"/>
          <w:sz w:val="20"/>
          <w:szCs w:val="20"/>
        </w:rPr>
        <w:t xml:space="preserve">, ACRI petition Israeli Supreme Court against Expulsion of Members of Knesset Law,” 2 January 2017: </w:t>
      </w:r>
      <w:hyperlink r:id="rId21" w:history="1">
        <w:r w:rsidRPr="005F4678">
          <w:rPr>
            <w:rFonts w:asciiTheme="minorHAnsi" w:hAnsiTheme="minorHAnsi" w:cstheme="minorHAnsi"/>
            <w:b w:val="0"/>
            <w:bCs/>
            <w:color w:val="0000FF"/>
            <w:sz w:val="20"/>
            <w:szCs w:val="20"/>
            <w:u w:val="single"/>
          </w:rPr>
          <w:t>https://www.adalah.org/en/content/view/8987</w:t>
        </w:r>
      </w:hyperlink>
      <w:r w:rsidRPr="005F4678">
        <w:rPr>
          <w:rFonts w:asciiTheme="minorHAnsi" w:hAnsiTheme="minorHAnsi" w:cstheme="minorHAnsi"/>
          <w:b w:val="0"/>
          <w:bCs/>
          <w:i/>
          <w:iCs/>
          <w:color w:val="000000" w:themeColor="text1"/>
          <w:sz w:val="20"/>
          <w:szCs w:val="20"/>
        </w:rPr>
        <w:t>.</w:t>
      </w:r>
    </w:p>
  </w:footnote>
  <w:footnote w:id="22">
    <w:p w:rsidR="00614843" w:rsidRPr="005F4678" w:rsidRDefault="00614843" w:rsidP="00614843">
      <w:pPr>
        <w:pStyle w:val="Heading1"/>
        <w:shd w:val="clear" w:color="auto" w:fill="FFFFFF"/>
        <w:spacing w:before="0" w:line="240" w:lineRule="auto"/>
        <w:textAlignment w:val="baseline"/>
        <w:rPr>
          <w:rFonts w:asciiTheme="minorHAnsi" w:hAnsiTheme="minorHAnsi" w:cstheme="minorHAnsi"/>
          <w:b w:val="0"/>
          <w:bCs/>
          <w:i/>
          <w:iCs/>
          <w:color w:val="000000" w:themeColor="text1"/>
          <w:sz w:val="20"/>
          <w:szCs w:val="20"/>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Pr>
        <w:t xml:space="preserve"> </w:t>
      </w:r>
      <w:r w:rsidRPr="005F4678">
        <w:rPr>
          <w:rFonts w:asciiTheme="minorHAnsi" w:hAnsiTheme="minorHAnsi" w:cstheme="minorHAnsi"/>
          <w:b w:val="0"/>
          <w:bCs/>
          <w:color w:val="000000"/>
          <w:sz w:val="20"/>
          <w:szCs w:val="20"/>
          <w:shd w:val="clear" w:color="auto" w:fill="FFFFFF"/>
        </w:rPr>
        <w:t>HCJ 10214/</w:t>
      </w:r>
      <w:r w:rsidRPr="005F4678">
        <w:rPr>
          <w:rFonts w:asciiTheme="minorHAnsi" w:hAnsiTheme="minorHAnsi" w:cstheme="minorHAnsi"/>
          <w:b w:val="0"/>
          <w:bCs/>
          <w:color w:val="000000" w:themeColor="text1"/>
          <w:sz w:val="20"/>
          <w:szCs w:val="20"/>
          <w:shd w:val="clear" w:color="auto" w:fill="FFFFFF"/>
        </w:rPr>
        <w:t>16, </w:t>
      </w:r>
      <w:r w:rsidRPr="005F4678">
        <w:rPr>
          <w:rStyle w:val="Emphasis"/>
          <w:rFonts w:asciiTheme="minorHAnsi" w:hAnsiTheme="minorHAnsi" w:cstheme="minorHAnsi"/>
          <w:b w:val="0"/>
          <w:bCs/>
          <w:color w:val="000000" w:themeColor="text1"/>
          <w:sz w:val="20"/>
          <w:szCs w:val="20"/>
          <w:bdr w:val="none" w:sz="0" w:space="0" w:color="auto" w:frame="1"/>
          <w:shd w:val="clear" w:color="auto" w:fill="FFFFFF"/>
        </w:rPr>
        <w:t xml:space="preserve">MK Yousef </w:t>
      </w:r>
      <w:proofErr w:type="spellStart"/>
      <w:r w:rsidRPr="005F4678">
        <w:rPr>
          <w:rStyle w:val="Emphasis"/>
          <w:rFonts w:asciiTheme="minorHAnsi" w:hAnsiTheme="minorHAnsi" w:cstheme="minorHAnsi"/>
          <w:b w:val="0"/>
          <w:bCs/>
          <w:color w:val="000000" w:themeColor="text1"/>
          <w:sz w:val="20"/>
          <w:szCs w:val="20"/>
          <w:bdr w:val="none" w:sz="0" w:space="0" w:color="auto" w:frame="1"/>
          <w:shd w:val="clear" w:color="auto" w:fill="FFFFFF"/>
        </w:rPr>
        <w:t>Jabareen</w:t>
      </w:r>
      <w:proofErr w:type="spellEnd"/>
      <w:r w:rsidRPr="005F4678">
        <w:rPr>
          <w:rStyle w:val="Emphasis"/>
          <w:rFonts w:asciiTheme="minorHAnsi" w:hAnsiTheme="minorHAnsi" w:cstheme="minorHAnsi"/>
          <w:b w:val="0"/>
          <w:bCs/>
          <w:color w:val="000000" w:themeColor="text1"/>
          <w:sz w:val="20"/>
          <w:szCs w:val="20"/>
          <w:bdr w:val="none" w:sz="0" w:space="0" w:color="auto" w:frame="1"/>
          <w:shd w:val="clear" w:color="auto" w:fill="FFFFFF"/>
        </w:rPr>
        <w:t xml:space="preserve">, et al. v. The Knesset </w:t>
      </w:r>
      <w:r w:rsidRPr="005F4678">
        <w:rPr>
          <w:rStyle w:val="Emphasis"/>
          <w:rFonts w:asciiTheme="minorHAnsi" w:hAnsiTheme="minorHAnsi" w:cstheme="minorHAnsi"/>
          <w:b w:val="0"/>
          <w:bCs/>
          <w:i w:val="0"/>
          <w:iCs w:val="0"/>
          <w:color w:val="000000" w:themeColor="text1"/>
          <w:sz w:val="20"/>
          <w:szCs w:val="20"/>
          <w:bdr w:val="none" w:sz="0" w:space="0" w:color="auto" w:frame="1"/>
          <w:shd w:val="clear" w:color="auto" w:fill="FFFFFF"/>
        </w:rPr>
        <w:t>(</w:t>
      </w:r>
      <w:r w:rsidRPr="005F4678">
        <w:rPr>
          <w:rStyle w:val="Emphasis"/>
          <w:rFonts w:asciiTheme="minorHAnsi" w:hAnsiTheme="minorHAnsi" w:cstheme="minorHAnsi"/>
          <w:b w:val="0"/>
          <w:bCs/>
          <w:i w:val="0"/>
          <w:iCs w:val="0"/>
          <w:color w:val="000000" w:themeColor="text1"/>
          <w:sz w:val="20"/>
          <w:szCs w:val="20"/>
          <w:bdr w:val="none" w:sz="0" w:space="0" w:color="auto" w:frame="1"/>
          <w:shd w:val="clear" w:color="auto" w:fill="FFFFFF"/>
        </w:rPr>
        <w:t>petition dismissed 27 May 2018).</w:t>
      </w:r>
    </w:p>
  </w:footnote>
  <w:footnote w:id="23">
    <w:p w:rsidR="00867A54" w:rsidRPr="005F4678" w:rsidRDefault="00867A54" w:rsidP="00C10CF9">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For the text of the law in Hebrew see: </w:t>
      </w:r>
      <w:hyperlink r:id="rId22" w:history="1">
        <w:r w:rsidRPr="005F4678">
          <w:rPr>
            <w:rFonts w:asciiTheme="minorHAnsi" w:hAnsiTheme="minorHAnsi" w:cstheme="minorHAnsi"/>
            <w:color w:val="0000FF"/>
            <w:u w:val="single"/>
          </w:rPr>
          <w:t>http://fs.knesset.gov.il//20/law/20_lsr_347851.pdf</w:t>
        </w:r>
      </w:hyperlink>
    </w:p>
  </w:footnote>
  <w:footnote w:id="24">
    <w:p w:rsidR="009C2AF1" w:rsidRPr="005F4678" w:rsidRDefault="009C2AF1" w:rsidP="009C2AF1">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Section 7A of The Basic Law: The Knesset: </w:t>
      </w:r>
      <w:hyperlink r:id="rId23" w:history="1">
        <w:r w:rsidRPr="005F4678">
          <w:rPr>
            <w:rStyle w:val="Hyperlink"/>
            <w:rFonts w:asciiTheme="minorHAnsi" w:hAnsiTheme="minorHAnsi" w:cstheme="minorHAnsi"/>
          </w:rPr>
          <w:t>https://www.knesset.gov.il/laws/special/eng/basic2_eng.htm</w:t>
        </w:r>
      </w:hyperlink>
    </w:p>
  </w:footnote>
  <w:footnote w:id="25">
    <w:p w:rsidR="00867A54" w:rsidRPr="005F4678" w:rsidRDefault="00867A54" w:rsidP="00EB0272">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For more information, see </w:t>
      </w:r>
      <w:proofErr w:type="spellStart"/>
      <w:r w:rsidRPr="005F4678">
        <w:rPr>
          <w:rFonts w:asciiTheme="minorHAnsi" w:hAnsiTheme="minorHAnsi" w:cstheme="minorHAnsi"/>
        </w:rPr>
        <w:t>Adalah</w:t>
      </w:r>
      <w:proofErr w:type="spellEnd"/>
      <w:r w:rsidRPr="005F4678">
        <w:rPr>
          <w:rFonts w:asciiTheme="minorHAnsi" w:hAnsiTheme="minorHAnsi" w:cstheme="minorHAnsi"/>
        </w:rPr>
        <w:t xml:space="preserve"> press release, “</w:t>
      </w:r>
      <w:proofErr w:type="spellStart"/>
      <w:r w:rsidRPr="005F4678">
        <w:rPr>
          <w:rFonts w:asciiTheme="minorHAnsi" w:hAnsiTheme="minorHAnsi" w:cstheme="minorHAnsi"/>
        </w:rPr>
        <w:t>Adalah</w:t>
      </w:r>
      <w:proofErr w:type="spellEnd"/>
      <w:r w:rsidRPr="005F4678">
        <w:rPr>
          <w:rFonts w:asciiTheme="minorHAnsi" w:hAnsiTheme="minorHAnsi" w:cstheme="minorHAnsi"/>
        </w:rPr>
        <w:t xml:space="preserve"> files incitement complaint on behalf of Arab Joint List after Netanyahu statement ‘Arabs want to destroy all of us’,” 11 September 2019: </w:t>
      </w:r>
      <w:hyperlink r:id="rId24" w:history="1">
        <w:r w:rsidRPr="005F4678">
          <w:rPr>
            <w:rStyle w:val="Hyperlink"/>
            <w:rFonts w:asciiTheme="minorHAnsi" w:hAnsiTheme="minorHAnsi" w:cstheme="minorHAnsi"/>
          </w:rPr>
          <w:t>https://www.adalah.org/en/content/view/9812</w:t>
        </w:r>
      </w:hyperlink>
    </w:p>
  </w:footnote>
  <w:footnote w:id="26">
    <w:p w:rsidR="00EB0272" w:rsidRPr="005F4678" w:rsidRDefault="00EB0272" w:rsidP="00EB0272">
      <w:pPr>
        <w:outlineLvl w:val="0"/>
        <w:rPr>
          <w:rFonts w:asciiTheme="minorHAnsi" w:hAnsiTheme="minorHAnsi" w:cstheme="minorHAnsi"/>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Pr>
        <w:t xml:space="preserve"> </w:t>
      </w:r>
      <w:r w:rsidRPr="00EB0272">
        <w:rPr>
          <w:rFonts w:asciiTheme="minorHAnsi" w:hAnsiTheme="minorHAnsi" w:cstheme="minorHAnsi"/>
          <w:color w:val="2D2D2D"/>
          <w:kern w:val="36"/>
          <w:sz w:val="20"/>
          <w:szCs w:val="20"/>
        </w:rPr>
        <w:t>'Israel Is the Nation-state of Jews Alone': Netanyahu Responds to TV Star Who Said Arabs Are Equal Citizens</w:t>
      </w:r>
      <w:r w:rsidRPr="005F4678">
        <w:rPr>
          <w:rFonts w:asciiTheme="minorHAnsi" w:hAnsiTheme="minorHAnsi" w:cstheme="minorHAnsi"/>
          <w:color w:val="2D2D2D"/>
          <w:kern w:val="36"/>
          <w:sz w:val="20"/>
          <w:szCs w:val="20"/>
        </w:rPr>
        <w:t xml:space="preserve">, </w:t>
      </w:r>
      <w:proofErr w:type="spellStart"/>
      <w:r w:rsidRPr="005F4678">
        <w:rPr>
          <w:rFonts w:asciiTheme="minorHAnsi" w:hAnsiTheme="minorHAnsi" w:cstheme="minorHAnsi"/>
          <w:color w:val="2D2D2D"/>
          <w:kern w:val="36"/>
          <w:sz w:val="20"/>
          <w:szCs w:val="20"/>
        </w:rPr>
        <w:t>Ha’aretz</w:t>
      </w:r>
      <w:proofErr w:type="spellEnd"/>
      <w:r w:rsidRPr="005F4678">
        <w:rPr>
          <w:rFonts w:asciiTheme="minorHAnsi" w:hAnsiTheme="minorHAnsi" w:cstheme="minorHAnsi"/>
          <w:color w:val="2D2D2D"/>
          <w:kern w:val="36"/>
          <w:sz w:val="20"/>
          <w:szCs w:val="20"/>
        </w:rPr>
        <w:t>, 11 March 2019:</w:t>
      </w:r>
      <w:r w:rsidRPr="005F4678">
        <w:rPr>
          <w:rFonts w:asciiTheme="minorHAnsi" w:hAnsiTheme="minorHAnsi" w:cstheme="minorHAnsi"/>
          <w:color w:val="2D2D2D"/>
          <w:sz w:val="20"/>
          <w:szCs w:val="20"/>
        </w:rPr>
        <w:t xml:space="preserve"> </w:t>
      </w:r>
      <w:hyperlink r:id="rId25" w:history="1">
        <w:r w:rsidRPr="005F4678">
          <w:rPr>
            <w:rStyle w:val="Hyperlink"/>
            <w:rFonts w:asciiTheme="minorHAnsi" w:hAnsiTheme="minorHAnsi" w:cstheme="minorHAnsi"/>
            <w:sz w:val="20"/>
            <w:szCs w:val="20"/>
          </w:rPr>
          <w:t>https://www.haaretz.com/israel-news/.premium-israel-is-the-nation-state-of-jews-alone-netanyahu-responds-to-tv-star-who-said-arabs-are-equal-citizens-1.7003348</w:t>
        </w:r>
      </w:hyperlink>
    </w:p>
  </w:footnote>
  <w:footnote w:id="27">
    <w:p w:rsidR="00E75A03" w:rsidRPr="005F4678" w:rsidRDefault="00E75A03" w:rsidP="00E75A03">
      <w:pPr>
        <w:pStyle w:val="Heading1"/>
        <w:spacing w:before="0" w:line="240" w:lineRule="auto"/>
        <w:rPr>
          <w:rFonts w:asciiTheme="minorHAnsi" w:eastAsia="Times New Roman" w:hAnsiTheme="minorHAnsi" w:cstheme="minorHAnsi"/>
          <w:color w:val="000000"/>
          <w:sz w:val="20"/>
          <w:szCs w:val="20"/>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Pr>
        <w:t xml:space="preserve"> </w:t>
      </w:r>
      <w:proofErr w:type="spellStart"/>
      <w:r w:rsidRPr="005F4678">
        <w:rPr>
          <w:rFonts w:asciiTheme="minorHAnsi" w:hAnsiTheme="minorHAnsi" w:cstheme="minorHAnsi"/>
          <w:b w:val="0"/>
          <w:bCs/>
          <w:color w:val="2D2D2D"/>
          <w:sz w:val="20"/>
          <w:szCs w:val="20"/>
        </w:rPr>
        <w:t>Gantz</w:t>
      </w:r>
      <w:proofErr w:type="spellEnd"/>
      <w:r w:rsidRPr="005F4678">
        <w:rPr>
          <w:rFonts w:asciiTheme="minorHAnsi" w:hAnsiTheme="minorHAnsi" w:cstheme="minorHAnsi"/>
          <w:b w:val="0"/>
          <w:bCs/>
          <w:color w:val="2D2D2D"/>
          <w:sz w:val="20"/>
          <w:szCs w:val="20"/>
        </w:rPr>
        <w:t xml:space="preserve"> Rules Out 'Political Discourse' With Arab Parties Over 'anti-Israel' Rhetoric, </w:t>
      </w:r>
      <w:proofErr w:type="spellStart"/>
      <w:r w:rsidRPr="005F4678">
        <w:rPr>
          <w:rFonts w:asciiTheme="minorHAnsi" w:hAnsiTheme="minorHAnsi" w:cstheme="minorHAnsi"/>
          <w:b w:val="0"/>
          <w:bCs/>
          <w:color w:val="2D2D2D"/>
          <w:sz w:val="20"/>
          <w:szCs w:val="20"/>
        </w:rPr>
        <w:t>Ha’aretz</w:t>
      </w:r>
      <w:proofErr w:type="spellEnd"/>
      <w:r w:rsidRPr="005F4678">
        <w:rPr>
          <w:rFonts w:asciiTheme="minorHAnsi" w:hAnsiTheme="minorHAnsi" w:cstheme="minorHAnsi"/>
          <w:b w:val="0"/>
          <w:bCs/>
          <w:color w:val="2D2D2D"/>
          <w:sz w:val="20"/>
          <w:szCs w:val="20"/>
        </w:rPr>
        <w:t xml:space="preserve">, 19 March 2019: </w:t>
      </w:r>
      <w:hyperlink r:id="rId26" w:history="1">
        <w:r w:rsidRPr="005F4678">
          <w:rPr>
            <w:rStyle w:val="Hyperlink"/>
            <w:rFonts w:asciiTheme="minorHAnsi" w:hAnsiTheme="minorHAnsi" w:cstheme="minorHAnsi"/>
            <w:b w:val="0"/>
            <w:bCs/>
            <w:sz w:val="20"/>
            <w:szCs w:val="20"/>
          </w:rPr>
          <w:t>https://www.haaretz.com/israel-news/elections/gantz-rules-out-political-discourse-with-arab-parties-over-anti-israel-rhetoric-1.7041422</w:t>
        </w:r>
      </w:hyperlink>
    </w:p>
    <w:p w:rsidR="00E75A03" w:rsidRPr="005F4678" w:rsidRDefault="00E75A03">
      <w:pPr>
        <w:pStyle w:val="FootnoteText"/>
        <w:rPr>
          <w:rFonts w:asciiTheme="minorHAnsi" w:hAnsiTheme="minorHAnsi" w:cstheme="minorHAnsi"/>
        </w:rPr>
      </w:pPr>
    </w:p>
    <w:p w:rsidR="00E75A03" w:rsidRPr="005F4678" w:rsidRDefault="00E75A03">
      <w:pPr>
        <w:pStyle w:val="FootnoteText"/>
        <w:rPr>
          <w:rFonts w:asciiTheme="minorHAnsi" w:hAnsiTheme="minorHAnsi" w:cstheme="minorHAnsi"/>
        </w:rPr>
      </w:pPr>
    </w:p>
  </w:footnote>
  <w:footnote w:id="28">
    <w:p w:rsidR="00867A54" w:rsidRPr="005F4678" w:rsidRDefault="00867A54" w:rsidP="00D8750F">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For more information, see </w:t>
      </w:r>
      <w:proofErr w:type="spellStart"/>
      <w:r w:rsidRPr="005F4678">
        <w:rPr>
          <w:rFonts w:asciiTheme="minorHAnsi" w:hAnsiTheme="minorHAnsi" w:cstheme="minorHAnsi"/>
        </w:rPr>
        <w:t>Adalah</w:t>
      </w:r>
      <w:proofErr w:type="spellEnd"/>
      <w:r w:rsidRPr="005F4678">
        <w:rPr>
          <w:rFonts w:asciiTheme="minorHAnsi" w:hAnsiTheme="minorHAnsi" w:cstheme="minorHAnsi"/>
        </w:rPr>
        <w:t xml:space="preserve"> press release, “Israeli elections committee bars surveillance cameras at polling stations, preventing intimidation of Arab voters,” 27 August 2019: </w:t>
      </w:r>
      <w:hyperlink r:id="rId27" w:history="1">
        <w:r w:rsidRPr="005F4678">
          <w:rPr>
            <w:rStyle w:val="Hyperlink"/>
            <w:rFonts w:asciiTheme="minorHAnsi" w:hAnsiTheme="minorHAnsi" w:cstheme="minorHAnsi"/>
          </w:rPr>
          <w:t>https://www.adalah.org/en/content/view/9803</w:t>
        </w:r>
      </w:hyperlink>
      <w:r w:rsidRPr="005F4678">
        <w:rPr>
          <w:rFonts w:asciiTheme="minorHAnsi" w:hAnsiTheme="minorHAnsi" w:cstheme="minorHAnsi"/>
        </w:rPr>
        <w:t xml:space="preserve"> </w:t>
      </w:r>
    </w:p>
  </w:footnote>
  <w:footnote w:id="29">
    <w:p w:rsidR="00867A54" w:rsidRPr="005F4678" w:rsidRDefault="00867A54" w:rsidP="00D8750F">
      <w:pPr>
        <w:pStyle w:val="FootnoteText"/>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Pr>
        <w:t xml:space="preserve"> For more information, see </w:t>
      </w:r>
      <w:proofErr w:type="spellStart"/>
      <w:r w:rsidRPr="005F4678">
        <w:rPr>
          <w:rFonts w:asciiTheme="minorHAnsi" w:hAnsiTheme="minorHAnsi" w:cstheme="minorHAnsi"/>
        </w:rPr>
        <w:t>Adalah</w:t>
      </w:r>
      <w:proofErr w:type="spellEnd"/>
      <w:r w:rsidRPr="005F4678">
        <w:rPr>
          <w:rFonts w:asciiTheme="minorHAnsi" w:hAnsiTheme="minorHAnsi" w:cstheme="minorHAnsi"/>
        </w:rPr>
        <w:t xml:space="preserve"> press release, “</w:t>
      </w:r>
      <w:proofErr w:type="spellStart"/>
      <w:r w:rsidRPr="005F4678">
        <w:rPr>
          <w:rFonts w:asciiTheme="minorHAnsi" w:hAnsiTheme="minorHAnsi" w:cstheme="minorHAnsi"/>
        </w:rPr>
        <w:t>Adalah</w:t>
      </w:r>
      <w:proofErr w:type="spellEnd"/>
      <w:r w:rsidRPr="005F4678">
        <w:rPr>
          <w:rFonts w:asciiTheme="minorHAnsi" w:hAnsiTheme="minorHAnsi" w:cstheme="minorHAnsi"/>
        </w:rPr>
        <w:t xml:space="preserve"> responds to defeat of proposed Israeli ‘cameras law’,” 9 September 2019: </w:t>
      </w:r>
      <w:hyperlink r:id="rId28" w:history="1">
        <w:r w:rsidRPr="005F4678">
          <w:rPr>
            <w:rStyle w:val="Hyperlink"/>
            <w:rFonts w:asciiTheme="minorHAnsi" w:hAnsiTheme="minorHAnsi" w:cstheme="minorHAnsi"/>
          </w:rPr>
          <w:t>https://www.adalah.org/en/content/view/9809</w:t>
        </w:r>
      </w:hyperlink>
    </w:p>
  </w:footnote>
  <w:footnote w:id="30">
    <w:p w:rsidR="00867A54" w:rsidRPr="005F4678" w:rsidRDefault="00867A54" w:rsidP="00C9086D">
      <w:pPr>
        <w:pStyle w:val="FootnoteText"/>
        <w:jc w:val="both"/>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tl/>
        </w:rPr>
        <w:t xml:space="preserve"> </w:t>
      </w:r>
      <w:r w:rsidRPr="005F4678">
        <w:rPr>
          <w:rFonts w:asciiTheme="minorHAnsi" w:hAnsiTheme="minorHAnsi" w:cstheme="minorHAnsi"/>
        </w:rPr>
        <w:t xml:space="preserve"> Other countries use other terms such as "employment equity". </w:t>
      </w:r>
    </w:p>
  </w:footnote>
  <w:footnote w:id="31">
    <w:p w:rsidR="00867A54" w:rsidRPr="005F4678" w:rsidRDefault="00867A54" w:rsidP="00C9086D">
      <w:pPr>
        <w:pStyle w:val="Default"/>
        <w:jc w:val="both"/>
        <w:rPr>
          <w:rFonts w:asciiTheme="minorHAnsi" w:hAnsiTheme="minorHAnsi" w:cstheme="minorHAnsi"/>
          <w:sz w:val="20"/>
          <w:szCs w:val="20"/>
        </w:rPr>
      </w:pPr>
      <w:r w:rsidRPr="005F4678">
        <w:rPr>
          <w:rStyle w:val="FootnoteReference"/>
          <w:rFonts w:asciiTheme="minorHAnsi" w:hAnsiTheme="minorHAnsi" w:cstheme="minorHAnsi"/>
          <w:sz w:val="20"/>
          <w:szCs w:val="20"/>
        </w:rPr>
        <w:footnoteRef/>
      </w:r>
      <w:r w:rsidRPr="005F4678">
        <w:rPr>
          <w:rFonts w:asciiTheme="minorHAnsi" w:hAnsiTheme="minorHAnsi" w:cstheme="minorHAnsi"/>
          <w:sz w:val="20"/>
          <w:szCs w:val="20"/>
          <w:rtl/>
        </w:rPr>
        <w:t xml:space="preserve"> </w:t>
      </w:r>
      <w:hyperlink r:id="rId29" w:history="1">
        <w:r w:rsidRPr="005F4678">
          <w:rPr>
            <w:rStyle w:val="Hyperlink"/>
            <w:rFonts w:asciiTheme="minorHAnsi" w:hAnsiTheme="minorHAnsi" w:cstheme="minorHAnsi"/>
            <w:sz w:val="20"/>
            <w:szCs w:val="20"/>
          </w:rPr>
          <w:t>https://www.gov.il/he/departments/policies/2007_des2579</w:t>
        </w:r>
      </w:hyperlink>
      <w:r w:rsidRPr="005F4678">
        <w:rPr>
          <w:rFonts w:asciiTheme="minorHAnsi" w:hAnsiTheme="minorHAnsi" w:cstheme="minorHAnsi"/>
          <w:sz w:val="20"/>
          <w:szCs w:val="20"/>
        </w:rPr>
        <w:t xml:space="preserve"> </w:t>
      </w:r>
    </w:p>
  </w:footnote>
  <w:footnote w:id="32">
    <w:p w:rsidR="00867A54" w:rsidRPr="005F4678" w:rsidRDefault="00867A54" w:rsidP="00095DCD">
      <w:pPr>
        <w:pStyle w:val="FootnoteText"/>
        <w:jc w:val="both"/>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tl/>
        </w:rPr>
        <w:t xml:space="preserve"> </w:t>
      </w:r>
      <w:proofErr w:type="spellStart"/>
      <w:r w:rsidRPr="005F4678">
        <w:rPr>
          <w:rFonts w:asciiTheme="minorHAnsi" w:hAnsiTheme="minorHAnsi" w:cstheme="minorHAnsi"/>
        </w:rPr>
        <w:t>Adalah</w:t>
      </w:r>
      <w:proofErr w:type="spellEnd"/>
      <w:r w:rsidR="00C603B0" w:rsidRPr="005F4678">
        <w:rPr>
          <w:rFonts w:asciiTheme="minorHAnsi" w:hAnsiTheme="minorHAnsi" w:cstheme="minorHAnsi"/>
        </w:rPr>
        <w:t xml:space="preserve"> </w:t>
      </w:r>
      <w:r w:rsidRPr="005F4678">
        <w:rPr>
          <w:rFonts w:asciiTheme="minorHAnsi" w:hAnsiTheme="minorHAnsi" w:cstheme="minorHAnsi"/>
        </w:rPr>
        <w:t xml:space="preserve">also approached the </w:t>
      </w:r>
      <w:proofErr w:type="spellStart"/>
      <w:r w:rsidRPr="005F4678">
        <w:rPr>
          <w:rFonts w:asciiTheme="minorHAnsi" w:hAnsiTheme="minorHAnsi" w:cstheme="minorHAnsi"/>
        </w:rPr>
        <w:t>The</w:t>
      </w:r>
      <w:proofErr w:type="spellEnd"/>
      <w:r w:rsidRPr="005F4678">
        <w:rPr>
          <w:rFonts w:asciiTheme="minorHAnsi" w:hAnsiTheme="minorHAnsi" w:cstheme="minorHAnsi"/>
        </w:rPr>
        <w:t xml:space="preserve"> Ministry of Labor, Social Affairs and Social Services in request for employment data for the period 2015-2018. However, the data presented here relates only to the six ministries mentioned-above, given that were covered by former approaches since 2008.  </w:t>
      </w:r>
    </w:p>
  </w:footnote>
  <w:footnote w:id="33">
    <w:p w:rsidR="00867A54" w:rsidRPr="005F4678" w:rsidRDefault="00867A54" w:rsidP="00095DCD">
      <w:pPr>
        <w:pStyle w:val="FootnoteText"/>
        <w:jc w:val="both"/>
        <w:rPr>
          <w:rFonts w:asciiTheme="minorHAnsi" w:hAnsiTheme="minorHAnsi" w:cstheme="minorHAnsi"/>
          <w:lang w:bidi="ar-SY"/>
        </w:rPr>
      </w:pPr>
      <w:r w:rsidRPr="005F4678">
        <w:rPr>
          <w:rStyle w:val="FootnoteReference"/>
          <w:rFonts w:asciiTheme="minorHAnsi" w:hAnsiTheme="minorHAnsi" w:cstheme="minorHAnsi"/>
        </w:rPr>
        <w:footnoteRef/>
      </w:r>
      <w:r w:rsidRPr="005F4678">
        <w:rPr>
          <w:rFonts w:asciiTheme="minorHAnsi" w:hAnsiTheme="minorHAnsi" w:cstheme="minorHAnsi"/>
        </w:rPr>
        <w:t xml:space="preserve"> Knesset Research and Information Center, Appropriate Representation for different groups in the Civil Service: Data on Israel with comparative study (n Hebrew, August 2018).</w:t>
      </w:r>
    </w:p>
  </w:footnote>
  <w:footnote w:id="34">
    <w:p w:rsidR="00867A54" w:rsidRPr="005F4678" w:rsidRDefault="00867A54" w:rsidP="00095DCD">
      <w:pPr>
        <w:pStyle w:val="FootnoteText"/>
        <w:jc w:val="both"/>
        <w:rPr>
          <w:rFonts w:asciiTheme="minorHAnsi" w:hAnsiTheme="minorHAnsi" w:cstheme="minorHAnsi"/>
        </w:rPr>
      </w:pPr>
      <w:r w:rsidRPr="005F4678">
        <w:rPr>
          <w:rStyle w:val="FootnoteReference"/>
          <w:rFonts w:asciiTheme="minorHAnsi" w:hAnsiTheme="minorHAnsi" w:cstheme="minorHAnsi"/>
        </w:rPr>
        <w:footnoteRef/>
      </w:r>
      <w:r w:rsidRPr="005F4678">
        <w:rPr>
          <w:rFonts w:asciiTheme="minorHAnsi" w:hAnsiTheme="minorHAnsi" w:cstheme="minorHAnsi"/>
          <w:rtl/>
        </w:rPr>
        <w:t xml:space="preserve"> </w:t>
      </w:r>
      <w:r w:rsidRPr="005F4678">
        <w:rPr>
          <w:rFonts w:asciiTheme="minorHAnsi" w:hAnsiTheme="minorHAnsi" w:cstheme="minorHAnsi"/>
        </w:rPr>
        <w:t xml:space="preserve">According to a 2017 survey conducted by the Central Bureau of Statistics, the number of Arab women employed in labor force is 157.8 k, whereas the number of all women employed in labor force equals 1,753.2 k.  To wit, the percentage of Arab women from total number of women employed in the general work sector is 9%. (see the link: </w:t>
      </w:r>
      <w:hyperlink r:id="rId30" w:history="1">
        <w:r w:rsidRPr="005F4678">
          <w:rPr>
            <w:rStyle w:val="Hyperlink"/>
            <w:rFonts w:asciiTheme="minorHAnsi" w:hAnsiTheme="minorHAnsi" w:cstheme="minorHAnsi"/>
          </w:rPr>
          <w:t>https://www.cbs.gov.il/he/publications/doclib/2019/lfs17_1746/t06_04.xls</w:t>
        </w:r>
      </w:hyperlink>
      <w:r w:rsidRPr="005F4678">
        <w:rPr>
          <w:rFonts w:asciiTheme="minorHAnsi" w:hAnsiTheme="minorHAnsi" w:cstheme="minorHAnsi"/>
        </w:rPr>
        <w:t xml:space="preserve">) . This number is almost double of the highest percentage recorded in government ministries which was only 4.9% (years 2015-2016, ministry of communications).  </w:t>
      </w:r>
    </w:p>
  </w:footnote>
  <w:footnote w:id="35">
    <w:p w:rsidR="00867A54" w:rsidRPr="003C07E1" w:rsidRDefault="00867A54" w:rsidP="00C9086D">
      <w:pPr>
        <w:pStyle w:val="FootnoteText"/>
        <w:rPr>
          <w:rFonts w:asciiTheme="majorHAnsi" w:hAnsiTheme="majorHAnsi"/>
        </w:rPr>
      </w:pPr>
      <w:r w:rsidRPr="005F4678">
        <w:rPr>
          <w:rStyle w:val="FootnoteReference"/>
          <w:rFonts w:asciiTheme="minorHAnsi" w:hAnsiTheme="minorHAnsi" w:cstheme="minorHAnsi"/>
        </w:rPr>
        <w:footnoteRef/>
      </w:r>
      <w:r w:rsidRPr="005F4678">
        <w:rPr>
          <w:rFonts w:asciiTheme="minorHAnsi" w:hAnsiTheme="minorHAnsi" w:cstheme="minorHAnsi"/>
          <w:rtl/>
        </w:rPr>
        <w:t xml:space="preserve"> </w:t>
      </w:r>
      <w:r w:rsidRPr="005F4678">
        <w:rPr>
          <w:rFonts w:asciiTheme="minorHAnsi" w:hAnsiTheme="minorHAnsi" w:cstheme="minorHAnsi"/>
        </w:rPr>
        <w:t xml:space="preserve">See Regulation 6/2014 of the Civil  Service Commission (2 August 2014) (in Hebrew): </w:t>
      </w:r>
      <w:hyperlink r:id="rId31" w:history="1">
        <w:r w:rsidRPr="005F4678">
          <w:rPr>
            <w:rStyle w:val="Hyperlink"/>
            <w:rFonts w:asciiTheme="minorHAnsi" w:hAnsiTheme="minorHAnsi" w:cstheme="minorHAnsi"/>
          </w:rPr>
          <w:t>https://www.gov.il/BlobFolder/policy/planning6-2014/he/planning6-2014.pdf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50682"/>
    <w:multiLevelType w:val="multilevel"/>
    <w:tmpl w:val="C87A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E0289"/>
    <w:multiLevelType w:val="hybridMultilevel"/>
    <w:tmpl w:val="4D44A3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4192499"/>
    <w:multiLevelType w:val="hybridMultilevel"/>
    <w:tmpl w:val="902A4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C14827"/>
    <w:multiLevelType w:val="hybridMultilevel"/>
    <w:tmpl w:val="A84CE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755017"/>
    <w:multiLevelType w:val="hybridMultilevel"/>
    <w:tmpl w:val="12DE36A2"/>
    <w:lvl w:ilvl="0" w:tplc="315889AE">
      <w:start w:val="1"/>
      <w:numFmt w:val="decimal"/>
      <w:lvlText w:val="%1."/>
      <w:lvlJc w:val="left"/>
      <w:pPr>
        <w:ind w:left="720" w:hanging="360"/>
      </w:pPr>
      <w:rPr>
        <w:rFonts w:asciiTheme="minorHAnsi" w:hAnsiTheme="minorHAnsi" w:hint="default"/>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5C46E9"/>
    <w:multiLevelType w:val="hybridMultilevel"/>
    <w:tmpl w:val="4A6CA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C834A4"/>
    <w:multiLevelType w:val="multilevel"/>
    <w:tmpl w:val="5248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620337"/>
    <w:multiLevelType w:val="hybridMultilevel"/>
    <w:tmpl w:val="87FAE3FA"/>
    <w:lvl w:ilvl="0" w:tplc="BCBC04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197C49"/>
    <w:multiLevelType w:val="hybridMultilevel"/>
    <w:tmpl w:val="B57E2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8"/>
  </w:num>
  <w:num w:numId="5">
    <w:abstractNumId w:val="3"/>
  </w:num>
  <w:num w:numId="6">
    <w:abstractNumId w:val="1"/>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B99"/>
    <w:rsid w:val="00052D7E"/>
    <w:rsid w:val="00090D42"/>
    <w:rsid w:val="00095DCD"/>
    <w:rsid w:val="000D4D90"/>
    <w:rsid w:val="001125D7"/>
    <w:rsid w:val="00132D22"/>
    <w:rsid w:val="0019475B"/>
    <w:rsid w:val="002A6578"/>
    <w:rsid w:val="002B6CA8"/>
    <w:rsid w:val="002F181E"/>
    <w:rsid w:val="0047014F"/>
    <w:rsid w:val="004C5180"/>
    <w:rsid w:val="004E2530"/>
    <w:rsid w:val="00555845"/>
    <w:rsid w:val="00595691"/>
    <w:rsid w:val="005F4678"/>
    <w:rsid w:val="00605D0A"/>
    <w:rsid w:val="00614843"/>
    <w:rsid w:val="006D486D"/>
    <w:rsid w:val="006F5386"/>
    <w:rsid w:val="00774355"/>
    <w:rsid w:val="00794C73"/>
    <w:rsid w:val="007B104A"/>
    <w:rsid w:val="007C4DE1"/>
    <w:rsid w:val="007D5DC6"/>
    <w:rsid w:val="007E6AC0"/>
    <w:rsid w:val="00802B99"/>
    <w:rsid w:val="00834B13"/>
    <w:rsid w:val="00867A54"/>
    <w:rsid w:val="00903CF5"/>
    <w:rsid w:val="009C2AF1"/>
    <w:rsid w:val="00A73A23"/>
    <w:rsid w:val="00BA0F18"/>
    <w:rsid w:val="00BA7368"/>
    <w:rsid w:val="00BD4015"/>
    <w:rsid w:val="00C10CF9"/>
    <w:rsid w:val="00C603B0"/>
    <w:rsid w:val="00C9086D"/>
    <w:rsid w:val="00CA7F4F"/>
    <w:rsid w:val="00D31220"/>
    <w:rsid w:val="00D55064"/>
    <w:rsid w:val="00D8750F"/>
    <w:rsid w:val="00DA2E75"/>
    <w:rsid w:val="00DB3E1D"/>
    <w:rsid w:val="00DF477F"/>
    <w:rsid w:val="00E75A03"/>
    <w:rsid w:val="00EA65EB"/>
    <w:rsid w:val="00EB0272"/>
    <w:rsid w:val="00ED3C67"/>
    <w:rsid w:val="00EE3948"/>
    <w:rsid w:val="00F01E3A"/>
    <w:rsid w:val="00F463FB"/>
    <w:rsid w:val="00F762A6"/>
    <w:rsid w:val="00F836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4F574"/>
  <w15:chartTrackingRefBased/>
  <w15:docId w15:val="{6CFC0AF4-81DC-4CEC-A698-90B5209FE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B0272"/>
    <w:pPr>
      <w:spacing w:after="0" w:line="240" w:lineRule="auto"/>
    </w:pPr>
    <w:rPr>
      <w:rFonts w:ascii="Times New Roman" w:eastAsia="Times New Roman" w:hAnsi="Times New Roman" w:cs="Times New Roman"/>
      <w:sz w:val="24"/>
      <w:szCs w:val="24"/>
      <w:lang w:bidi="he-IL"/>
    </w:rPr>
  </w:style>
  <w:style w:type="paragraph" w:styleId="Heading1">
    <w:name w:val="heading 1"/>
    <w:basedOn w:val="Normal"/>
    <w:next w:val="Normal"/>
    <w:link w:val="Heading1Char"/>
    <w:uiPriority w:val="9"/>
    <w:qFormat/>
    <w:rsid w:val="00C10CF9"/>
    <w:pPr>
      <w:keepNext/>
      <w:keepLines/>
      <w:pBdr>
        <w:top w:val="nil"/>
        <w:left w:val="nil"/>
        <w:bottom w:val="nil"/>
        <w:right w:val="nil"/>
        <w:between w:val="nil"/>
      </w:pBdr>
      <w:spacing w:before="480" w:line="276" w:lineRule="auto"/>
      <w:outlineLvl w:val="0"/>
    </w:pPr>
    <w:rPr>
      <w:rFonts w:ascii="Cambria" w:eastAsia="Cambria" w:hAnsi="Cambria" w:cs="Cambria"/>
      <w:b/>
      <w:color w:val="3660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G">
    <w:name w:val="_ H_1_G"/>
    <w:basedOn w:val="Normal"/>
    <w:next w:val="Normal"/>
    <w:rsid w:val="00802B99"/>
    <w:pPr>
      <w:keepNext/>
      <w:keepLines/>
      <w:tabs>
        <w:tab w:val="right" w:pos="851"/>
      </w:tabs>
      <w:suppressAutoHyphens/>
      <w:spacing w:before="360" w:after="240" w:line="270" w:lineRule="exact"/>
      <w:ind w:left="1134" w:right="1134" w:hanging="1134"/>
    </w:pPr>
    <w:rPr>
      <w:b/>
      <w:szCs w:val="20"/>
      <w:lang w:val="en-GB"/>
    </w:rPr>
  </w:style>
  <w:style w:type="paragraph" w:customStyle="1" w:styleId="SingleTxtG">
    <w:name w:val="_ Single Txt_G"/>
    <w:basedOn w:val="Normal"/>
    <w:rsid w:val="00802B99"/>
    <w:pPr>
      <w:suppressAutoHyphens/>
      <w:spacing w:after="120" w:line="240" w:lineRule="atLeast"/>
      <w:ind w:left="1134" w:right="1134"/>
      <w:jc w:val="both"/>
    </w:pPr>
    <w:rPr>
      <w:rFonts w:eastAsia="SimSun"/>
      <w:sz w:val="20"/>
      <w:szCs w:val="20"/>
      <w:lang w:val="en-GB" w:eastAsia="zh-CN"/>
    </w:rPr>
  </w:style>
  <w:style w:type="paragraph" w:customStyle="1" w:styleId="H23G">
    <w:name w:val="_ H_2/3_G"/>
    <w:basedOn w:val="Normal"/>
    <w:next w:val="Normal"/>
    <w:rsid w:val="00052D7E"/>
    <w:pPr>
      <w:keepNext/>
      <w:keepLines/>
      <w:tabs>
        <w:tab w:val="right" w:pos="851"/>
      </w:tabs>
      <w:suppressAutoHyphens/>
      <w:spacing w:before="240" w:after="120" w:line="240" w:lineRule="exact"/>
      <w:ind w:left="1134" w:right="1134" w:hanging="1134"/>
    </w:pPr>
    <w:rPr>
      <w:b/>
      <w:sz w:val="20"/>
      <w:szCs w:val="20"/>
      <w:lang w:val="en-GB"/>
    </w:rPr>
  </w:style>
  <w:style w:type="paragraph" w:styleId="FootnoteText">
    <w:name w:val="footnote text"/>
    <w:basedOn w:val="Normal"/>
    <w:link w:val="FootnoteTextChar"/>
    <w:uiPriority w:val="99"/>
    <w:unhideWhenUsed/>
    <w:rsid w:val="00052D7E"/>
    <w:rPr>
      <w:sz w:val="20"/>
      <w:szCs w:val="20"/>
    </w:rPr>
  </w:style>
  <w:style w:type="character" w:customStyle="1" w:styleId="FootnoteTextChar">
    <w:name w:val="Footnote Text Char"/>
    <w:basedOn w:val="DefaultParagraphFont"/>
    <w:link w:val="FootnoteText"/>
    <w:uiPriority w:val="99"/>
    <w:rsid w:val="00052D7E"/>
    <w:rPr>
      <w:sz w:val="20"/>
      <w:szCs w:val="20"/>
    </w:rPr>
  </w:style>
  <w:style w:type="character" w:styleId="FootnoteReference">
    <w:name w:val="footnote reference"/>
    <w:basedOn w:val="DefaultParagraphFont"/>
    <w:uiPriority w:val="99"/>
    <w:unhideWhenUsed/>
    <w:rsid w:val="00052D7E"/>
    <w:rPr>
      <w:vertAlign w:val="superscript"/>
    </w:rPr>
  </w:style>
  <w:style w:type="character" w:styleId="Emphasis">
    <w:name w:val="Emphasis"/>
    <w:uiPriority w:val="20"/>
    <w:qFormat/>
    <w:rsid w:val="00052D7E"/>
    <w:rPr>
      <w:i/>
      <w:iCs/>
    </w:rPr>
  </w:style>
  <w:style w:type="paragraph" w:styleId="ListParagraph">
    <w:name w:val="List Paragraph"/>
    <w:basedOn w:val="Normal"/>
    <w:uiPriority w:val="34"/>
    <w:qFormat/>
    <w:rsid w:val="00052D7E"/>
    <w:pPr>
      <w:ind w:left="720"/>
      <w:contextualSpacing/>
    </w:pPr>
  </w:style>
  <w:style w:type="character" w:styleId="Hyperlink">
    <w:name w:val="Hyperlink"/>
    <w:basedOn w:val="DefaultParagraphFont"/>
    <w:uiPriority w:val="99"/>
    <w:unhideWhenUsed/>
    <w:rsid w:val="00794C73"/>
    <w:rPr>
      <w:color w:val="0000FF"/>
      <w:u w:val="single"/>
    </w:rPr>
  </w:style>
  <w:style w:type="character" w:customStyle="1" w:styleId="Heading1Char">
    <w:name w:val="Heading 1 Char"/>
    <w:basedOn w:val="DefaultParagraphFont"/>
    <w:link w:val="Heading1"/>
    <w:uiPriority w:val="9"/>
    <w:rsid w:val="00C10CF9"/>
    <w:rPr>
      <w:rFonts w:ascii="Cambria" w:eastAsia="Cambria" w:hAnsi="Cambria" w:cs="Cambria"/>
      <w:b/>
      <w:color w:val="366091"/>
      <w:sz w:val="28"/>
      <w:szCs w:val="28"/>
      <w:lang w:bidi="he-IL"/>
    </w:rPr>
  </w:style>
  <w:style w:type="paragraph" w:styleId="NormalWeb">
    <w:name w:val="Normal (Web)"/>
    <w:basedOn w:val="Normal"/>
    <w:uiPriority w:val="99"/>
    <w:unhideWhenUsed/>
    <w:rsid w:val="00C10CF9"/>
    <w:pPr>
      <w:spacing w:before="100" w:beforeAutospacing="1" w:after="100" w:afterAutospacing="1"/>
    </w:pPr>
  </w:style>
  <w:style w:type="character" w:customStyle="1" w:styleId="aqj">
    <w:name w:val="aqj"/>
    <w:basedOn w:val="DefaultParagraphFont"/>
    <w:rsid w:val="00903CF5"/>
  </w:style>
  <w:style w:type="character" w:styleId="CommentReference">
    <w:name w:val="annotation reference"/>
    <w:basedOn w:val="DefaultParagraphFont"/>
    <w:uiPriority w:val="99"/>
    <w:semiHidden/>
    <w:unhideWhenUsed/>
    <w:rsid w:val="00903CF5"/>
    <w:rPr>
      <w:sz w:val="16"/>
      <w:szCs w:val="16"/>
    </w:rPr>
  </w:style>
  <w:style w:type="paragraph" w:styleId="CommentText">
    <w:name w:val="annotation text"/>
    <w:basedOn w:val="Normal"/>
    <w:link w:val="CommentTextChar"/>
    <w:uiPriority w:val="99"/>
    <w:semiHidden/>
    <w:unhideWhenUsed/>
    <w:rsid w:val="00903CF5"/>
    <w:pPr>
      <w:bidi/>
    </w:pPr>
    <w:rPr>
      <w:sz w:val="20"/>
      <w:szCs w:val="20"/>
    </w:rPr>
  </w:style>
  <w:style w:type="character" w:customStyle="1" w:styleId="CommentTextChar">
    <w:name w:val="Comment Text Char"/>
    <w:basedOn w:val="DefaultParagraphFont"/>
    <w:link w:val="CommentText"/>
    <w:uiPriority w:val="99"/>
    <w:semiHidden/>
    <w:rsid w:val="00903CF5"/>
    <w:rPr>
      <w:sz w:val="20"/>
      <w:szCs w:val="20"/>
      <w:lang w:bidi="he-IL"/>
    </w:rPr>
  </w:style>
  <w:style w:type="paragraph" w:styleId="BalloonText">
    <w:name w:val="Balloon Text"/>
    <w:basedOn w:val="Normal"/>
    <w:link w:val="BalloonTextChar"/>
    <w:uiPriority w:val="99"/>
    <w:semiHidden/>
    <w:unhideWhenUsed/>
    <w:rsid w:val="00903C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3CF5"/>
    <w:rPr>
      <w:rFonts w:ascii="Segoe UI" w:hAnsi="Segoe UI" w:cs="Segoe UI"/>
      <w:sz w:val="18"/>
      <w:szCs w:val="18"/>
    </w:rPr>
  </w:style>
  <w:style w:type="paragraph" w:customStyle="1" w:styleId="Default">
    <w:name w:val="Default"/>
    <w:rsid w:val="00C9086D"/>
    <w:pPr>
      <w:autoSpaceDE w:val="0"/>
      <w:autoSpaceDN w:val="0"/>
      <w:adjustRightInd w:val="0"/>
      <w:spacing w:after="0" w:line="240" w:lineRule="auto"/>
    </w:pPr>
    <w:rPr>
      <w:rFonts w:ascii="Calibri" w:hAnsi="Calibri" w:cs="Calibri"/>
      <w:color w:val="000000"/>
      <w:sz w:val="24"/>
      <w:szCs w:val="24"/>
      <w:lang w:bidi="he-IL"/>
    </w:rPr>
  </w:style>
  <w:style w:type="paragraph" w:styleId="Header">
    <w:name w:val="header"/>
    <w:basedOn w:val="Normal"/>
    <w:link w:val="HeaderChar"/>
    <w:uiPriority w:val="99"/>
    <w:unhideWhenUsed/>
    <w:rsid w:val="00BD4015"/>
    <w:pPr>
      <w:tabs>
        <w:tab w:val="center" w:pos="4320"/>
        <w:tab w:val="right" w:pos="8640"/>
      </w:tabs>
    </w:pPr>
  </w:style>
  <w:style w:type="character" w:customStyle="1" w:styleId="HeaderChar">
    <w:name w:val="Header Char"/>
    <w:basedOn w:val="DefaultParagraphFont"/>
    <w:link w:val="Header"/>
    <w:uiPriority w:val="99"/>
    <w:rsid w:val="00BD4015"/>
  </w:style>
  <w:style w:type="paragraph" w:styleId="Footer">
    <w:name w:val="footer"/>
    <w:basedOn w:val="Normal"/>
    <w:link w:val="FooterChar"/>
    <w:uiPriority w:val="99"/>
    <w:unhideWhenUsed/>
    <w:rsid w:val="00BD4015"/>
    <w:pPr>
      <w:tabs>
        <w:tab w:val="center" w:pos="4320"/>
        <w:tab w:val="right" w:pos="8640"/>
      </w:tabs>
    </w:pPr>
  </w:style>
  <w:style w:type="character" w:customStyle="1" w:styleId="FooterChar">
    <w:name w:val="Footer Char"/>
    <w:basedOn w:val="DefaultParagraphFont"/>
    <w:link w:val="Footer"/>
    <w:uiPriority w:val="99"/>
    <w:rsid w:val="00BD4015"/>
  </w:style>
  <w:style w:type="character" w:styleId="UnresolvedMention">
    <w:name w:val="Unresolved Mention"/>
    <w:basedOn w:val="DefaultParagraphFont"/>
    <w:uiPriority w:val="99"/>
    <w:semiHidden/>
    <w:unhideWhenUsed/>
    <w:rsid w:val="007C4DE1"/>
    <w:rPr>
      <w:color w:val="605E5C"/>
      <w:shd w:val="clear" w:color="auto" w:fill="E1DFDD"/>
    </w:rPr>
  </w:style>
  <w:style w:type="character" w:styleId="Strong">
    <w:name w:val="Strong"/>
    <w:uiPriority w:val="22"/>
    <w:qFormat/>
    <w:rsid w:val="007C4DE1"/>
    <w:rPr>
      <w:b/>
      <w:bCs/>
    </w:rPr>
  </w:style>
  <w:style w:type="character" w:styleId="FollowedHyperlink">
    <w:name w:val="FollowedHyperlink"/>
    <w:basedOn w:val="DefaultParagraphFont"/>
    <w:uiPriority w:val="99"/>
    <w:semiHidden/>
    <w:unhideWhenUsed/>
    <w:rsid w:val="007C4DE1"/>
    <w:rPr>
      <w:color w:val="954F72" w:themeColor="followedHyperlink"/>
      <w:u w:val="single"/>
    </w:rPr>
  </w:style>
  <w:style w:type="character" w:customStyle="1" w:styleId="apple-converted-space">
    <w:name w:val="apple-converted-space"/>
    <w:basedOn w:val="DefaultParagraphFont"/>
    <w:rsid w:val="00D55064"/>
  </w:style>
  <w:style w:type="paragraph" w:customStyle="1" w:styleId="a">
    <w:name w:val="["/>
    <w:basedOn w:val="Normal"/>
    <w:rsid w:val="00E75A03"/>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E75A0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75A03"/>
    <w:rPr>
      <w:rFonts w:ascii="Arial" w:eastAsia="Times New Roman" w:hAnsi="Arial" w:cs="Arial"/>
      <w:vanish/>
      <w:sz w:val="16"/>
      <w:szCs w:val="16"/>
      <w:lang w:bidi="he-IL"/>
    </w:rPr>
  </w:style>
  <w:style w:type="character" w:customStyle="1" w:styleId="icnalt">
    <w:name w:val="icn__alt"/>
    <w:basedOn w:val="DefaultParagraphFont"/>
    <w:rsid w:val="00E75A03"/>
  </w:style>
  <w:style w:type="paragraph" w:styleId="z-BottomofForm">
    <w:name w:val="HTML Bottom of Form"/>
    <w:basedOn w:val="Normal"/>
    <w:next w:val="Normal"/>
    <w:link w:val="z-BottomofFormChar"/>
    <w:hidden/>
    <w:uiPriority w:val="99"/>
    <w:semiHidden/>
    <w:unhideWhenUsed/>
    <w:rsid w:val="00E75A0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75A03"/>
    <w:rPr>
      <w:rFonts w:ascii="Arial" w:eastAsia="Times New Roman" w:hAnsi="Arial" w:cs="Arial"/>
      <w:vanish/>
      <w:sz w:val="16"/>
      <w:szCs w:val="16"/>
      <w:lang w:bidi="he-IL"/>
    </w:rPr>
  </w:style>
  <w:style w:type="character" w:customStyle="1" w:styleId="piped">
    <w:name w:val="piped"/>
    <w:basedOn w:val="DefaultParagraphFont"/>
    <w:rsid w:val="00E75A03"/>
  </w:style>
  <w:style w:type="character" w:styleId="PageNumber">
    <w:name w:val="page number"/>
    <w:basedOn w:val="DefaultParagraphFont"/>
    <w:uiPriority w:val="99"/>
    <w:semiHidden/>
    <w:unhideWhenUsed/>
    <w:rsid w:val="005F4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0229">
      <w:bodyDiv w:val="1"/>
      <w:marLeft w:val="0"/>
      <w:marRight w:val="0"/>
      <w:marTop w:val="0"/>
      <w:marBottom w:val="0"/>
      <w:divBdr>
        <w:top w:val="none" w:sz="0" w:space="0" w:color="auto"/>
        <w:left w:val="none" w:sz="0" w:space="0" w:color="auto"/>
        <w:bottom w:val="none" w:sz="0" w:space="0" w:color="auto"/>
        <w:right w:val="none" w:sz="0" w:space="0" w:color="auto"/>
      </w:divBdr>
    </w:div>
    <w:div w:id="235020338">
      <w:bodyDiv w:val="1"/>
      <w:marLeft w:val="0"/>
      <w:marRight w:val="0"/>
      <w:marTop w:val="0"/>
      <w:marBottom w:val="0"/>
      <w:divBdr>
        <w:top w:val="none" w:sz="0" w:space="0" w:color="auto"/>
        <w:left w:val="none" w:sz="0" w:space="0" w:color="auto"/>
        <w:bottom w:val="none" w:sz="0" w:space="0" w:color="auto"/>
        <w:right w:val="none" w:sz="0" w:space="0" w:color="auto"/>
      </w:divBdr>
      <w:divsChild>
        <w:div w:id="386417340">
          <w:marLeft w:val="0"/>
          <w:marRight w:val="0"/>
          <w:marTop w:val="75"/>
          <w:marBottom w:val="0"/>
          <w:divBdr>
            <w:top w:val="none" w:sz="0" w:space="0" w:color="auto"/>
            <w:left w:val="none" w:sz="0" w:space="0" w:color="auto"/>
            <w:bottom w:val="dotted" w:sz="6" w:space="0" w:color="D7D7D7"/>
            <w:right w:val="none" w:sz="0" w:space="0" w:color="auto"/>
          </w:divBdr>
        </w:div>
        <w:div w:id="889267587">
          <w:marLeft w:val="0"/>
          <w:marRight w:val="0"/>
          <w:marTop w:val="150"/>
          <w:marBottom w:val="0"/>
          <w:divBdr>
            <w:top w:val="none" w:sz="0" w:space="0" w:color="auto"/>
            <w:left w:val="none" w:sz="0" w:space="0" w:color="auto"/>
            <w:bottom w:val="none" w:sz="0" w:space="0" w:color="auto"/>
            <w:right w:val="none" w:sz="0" w:space="0" w:color="auto"/>
          </w:divBdr>
        </w:div>
        <w:div w:id="719984141">
          <w:marLeft w:val="0"/>
          <w:marRight w:val="0"/>
          <w:marTop w:val="225"/>
          <w:marBottom w:val="225"/>
          <w:divBdr>
            <w:top w:val="none" w:sz="0" w:space="0" w:color="auto"/>
            <w:left w:val="none" w:sz="0" w:space="0" w:color="auto"/>
            <w:bottom w:val="none" w:sz="0" w:space="0" w:color="auto"/>
            <w:right w:val="none" w:sz="0" w:space="0" w:color="auto"/>
          </w:divBdr>
        </w:div>
      </w:divsChild>
    </w:div>
    <w:div w:id="312293861">
      <w:bodyDiv w:val="1"/>
      <w:marLeft w:val="0"/>
      <w:marRight w:val="0"/>
      <w:marTop w:val="0"/>
      <w:marBottom w:val="0"/>
      <w:divBdr>
        <w:top w:val="none" w:sz="0" w:space="0" w:color="auto"/>
        <w:left w:val="none" w:sz="0" w:space="0" w:color="auto"/>
        <w:bottom w:val="none" w:sz="0" w:space="0" w:color="auto"/>
        <w:right w:val="none" w:sz="0" w:space="0" w:color="auto"/>
      </w:divBdr>
    </w:div>
    <w:div w:id="448013678">
      <w:bodyDiv w:val="1"/>
      <w:marLeft w:val="0"/>
      <w:marRight w:val="0"/>
      <w:marTop w:val="0"/>
      <w:marBottom w:val="0"/>
      <w:divBdr>
        <w:top w:val="none" w:sz="0" w:space="0" w:color="auto"/>
        <w:left w:val="none" w:sz="0" w:space="0" w:color="auto"/>
        <w:bottom w:val="none" w:sz="0" w:space="0" w:color="auto"/>
        <w:right w:val="none" w:sz="0" w:space="0" w:color="auto"/>
      </w:divBdr>
    </w:div>
    <w:div w:id="576210339">
      <w:bodyDiv w:val="1"/>
      <w:marLeft w:val="0"/>
      <w:marRight w:val="0"/>
      <w:marTop w:val="0"/>
      <w:marBottom w:val="0"/>
      <w:divBdr>
        <w:top w:val="none" w:sz="0" w:space="0" w:color="auto"/>
        <w:left w:val="none" w:sz="0" w:space="0" w:color="auto"/>
        <w:bottom w:val="none" w:sz="0" w:space="0" w:color="auto"/>
        <w:right w:val="none" w:sz="0" w:space="0" w:color="auto"/>
      </w:divBdr>
    </w:div>
    <w:div w:id="589460770">
      <w:bodyDiv w:val="1"/>
      <w:marLeft w:val="0"/>
      <w:marRight w:val="0"/>
      <w:marTop w:val="0"/>
      <w:marBottom w:val="0"/>
      <w:divBdr>
        <w:top w:val="none" w:sz="0" w:space="0" w:color="auto"/>
        <w:left w:val="none" w:sz="0" w:space="0" w:color="auto"/>
        <w:bottom w:val="none" w:sz="0" w:space="0" w:color="auto"/>
        <w:right w:val="none" w:sz="0" w:space="0" w:color="auto"/>
      </w:divBdr>
    </w:div>
    <w:div w:id="589657912">
      <w:bodyDiv w:val="1"/>
      <w:marLeft w:val="0"/>
      <w:marRight w:val="0"/>
      <w:marTop w:val="0"/>
      <w:marBottom w:val="0"/>
      <w:divBdr>
        <w:top w:val="none" w:sz="0" w:space="0" w:color="auto"/>
        <w:left w:val="none" w:sz="0" w:space="0" w:color="auto"/>
        <w:bottom w:val="none" w:sz="0" w:space="0" w:color="auto"/>
        <w:right w:val="none" w:sz="0" w:space="0" w:color="auto"/>
      </w:divBdr>
      <w:divsChild>
        <w:div w:id="1149636763">
          <w:marLeft w:val="0"/>
          <w:marRight w:val="0"/>
          <w:marTop w:val="0"/>
          <w:marBottom w:val="0"/>
          <w:divBdr>
            <w:top w:val="none" w:sz="0" w:space="0" w:color="auto"/>
            <w:left w:val="none" w:sz="0" w:space="0" w:color="auto"/>
            <w:bottom w:val="none" w:sz="0" w:space="0" w:color="auto"/>
            <w:right w:val="none" w:sz="0" w:space="0" w:color="auto"/>
          </w:divBdr>
          <w:divsChild>
            <w:div w:id="622074013">
              <w:marLeft w:val="0"/>
              <w:marRight w:val="0"/>
              <w:marTop w:val="0"/>
              <w:marBottom w:val="0"/>
              <w:divBdr>
                <w:top w:val="none" w:sz="0" w:space="0" w:color="auto"/>
                <w:left w:val="none" w:sz="0" w:space="0" w:color="auto"/>
                <w:bottom w:val="none" w:sz="0" w:space="0" w:color="auto"/>
                <w:right w:val="none" w:sz="0" w:space="0" w:color="auto"/>
              </w:divBdr>
              <w:divsChild>
                <w:div w:id="117727435">
                  <w:marLeft w:val="0"/>
                  <w:marRight w:val="0"/>
                  <w:marTop w:val="0"/>
                  <w:marBottom w:val="0"/>
                  <w:divBdr>
                    <w:top w:val="none" w:sz="0" w:space="0" w:color="auto"/>
                    <w:left w:val="none" w:sz="0" w:space="0" w:color="auto"/>
                    <w:bottom w:val="none" w:sz="0" w:space="0" w:color="auto"/>
                    <w:right w:val="none" w:sz="0" w:space="0" w:color="auto"/>
                  </w:divBdr>
                  <w:divsChild>
                    <w:div w:id="201863191">
                      <w:marLeft w:val="0"/>
                      <w:marRight w:val="0"/>
                      <w:marTop w:val="0"/>
                      <w:marBottom w:val="0"/>
                      <w:divBdr>
                        <w:top w:val="none" w:sz="0" w:space="0" w:color="auto"/>
                        <w:left w:val="none" w:sz="0" w:space="0" w:color="auto"/>
                        <w:bottom w:val="none" w:sz="0" w:space="0" w:color="auto"/>
                        <w:right w:val="none" w:sz="0" w:space="0" w:color="auto"/>
                      </w:divBdr>
                    </w:div>
                  </w:divsChild>
                </w:div>
                <w:div w:id="952632675">
                  <w:marLeft w:val="0"/>
                  <w:marRight w:val="0"/>
                  <w:marTop w:val="0"/>
                  <w:marBottom w:val="0"/>
                  <w:divBdr>
                    <w:top w:val="none" w:sz="0" w:space="0" w:color="auto"/>
                    <w:left w:val="none" w:sz="0" w:space="0" w:color="auto"/>
                    <w:bottom w:val="none" w:sz="0" w:space="0" w:color="auto"/>
                    <w:right w:val="none" w:sz="0" w:space="0" w:color="auto"/>
                  </w:divBdr>
                  <w:divsChild>
                    <w:div w:id="1836846125">
                      <w:marLeft w:val="0"/>
                      <w:marRight w:val="0"/>
                      <w:marTop w:val="0"/>
                      <w:marBottom w:val="0"/>
                      <w:divBdr>
                        <w:top w:val="none" w:sz="0" w:space="0" w:color="auto"/>
                        <w:left w:val="none" w:sz="0" w:space="0" w:color="auto"/>
                        <w:bottom w:val="none" w:sz="0" w:space="0" w:color="auto"/>
                        <w:right w:val="none" w:sz="0" w:space="0" w:color="auto"/>
                      </w:divBdr>
                      <w:divsChild>
                        <w:div w:id="191230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438085">
          <w:marLeft w:val="0"/>
          <w:marRight w:val="0"/>
          <w:marTop w:val="0"/>
          <w:marBottom w:val="0"/>
          <w:divBdr>
            <w:top w:val="none" w:sz="0" w:space="0" w:color="auto"/>
            <w:left w:val="none" w:sz="0" w:space="0" w:color="auto"/>
            <w:bottom w:val="none" w:sz="0" w:space="0" w:color="auto"/>
            <w:right w:val="none" w:sz="0" w:space="0" w:color="auto"/>
          </w:divBdr>
        </w:div>
      </w:divsChild>
    </w:div>
    <w:div w:id="612395224">
      <w:bodyDiv w:val="1"/>
      <w:marLeft w:val="0"/>
      <w:marRight w:val="0"/>
      <w:marTop w:val="0"/>
      <w:marBottom w:val="0"/>
      <w:divBdr>
        <w:top w:val="none" w:sz="0" w:space="0" w:color="auto"/>
        <w:left w:val="none" w:sz="0" w:space="0" w:color="auto"/>
        <w:bottom w:val="none" w:sz="0" w:space="0" w:color="auto"/>
        <w:right w:val="none" w:sz="0" w:space="0" w:color="auto"/>
      </w:divBdr>
    </w:div>
    <w:div w:id="634456432">
      <w:bodyDiv w:val="1"/>
      <w:marLeft w:val="0"/>
      <w:marRight w:val="0"/>
      <w:marTop w:val="0"/>
      <w:marBottom w:val="0"/>
      <w:divBdr>
        <w:top w:val="none" w:sz="0" w:space="0" w:color="auto"/>
        <w:left w:val="none" w:sz="0" w:space="0" w:color="auto"/>
        <w:bottom w:val="none" w:sz="0" w:space="0" w:color="auto"/>
        <w:right w:val="none" w:sz="0" w:space="0" w:color="auto"/>
      </w:divBdr>
    </w:div>
    <w:div w:id="675107974">
      <w:bodyDiv w:val="1"/>
      <w:marLeft w:val="0"/>
      <w:marRight w:val="0"/>
      <w:marTop w:val="0"/>
      <w:marBottom w:val="0"/>
      <w:divBdr>
        <w:top w:val="none" w:sz="0" w:space="0" w:color="auto"/>
        <w:left w:val="none" w:sz="0" w:space="0" w:color="auto"/>
        <w:bottom w:val="none" w:sz="0" w:space="0" w:color="auto"/>
        <w:right w:val="none" w:sz="0" w:space="0" w:color="auto"/>
      </w:divBdr>
      <w:divsChild>
        <w:div w:id="1023941470">
          <w:marLeft w:val="0"/>
          <w:marRight w:val="0"/>
          <w:marTop w:val="0"/>
          <w:marBottom w:val="0"/>
          <w:divBdr>
            <w:top w:val="none" w:sz="0" w:space="0" w:color="auto"/>
            <w:left w:val="none" w:sz="0" w:space="0" w:color="auto"/>
            <w:bottom w:val="none" w:sz="0" w:space="0" w:color="auto"/>
            <w:right w:val="none" w:sz="0" w:space="0" w:color="auto"/>
          </w:divBdr>
          <w:divsChild>
            <w:div w:id="1174492451">
              <w:marLeft w:val="0"/>
              <w:marRight w:val="0"/>
              <w:marTop w:val="0"/>
              <w:marBottom w:val="0"/>
              <w:divBdr>
                <w:top w:val="none" w:sz="0" w:space="0" w:color="auto"/>
                <w:left w:val="none" w:sz="0" w:space="0" w:color="auto"/>
                <w:bottom w:val="none" w:sz="0" w:space="0" w:color="auto"/>
                <w:right w:val="none" w:sz="0" w:space="0" w:color="auto"/>
              </w:divBdr>
              <w:divsChild>
                <w:div w:id="1360005643">
                  <w:marLeft w:val="0"/>
                  <w:marRight w:val="0"/>
                  <w:marTop w:val="0"/>
                  <w:marBottom w:val="0"/>
                  <w:divBdr>
                    <w:top w:val="none" w:sz="0" w:space="0" w:color="auto"/>
                    <w:left w:val="none" w:sz="0" w:space="0" w:color="auto"/>
                    <w:bottom w:val="none" w:sz="0" w:space="0" w:color="auto"/>
                    <w:right w:val="none" w:sz="0" w:space="0" w:color="auto"/>
                  </w:divBdr>
                  <w:divsChild>
                    <w:div w:id="1472021317">
                      <w:marLeft w:val="0"/>
                      <w:marRight w:val="0"/>
                      <w:marTop w:val="0"/>
                      <w:marBottom w:val="0"/>
                      <w:divBdr>
                        <w:top w:val="none" w:sz="0" w:space="0" w:color="auto"/>
                        <w:left w:val="none" w:sz="0" w:space="0" w:color="auto"/>
                        <w:bottom w:val="none" w:sz="0" w:space="0" w:color="auto"/>
                        <w:right w:val="none" w:sz="0" w:space="0" w:color="auto"/>
                      </w:divBdr>
                    </w:div>
                  </w:divsChild>
                </w:div>
                <w:div w:id="622926061">
                  <w:marLeft w:val="0"/>
                  <w:marRight w:val="0"/>
                  <w:marTop w:val="0"/>
                  <w:marBottom w:val="0"/>
                  <w:divBdr>
                    <w:top w:val="none" w:sz="0" w:space="0" w:color="auto"/>
                    <w:left w:val="none" w:sz="0" w:space="0" w:color="auto"/>
                    <w:bottom w:val="none" w:sz="0" w:space="0" w:color="auto"/>
                    <w:right w:val="none" w:sz="0" w:space="0" w:color="auto"/>
                  </w:divBdr>
                  <w:divsChild>
                    <w:div w:id="2048984415">
                      <w:marLeft w:val="0"/>
                      <w:marRight w:val="0"/>
                      <w:marTop w:val="0"/>
                      <w:marBottom w:val="0"/>
                      <w:divBdr>
                        <w:top w:val="none" w:sz="0" w:space="0" w:color="auto"/>
                        <w:left w:val="none" w:sz="0" w:space="0" w:color="auto"/>
                        <w:bottom w:val="none" w:sz="0" w:space="0" w:color="auto"/>
                        <w:right w:val="none" w:sz="0" w:space="0" w:color="auto"/>
                      </w:divBdr>
                      <w:divsChild>
                        <w:div w:id="144966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994633">
          <w:marLeft w:val="0"/>
          <w:marRight w:val="0"/>
          <w:marTop w:val="0"/>
          <w:marBottom w:val="0"/>
          <w:divBdr>
            <w:top w:val="none" w:sz="0" w:space="0" w:color="auto"/>
            <w:left w:val="none" w:sz="0" w:space="0" w:color="auto"/>
            <w:bottom w:val="none" w:sz="0" w:space="0" w:color="auto"/>
            <w:right w:val="none" w:sz="0" w:space="0" w:color="auto"/>
          </w:divBdr>
        </w:div>
      </w:divsChild>
    </w:div>
    <w:div w:id="825707568">
      <w:bodyDiv w:val="1"/>
      <w:marLeft w:val="0"/>
      <w:marRight w:val="0"/>
      <w:marTop w:val="0"/>
      <w:marBottom w:val="0"/>
      <w:divBdr>
        <w:top w:val="none" w:sz="0" w:space="0" w:color="auto"/>
        <w:left w:val="none" w:sz="0" w:space="0" w:color="auto"/>
        <w:bottom w:val="none" w:sz="0" w:space="0" w:color="auto"/>
        <w:right w:val="none" w:sz="0" w:space="0" w:color="auto"/>
      </w:divBdr>
    </w:div>
    <w:div w:id="870070901">
      <w:bodyDiv w:val="1"/>
      <w:marLeft w:val="0"/>
      <w:marRight w:val="0"/>
      <w:marTop w:val="0"/>
      <w:marBottom w:val="0"/>
      <w:divBdr>
        <w:top w:val="none" w:sz="0" w:space="0" w:color="auto"/>
        <w:left w:val="none" w:sz="0" w:space="0" w:color="auto"/>
        <w:bottom w:val="none" w:sz="0" w:space="0" w:color="auto"/>
        <w:right w:val="none" w:sz="0" w:space="0" w:color="auto"/>
      </w:divBdr>
    </w:div>
    <w:div w:id="876359841">
      <w:bodyDiv w:val="1"/>
      <w:marLeft w:val="0"/>
      <w:marRight w:val="0"/>
      <w:marTop w:val="0"/>
      <w:marBottom w:val="0"/>
      <w:divBdr>
        <w:top w:val="none" w:sz="0" w:space="0" w:color="auto"/>
        <w:left w:val="none" w:sz="0" w:space="0" w:color="auto"/>
        <w:bottom w:val="none" w:sz="0" w:space="0" w:color="auto"/>
        <w:right w:val="none" w:sz="0" w:space="0" w:color="auto"/>
      </w:divBdr>
    </w:div>
    <w:div w:id="952908098">
      <w:bodyDiv w:val="1"/>
      <w:marLeft w:val="0"/>
      <w:marRight w:val="0"/>
      <w:marTop w:val="0"/>
      <w:marBottom w:val="0"/>
      <w:divBdr>
        <w:top w:val="none" w:sz="0" w:space="0" w:color="auto"/>
        <w:left w:val="none" w:sz="0" w:space="0" w:color="auto"/>
        <w:bottom w:val="none" w:sz="0" w:space="0" w:color="auto"/>
        <w:right w:val="none" w:sz="0" w:space="0" w:color="auto"/>
      </w:divBdr>
    </w:div>
    <w:div w:id="1010596330">
      <w:bodyDiv w:val="1"/>
      <w:marLeft w:val="0"/>
      <w:marRight w:val="0"/>
      <w:marTop w:val="0"/>
      <w:marBottom w:val="0"/>
      <w:divBdr>
        <w:top w:val="none" w:sz="0" w:space="0" w:color="auto"/>
        <w:left w:val="none" w:sz="0" w:space="0" w:color="auto"/>
        <w:bottom w:val="none" w:sz="0" w:space="0" w:color="auto"/>
        <w:right w:val="none" w:sz="0" w:space="0" w:color="auto"/>
      </w:divBdr>
    </w:div>
    <w:div w:id="1149177214">
      <w:bodyDiv w:val="1"/>
      <w:marLeft w:val="0"/>
      <w:marRight w:val="0"/>
      <w:marTop w:val="0"/>
      <w:marBottom w:val="0"/>
      <w:divBdr>
        <w:top w:val="none" w:sz="0" w:space="0" w:color="auto"/>
        <w:left w:val="none" w:sz="0" w:space="0" w:color="auto"/>
        <w:bottom w:val="none" w:sz="0" w:space="0" w:color="auto"/>
        <w:right w:val="none" w:sz="0" w:space="0" w:color="auto"/>
      </w:divBdr>
    </w:div>
    <w:div w:id="1190602317">
      <w:bodyDiv w:val="1"/>
      <w:marLeft w:val="0"/>
      <w:marRight w:val="0"/>
      <w:marTop w:val="0"/>
      <w:marBottom w:val="0"/>
      <w:divBdr>
        <w:top w:val="none" w:sz="0" w:space="0" w:color="auto"/>
        <w:left w:val="none" w:sz="0" w:space="0" w:color="auto"/>
        <w:bottom w:val="none" w:sz="0" w:space="0" w:color="auto"/>
        <w:right w:val="none" w:sz="0" w:space="0" w:color="auto"/>
      </w:divBdr>
    </w:div>
    <w:div w:id="1259484692">
      <w:bodyDiv w:val="1"/>
      <w:marLeft w:val="0"/>
      <w:marRight w:val="0"/>
      <w:marTop w:val="0"/>
      <w:marBottom w:val="0"/>
      <w:divBdr>
        <w:top w:val="none" w:sz="0" w:space="0" w:color="auto"/>
        <w:left w:val="none" w:sz="0" w:space="0" w:color="auto"/>
        <w:bottom w:val="none" w:sz="0" w:space="0" w:color="auto"/>
        <w:right w:val="none" w:sz="0" w:space="0" w:color="auto"/>
      </w:divBdr>
    </w:div>
    <w:div w:id="1270971646">
      <w:bodyDiv w:val="1"/>
      <w:marLeft w:val="0"/>
      <w:marRight w:val="0"/>
      <w:marTop w:val="0"/>
      <w:marBottom w:val="0"/>
      <w:divBdr>
        <w:top w:val="none" w:sz="0" w:space="0" w:color="auto"/>
        <w:left w:val="none" w:sz="0" w:space="0" w:color="auto"/>
        <w:bottom w:val="none" w:sz="0" w:space="0" w:color="auto"/>
        <w:right w:val="none" w:sz="0" w:space="0" w:color="auto"/>
      </w:divBdr>
    </w:div>
    <w:div w:id="1414738796">
      <w:bodyDiv w:val="1"/>
      <w:marLeft w:val="0"/>
      <w:marRight w:val="0"/>
      <w:marTop w:val="0"/>
      <w:marBottom w:val="0"/>
      <w:divBdr>
        <w:top w:val="none" w:sz="0" w:space="0" w:color="auto"/>
        <w:left w:val="none" w:sz="0" w:space="0" w:color="auto"/>
        <w:bottom w:val="none" w:sz="0" w:space="0" w:color="auto"/>
        <w:right w:val="none" w:sz="0" w:space="0" w:color="auto"/>
      </w:divBdr>
    </w:div>
    <w:div w:id="1449622737">
      <w:bodyDiv w:val="1"/>
      <w:marLeft w:val="0"/>
      <w:marRight w:val="0"/>
      <w:marTop w:val="0"/>
      <w:marBottom w:val="0"/>
      <w:divBdr>
        <w:top w:val="none" w:sz="0" w:space="0" w:color="auto"/>
        <w:left w:val="none" w:sz="0" w:space="0" w:color="auto"/>
        <w:bottom w:val="none" w:sz="0" w:space="0" w:color="auto"/>
        <w:right w:val="none" w:sz="0" w:space="0" w:color="auto"/>
      </w:divBdr>
      <w:divsChild>
        <w:div w:id="1030836466">
          <w:marLeft w:val="0"/>
          <w:marRight w:val="0"/>
          <w:marTop w:val="150"/>
          <w:marBottom w:val="0"/>
          <w:divBdr>
            <w:top w:val="none" w:sz="0" w:space="0" w:color="auto"/>
            <w:left w:val="none" w:sz="0" w:space="0" w:color="auto"/>
            <w:bottom w:val="none" w:sz="0" w:space="0" w:color="auto"/>
            <w:right w:val="none" w:sz="0" w:space="0" w:color="auto"/>
          </w:divBdr>
        </w:div>
        <w:div w:id="2032997226">
          <w:marLeft w:val="0"/>
          <w:marRight w:val="0"/>
          <w:marTop w:val="225"/>
          <w:marBottom w:val="225"/>
          <w:divBdr>
            <w:top w:val="none" w:sz="0" w:space="0" w:color="auto"/>
            <w:left w:val="none" w:sz="0" w:space="0" w:color="auto"/>
            <w:bottom w:val="none" w:sz="0" w:space="0" w:color="auto"/>
            <w:right w:val="none" w:sz="0" w:space="0" w:color="auto"/>
          </w:divBdr>
        </w:div>
      </w:divsChild>
    </w:div>
    <w:div w:id="1714647379">
      <w:bodyDiv w:val="1"/>
      <w:marLeft w:val="0"/>
      <w:marRight w:val="0"/>
      <w:marTop w:val="0"/>
      <w:marBottom w:val="0"/>
      <w:divBdr>
        <w:top w:val="none" w:sz="0" w:space="0" w:color="auto"/>
        <w:left w:val="none" w:sz="0" w:space="0" w:color="auto"/>
        <w:bottom w:val="none" w:sz="0" w:space="0" w:color="auto"/>
        <w:right w:val="none" w:sz="0" w:space="0" w:color="auto"/>
      </w:divBdr>
      <w:divsChild>
        <w:div w:id="704333505">
          <w:marLeft w:val="0"/>
          <w:marRight w:val="0"/>
          <w:marTop w:val="75"/>
          <w:marBottom w:val="0"/>
          <w:divBdr>
            <w:top w:val="none" w:sz="0" w:space="0" w:color="auto"/>
            <w:left w:val="none" w:sz="0" w:space="0" w:color="auto"/>
            <w:bottom w:val="dotted" w:sz="6" w:space="0" w:color="D7D7D7"/>
            <w:right w:val="none" w:sz="0" w:space="0" w:color="auto"/>
          </w:divBdr>
        </w:div>
      </w:divsChild>
    </w:div>
    <w:div w:id="1853832307">
      <w:bodyDiv w:val="1"/>
      <w:marLeft w:val="0"/>
      <w:marRight w:val="0"/>
      <w:marTop w:val="0"/>
      <w:marBottom w:val="0"/>
      <w:divBdr>
        <w:top w:val="none" w:sz="0" w:space="0" w:color="auto"/>
        <w:left w:val="none" w:sz="0" w:space="0" w:color="auto"/>
        <w:bottom w:val="none" w:sz="0" w:space="0" w:color="auto"/>
        <w:right w:val="none" w:sz="0" w:space="0" w:color="auto"/>
      </w:divBdr>
    </w:div>
    <w:div w:id="1858079356">
      <w:bodyDiv w:val="1"/>
      <w:marLeft w:val="0"/>
      <w:marRight w:val="0"/>
      <w:marTop w:val="0"/>
      <w:marBottom w:val="0"/>
      <w:divBdr>
        <w:top w:val="none" w:sz="0" w:space="0" w:color="auto"/>
        <w:left w:val="none" w:sz="0" w:space="0" w:color="auto"/>
        <w:bottom w:val="none" w:sz="0" w:space="0" w:color="auto"/>
        <w:right w:val="none" w:sz="0" w:space="0" w:color="auto"/>
      </w:divBdr>
    </w:div>
    <w:div w:id="1907452249">
      <w:bodyDiv w:val="1"/>
      <w:marLeft w:val="0"/>
      <w:marRight w:val="0"/>
      <w:marTop w:val="0"/>
      <w:marBottom w:val="0"/>
      <w:divBdr>
        <w:top w:val="none" w:sz="0" w:space="0" w:color="auto"/>
        <w:left w:val="none" w:sz="0" w:space="0" w:color="auto"/>
        <w:bottom w:val="none" w:sz="0" w:space="0" w:color="auto"/>
        <w:right w:val="none" w:sz="0" w:space="0" w:color="auto"/>
      </w:divBdr>
    </w:div>
    <w:div w:id="2050884081">
      <w:bodyDiv w:val="1"/>
      <w:marLeft w:val="0"/>
      <w:marRight w:val="0"/>
      <w:marTop w:val="0"/>
      <w:marBottom w:val="0"/>
      <w:divBdr>
        <w:top w:val="none" w:sz="0" w:space="0" w:color="auto"/>
        <w:left w:val="none" w:sz="0" w:space="0" w:color="auto"/>
        <w:bottom w:val="none" w:sz="0" w:space="0" w:color="auto"/>
        <w:right w:val="none" w:sz="0" w:space="0" w:color="auto"/>
      </w:divBdr>
    </w:div>
    <w:div w:id="208109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adalah.org/en/law/view/511" TargetMode="External"/><Relationship Id="rId13" Type="http://schemas.openxmlformats.org/officeDocument/2006/relationships/hyperlink" Target="https://www.newyorker.com/news/news-desk/israels-jewish-terrorist-problem" TargetMode="External"/><Relationship Id="rId18" Type="http://schemas.openxmlformats.org/officeDocument/2006/relationships/hyperlink" Target="https://www.adalah.org/en/law/view/571" TargetMode="External"/><Relationship Id="rId26" Type="http://schemas.openxmlformats.org/officeDocument/2006/relationships/hyperlink" Target="https://www.haaretz.com/israel-news/elections/gantz-rules-out-political-discourse-with-arab-parties-over-anti-israel-rhetoric-1.7041422" TargetMode="External"/><Relationship Id="rId3" Type="http://schemas.openxmlformats.org/officeDocument/2006/relationships/hyperlink" Target="https://www.adalah.org/uploads/uploads/Jewish_Nation_State_Law_Petition_English_Final_October_2018.pdf" TargetMode="External"/><Relationship Id="rId21" Type="http://schemas.openxmlformats.org/officeDocument/2006/relationships/hyperlink" Target="https://www.adalah.org/en/content/view/8987" TargetMode="External"/><Relationship Id="rId7" Type="http://schemas.openxmlformats.org/officeDocument/2006/relationships/hyperlink" Target="https://www.adalah.org/en/law/view/537" TargetMode="External"/><Relationship Id="rId12" Type="http://schemas.openxmlformats.org/officeDocument/2006/relationships/hyperlink" Target="https://www.adalah.org/en/content/view/9283" TargetMode="External"/><Relationship Id="rId17" Type="http://schemas.openxmlformats.org/officeDocument/2006/relationships/hyperlink" Target="https://www.amnesty.org/en/latest/news/2019/09/israel-discriminatory-measures-undermine-palestinian-representation-in-knesset/" TargetMode="External"/><Relationship Id="rId25" Type="http://schemas.openxmlformats.org/officeDocument/2006/relationships/hyperlink" Target="https://www.haaretz.com/israel-news/.premium-israel-is-the-nation-state-of-jews-alone-netanyahu-responds-to-tv-star-who-said-arabs-are-equal-citizens-1.7003348" TargetMode="External"/><Relationship Id="rId2" Type="http://schemas.openxmlformats.org/officeDocument/2006/relationships/hyperlink" Target="https://knesset.gov.il/laws/special/eng/BasicLawNationState.pdf" TargetMode="External"/><Relationship Id="rId16" Type="http://schemas.openxmlformats.org/officeDocument/2006/relationships/hyperlink" Target="https://www.amnesty.org/en/documents/mde15/0882/2019/en/" TargetMode="External"/><Relationship Id="rId20" Type="http://schemas.openxmlformats.org/officeDocument/2006/relationships/hyperlink" Target="https://www.adalah.org/en/content/view/8866" TargetMode="External"/><Relationship Id="rId29" Type="http://schemas.openxmlformats.org/officeDocument/2006/relationships/hyperlink" Target="https://www.gov.il/he/departments/policies/2007_des2579" TargetMode="External"/><Relationship Id="rId1" Type="http://schemas.openxmlformats.org/officeDocument/2006/relationships/hyperlink" Target="https://www.adalah.org/uploads/uploads/Basic_Law_Israel_as_the_Nation_State_of_the_Jewish_People_HEB_25072018.pdf" TargetMode="External"/><Relationship Id="rId6" Type="http://schemas.openxmlformats.org/officeDocument/2006/relationships/hyperlink" Target="https://www.adalah.org/en/content/view/9626" TargetMode="External"/><Relationship Id="rId11" Type="http://schemas.openxmlformats.org/officeDocument/2006/relationships/hyperlink" Target="https://www.adalah.org/en/law/view/536" TargetMode="External"/><Relationship Id="rId24" Type="http://schemas.openxmlformats.org/officeDocument/2006/relationships/hyperlink" Target="https://www.adalah.org/en/content/view/9812" TargetMode="External"/><Relationship Id="rId5" Type="http://schemas.openxmlformats.org/officeDocument/2006/relationships/hyperlink" Target="https://www.adalah.org/uploads/uploads/4_UN_Spec_Rapp_communication_02112018.pdf" TargetMode="External"/><Relationship Id="rId15" Type="http://schemas.openxmlformats.org/officeDocument/2006/relationships/hyperlink" Target="https://www.adalah.org/en/content/view/9227" TargetMode="External"/><Relationship Id="rId23" Type="http://schemas.openxmlformats.org/officeDocument/2006/relationships/hyperlink" Target="https://www.knesset.gov.il/laws/special/eng/basic2_eng.htm" TargetMode="External"/><Relationship Id="rId28" Type="http://schemas.openxmlformats.org/officeDocument/2006/relationships/hyperlink" Target="https://www.adalah.org/en/content/view/9809" TargetMode="External"/><Relationship Id="rId10" Type="http://schemas.openxmlformats.org/officeDocument/2006/relationships/hyperlink" Target="https://www.haaretz.com/israel-news/justice-minister-israel-s-jewish-majority-trumps-than-human-rights-1.5811106" TargetMode="External"/><Relationship Id="rId19" Type="http://schemas.openxmlformats.org/officeDocument/2006/relationships/hyperlink" Target="http://fs.knesset.gov.il//20/law/20_lsr_347851.pdf" TargetMode="External"/><Relationship Id="rId31" Type="http://schemas.openxmlformats.org/officeDocument/2006/relationships/hyperlink" Target="https://www.gov.il/BlobFolder/policy/planning6-2014/he/planning6-2014.pdf" TargetMode="External"/><Relationship Id="rId4" Type="http://schemas.openxmlformats.org/officeDocument/2006/relationships/hyperlink" Target="https://www.adalah.org/uploads/uploads/Adalah_Request_for_action_UN_Spec_Rapp_21102018.pdf" TargetMode="External"/><Relationship Id="rId9" Type="http://schemas.openxmlformats.org/officeDocument/2006/relationships/hyperlink" Target="https://www.adalah.org/en/law/view/538" TargetMode="External"/><Relationship Id="rId14" Type="http://schemas.openxmlformats.org/officeDocument/2006/relationships/hyperlink" Target="https://www.adalah.org/en/content/view/9425" TargetMode="External"/><Relationship Id="rId22" Type="http://schemas.openxmlformats.org/officeDocument/2006/relationships/hyperlink" Target="http://fs.knesset.gov.il//20/law/20_lsr_347851.pdf" TargetMode="External"/><Relationship Id="rId27" Type="http://schemas.openxmlformats.org/officeDocument/2006/relationships/hyperlink" Target="https://www.adalah.org/en/content/view/9803" TargetMode="External"/><Relationship Id="rId30" Type="http://schemas.openxmlformats.org/officeDocument/2006/relationships/hyperlink" Target="https://www.cbs.gov.il/he/publications/doclib/2019/lfs17_1746/t06_04.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FA441A-2E29-D44A-AAAB-6F122EFC47D3}">
  <ds:schemaRefs>
    <ds:schemaRef ds:uri="http://schemas.openxmlformats.org/officeDocument/2006/bibliography"/>
  </ds:schemaRefs>
</ds:datastoreItem>
</file>

<file path=customXml/itemProps2.xml><?xml version="1.0" encoding="utf-8"?>
<ds:datastoreItem xmlns:ds="http://schemas.openxmlformats.org/officeDocument/2006/customXml" ds:itemID="{76E1EC43-7652-4ACE-844A-01643955525F}"/>
</file>

<file path=customXml/itemProps3.xml><?xml version="1.0" encoding="utf-8"?>
<ds:datastoreItem xmlns:ds="http://schemas.openxmlformats.org/officeDocument/2006/customXml" ds:itemID="{87F99ECA-7EDA-45E1-92CF-09E41113B356}"/>
</file>

<file path=customXml/itemProps4.xml><?xml version="1.0" encoding="utf-8"?>
<ds:datastoreItem xmlns:ds="http://schemas.openxmlformats.org/officeDocument/2006/customXml" ds:itemID="{7BE84357-CD05-445E-A4A5-2711E3D72DB4}"/>
</file>

<file path=docProps/app.xml><?xml version="1.0" encoding="utf-8"?>
<Properties xmlns="http://schemas.openxmlformats.org/officeDocument/2006/extended-properties" xmlns:vt="http://schemas.openxmlformats.org/officeDocument/2006/docPropsVTypes">
  <Template>Normal.dotm</Template>
  <TotalTime>8</TotalTime>
  <Pages>16</Pages>
  <Words>5457</Words>
  <Characters>31110</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Microsoft Office User</cp:lastModifiedBy>
  <cp:revision>2</cp:revision>
  <dcterms:created xsi:type="dcterms:W3CDTF">2019-09-12T17:59:00Z</dcterms:created>
  <dcterms:modified xsi:type="dcterms:W3CDTF">2019-09-12T17:59:00Z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