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16452" w14:textId="77777777" w:rsidR="00F82059" w:rsidRPr="00FB4705" w:rsidRDefault="00F82059" w:rsidP="00F82059">
      <w:pPr>
        <w:contextualSpacing/>
        <w:jc w:val="center"/>
        <w:rPr>
          <w:rFonts w:ascii="MetaPro-Norm" w:hAnsi="MetaPro-Norm"/>
          <w:color w:val="000000" w:themeColor="text1"/>
          <w:sz w:val="22"/>
          <w:szCs w:val="22"/>
        </w:rPr>
      </w:pPr>
      <w:bookmarkStart w:id="0" w:name="_GoBack"/>
      <w:bookmarkEnd w:id="0"/>
      <w:r w:rsidRPr="00FB4705">
        <w:rPr>
          <w:noProof/>
          <w:sz w:val="22"/>
          <w:szCs w:val="22"/>
          <w:lang w:val="en-GB" w:eastAsia="en-GB"/>
        </w:rPr>
        <w:drawing>
          <wp:inline distT="0" distB="0" distL="0" distR="0" wp14:anchorId="6107BF41" wp14:editId="544BDD27">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p>
    <w:p w14:paraId="3E727CB9" w14:textId="77777777" w:rsidR="00F82059" w:rsidRPr="00FB4705" w:rsidRDefault="00F82059" w:rsidP="00F82059">
      <w:pPr>
        <w:contextualSpacing/>
        <w:jc w:val="center"/>
        <w:rPr>
          <w:rFonts w:ascii="MetaPro-Norm" w:eastAsia="Calibri" w:hAnsi="MetaPro-Norm"/>
          <w:color w:val="000000" w:themeColor="text1"/>
          <w:sz w:val="22"/>
          <w:szCs w:val="22"/>
        </w:rPr>
      </w:pPr>
    </w:p>
    <w:p w14:paraId="4927A45E" w14:textId="6A923C04" w:rsidR="00F82059" w:rsidRPr="00FB4705" w:rsidRDefault="00F82059" w:rsidP="00F82059">
      <w:pPr>
        <w:pStyle w:val="NoSpacing"/>
        <w:contextualSpacing/>
        <w:jc w:val="center"/>
        <w:rPr>
          <w:rFonts w:ascii="MetaPro-Norm" w:hAnsi="MetaPro-Norm"/>
          <w:b/>
          <w:color w:val="000000" w:themeColor="text1"/>
          <w:lang w:val="en-US"/>
        </w:rPr>
      </w:pPr>
      <w:r w:rsidRPr="00FB4705">
        <w:rPr>
          <w:rFonts w:ascii="MetaPro-Norm" w:hAnsi="MetaPro-Norm"/>
          <w:b/>
          <w:color w:val="000000" w:themeColor="text1"/>
          <w:lang w:val="en-US"/>
        </w:rPr>
        <w:t xml:space="preserve">Human Rights Watch Submission to the </w:t>
      </w:r>
      <w:bookmarkStart w:id="1" w:name="_Hlk534376786"/>
      <w:r w:rsidRPr="00FB4705">
        <w:rPr>
          <w:rFonts w:ascii="MetaPro-Norm" w:hAnsi="MetaPro-Norm"/>
          <w:b/>
          <w:color w:val="000000" w:themeColor="text1"/>
          <w:lang w:val="en-US"/>
        </w:rPr>
        <w:t xml:space="preserve">Committee </w:t>
      </w:r>
      <w:bookmarkEnd w:id="1"/>
      <w:r w:rsidRPr="00FB4705">
        <w:rPr>
          <w:rFonts w:ascii="MetaPro-Norm" w:hAnsi="MetaPro-Norm"/>
          <w:b/>
          <w:color w:val="000000" w:themeColor="text1"/>
          <w:lang w:val="en-US"/>
        </w:rPr>
        <w:t xml:space="preserve">on the Elimination of Discrimination against Women Review of United Arab Emirates’ </w:t>
      </w:r>
      <w:r w:rsidRPr="00FB4705">
        <w:rPr>
          <w:rFonts w:ascii="MetaPro-Norm" w:hAnsi="MetaPro-Norm"/>
          <w:b/>
          <w:lang w:val="en-US"/>
        </w:rPr>
        <w:t xml:space="preserve">periodic report for the </w:t>
      </w:r>
      <w:r w:rsidR="00386E9B">
        <w:rPr>
          <w:rFonts w:ascii="MetaPro-Norm" w:hAnsi="MetaPro-Norm"/>
          <w:b/>
          <w:lang w:val="en-US"/>
        </w:rPr>
        <w:t>80</w:t>
      </w:r>
      <w:r w:rsidRPr="00FB4705">
        <w:rPr>
          <w:rFonts w:ascii="MetaPro-Norm" w:hAnsi="MetaPro-Norm"/>
          <w:b/>
          <w:vertAlign w:val="superscript"/>
          <w:lang w:val="en-US"/>
        </w:rPr>
        <w:t>th</w:t>
      </w:r>
      <w:r w:rsidRPr="00FB4705">
        <w:rPr>
          <w:rFonts w:ascii="MetaPro-Norm" w:hAnsi="MetaPro-Norm"/>
          <w:b/>
          <w:lang w:val="en-US"/>
        </w:rPr>
        <w:t xml:space="preserve"> Pre-Session </w:t>
      </w:r>
    </w:p>
    <w:p w14:paraId="10D977DA" w14:textId="77777777" w:rsidR="00F82059" w:rsidRPr="00FB4705" w:rsidRDefault="00F82059" w:rsidP="00F82059">
      <w:pPr>
        <w:pStyle w:val="NoSpacing"/>
        <w:contextualSpacing/>
        <w:jc w:val="center"/>
        <w:rPr>
          <w:rFonts w:ascii="MetaPro-Norm" w:hAnsi="MetaPro-Norm"/>
          <w:b/>
          <w:color w:val="000000" w:themeColor="text1"/>
          <w:lang w:val="en-US"/>
        </w:rPr>
      </w:pPr>
      <w:r w:rsidRPr="00FB4705">
        <w:rPr>
          <w:rFonts w:ascii="MetaPro-Norm" w:hAnsi="MetaPro-Norm"/>
          <w:b/>
          <w:color w:val="000000" w:themeColor="text1"/>
          <w:lang w:val="en-US"/>
        </w:rPr>
        <w:t>February 2021</w:t>
      </w:r>
      <w:r w:rsidRPr="00FB4705">
        <w:rPr>
          <w:rFonts w:ascii="MetaPro-Norm" w:hAnsi="MetaPro-Norm"/>
          <w:b/>
          <w:color w:val="000000" w:themeColor="text1"/>
          <w:lang w:val="en-US"/>
        </w:rPr>
        <w:br/>
      </w:r>
    </w:p>
    <w:p w14:paraId="01D7A789" w14:textId="293C296B" w:rsidR="00F82059" w:rsidRPr="00FB4705" w:rsidRDefault="00F82059" w:rsidP="00F82059">
      <w:pPr>
        <w:jc w:val="both"/>
        <w:rPr>
          <w:rFonts w:ascii="MetaPro-Norm" w:hAnsi="MetaPro-Norm"/>
          <w:sz w:val="22"/>
          <w:szCs w:val="22"/>
        </w:rPr>
      </w:pPr>
      <w:r w:rsidRPr="00FB4705">
        <w:rPr>
          <w:rFonts w:ascii="MetaPro-Norm" w:hAnsi="MetaPro-Norm"/>
          <w:sz w:val="22"/>
          <w:szCs w:val="22"/>
        </w:rPr>
        <w:t xml:space="preserve">We write in advance of the </w:t>
      </w:r>
      <w:r w:rsidR="00386E9B">
        <w:rPr>
          <w:rFonts w:ascii="MetaPro-Norm" w:hAnsi="MetaPro-Norm"/>
          <w:sz w:val="22"/>
          <w:szCs w:val="22"/>
        </w:rPr>
        <w:t>80</w:t>
      </w:r>
      <w:r w:rsidR="00386E9B" w:rsidRPr="00386E9B">
        <w:rPr>
          <w:rFonts w:ascii="MetaPro-Norm" w:hAnsi="MetaPro-Norm"/>
          <w:sz w:val="22"/>
          <w:szCs w:val="22"/>
          <w:vertAlign w:val="superscript"/>
        </w:rPr>
        <w:t>th</w:t>
      </w:r>
      <w:r w:rsidR="00386E9B">
        <w:rPr>
          <w:rFonts w:ascii="MetaPro-Norm" w:hAnsi="MetaPro-Norm"/>
          <w:sz w:val="22"/>
          <w:szCs w:val="22"/>
        </w:rPr>
        <w:t xml:space="preserve"> </w:t>
      </w:r>
      <w:r w:rsidRPr="00FB4705">
        <w:rPr>
          <w:rFonts w:ascii="MetaPro-Norm" w:hAnsi="MetaPro-Norm"/>
          <w:sz w:val="22"/>
          <w:szCs w:val="22"/>
        </w:rPr>
        <w:t>pre-session of the Committee on the Elimination of Discrimination against Women and its review of the United Arab Emirates’ (UAE) compliance with the Convention on the Elimination of All Forms of Discrimination against Women.</w:t>
      </w:r>
    </w:p>
    <w:p w14:paraId="4942F53B" w14:textId="77777777" w:rsidR="00F82059" w:rsidRPr="00FB4705" w:rsidRDefault="00F82059" w:rsidP="00F82059">
      <w:pPr>
        <w:rPr>
          <w:rFonts w:ascii="MetaPro-Norm" w:hAnsi="MetaPro-Norm"/>
          <w:sz w:val="22"/>
          <w:szCs w:val="22"/>
        </w:rPr>
      </w:pPr>
    </w:p>
    <w:p w14:paraId="28C6B6B3" w14:textId="44FD38B8" w:rsidR="00F82059" w:rsidRPr="00FB4705" w:rsidRDefault="00F82059" w:rsidP="00F82059">
      <w:pPr>
        <w:pStyle w:val="ListParagraph"/>
        <w:numPr>
          <w:ilvl w:val="0"/>
          <w:numId w:val="1"/>
        </w:numPr>
        <w:rPr>
          <w:rFonts w:ascii="MetaPro-Norm" w:hAnsi="MetaPro-Norm"/>
          <w:b/>
          <w:bCs/>
          <w:sz w:val="22"/>
          <w:szCs w:val="22"/>
        </w:rPr>
      </w:pPr>
      <w:r w:rsidRPr="00FB4705">
        <w:rPr>
          <w:rFonts w:ascii="MetaPro-Norm" w:hAnsi="MetaPro-Norm"/>
          <w:b/>
          <w:bCs/>
          <w:sz w:val="22"/>
          <w:szCs w:val="22"/>
        </w:rPr>
        <w:t>Discrimination against Women in Personal Status Laws (Arts.</w:t>
      </w:r>
      <w:r w:rsidR="00EB255E">
        <w:rPr>
          <w:rFonts w:ascii="MetaPro-Norm" w:hAnsi="MetaPro-Norm"/>
          <w:b/>
          <w:bCs/>
          <w:sz w:val="22"/>
          <w:szCs w:val="22"/>
        </w:rPr>
        <w:t xml:space="preserve"> </w:t>
      </w:r>
      <w:r w:rsidRPr="00FB4705">
        <w:rPr>
          <w:rFonts w:ascii="MetaPro-Norm" w:hAnsi="MetaPro-Norm"/>
          <w:b/>
          <w:bCs/>
          <w:sz w:val="22"/>
          <w:szCs w:val="22"/>
        </w:rPr>
        <w:t>1, 2, 11, 15, and 16)</w:t>
      </w:r>
    </w:p>
    <w:p w14:paraId="6A5BA879" w14:textId="77777777" w:rsidR="00F82059" w:rsidRPr="00FB4705" w:rsidRDefault="00F82059" w:rsidP="00F82059">
      <w:pPr>
        <w:rPr>
          <w:rFonts w:ascii="MetaPro-Norm" w:hAnsi="MetaPro-Norm"/>
          <w:sz w:val="22"/>
          <w:szCs w:val="22"/>
        </w:rPr>
      </w:pPr>
    </w:p>
    <w:p w14:paraId="6B47EE42" w14:textId="4F1A523E" w:rsidR="00866251" w:rsidRPr="00FB4705" w:rsidRDefault="00F82059" w:rsidP="003D4524">
      <w:pPr>
        <w:rPr>
          <w:rFonts w:ascii="MetaPro-Norm" w:hAnsi="MetaPro-Norm"/>
          <w:sz w:val="22"/>
          <w:szCs w:val="22"/>
        </w:rPr>
      </w:pPr>
      <w:r w:rsidRPr="00FB4705">
        <w:rPr>
          <w:rFonts w:ascii="MetaPro-Norm" w:hAnsi="MetaPro-Norm"/>
          <w:sz w:val="22"/>
          <w:szCs w:val="22"/>
        </w:rPr>
        <w:t xml:space="preserve">In the UAE, some provisions </w:t>
      </w:r>
      <w:r w:rsidR="0057098C">
        <w:rPr>
          <w:rFonts w:ascii="MetaPro-Norm" w:hAnsi="MetaPro-Norm"/>
          <w:sz w:val="22"/>
          <w:szCs w:val="22"/>
        </w:rPr>
        <w:t xml:space="preserve">of </w:t>
      </w:r>
      <w:r w:rsidRPr="00FB4705">
        <w:rPr>
          <w:rFonts w:ascii="MetaPro-Norm" w:hAnsi="MetaPro-Norm"/>
          <w:sz w:val="22"/>
          <w:szCs w:val="22"/>
        </w:rPr>
        <w:t>the law regulating personal status matters</w:t>
      </w:r>
      <w:r w:rsidR="00EB255E">
        <w:rPr>
          <w:rFonts w:ascii="MetaPro-Norm" w:hAnsi="MetaPro-Norm"/>
          <w:sz w:val="22"/>
          <w:szCs w:val="22"/>
        </w:rPr>
        <w:t xml:space="preserve"> (PSL)</w:t>
      </w:r>
      <w:r w:rsidRPr="00FB4705">
        <w:rPr>
          <w:rFonts w:ascii="MetaPro-Norm" w:hAnsi="MetaPro-Norm"/>
          <w:sz w:val="22"/>
          <w:szCs w:val="22"/>
        </w:rPr>
        <w:t>, discriminate against women.</w:t>
      </w:r>
      <w:r w:rsidR="0057098C">
        <w:rPr>
          <w:rStyle w:val="FootnoteReference"/>
          <w:rFonts w:ascii="MetaPro-Norm" w:hAnsi="MetaPro-Norm"/>
          <w:sz w:val="22"/>
          <w:szCs w:val="22"/>
        </w:rPr>
        <w:footnoteReference w:id="2"/>
      </w:r>
      <w:r w:rsidRPr="00FB4705">
        <w:rPr>
          <w:rFonts w:ascii="MetaPro-Norm" w:hAnsi="MetaPro-Norm"/>
          <w:sz w:val="22"/>
          <w:szCs w:val="22"/>
        </w:rPr>
        <w:t xml:space="preserve"> For a woman to marry, her male guardian must conclude her marriage contract</w:t>
      </w:r>
      <w:r w:rsidR="00547CC7" w:rsidRPr="00FB4705">
        <w:rPr>
          <w:rFonts w:ascii="MetaPro-Norm" w:hAnsi="MetaPro-Norm"/>
          <w:sz w:val="22"/>
          <w:szCs w:val="22"/>
        </w:rPr>
        <w:t xml:space="preserve"> while men can marry without requiring male guardian permission</w:t>
      </w:r>
      <w:r w:rsidRPr="00FB4705">
        <w:rPr>
          <w:rFonts w:ascii="MetaPro-Norm" w:hAnsi="MetaPro-Norm"/>
          <w:sz w:val="22"/>
          <w:szCs w:val="22"/>
        </w:rPr>
        <w:t xml:space="preserve">. Men can unilaterally divorce their wives, whereas a woman must apply for a court order to obtain a divorce. </w:t>
      </w:r>
      <w:r w:rsidR="00866251" w:rsidRPr="00FB4705">
        <w:rPr>
          <w:rFonts w:ascii="MetaPro-Norm" w:hAnsi="MetaPro-Norm"/>
          <w:sz w:val="22"/>
          <w:szCs w:val="22"/>
        </w:rPr>
        <w:t xml:space="preserve">Women also inherit half the share of their male relatives. </w:t>
      </w:r>
    </w:p>
    <w:p w14:paraId="05F00FD9" w14:textId="7A65298C" w:rsidR="00EF6541" w:rsidRPr="00FB4705" w:rsidRDefault="00E03901" w:rsidP="00546353">
      <w:pPr>
        <w:rPr>
          <w:rFonts w:ascii="MetaPro-Norm" w:hAnsi="MetaPro-Norm"/>
          <w:sz w:val="22"/>
          <w:szCs w:val="22"/>
        </w:rPr>
      </w:pPr>
      <w:r w:rsidRPr="00FB4705">
        <w:rPr>
          <w:rFonts w:ascii="MetaPro-Norm" w:hAnsi="MetaPro-Norm"/>
          <w:sz w:val="22"/>
          <w:szCs w:val="22"/>
        </w:rPr>
        <w:br/>
      </w:r>
      <w:r w:rsidR="007E52C9" w:rsidRPr="00FB4705">
        <w:rPr>
          <w:rFonts w:ascii="MetaPro-Norm" w:hAnsi="MetaPro-Norm"/>
          <w:sz w:val="22"/>
          <w:szCs w:val="22"/>
        </w:rPr>
        <w:t>T</w:t>
      </w:r>
      <w:r w:rsidR="00F82059" w:rsidRPr="00FB4705">
        <w:rPr>
          <w:rFonts w:ascii="MetaPro-Norm" w:hAnsi="MetaPro-Norm"/>
          <w:sz w:val="22"/>
          <w:szCs w:val="22"/>
        </w:rPr>
        <w:t xml:space="preserve">he authorities introduced amendments to the </w:t>
      </w:r>
      <w:r w:rsidR="00EB255E">
        <w:rPr>
          <w:rFonts w:ascii="MetaPro-Norm" w:hAnsi="MetaPro-Norm"/>
          <w:sz w:val="22"/>
          <w:szCs w:val="22"/>
        </w:rPr>
        <w:t>PSL</w:t>
      </w:r>
      <w:r w:rsidR="007E52C9" w:rsidRPr="00FB4705">
        <w:rPr>
          <w:rFonts w:ascii="MetaPro-Norm" w:hAnsi="MetaPro-Norm"/>
          <w:sz w:val="22"/>
          <w:szCs w:val="22"/>
        </w:rPr>
        <w:t xml:space="preserve"> in 2019 and 2020</w:t>
      </w:r>
      <w:r w:rsidR="00FD2234">
        <w:rPr>
          <w:rFonts w:ascii="MetaPro-Norm" w:hAnsi="MetaPro-Norm"/>
          <w:sz w:val="22"/>
          <w:szCs w:val="22"/>
        </w:rPr>
        <w:t>,</w:t>
      </w:r>
      <w:r w:rsidR="007A5AE5" w:rsidRPr="00FB4705">
        <w:rPr>
          <w:rFonts w:ascii="MetaPro-Norm" w:hAnsi="MetaPro-Norm"/>
          <w:sz w:val="22"/>
          <w:szCs w:val="22"/>
        </w:rPr>
        <w:t xml:space="preserve"> which revoked a provision that had obliged women to “obey” their husbands</w:t>
      </w:r>
      <w:r w:rsidR="00F82059" w:rsidRPr="00FB4705">
        <w:rPr>
          <w:rFonts w:ascii="MetaPro-Norm" w:hAnsi="MetaPro-Norm"/>
          <w:sz w:val="22"/>
          <w:szCs w:val="22"/>
        </w:rPr>
        <w:t xml:space="preserve"> </w:t>
      </w:r>
      <w:r w:rsidR="007A5AE5" w:rsidRPr="00FB4705">
        <w:rPr>
          <w:rFonts w:ascii="MetaPro-Norm" w:hAnsi="MetaPro-Norm"/>
          <w:sz w:val="22"/>
          <w:szCs w:val="22"/>
        </w:rPr>
        <w:t>under</w:t>
      </w:r>
      <w:r w:rsidR="0097277E" w:rsidRPr="00FB4705">
        <w:rPr>
          <w:rFonts w:ascii="MetaPro-Norm" w:hAnsi="MetaPro-Norm"/>
          <w:sz w:val="22"/>
          <w:szCs w:val="22"/>
        </w:rPr>
        <w:t xml:space="preserve"> </w:t>
      </w:r>
      <w:r w:rsidR="00216F99" w:rsidRPr="00FB4705">
        <w:rPr>
          <w:rFonts w:ascii="MetaPro-Norm" w:hAnsi="MetaPro-Norm"/>
          <w:sz w:val="22"/>
          <w:szCs w:val="22"/>
        </w:rPr>
        <w:t>article</w:t>
      </w:r>
      <w:r w:rsidR="00EB255E">
        <w:rPr>
          <w:rFonts w:ascii="MetaPro-Norm" w:hAnsi="MetaPro-Norm"/>
          <w:sz w:val="22"/>
          <w:szCs w:val="22"/>
        </w:rPr>
        <w:t xml:space="preserve"> </w:t>
      </w:r>
      <w:r w:rsidR="004F13BB" w:rsidRPr="00FB4705">
        <w:rPr>
          <w:rFonts w:ascii="MetaPro-Norm" w:hAnsi="MetaPro-Norm"/>
          <w:sz w:val="22"/>
          <w:szCs w:val="22"/>
        </w:rPr>
        <w:t>56</w:t>
      </w:r>
      <w:r w:rsidR="001465A7">
        <w:rPr>
          <w:rFonts w:ascii="MetaPro-Norm" w:hAnsi="MetaPro-Norm"/>
          <w:sz w:val="22"/>
          <w:szCs w:val="22"/>
        </w:rPr>
        <w:t xml:space="preserve"> </w:t>
      </w:r>
      <w:r w:rsidR="007A5AE5" w:rsidRPr="00FB4705">
        <w:rPr>
          <w:rFonts w:ascii="MetaPro-Norm" w:hAnsi="MetaPro-Norm"/>
          <w:sz w:val="22"/>
          <w:szCs w:val="22"/>
        </w:rPr>
        <w:t>while still</w:t>
      </w:r>
      <w:r w:rsidR="004F13BB" w:rsidRPr="00FB4705">
        <w:rPr>
          <w:rFonts w:ascii="MetaPro-Norm" w:hAnsi="MetaPro-Norm"/>
          <w:sz w:val="22"/>
          <w:szCs w:val="22"/>
        </w:rPr>
        <w:t xml:space="preserve"> </w:t>
      </w:r>
      <w:r w:rsidR="0097277E" w:rsidRPr="00FB4705">
        <w:rPr>
          <w:rFonts w:ascii="MetaPro-Norm" w:hAnsi="MetaPro-Norm"/>
          <w:sz w:val="22"/>
          <w:szCs w:val="22"/>
        </w:rPr>
        <w:t>maintai</w:t>
      </w:r>
      <w:r w:rsidR="007A5AE5" w:rsidRPr="00FB4705">
        <w:rPr>
          <w:rFonts w:ascii="MetaPro-Norm" w:hAnsi="MetaPro-Norm"/>
          <w:sz w:val="22"/>
          <w:szCs w:val="22"/>
        </w:rPr>
        <w:t>ning</w:t>
      </w:r>
      <w:r w:rsidR="0097277E" w:rsidRPr="00FB4705">
        <w:rPr>
          <w:rFonts w:ascii="MetaPro-Norm" w:hAnsi="MetaPro-Norm"/>
          <w:sz w:val="22"/>
          <w:szCs w:val="22"/>
        </w:rPr>
        <w:t xml:space="preserve"> language that a wife is obliged to maintain the house and its contents</w:t>
      </w:r>
      <w:r w:rsidR="00455414" w:rsidRPr="00FB4705">
        <w:rPr>
          <w:rFonts w:ascii="MetaPro-Norm" w:hAnsi="MetaPro-Norm"/>
          <w:sz w:val="22"/>
          <w:szCs w:val="22"/>
        </w:rPr>
        <w:t xml:space="preserve"> </w:t>
      </w:r>
      <w:r w:rsidR="004F13BB" w:rsidRPr="00FB4705">
        <w:rPr>
          <w:rFonts w:ascii="MetaPro-Norm" w:hAnsi="MetaPro-Norm"/>
          <w:sz w:val="22"/>
          <w:szCs w:val="22"/>
        </w:rPr>
        <w:t xml:space="preserve">and </w:t>
      </w:r>
      <w:r w:rsidR="0097277E" w:rsidRPr="00FB4705">
        <w:rPr>
          <w:rFonts w:ascii="MetaPro-Norm" w:hAnsi="MetaPro-Norm"/>
          <w:sz w:val="22"/>
          <w:szCs w:val="22"/>
        </w:rPr>
        <w:t xml:space="preserve">breastfeed their children </w:t>
      </w:r>
      <w:r w:rsidR="004F13BB" w:rsidRPr="00FB4705">
        <w:rPr>
          <w:rFonts w:ascii="MetaPro-Norm" w:hAnsi="MetaPro-Norm"/>
          <w:sz w:val="22"/>
          <w:szCs w:val="22"/>
        </w:rPr>
        <w:t xml:space="preserve">unless there is an </w:t>
      </w:r>
      <w:r w:rsidR="0097277E" w:rsidRPr="00FB4705">
        <w:rPr>
          <w:rFonts w:ascii="MetaPro-Norm" w:hAnsi="MetaPro-Norm"/>
          <w:sz w:val="22"/>
          <w:szCs w:val="22"/>
        </w:rPr>
        <w:t>impediment</w:t>
      </w:r>
      <w:r w:rsidR="007A5AE5" w:rsidRPr="00FB4705">
        <w:rPr>
          <w:rFonts w:ascii="MetaPro-Norm" w:hAnsi="MetaPro-Norm"/>
          <w:sz w:val="22"/>
          <w:szCs w:val="22"/>
        </w:rPr>
        <w:t>.</w:t>
      </w:r>
      <w:r w:rsidR="002A39F4" w:rsidRPr="00FB4705">
        <w:rPr>
          <w:rStyle w:val="FootnoteReference"/>
          <w:rFonts w:ascii="MetaPro-Norm" w:hAnsi="MetaPro-Norm"/>
          <w:sz w:val="22"/>
          <w:szCs w:val="22"/>
        </w:rPr>
        <w:footnoteReference w:id="3"/>
      </w:r>
      <w:r w:rsidR="00F82059" w:rsidRPr="00FB4705">
        <w:rPr>
          <w:rFonts w:ascii="MetaPro-Norm" w:hAnsi="MetaPro-Norm"/>
          <w:sz w:val="22"/>
          <w:szCs w:val="22"/>
        </w:rPr>
        <w:t xml:space="preserve"> </w:t>
      </w:r>
      <w:r w:rsidR="00CF5DA1" w:rsidRPr="00FB4705">
        <w:rPr>
          <w:rFonts w:ascii="MetaPro-Norm" w:hAnsi="MetaPro-Norm"/>
          <w:sz w:val="22"/>
          <w:szCs w:val="22"/>
        </w:rPr>
        <w:t>However, women are still required to o</w:t>
      </w:r>
      <w:r w:rsidR="00FB0631">
        <w:rPr>
          <w:rFonts w:ascii="MetaPro-Norm" w:hAnsi="MetaPro-Norm"/>
          <w:sz w:val="22"/>
          <w:szCs w:val="22"/>
        </w:rPr>
        <w:t xml:space="preserve">bey </w:t>
      </w:r>
      <w:r w:rsidR="00CF5DA1" w:rsidRPr="00FB4705">
        <w:rPr>
          <w:rFonts w:ascii="MetaPro-Norm" w:hAnsi="MetaPro-Norm"/>
          <w:sz w:val="22"/>
          <w:szCs w:val="22"/>
        </w:rPr>
        <w:t>their husband</w:t>
      </w:r>
      <w:r w:rsidR="0002247B" w:rsidRPr="00FB4705">
        <w:rPr>
          <w:rFonts w:ascii="MetaPro-Norm" w:hAnsi="MetaPro-Norm"/>
          <w:sz w:val="22"/>
          <w:szCs w:val="22"/>
        </w:rPr>
        <w:t xml:space="preserve"> in a number of ways. This is</w:t>
      </w:r>
      <w:r w:rsidR="00CF5DA1" w:rsidRPr="00FB4705">
        <w:rPr>
          <w:rFonts w:ascii="MetaPro-Norm" w:hAnsi="MetaPro-Norm"/>
          <w:sz w:val="22"/>
          <w:szCs w:val="22"/>
        </w:rPr>
        <w:t xml:space="preserve"> reflected in </w:t>
      </w:r>
      <w:r w:rsidR="00EA7EE5" w:rsidRPr="00FB4705">
        <w:rPr>
          <w:rFonts w:ascii="MetaPro-Norm" w:hAnsi="MetaPro-Norm"/>
          <w:sz w:val="22"/>
          <w:szCs w:val="22"/>
        </w:rPr>
        <w:t xml:space="preserve">the language of </w:t>
      </w:r>
      <w:r w:rsidR="00216F99" w:rsidRPr="00FB4705">
        <w:rPr>
          <w:rFonts w:ascii="MetaPro-Norm" w:hAnsi="MetaPro-Norm"/>
          <w:sz w:val="22"/>
          <w:szCs w:val="22"/>
        </w:rPr>
        <w:t>article</w:t>
      </w:r>
      <w:r w:rsidR="00EB255E">
        <w:rPr>
          <w:rFonts w:ascii="MetaPro-Norm" w:hAnsi="MetaPro-Norm"/>
          <w:sz w:val="22"/>
          <w:szCs w:val="22"/>
        </w:rPr>
        <w:t xml:space="preserve"> </w:t>
      </w:r>
      <w:r w:rsidR="00CF5DA1" w:rsidRPr="00FB4705">
        <w:rPr>
          <w:rFonts w:ascii="MetaPro-Norm" w:hAnsi="MetaPro-Norm"/>
          <w:sz w:val="22"/>
          <w:szCs w:val="22"/>
        </w:rPr>
        <w:t>71</w:t>
      </w:r>
      <w:r w:rsidR="00B01D5B">
        <w:rPr>
          <w:rFonts w:ascii="MetaPro-Norm" w:hAnsi="MetaPro-Norm"/>
          <w:sz w:val="22"/>
          <w:szCs w:val="22"/>
        </w:rPr>
        <w:t>,</w:t>
      </w:r>
      <w:r w:rsidR="00CF5DA1" w:rsidRPr="00FB4705">
        <w:rPr>
          <w:rFonts w:ascii="MetaPro-Norm" w:hAnsi="MetaPro-Norm"/>
          <w:sz w:val="22"/>
          <w:szCs w:val="22"/>
        </w:rPr>
        <w:t xml:space="preserve"> which</w:t>
      </w:r>
      <w:r w:rsidR="0002247B" w:rsidRPr="00FB4705">
        <w:rPr>
          <w:rFonts w:ascii="MetaPro-Norm" w:hAnsi="MetaPro-Norm"/>
          <w:sz w:val="22"/>
          <w:szCs w:val="22"/>
        </w:rPr>
        <w:t xml:space="preserve"> the 2020 law</w:t>
      </w:r>
      <w:r w:rsidR="00CF5DA1" w:rsidRPr="00FB4705">
        <w:rPr>
          <w:rFonts w:ascii="MetaPro-Norm" w:hAnsi="MetaPro-Norm"/>
          <w:sz w:val="22"/>
          <w:szCs w:val="22"/>
        </w:rPr>
        <w:t xml:space="preserve"> largely maintained</w:t>
      </w:r>
      <w:r w:rsidR="00EA7EE5" w:rsidRPr="00FB4705">
        <w:rPr>
          <w:rFonts w:ascii="MetaPro-Norm" w:hAnsi="MetaPro-Norm"/>
          <w:sz w:val="22"/>
          <w:szCs w:val="22"/>
        </w:rPr>
        <w:t>,</w:t>
      </w:r>
      <w:r w:rsidR="00CF5DA1" w:rsidRPr="00FB4705">
        <w:rPr>
          <w:rFonts w:ascii="MetaPro-Norm" w:hAnsi="MetaPro-Norm"/>
          <w:sz w:val="22"/>
          <w:szCs w:val="22"/>
        </w:rPr>
        <w:t xml:space="preserve"> relating to the ways in which a woman can lose her right to financial maintenance from her husband if</w:t>
      </w:r>
      <w:r w:rsidR="00340669">
        <w:rPr>
          <w:rFonts w:ascii="MetaPro-Norm" w:hAnsi="MetaPro-Norm"/>
          <w:sz w:val="22"/>
          <w:szCs w:val="22"/>
        </w:rPr>
        <w:t xml:space="preserve"> </w:t>
      </w:r>
      <w:r w:rsidR="00CF5DA1" w:rsidRPr="00FB4705">
        <w:rPr>
          <w:rFonts w:ascii="MetaPro-Norm" w:hAnsi="MetaPro-Norm"/>
          <w:sz w:val="22"/>
          <w:szCs w:val="22"/>
        </w:rPr>
        <w:t>she refuses to have sexual relations with her husband</w:t>
      </w:r>
      <w:r w:rsidR="00340669">
        <w:rPr>
          <w:rFonts w:ascii="MetaPro-Norm" w:hAnsi="MetaPro-Norm"/>
          <w:sz w:val="22"/>
          <w:szCs w:val="22"/>
        </w:rPr>
        <w:t xml:space="preserve"> without a “lawful excuse,” </w:t>
      </w:r>
      <w:r w:rsidR="001C3952" w:rsidRPr="00FB4705">
        <w:rPr>
          <w:rFonts w:ascii="MetaPro-Norm" w:hAnsi="MetaPro-Norm"/>
          <w:sz w:val="22"/>
          <w:szCs w:val="22"/>
        </w:rPr>
        <w:t>abandons</w:t>
      </w:r>
      <w:r w:rsidR="00CF5DA1" w:rsidRPr="00FB4705">
        <w:rPr>
          <w:rFonts w:ascii="MetaPro-Norm" w:hAnsi="MetaPro-Norm"/>
          <w:sz w:val="22"/>
          <w:szCs w:val="22"/>
        </w:rPr>
        <w:t xml:space="preserve"> the marital </w:t>
      </w:r>
      <w:r w:rsidR="00CF5DA1" w:rsidRPr="00FB4705">
        <w:rPr>
          <w:rFonts w:ascii="MetaPro-Norm" w:hAnsi="MetaPro-Norm"/>
          <w:sz w:val="22"/>
          <w:szCs w:val="22"/>
        </w:rPr>
        <w:lastRenderedPageBreak/>
        <w:t>home</w:t>
      </w:r>
      <w:r w:rsidR="00340669">
        <w:rPr>
          <w:rFonts w:ascii="MetaPro-Norm" w:hAnsi="MetaPro-Norm"/>
          <w:sz w:val="22"/>
          <w:szCs w:val="22"/>
        </w:rPr>
        <w:t>,</w:t>
      </w:r>
      <w:r w:rsidR="00CF5DA1" w:rsidRPr="00FB4705">
        <w:rPr>
          <w:rFonts w:ascii="MetaPro-Norm" w:hAnsi="MetaPro-Norm"/>
          <w:sz w:val="22"/>
          <w:szCs w:val="22"/>
        </w:rPr>
        <w:t xml:space="preserve"> </w:t>
      </w:r>
      <w:r w:rsidR="00EA7EE5" w:rsidRPr="00FB4705">
        <w:rPr>
          <w:rFonts w:ascii="MetaPro-Norm" w:hAnsi="MetaPro-Norm"/>
          <w:sz w:val="22"/>
          <w:szCs w:val="22"/>
        </w:rPr>
        <w:t>or</w:t>
      </w:r>
      <w:r w:rsidR="00BB4C6B" w:rsidRPr="00FB4705">
        <w:rPr>
          <w:rFonts w:ascii="MetaPro-Norm" w:hAnsi="MetaPro-Norm"/>
          <w:sz w:val="22"/>
          <w:szCs w:val="22"/>
        </w:rPr>
        <w:t xml:space="preserve"> </w:t>
      </w:r>
      <w:r w:rsidR="001C3952" w:rsidRPr="00FB4705">
        <w:rPr>
          <w:rFonts w:ascii="MetaPro-Norm" w:hAnsi="MetaPro-Norm"/>
          <w:sz w:val="22"/>
          <w:szCs w:val="22"/>
        </w:rPr>
        <w:t>prevents</w:t>
      </w:r>
      <w:r w:rsidR="00CF5DA1" w:rsidRPr="00FB4705">
        <w:rPr>
          <w:rFonts w:ascii="MetaPro-Norm" w:hAnsi="MetaPro-Norm"/>
          <w:sz w:val="22"/>
          <w:szCs w:val="22"/>
        </w:rPr>
        <w:t xml:space="preserve"> her husband from entering the marital home.</w:t>
      </w:r>
      <w:r w:rsidR="00BB4C6B" w:rsidRPr="00FB4705">
        <w:rPr>
          <w:rStyle w:val="FootnoteReference"/>
          <w:rFonts w:ascii="MetaPro-Norm" w:hAnsi="MetaPro-Norm"/>
          <w:sz w:val="22"/>
          <w:szCs w:val="22"/>
        </w:rPr>
        <w:footnoteReference w:id="4"/>
      </w:r>
      <w:r w:rsidR="00CF5DA1" w:rsidRPr="00FB4705">
        <w:rPr>
          <w:rFonts w:ascii="MetaPro-Norm" w:hAnsi="MetaPro-Norm"/>
          <w:sz w:val="22"/>
          <w:szCs w:val="22"/>
        </w:rPr>
        <w:t xml:space="preserve"> </w:t>
      </w:r>
      <w:r w:rsidR="00784AFA">
        <w:rPr>
          <w:rFonts w:ascii="MetaPro-Norm" w:hAnsi="MetaPro-Norm"/>
          <w:sz w:val="22"/>
          <w:szCs w:val="22"/>
        </w:rPr>
        <w:br/>
      </w:r>
    </w:p>
    <w:p w14:paraId="2EDBD679" w14:textId="15F7D38D" w:rsidR="00F82059" w:rsidRPr="00FB4705" w:rsidRDefault="007968E7" w:rsidP="00DD4231">
      <w:pPr>
        <w:rPr>
          <w:rFonts w:ascii="MetaPro-Norm" w:hAnsi="MetaPro-Norm"/>
          <w:sz w:val="22"/>
          <w:szCs w:val="22"/>
        </w:rPr>
      </w:pPr>
      <w:r w:rsidRPr="00FB4705">
        <w:rPr>
          <w:rFonts w:ascii="MetaPro-Norm" w:hAnsi="MetaPro-Norm"/>
          <w:sz w:val="22"/>
          <w:szCs w:val="22"/>
        </w:rPr>
        <w:t xml:space="preserve">The 2020 law </w:t>
      </w:r>
      <w:r w:rsidR="0016764C">
        <w:rPr>
          <w:rFonts w:ascii="MetaPro-Norm" w:hAnsi="MetaPro-Norm"/>
          <w:sz w:val="22"/>
          <w:szCs w:val="22"/>
        </w:rPr>
        <w:t>amended</w:t>
      </w:r>
      <w:r w:rsidR="00037CBB" w:rsidRPr="00FB4705">
        <w:rPr>
          <w:rFonts w:ascii="MetaPro-Norm" w:hAnsi="MetaPro-Norm"/>
          <w:sz w:val="22"/>
          <w:szCs w:val="22"/>
        </w:rPr>
        <w:t xml:space="preserve"> </w:t>
      </w:r>
      <w:r w:rsidR="000B73D0">
        <w:rPr>
          <w:rFonts w:ascii="MetaPro-Norm" w:hAnsi="MetaPro-Norm"/>
          <w:sz w:val="22"/>
          <w:szCs w:val="22"/>
        </w:rPr>
        <w:t xml:space="preserve">the </w:t>
      </w:r>
      <w:r w:rsidR="00216F99" w:rsidRPr="00FB4705">
        <w:rPr>
          <w:rFonts w:ascii="MetaPro-Norm" w:hAnsi="MetaPro-Norm"/>
          <w:sz w:val="22"/>
          <w:szCs w:val="22"/>
        </w:rPr>
        <w:t>article</w:t>
      </w:r>
      <w:r w:rsidR="00EB255E">
        <w:rPr>
          <w:rFonts w:ascii="MetaPro-Norm" w:hAnsi="MetaPro-Norm"/>
          <w:sz w:val="22"/>
          <w:szCs w:val="22"/>
        </w:rPr>
        <w:t xml:space="preserve"> </w:t>
      </w:r>
      <w:r w:rsidR="0016764C">
        <w:rPr>
          <w:rFonts w:ascii="MetaPro-Norm" w:hAnsi="MetaPro-Norm"/>
          <w:sz w:val="22"/>
          <w:szCs w:val="22"/>
        </w:rPr>
        <w:t xml:space="preserve">to state </w:t>
      </w:r>
      <w:r w:rsidR="00060AC6" w:rsidRPr="00FB4705">
        <w:rPr>
          <w:rFonts w:ascii="MetaPro-Norm" w:hAnsi="MetaPro-Norm"/>
          <w:sz w:val="22"/>
          <w:szCs w:val="22"/>
        </w:rPr>
        <w:t>it would not be a violation of spousal obligations for “</w:t>
      </w:r>
      <w:r w:rsidR="00F06A3F" w:rsidRPr="00FB4705">
        <w:rPr>
          <w:rFonts w:ascii="MetaPro-Norm" w:hAnsi="MetaPro-Norm"/>
          <w:sz w:val="22"/>
          <w:szCs w:val="22"/>
        </w:rPr>
        <w:t>either spouse to leave the house or to work in accordance with the law, custom, or due to necessity, and it is for the judge to uphold the interest of the family in these matters.”</w:t>
      </w:r>
      <w:r w:rsidR="0016764C">
        <w:rPr>
          <w:rStyle w:val="FootnoteReference"/>
          <w:rFonts w:ascii="MetaPro-Norm" w:hAnsi="MetaPro-Norm"/>
          <w:sz w:val="22"/>
          <w:szCs w:val="22"/>
        </w:rPr>
        <w:footnoteReference w:id="5"/>
      </w:r>
      <w:r w:rsidR="00F06A3F" w:rsidRPr="00FB4705">
        <w:rPr>
          <w:rFonts w:ascii="MetaPro-Norm" w:hAnsi="MetaPro-Norm"/>
          <w:sz w:val="22"/>
          <w:szCs w:val="22"/>
        </w:rPr>
        <w:t xml:space="preserve"> </w:t>
      </w:r>
      <w:r w:rsidR="00DD4231" w:rsidRPr="00FB4705">
        <w:rPr>
          <w:rFonts w:ascii="MetaPro-Norm" w:hAnsi="MetaPro-Norm"/>
          <w:sz w:val="22"/>
          <w:szCs w:val="22"/>
        </w:rPr>
        <w:t>While these</w:t>
      </w:r>
      <w:r w:rsidR="00EB255E">
        <w:rPr>
          <w:rFonts w:ascii="MetaPro-Norm" w:hAnsi="MetaPro-Norm"/>
          <w:sz w:val="22"/>
          <w:szCs w:val="22"/>
        </w:rPr>
        <w:t xml:space="preserve"> </w:t>
      </w:r>
      <w:r w:rsidR="00F82059" w:rsidRPr="00FB4705">
        <w:rPr>
          <w:rFonts w:ascii="MetaPro-Norm" w:hAnsi="MetaPro-Norm"/>
          <w:sz w:val="22"/>
          <w:szCs w:val="22"/>
        </w:rPr>
        <w:t xml:space="preserve">minor amendments </w:t>
      </w:r>
      <w:r w:rsidR="00DD4231" w:rsidRPr="00FB4705">
        <w:rPr>
          <w:rFonts w:ascii="MetaPro-Norm" w:hAnsi="MetaPro-Norm"/>
          <w:sz w:val="22"/>
          <w:szCs w:val="22"/>
        </w:rPr>
        <w:t>are designed</w:t>
      </w:r>
      <w:r w:rsidR="00EB255E">
        <w:rPr>
          <w:rFonts w:ascii="MetaPro-Norm" w:hAnsi="MetaPro-Norm"/>
          <w:sz w:val="22"/>
          <w:szCs w:val="22"/>
        </w:rPr>
        <w:t xml:space="preserve"> </w:t>
      </w:r>
      <w:r w:rsidR="00F82059" w:rsidRPr="00FB4705">
        <w:rPr>
          <w:rFonts w:ascii="MetaPro-Norm" w:hAnsi="MetaPro-Norm"/>
          <w:sz w:val="22"/>
          <w:szCs w:val="22"/>
        </w:rPr>
        <w:t>to appear more gender neutral</w:t>
      </w:r>
      <w:r w:rsidR="00DD4231" w:rsidRPr="00FB4705">
        <w:rPr>
          <w:rFonts w:ascii="MetaPro-Norm" w:hAnsi="MetaPro-Norm"/>
          <w:sz w:val="22"/>
          <w:szCs w:val="22"/>
        </w:rPr>
        <w:t xml:space="preserve">, </w:t>
      </w:r>
      <w:r w:rsidR="00F82059" w:rsidRPr="00FB4705">
        <w:rPr>
          <w:rFonts w:ascii="MetaPro-Norm" w:hAnsi="MetaPro-Norm"/>
          <w:sz w:val="22"/>
          <w:szCs w:val="22"/>
        </w:rPr>
        <w:t>such changes merely remove discrimination in law but essentially still allow for judges to discriminate against women in practice.</w:t>
      </w:r>
      <w:r w:rsidR="00F82059" w:rsidRPr="00FB4705">
        <w:rPr>
          <w:rStyle w:val="FootnoteReference"/>
          <w:rFonts w:ascii="MetaPro-Norm" w:hAnsi="MetaPro-Norm"/>
          <w:sz w:val="22"/>
          <w:szCs w:val="22"/>
        </w:rPr>
        <w:footnoteReference w:id="6"/>
      </w:r>
      <w:r w:rsidR="00BE5081" w:rsidRPr="00FB4705">
        <w:rPr>
          <w:rFonts w:ascii="MetaPro-Norm" w:hAnsi="MetaPro-Norm"/>
          <w:sz w:val="22"/>
          <w:szCs w:val="22"/>
        </w:rPr>
        <w:t xml:space="preserve"> </w:t>
      </w:r>
      <w:r w:rsidR="00E03901" w:rsidRPr="00FB4705">
        <w:rPr>
          <w:rFonts w:ascii="MetaPro-Norm" w:hAnsi="MetaPro-Norm"/>
          <w:sz w:val="22"/>
          <w:szCs w:val="22"/>
        </w:rPr>
        <w:br/>
      </w:r>
      <w:r w:rsidR="00E03901" w:rsidRPr="00FB4705">
        <w:rPr>
          <w:rFonts w:ascii="MetaPro-Norm" w:hAnsi="MetaPro-Norm"/>
          <w:sz w:val="22"/>
          <w:szCs w:val="22"/>
        </w:rPr>
        <w:br/>
      </w:r>
      <w:r w:rsidR="00F82059" w:rsidRPr="00FB4705">
        <w:rPr>
          <w:rFonts w:ascii="MetaPro-Norm" w:hAnsi="MetaPro-Norm"/>
          <w:sz w:val="22"/>
          <w:szCs w:val="22"/>
        </w:rPr>
        <w:t xml:space="preserve">In November 2020, the UAE announced a series of legal reforms, </w:t>
      </w:r>
      <w:r w:rsidR="00AF2AD4" w:rsidRPr="00FB4705">
        <w:rPr>
          <w:rFonts w:ascii="MetaPro-Norm" w:hAnsi="MetaPro-Norm"/>
          <w:sz w:val="22"/>
          <w:szCs w:val="22"/>
        </w:rPr>
        <w:t>including to</w:t>
      </w:r>
      <w:r w:rsidR="00F82059" w:rsidRPr="00FB4705">
        <w:rPr>
          <w:rFonts w:ascii="MetaPro-Norm" w:hAnsi="MetaPro-Norm"/>
          <w:sz w:val="22"/>
          <w:szCs w:val="22"/>
        </w:rPr>
        <w:t xml:space="preserve"> allow couples who married outside the UAE to follow the laws of their home country or the country in which they married in matters of divorce and inheritance.</w:t>
      </w:r>
      <w:r w:rsidR="00F82059" w:rsidRPr="00FB4705">
        <w:rPr>
          <w:rStyle w:val="FootnoteReference"/>
          <w:rFonts w:ascii="MetaPro-Norm" w:hAnsi="MetaPro-Norm"/>
          <w:sz w:val="22"/>
          <w:szCs w:val="22"/>
        </w:rPr>
        <w:footnoteReference w:id="7"/>
      </w:r>
      <w:r w:rsidR="00F82059" w:rsidRPr="00FB4705">
        <w:rPr>
          <w:rFonts w:ascii="MetaPro-Norm" w:hAnsi="MetaPro-Norm"/>
          <w:sz w:val="22"/>
          <w:szCs w:val="22"/>
        </w:rPr>
        <w:t xml:space="preserve"> At time of writing, the </w:t>
      </w:r>
      <w:r w:rsidR="0093169A" w:rsidRPr="00FB4705">
        <w:rPr>
          <w:rFonts w:ascii="MetaPro-Norm" w:hAnsi="MetaPro-Norm"/>
          <w:sz w:val="22"/>
          <w:szCs w:val="22"/>
        </w:rPr>
        <w:t xml:space="preserve">text of the legal </w:t>
      </w:r>
      <w:r w:rsidR="00F82059" w:rsidRPr="00FB4705">
        <w:rPr>
          <w:rFonts w:ascii="MetaPro-Norm" w:hAnsi="MetaPro-Norm"/>
          <w:sz w:val="22"/>
          <w:szCs w:val="22"/>
        </w:rPr>
        <w:t>amendments</w:t>
      </w:r>
      <w:r w:rsidR="00780225">
        <w:rPr>
          <w:rFonts w:ascii="MetaPro-Norm" w:hAnsi="MetaPro-Norm"/>
          <w:sz w:val="22"/>
          <w:szCs w:val="22"/>
        </w:rPr>
        <w:t xml:space="preserve"> </w:t>
      </w:r>
      <w:r w:rsidR="008C79CD">
        <w:rPr>
          <w:rFonts w:ascii="MetaPro-Norm" w:hAnsi="MetaPro-Norm"/>
          <w:sz w:val="22"/>
          <w:szCs w:val="22"/>
        </w:rPr>
        <w:t>was</w:t>
      </w:r>
      <w:r w:rsidR="00F82059" w:rsidRPr="00FB4705">
        <w:rPr>
          <w:rFonts w:ascii="MetaPro-Norm" w:hAnsi="MetaPro-Norm"/>
          <w:sz w:val="22"/>
          <w:szCs w:val="22"/>
        </w:rPr>
        <w:t xml:space="preserve"> not available. </w:t>
      </w:r>
    </w:p>
    <w:p w14:paraId="42BFB108" w14:textId="77777777" w:rsidR="00F82059" w:rsidRPr="00FB4705" w:rsidRDefault="00F82059" w:rsidP="00F82059">
      <w:pPr>
        <w:rPr>
          <w:rFonts w:ascii="MetaPro-Norm" w:hAnsi="MetaPro-Norm"/>
          <w:sz w:val="22"/>
          <w:szCs w:val="22"/>
        </w:rPr>
      </w:pPr>
    </w:p>
    <w:p w14:paraId="187EE873" w14:textId="57A85320" w:rsidR="00B13BFF" w:rsidRPr="00FB4705" w:rsidRDefault="00B13BFF" w:rsidP="00F82059">
      <w:pPr>
        <w:rPr>
          <w:rFonts w:ascii="MetaPro-Norm" w:hAnsi="MetaPro-Norm"/>
          <w:i/>
          <w:iCs/>
          <w:sz w:val="22"/>
          <w:szCs w:val="22"/>
        </w:rPr>
      </w:pPr>
      <w:r w:rsidRPr="00FB4705">
        <w:rPr>
          <w:rFonts w:ascii="MetaPro-Norm" w:hAnsi="MetaPro-Norm"/>
          <w:i/>
          <w:iCs/>
          <w:sz w:val="22"/>
          <w:szCs w:val="22"/>
        </w:rPr>
        <w:t>We encourage the Committee to pose the following questions:</w:t>
      </w:r>
    </w:p>
    <w:p w14:paraId="4CE7CFD6" w14:textId="77777777" w:rsidR="00682F18" w:rsidRPr="00FB4705" w:rsidRDefault="007E3C39" w:rsidP="00E02082">
      <w:pPr>
        <w:pStyle w:val="ListParagraph"/>
        <w:numPr>
          <w:ilvl w:val="0"/>
          <w:numId w:val="17"/>
        </w:numPr>
        <w:rPr>
          <w:rFonts w:ascii="MetaPro-Norm" w:hAnsi="MetaPro-Norm"/>
          <w:sz w:val="22"/>
          <w:szCs w:val="22"/>
        </w:rPr>
      </w:pPr>
      <w:r w:rsidRPr="00FB4705">
        <w:rPr>
          <w:rFonts w:ascii="MetaPro-Norm" w:hAnsi="MetaPro-Norm"/>
          <w:sz w:val="22"/>
          <w:szCs w:val="22"/>
        </w:rPr>
        <w:t xml:space="preserve">What steps are the authorities taking to ensure women have rights on an equal basis with men to enter marriage, within marriage, divorce, and in </w:t>
      </w:r>
      <w:r w:rsidR="00731E21" w:rsidRPr="00FB4705">
        <w:rPr>
          <w:rFonts w:ascii="MetaPro-Norm" w:hAnsi="MetaPro-Norm"/>
          <w:sz w:val="22"/>
          <w:szCs w:val="22"/>
        </w:rPr>
        <w:t xml:space="preserve">decisions </w:t>
      </w:r>
      <w:r w:rsidRPr="00FB4705">
        <w:rPr>
          <w:rFonts w:ascii="MetaPro-Norm" w:hAnsi="MetaPro-Norm"/>
          <w:sz w:val="22"/>
          <w:szCs w:val="22"/>
        </w:rPr>
        <w:t>relati</w:t>
      </w:r>
      <w:r w:rsidR="00731E21" w:rsidRPr="00FB4705">
        <w:rPr>
          <w:rFonts w:ascii="MetaPro-Norm" w:hAnsi="MetaPro-Norm"/>
          <w:sz w:val="22"/>
          <w:szCs w:val="22"/>
        </w:rPr>
        <w:t>ng</w:t>
      </w:r>
      <w:r w:rsidRPr="00FB4705">
        <w:rPr>
          <w:rFonts w:ascii="MetaPro-Norm" w:hAnsi="MetaPro-Norm"/>
          <w:sz w:val="22"/>
          <w:szCs w:val="22"/>
        </w:rPr>
        <w:t xml:space="preserve"> to children?</w:t>
      </w:r>
      <w:r w:rsidR="00731E21" w:rsidRPr="00FB4705">
        <w:rPr>
          <w:rFonts w:ascii="MetaPro-Norm" w:hAnsi="MetaPro-Norm"/>
          <w:sz w:val="22"/>
          <w:szCs w:val="22"/>
        </w:rPr>
        <w:t xml:space="preserve"> </w:t>
      </w:r>
    </w:p>
    <w:p w14:paraId="1683CB3D" w14:textId="281350D0" w:rsidR="00B13BFF" w:rsidRPr="00FB4705" w:rsidRDefault="00682F18" w:rsidP="00E02082">
      <w:pPr>
        <w:pStyle w:val="ListParagraph"/>
        <w:numPr>
          <w:ilvl w:val="0"/>
          <w:numId w:val="17"/>
        </w:numPr>
        <w:rPr>
          <w:rFonts w:ascii="MetaPro-Norm" w:hAnsi="MetaPro-Norm"/>
          <w:sz w:val="22"/>
          <w:szCs w:val="22"/>
        </w:rPr>
      </w:pPr>
      <w:r w:rsidRPr="00FB4705">
        <w:rPr>
          <w:rFonts w:ascii="MetaPro-Norm" w:hAnsi="MetaPro-Norm"/>
          <w:sz w:val="22"/>
          <w:szCs w:val="22"/>
        </w:rPr>
        <w:t>What steps are the authorities taking to remove male guardianship policies?</w:t>
      </w:r>
      <w:r w:rsidR="00EB255E">
        <w:rPr>
          <w:rFonts w:ascii="MetaPro-Norm" w:hAnsi="MetaPro-Norm"/>
          <w:sz w:val="22"/>
          <w:szCs w:val="22"/>
        </w:rPr>
        <w:t xml:space="preserve"> </w:t>
      </w:r>
    </w:p>
    <w:p w14:paraId="0EB41669" w14:textId="77777777" w:rsidR="00B13BFF" w:rsidRPr="00FB4705" w:rsidRDefault="00B13BFF" w:rsidP="00F82059">
      <w:pPr>
        <w:rPr>
          <w:rFonts w:ascii="MetaPro-Norm" w:hAnsi="MetaPro-Norm"/>
          <w:sz w:val="22"/>
          <w:szCs w:val="22"/>
        </w:rPr>
      </w:pPr>
    </w:p>
    <w:p w14:paraId="4EF747E9" w14:textId="50C459A8" w:rsidR="00F82059" w:rsidRPr="00FB4705" w:rsidRDefault="00F82059" w:rsidP="00F82059">
      <w:pPr>
        <w:pStyle w:val="ListParagraph"/>
        <w:numPr>
          <w:ilvl w:val="0"/>
          <w:numId w:val="1"/>
        </w:numPr>
        <w:rPr>
          <w:rFonts w:ascii="MetaPro-Norm" w:hAnsi="MetaPro-Norm"/>
          <w:b/>
          <w:bCs/>
          <w:color w:val="000000" w:themeColor="text1"/>
          <w:sz w:val="22"/>
          <w:szCs w:val="22"/>
        </w:rPr>
      </w:pPr>
      <w:r w:rsidRPr="00FB4705">
        <w:rPr>
          <w:rFonts w:ascii="MetaPro-Norm" w:hAnsi="MetaPro-Norm"/>
          <w:b/>
          <w:bCs/>
          <w:color w:val="000000" w:themeColor="text1"/>
          <w:sz w:val="22"/>
          <w:szCs w:val="22"/>
        </w:rPr>
        <w:t>Discrimination against Women in the Penal Code and Other Laws and Policies</w:t>
      </w:r>
      <w:r w:rsidR="000B4603" w:rsidRPr="00FB4705">
        <w:rPr>
          <w:rFonts w:ascii="MetaPro-Norm" w:hAnsi="MetaPro-Norm"/>
          <w:b/>
          <w:bCs/>
          <w:color w:val="000000" w:themeColor="text1"/>
          <w:sz w:val="22"/>
          <w:szCs w:val="22"/>
        </w:rPr>
        <w:t xml:space="preserve"> (</w:t>
      </w:r>
      <w:r w:rsidR="004A1CD0" w:rsidRPr="00FB4705">
        <w:rPr>
          <w:rFonts w:ascii="MetaPro-Norm" w:hAnsi="MetaPro-Norm"/>
          <w:b/>
          <w:bCs/>
          <w:color w:val="000000" w:themeColor="text1"/>
          <w:sz w:val="22"/>
          <w:szCs w:val="22"/>
        </w:rPr>
        <w:t>Arts.</w:t>
      </w:r>
      <w:r w:rsidR="000B4603" w:rsidRPr="00FB4705">
        <w:rPr>
          <w:rFonts w:ascii="MetaPro-Norm" w:hAnsi="MetaPro-Norm"/>
          <w:b/>
          <w:bCs/>
          <w:color w:val="000000" w:themeColor="text1"/>
          <w:sz w:val="22"/>
          <w:szCs w:val="22"/>
        </w:rPr>
        <w:t xml:space="preserve"> 1, 2, 5, and 15)</w:t>
      </w:r>
    </w:p>
    <w:p w14:paraId="7F8EA4D6" w14:textId="77777777" w:rsidR="00F82059" w:rsidRPr="00FB4705" w:rsidRDefault="00F82059" w:rsidP="00F82059">
      <w:pPr>
        <w:rPr>
          <w:rFonts w:ascii="MetaPro-Norm" w:hAnsi="MetaPro-Norm"/>
          <w:color w:val="000000" w:themeColor="text1"/>
          <w:sz w:val="22"/>
          <w:szCs w:val="22"/>
        </w:rPr>
      </w:pPr>
    </w:p>
    <w:p w14:paraId="1E5694DD" w14:textId="624C06E5" w:rsidR="00F82059" w:rsidRPr="00FB4705" w:rsidRDefault="00F82059" w:rsidP="00F82059">
      <w:pPr>
        <w:rPr>
          <w:rFonts w:ascii="MetaPro-Norm" w:hAnsi="MetaPro-Norm"/>
          <w:sz w:val="22"/>
          <w:szCs w:val="22"/>
        </w:rPr>
      </w:pPr>
      <w:r w:rsidRPr="00FB4705">
        <w:rPr>
          <w:rFonts w:ascii="MetaPro-Norm" w:hAnsi="MetaPro-Norm"/>
          <w:sz w:val="22"/>
          <w:szCs w:val="22"/>
        </w:rPr>
        <w:t>Discrimination on the basis of sex and gender is not included in the definition of discrimination in the UAE’s 2015 anti-discrimination law.</w:t>
      </w:r>
      <w:r w:rsidR="001237AF" w:rsidRPr="00FB4705">
        <w:rPr>
          <w:rStyle w:val="FootnoteReference"/>
          <w:rFonts w:ascii="MetaPro-Norm" w:hAnsi="MetaPro-Norm"/>
          <w:sz w:val="22"/>
          <w:szCs w:val="22"/>
        </w:rPr>
        <w:footnoteReference w:id="8"/>
      </w:r>
      <w:r w:rsidRPr="00FB4705">
        <w:rPr>
          <w:rFonts w:ascii="MetaPro-Norm" w:hAnsi="MetaPro-Norm"/>
          <w:sz w:val="22"/>
          <w:szCs w:val="22"/>
        </w:rPr>
        <w:t> </w:t>
      </w:r>
    </w:p>
    <w:p w14:paraId="7A99A425" w14:textId="77777777" w:rsidR="00F82059" w:rsidRPr="00FB4705" w:rsidRDefault="00F82059" w:rsidP="00F82059">
      <w:pPr>
        <w:rPr>
          <w:rFonts w:ascii="MetaPro-Norm" w:hAnsi="MetaPro-Norm"/>
          <w:b/>
          <w:bCs/>
          <w:sz w:val="22"/>
          <w:szCs w:val="22"/>
        </w:rPr>
      </w:pPr>
    </w:p>
    <w:p w14:paraId="3A0A4266" w14:textId="35B906D0" w:rsidR="00F82059" w:rsidRPr="00FB4705" w:rsidRDefault="00F82059" w:rsidP="00ED6BD5">
      <w:pPr>
        <w:rPr>
          <w:rFonts w:ascii="MetaPro-Norm" w:hAnsi="MetaPro-Norm"/>
          <w:sz w:val="22"/>
          <w:szCs w:val="22"/>
        </w:rPr>
      </w:pPr>
      <w:r w:rsidRPr="00FB4705">
        <w:rPr>
          <w:rFonts w:ascii="MetaPro-Norm" w:hAnsi="MetaPro-Norm"/>
          <w:color w:val="000000" w:themeColor="text1"/>
          <w:sz w:val="22"/>
          <w:szCs w:val="22"/>
        </w:rPr>
        <w:t xml:space="preserve">Under </w:t>
      </w:r>
      <w:r w:rsidR="00216F99" w:rsidRPr="00FB4705">
        <w:rPr>
          <w:rFonts w:ascii="MetaPro-Norm" w:hAnsi="MetaPro-Norm"/>
          <w:color w:val="000000" w:themeColor="text1"/>
          <w:sz w:val="22"/>
          <w:szCs w:val="22"/>
        </w:rPr>
        <w:t>article</w:t>
      </w:r>
      <w:r w:rsidR="00EB255E">
        <w:rPr>
          <w:rFonts w:ascii="MetaPro-Norm" w:hAnsi="MetaPro-Norm"/>
          <w:color w:val="000000" w:themeColor="text1"/>
          <w:sz w:val="22"/>
          <w:szCs w:val="22"/>
        </w:rPr>
        <w:t xml:space="preserve"> </w:t>
      </w:r>
      <w:r w:rsidRPr="00FB4705">
        <w:rPr>
          <w:rFonts w:ascii="MetaPro-Norm" w:hAnsi="MetaPro-Norm"/>
          <w:color w:val="000000" w:themeColor="text1"/>
          <w:sz w:val="22"/>
          <w:szCs w:val="22"/>
        </w:rPr>
        <w:t xml:space="preserve">356 of the federal penal code, the punishment for individuals who engage in consensual same-sex relations or consensual heterosexual relations outside marriage can include a minimum one-year prison sentence. </w:t>
      </w:r>
      <w:r w:rsidRPr="00FB4705">
        <w:rPr>
          <w:rFonts w:ascii="MetaPro-Norm" w:hAnsi="MetaPro-Norm"/>
          <w:color w:val="000000" w:themeColor="text1"/>
          <w:sz w:val="22"/>
          <w:szCs w:val="22"/>
        </w:rPr>
        <w:lastRenderedPageBreak/>
        <w:t>Women are disproportionately impacted by this</w:t>
      </w:r>
      <w:r w:rsidR="00933F0E">
        <w:rPr>
          <w:rFonts w:ascii="MetaPro-Norm" w:hAnsi="MetaPro-Norm"/>
          <w:color w:val="000000" w:themeColor="text1"/>
          <w:sz w:val="22"/>
          <w:szCs w:val="22"/>
        </w:rPr>
        <w:t>,</w:t>
      </w:r>
      <w:r w:rsidRPr="00FB4705">
        <w:rPr>
          <w:rFonts w:ascii="MetaPro-Norm" w:hAnsi="MetaPro-Norm"/>
          <w:color w:val="000000" w:themeColor="text1"/>
          <w:sz w:val="22"/>
          <w:szCs w:val="22"/>
        </w:rPr>
        <w:t xml:space="preserve"> as pregnancy serves as evidence of extramarital sex, and women who report rape could find themselves prosecuted under </w:t>
      </w:r>
      <w:r w:rsidR="00216F99" w:rsidRPr="00FB4705">
        <w:rPr>
          <w:rFonts w:ascii="MetaPro-Norm" w:hAnsi="MetaPro-Norm"/>
          <w:color w:val="000000" w:themeColor="text1"/>
          <w:sz w:val="22"/>
          <w:szCs w:val="22"/>
        </w:rPr>
        <w:t>article</w:t>
      </w:r>
      <w:r w:rsidR="00EB255E">
        <w:rPr>
          <w:rFonts w:ascii="MetaPro-Norm" w:hAnsi="MetaPro-Norm"/>
          <w:color w:val="000000" w:themeColor="text1"/>
          <w:sz w:val="22"/>
          <w:szCs w:val="22"/>
        </w:rPr>
        <w:t xml:space="preserve"> </w:t>
      </w:r>
      <w:r w:rsidRPr="00FB4705">
        <w:rPr>
          <w:rFonts w:ascii="MetaPro-Norm" w:hAnsi="MetaPro-Norm"/>
          <w:color w:val="000000" w:themeColor="text1"/>
          <w:sz w:val="22"/>
          <w:szCs w:val="22"/>
        </w:rPr>
        <w:t>356 for extramarital consensual sex instead.</w:t>
      </w:r>
      <w:r w:rsidRPr="00FB4705">
        <w:rPr>
          <w:rFonts w:ascii="MetaPro-Norm" w:hAnsi="MetaPro-Norm"/>
          <w:sz w:val="22"/>
          <w:szCs w:val="22"/>
        </w:rPr>
        <w:t xml:space="preserve"> Some Emirati and migrant women choose to birth at home, without professional medical assistance, to avoid being prosecuted.</w:t>
      </w:r>
      <w:r w:rsidRPr="00FB4705">
        <w:rPr>
          <w:rStyle w:val="FootnoteReference"/>
          <w:rFonts w:ascii="MetaPro-Norm" w:hAnsi="MetaPro-Norm"/>
          <w:sz w:val="22"/>
          <w:szCs w:val="22"/>
        </w:rPr>
        <w:footnoteReference w:id="9"/>
      </w:r>
      <w:r w:rsidR="00690F06" w:rsidRPr="00FB4705">
        <w:rPr>
          <w:rFonts w:ascii="MetaPro-Norm" w:hAnsi="MetaPro-Norm"/>
          <w:color w:val="000000" w:themeColor="text1"/>
          <w:sz w:val="22"/>
          <w:szCs w:val="22"/>
        </w:rPr>
        <w:br/>
      </w:r>
      <w:r w:rsidR="00690F06" w:rsidRPr="00FB4705">
        <w:rPr>
          <w:rFonts w:ascii="MetaPro-Norm" w:hAnsi="MetaPro-Norm"/>
          <w:color w:val="000000" w:themeColor="text1"/>
          <w:sz w:val="22"/>
          <w:szCs w:val="22"/>
        </w:rPr>
        <w:br/>
      </w:r>
      <w:r w:rsidRPr="00FB4705">
        <w:rPr>
          <w:rFonts w:ascii="MetaPro-Norm" w:hAnsi="MetaPro-Norm"/>
          <w:sz w:val="22"/>
          <w:szCs w:val="22"/>
        </w:rPr>
        <w:t xml:space="preserve">Without a marriage certificate, women in the UAE can be barred from accessing </w:t>
      </w:r>
      <w:r w:rsidR="005D5546" w:rsidRPr="00FB4705">
        <w:rPr>
          <w:rFonts w:ascii="MetaPro-Norm" w:hAnsi="MetaPro-Norm"/>
          <w:sz w:val="22"/>
          <w:szCs w:val="22"/>
        </w:rPr>
        <w:t>some forms of sexual and reproductive healthcare</w:t>
      </w:r>
      <w:r w:rsidRPr="00FB4705">
        <w:rPr>
          <w:rFonts w:ascii="MetaPro-Norm" w:hAnsi="MetaPro-Norm"/>
          <w:sz w:val="22"/>
          <w:szCs w:val="22"/>
        </w:rPr>
        <w:t xml:space="preserve"> in both public and private hospitals. </w:t>
      </w:r>
      <w:r w:rsidR="00E574C1" w:rsidRPr="00FB4705">
        <w:rPr>
          <w:rFonts w:ascii="MetaPro-Norm" w:hAnsi="MetaPro-Norm"/>
          <w:sz w:val="22"/>
          <w:szCs w:val="22"/>
        </w:rPr>
        <w:t xml:space="preserve">Hospitals and healthcare workers are required to report women to the authorities </w:t>
      </w:r>
      <w:r w:rsidR="00FB0631">
        <w:rPr>
          <w:rFonts w:ascii="MetaPro-Norm" w:hAnsi="MetaPro-Norm"/>
          <w:sz w:val="22"/>
          <w:szCs w:val="22"/>
        </w:rPr>
        <w:t>if they suspect extramarital</w:t>
      </w:r>
      <w:r w:rsidR="00E574C1" w:rsidRPr="00FB4705">
        <w:rPr>
          <w:rFonts w:ascii="MetaPro-Norm" w:hAnsi="MetaPro-Norm"/>
          <w:sz w:val="22"/>
          <w:szCs w:val="22"/>
        </w:rPr>
        <w:t xml:space="preserve"> sex.</w:t>
      </w:r>
      <w:r w:rsidR="00ED6BD5" w:rsidRPr="00FB4705">
        <w:rPr>
          <w:rFonts w:ascii="MetaPro-Norm" w:hAnsi="MetaPro-Norm"/>
          <w:sz w:val="22"/>
          <w:szCs w:val="22"/>
        </w:rPr>
        <w:t xml:space="preserve"> </w:t>
      </w:r>
      <w:r w:rsidRPr="00FB4705">
        <w:rPr>
          <w:rFonts w:ascii="MetaPro-Norm" w:hAnsi="MetaPro-Norm"/>
          <w:sz w:val="22"/>
          <w:szCs w:val="22"/>
        </w:rPr>
        <w:t>Moreover, women who have children out of wedlock cannot obtain birth certificates for their babies unless they are able to produce a valid marriage certificate.</w:t>
      </w:r>
      <w:r w:rsidRPr="00FB4705">
        <w:rPr>
          <w:rStyle w:val="FootnoteReference"/>
          <w:rFonts w:ascii="MetaPro-Norm" w:hAnsi="MetaPro-Norm"/>
          <w:sz w:val="22"/>
          <w:szCs w:val="22"/>
        </w:rPr>
        <w:footnoteReference w:id="10"/>
      </w:r>
      <w:r w:rsidRPr="00FB4705">
        <w:rPr>
          <w:rFonts w:ascii="MetaPro-Norm" w:hAnsi="MetaPro-Norm"/>
          <w:sz w:val="22"/>
          <w:szCs w:val="22"/>
        </w:rPr>
        <w:t xml:space="preserve"> Registrar authorities may compare the date of the marriage against the date of birth in order to verify whether the couple had engaged in extramarital relations. </w:t>
      </w:r>
    </w:p>
    <w:p w14:paraId="519BF74D" w14:textId="77777777" w:rsidR="00D70DA7" w:rsidRPr="00FB4705" w:rsidRDefault="00D70DA7" w:rsidP="00F82059">
      <w:pPr>
        <w:rPr>
          <w:rFonts w:ascii="MetaPro-Norm" w:hAnsi="MetaPro-Norm"/>
          <w:sz w:val="22"/>
          <w:szCs w:val="22"/>
        </w:rPr>
      </w:pPr>
    </w:p>
    <w:p w14:paraId="00EE34E4" w14:textId="2E110CED" w:rsidR="00F82059" w:rsidRPr="00FB4705" w:rsidRDefault="00FB0631" w:rsidP="00F82059">
      <w:pPr>
        <w:rPr>
          <w:rFonts w:ascii="MetaPro-Norm" w:hAnsi="MetaPro-Norm"/>
          <w:sz w:val="22"/>
          <w:szCs w:val="22"/>
        </w:rPr>
      </w:pPr>
      <w:r>
        <w:rPr>
          <w:rFonts w:ascii="MetaPro-Norm" w:hAnsi="MetaPro-Norm"/>
          <w:sz w:val="22"/>
          <w:szCs w:val="22"/>
        </w:rPr>
        <w:t>B</w:t>
      </w:r>
      <w:r w:rsidR="00F82059" w:rsidRPr="00FB4705">
        <w:rPr>
          <w:rFonts w:ascii="MetaPro-Norm" w:hAnsi="MetaPro-Norm"/>
          <w:sz w:val="22"/>
          <w:szCs w:val="22"/>
        </w:rPr>
        <w:t xml:space="preserve">abies born to a parent with an expired passport, identification card, or residency visa are not issued birth certificates, disproportionally </w:t>
      </w:r>
      <w:r w:rsidR="00D53B05">
        <w:rPr>
          <w:rFonts w:ascii="MetaPro-Norm" w:hAnsi="MetaPro-Norm"/>
          <w:sz w:val="22"/>
          <w:szCs w:val="22"/>
        </w:rPr>
        <w:t>impacting</w:t>
      </w:r>
      <w:r w:rsidR="00F82059" w:rsidRPr="00FB4705">
        <w:rPr>
          <w:rFonts w:ascii="MetaPro-Norm" w:hAnsi="MetaPro-Norm"/>
          <w:sz w:val="22"/>
          <w:szCs w:val="22"/>
        </w:rPr>
        <w:t xml:space="preserve"> migrant women due to the frequency with which employers confiscate their documents, including passports and residency permits.</w:t>
      </w:r>
      <w:r w:rsidR="00F82059" w:rsidRPr="00FB4705">
        <w:rPr>
          <w:rStyle w:val="FootnoteReference"/>
          <w:rFonts w:ascii="MetaPro-Norm" w:hAnsi="MetaPro-Norm"/>
          <w:sz w:val="22"/>
          <w:szCs w:val="22"/>
        </w:rPr>
        <w:footnoteReference w:id="11"/>
      </w:r>
      <w:r w:rsidR="00F82059" w:rsidRPr="00FB4705">
        <w:rPr>
          <w:rFonts w:ascii="MetaPro-Norm" w:hAnsi="MetaPro-Norm"/>
          <w:sz w:val="22"/>
          <w:szCs w:val="22"/>
        </w:rPr>
        <w:t xml:space="preserve"> For some migrant women, if they are unable to obtain a birth certificate for their child, their child may be prevented from accompanying them when they return to their home country due to their child’s lack of valid identification.</w:t>
      </w:r>
      <w:r w:rsidR="00F82059" w:rsidRPr="00FB4705">
        <w:rPr>
          <w:rStyle w:val="FootnoteReference"/>
          <w:rFonts w:ascii="MetaPro-Norm" w:hAnsi="MetaPro-Norm"/>
          <w:sz w:val="22"/>
          <w:szCs w:val="22"/>
        </w:rPr>
        <w:footnoteReference w:id="12"/>
      </w:r>
    </w:p>
    <w:p w14:paraId="1224620D" w14:textId="77777777" w:rsidR="00AB04E2" w:rsidRDefault="00AB04E2" w:rsidP="00166AAF">
      <w:pPr>
        <w:rPr>
          <w:rFonts w:ascii="MetaPro-Norm" w:hAnsi="MetaPro-Norm"/>
          <w:sz w:val="22"/>
          <w:szCs w:val="22"/>
        </w:rPr>
      </w:pPr>
    </w:p>
    <w:p w14:paraId="7D691A12" w14:textId="63B3E52D" w:rsidR="00166AAF" w:rsidRPr="00FB4705" w:rsidRDefault="00AB04E2" w:rsidP="00166AAF">
      <w:pPr>
        <w:rPr>
          <w:rFonts w:ascii="MetaPro-Norm" w:hAnsi="MetaPro-Norm"/>
          <w:sz w:val="22"/>
          <w:szCs w:val="22"/>
        </w:rPr>
      </w:pPr>
      <w:r>
        <w:rPr>
          <w:rFonts w:ascii="MetaPro-Norm" w:hAnsi="MetaPro-Norm"/>
          <w:sz w:val="22"/>
          <w:szCs w:val="22"/>
        </w:rPr>
        <w:t xml:space="preserve">It </w:t>
      </w:r>
      <w:r w:rsidR="00296329">
        <w:rPr>
          <w:rFonts w:ascii="MetaPro-Norm" w:hAnsi="MetaPro-Norm"/>
          <w:sz w:val="22"/>
          <w:szCs w:val="22"/>
        </w:rPr>
        <w:t>is</w:t>
      </w:r>
      <w:r w:rsidR="00D45C31">
        <w:rPr>
          <w:rFonts w:ascii="MetaPro-Norm" w:hAnsi="MetaPro-Norm"/>
          <w:sz w:val="22"/>
          <w:szCs w:val="22"/>
        </w:rPr>
        <w:t xml:space="preserve"> </w:t>
      </w:r>
      <w:r w:rsidR="00D45C31" w:rsidRPr="00FB4705">
        <w:rPr>
          <w:rFonts w:ascii="MetaPro-Norm" w:hAnsi="MetaPro-Norm"/>
          <w:sz w:val="22"/>
          <w:szCs w:val="22"/>
        </w:rPr>
        <w:t xml:space="preserve">unclear whether authorities </w:t>
      </w:r>
      <w:r w:rsidR="009067C2">
        <w:rPr>
          <w:rFonts w:ascii="MetaPro-Norm" w:hAnsi="MetaPro-Norm"/>
          <w:sz w:val="22"/>
          <w:szCs w:val="22"/>
        </w:rPr>
        <w:t xml:space="preserve">will use </w:t>
      </w:r>
      <w:r>
        <w:rPr>
          <w:rFonts w:ascii="MetaPro-Norm" w:hAnsi="MetaPro-Norm"/>
          <w:sz w:val="22"/>
          <w:szCs w:val="22"/>
        </w:rPr>
        <w:t xml:space="preserve">the proposed November 2020 reforms </w:t>
      </w:r>
      <w:r w:rsidR="009067C2">
        <w:rPr>
          <w:rFonts w:ascii="MetaPro-Norm" w:hAnsi="MetaPro-Norm"/>
          <w:sz w:val="22"/>
          <w:szCs w:val="22"/>
        </w:rPr>
        <w:t xml:space="preserve">to </w:t>
      </w:r>
      <w:r w:rsidR="00D45C31">
        <w:rPr>
          <w:rFonts w:ascii="MetaPro-Norm" w:hAnsi="MetaPro-Norm"/>
          <w:sz w:val="22"/>
          <w:szCs w:val="22"/>
        </w:rPr>
        <w:t>repeal</w:t>
      </w:r>
      <w:r w:rsidR="00D45C31" w:rsidRPr="00FB4705">
        <w:rPr>
          <w:rFonts w:ascii="MetaPro-Norm" w:hAnsi="MetaPro-Norm"/>
          <w:sz w:val="22"/>
          <w:szCs w:val="22"/>
        </w:rPr>
        <w:t xml:space="preserve"> article</w:t>
      </w:r>
      <w:r w:rsidR="00D45C31">
        <w:rPr>
          <w:rFonts w:ascii="MetaPro-Norm" w:hAnsi="MetaPro-Norm"/>
          <w:sz w:val="22"/>
          <w:szCs w:val="22"/>
        </w:rPr>
        <w:t xml:space="preserve"> </w:t>
      </w:r>
      <w:r w:rsidR="00D45C31" w:rsidRPr="00FB4705">
        <w:rPr>
          <w:rFonts w:ascii="MetaPro-Norm" w:hAnsi="MetaPro-Norm"/>
          <w:sz w:val="22"/>
          <w:szCs w:val="22"/>
        </w:rPr>
        <w:t>356</w:t>
      </w:r>
      <w:r w:rsidR="00D45C31">
        <w:rPr>
          <w:rFonts w:ascii="MetaPro-Norm" w:hAnsi="MetaPro-Norm"/>
          <w:sz w:val="22"/>
          <w:szCs w:val="22"/>
        </w:rPr>
        <w:t xml:space="preserve"> of the penal code, </w:t>
      </w:r>
      <w:r w:rsidR="00166AAF" w:rsidRPr="00FB4705">
        <w:rPr>
          <w:rFonts w:ascii="MetaPro-Norm" w:hAnsi="MetaPro-Norm"/>
          <w:sz w:val="22"/>
          <w:szCs w:val="22"/>
        </w:rPr>
        <w:t xml:space="preserve">whether they </w:t>
      </w:r>
      <w:r w:rsidR="00AC592C">
        <w:rPr>
          <w:rFonts w:ascii="MetaPro-Norm" w:hAnsi="MetaPro-Norm"/>
          <w:sz w:val="22"/>
          <w:szCs w:val="22"/>
        </w:rPr>
        <w:t>will</w:t>
      </w:r>
      <w:r w:rsidR="00166AAF" w:rsidRPr="00FB4705">
        <w:rPr>
          <w:rFonts w:ascii="MetaPro-Norm" w:hAnsi="MetaPro-Norm"/>
          <w:sz w:val="22"/>
          <w:szCs w:val="22"/>
        </w:rPr>
        <w:t xml:space="preserve"> lift all </w:t>
      </w:r>
      <w:r w:rsidR="004A387F">
        <w:rPr>
          <w:rFonts w:ascii="MetaPro-Norm" w:hAnsi="MetaPro-Norm"/>
          <w:sz w:val="22"/>
          <w:szCs w:val="22"/>
        </w:rPr>
        <w:t xml:space="preserve">healthcare </w:t>
      </w:r>
      <w:r w:rsidR="00166AAF" w:rsidRPr="00FB4705">
        <w:rPr>
          <w:rFonts w:ascii="MetaPro-Norm" w:hAnsi="MetaPro-Norm"/>
          <w:sz w:val="22"/>
          <w:szCs w:val="22"/>
        </w:rPr>
        <w:t>policies that sanction women for having sex outside of marriage</w:t>
      </w:r>
      <w:r>
        <w:rPr>
          <w:rFonts w:ascii="MetaPro-Norm" w:hAnsi="MetaPro-Norm"/>
          <w:sz w:val="22"/>
          <w:szCs w:val="22"/>
        </w:rPr>
        <w:t>, and whether the reforms will apply to Emiratis and non-Emiratis in the same way.</w:t>
      </w:r>
      <w:r w:rsidR="009067C2">
        <w:rPr>
          <w:rStyle w:val="FootnoteReference"/>
          <w:rFonts w:ascii="MetaPro-Norm" w:hAnsi="MetaPro-Norm"/>
          <w:sz w:val="22"/>
          <w:szCs w:val="22"/>
        </w:rPr>
        <w:footnoteReference w:id="13"/>
      </w:r>
      <w:r w:rsidR="009067C2" w:rsidRPr="00FB4705">
        <w:rPr>
          <w:rFonts w:ascii="MetaPro-Norm" w:hAnsi="MetaPro-Norm"/>
          <w:sz w:val="22"/>
          <w:szCs w:val="22"/>
        </w:rPr>
        <w:t xml:space="preserve"> </w:t>
      </w:r>
    </w:p>
    <w:p w14:paraId="4AD03F5D" w14:textId="77777777" w:rsidR="00A95640" w:rsidRPr="00FB4705" w:rsidRDefault="00A95640" w:rsidP="00F82059">
      <w:pPr>
        <w:rPr>
          <w:rFonts w:ascii="MetaPro-Norm" w:hAnsi="MetaPro-Norm"/>
          <w:sz w:val="22"/>
          <w:szCs w:val="22"/>
        </w:rPr>
      </w:pPr>
    </w:p>
    <w:p w14:paraId="51059876" w14:textId="77777777" w:rsidR="00F82059" w:rsidRPr="00FB4705" w:rsidRDefault="00F82059" w:rsidP="00F82059">
      <w:pPr>
        <w:rPr>
          <w:rFonts w:ascii="MetaPro-Norm" w:hAnsi="MetaPro-Norm"/>
          <w:i/>
          <w:iCs/>
          <w:sz w:val="22"/>
          <w:szCs w:val="22"/>
        </w:rPr>
      </w:pPr>
      <w:r w:rsidRPr="00FB4705">
        <w:rPr>
          <w:rFonts w:ascii="MetaPro-Norm" w:hAnsi="MetaPro-Norm"/>
          <w:i/>
          <w:iCs/>
          <w:sz w:val="22"/>
          <w:szCs w:val="22"/>
        </w:rPr>
        <w:lastRenderedPageBreak/>
        <w:t xml:space="preserve">Abortion </w:t>
      </w:r>
    </w:p>
    <w:p w14:paraId="465B8678" w14:textId="0E01CB89" w:rsidR="00F82059" w:rsidRPr="00FB4705" w:rsidRDefault="00F82059" w:rsidP="00690F06">
      <w:pPr>
        <w:rPr>
          <w:rFonts w:ascii="MetaPro-Norm" w:hAnsi="MetaPro-Norm"/>
          <w:sz w:val="22"/>
          <w:szCs w:val="22"/>
        </w:rPr>
      </w:pPr>
      <w:r w:rsidRPr="00FB4705">
        <w:rPr>
          <w:rFonts w:ascii="MetaPro-Norm" w:hAnsi="MetaPro-Norm"/>
          <w:sz w:val="22"/>
          <w:szCs w:val="22"/>
        </w:rPr>
        <w:t xml:space="preserve">Abortion is illegal and criminalized in the UAE under </w:t>
      </w:r>
      <w:r w:rsidR="00216F99" w:rsidRPr="00FB4705">
        <w:rPr>
          <w:rFonts w:ascii="MetaPro-Norm" w:hAnsi="MetaPro-Norm"/>
          <w:sz w:val="22"/>
          <w:szCs w:val="22"/>
        </w:rPr>
        <w:t>article</w:t>
      </w:r>
      <w:r w:rsidR="00EB255E">
        <w:rPr>
          <w:rFonts w:ascii="MetaPro-Norm" w:hAnsi="MetaPro-Norm"/>
          <w:sz w:val="22"/>
          <w:szCs w:val="22"/>
        </w:rPr>
        <w:t xml:space="preserve"> </w:t>
      </w:r>
      <w:r w:rsidRPr="00FB4705">
        <w:rPr>
          <w:rFonts w:ascii="MetaPro-Norm" w:hAnsi="MetaPro-Norm"/>
          <w:sz w:val="22"/>
          <w:szCs w:val="22"/>
        </w:rPr>
        <w:t xml:space="preserve">340 of the federal penal code, except </w:t>
      </w:r>
      <w:r w:rsidR="00D53B05">
        <w:rPr>
          <w:rFonts w:ascii="MetaPro-Norm" w:hAnsi="MetaPro-Norm"/>
          <w:sz w:val="22"/>
          <w:szCs w:val="22"/>
        </w:rPr>
        <w:t xml:space="preserve">only </w:t>
      </w:r>
      <w:r w:rsidRPr="00FB4705">
        <w:rPr>
          <w:rFonts w:ascii="MetaPro-Norm" w:hAnsi="MetaPro-Norm"/>
          <w:sz w:val="22"/>
          <w:szCs w:val="22"/>
        </w:rPr>
        <w:t>in cases when the woman’s life is in jeopardy or if the unborn child has deformities that will prove fatal.</w:t>
      </w:r>
      <w:r w:rsidRPr="00FB4705">
        <w:rPr>
          <w:rStyle w:val="FootnoteReference"/>
          <w:rFonts w:ascii="MetaPro-Norm" w:hAnsi="MetaPro-Norm"/>
          <w:sz w:val="22"/>
          <w:szCs w:val="22"/>
        </w:rPr>
        <w:footnoteReference w:id="14"/>
      </w:r>
      <w:r w:rsidRPr="00FB4705">
        <w:rPr>
          <w:rFonts w:ascii="MetaPro-Norm" w:hAnsi="MetaPro-Norm"/>
          <w:sz w:val="22"/>
          <w:szCs w:val="22"/>
        </w:rPr>
        <w:t xml:space="preserve"> In the latter case, the abortion must take place within the first 120 days of the pregnancy, and must be approved by an “authorized medical board.”</w:t>
      </w:r>
      <w:r w:rsidRPr="00FB4705">
        <w:rPr>
          <w:rStyle w:val="FootnoteReference"/>
          <w:rFonts w:ascii="MetaPro-Norm" w:hAnsi="MetaPro-Norm"/>
          <w:sz w:val="22"/>
          <w:szCs w:val="22"/>
        </w:rPr>
        <w:footnoteReference w:id="15"/>
      </w:r>
      <w:r w:rsidRPr="00FB4705">
        <w:rPr>
          <w:rFonts w:ascii="MetaPro-Norm" w:hAnsi="MetaPro-Norm"/>
          <w:sz w:val="22"/>
          <w:szCs w:val="22"/>
        </w:rPr>
        <w:t xml:space="preserve"> </w:t>
      </w:r>
      <w:r w:rsidR="00690F06" w:rsidRPr="00FB4705">
        <w:rPr>
          <w:rFonts w:ascii="MetaPro-Norm" w:hAnsi="MetaPro-Norm"/>
          <w:sz w:val="22"/>
          <w:szCs w:val="22"/>
        </w:rPr>
        <w:br/>
      </w:r>
      <w:r w:rsidR="00690F06" w:rsidRPr="00FB4705">
        <w:rPr>
          <w:rFonts w:ascii="MetaPro-Norm" w:hAnsi="MetaPro-Norm"/>
          <w:sz w:val="22"/>
          <w:szCs w:val="22"/>
        </w:rPr>
        <w:br/>
      </w:r>
      <w:r w:rsidRPr="00FB4705">
        <w:rPr>
          <w:rFonts w:ascii="MetaPro-Norm" w:hAnsi="MetaPro-Norm"/>
          <w:sz w:val="22"/>
          <w:szCs w:val="22"/>
        </w:rPr>
        <w:t>A woman who is found to have aborted faces a penalty of up to one year of imprisonment and/or a fine up to Dh10,000 (about US$2,700).</w:t>
      </w:r>
      <w:r w:rsidRPr="00FB4705">
        <w:rPr>
          <w:rStyle w:val="FootnoteReference"/>
          <w:rFonts w:ascii="MetaPro-Norm" w:hAnsi="MetaPro-Norm"/>
          <w:sz w:val="22"/>
          <w:szCs w:val="22"/>
        </w:rPr>
        <w:footnoteReference w:id="16"/>
      </w:r>
      <w:r w:rsidRPr="00FB4705">
        <w:rPr>
          <w:rFonts w:ascii="MetaPro-Norm" w:hAnsi="MetaPro-Norm"/>
          <w:sz w:val="22"/>
          <w:szCs w:val="22"/>
        </w:rPr>
        <w:t xml:space="preserve"> Individuals perform</w:t>
      </w:r>
      <w:r w:rsidR="00907534">
        <w:rPr>
          <w:rFonts w:ascii="MetaPro-Norm" w:hAnsi="MetaPro-Norm"/>
          <w:sz w:val="22"/>
          <w:szCs w:val="22"/>
        </w:rPr>
        <w:t>ing</w:t>
      </w:r>
      <w:r w:rsidRPr="00FB4705">
        <w:rPr>
          <w:rFonts w:ascii="MetaPro-Norm" w:hAnsi="MetaPro-Norm"/>
          <w:sz w:val="22"/>
          <w:szCs w:val="22"/>
        </w:rPr>
        <w:t xml:space="preserve"> the abortion can also face a minimum two-year imprisonment and/or a fine up to Dh10,000.</w:t>
      </w:r>
      <w:r w:rsidRPr="00FB4705">
        <w:rPr>
          <w:rStyle w:val="FootnoteReference"/>
          <w:rFonts w:ascii="MetaPro-Norm" w:hAnsi="MetaPro-Norm"/>
          <w:sz w:val="22"/>
          <w:szCs w:val="22"/>
        </w:rPr>
        <w:footnoteReference w:id="17"/>
      </w:r>
      <w:r w:rsidRPr="00FB4705">
        <w:rPr>
          <w:rFonts w:ascii="MetaPro-Norm" w:hAnsi="MetaPro-Norm"/>
          <w:sz w:val="22"/>
          <w:szCs w:val="22"/>
        </w:rPr>
        <w:t xml:space="preserve"> Women who seek hospital treatment for a miscarriage may be accused of attempted abortion, particularly if they are suspected of becoming pregnant out of wedlock.</w:t>
      </w:r>
      <w:r w:rsidRPr="00FB4705">
        <w:rPr>
          <w:rStyle w:val="FootnoteReference"/>
          <w:rFonts w:ascii="MetaPro-Norm" w:hAnsi="MetaPro-Norm"/>
          <w:sz w:val="22"/>
          <w:szCs w:val="22"/>
        </w:rPr>
        <w:footnoteReference w:id="18"/>
      </w:r>
    </w:p>
    <w:p w14:paraId="67B0C5E5" w14:textId="77777777" w:rsidR="00847B44" w:rsidRPr="00FB4705" w:rsidRDefault="00847B44" w:rsidP="00690F06">
      <w:pPr>
        <w:rPr>
          <w:rFonts w:ascii="MetaPro-Norm" w:hAnsi="MetaPro-Norm"/>
          <w:sz w:val="22"/>
          <w:szCs w:val="22"/>
        </w:rPr>
      </w:pPr>
    </w:p>
    <w:p w14:paraId="416FB5F4" w14:textId="57E86EB2" w:rsidR="00171051" w:rsidRPr="00FB4705" w:rsidRDefault="00171051" w:rsidP="00690F06">
      <w:pPr>
        <w:rPr>
          <w:rFonts w:ascii="MetaPro-Norm" w:hAnsi="MetaPro-Norm"/>
          <w:i/>
          <w:iCs/>
          <w:sz w:val="22"/>
          <w:szCs w:val="22"/>
        </w:rPr>
      </w:pPr>
      <w:r w:rsidRPr="00FB4705">
        <w:rPr>
          <w:rFonts w:ascii="MetaPro-Norm" w:hAnsi="MetaPro-Norm"/>
          <w:i/>
          <w:iCs/>
          <w:sz w:val="22"/>
          <w:szCs w:val="22"/>
        </w:rPr>
        <w:t xml:space="preserve">We encourage the Committee to pose the following questions: </w:t>
      </w:r>
    </w:p>
    <w:p w14:paraId="164FFDA6" w14:textId="1558E891" w:rsidR="00E578DE" w:rsidRPr="00FB4705" w:rsidRDefault="00E578DE" w:rsidP="00E47809">
      <w:pPr>
        <w:pStyle w:val="ListParagraph"/>
        <w:numPr>
          <w:ilvl w:val="0"/>
          <w:numId w:val="15"/>
        </w:numPr>
        <w:rPr>
          <w:rFonts w:ascii="MetaPro-Norm" w:hAnsi="MetaPro-Norm"/>
          <w:sz w:val="22"/>
          <w:szCs w:val="22"/>
        </w:rPr>
      </w:pPr>
      <w:r w:rsidRPr="00FB4705">
        <w:rPr>
          <w:rFonts w:ascii="MetaPro-Norm" w:hAnsi="MetaPro-Norm"/>
          <w:sz w:val="22"/>
          <w:szCs w:val="22"/>
        </w:rPr>
        <w:t>What efforts are being made to pass comprehensive anti-discrimination legislation that includes the grounds of sex, gender, gender identity</w:t>
      </w:r>
      <w:r w:rsidR="001465A7">
        <w:rPr>
          <w:rFonts w:ascii="MetaPro-Norm" w:hAnsi="MetaPro-Norm"/>
          <w:sz w:val="22"/>
          <w:szCs w:val="22"/>
        </w:rPr>
        <w:t>,</w:t>
      </w:r>
      <w:r w:rsidRPr="00FB4705">
        <w:rPr>
          <w:rFonts w:ascii="MetaPro-Norm" w:hAnsi="MetaPro-Norm"/>
          <w:sz w:val="22"/>
          <w:szCs w:val="22"/>
        </w:rPr>
        <w:t xml:space="preserve"> and sexual orientation</w:t>
      </w:r>
      <w:r w:rsidR="001465A7">
        <w:rPr>
          <w:rFonts w:ascii="MetaPro-Norm" w:hAnsi="MetaPro-Norm"/>
          <w:sz w:val="22"/>
          <w:szCs w:val="22"/>
        </w:rPr>
        <w:t>,</w:t>
      </w:r>
      <w:r w:rsidRPr="00FB4705">
        <w:rPr>
          <w:rFonts w:ascii="MetaPro-Norm" w:hAnsi="MetaPro-Norm"/>
          <w:sz w:val="22"/>
          <w:szCs w:val="22"/>
        </w:rPr>
        <w:t xml:space="preserve"> and gives victims of discrimination access to an effective remedy?</w:t>
      </w:r>
    </w:p>
    <w:p w14:paraId="435032EC" w14:textId="4DC4E026" w:rsidR="003B0065" w:rsidRPr="00FB4705" w:rsidRDefault="003B0065" w:rsidP="002531B2">
      <w:pPr>
        <w:pStyle w:val="ListParagraph"/>
        <w:numPr>
          <w:ilvl w:val="0"/>
          <w:numId w:val="4"/>
        </w:numPr>
        <w:rPr>
          <w:sz w:val="22"/>
          <w:szCs w:val="22"/>
        </w:rPr>
      </w:pPr>
      <w:r w:rsidRPr="00FB4705">
        <w:rPr>
          <w:rFonts w:ascii="MetaPro-Norm" w:hAnsi="MetaPro-Norm"/>
          <w:color w:val="000000"/>
          <w:sz w:val="22"/>
          <w:szCs w:val="22"/>
          <w:shd w:val="clear" w:color="auto" w:fill="FFFFFF"/>
        </w:rPr>
        <w:t xml:space="preserve">What steps are being taken to repeal or amend laws that </w:t>
      </w:r>
      <w:r w:rsidR="00C7487A" w:rsidRPr="00FB4705">
        <w:rPr>
          <w:rFonts w:ascii="MetaPro-Norm" w:hAnsi="MetaPro-Norm"/>
          <w:color w:val="000000"/>
          <w:sz w:val="22"/>
          <w:szCs w:val="22"/>
          <w:shd w:val="clear" w:color="auto" w:fill="FFFFFF"/>
        </w:rPr>
        <w:t>discriminate against women</w:t>
      </w:r>
      <w:r w:rsidR="002531B2" w:rsidRPr="00FB4705">
        <w:rPr>
          <w:rFonts w:ascii="MetaPro-Norm" w:hAnsi="MetaPro-Norm"/>
          <w:color w:val="000000"/>
          <w:sz w:val="22"/>
          <w:szCs w:val="22"/>
          <w:shd w:val="clear" w:color="auto" w:fill="FFFFFF"/>
        </w:rPr>
        <w:t xml:space="preserve">, </w:t>
      </w:r>
      <w:r w:rsidRPr="00FB4705">
        <w:rPr>
          <w:rFonts w:ascii="MetaPro-Norm" w:hAnsi="MetaPro-Norm"/>
          <w:color w:val="000000"/>
          <w:sz w:val="22"/>
          <w:szCs w:val="22"/>
          <w:shd w:val="clear" w:color="auto" w:fill="FFFFFF"/>
        </w:rPr>
        <w:t>including those related to </w:t>
      </w:r>
      <w:r w:rsidRPr="00FB4705">
        <w:rPr>
          <w:rFonts w:ascii="MetaPro-Norm" w:hAnsi="MetaPro-Norm"/>
          <w:i/>
          <w:iCs/>
          <w:color w:val="000000"/>
          <w:sz w:val="22"/>
          <w:szCs w:val="22"/>
          <w:shd w:val="clear" w:color="auto" w:fill="FFFFFF"/>
        </w:rPr>
        <w:t>zina </w:t>
      </w:r>
      <w:r w:rsidRPr="00FB4705">
        <w:rPr>
          <w:rFonts w:ascii="MetaPro-Norm" w:hAnsi="MetaPro-Norm"/>
          <w:color w:val="000000"/>
          <w:sz w:val="22"/>
          <w:szCs w:val="22"/>
          <w:shd w:val="clear" w:color="auto" w:fill="FFFFFF"/>
        </w:rPr>
        <w:t>(sexual intercourse outside of marriage)?</w:t>
      </w:r>
      <w:r w:rsidR="00EB255E">
        <w:rPr>
          <w:rFonts w:ascii="MetaPro-Norm" w:hAnsi="MetaPro-Norm"/>
          <w:color w:val="000000"/>
          <w:sz w:val="22"/>
          <w:szCs w:val="22"/>
          <w:shd w:val="clear" w:color="auto" w:fill="FFFFFF"/>
        </w:rPr>
        <w:t xml:space="preserve"> </w:t>
      </w:r>
    </w:p>
    <w:p w14:paraId="2B5672F8" w14:textId="593A0A8E" w:rsidR="00E24828" w:rsidRPr="00FB4705" w:rsidRDefault="00E24828" w:rsidP="001440CC">
      <w:pPr>
        <w:pStyle w:val="ListParagraph"/>
        <w:numPr>
          <w:ilvl w:val="0"/>
          <w:numId w:val="4"/>
        </w:numPr>
        <w:rPr>
          <w:rFonts w:ascii="MetaPro-Norm" w:hAnsi="MetaPro-Norm"/>
          <w:sz w:val="22"/>
          <w:szCs w:val="22"/>
        </w:rPr>
      </w:pPr>
      <w:r w:rsidRPr="00FB4705">
        <w:rPr>
          <w:rFonts w:ascii="MetaPro-Norm" w:hAnsi="MetaPro-Norm"/>
          <w:sz w:val="22"/>
          <w:szCs w:val="22"/>
        </w:rPr>
        <w:t>How is the government ensuring full access to sexual and reproductive health services, including abortion, across the country regardless of one</w:t>
      </w:r>
      <w:r w:rsidR="001440CC" w:rsidRPr="00FB4705">
        <w:rPr>
          <w:rFonts w:ascii="MetaPro-Norm" w:hAnsi="MetaPro-Norm"/>
          <w:sz w:val="22"/>
          <w:szCs w:val="22"/>
        </w:rPr>
        <w:t>’</w:t>
      </w:r>
      <w:r w:rsidRPr="00FB4705">
        <w:rPr>
          <w:rFonts w:ascii="MetaPro-Norm" w:hAnsi="MetaPro-Norm"/>
          <w:sz w:val="22"/>
          <w:szCs w:val="22"/>
        </w:rPr>
        <w:t xml:space="preserve">s marital or </w:t>
      </w:r>
      <w:r w:rsidR="001440CC" w:rsidRPr="00FB4705">
        <w:rPr>
          <w:rFonts w:ascii="MetaPro-Norm" w:hAnsi="MetaPro-Norm"/>
          <w:sz w:val="22"/>
          <w:szCs w:val="22"/>
        </w:rPr>
        <w:t>visa status</w:t>
      </w:r>
      <w:r w:rsidRPr="00FB4705">
        <w:rPr>
          <w:rFonts w:ascii="MetaPro-Norm" w:hAnsi="MetaPro-Norm"/>
          <w:sz w:val="22"/>
          <w:szCs w:val="22"/>
        </w:rPr>
        <w:t>?</w:t>
      </w:r>
    </w:p>
    <w:p w14:paraId="40428ED2" w14:textId="77777777" w:rsidR="00F82059" w:rsidRPr="00FB4705" w:rsidRDefault="00F82059" w:rsidP="00030FDF">
      <w:pPr>
        <w:rPr>
          <w:sz w:val="22"/>
          <w:szCs w:val="22"/>
        </w:rPr>
      </w:pPr>
    </w:p>
    <w:p w14:paraId="4E16C916" w14:textId="65D0E498" w:rsidR="002C32C3" w:rsidRPr="00FB4705" w:rsidRDefault="002C32C3" w:rsidP="00066845">
      <w:pPr>
        <w:pStyle w:val="ListParagraph"/>
        <w:numPr>
          <w:ilvl w:val="0"/>
          <w:numId w:val="1"/>
        </w:numPr>
        <w:rPr>
          <w:sz w:val="22"/>
          <w:szCs w:val="22"/>
        </w:rPr>
      </w:pPr>
      <w:r w:rsidRPr="00FB4705">
        <w:rPr>
          <w:rFonts w:ascii="MetaPro-Norm" w:hAnsi="MetaPro-Norm"/>
          <w:b/>
          <w:bCs/>
          <w:sz w:val="22"/>
          <w:szCs w:val="22"/>
        </w:rPr>
        <w:t>Violence against women (Arts. 2, 3, and 16)</w:t>
      </w:r>
    </w:p>
    <w:p w14:paraId="5B2D408F" w14:textId="7E2C61E6" w:rsidR="002C32C3" w:rsidRPr="00FB4705" w:rsidRDefault="00615191" w:rsidP="002C32C3">
      <w:pPr>
        <w:rPr>
          <w:rFonts w:ascii="MetaPro-Norm" w:hAnsi="MetaPro-Norm"/>
          <w:i/>
          <w:iCs/>
          <w:sz w:val="22"/>
          <w:szCs w:val="22"/>
        </w:rPr>
      </w:pPr>
      <w:r w:rsidRPr="00FB4705">
        <w:rPr>
          <w:rFonts w:ascii="MetaPro-Norm" w:hAnsi="MetaPro-Norm"/>
          <w:i/>
          <w:iCs/>
          <w:sz w:val="22"/>
          <w:szCs w:val="22"/>
        </w:rPr>
        <w:br/>
      </w:r>
      <w:r w:rsidR="002C32C3" w:rsidRPr="00FB4705">
        <w:rPr>
          <w:rFonts w:ascii="MetaPro-Norm" w:hAnsi="MetaPro-Norm"/>
          <w:i/>
          <w:iCs/>
          <w:sz w:val="22"/>
          <w:szCs w:val="22"/>
        </w:rPr>
        <w:t xml:space="preserve">Domestic Violence </w:t>
      </w:r>
    </w:p>
    <w:p w14:paraId="7212998B" w14:textId="1902DD2F" w:rsidR="002C32C3" w:rsidRPr="00FB4705" w:rsidRDefault="00337858" w:rsidP="00546353">
      <w:pPr>
        <w:rPr>
          <w:rFonts w:ascii="MetaPro-Norm" w:hAnsi="MetaPro-Norm"/>
          <w:sz w:val="22"/>
          <w:szCs w:val="22"/>
        </w:rPr>
      </w:pPr>
      <w:r w:rsidRPr="00FB4705">
        <w:rPr>
          <w:rFonts w:ascii="MetaPro-Norm" w:hAnsi="MetaPro-Norm"/>
          <w:color w:val="000000" w:themeColor="text1"/>
          <w:sz w:val="22"/>
          <w:szCs w:val="22"/>
        </w:rPr>
        <w:lastRenderedPageBreak/>
        <w:t>Human Rights Watch documented cases of Emirati women who fled abusive family members.</w:t>
      </w:r>
      <w:r w:rsidRPr="00FB4705">
        <w:rPr>
          <w:rStyle w:val="FootnoteReference"/>
          <w:rFonts w:ascii="MetaPro-Norm" w:hAnsi="MetaPro-Norm"/>
          <w:color w:val="000000" w:themeColor="text1"/>
          <w:sz w:val="22"/>
          <w:szCs w:val="22"/>
        </w:rPr>
        <w:footnoteReference w:id="19"/>
      </w:r>
      <w:r w:rsidR="00702A20" w:rsidRPr="00FB4705">
        <w:rPr>
          <w:rFonts w:ascii="MetaPro-Norm" w:hAnsi="MetaPro-Norm"/>
          <w:sz w:val="22"/>
          <w:szCs w:val="22"/>
        </w:rPr>
        <w:t xml:space="preserve"> </w:t>
      </w:r>
      <w:r w:rsidR="002C32C3" w:rsidRPr="00FB4705">
        <w:rPr>
          <w:rFonts w:ascii="MetaPro-Norm" w:hAnsi="MetaPro-Norm"/>
          <w:sz w:val="22"/>
          <w:szCs w:val="22"/>
        </w:rPr>
        <w:t>In 2016, the UAE removed the language in the penal code that explicitly allowed for a man’s legal right to discipline his wife and children.</w:t>
      </w:r>
      <w:r w:rsidR="002C32C3" w:rsidRPr="00FB4705">
        <w:rPr>
          <w:rStyle w:val="FootnoteReference"/>
          <w:rFonts w:ascii="MetaPro-Norm" w:hAnsi="MetaPro-Norm"/>
          <w:sz w:val="22"/>
          <w:szCs w:val="22"/>
        </w:rPr>
        <w:footnoteReference w:id="20"/>
      </w:r>
      <w:r w:rsidR="002C32C3" w:rsidRPr="00FB4705">
        <w:rPr>
          <w:rFonts w:ascii="MetaPro-Norm" w:hAnsi="MetaPro-Norm"/>
          <w:sz w:val="22"/>
          <w:szCs w:val="22"/>
        </w:rPr>
        <w:t xml:space="preserve"> </w:t>
      </w:r>
    </w:p>
    <w:p w14:paraId="15853D1B" w14:textId="07AAD331" w:rsidR="002C32C3" w:rsidRPr="00FB4705" w:rsidRDefault="005F5056" w:rsidP="00546353">
      <w:pPr>
        <w:rPr>
          <w:rFonts w:ascii="MetaPro-Norm" w:hAnsi="MetaPro-Norm"/>
          <w:sz w:val="22"/>
          <w:szCs w:val="22"/>
        </w:rPr>
      </w:pPr>
      <w:r>
        <w:rPr>
          <w:rFonts w:ascii="MetaPro-Norm" w:hAnsi="MetaPro-Norm"/>
          <w:sz w:val="22"/>
          <w:szCs w:val="22"/>
        </w:rPr>
        <w:br/>
        <w:t xml:space="preserve">In </w:t>
      </w:r>
      <w:r w:rsidR="002C32C3" w:rsidRPr="00FB4705">
        <w:rPr>
          <w:rFonts w:ascii="MetaPro-Norm" w:hAnsi="MetaPro-Norm"/>
          <w:sz w:val="22"/>
          <w:szCs w:val="22"/>
        </w:rPr>
        <w:t xml:space="preserve">December 2019, authorities passed a law on protections from domestic violence, which came into effect in March 2020. </w:t>
      </w:r>
      <w:r>
        <w:rPr>
          <w:rFonts w:ascii="MetaPro-Norm" w:hAnsi="MetaPro-Norm"/>
          <w:sz w:val="22"/>
          <w:szCs w:val="22"/>
        </w:rPr>
        <w:t>T</w:t>
      </w:r>
      <w:r w:rsidR="002C32C3" w:rsidRPr="00FB4705">
        <w:rPr>
          <w:rFonts w:ascii="MetaPro-Norm" w:hAnsi="MetaPro-Norm"/>
          <w:sz w:val="22"/>
          <w:szCs w:val="22"/>
        </w:rPr>
        <w:t>he law has some positive provisions, including protection orders for the first time (restraining orders against abusers), it contains problematic provisions. It defines domestic violence as “any abuse, violence or threat committed by a family member against any other family member or individual exceeding his guardianship, jurisdiction, authority or responsibility, and resulting in physical or psychological harm,” suggesting that authorities can decide at what point male guardians have gone beyond their authority in disciplining their wives, female relatives, and children.</w:t>
      </w:r>
      <w:r w:rsidR="00F1259E" w:rsidRPr="00FB4705">
        <w:rPr>
          <w:rStyle w:val="FootnoteReference"/>
          <w:rFonts w:ascii="MetaPro-Norm" w:hAnsi="MetaPro-Norm"/>
          <w:sz w:val="22"/>
          <w:szCs w:val="22"/>
        </w:rPr>
        <w:footnoteReference w:id="21"/>
      </w:r>
      <w:r w:rsidR="00E20754" w:rsidRPr="00FB4705">
        <w:rPr>
          <w:rFonts w:ascii="MetaPro-Norm" w:hAnsi="MetaPro-Norm"/>
          <w:sz w:val="22"/>
          <w:szCs w:val="22"/>
        </w:rPr>
        <w:t xml:space="preserve"> The </w:t>
      </w:r>
      <w:r w:rsidR="0073675D" w:rsidRPr="00FB4705">
        <w:rPr>
          <w:rFonts w:ascii="MetaPro-Norm" w:hAnsi="MetaPro-Norm"/>
          <w:sz w:val="22"/>
          <w:szCs w:val="22"/>
        </w:rPr>
        <w:t xml:space="preserve">definition of family including those who can benefit from protection in the law is limited and does not include former spouses, fiancés, or those in </w:t>
      </w:r>
      <w:r w:rsidR="00A92E7D" w:rsidRPr="00FB4705">
        <w:rPr>
          <w:rFonts w:ascii="MetaPro-Norm" w:hAnsi="MetaPro-Norm"/>
          <w:sz w:val="22"/>
          <w:szCs w:val="22"/>
        </w:rPr>
        <w:t>relationships outside of marriage.</w:t>
      </w:r>
      <w:r w:rsidR="00B076FB" w:rsidRPr="00FB4705">
        <w:rPr>
          <w:rStyle w:val="FootnoteReference"/>
          <w:rFonts w:ascii="MetaPro-Norm" w:hAnsi="MetaPro-Norm"/>
          <w:sz w:val="22"/>
          <w:szCs w:val="22"/>
        </w:rPr>
        <w:footnoteReference w:id="22"/>
      </w:r>
      <w:r w:rsidR="002C32C3" w:rsidRPr="00FB4705">
        <w:rPr>
          <w:rFonts w:ascii="MetaPro-Norm" w:hAnsi="MetaPro-Norm"/>
          <w:sz w:val="22"/>
          <w:szCs w:val="22"/>
        </w:rPr>
        <w:t xml:space="preserve"> </w:t>
      </w:r>
      <w:r w:rsidR="00DF06C4" w:rsidRPr="00FB4705">
        <w:rPr>
          <w:rFonts w:ascii="MetaPro-Norm" w:hAnsi="MetaPro-Norm"/>
          <w:sz w:val="22"/>
          <w:szCs w:val="22"/>
        </w:rPr>
        <w:t xml:space="preserve">While it recognizes </w:t>
      </w:r>
      <w:r w:rsidR="006735C4" w:rsidRPr="00FB4705">
        <w:rPr>
          <w:rFonts w:ascii="MetaPro-Norm" w:hAnsi="MetaPro-Norm"/>
          <w:sz w:val="22"/>
          <w:szCs w:val="22"/>
        </w:rPr>
        <w:t>that</w:t>
      </w:r>
      <w:r w:rsidR="00DF06C4" w:rsidRPr="00FB4705">
        <w:rPr>
          <w:rFonts w:ascii="MetaPro-Norm" w:hAnsi="MetaPro-Norm"/>
          <w:sz w:val="22"/>
          <w:szCs w:val="22"/>
        </w:rPr>
        <w:t xml:space="preserve"> domestic violence include</w:t>
      </w:r>
      <w:r w:rsidR="006735C4" w:rsidRPr="00FB4705">
        <w:rPr>
          <w:rFonts w:ascii="MetaPro-Norm" w:hAnsi="MetaPro-Norm"/>
          <w:sz w:val="22"/>
          <w:szCs w:val="22"/>
        </w:rPr>
        <w:t>s</w:t>
      </w:r>
      <w:r w:rsidR="00DF06C4" w:rsidRPr="00FB4705">
        <w:rPr>
          <w:rFonts w:ascii="MetaPro-Norm" w:hAnsi="MetaPro-Norm"/>
          <w:sz w:val="22"/>
          <w:szCs w:val="22"/>
        </w:rPr>
        <w:t xml:space="preserve"> physical</w:t>
      </w:r>
      <w:r w:rsidR="00E20754" w:rsidRPr="00FB4705">
        <w:rPr>
          <w:rFonts w:ascii="MetaPro-Norm" w:hAnsi="MetaPro-Norm"/>
          <w:sz w:val="22"/>
          <w:szCs w:val="22"/>
        </w:rPr>
        <w:t xml:space="preserve">, psychological, </w:t>
      </w:r>
      <w:r w:rsidR="00DF06C4" w:rsidRPr="00FB4705">
        <w:rPr>
          <w:rFonts w:ascii="MetaPro-Norm" w:hAnsi="MetaPro-Norm"/>
          <w:sz w:val="22"/>
          <w:szCs w:val="22"/>
        </w:rPr>
        <w:t>economic</w:t>
      </w:r>
      <w:r w:rsidR="001F1B51">
        <w:rPr>
          <w:rFonts w:ascii="MetaPro-Norm" w:hAnsi="MetaPro-Norm"/>
          <w:sz w:val="22"/>
          <w:szCs w:val="22"/>
        </w:rPr>
        <w:t>,</w:t>
      </w:r>
      <w:r w:rsidR="00DF06C4" w:rsidRPr="00FB4705">
        <w:rPr>
          <w:rFonts w:ascii="MetaPro-Norm" w:hAnsi="MetaPro-Norm"/>
          <w:sz w:val="22"/>
          <w:szCs w:val="22"/>
        </w:rPr>
        <w:t xml:space="preserve"> </w:t>
      </w:r>
      <w:r w:rsidR="00E20754" w:rsidRPr="00FB4705">
        <w:rPr>
          <w:rFonts w:ascii="MetaPro-Norm" w:hAnsi="MetaPro-Norm"/>
          <w:sz w:val="22"/>
          <w:szCs w:val="22"/>
        </w:rPr>
        <w:t>and sexual</w:t>
      </w:r>
      <w:r w:rsidR="00DF06C4" w:rsidRPr="00FB4705">
        <w:rPr>
          <w:rFonts w:ascii="MetaPro-Norm" w:hAnsi="MetaPro-Norm"/>
          <w:sz w:val="22"/>
          <w:szCs w:val="22"/>
        </w:rPr>
        <w:t xml:space="preserve"> violence, </w:t>
      </w:r>
      <w:r w:rsidR="00E20754" w:rsidRPr="00FB4705">
        <w:rPr>
          <w:rFonts w:ascii="MetaPro-Norm" w:hAnsi="MetaPro-Norm"/>
          <w:sz w:val="22"/>
          <w:szCs w:val="22"/>
        </w:rPr>
        <w:t>it</w:t>
      </w:r>
      <w:r w:rsidR="002C32C3" w:rsidRPr="00FB4705">
        <w:rPr>
          <w:rFonts w:ascii="MetaPro-Norm" w:hAnsi="MetaPro-Norm"/>
          <w:sz w:val="22"/>
          <w:szCs w:val="22"/>
        </w:rPr>
        <w:t xml:space="preserve"> d</w:t>
      </w:r>
      <w:r w:rsidR="00E20754" w:rsidRPr="00FB4705">
        <w:rPr>
          <w:rFonts w:ascii="MetaPro-Norm" w:hAnsi="MetaPro-Norm"/>
          <w:sz w:val="22"/>
          <w:szCs w:val="22"/>
        </w:rPr>
        <w:t>oes</w:t>
      </w:r>
      <w:r w:rsidR="002C32C3" w:rsidRPr="00FB4705">
        <w:rPr>
          <w:rFonts w:ascii="MetaPro-Norm" w:hAnsi="MetaPro-Norm"/>
          <w:sz w:val="22"/>
          <w:szCs w:val="22"/>
        </w:rPr>
        <w:t xml:space="preserve"> not criminalize marital rape.</w:t>
      </w:r>
      <w:r w:rsidR="002C32C3" w:rsidRPr="00FB4705">
        <w:rPr>
          <w:rStyle w:val="FootnoteReference"/>
          <w:rFonts w:ascii="MetaPro-Norm" w:hAnsi="MetaPro-Norm"/>
          <w:sz w:val="22"/>
          <w:szCs w:val="22"/>
        </w:rPr>
        <w:footnoteReference w:id="23"/>
      </w:r>
      <w:r w:rsidR="002C32C3" w:rsidRPr="00FB4705">
        <w:rPr>
          <w:rFonts w:ascii="MetaPro-Norm" w:hAnsi="MetaPro-Norm"/>
          <w:sz w:val="22"/>
          <w:szCs w:val="22"/>
        </w:rPr>
        <w:t xml:space="preserve"> The law prioritizes reconciliation over safety </w:t>
      </w:r>
      <w:r w:rsidR="00AB09B0">
        <w:rPr>
          <w:rFonts w:ascii="MetaPro-Norm" w:hAnsi="MetaPro-Norm"/>
          <w:sz w:val="22"/>
          <w:szCs w:val="22"/>
        </w:rPr>
        <w:t>for</w:t>
      </w:r>
      <w:r w:rsidR="002C32C3" w:rsidRPr="00FB4705">
        <w:rPr>
          <w:rFonts w:ascii="MetaPro-Norm" w:hAnsi="MetaPro-Norm"/>
          <w:sz w:val="22"/>
          <w:szCs w:val="22"/>
        </w:rPr>
        <w:t xml:space="preserve"> the victim</w:t>
      </w:r>
      <w:r w:rsidR="00AB09B0">
        <w:rPr>
          <w:rFonts w:ascii="MetaPro-Norm" w:hAnsi="MetaPro-Norm"/>
          <w:sz w:val="22"/>
          <w:szCs w:val="22"/>
        </w:rPr>
        <w:t>; it</w:t>
      </w:r>
      <w:r w:rsidR="002C32C3" w:rsidRPr="00FB4705">
        <w:rPr>
          <w:rFonts w:ascii="MetaPro-Norm" w:hAnsi="MetaPro-Norm"/>
          <w:sz w:val="22"/>
          <w:szCs w:val="22"/>
        </w:rPr>
        <w:t xml:space="preserve"> requires the public prosecution propose “conciliation” between the victim and the abuser before any criminal action is pursued.</w:t>
      </w:r>
      <w:r w:rsidR="00456AD0" w:rsidRPr="00FB4705">
        <w:rPr>
          <w:rStyle w:val="FootnoteReference"/>
          <w:rFonts w:ascii="MetaPro-Norm" w:hAnsi="MetaPro-Norm"/>
          <w:sz w:val="22"/>
          <w:szCs w:val="22"/>
        </w:rPr>
        <w:footnoteReference w:id="24"/>
      </w:r>
      <w:r w:rsidR="002C32C3" w:rsidRPr="00FB4705">
        <w:rPr>
          <w:rFonts w:ascii="MetaPro-Norm" w:hAnsi="MetaPro-Norm"/>
          <w:sz w:val="22"/>
          <w:szCs w:val="22"/>
        </w:rPr>
        <w:t xml:space="preserve"> </w:t>
      </w:r>
    </w:p>
    <w:p w14:paraId="338603DC" w14:textId="77777777" w:rsidR="002C32C3" w:rsidRPr="00FB4705" w:rsidRDefault="002C32C3" w:rsidP="002C32C3">
      <w:pPr>
        <w:jc w:val="both"/>
        <w:rPr>
          <w:rFonts w:ascii="MetaPro-Norm" w:hAnsi="MetaPro-Norm"/>
          <w:sz w:val="22"/>
          <w:szCs w:val="22"/>
        </w:rPr>
      </w:pPr>
    </w:p>
    <w:p w14:paraId="374EDA9A" w14:textId="2EF19005" w:rsidR="002C32C3" w:rsidRPr="00FB4705" w:rsidRDefault="002C32C3" w:rsidP="002C32C3">
      <w:pPr>
        <w:jc w:val="both"/>
        <w:rPr>
          <w:rFonts w:ascii="MetaPro-Norm" w:hAnsi="MetaPro-Norm"/>
          <w:i/>
          <w:iCs/>
          <w:sz w:val="22"/>
          <w:szCs w:val="22"/>
        </w:rPr>
      </w:pPr>
      <w:r w:rsidRPr="00FB4705">
        <w:rPr>
          <w:rFonts w:ascii="MetaPro-Norm" w:hAnsi="MetaPro-Norm"/>
          <w:i/>
          <w:iCs/>
          <w:sz w:val="22"/>
          <w:szCs w:val="22"/>
        </w:rPr>
        <w:t xml:space="preserve">Other </w:t>
      </w:r>
      <w:r w:rsidR="009C7637">
        <w:rPr>
          <w:rFonts w:ascii="MetaPro-Norm" w:hAnsi="MetaPro-Norm"/>
          <w:i/>
          <w:iCs/>
          <w:sz w:val="22"/>
          <w:szCs w:val="22"/>
        </w:rPr>
        <w:t>F</w:t>
      </w:r>
      <w:r w:rsidRPr="00FB4705">
        <w:rPr>
          <w:rFonts w:ascii="MetaPro-Norm" w:hAnsi="MetaPro-Norm"/>
          <w:i/>
          <w:iCs/>
          <w:sz w:val="22"/>
          <w:szCs w:val="22"/>
        </w:rPr>
        <w:t xml:space="preserve">orms of </w:t>
      </w:r>
      <w:r w:rsidR="009C7637">
        <w:rPr>
          <w:rFonts w:ascii="MetaPro-Norm" w:hAnsi="MetaPro-Norm"/>
          <w:i/>
          <w:iCs/>
          <w:sz w:val="22"/>
          <w:szCs w:val="22"/>
        </w:rPr>
        <w:t>V</w:t>
      </w:r>
      <w:r w:rsidRPr="00FB4705">
        <w:rPr>
          <w:rFonts w:ascii="MetaPro-Norm" w:hAnsi="MetaPro-Norm"/>
          <w:i/>
          <w:iCs/>
          <w:sz w:val="22"/>
          <w:szCs w:val="22"/>
        </w:rPr>
        <w:t xml:space="preserve">iolence </w:t>
      </w:r>
      <w:r w:rsidR="009C7637">
        <w:rPr>
          <w:rFonts w:ascii="MetaPro-Norm" w:hAnsi="MetaPro-Norm"/>
          <w:i/>
          <w:iCs/>
          <w:sz w:val="22"/>
          <w:szCs w:val="22"/>
        </w:rPr>
        <w:t>a</w:t>
      </w:r>
      <w:r w:rsidRPr="00FB4705">
        <w:rPr>
          <w:rFonts w:ascii="MetaPro-Norm" w:hAnsi="MetaPro-Norm"/>
          <w:i/>
          <w:iCs/>
          <w:sz w:val="22"/>
          <w:szCs w:val="22"/>
        </w:rPr>
        <w:t xml:space="preserve">gainst </w:t>
      </w:r>
      <w:r w:rsidR="009C7637">
        <w:rPr>
          <w:rFonts w:ascii="MetaPro-Norm" w:hAnsi="MetaPro-Norm"/>
          <w:i/>
          <w:iCs/>
          <w:sz w:val="22"/>
          <w:szCs w:val="22"/>
        </w:rPr>
        <w:t>W</w:t>
      </w:r>
      <w:r w:rsidRPr="00FB4705">
        <w:rPr>
          <w:rFonts w:ascii="MetaPro-Norm" w:hAnsi="MetaPro-Norm"/>
          <w:i/>
          <w:iCs/>
          <w:sz w:val="22"/>
          <w:szCs w:val="22"/>
        </w:rPr>
        <w:t>omen</w:t>
      </w:r>
    </w:p>
    <w:p w14:paraId="67250AF4" w14:textId="56C183DF" w:rsidR="002C32C3" w:rsidRPr="00FB4705" w:rsidRDefault="002C32C3" w:rsidP="002C32C3">
      <w:pPr>
        <w:rPr>
          <w:rFonts w:ascii="MetaPro-Norm" w:hAnsi="MetaPro-Norm"/>
          <w:sz w:val="22"/>
          <w:szCs w:val="22"/>
        </w:rPr>
      </w:pPr>
      <w:r w:rsidRPr="00FB4705">
        <w:rPr>
          <w:rFonts w:ascii="MetaPro-Norm" w:hAnsi="MetaPro-Norm"/>
          <w:sz w:val="22"/>
          <w:szCs w:val="22"/>
        </w:rPr>
        <w:t xml:space="preserve">The UAE </w:t>
      </w:r>
      <w:r w:rsidR="00E4650F" w:rsidRPr="00FB4705">
        <w:rPr>
          <w:rFonts w:ascii="MetaPro-Norm" w:hAnsi="MetaPro-Norm"/>
          <w:sz w:val="22"/>
          <w:szCs w:val="22"/>
        </w:rPr>
        <w:t xml:space="preserve">penal code </w:t>
      </w:r>
      <w:r w:rsidRPr="00FB4705">
        <w:rPr>
          <w:rFonts w:ascii="MetaPro-Norm" w:hAnsi="MetaPro-Norm"/>
          <w:sz w:val="22"/>
          <w:szCs w:val="22"/>
        </w:rPr>
        <w:t>has a number of articles provid</w:t>
      </w:r>
      <w:r w:rsidR="00AB09B0">
        <w:rPr>
          <w:rFonts w:ascii="MetaPro-Norm" w:hAnsi="MetaPro-Norm"/>
          <w:sz w:val="22"/>
          <w:szCs w:val="22"/>
        </w:rPr>
        <w:t>ing</w:t>
      </w:r>
      <w:r w:rsidRPr="00FB4705">
        <w:rPr>
          <w:rFonts w:ascii="MetaPro-Norm" w:hAnsi="MetaPro-Norm"/>
          <w:sz w:val="22"/>
          <w:szCs w:val="22"/>
        </w:rPr>
        <w:t xml:space="preserve"> for lenient sentences for violence against women. </w:t>
      </w:r>
      <w:r w:rsidR="69617BCE" w:rsidRPr="00FB4705">
        <w:rPr>
          <w:rFonts w:ascii="MetaPro-Norm" w:hAnsi="MetaPro-Norm"/>
          <w:sz w:val="22"/>
          <w:szCs w:val="22"/>
        </w:rPr>
        <w:t>I</w:t>
      </w:r>
      <w:r w:rsidR="4B114BA1" w:rsidRPr="00FB4705">
        <w:rPr>
          <w:rFonts w:ascii="MetaPro-Norm" w:hAnsi="MetaPro-Norm"/>
          <w:sz w:val="22"/>
          <w:szCs w:val="22"/>
        </w:rPr>
        <w:t xml:space="preserve">f a man kills his female relative upon finding her committing adultery, </w:t>
      </w:r>
      <w:r w:rsidR="00AC5C73">
        <w:rPr>
          <w:rFonts w:ascii="MetaPro-Norm" w:hAnsi="MetaPro-Norm"/>
          <w:sz w:val="22"/>
          <w:szCs w:val="22"/>
        </w:rPr>
        <w:t>a</w:t>
      </w:r>
      <w:r w:rsidR="00216F99" w:rsidRPr="00FB4705">
        <w:rPr>
          <w:rFonts w:ascii="MetaPro-Norm" w:hAnsi="MetaPro-Norm"/>
          <w:sz w:val="22"/>
          <w:szCs w:val="22"/>
        </w:rPr>
        <w:t>rticle</w:t>
      </w:r>
      <w:r w:rsidR="00EB255E">
        <w:rPr>
          <w:rFonts w:ascii="MetaPro-Norm" w:hAnsi="MetaPro-Norm"/>
          <w:sz w:val="22"/>
          <w:szCs w:val="22"/>
        </w:rPr>
        <w:t xml:space="preserve"> </w:t>
      </w:r>
      <w:r w:rsidRPr="00FB4705">
        <w:rPr>
          <w:rFonts w:ascii="MetaPro-Norm" w:hAnsi="MetaPro-Norm"/>
          <w:sz w:val="22"/>
          <w:szCs w:val="22"/>
        </w:rPr>
        <w:t xml:space="preserve">334 of the penal code provides </w:t>
      </w:r>
      <w:r w:rsidR="40B6CCE1" w:rsidRPr="00FB4705">
        <w:rPr>
          <w:rFonts w:ascii="MetaPro-Norm" w:hAnsi="MetaPro-Norm"/>
          <w:sz w:val="22"/>
          <w:szCs w:val="22"/>
        </w:rPr>
        <w:t xml:space="preserve">for a term of imprisonment, </w:t>
      </w:r>
      <w:r w:rsidR="00C375FC" w:rsidRPr="00FB4705">
        <w:rPr>
          <w:rFonts w:ascii="MetaPro-Norm" w:hAnsi="MetaPro-Norm"/>
          <w:sz w:val="22"/>
          <w:szCs w:val="22"/>
        </w:rPr>
        <w:t>instead of life imprisonment as it does in cases of murder</w:t>
      </w:r>
      <w:r w:rsidR="00AC5C73">
        <w:rPr>
          <w:rFonts w:ascii="MetaPro-Norm" w:hAnsi="MetaPro-Norm"/>
          <w:sz w:val="22"/>
          <w:szCs w:val="22"/>
        </w:rPr>
        <w:t>, for</w:t>
      </w:r>
      <w:r w:rsidR="00C375FC" w:rsidRPr="00FB4705">
        <w:rPr>
          <w:rFonts w:ascii="MetaPro-Norm" w:hAnsi="MetaPro-Norm"/>
          <w:sz w:val="22"/>
          <w:szCs w:val="22"/>
        </w:rPr>
        <w:t xml:space="preserve"> </w:t>
      </w:r>
      <w:r w:rsidR="00412D09" w:rsidRPr="00FB4705">
        <w:rPr>
          <w:rFonts w:ascii="MetaPro-Norm" w:hAnsi="MetaPro-Norm"/>
          <w:sz w:val="22"/>
          <w:szCs w:val="22"/>
        </w:rPr>
        <w:t>committing adultery.</w:t>
      </w:r>
      <w:r w:rsidRPr="00FB4705">
        <w:rPr>
          <w:rStyle w:val="FootnoteReference"/>
          <w:rFonts w:ascii="MetaPro-Norm" w:hAnsi="MetaPro-Norm"/>
          <w:sz w:val="22"/>
          <w:szCs w:val="22"/>
        </w:rPr>
        <w:footnoteReference w:id="25"/>
      </w:r>
      <w:r w:rsidRPr="00FB4705">
        <w:rPr>
          <w:rFonts w:ascii="MetaPro-Norm" w:hAnsi="MetaPro-Norm"/>
          <w:sz w:val="22"/>
          <w:szCs w:val="22"/>
        </w:rPr>
        <w:t xml:space="preserve"> The same </w:t>
      </w:r>
      <w:r w:rsidR="00216F99" w:rsidRPr="00FB4705">
        <w:rPr>
          <w:rFonts w:ascii="MetaPro-Norm" w:hAnsi="MetaPro-Norm"/>
          <w:sz w:val="22"/>
          <w:szCs w:val="22"/>
        </w:rPr>
        <w:t>article</w:t>
      </w:r>
      <w:r w:rsidR="00EB255E">
        <w:rPr>
          <w:rFonts w:ascii="MetaPro-Norm" w:hAnsi="MetaPro-Norm"/>
          <w:sz w:val="22"/>
          <w:szCs w:val="22"/>
        </w:rPr>
        <w:t xml:space="preserve"> </w:t>
      </w:r>
      <w:r w:rsidRPr="00FB4705">
        <w:rPr>
          <w:rFonts w:ascii="MetaPro-Norm" w:hAnsi="MetaPro-Norm"/>
          <w:sz w:val="22"/>
          <w:szCs w:val="22"/>
        </w:rPr>
        <w:t xml:space="preserve">allows the wife to benefit if she kills her husband in a similar situation. </w:t>
      </w:r>
    </w:p>
    <w:p w14:paraId="132217A6" w14:textId="77777777" w:rsidR="002C32C3" w:rsidRPr="00FB4705" w:rsidRDefault="002C32C3" w:rsidP="002C32C3">
      <w:pPr>
        <w:rPr>
          <w:rFonts w:ascii="MetaPro-Norm" w:hAnsi="MetaPro-Norm"/>
          <w:sz w:val="22"/>
          <w:szCs w:val="22"/>
        </w:rPr>
      </w:pPr>
    </w:p>
    <w:p w14:paraId="1DF1E917" w14:textId="047CB3ED" w:rsidR="002C32C3" w:rsidRPr="00FB4705" w:rsidRDefault="00DC1691" w:rsidP="002C32C3">
      <w:pPr>
        <w:rPr>
          <w:rFonts w:ascii="MetaPro-Norm" w:hAnsi="MetaPro-Norm"/>
          <w:sz w:val="22"/>
          <w:szCs w:val="22"/>
        </w:rPr>
      </w:pPr>
      <w:r w:rsidRPr="00FB4705">
        <w:rPr>
          <w:rFonts w:ascii="MetaPro-Norm" w:hAnsi="MetaPro-Norm"/>
          <w:sz w:val="22"/>
          <w:szCs w:val="22"/>
        </w:rPr>
        <w:t>Moreover</w:t>
      </w:r>
      <w:r w:rsidR="002C32C3" w:rsidRPr="00FB4705">
        <w:rPr>
          <w:rFonts w:ascii="MetaPro-Norm" w:hAnsi="MetaPro-Norm"/>
          <w:sz w:val="22"/>
          <w:szCs w:val="22"/>
        </w:rPr>
        <w:t>, men can still benefit from lighter sentencing</w:t>
      </w:r>
      <w:r w:rsidRPr="00FB4705">
        <w:rPr>
          <w:rFonts w:ascii="MetaPro-Norm" w:hAnsi="MetaPro-Norm"/>
          <w:sz w:val="22"/>
          <w:szCs w:val="22"/>
        </w:rPr>
        <w:t xml:space="preserve"> for killing a female relative even when it does not meet </w:t>
      </w:r>
      <w:r w:rsidR="02DAA7BE" w:rsidRPr="00FB4705">
        <w:rPr>
          <w:rFonts w:ascii="MetaPro-Norm" w:hAnsi="MetaPro-Norm"/>
          <w:sz w:val="22"/>
          <w:szCs w:val="22"/>
        </w:rPr>
        <w:t>this criterion</w:t>
      </w:r>
      <w:r w:rsidR="002C32C3" w:rsidRPr="00FB4705">
        <w:rPr>
          <w:rFonts w:ascii="MetaPro-Norm" w:hAnsi="MetaPro-Norm"/>
          <w:sz w:val="22"/>
          <w:szCs w:val="22"/>
        </w:rPr>
        <w:t xml:space="preserve">. Article 332(3) provides that in cases of killings, including pre-meditated murder, if family </w:t>
      </w:r>
      <w:r w:rsidR="008C297F">
        <w:rPr>
          <w:rFonts w:ascii="MetaPro-Norm" w:hAnsi="MetaPro-Norm"/>
          <w:sz w:val="22"/>
          <w:szCs w:val="22"/>
        </w:rPr>
        <w:t>members</w:t>
      </w:r>
      <w:r w:rsidR="002C32C3" w:rsidRPr="00FB4705">
        <w:rPr>
          <w:rFonts w:ascii="MetaPro-Norm" w:hAnsi="MetaPro-Norm"/>
          <w:sz w:val="22"/>
          <w:szCs w:val="22"/>
        </w:rPr>
        <w:t xml:space="preserve"> of the murdered victim, who are entitled to </w:t>
      </w:r>
      <w:r w:rsidR="002C32C3" w:rsidRPr="00FB4705">
        <w:rPr>
          <w:rFonts w:ascii="MetaPro-Norm" w:hAnsi="MetaPro-Norm"/>
          <w:i/>
          <w:iCs/>
          <w:sz w:val="22"/>
          <w:szCs w:val="22"/>
        </w:rPr>
        <w:t>diya</w:t>
      </w:r>
      <w:r w:rsidR="002C32C3" w:rsidRPr="00FB4705">
        <w:rPr>
          <w:rFonts w:ascii="MetaPro-Norm" w:hAnsi="MetaPro-Norm"/>
          <w:sz w:val="22"/>
          <w:szCs w:val="22"/>
        </w:rPr>
        <w:t xml:space="preserve"> (blood money), waive their right to see the person punished</w:t>
      </w:r>
      <w:r w:rsidR="00D31821" w:rsidRPr="00FB4705">
        <w:rPr>
          <w:rFonts w:ascii="MetaPro-Norm" w:hAnsi="MetaPro-Norm"/>
          <w:sz w:val="22"/>
          <w:szCs w:val="22"/>
        </w:rPr>
        <w:t>,</w:t>
      </w:r>
      <w:r w:rsidR="002C32C3" w:rsidRPr="00FB4705">
        <w:rPr>
          <w:rFonts w:ascii="MetaPro-Norm" w:hAnsi="MetaPro-Norm"/>
          <w:sz w:val="22"/>
          <w:szCs w:val="22"/>
        </w:rPr>
        <w:t xml:space="preserve"> the accused can be subject to a minimum sentence of one-year imprisonment.</w:t>
      </w:r>
      <w:r w:rsidR="002C32C3" w:rsidRPr="00FB4705">
        <w:rPr>
          <w:rStyle w:val="FootnoteReference"/>
          <w:rFonts w:ascii="MetaPro-Norm" w:hAnsi="MetaPro-Norm"/>
          <w:sz w:val="22"/>
          <w:szCs w:val="22"/>
        </w:rPr>
        <w:footnoteReference w:id="26"/>
      </w:r>
      <w:r w:rsidR="002C32C3" w:rsidRPr="00FB4705">
        <w:rPr>
          <w:rFonts w:ascii="MetaPro-Norm" w:hAnsi="MetaPro-Norm"/>
          <w:sz w:val="22"/>
          <w:szCs w:val="22"/>
        </w:rPr>
        <w:t xml:space="preserve"> In cases relating to violence against women by a family member, including in so-called “honor” killings, the murdered victim’s family is also the family of the murderer. Men in such cases are more likely to benefit from being pardoned by their families and thus allowing for lighter sentences for killings of women by family members. </w:t>
      </w:r>
    </w:p>
    <w:p w14:paraId="6487CA28" w14:textId="77777777" w:rsidR="002C32C3" w:rsidRPr="00FB4705" w:rsidRDefault="002C32C3" w:rsidP="002C32C3">
      <w:pPr>
        <w:rPr>
          <w:rFonts w:ascii="MetaPro-Norm" w:hAnsi="MetaPro-Norm"/>
          <w:sz w:val="22"/>
          <w:szCs w:val="22"/>
        </w:rPr>
      </w:pPr>
      <w:r w:rsidRPr="00FB4705">
        <w:rPr>
          <w:rFonts w:ascii="MetaPro-Norm" w:hAnsi="MetaPro-Norm"/>
          <w:sz w:val="22"/>
          <w:szCs w:val="22"/>
        </w:rPr>
        <w:t xml:space="preserve"> </w:t>
      </w:r>
    </w:p>
    <w:p w14:paraId="13EE5AA1" w14:textId="4A44F8BE" w:rsidR="008C2E6B" w:rsidRPr="00FB4705" w:rsidRDefault="002C32C3" w:rsidP="002C32C3">
      <w:pPr>
        <w:rPr>
          <w:rFonts w:ascii="MetaPro-Norm" w:hAnsi="MetaPro-Norm"/>
          <w:sz w:val="22"/>
          <w:szCs w:val="22"/>
        </w:rPr>
      </w:pPr>
      <w:r w:rsidRPr="00FB4705">
        <w:rPr>
          <w:rFonts w:ascii="MetaPro-Norm" w:hAnsi="MetaPro-Norm"/>
          <w:sz w:val="22"/>
          <w:szCs w:val="22"/>
        </w:rPr>
        <w:t>In November 2020, the UAE announced in its reforms that men could no longer benefit from lighter sentences for assaulting a female relative for so-called “honor crimes.”</w:t>
      </w:r>
      <w:r w:rsidRPr="00FB4705">
        <w:rPr>
          <w:rStyle w:val="FootnoteReference"/>
          <w:rFonts w:ascii="MetaPro-Norm" w:hAnsi="MetaPro-Norm"/>
          <w:sz w:val="22"/>
          <w:szCs w:val="22"/>
        </w:rPr>
        <w:footnoteReference w:id="27"/>
      </w:r>
      <w:r w:rsidRPr="00FB4705">
        <w:rPr>
          <w:rFonts w:ascii="MetaPro-Norm" w:hAnsi="MetaPro-Norm"/>
          <w:sz w:val="22"/>
          <w:szCs w:val="22"/>
        </w:rPr>
        <w:t xml:space="preserve"> However, it is unclear how they translated this into law</w:t>
      </w:r>
      <w:r w:rsidR="001974AD">
        <w:rPr>
          <w:rFonts w:ascii="MetaPro-Norm" w:hAnsi="MetaPro-Norm"/>
          <w:sz w:val="22"/>
          <w:szCs w:val="22"/>
        </w:rPr>
        <w:t>,</w:t>
      </w:r>
      <w:r w:rsidRPr="00FB4705">
        <w:rPr>
          <w:rFonts w:ascii="MetaPro-Norm" w:hAnsi="MetaPro-Norm"/>
          <w:sz w:val="22"/>
          <w:szCs w:val="22"/>
        </w:rPr>
        <w:t xml:space="preserve"> including whether both article</w:t>
      </w:r>
      <w:r w:rsidR="001974AD">
        <w:rPr>
          <w:rFonts w:ascii="MetaPro-Norm" w:hAnsi="MetaPro-Norm"/>
          <w:sz w:val="22"/>
          <w:szCs w:val="22"/>
        </w:rPr>
        <w:t>s</w:t>
      </w:r>
      <w:r w:rsidRPr="00FB4705">
        <w:rPr>
          <w:rFonts w:ascii="MetaPro-Norm" w:hAnsi="MetaPro-Norm"/>
          <w:sz w:val="22"/>
          <w:szCs w:val="22"/>
        </w:rPr>
        <w:t xml:space="preserve"> 332(3) and 334 are repealed.</w:t>
      </w:r>
      <w:r w:rsidR="00EB255E">
        <w:rPr>
          <w:rFonts w:ascii="MetaPro-Norm" w:hAnsi="MetaPro-Norm"/>
          <w:sz w:val="22"/>
          <w:szCs w:val="22"/>
        </w:rPr>
        <w:t xml:space="preserve"> </w:t>
      </w:r>
    </w:p>
    <w:p w14:paraId="36BCC0E6" w14:textId="77777777" w:rsidR="008C2E6B" w:rsidRPr="00FB4705" w:rsidRDefault="008C2E6B" w:rsidP="00066845">
      <w:pPr>
        <w:rPr>
          <w:rFonts w:ascii="MetaPro-Norm" w:hAnsi="MetaPro-Norm"/>
          <w:sz w:val="22"/>
          <w:szCs w:val="22"/>
        </w:rPr>
      </w:pPr>
    </w:p>
    <w:p w14:paraId="22A35619" w14:textId="77777777" w:rsidR="002C32C3" w:rsidRPr="00FB4705" w:rsidRDefault="002C32C3" w:rsidP="002C32C3">
      <w:pPr>
        <w:jc w:val="both"/>
        <w:rPr>
          <w:rFonts w:ascii="MetaPro-Norm" w:hAnsi="MetaPro-Norm"/>
          <w:i/>
          <w:iCs/>
          <w:sz w:val="22"/>
          <w:szCs w:val="22"/>
        </w:rPr>
      </w:pPr>
      <w:r w:rsidRPr="00FB4705">
        <w:rPr>
          <w:rFonts w:ascii="MetaPro-Norm" w:hAnsi="MetaPro-Norm"/>
          <w:i/>
          <w:iCs/>
          <w:sz w:val="22"/>
          <w:szCs w:val="22"/>
        </w:rPr>
        <w:t>Forced Abduction and Intimidation</w:t>
      </w:r>
    </w:p>
    <w:p w14:paraId="6F2AC7EF" w14:textId="68838AFE" w:rsidR="002C32C3" w:rsidRPr="00FB4705" w:rsidRDefault="002C32C3" w:rsidP="002C32C3">
      <w:pPr>
        <w:rPr>
          <w:rFonts w:ascii="MetaPro-Norm" w:hAnsi="MetaPro-Norm"/>
          <w:color w:val="000000" w:themeColor="text1"/>
          <w:sz w:val="22"/>
          <w:szCs w:val="22"/>
        </w:rPr>
      </w:pPr>
      <w:r w:rsidRPr="00FB4705">
        <w:rPr>
          <w:rFonts w:ascii="MetaPro-Norm" w:hAnsi="MetaPro-Norm"/>
          <w:color w:val="000000" w:themeColor="text1"/>
          <w:sz w:val="22"/>
          <w:szCs w:val="22"/>
        </w:rPr>
        <w:t>On March 5, 2020, a UK family court found that</w:t>
      </w:r>
      <w:r w:rsidR="009046BF">
        <w:rPr>
          <w:rFonts w:ascii="MetaPro-Norm" w:hAnsi="MetaPro-Norm"/>
          <w:color w:val="000000" w:themeColor="text1"/>
          <w:sz w:val="22"/>
          <w:szCs w:val="22"/>
        </w:rPr>
        <w:t xml:space="preserve"> the</w:t>
      </w:r>
      <w:r w:rsidR="005B2DF6" w:rsidRPr="00FB4705">
        <w:rPr>
          <w:rFonts w:ascii="MetaPro-Norm" w:hAnsi="MetaPro-Norm"/>
          <w:color w:val="000000" w:themeColor="text1"/>
          <w:sz w:val="22"/>
          <w:szCs w:val="22"/>
        </w:rPr>
        <w:t xml:space="preserve"> UAE prime minister</w:t>
      </w:r>
      <w:r w:rsidR="009046BF">
        <w:rPr>
          <w:rFonts w:ascii="MetaPro-Norm" w:hAnsi="MetaPro-Norm"/>
          <w:color w:val="000000" w:themeColor="text1"/>
          <w:sz w:val="22"/>
          <w:szCs w:val="22"/>
        </w:rPr>
        <w:t xml:space="preserve"> </w:t>
      </w:r>
      <w:r w:rsidRPr="00FB4705">
        <w:rPr>
          <w:rFonts w:ascii="MetaPro-Norm" w:hAnsi="MetaPro-Norm"/>
          <w:color w:val="000000" w:themeColor="text1"/>
          <w:sz w:val="22"/>
          <w:szCs w:val="22"/>
        </w:rPr>
        <w:t xml:space="preserve">had arranged the abduction and forcible return of his daughters, </w:t>
      </w:r>
      <w:r w:rsidR="009046BF">
        <w:rPr>
          <w:rFonts w:ascii="MetaPro-Norm" w:hAnsi="MetaPro-Norm"/>
          <w:color w:val="000000" w:themeColor="text1"/>
          <w:sz w:val="22"/>
          <w:szCs w:val="22"/>
        </w:rPr>
        <w:t>“SM</w:t>
      </w:r>
      <w:r w:rsidRPr="00FB4705">
        <w:rPr>
          <w:rFonts w:ascii="MetaPro-Norm" w:hAnsi="MetaPro-Norm"/>
          <w:color w:val="000000" w:themeColor="text1"/>
          <w:sz w:val="22"/>
          <w:szCs w:val="22"/>
        </w:rPr>
        <w:t>,</w:t>
      </w:r>
      <w:r w:rsidR="009046BF">
        <w:rPr>
          <w:rFonts w:ascii="MetaPro-Norm" w:hAnsi="MetaPro-Norm"/>
          <w:color w:val="000000" w:themeColor="text1"/>
          <w:sz w:val="22"/>
          <w:szCs w:val="22"/>
        </w:rPr>
        <w:t>”</w:t>
      </w:r>
      <w:r w:rsidRPr="00FB4705">
        <w:rPr>
          <w:rFonts w:ascii="MetaPro-Norm" w:hAnsi="MetaPro-Norm"/>
          <w:color w:val="000000" w:themeColor="text1"/>
          <w:sz w:val="22"/>
          <w:szCs w:val="22"/>
        </w:rPr>
        <w:t xml:space="preserve"> age 38, and</w:t>
      </w:r>
      <w:r w:rsidR="009046BF">
        <w:rPr>
          <w:rFonts w:ascii="MetaPro-Norm" w:hAnsi="MetaPro-Norm"/>
          <w:color w:val="000000" w:themeColor="text1"/>
          <w:sz w:val="22"/>
          <w:szCs w:val="22"/>
        </w:rPr>
        <w:t xml:space="preserve"> “LM</w:t>
      </w:r>
      <w:r w:rsidRPr="00FB4705">
        <w:rPr>
          <w:rFonts w:ascii="MetaPro-Norm" w:hAnsi="MetaPro-Norm"/>
          <w:color w:val="000000" w:themeColor="text1"/>
          <w:sz w:val="22"/>
          <w:szCs w:val="22"/>
        </w:rPr>
        <w:t>,</w:t>
      </w:r>
      <w:r w:rsidR="009046BF">
        <w:rPr>
          <w:rFonts w:ascii="MetaPro-Norm" w:hAnsi="MetaPro-Norm"/>
          <w:color w:val="000000" w:themeColor="text1"/>
          <w:sz w:val="22"/>
          <w:szCs w:val="22"/>
        </w:rPr>
        <w:t>”</w:t>
      </w:r>
      <w:r w:rsidRPr="00FB4705">
        <w:rPr>
          <w:rFonts w:ascii="MetaPro-Norm" w:hAnsi="MetaPro-Norm"/>
          <w:color w:val="000000" w:themeColor="text1"/>
          <w:sz w:val="22"/>
          <w:szCs w:val="22"/>
        </w:rPr>
        <w:t xml:space="preserve"> age 35, to the UAE.</w:t>
      </w:r>
      <w:r w:rsidRPr="00FB4705">
        <w:rPr>
          <w:rStyle w:val="FootnoteReference"/>
          <w:rFonts w:ascii="MetaPro-Norm" w:hAnsi="MetaPro-Norm"/>
          <w:color w:val="000000" w:themeColor="text1"/>
          <w:sz w:val="22"/>
          <w:szCs w:val="22"/>
        </w:rPr>
        <w:footnoteReference w:id="28"/>
      </w:r>
      <w:r w:rsidRPr="00FB4705">
        <w:rPr>
          <w:rFonts w:ascii="MetaPro-Norm" w:hAnsi="MetaPro-Norm"/>
          <w:color w:val="000000" w:themeColor="text1"/>
          <w:sz w:val="22"/>
          <w:szCs w:val="22"/>
        </w:rPr>
        <w:t xml:space="preserve"> </w:t>
      </w:r>
      <w:r w:rsidR="00D1595B" w:rsidRPr="00FB4705">
        <w:rPr>
          <w:rFonts w:ascii="MetaPro-Norm" w:hAnsi="MetaPro-Norm"/>
          <w:color w:val="000000" w:themeColor="text1"/>
          <w:sz w:val="22"/>
          <w:szCs w:val="22"/>
        </w:rPr>
        <w:t xml:space="preserve">The court found that </w:t>
      </w:r>
      <w:r w:rsidR="009046BF">
        <w:rPr>
          <w:rFonts w:ascii="MetaPro-Norm" w:hAnsi="MetaPro-Norm"/>
          <w:color w:val="000000" w:themeColor="text1"/>
          <w:sz w:val="22"/>
          <w:szCs w:val="22"/>
        </w:rPr>
        <w:t>SM</w:t>
      </w:r>
      <w:r w:rsidR="00D1595B" w:rsidRPr="00FB4705">
        <w:rPr>
          <w:rFonts w:ascii="MetaPro-Norm" w:hAnsi="MetaPro-Norm"/>
          <w:color w:val="000000" w:themeColor="text1"/>
          <w:sz w:val="22"/>
          <w:szCs w:val="22"/>
        </w:rPr>
        <w:t xml:space="preserve"> had fled the Dubai family’s UK estate in Surrey in 2000, but that men who work for or assisted </w:t>
      </w:r>
      <w:r w:rsidR="009046BF">
        <w:rPr>
          <w:rFonts w:ascii="MetaPro-Norm" w:hAnsi="MetaPro-Norm"/>
          <w:color w:val="000000" w:themeColor="text1"/>
          <w:sz w:val="22"/>
          <w:szCs w:val="22"/>
        </w:rPr>
        <w:t>the prime minister</w:t>
      </w:r>
      <w:r w:rsidR="00D1595B" w:rsidRPr="00FB4705">
        <w:rPr>
          <w:rFonts w:ascii="MetaPro-Norm" w:hAnsi="MetaPro-Norm"/>
          <w:color w:val="000000" w:themeColor="text1"/>
          <w:sz w:val="22"/>
          <w:szCs w:val="22"/>
        </w:rPr>
        <w:t xml:space="preserve"> later captured her in Cambridge and forcibly returned her to Dubai, where she remains in captivity. </w:t>
      </w:r>
      <w:r w:rsidR="009046BF">
        <w:rPr>
          <w:rFonts w:ascii="MetaPro-Norm" w:hAnsi="MetaPro-Norm"/>
          <w:color w:val="000000" w:themeColor="text1"/>
          <w:sz w:val="22"/>
          <w:szCs w:val="22"/>
        </w:rPr>
        <w:t>LM</w:t>
      </w:r>
      <w:r w:rsidRPr="00FB4705">
        <w:rPr>
          <w:rFonts w:ascii="MetaPro-Norm" w:hAnsi="MetaPro-Norm"/>
          <w:color w:val="000000" w:themeColor="text1"/>
          <w:sz w:val="22"/>
          <w:szCs w:val="22"/>
        </w:rPr>
        <w:t xml:space="preserve"> had attempted to flee in 2002, and again in 2018, but she was captured by security forces and subsequently detained in Dubai both times. Shortly after her capture in 2018, a pre-recorded video of </w:t>
      </w:r>
      <w:r w:rsidR="009046BF">
        <w:rPr>
          <w:rFonts w:ascii="MetaPro-Norm" w:hAnsi="MetaPro-Norm"/>
          <w:color w:val="000000" w:themeColor="text1"/>
          <w:sz w:val="22"/>
          <w:szCs w:val="22"/>
        </w:rPr>
        <w:t>LM</w:t>
      </w:r>
      <w:r w:rsidRPr="00FB4705">
        <w:rPr>
          <w:rFonts w:ascii="MetaPro-Norm" w:hAnsi="MetaPro-Norm"/>
          <w:color w:val="000000" w:themeColor="text1"/>
          <w:sz w:val="22"/>
          <w:szCs w:val="22"/>
        </w:rPr>
        <w:t xml:space="preserve"> surfaced on the internet, in which she alleges she experi</w:t>
      </w:r>
      <w:r w:rsidRPr="00FB4705">
        <w:rPr>
          <w:rFonts w:ascii="MetaPro-Norm" w:hAnsi="MetaPro-Norm"/>
          <w:color w:val="000000" w:themeColor="text1"/>
          <w:sz w:val="22"/>
          <w:szCs w:val="22"/>
        </w:rPr>
        <w:lastRenderedPageBreak/>
        <w:t>enced “constant torture” after her first escape attempt, and also details the experiences surrounding her sister’s attempted escapes.</w:t>
      </w:r>
      <w:r w:rsidRPr="00FB4705">
        <w:rPr>
          <w:rStyle w:val="FootnoteReference"/>
          <w:rFonts w:ascii="MetaPro-Norm" w:hAnsi="MetaPro-Norm"/>
          <w:color w:val="000000" w:themeColor="text1"/>
          <w:sz w:val="22"/>
          <w:szCs w:val="22"/>
        </w:rPr>
        <w:footnoteReference w:id="29"/>
      </w:r>
      <w:r w:rsidRPr="00FB4705">
        <w:rPr>
          <w:rFonts w:ascii="MetaPro-Norm" w:hAnsi="MetaPro-Norm"/>
          <w:color w:val="000000" w:themeColor="text1"/>
          <w:sz w:val="22"/>
          <w:szCs w:val="22"/>
        </w:rPr>
        <w:t xml:space="preserve"> Both daughters are currently being confined against their will and are unable to travel out of the country or speak freely about their situation.</w:t>
      </w:r>
      <w:r w:rsidRPr="00FB4705">
        <w:rPr>
          <w:rStyle w:val="FootnoteReference"/>
          <w:rFonts w:ascii="MetaPro-Norm" w:hAnsi="MetaPro-Norm"/>
          <w:color w:val="000000" w:themeColor="text1"/>
          <w:sz w:val="22"/>
          <w:szCs w:val="22"/>
        </w:rPr>
        <w:footnoteReference w:id="30"/>
      </w:r>
      <w:r w:rsidRPr="00FB4705">
        <w:rPr>
          <w:rFonts w:ascii="MetaPro-Norm" w:hAnsi="MetaPro-Norm"/>
          <w:color w:val="000000" w:themeColor="text1"/>
          <w:sz w:val="22"/>
          <w:szCs w:val="22"/>
        </w:rPr>
        <w:t xml:space="preserve"> </w:t>
      </w:r>
    </w:p>
    <w:p w14:paraId="57450745" w14:textId="77777777" w:rsidR="002C32C3" w:rsidRPr="00FB4705" w:rsidRDefault="002C32C3" w:rsidP="002C32C3">
      <w:pPr>
        <w:rPr>
          <w:rFonts w:ascii="MetaPro-Norm" w:hAnsi="MetaPro-Norm"/>
          <w:color w:val="000000" w:themeColor="text1"/>
          <w:sz w:val="22"/>
          <w:szCs w:val="22"/>
        </w:rPr>
      </w:pPr>
    </w:p>
    <w:p w14:paraId="1AD6E566" w14:textId="33199751" w:rsidR="002C32C3" w:rsidRPr="00FB4705" w:rsidRDefault="002C32C3" w:rsidP="002C32C3">
      <w:pPr>
        <w:rPr>
          <w:rFonts w:ascii="MetaPro-Norm" w:hAnsi="MetaPro-Norm"/>
          <w:color w:val="000000" w:themeColor="text1"/>
          <w:sz w:val="22"/>
          <w:szCs w:val="22"/>
        </w:rPr>
      </w:pPr>
      <w:r w:rsidRPr="00FB4705">
        <w:rPr>
          <w:rFonts w:ascii="MetaPro-Norm" w:hAnsi="MetaPro-Norm"/>
          <w:color w:val="000000" w:themeColor="text1"/>
          <w:sz w:val="22"/>
          <w:szCs w:val="22"/>
        </w:rPr>
        <w:t xml:space="preserve">The UK court also detailed an “utterly terrifying” campaign of intimidation and harassment by the prime minister against </w:t>
      </w:r>
      <w:r w:rsidR="009046BF">
        <w:rPr>
          <w:rFonts w:ascii="MetaPro-Norm" w:hAnsi="MetaPro-Norm"/>
          <w:color w:val="000000" w:themeColor="text1"/>
          <w:sz w:val="22"/>
          <w:szCs w:val="22"/>
        </w:rPr>
        <w:t>“HA</w:t>
      </w:r>
      <w:r w:rsidRPr="00FB4705">
        <w:rPr>
          <w:rFonts w:ascii="MetaPro-Norm" w:hAnsi="MetaPro-Norm"/>
          <w:color w:val="000000" w:themeColor="text1"/>
          <w:sz w:val="22"/>
          <w:szCs w:val="22"/>
        </w:rPr>
        <w:t>,</w:t>
      </w:r>
      <w:r w:rsidR="009046BF">
        <w:rPr>
          <w:rFonts w:ascii="MetaPro-Norm" w:hAnsi="MetaPro-Norm"/>
          <w:color w:val="000000" w:themeColor="text1"/>
          <w:sz w:val="22"/>
          <w:szCs w:val="22"/>
        </w:rPr>
        <w:t>”</w:t>
      </w:r>
      <w:r w:rsidRPr="00FB4705">
        <w:rPr>
          <w:rFonts w:ascii="MetaPro-Norm" w:hAnsi="MetaPro-Norm"/>
          <w:color w:val="000000" w:themeColor="text1"/>
          <w:sz w:val="22"/>
          <w:szCs w:val="22"/>
        </w:rPr>
        <w:t xml:space="preserve"> his estranged ex-wife, who fled from Dubai to the United Kingdom in April 2019 with the two children they share, now aged 13 and 9.</w:t>
      </w:r>
      <w:r w:rsidRPr="00FB4705">
        <w:rPr>
          <w:rStyle w:val="FootnoteReference"/>
          <w:rFonts w:ascii="MetaPro-Norm" w:hAnsi="MetaPro-Norm"/>
          <w:color w:val="000000" w:themeColor="text1"/>
          <w:sz w:val="22"/>
          <w:szCs w:val="22"/>
        </w:rPr>
        <w:footnoteReference w:id="31"/>
      </w:r>
      <w:r w:rsidRPr="00FB4705">
        <w:rPr>
          <w:rFonts w:ascii="MetaPro-Norm" w:hAnsi="MetaPro-Norm"/>
          <w:color w:val="000000" w:themeColor="text1"/>
          <w:sz w:val="22"/>
          <w:szCs w:val="22"/>
        </w:rPr>
        <w:t xml:space="preserve"> </w:t>
      </w:r>
    </w:p>
    <w:p w14:paraId="004B7DEA" w14:textId="77777777" w:rsidR="002C32C3" w:rsidRPr="00FB4705" w:rsidRDefault="002C32C3" w:rsidP="00030FDF">
      <w:pPr>
        <w:rPr>
          <w:sz w:val="22"/>
          <w:szCs w:val="22"/>
        </w:rPr>
      </w:pPr>
    </w:p>
    <w:p w14:paraId="15E49468" w14:textId="77777777" w:rsidR="00281038" w:rsidRPr="00FB4705" w:rsidRDefault="00281038" w:rsidP="00281038">
      <w:pPr>
        <w:rPr>
          <w:rFonts w:ascii="MetaPro-Norm" w:hAnsi="MetaPro-Norm"/>
          <w:i/>
          <w:iCs/>
          <w:color w:val="000000" w:themeColor="text1"/>
          <w:sz w:val="22"/>
          <w:szCs w:val="22"/>
        </w:rPr>
      </w:pPr>
      <w:r w:rsidRPr="00FB4705">
        <w:rPr>
          <w:rFonts w:ascii="MetaPro-Norm" w:hAnsi="MetaPro-Norm"/>
          <w:i/>
          <w:iCs/>
          <w:color w:val="000000" w:themeColor="text1"/>
          <w:sz w:val="22"/>
          <w:szCs w:val="22"/>
        </w:rPr>
        <w:t xml:space="preserve">We encourage the Committee to pose the following questions: </w:t>
      </w:r>
    </w:p>
    <w:p w14:paraId="6B3309E0" w14:textId="7169DCD9" w:rsidR="00281038" w:rsidRPr="00FB4705" w:rsidRDefault="003D6ECF" w:rsidP="00A42269">
      <w:pPr>
        <w:pStyle w:val="ListParagraph"/>
        <w:numPr>
          <w:ilvl w:val="0"/>
          <w:numId w:val="18"/>
        </w:numPr>
        <w:rPr>
          <w:rFonts w:ascii="MetaPro-Norm" w:hAnsi="MetaPro-Norm"/>
          <w:sz w:val="22"/>
          <w:szCs w:val="22"/>
        </w:rPr>
      </w:pPr>
      <w:r w:rsidRPr="00FB4705">
        <w:rPr>
          <w:rFonts w:ascii="MetaPro-Norm" w:hAnsi="MetaPro-Norm"/>
          <w:sz w:val="22"/>
          <w:szCs w:val="22"/>
        </w:rPr>
        <w:t xml:space="preserve">What steps are the authorities taking to improve the domestic violence law to ensure that violence is not determined based on </w:t>
      </w:r>
      <w:r w:rsidR="00094F65" w:rsidRPr="00FB4705">
        <w:rPr>
          <w:rFonts w:ascii="MetaPro-Norm" w:hAnsi="MetaPro-Norm"/>
          <w:sz w:val="22"/>
          <w:szCs w:val="22"/>
        </w:rPr>
        <w:t xml:space="preserve">what is deemed to exceed guardianship or authority, to apply to </w:t>
      </w:r>
      <w:r w:rsidR="00C11061" w:rsidRPr="00FB4705">
        <w:rPr>
          <w:rFonts w:ascii="MetaPro-Norm" w:hAnsi="MetaPro-Norm"/>
          <w:sz w:val="22"/>
          <w:szCs w:val="22"/>
        </w:rPr>
        <w:t>individuals outside of non-marital relationships, and to ensure that the authorities prioritize safety of the victim over reconciliation?</w:t>
      </w:r>
      <w:r w:rsidR="00EB255E">
        <w:rPr>
          <w:rFonts w:ascii="MetaPro-Norm" w:hAnsi="MetaPro-Norm"/>
          <w:sz w:val="22"/>
          <w:szCs w:val="22"/>
        </w:rPr>
        <w:t xml:space="preserve"> </w:t>
      </w:r>
    </w:p>
    <w:p w14:paraId="7CF2F21D" w14:textId="77777777" w:rsidR="00A56FA9" w:rsidRPr="00FB4705" w:rsidRDefault="00C11061" w:rsidP="00A42269">
      <w:pPr>
        <w:pStyle w:val="ListParagraph"/>
        <w:numPr>
          <w:ilvl w:val="0"/>
          <w:numId w:val="18"/>
        </w:numPr>
        <w:rPr>
          <w:rFonts w:ascii="MetaPro-Norm" w:hAnsi="MetaPro-Norm"/>
          <w:sz w:val="22"/>
          <w:szCs w:val="22"/>
        </w:rPr>
      </w:pPr>
      <w:r w:rsidRPr="00FB4705">
        <w:rPr>
          <w:rFonts w:ascii="MetaPro-Norm" w:hAnsi="MetaPro-Norm"/>
          <w:sz w:val="22"/>
          <w:szCs w:val="22"/>
        </w:rPr>
        <w:t xml:space="preserve">What steps are the authorities taking to repeal </w:t>
      </w:r>
      <w:r w:rsidR="00855A39" w:rsidRPr="00FB4705">
        <w:rPr>
          <w:rFonts w:ascii="MetaPro-Norm" w:hAnsi="MetaPro-Norm"/>
          <w:sz w:val="22"/>
          <w:szCs w:val="22"/>
        </w:rPr>
        <w:t>articles 332(3) and 334 of the penal code?</w:t>
      </w:r>
    </w:p>
    <w:p w14:paraId="3FBB9390" w14:textId="17AD90AF" w:rsidR="00094F65" w:rsidRPr="00FB4705" w:rsidRDefault="00094F65" w:rsidP="00066845">
      <w:pPr>
        <w:ind w:left="360"/>
        <w:rPr>
          <w:sz w:val="22"/>
          <w:szCs w:val="22"/>
        </w:rPr>
      </w:pPr>
    </w:p>
    <w:p w14:paraId="546DF756" w14:textId="12B9C5D9" w:rsidR="00F82059" w:rsidRPr="00FB4705" w:rsidRDefault="00F82059" w:rsidP="00F82059">
      <w:pPr>
        <w:pStyle w:val="ListParagraph"/>
        <w:numPr>
          <w:ilvl w:val="0"/>
          <w:numId w:val="1"/>
        </w:numPr>
        <w:rPr>
          <w:rFonts w:ascii="MetaPro-Norm" w:hAnsi="MetaPro-Norm"/>
          <w:b/>
          <w:bCs/>
          <w:sz w:val="22"/>
          <w:szCs w:val="22"/>
        </w:rPr>
      </w:pPr>
      <w:r w:rsidRPr="00FB4705">
        <w:rPr>
          <w:rFonts w:ascii="MetaPro-Norm" w:hAnsi="MetaPro-Norm"/>
          <w:b/>
          <w:bCs/>
          <w:sz w:val="22"/>
          <w:szCs w:val="22"/>
        </w:rPr>
        <w:t xml:space="preserve">Nationality and Statelessness </w:t>
      </w:r>
      <w:r w:rsidR="004A1CD0" w:rsidRPr="00FB4705">
        <w:rPr>
          <w:rFonts w:ascii="MetaPro-Norm" w:hAnsi="MetaPro-Norm"/>
          <w:b/>
          <w:bCs/>
          <w:sz w:val="22"/>
          <w:szCs w:val="22"/>
        </w:rPr>
        <w:t xml:space="preserve">(Arts. 1 and 9) </w:t>
      </w:r>
    </w:p>
    <w:p w14:paraId="19B69169" w14:textId="77777777" w:rsidR="00F82059" w:rsidRPr="00FB4705" w:rsidRDefault="00F82059" w:rsidP="00F82059">
      <w:pPr>
        <w:rPr>
          <w:rFonts w:ascii="MetaPro-Norm" w:hAnsi="MetaPro-Norm"/>
          <w:b/>
          <w:bCs/>
          <w:sz w:val="22"/>
          <w:szCs w:val="22"/>
        </w:rPr>
      </w:pPr>
    </w:p>
    <w:p w14:paraId="29F7DE77" w14:textId="77777777" w:rsidR="005F3493" w:rsidRDefault="00DF636D" w:rsidP="00DF636D">
      <w:pPr>
        <w:rPr>
          <w:rFonts w:ascii="MetaPro-Norm" w:hAnsi="MetaPro-Norm"/>
          <w:sz w:val="22"/>
          <w:szCs w:val="22"/>
        </w:rPr>
      </w:pPr>
      <w:r w:rsidRPr="00FB4705">
        <w:rPr>
          <w:rFonts w:ascii="MetaPro-Norm" w:hAnsi="MetaPro-Norm"/>
          <w:color w:val="000000" w:themeColor="text1"/>
          <w:sz w:val="22"/>
          <w:szCs w:val="22"/>
        </w:rPr>
        <w:t>Emirati women continue to face discrimination in passing nationality to their children compared to Emirati men</w:t>
      </w:r>
      <w:r w:rsidR="2783F7A1" w:rsidRPr="00FB4705">
        <w:rPr>
          <w:rFonts w:ascii="MetaPro-Norm" w:hAnsi="MetaPro-Norm"/>
          <w:color w:val="000000" w:themeColor="text1"/>
          <w:sz w:val="22"/>
          <w:szCs w:val="22"/>
        </w:rPr>
        <w:t xml:space="preserve">, leading to risks of statelessness and </w:t>
      </w:r>
      <w:r w:rsidR="3EA5F05D" w:rsidRPr="00FB4705">
        <w:rPr>
          <w:rFonts w:ascii="MetaPro-Norm" w:hAnsi="MetaPro-Norm"/>
          <w:color w:val="000000" w:themeColor="text1"/>
          <w:sz w:val="22"/>
          <w:szCs w:val="22"/>
        </w:rPr>
        <w:t xml:space="preserve">rights abuses </w:t>
      </w:r>
      <w:r w:rsidR="2783F7A1" w:rsidRPr="00FB4705">
        <w:rPr>
          <w:rFonts w:ascii="MetaPro-Norm" w:hAnsi="MetaPro-Norm"/>
          <w:color w:val="000000" w:themeColor="text1"/>
          <w:sz w:val="22"/>
          <w:szCs w:val="22"/>
        </w:rPr>
        <w:t>for their children</w:t>
      </w:r>
      <w:r w:rsidRPr="00FB4705">
        <w:rPr>
          <w:rFonts w:ascii="MetaPro-Norm" w:hAnsi="MetaPro-Norm"/>
          <w:color w:val="000000" w:themeColor="text1"/>
          <w:sz w:val="22"/>
          <w:szCs w:val="22"/>
        </w:rPr>
        <w:t>.</w:t>
      </w:r>
      <w:r w:rsidR="0051622B" w:rsidRPr="00FB4705">
        <w:rPr>
          <w:rStyle w:val="FootnoteReference"/>
          <w:rFonts w:ascii="MetaPro-Norm" w:hAnsi="MetaPro-Norm"/>
          <w:color w:val="000000" w:themeColor="text1"/>
          <w:sz w:val="22"/>
          <w:szCs w:val="22"/>
        </w:rPr>
        <w:footnoteReference w:id="32"/>
      </w:r>
      <w:r w:rsidRPr="00FB4705">
        <w:rPr>
          <w:rFonts w:ascii="Georgia" w:hAnsi="Georgia"/>
          <w:color w:val="000000" w:themeColor="text1"/>
          <w:sz w:val="22"/>
          <w:szCs w:val="22"/>
        </w:rPr>
        <w:t> </w:t>
      </w:r>
      <w:r w:rsidR="00F82059" w:rsidRPr="00FB4705">
        <w:rPr>
          <w:rFonts w:ascii="MetaPro-Norm" w:hAnsi="MetaPro-Norm"/>
          <w:sz w:val="22"/>
          <w:szCs w:val="22"/>
        </w:rPr>
        <w:t xml:space="preserve">Emirati law automatically </w:t>
      </w:r>
      <w:r w:rsidR="00F643B2" w:rsidRPr="00FB4705">
        <w:rPr>
          <w:rFonts w:ascii="MetaPro-Norm" w:hAnsi="MetaPro-Norm"/>
          <w:sz w:val="22"/>
          <w:szCs w:val="22"/>
        </w:rPr>
        <w:t xml:space="preserve">grants </w:t>
      </w:r>
      <w:r w:rsidR="00F82059" w:rsidRPr="00FB4705">
        <w:rPr>
          <w:rFonts w:ascii="MetaPro-Norm" w:hAnsi="MetaPro-Norm"/>
          <w:sz w:val="22"/>
          <w:szCs w:val="22"/>
        </w:rPr>
        <w:t xml:space="preserve">nationality to children born to an Emirati father, but </w:t>
      </w:r>
      <w:r w:rsidR="00F643B2" w:rsidRPr="00FB4705">
        <w:rPr>
          <w:rFonts w:ascii="MetaPro-Norm" w:hAnsi="MetaPro-Norm"/>
          <w:sz w:val="22"/>
          <w:szCs w:val="22"/>
        </w:rPr>
        <w:t>c</w:t>
      </w:r>
      <w:r w:rsidR="00F82059" w:rsidRPr="00FB4705">
        <w:rPr>
          <w:rFonts w:ascii="MetaPro-Norm" w:hAnsi="MetaPro-Norm"/>
          <w:sz w:val="22"/>
          <w:szCs w:val="22"/>
        </w:rPr>
        <w:t>hildren born to Emirati mothers and foreign fathers can receive nationality only if their paternity is unestablished, the father is unknown, or if the father is “</w:t>
      </w:r>
      <w:r w:rsidR="00F82059" w:rsidRPr="00FB4705">
        <w:rPr>
          <w:rFonts w:ascii="MetaPro-Norm" w:hAnsi="MetaPro-Norm"/>
          <w:i/>
          <w:iCs/>
          <w:sz w:val="22"/>
          <w:szCs w:val="22"/>
        </w:rPr>
        <w:t>bidun</w:t>
      </w:r>
      <w:r w:rsidR="00F82059" w:rsidRPr="00FB4705">
        <w:rPr>
          <w:rFonts w:ascii="MetaPro-Norm" w:hAnsi="MetaPro-Norm"/>
          <w:sz w:val="22"/>
          <w:szCs w:val="22"/>
        </w:rPr>
        <w:t>,” stateless.</w:t>
      </w:r>
      <w:r w:rsidR="00354257" w:rsidRPr="00FB4705">
        <w:rPr>
          <w:rFonts w:ascii="MetaPro-Norm" w:hAnsi="MetaPro-Norm"/>
          <w:sz w:val="22"/>
          <w:szCs w:val="22"/>
        </w:rPr>
        <w:t xml:space="preserve"> Even then</w:t>
      </w:r>
      <w:r w:rsidR="00F82059" w:rsidRPr="00FB4705">
        <w:rPr>
          <w:rFonts w:ascii="MetaPro-Norm" w:hAnsi="MetaPro-Norm"/>
          <w:sz w:val="22"/>
          <w:szCs w:val="22"/>
        </w:rPr>
        <w:t>, this is not always a guarantee.</w:t>
      </w:r>
      <w:r w:rsidR="00F82059" w:rsidRPr="00FB4705">
        <w:rPr>
          <w:rStyle w:val="FootnoteReference"/>
          <w:rFonts w:ascii="MetaPro-Norm" w:hAnsi="MetaPro-Norm"/>
          <w:sz w:val="22"/>
          <w:szCs w:val="22"/>
        </w:rPr>
        <w:footnoteReference w:id="33"/>
      </w:r>
      <w:r w:rsidR="00F82059" w:rsidRPr="00FB4705">
        <w:rPr>
          <w:rFonts w:ascii="MetaPro-Norm" w:hAnsi="MetaPro-Norm"/>
          <w:sz w:val="22"/>
          <w:szCs w:val="22"/>
        </w:rPr>
        <w:t xml:space="preserve"> </w:t>
      </w:r>
      <w:r w:rsidR="00137E32" w:rsidRPr="00FB4705">
        <w:rPr>
          <w:rFonts w:ascii="MetaPro-Norm" w:hAnsi="MetaPro-Norm"/>
          <w:sz w:val="22"/>
          <w:szCs w:val="22"/>
        </w:rPr>
        <w:t>Otherwise</w:t>
      </w:r>
      <w:r w:rsidR="005F107D">
        <w:rPr>
          <w:rFonts w:ascii="MetaPro-Norm" w:hAnsi="MetaPro-Norm"/>
          <w:sz w:val="22"/>
          <w:szCs w:val="22"/>
        </w:rPr>
        <w:t>,</w:t>
      </w:r>
      <w:r w:rsidR="00137E32" w:rsidRPr="00FB4705">
        <w:rPr>
          <w:rFonts w:ascii="MetaPro-Norm" w:hAnsi="MetaPro-Norm"/>
          <w:sz w:val="22"/>
          <w:szCs w:val="22"/>
        </w:rPr>
        <w:t xml:space="preserve"> Emirati women can</w:t>
      </w:r>
      <w:r w:rsidR="0091582F" w:rsidRPr="00FB4705">
        <w:rPr>
          <w:rFonts w:ascii="MetaPro-Norm" w:hAnsi="MetaPro-Norm"/>
          <w:sz w:val="22"/>
          <w:szCs w:val="22"/>
        </w:rPr>
        <w:t> apply for citizenship for their children provided</w:t>
      </w:r>
      <w:r w:rsidR="00137E32" w:rsidRPr="00FB4705">
        <w:rPr>
          <w:rFonts w:ascii="MetaPro-Norm" w:hAnsi="MetaPro-Norm"/>
          <w:sz w:val="22"/>
          <w:szCs w:val="22"/>
        </w:rPr>
        <w:t xml:space="preserve"> their child </w:t>
      </w:r>
      <w:r w:rsidR="0091582F" w:rsidRPr="00FB4705">
        <w:rPr>
          <w:rFonts w:ascii="MetaPro-Norm" w:hAnsi="MetaPro-Norm"/>
          <w:sz w:val="22"/>
          <w:szCs w:val="22"/>
        </w:rPr>
        <w:t>has lived in the UAE for six years.</w:t>
      </w:r>
      <w:r w:rsidR="00017452" w:rsidRPr="00FB4705">
        <w:rPr>
          <w:rStyle w:val="FootnoteReference"/>
          <w:rFonts w:ascii="MetaPro-Norm" w:hAnsi="MetaPro-Norm"/>
          <w:sz w:val="22"/>
          <w:szCs w:val="22"/>
        </w:rPr>
        <w:footnoteReference w:id="34"/>
      </w:r>
      <w:r w:rsidR="0091582F" w:rsidRPr="00FB4705">
        <w:rPr>
          <w:rFonts w:ascii="MetaPro-Norm" w:hAnsi="MetaPro-Norm"/>
          <w:sz w:val="22"/>
          <w:szCs w:val="22"/>
        </w:rPr>
        <w:t xml:space="preserve"> However, according to some </w:t>
      </w:r>
      <w:r w:rsidR="00244E35" w:rsidRPr="00FB4705">
        <w:rPr>
          <w:rFonts w:ascii="MetaPro-Norm" w:hAnsi="MetaPro-Norm"/>
          <w:sz w:val="22"/>
          <w:szCs w:val="22"/>
        </w:rPr>
        <w:t>w</w:t>
      </w:r>
      <w:r w:rsidR="0091582F" w:rsidRPr="00FB4705">
        <w:rPr>
          <w:rFonts w:ascii="MetaPro-Norm" w:hAnsi="MetaPro-Norm"/>
          <w:sz w:val="22"/>
          <w:szCs w:val="22"/>
        </w:rPr>
        <w:t>o</w:t>
      </w:r>
      <w:r w:rsidR="00244E35" w:rsidRPr="00FB4705">
        <w:rPr>
          <w:rFonts w:ascii="MetaPro-Norm" w:hAnsi="MetaPro-Norm"/>
          <w:sz w:val="22"/>
          <w:szCs w:val="22"/>
        </w:rPr>
        <w:t>men</w:t>
      </w:r>
      <w:r w:rsidR="0091582F" w:rsidRPr="00FB4705">
        <w:rPr>
          <w:rFonts w:ascii="MetaPro-Norm" w:hAnsi="MetaPro-Norm"/>
          <w:sz w:val="22"/>
          <w:szCs w:val="22"/>
        </w:rPr>
        <w:t xml:space="preserve">, the application process can be confusing </w:t>
      </w:r>
      <w:r w:rsidR="0091582F" w:rsidRPr="00FB4705">
        <w:rPr>
          <w:rFonts w:ascii="MetaPro-Norm" w:hAnsi="MetaPro-Norm"/>
          <w:sz w:val="22"/>
          <w:szCs w:val="22"/>
        </w:rPr>
        <w:lastRenderedPageBreak/>
        <w:t>and can sometimes take years to receive a response.</w:t>
      </w:r>
      <w:r w:rsidR="009C4FFF" w:rsidRPr="00FB4705">
        <w:rPr>
          <w:rStyle w:val="FootnoteReference"/>
          <w:rFonts w:ascii="MetaPro-Norm" w:hAnsi="MetaPro-Norm"/>
          <w:sz w:val="22"/>
          <w:szCs w:val="22"/>
        </w:rPr>
        <w:footnoteReference w:id="35"/>
      </w:r>
      <w:r w:rsidR="0091582F" w:rsidRPr="00FB4705">
        <w:rPr>
          <w:rFonts w:ascii="MetaPro-Norm" w:hAnsi="MetaPro-Norm"/>
          <w:sz w:val="22"/>
          <w:szCs w:val="22"/>
        </w:rPr>
        <w:t xml:space="preserve"> When the child turns 18, they </w:t>
      </w:r>
      <w:r w:rsidR="00137E32" w:rsidRPr="00FB4705">
        <w:rPr>
          <w:rFonts w:ascii="MetaPro-Norm" w:hAnsi="MetaPro-Norm"/>
          <w:sz w:val="22"/>
          <w:szCs w:val="22"/>
        </w:rPr>
        <w:t xml:space="preserve">can apply </w:t>
      </w:r>
      <w:r w:rsidR="0091582F" w:rsidRPr="00FB4705">
        <w:rPr>
          <w:rFonts w:ascii="MetaPro-Norm" w:hAnsi="MetaPro-Norm"/>
          <w:sz w:val="22"/>
          <w:szCs w:val="22"/>
        </w:rPr>
        <w:t>themselves. But even then, they can wait </w:t>
      </w:r>
      <w:r w:rsidR="00C6003C">
        <w:rPr>
          <w:rFonts w:ascii="MetaPro-Norm" w:hAnsi="MetaPro-Norm"/>
          <w:sz w:val="22"/>
          <w:szCs w:val="22"/>
        </w:rPr>
        <w:t xml:space="preserve">for </w:t>
      </w:r>
      <w:r w:rsidR="0091582F" w:rsidRPr="00FB4705">
        <w:rPr>
          <w:rFonts w:ascii="MetaPro-Norm" w:hAnsi="MetaPro-Norm"/>
          <w:sz w:val="22"/>
          <w:szCs w:val="22"/>
        </w:rPr>
        <w:t>years with no answer.</w:t>
      </w:r>
      <w:r w:rsidR="00B43C98" w:rsidRPr="00FB4705">
        <w:rPr>
          <w:rStyle w:val="FootnoteReference"/>
          <w:rFonts w:ascii="MetaPro-Norm" w:hAnsi="MetaPro-Norm"/>
          <w:sz w:val="22"/>
          <w:szCs w:val="22"/>
        </w:rPr>
        <w:footnoteReference w:id="36"/>
      </w:r>
      <w:r w:rsidR="0091582F" w:rsidRPr="00FB4705">
        <w:rPr>
          <w:rFonts w:ascii="MetaPro-Norm" w:hAnsi="MetaPro-Norm"/>
          <w:sz w:val="22"/>
          <w:szCs w:val="22"/>
        </w:rPr>
        <w:t> </w:t>
      </w:r>
      <w:r w:rsidR="00030FDF" w:rsidRPr="00FB4705">
        <w:rPr>
          <w:rFonts w:ascii="MetaPro-Norm" w:hAnsi="MetaPro-Norm"/>
          <w:sz w:val="22"/>
          <w:szCs w:val="22"/>
        </w:rPr>
        <w:br/>
      </w:r>
    </w:p>
    <w:p w14:paraId="4728D223" w14:textId="13C7DB87" w:rsidR="00F82059" w:rsidRPr="00FB4705" w:rsidRDefault="00F82059" w:rsidP="00DF636D">
      <w:pPr>
        <w:rPr>
          <w:rFonts w:ascii="MetaPro-Norm" w:hAnsi="MetaPro-Norm"/>
          <w:sz w:val="22"/>
          <w:szCs w:val="22"/>
        </w:rPr>
      </w:pPr>
      <w:r w:rsidRPr="00FB4705">
        <w:rPr>
          <w:rFonts w:ascii="MetaPro-Norm" w:hAnsi="MetaPro-Norm"/>
          <w:sz w:val="22"/>
          <w:szCs w:val="22"/>
        </w:rPr>
        <w:t>The UAE has used citizenship revocations as a tool to punish activists and critics of the government, including women.</w:t>
      </w:r>
      <w:r w:rsidRPr="00FB4705">
        <w:rPr>
          <w:rStyle w:val="FootnoteReference"/>
          <w:rFonts w:ascii="MetaPro-Norm" w:hAnsi="MetaPro-Norm"/>
          <w:sz w:val="22"/>
          <w:szCs w:val="22"/>
        </w:rPr>
        <w:footnoteReference w:id="37"/>
      </w:r>
      <w:r w:rsidRPr="00FB4705">
        <w:rPr>
          <w:rFonts w:ascii="MetaPro-Norm" w:hAnsi="MetaPro-Norm"/>
          <w:sz w:val="22"/>
          <w:szCs w:val="22"/>
        </w:rPr>
        <w:t xml:space="preserve"> In instances in which the government has revoked a man’s citizenship, the UAE’s nationality law allows for the revocation of the citizenship of his wife and minor children too, effectively rendering them stateless.</w:t>
      </w:r>
      <w:r w:rsidRPr="00FB4705">
        <w:rPr>
          <w:rStyle w:val="FootnoteReference"/>
          <w:rFonts w:ascii="MetaPro-Norm" w:hAnsi="MetaPro-Norm"/>
          <w:sz w:val="22"/>
          <w:szCs w:val="22"/>
        </w:rPr>
        <w:footnoteReference w:id="38"/>
      </w:r>
      <w:r w:rsidR="00030FDF" w:rsidRPr="00FB4705">
        <w:rPr>
          <w:rFonts w:ascii="MetaPro-Norm" w:hAnsi="MetaPro-Norm"/>
          <w:sz w:val="22"/>
          <w:szCs w:val="22"/>
        </w:rPr>
        <w:br/>
      </w:r>
      <w:r w:rsidR="00030FDF" w:rsidRPr="00FB4705">
        <w:rPr>
          <w:rFonts w:ascii="MetaPro-Norm" w:hAnsi="MetaPro-Norm"/>
          <w:sz w:val="22"/>
          <w:szCs w:val="22"/>
        </w:rPr>
        <w:br/>
      </w:r>
      <w:r w:rsidR="00847B44" w:rsidRPr="00FB4705">
        <w:rPr>
          <w:rFonts w:ascii="MetaPro-Norm" w:hAnsi="MetaPro-Norm"/>
          <w:sz w:val="22"/>
          <w:szCs w:val="22"/>
        </w:rPr>
        <w:t>Children of stateless couples have no path to citizenship, regardless of how long their parents have lived in the UAE.</w:t>
      </w:r>
      <w:r w:rsidR="00EB255E">
        <w:rPr>
          <w:rFonts w:ascii="MetaPro-Norm" w:hAnsi="MetaPro-Norm"/>
          <w:sz w:val="22"/>
          <w:szCs w:val="22"/>
        </w:rPr>
        <w:t xml:space="preserve"> </w:t>
      </w:r>
      <w:r w:rsidRPr="00FB4705">
        <w:rPr>
          <w:rFonts w:ascii="MetaPro-Norm" w:hAnsi="MetaPro-Norm"/>
          <w:sz w:val="22"/>
          <w:szCs w:val="22"/>
        </w:rPr>
        <w:t>Stateless persons in the UAE are often denied access to basic rights and services, largely due to their inability renew or obtain valid identity documents like passports and driver’s licenses. In turn, this creates barriers to obtaining healthcare and employment, qualifying for university scholarships, purchasing property, or traveling outside the country.</w:t>
      </w:r>
      <w:r w:rsidRPr="00FB4705">
        <w:rPr>
          <w:rStyle w:val="FootnoteReference"/>
          <w:rFonts w:ascii="MetaPro-Norm" w:hAnsi="MetaPro-Norm"/>
          <w:sz w:val="22"/>
          <w:szCs w:val="22"/>
        </w:rPr>
        <w:footnoteReference w:id="39"/>
      </w:r>
      <w:r w:rsidR="00030FDF" w:rsidRPr="00FB4705">
        <w:rPr>
          <w:rFonts w:ascii="MetaPro-Norm" w:hAnsi="MetaPro-Norm"/>
          <w:sz w:val="22"/>
          <w:szCs w:val="22"/>
        </w:rPr>
        <w:br/>
      </w:r>
      <w:r w:rsidR="00030FDF" w:rsidRPr="00FB4705">
        <w:rPr>
          <w:rFonts w:ascii="MetaPro-Norm" w:hAnsi="MetaPro-Norm"/>
          <w:sz w:val="22"/>
          <w:szCs w:val="22"/>
        </w:rPr>
        <w:br/>
      </w:r>
      <w:r w:rsidRPr="00FB4705">
        <w:rPr>
          <w:rFonts w:ascii="MetaPro-Norm" w:hAnsi="MetaPro-Norm"/>
          <w:sz w:val="22"/>
          <w:szCs w:val="22"/>
        </w:rPr>
        <w:t xml:space="preserve">The risk of statelessness is particularly high for children of non-citizen migrant women, who face barriers to obtaining valid identification for themselves, and in turn, for their children. These challenges are exacerbated by the </w:t>
      </w:r>
      <w:r w:rsidRPr="00FB4705">
        <w:rPr>
          <w:rFonts w:ascii="MetaPro-Norm" w:hAnsi="MetaPro-Norm"/>
          <w:i/>
          <w:iCs/>
          <w:sz w:val="22"/>
          <w:szCs w:val="22"/>
        </w:rPr>
        <w:t xml:space="preserve">kafala </w:t>
      </w:r>
      <w:r w:rsidRPr="00FB4705">
        <w:rPr>
          <w:rFonts w:ascii="MetaPro-Norm" w:hAnsi="MetaPro-Norm"/>
          <w:sz w:val="22"/>
          <w:szCs w:val="22"/>
        </w:rPr>
        <w:t>(visa sponsorship) system that ties migrant laborers to their employers (see section 5).</w:t>
      </w:r>
      <w:r w:rsidRPr="00FB4705">
        <w:rPr>
          <w:rStyle w:val="FootnoteReference"/>
          <w:rFonts w:ascii="MetaPro-Norm" w:hAnsi="MetaPro-Norm"/>
          <w:sz w:val="22"/>
          <w:szCs w:val="22"/>
        </w:rPr>
        <w:footnoteReference w:id="40"/>
      </w:r>
      <w:r w:rsidRPr="00FB4705">
        <w:rPr>
          <w:rFonts w:ascii="MetaPro-Norm" w:hAnsi="MetaPro-Norm"/>
          <w:sz w:val="22"/>
          <w:szCs w:val="22"/>
        </w:rPr>
        <w:t xml:space="preserve"> </w:t>
      </w:r>
      <w:r w:rsidRPr="00FB4705">
        <w:rPr>
          <w:rFonts w:ascii="MetaPro-Norm" w:hAnsi="MetaPro-Norm"/>
          <w:i/>
          <w:iCs/>
          <w:sz w:val="22"/>
          <w:szCs w:val="22"/>
        </w:rPr>
        <w:t>The</w:t>
      </w:r>
      <w:r w:rsidRPr="00FB4705">
        <w:rPr>
          <w:rFonts w:ascii="MetaPro-Norm" w:hAnsi="MetaPro-Norm"/>
          <w:sz w:val="22"/>
          <w:szCs w:val="22"/>
        </w:rPr>
        <w:t xml:space="preserve"> </w:t>
      </w:r>
      <w:r w:rsidRPr="00FB4705">
        <w:rPr>
          <w:rFonts w:ascii="MetaPro-Norm" w:hAnsi="MetaPro-Norm"/>
          <w:i/>
          <w:iCs/>
          <w:sz w:val="22"/>
          <w:szCs w:val="22"/>
        </w:rPr>
        <w:t>Guardian</w:t>
      </w:r>
      <w:r w:rsidRPr="00FB4705">
        <w:rPr>
          <w:rFonts w:ascii="MetaPro-Norm" w:hAnsi="MetaPro-Norm"/>
          <w:sz w:val="22"/>
          <w:szCs w:val="22"/>
        </w:rPr>
        <w:t xml:space="preserve"> reports there are several thousand cases of migrant women with children born outside marriage who are unable to obtain citizenship for their children or access opportunities for them, including education and healthcare.</w:t>
      </w:r>
      <w:r w:rsidRPr="00FB4705">
        <w:rPr>
          <w:rStyle w:val="FootnoteReference"/>
          <w:rFonts w:ascii="MetaPro-Norm" w:hAnsi="MetaPro-Norm"/>
          <w:sz w:val="22"/>
          <w:szCs w:val="22"/>
        </w:rPr>
        <w:footnoteReference w:id="41"/>
      </w:r>
      <w:r w:rsidRPr="00FB4705">
        <w:rPr>
          <w:rFonts w:ascii="MetaPro-Norm" w:hAnsi="MetaPro-Norm"/>
          <w:sz w:val="22"/>
          <w:szCs w:val="22"/>
        </w:rPr>
        <w:t xml:space="preserve"> </w:t>
      </w:r>
    </w:p>
    <w:p w14:paraId="5AF1F9B3" w14:textId="77777777" w:rsidR="003E2DE2" w:rsidRPr="00FB4705" w:rsidRDefault="003E2DE2" w:rsidP="00DF636D">
      <w:pPr>
        <w:rPr>
          <w:sz w:val="22"/>
          <w:szCs w:val="22"/>
        </w:rPr>
      </w:pPr>
    </w:p>
    <w:p w14:paraId="6D87BDBA" w14:textId="3AB583F5" w:rsidR="000F6A59" w:rsidRPr="00FB4705" w:rsidRDefault="000F6A59" w:rsidP="000F6A59">
      <w:pPr>
        <w:rPr>
          <w:rFonts w:ascii="MetaPro-Norm" w:hAnsi="MetaPro-Norm"/>
          <w:i/>
          <w:iCs/>
          <w:sz w:val="22"/>
          <w:szCs w:val="22"/>
        </w:rPr>
      </w:pPr>
      <w:r w:rsidRPr="00FB4705">
        <w:rPr>
          <w:rFonts w:ascii="MetaPro-Norm" w:hAnsi="MetaPro-Norm"/>
          <w:i/>
          <w:iCs/>
          <w:sz w:val="22"/>
          <w:szCs w:val="22"/>
        </w:rPr>
        <w:lastRenderedPageBreak/>
        <w:t xml:space="preserve">We encourage the Committee to pose the following questions: </w:t>
      </w:r>
    </w:p>
    <w:p w14:paraId="0116F599" w14:textId="671F8F74"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What steps are being taken to ensure </w:t>
      </w:r>
      <w:r w:rsidR="000F6A59" w:rsidRPr="00FB4705">
        <w:rPr>
          <w:rFonts w:ascii="MetaPro-Norm" w:hAnsi="MetaPro-Norm"/>
          <w:sz w:val="22"/>
          <w:szCs w:val="22"/>
        </w:rPr>
        <w:t xml:space="preserve">Emirati </w:t>
      </w:r>
      <w:r w:rsidRPr="00FB4705">
        <w:rPr>
          <w:rFonts w:ascii="MetaPro-Norm" w:hAnsi="MetaPro-Norm"/>
          <w:sz w:val="22"/>
          <w:szCs w:val="22"/>
        </w:rPr>
        <w:t>women can pass nationality to their children on an equal basis as men?</w:t>
      </w:r>
    </w:p>
    <w:p w14:paraId="68D8AF05" w14:textId="674E9C60"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What steps are being taken to </w:t>
      </w:r>
      <w:r w:rsidR="00547BA6" w:rsidRPr="00FB4705">
        <w:rPr>
          <w:rFonts w:ascii="MetaPro-Norm" w:hAnsi="MetaPro-Norm"/>
          <w:sz w:val="22"/>
          <w:szCs w:val="22"/>
        </w:rPr>
        <w:t>open pathways for citizenship for</w:t>
      </w:r>
      <w:r w:rsidRPr="00FB4705">
        <w:rPr>
          <w:rFonts w:ascii="MetaPro-Norm" w:hAnsi="MetaPro-Norm"/>
          <w:sz w:val="22"/>
          <w:szCs w:val="22"/>
        </w:rPr>
        <w:t xml:space="preserve"> children of </w:t>
      </w:r>
      <w:r w:rsidR="000F6A59" w:rsidRPr="00FB4705">
        <w:rPr>
          <w:rFonts w:ascii="MetaPro-Norm" w:hAnsi="MetaPro-Norm"/>
          <w:sz w:val="22"/>
          <w:szCs w:val="22"/>
        </w:rPr>
        <w:t>stateless</w:t>
      </w:r>
      <w:r w:rsidRPr="00FB4705">
        <w:rPr>
          <w:rFonts w:ascii="MetaPro-Norm" w:hAnsi="MetaPro-Norm"/>
          <w:sz w:val="22"/>
          <w:szCs w:val="22"/>
        </w:rPr>
        <w:t xml:space="preserve"> men and women</w:t>
      </w:r>
      <w:r w:rsidR="00547BA6" w:rsidRPr="00FB4705">
        <w:rPr>
          <w:rFonts w:ascii="MetaPro-Norm" w:hAnsi="MetaPro-Norm"/>
          <w:sz w:val="22"/>
          <w:szCs w:val="22"/>
        </w:rPr>
        <w:t>?</w:t>
      </w:r>
    </w:p>
    <w:p w14:paraId="51577833" w14:textId="23FBD5F6" w:rsidR="00FF1576" w:rsidRPr="00FB4705" w:rsidRDefault="00FF1576" w:rsidP="000F6A59">
      <w:pPr>
        <w:pStyle w:val="ListParagraph"/>
        <w:numPr>
          <w:ilvl w:val="0"/>
          <w:numId w:val="7"/>
        </w:numPr>
        <w:rPr>
          <w:rFonts w:ascii="MetaPro-Norm" w:hAnsi="MetaPro-Norm"/>
          <w:sz w:val="22"/>
          <w:szCs w:val="22"/>
        </w:rPr>
      </w:pPr>
      <w:r w:rsidRPr="00FB4705">
        <w:rPr>
          <w:rFonts w:ascii="MetaPro-Norm" w:hAnsi="MetaPro-Norm"/>
          <w:sz w:val="22"/>
          <w:szCs w:val="22"/>
        </w:rPr>
        <w:t xml:space="preserve">How many children are currently stateless in </w:t>
      </w:r>
      <w:r w:rsidR="00547BA6" w:rsidRPr="00FB4705">
        <w:rPr>
          <w:rFonts w:ascii="MetaPro-Norm" w:hAnsi="MetaPro-Norm"/>
          <w:sz w:val="22"/>
          <w:szCs w:val="22"/>
        </w:rPr>
        <w:t>the UAE</w:t>
      </w:r>
      <w:r w:rsidRPr="00FB4705">
        <w:rPr>
          <w:rFonts w:ascii="MetaPro-Norm" w:hAnsi="MetaPro-Norm"/>
          <w:sz w:val="22"/>
          <w:szCs w:val="22"/>
        </w:rPr>
        <w:t>?</w:t>
      </w:r>
    </w:p>
    <w:p w14:paraId="48F6BE5F" w14:textId="77777777" w:rsidR="00F82059" w:rsidRPr="00FB4705" w:rsidRDefault="00F82059" w:rsidP="00F82059">
      <w:pPr>
        <w:jc w:val="both"/>
        <w:rPr>
          <w:rFonts w:ascii="MetaPro-Norm" w:hAnsi="MetaPro-Norm"/>
          <w:sz w:val="22"/>
          <w:szCs w:val="22"/>
        </w:rPr>
      </w:pPr>
    </w:p>
    <w:p w14:paraId="3CF21442" w14:textId="77777777" w:rsidR="00F82059" w:rsidRPr="00FB4705" w:rsidRDefault="00F82059" w:rsidP="00F82059">
      <w:pPr>
        <w:pStyle w:val="ListParagraph"/>
        <w:numPr>
          <w:ilvl w:val="0"/>
          <w:numId w:val="1"/>
        </w:numPr>
        <w:jc w:val="both"/>
        <w:rPr>
          <w:rFonts w:ascii="MetaPro-Norm" w:hAnsi="MetaPro-Norm"/>
          <w:b/>
          <w:bCs/>
          <w:sz w:val="22"/>
          <w:szCs w:val="22"/>
        </w:rPr>
      </w:pPr>
      <w:r w:rsidRPr="00FB4705">
        <w:rPr>
          <w:rFonts w:ascii="MetaPro-Norm" w:hAnsi="MetaPro-Norm"/>
          <w:b/>
          <w:bCs/>
          <w:sz w:val="22"/>
          <w:szCs w:val="22"/>
        </w:rPr>
        <w:t>Migrant Domestic Workers (Arts 2, 3, 6, 11, 15)</w:t>
      </w:r>
    </w:p>
    <w:p w14:paraId="2E000856" w14:textId="77777777" w:rsidR="00F82059" w:rsidRPr="00FB4705" w:rsidRDefault="00F82059" w:rsidP="00F82059">
      <w:pPr>
        <w:rPr>
          <w:rFonts w:ascii="MetaPro-Norm" w:hAnsi="MetaPro-Norm"/>
          <w:sz w:val="22"/>
          <w:szCs w:val="22"/>
        </w:rPr>
      </w:pPr>
    </w:p>
    <w:p w14:paraId="524C9558" w14:textId="7A5119AB" w:rsidR="00F82059" w:rsidRPr="00FB4705" w:rsidRDefault="00F82059" w:rsidP="00F82059">
      <w:pPr>
        <w:jc w:val="both"/>
        <w:rPr>
          <w:rFonts w:ascii="MetaPro-Norm" w:hAnsi="MetaPro-Norm"/>
          <w:sz w:val="22"/>
          <w:szCs w:val="22"/>
        </w:rPr>
      </w:pPr>
      <w:r w:rsidRPr="00FB4705">
        <w:rPr>
          <w:rFonts w:ascii="MetaPro-Norm" w:hAnsi="MetaPro-Norm"/>
          <w:sz w:val="22"/>
          <w:szCs w:val="22"/>
        </w:rPr>
        <w:t>Foreign nationals account for a majority of the UAE’s population, a</w:t>
      </w:r>
      <w:r w:rsidR="00D60465" w:rsidRPr="00FB4705">
        <w:rPr>
          <w:rFonts w:ascii="MetaPro-Norm" w:hAnsi="MetaPro-Norm"/>
          <w:sz w:val="22"/>
          <w:szCs w:val="22"/>
        </w:rPr>
        <w:t xml:space="preserve">round </w:t>
      </w:r>
      <w:r w:rsidR="00B5105A" w:rsidRPr="00FB4705">
        <w:rPr>
          <w:rFonts w:ascii="MetaPro-Norm" w:hAnsi="MetaPro-Norm"/>
          <w:sz w:val="22"/>
          <w:szCs w:val="22"/>
        </w:rPr>
        <w:t>90</w:t>
      </w:r>
      <w:r w:rsidRPr="00FB4705">
        <w:rPr>
          <w:rFonts w:ascii="MetaPro-Norm" w:hAnsi="MetaPro-Norm"/>
          <w:sz w:val="22"/>
          <w:szCs w:val="22"/>
        </w:rPr>
        <w:t xml:space="preserve"> percent, according to </w:t>
      </w:r>
      <w:r w:rsidR="008C73AE" w:rsidRPr="00FB4705">
        <w:rPr>
          <w:rFonts w:ascii="MetaPro-Norm" w:hAnsi="MetaPro-Norm"/>
          <w:sz w:val="22"/>
          <w:szCs w:val="22"/>
        </w:rPr>
        <w:t>the World Bank</w:t>
      </w:r>
      <w:r w:rsidRPr="00FB4705">
        <w:rPr>
          <w:rFonts w:ascii="MetaPro-Norm" w:hAnsi="MetaPro-Norm"/>
          <w:sz w:val="22"/>
          <w:szCs w:val="22"/>
        </w:rPr>
        <w:t>.</w:t>
      </w:r>
      <w:r w:rsidRPr="00FB4705">
        <w:rPr>
          <w:rStyle w:val="FootnoteReference"/>
          <w:rFonts w:ascii="MetaPro-Norm" w:hAnsi="MetaPro-Norm"/>
          <w:sz w:val="22"/>
          <w:szCs w:val="22"/>
        </w:rPr>
        <w:footnoteReference w:id="42"/>
      </w:r>
      <w:r w:rsidRPr="00FB4705">
        <w:rPr>
          <w:rFonts w:ascii="MetaPro-Norm" w:hAnsi="MetaPro-Norm"/>
          <w:sz w:val="22"/>
          <w:szCs w:val="22"/>
        </w:rPr>
        <w:t xml:space="preserve"> Most migrant workers in the Gulf states are from Asia or East Africa and work in the service, construction, and domestic labor sectors.</w:t>
      </w:r>
      <w:r w:rsidR="00EB255E">
        <w:rPr>
          <w:rFonts w:ascii="MetaPro-Norm" w:hAnsi="MetaPro-Norm"/>
          <w:sz w:val="22"/>
          <w:szCs w:val="22"/>
        </w:rPr>
        <w:t xml:space="preserve"> </w:t>
      </w:r>
    </w:p>
    <w:p w14:paraId="5F0A4375" w14:textId="77777777" w:rsidR="00F82059" w:rsidRPr="00FB4705" w:rsidRDefault="00F82059" w:rsidP="00F82059">
      <w:pPr>
        <w:jc w:val="both"/>
        <w:rPr>
          <w:rFonts w:ascii="MetaPro-Norm" w:hAnsi="MetaPro-Norm"/>
          <w:sz w:val="22"/>
          <w:szCs w:val="22"/>
        </w:rPr>
      </w:pPr>
    </w:p>
    <w:p w14:paraId="27CACE53" w14:textId="2935868A" w:rsidR="00F82059" w:rsidRPr="00FB4705" w:rsidRDefault="00832791" w:rsidP="00F82059">
      <w:pPr>
        <w:jc w:val="both"/>
        <w:rPr>
          <w:rFonts w:ascii="MetaPro-Norm" w:hAnsi="MetaPro-Norm"/>
          <w:sz w:val="22"/>
          <w:szCs w:val="22"/>
        </w:rPr>
      </w:pPr>
      <w:r w:rsidRPr="00FB4705">
        <w:rPr>
          <w:rFonts w:ascii="MetaPro-Norm" w:hAnsi="MetaPro-Norm"/>
          <w:sz w:val="22"/>
          <w:szCs w:val="22"/>
        </w:rPr>
        <w:t xml:space="preserve">Many low-paid migrant workers are acutely vulnerable to forced labor and </w:t>
      </w:r>
      <w:r w:rsidR="00331163" w:rsidRPr="00FB4705">
        <w:rPr>
          <w:rFonts w:ascii="MetaPro-Norm" w:hAnsi="MetaPro-Norm"/>
          <w:sz w:val="22"/>
          <w:szCs w:val="22"/>
        </w:rPr>
        <w:t xml:space="preserve">human </w:t>
      </w:r>
      <w:r w:rsidRPr="00FB4705">
        <w:rPr>
          <w:rFonts w:ascii="MetaPro-Norm" w:hAnsi="MetaPro-Norm"/>
          <w:sz w:val="22"/>
          <w:szCs w:val="22"/>
        </w:rPr>
        <w:t>trafficking because of t</w:t>
      </w:r>
      <w:r w:rsidR="00F82059" w:rsidRPr="00FB4705">
        <w:rPr>
          <w:rFonts w:ascii="MetaPro-Norm" w:hAnsi="MetaPro-Norm"/>
          <w:sz w:val="22"/>
          <w:szCs w:val="22"/>
        </w:rPr>
        <w:t>he </w:t>
      </w:r>
      <w:r w:rsidR="00F82059" w:rsidRPr="00FB4705">
        <w:rPr>
          <w:rFonts w:ascii="MetaPro-Norm" w:hAnsi="MetaPro-Norm"/>
          <w:i/>
          <w:iCs/>
          <w:sz w:val="22"/>
          <w:szCs w:val="22"/>
        </w:rPr>
        <w:t>kafala</w:t>
      </w:r>
      <w:r w:rsidR="00F82059" w:rsidRPr="00FB4705">
        <w:rPr>
          <w:rFonts w:ascii="MetaPro-Norm" w:hAnsi="MetaPro-Norm"/>
          <w:sz w:val="22"/>
          <w:szCs w:val="22"/>
        </w:rPr>
        <w:t> (visa sponsorship) system in the UAE</w:t>
      </w:r>
      <w:r w:rsidR="007B7292">
        <w:rPr>
          <w:rFonts w:ascii="MetaPro-Norm" w:hAnsi="MetaPro-Norm"/>
          <w:sz w:val="22"/>
          <w:szCs w:val="22"/>
        </w:rPr>
        <w:t>,</w:t>
      </w:r>
      <w:r w:rsidR="00F82059" w:rsidRPr="00FB4705">
        <w:rPr>
          <w:rFonts w:ascii="MetaPro-Norm" w:hAnsi="MetaPro-Norm"/>
          <w:sz w:val="22"/>
          <w:szCs w:val="22"/>
        </w:rPr>
        <w:t xml:space="preserve"> </w:t>
      </w:r>
      <w:r w:rsidR="00331163" w:rsidRPr="00FB4705">
        <w:rPr>
          <w:rFonts w:ascii="MetaPro-Norm" w:hAnsi="MetaPro-Norm"/>
          <w:sz w:val="22"/>
          <w:szCs w:val="22"/>
        </w:rPr>
        <w:t xml:space="preserve">which </w:t>
      </w:r>
      <w:r w:rsidR="00F82059" w:rsidRPr="00FB4705">
        <w:rPr>
          <w:rFonts w:ascii="MetaPro-Norm" w:hAnsi="MetaPro-Norm"/>
          <w:sz w:val="22"/>
          <w:szCs w:val="22"/>
        </w:rPr>
        <w:t>ties migrant workers visas to their employers</w:t>
      </w:r>
      <w:r w:rsidR="00331163" w:rsidRPr="00FB4705">
        <w:rPr>
          <w:rFonts w:ascii="MetaPro-Norm" w:hAnsi="MetaPro-Norm"/>
          <w:sz w:val="22"/>
          <w:szCs w:val="22"/>
        </w:rPr>
        <w:t>.</w:t>
      </w:r>
      <w:r w:rsidRPr="00FB4705">
        <w:rPr>
          <w:rStyle w:val="FootnoteReference"/>
          <w:rFonts w:ascii="MetaPro-Norm" w:hAnsi="MetaPro-Norm"/>
          <w:sz w:val="22"/>
          <w:szCs w:val="22"/>
        </w:rPr>
        <w:footnoteReference w:id="43"/>
      </w:r>
      <w:r w:rsidR="00F82059" w:rsidRPr="00FB4705">
        <w:rPr>
          <w:rFonts w:ascii="MetaPro-Norm" w:hAnsi="MetaPro-Norm"/>
          <w:sz w:val="22"/>
          <w:szCs w:val="22"/>
        </w:rPr>
        <w:t xml:space="preserve"> </w:t>
      </w:r>
      <w:r w:rsidR="00331163" w:rsidRPr="00FB4705">
        <w:rPr>
          <w:rFonts w:ascii="MetaPro-Norm" w:hAnsi="MetaPro-Norm"/>
          <w:sz w:val="22"/>
          <w:szCs w:val="22"/>
        </w:rPr>
        <w:t>Under this system,</w:t>
      </w:r>
      <w:r w:rsidR="00F82059" w:rsidRPr="00FB4705">
        <w:rPr>
          <w:rFonts w:ascii="MetaPro-Norm" w:hAnsi="MetaPro-Norm"/>
          <w:sz w:val="22"/>
          <w:szCs w:val="22"/>
        </w:rPr>
        <w:t xml:space="preserve"> migrant workers are not allowed to change or leave employers without their </w:t>
      </w:r>
      <w:r w:rsidR="00331163" w:rsidRPr="00FB4705">
        <w:rPr>
          <w:rFonts w:ascii="MetaPro-Norm" w:hAnsi="MetaPro-Norm"/>
          <w:sz w:val="22"/>
          <w:szCs w:val="22"/>
        </w:rPr>
        <w:t xml:space="preserve">employer’s </w:t>
      </w:r>
      <w:r w:rsidR="00F82059" w:rsidRPr="00FB4705">
        <w:rPr>
          <w:rFonts w:ascii="MetaPro-Norm" w:hAnsi="MetaPro-Norm"/>
          <w:sz w:val="22"/>
          <w:szCs w:val="22"/>
        </w:rPr>
        <w:t xml:space="preserve">permission. Those who leave their employers without permission faced punishment for “absconding,” including fines, prison, and deportation. </w:t>
      </w:r>
    </w:p>
    <w:p w14:paraId="2A5A126E" w14:textId="77777777" w:rsidR="00F82059" w:rsidRPr="00FB4705" w:rsidRDefault="00F82059" w:rsidP="00F82059">
      <w:pPr>
        <w:jc w:val="both"/>
        <w:rPr>
          <w:rFonts w:ascii="MetaPro-Norm" w:hAnsi="MetaPro-Norm"/>
          <w:sz w:val="22"/>
          <w:szCs w:val="22"/>
        </w:rPr>
      </w:pPr>
    </w:p>
    <w:p w14:paraId="233AB259" w14:textId="644ABD90" w:rsidR="005F3493" w:rsidRDefault="00F82059" w:rsidP="00546353">
      <w:pPr>
        <w:rPr>
          <w:rFonts w:ascii="MetaPro-Norm" w:hAnsi="MetaPro-Norm"/>
          <w:color w:val="000000" w:themeColor="text1"/>
          <w:sz w:val="22"/>
          <w:szCs w:val="22"/>
        </w:rPr>
      </w:pPr>
      <w:r w:rsidRPr="00FB4705">
        <w:rPr>
          <w:rFonts w:ascii="MetaPro-Norm" w:hAnsi="MetaPro-Norm"/>
          <w:sz w:val="22"/>
          <w:szCs w:val="22"/>
        </w:rPr>
        <w:t>The UAE’s labor law excludes domestic workers</w:t>
      </w:r>
      <w:r w:rsidR="00331163" w:rsidRPr="00FB4705">
        <w:rPr>
          <w:rFonts w:ascii="MetaPro-Norm" w:hAnsi="MetaPro-Norm"/>
          <w:sz w:val="22"/>
          <w:szCs w:val="22"/>
        </w:rPr>
        <w:t xml:space="preserve"> from its protections</w:t>
      </w:r>
      <w:r w:rsidR="7DB99E38" w:rsidRPr="00FB4705">
        <w:rPr>
          <w:rFonts w:ascii="MetaPro-Norm" w:hAnsi="MetaPro-Norm"/>
          <w:sz w:val="22"/>
          <w:szCs w:val="22"/>
        </w:rPr>
        <w:t xml:space="preserve">. Human Rights Watch documented how domestic workers </w:t>
      </w:r>
      <w:r w:rsidRPr="00FB4705">
        <w:rPr>
          <w:rFonts w:ascii="MetaPro-Norm" w:hAnsi="MetaPro-Norm"/>
          <w:sz w:val="22"/>
          <w:szCs w:val="22"/>
        </w:rPr>
        <w:t>face a range of abuses</w:t>
      </w:r>
      <w:r w:rsidR="005F3493">
        <w:rPr>
          <w:rFonts w:ascii="MetaPro-Norm" w:hAnsi="MetaPro-Norm"/>
          <w:sz w:val="22"/>
          <w:szCs w:val="22"/>
        </w:rPr>
        <w:t xml:space="preserve"> including </w:t>
      </w:r>
      <w:r w:rsidRPr="00FB4705">
        <w:rPr>
          <w:rFonts w:ascii="MetaPro-Norm" w:hAnsi="MetaPro-Norm"/>
          <w:sz w:val="22"/>
          <w:szCs w:val="22"/>
        </w:rPr>
        <w:t>unpaid wages, confinement to the house</w:t>
      </w:r>
      <w:r w:rsidR="005F3493">
        <w:rPr>
          <w:rFonts w:ascii="MetaPro-Norm" w:hAnsi="MetaPro-Norm"/>
          <w:sz w:val="22"/>
          <w:szCs w:val="22"/>
        </w:rPr>
        <w:t>,</w:t>
      </w:r>
      <w:r w:rsidRPr="00FB4705">
        <w:rPr>
          <w:rFonts w:ascii="MetaPro-Norm" w:hAnsi="MetaPro-Norm"/>
          <w:sz w:val="22"/>
          <w:szCs w:val="22"/>
        </w:rPr>
        <w:t xml:space="preserve"> workdays up to 21 hours</w:t>
      </w:r>
      <w:r w:rsidR="005F3493">
        <w:rPr>
          <w:rFonts w:ascii="MetaPro-Norm" w:hAnsi="MetaPro-Norm"/>
          <w:sz w:val="22"/>
          <w:szCs w:val="22"/>
        </w:rPr>
        <w:t>,</w:t>
      </w:r>
      <w:r w:rsidRPr="00FB4705">
        <w:rPr>
          <w:rFonts w:ascii="MetaPro-Norm" w:hAnsi="MetaPro-Norm"/>
          <w:sz w:val="22"/>
          <w:szCs w:val="22"/>
        </w:rPr>
        <w:t xml:space="preserve"> </w:t>
      </w:r>
      <w:r w:rsidR="005F3493">
        <w:rPr>
          <w:rFonts w:ascii="MetaPro-Norm" w:hAnsi="MetaPro-Norm"/>
          <w:sz w:val="22"/>
          <w:szCs w:val="22"/>
        </w:rPr>
        <w:t xml:space="preserve">and </w:t>
      </w:r>
      <w:r w:rsidRPr="00FB4705">
        <w:rPr>
          <w:rFonts w:ascii="MetaPro-Norm" w:hAnsi="MetaPro-Norm"/>
          <w:sz w:val="22"/>
          <w:szCs w:val="22"/>
        </w:rPr>
        <w:t>physical and sexual assault by employers</w:t>
      </w:r>
      <w:r w:rsidR="7DB99E38" w:rsidRPr="00FB4705">
        <w:rPr>
          <w:rFonts w:ascii="MetaPro-Norm" w:hAnsi="MetaPro-Norm"/>
          <w:sz w:val="22"/>
          <w:szCs w:val="22"/>
        </w:rPr>
        <w:t>, in some ca</w:t>
      </w:r>
      <w:r w:rsidR="0E133FB7" w:rsidRPr="00FB4705">
        <w:rPr>
          <w:rFonts w:ascii="MetaPro-Norm" w:hAnsi="MetaPro-Norm"/>
          <w:sz w:val="22"/>
          <w:szCs w:val="22"/>
        </w:rPr>
        <w:t>s</w:t>
      </w:r>
      <w:r w:rsidR="7DB99E38" w:rsidRPr="00FB4705">
        <w:rPr>
          <w:rFonts w:ascii="MetaPro-Norm" w:hAnsi="MetaPro-Norm"/>
          <w:sz w:val="22"/>
          <w:szCs w:val="22"/>
        </w:rPr>
        <w:t>es amounting to force</w:t>
      </w:r>
      <w:r w:rsidR="440C7FE6" w:rsidRPr="00FB4705">
        <w:rPr>
          <w:rFonts w:ascii="MetaPro-Norm" w:hAnsi="MetaPro-Norm"/>
          <w:sz w:val="22"/>
          <w:szCs w:val="22"/>
        </w:rPr>
        <w:t>d</w:t>
      </w:r>
      <w:r w:rsidR="7DB99E38" w:rsidRPr="00FB4705">
        <w:rPr>
          <w:rFonts w:ascii="MetaPro-Norm" w:hAnsi="MetaPro-Norm"/>
          <w:sz w:val="22"/>
          <w:szCs w:val="22"/>
        </w:rPr>
        <w:t xml:space="preserve"> labor</w:t>
      </w:r>
      <w:r w:rsidRPr="00FB4705">
        <w:rPr>
          <w:rFonts w:ascii="MetaPro-Norm" w:hAnsi="MetaPro-Norm"/>
          <w:sz w:val="22"/>
          <w:szCs w:val="22"/>
        </w:rPr>
        <w:t>.</w:t>
      </w:r>
      <w:r w:rsidR="3D0C3981" w:rsidRPr="00FB4705">
        <w:rPr>
          <w:rStyle w:val="FootnoteReference"/>
          <w:rFonts w:ascii="MetaPro-Norm" w:hAnsi="MetaPro-Norm"/>
          <w:sz w:val="22"/>
          <w:szCs w:val="22"/>
        </w:rPr>
        <w:t xml:space="preserve"> </w:t>
      </w:r>
      <w:r w:rsidR="00D12398" w:rsidRPr="00FB4705">
        <w:rPr>
          <w:rStyle w:val="FootnoteReference"/>
          <w:rFonts w:ascii="MetaPro-Norm" w:hAnsi="MetaPro-Norm"/>
          <w:sz w:val="22"/>
          <w:szCs w:val="22"/>
        </w:rPr>
        <w:footnoteReference w:id="44"/>
      </w:r>
      <w:r w:rsidRPr="00FB4705">
        <w:rPr>
          <w:rFonts w:ascii="MetaPro-Norm" w:hAnsi="MetaPro-Norm"/>
          <w:sz w:val="22"/>
          <w:szCs w:val="22"/>
        </w:rPr>
        <w:t xml:space="preserve"> While </w:t>
      </w:r>
      <w:r w:rsidR="00331163" w:rsidRPr="00FB4705">
        <w:rPr>
          <w:rFonts w:ascii="MetaPro-Norm" w:hAnsi="MetaPro-Norm"/>
          <w:sz w:val="22"/>
          <w:szCs w:val="22"/>
        </w:rPr>
        <w:t xml:space="preserve">the UAE passed </w:t>
      </w:r>
      <w:r w:rsidRPr="00FB4705">
        <w:rPr>
          <w:rFonts w:ascii="MetaPro-Norm" w:hAnsi="MetaPro-Norm"/>
          <w:sz w:val="22"/>
          <w:szCs w:val="22"/>
        </w:rPr>
        <w:t xml:space="preserve">a 2017 law on domestic workers </w:t>
      </w:r>
      <w:r w:rsidR="00331163" w:rsidRPr="00FB4705">
        <w:rPr>
          <w:rFonts w:ascii="MetaPro-Norm" w:hAnsi="MetaPro-Norm"/>
          <w:sz w:val="22"/>
          <w:szCs w:val="22"/>
        </w:rPr>
        <w:t xml:space="preserve">which provides </w:t>
      </w:r>
      <w:r w:rsidRPr="00FB4705">
        <w:rPr>
          <w:rFonts w:ascii="MetaPro-Norm" w:hAnsi="MetaPro-Norm"/>
          <w:sz w:val="22"/>
          <w:szCs w:val="22"/>
        </w:rPr>
        <w:t>some labor rights, it is weaker than the labor law and falls short of international standards.</w:t>
      </w:r>
      <w:r w:rsidRPr="00FB4705">
        <w:rPr>
          <w:rStyle w:val="FootnoteReference"/>
          <w:rFonts w:ascii="MetaPro-Norm" w:hAnsi="MetaPro-Norm"/>
          <w:sz w:val="22"/>
          <w:szCs w:val="22"/>
        </w:rPr>
        <w:footnoteReference w:id="45"/>
      </w:r>
      <w:r w:rsidR="00EB255E">
        <w:rPr>
          <w:rFonts w:ascii="MetaPro-Norm" w:hAnsi="MetaPro-Norm"/>
          <w:sz w:val="22"/>
          <w:szCs w:val="22"/>
        </w:rPr>
        <w:t xml:space="preserve"> </w:t>
      </w:r>
      <w:r w:rsidR="00BF5DD0" w:rsidRPr="00FB4705">
        <w:rPr>
          <w:rFonts w:ascii="MetaPro-Norm" w:hAnsi="MetaPro-Norm"/>
          <w:sz w:val="22"/>
          <w:szCs w:val="22"/>
        </w:rPr>
        <w:t xml:space="preserve">Women face difficulties in accessing redress as their employer can report them for absconding or other charges when they report abuse, and they cannot work for another employer while pursuing </w:t>
      </w:r>
      <w:r w:rsidR="00BF5DD0" w:rsidRPr="00FB4705">
        <w:rPr>
          <w:rFonts w:ascii="MetaPro-Norm" w:hAnsi="MetaPro-Norm"/>
          <w:sz w:val="22"/>
          <w:szCs w:val="22"/>
        </w:rPr>
        <w:lastRenderedPageBreak/>
        <w:t xml:space="preserve">redress. </w:t>
      </w:r>
      <w:r w:rsidR="00DB236D" w:rsidRPr="00FB4705">
        <w:rPr>
          <w:rFonts w:ascii="MetaPro-Norm" w:hAnsi="MetaPro-Norm"/>
          <w:color w:val="000000" w:themeColor="text1"/>
          <w:sz w:val="22"/>
          <w:szCs w:val="22"/>
        </w:rPr>
        <w:t>The authorities have not established any official emergency shelter specifically for domestic workers who are exposed to physical or psychological abuse.</w:t>
      </w:r>
      <w:r w:rsidR="00DB236D" w:rsidRPr="00FB4705">
        <w:rPr>
          <w:rStyle w:val="FootnoteReference"/>
          <w:rFonts w:ascii="MetaPro-Norm" w:hAnsi="MetaPro-Norm"/>
          <w:color w:val="000000" w:themeColor="text1"/>
          <w:sz w:val="22"/>
          <w:szCs w:val="22"/>
        </w:rPr>
        <w:footnoteReference w:id="46"/>
      </w:r>
      <w:r w:rsidR="00DB236D" w:rsidRPr="00FB4705">
        <w:rPr>
          <w:rFonts w:ascii="MetaPro-Norm" w:hAnsi="MetaPro-Norm"/>
          <w:color w:val="000000" w:themeColor="text1"/>
          <w:sz w:val="22"/>
          <w:szCs w:val="22"/>
        </w:rPr>
        <w:t xml:space="preserve"> </w:t>
      </w:r>
    </w:p>
    <w:p w14:paraId="209E9988" w14:textId="77777777" w:rsidR="005F3493" w:rsidRDefault="005F3493" w:rsidP="00546353">
      <w:pPr>
        <w:rPr>
          <w:rFonts w:ascii="MetaPro-Norm" w:hAnsi="MetaPro-Norm"/>
          <w:color w:val="000000" w:themeColor="text1"/>
          <w:sz w:val="22"/>
          <w:szCs w:val="22"/>
        </w:rPr>
      </w:pPr>
    </w:p>
    <w:p w14:paraId="4EA3ACF5" w14:textId="1DD8C8DD" w:rsidR="00F82059" w:rsidRPr="00FB4705" w:rsidRDefault="00F82059" w:rsidP="00546353">
      <w:pPr>
        <w:rPr>
          <w:rFonts w:ascii="MetaPro-Norm" w:hAnsi="MetaPro-Norm"/>
          <w:color w:val="000000" w:themeColor="text1"/>
          <w:sz w:val="22"/>
          <w:szCs w:val="22"/>
        </w:rPr>
      </w:pPr>
      <w:r w:rsidRPr="00FB4705">
        <w:rPr>
          <w:rFonts w:ascii="MetaPro-Norm" w:hAnsi="MetaPro-Norm"/>
          <w:color w:val="000000" w:themeColor="text1"/>
          <w:sz w:val="22"/>
          <w:szCs w:val="22"/>
        </w:rPr>
        <w:t>Some migrant workers are recruited for jobs in the UAE and then forcibly transferred to other countries to work, a practice that takes place with alarming frequency.</w:t>
      </w:r>
      <w:r w:rsidRPr="00FB4705">
        <w:rPr>
          <w:rStyle w:val="FootnoteReference"/>
          <w:rFonts w:ascii="MetaPro-Norm" w:hAnsi="MetaPro-Norm"/>
          <w:color w:val="000000" w:themeColor="text1"/>
          <w:sz w:val="22"/>
          <w:szCs w:val="22"/>
        </w:rPr>
        <w:footnoteReference w:id="47"/>
      </w:r>
      <w:r w:rsidRPr="00FB4705">
        <w:rPr>
          <w:rStyle w:val="FootnoteReference"/>
          <w:rFonts w:ascii="MetaPro-Norm" w:hAnsi="MetaPro-Norm"/>
          <w:color w:val="000000" w:themeColor="text1"/>
          <w:sz w:val="22"/>
          <w:szCs w:val="22"/>
        </w:rPr>
        <w:t xml:space="preserve"> </w:t>
      </w:r>
    </w:p>
    <w:p w14:paraId="49F79121" w14:textId="77777777" w:rsidR="00F82059" w:rsidRPr="00FB4705" w:rsidRDefault="00F82059" w:rsidP="00F82059">
      <w:pPr>
        <w:rPr>
          <w:rFonts w:ascii="MetaPro-Norm" w:hAnsi="MetaPro-Norm"/>
          <w:color w:val="000000" w:themeColor="text1"/>
          <w:sz w:val="22"/>
          <w:szCs w:val="22"/>
        </w:rPr>
      </w:pPr>
    </w:p>
    <w:p w14:paraId="41E55B8F" w14:textId="4069BB75" w:rsidR="00F82059" w:rsidRPr="005F3493" w:rsidRDefault="00F82059" w:rsidP="005F3493">
      <w:pPr>
        <w:rPr>
          <w:rFonts w:ascii="MetaPro-Norm" w:hAnsi="MetaPro-Norm"/>
          <w:color w:val="000000" w:themeColor="text1"/>
          <w:sz w:val="22"/>
          <w:szCs w:val="22"/>
        </w:rPr>
      </w:pPr>
      <w:r w:rsidRPr="00FB4705">
        <w:rPr>
          <w:rFonts w:ascii="MetaPro-Norm" w:hAnsi="MetaPro-Norm"/>
          <w:sz w:val="22"/>
          <w:szCs w:val="22"/>
        </w:rPr>
        <w:t>Authorities imposed stricter Covid-19 lockdown conditions on domestic workers, banning them from seeing anyone outside of their employer’s households and warning employers not to allow their domestic workers to meet anyone outside. Given that many employers already confine domestic workers to the household and overwork them, such conditions left them even more at risk of abuse, including increased working hours, no rest days, and physical and verbal abuse.</w:t>
      </w:r>
      <w:r w:rsidRPr="00FB4705">
        <w:rPr>
          <w:rStyle w:val="FootnoteReference"/>
          <w:rFonts w:ascii="MetaPro-Norm" w:hAnsi="MetaPro-Norm"/>
          <w:sz w:val="22"/>
          <w:szCs w:val="22"/>
        </w:rPr>
        <w:footnoteReference w:id="48"/>
      </w:r>
    </w:p>
    <w:p w14:paraId="18C1AA41" w14:textId="77777777" w:rsidR="00EE6A68" w:rsidRPr="00FB4705" w:rsidRDefault="00EE6A68" w:rsidP="00EE6A68">
      <w:pPr>
        <w:rPr>
          <w:rFonts w:ascii="MetaPro-Norm" w:hAnsi="MetaPro-Norm"/>
          <w:i/>
          <w:iCs/>
          <w:sz w:val="22"/>
          <w:szCs w:val="22"/>
        </w:rPr>
      </w:pPr>
    </w:p>
    <w:p w14:paraId="1CFCE5A6" w14:textId="5F0D3546" w:rsidR="00EE6A68" w:rsidRPr="00FB4705" w:rsidRDefault="00EE6A68" w:rsidP="00EE6A68">
      <w:pPr>
        <w:rPr>
          <w:rFonts w:ascii="MetaPro-Norm" w:hAnsi="MetaPro-Norm"/>
          <w:i/>
          <w:iCs/>
          <w:sz w:val="22"/>
          <w:szCs w:val="22"/>
        </w:rPr>
      </w:pPr>
      <w:r w:rsidRPr="00FB4705">
        <w:rPr>
          <w:rFonts w:ascii="MetaPro-Norm" w:hAnsi="MetaPro-Norm"/>
          <w:i/>
          <w:iCs/>
          <w:sz w:val="22"/>
          <w:szCs w:val="22"/>
        </w:rPr>
        <w:t xml:space="preserve">We encourage the Committee to pose the following questions: </w:t>
      </w:r>
    </w:p>
    <w:p w14:paraId="16F65C30" w14:textId="66896055" w:rsidR="00F82059" w:rsidRPr="005031C6" w:rsidRDefault="00EE6A68"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 xml:space="preserve">What steps are the authorities taking to dismantle the </w:t>
      </w:r>
      <w:r w:rsidRPr="005F3493">
        <w:rPr>
          <w:rFonts w:ascii="MetaPro-Norm" w:hAnsi="MetaPro-Norm"/>
          <w:i/>
          <w:iCs/>
          <w:sz w:val="22"/>
          <w:szCs w:val="22"/>
        </w:rPr>
        <w:t>kafala</w:t>
      </w:r>
      <w:r w:rsidRPr="005031C6">
        <w:rPr>
          <w:rFonts w:ascii="MetaPro-Norm" w:hAnsi="MetaPro-Norm"/>
          <w:sz w:val="22"/>
          <w:szCs w:val="22"/>
        </w:rPr>
        <w:t xml:space="preserve"> system to ensure that migrant workers can </w:t>
      </w:r>
      <w:r w:rsidR="00C950A7" w:rsidRPr="005031C6">
        <w:rPr>
          <w:rFonts w:ascii="MetaPro-Norm" w:hAnsi="MetaPro-Norm"/>
          <w:sz w:val="22"/>
          <w:szCs w:val="22"/>
        </w:rPr>
        <w:t>enter, reside, change employer</w:t>
      </w:r>
      <w:r w:rsidR="00737B35" w:rsidRPr="005031C6">
        <w:rPr>
          <w:rFonts w:ascii="MetaPro-Norm" w:hAnsi="MetaPro-Norm"/>
          <w:sz w:val="22"/>
          <w:szCs w:val="22"/>
        </w:rPr>
        <w:t>s</w:t>
      </w:r>
      <w:r w:rsidR="00C950A7" w:rsidRPr="005031C6">
        <w:rPr>
          <w:rFonts w:ascii="MetaPro-Norm" w:hAnsi="MetaPro-Norm"/>
          <w:sz w:val="22"/>
          <w:szCs w:val="22"/>
        </w:rPr>
        <w:t xml:space="preserve"> and leave the country without </w:t>
      </w:r>
      <w:r w:rsidR="00777F52" w:rsidRPr="005031C6">
        <w:rPr>
          <w:rFonts w:ascii="MetaPro-Norm" w:hAnsi="MetaPro-Norm"/>
          <w:sz w:val="22"/>
          <w:szCs w:val="22"/>
        </w:rPr>
        <w:t xml:space="preserve">being dependent on an individual employer or company? </w:t>
      </w:r>
    </w:p>
    <w:p w14:paraId="4CA4D150" w14:textId="3EF55FBD" w:rsidR="00CC17E1" w:rsidRPr="005031C6" w:rsidRDefault="00CC17E1"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What steps are being taken to combat forced labor and trafficking into forced labor?</w:t>
      </w:r>
      <w:r w:rsidR="00E8062A" w:rsidRPr="005031C6">
        <w:rPr>
          <w:rFonts w:ascii="MetaPro-Norm" w:hAnsi="MetaPro-Norm"/>
          <w:sz w:val="22"/>
          <w:szCs w:val="22"/>
        </w:rPr>
        <w:t xml:space="preserve"> Please ask for data on the number of prosecutions and convictions in the past two years. </w:t>
      </w:r>
    </w:p>
    <w:p w14:paraId="63EAA53D" w14:textId="50E96AA2" w:rsidR="006A4190" w:rsidRPr="005031C6" w:rsidRDefault="006A4190" w:rsidP="005031C6">
      <w:pPr>
        <w:pStyle w:val="ListParagraph"/>
        <w:numPr>
          <w:ilvl w:val="0"/>
          <w:numId w:val="19"/>
        </w:numPr>
        <w:jc w:val="both"/>
        <w:rPr>
          <w:rFonts w:ascii="MetaPro-Norm" w:hAnsi="MetaPro-Norm"/>
          <w:sz w:val="22"/>
          <w:szCs w:val="22"/>
        </w:rPr>
      </w:pPr>
      <w:r w:rsidRPr="005031C6">
        <w:rPr>
          <w:rFonts w:ascii="MetaPro-Norm" w:hAnsi="MetaPro-Norm"/>
          <w:sz w:val="22"/>
          <w:szCs w:val="22"/>
        </w:rPr>
        <w:t xml:space="preserve">What measures are being taken to ensure that domestic workers are not placed under further </w:t>
      </w:r>
      <w:r w:rsidR="002F7D0D" w:rsidRPr="005031C6">
        <w:rPr>
          <w:rFonts w:ascii="MetaPro-Norm" w:hAnsi="MetaPro-Norm"/>
          <w:sz w:val="22"/>
          <w:szCs w:val="22"/>
        </w:rPr>
        <w:t xml:space="preserve">risks </w:t>
      </w:r>
      <w:r w:rsidR="00F76668" w:rsidRPr="005031C6">
        <w:rPr>
          <w:rFonts w:ascii="MetaPro-Norm" w:hAnsi="MetaPro-Norm"/>
          <w:sz w:val="22"/>
          <w:szCs w:val="22"/>
        </w:rPr>
        <w:t xml:space="preserve">during the </w:t>
      </w:r>
      <w:r w:rsidR="005F3493">
        <w:rPr>
          <w:rFonts w:ascii="MetaPro-Norm" w:hAnsi="MetaPro-Norm"/>
          <w:sz w:val="22"/>
          <w:szCs w:val="22"/>
        </w:rPr>
        <w:t>C</w:t>
      </w:r>
      <w:r w:rsidR="00F76668" w:rsidRPr="005031C6">
        <w:rPr>
          <w:rFonts w:ascii="MetaPro-Norm" w:hAnsi="MetaPro-Norm"/>
          <w:sz w:val="22"/>
          <w:szCs w:val="22"/>
        </w:rPr>
        <w:t xml:space="preserve">ovid-19 pandemic lockdown? </w:t>
      </w:r>
    </w:p>
    <w:p w14:paraId="08FCD445" w14:textId="77777777" w:rsidR="00C950A7" w:rsidRPr="00FB4705" w:rsidRDefault="00C950A7" w:rsidP="00D60465">
      <w:pPr>
        <w:jc w:val="both"/>
        <w:rPr>
          <w:rFonts w:ascii="MetaPro-Norm" w:hAnsi="MetaPro-Norm"/>
          <w:sz w:val="22"/>
          <w:szCs w:val="22"/>
        </w:rPr>
      </w:pPr>
    </w:p>
    <w:p w14:paraId="71D59B9A" w14:textId="3A3286A4" w:rsidR="00F82059" w:rsidRPr="005031C6" w:rsidRDefault="00F82059" w:rsidP="00066845">
      <w:pPr>
        <w:pStyle w:val="ListParagraph"/>
        <w:numPr>
          <w:ilvl w:val="0"/>
          <w:numId w:val="1"/>
        </w:numPr>
        <w:jc w:val="both"/>
        <w:rPr>
          <w:rFonts w:ascii="MetaPro-Norm" w:hAnsi="MetaPro-Norm"/>
          <w:sz w:val="22"/>
          <w:szCs w:val="22"/>
        </w:rPr>
      </w:pPr>
      <w:r w:rsidRPr="00FB4705">
        <w:rPr>
          <w:rFonts w:ascii="MetaPro-Norm" w:hAnsi="MetaPro-Norm"/>
          <w:b/>
          <w:bCs/>
          <w:sz w:val="22"/>
          <w:szCs w:val="22"/>
        </w:rPr>
        <w:lastRenderedPageBreak/>
        <w:t xml:space="preserve">Torture and Ill-Treatment of Women Prisoners (Arts.) </w:t>
      </w:r>
    </w:p>
    <w:p w14:paraId="236AA991" w14:textId="77777777" w:rsidR="005031C6" w:rsidRPr="005031C6" w:rsidRDefault="005031C6" w:rsidP="005031C6">
      <w:pPr>
        <w:jc w:val="both"/>
        <w:rPr>
          <w:rFonts w:ascii="MetaPro-Norm" w:hAnsi="MetaPro-Norm"/>
          <w:sz w:val="22"/>
          <w:szCs w:val="22"/>
        </w:rPr>
      </w:pPr>
    </w:p>
    <w:p w14:paraId="3704CC7C" w14:textId="77777777" w:rsidR="009B6891" w:rsidRPr="00FB4705" w:rsidRDefault="009B6891" w:rsidP="00066845">
      <w:pPr>
        <w:rPr>
          <w:rFonts w:ascii="MetaPro-Norm" w:hAnsi="MetaPro-Norm"/>
          <w:color w:val="000000" w:themeColor="text1"/>
          <w:sz w:val="22"/>
          <w:szCs w:val="22"/>
        </w:rPr>
      </w:pPr>
      <w:r w:rsidRPr="00FB4705">
        <w:rPr>
          <w:rFonts w:ascii="MetaPro-Norm" w:hAnsi="MetaPro-Norm"/>
          <w:color w:val="000000" w:themeColor="text1"/>
          <w:sz w:val="22"/>
          <w:szCs w:val="22"/>
        </w:rPr>
        <w:t>Human Rights Watch has documented numerous incidents of enforced disappearances by the UAE in recent years, including the case of three Emirati sisters who were forcibly disappeared in 2015 after posting comments critical of the government on social media.</w:t>
      </w:r>
      <w:r w:rsidRPr="00FB4705">
        <w:rPr>
          <w:rStyle w:val="FootnoteReference"/>
          <w:rFonts w:ascii="MetaPro-Norm" w:hAnsi="MetaPro-Norm"/>
          <w:color w:val="000000" w:themeColor="text1"/>
          <w:sz w:val="22"/>
          <w:szCs w:val="22"/>
        </w:rPr>
        <w:footnoteReference w:id="49"/>
      </w:r>
      <w:r w:rsidRPr="00FB4705">
        <w:rPr>
          <w:rFonts w:ascii="MetaPro-Norm" w:hAnsi="MetaPro-Norm"/>
          <w:color w:val="000000" w:themeColor="text1"/>
          <w:sz w:val="22"/>
          <w:szCs w:val="22"/>
        </w:rPr>
        <w:t xml:space="preserve"> </w:t>
      </w:r>
    </w:p>
    <w:p w14:paraId="344AEF78" w14:textId="77777777" w:rsidR="009B6891" w:rsidRPr="00FB4705" w:rsidRDefault="009B6891" w:rsidP="00F82059">
      <w:pPr>
        <w:jc w:val="both"/>
        <w:rPr>
          <w:rFonts w:ascii="MetaPro-Norm" w:hAnsi="MetaPro-Norm"/>
          <w:color w:val="000000" w:themeColor="text1"/>
          <w:sz w:val="22"/>
          <w:szCs w:val="22"/>
        </w:rPr>
      </w:pPr>
    </w:p>
    <w:p w14:paraId="2ABF4C25" w14:textId="3BF41CE3" w:rsidR="00F82059" w:rsidRPr="00FB4705" w:rsidRDefault="00F82059" w:rsidP="00F82059">
      <w:pPr>
        <w:jc w:val="both"/>
        <w:rPr>
          <w:rFonts w:ascii="MetaPro-Norm" w:hAnsi="MetaPro-Norm"/>
          <w:sz w:val="22"/>
          <w:szCs w:val="22"/>
        </w:rPr>
      </w:pPr>
      <w:r w:rsidRPr="00FB4705">
        <w:rPr>
          <w:rFonts w:ascii="MetaPro-Norm" w:hAnsi="MetaPro-Norm"/>
          <w:color w:val="000000" w:themeColor="text1"/>
          <w:sz w:val="22"/>
          <w:szCs w:val="22"/>
        </w:rPr>
        <w:t>A 42-year-old woman whom UAE security forces denied adequate medical care and mistreated in detention for more than three years died on May 4, 2019.</w:t>
      </w:r>
      <w:r w:rsidRPr="00FB4705">
        <w:rPr>
          <w:rStyle w:val="FootnoteReference"/>
          <w:rFonts w:ascii="MetaPro-Norm" w:hAnsi="MetaPro-Norm"/>
          <w:color w:val="000000" w:themeColor="text1"/>
          <w:sz w:val="22"/>
          <w:szCs w:val="22"/>
        </w:rPr>
        <w:footnoteReference w:id="50"/>
      </w:r>
      <w:r w:rsidRPr="00FB4705">
        <w:rPr>
          <w:rFonts w:ascii="MetaPro-Norm" w:hAnsi="MetaPro-Norm"/>
          <w:color w:val="000000" w:themeColor="text1"/>
          <w:sz w:val="22"/>
          <w:szCs w:val="22"/>
        </w:rPr>
        <w:t xml:space="preserve"> She </w:t>
      </w:r>
      <w:r w:rsidR="005F3493">
        <w:rPr>
          <w:rFonts w:ascii="MetaPro-Norm" w:hAnsi="MetaPro-Norm"/>
          <w:color w:val="000000" w:themeColor="text1"/>
          <w:sz w:val="22"/>
          <w:szCs w:val="22"/>
        </w:rPr>
        <w:t>was</w:t>
      </w:r>
      <w:r w:rsidRPr="00FB4705">
        <w:rPr>
          <w:rFonts w:ascii="MetaPro-Norm" w:hAnsi="MetaPro-Norm"/>
          <w:color w:val="000000" w:themeColor="text1"/>
          <w:sz w:val="22"/>
          <w:szCs w:val="22"/>
        </w:rPr>
        <w:t xml:space="preserve"> diagnosed with breast cancer in 2015, soon after her arrest on undisclosed charges. </w:t>
      </w:r>
      <w:r w:rsidRPr="00FB4705">
        <w:rPr>
          <w:rFonts w:ascii="MetaPro-Norm" w:hAnsi="MetaPro-Norm"/>
          <w:sz w:val="22"/>
          <w:szCs w:val="22"/>
        </w:rPr>
        <w:t xml:space="preserve">Family members reported that authorities kept her hands and feet shackled to her bed </w:t>
      </w:r>
      <w:r w:rsidR="00E516E3" w:rsidRPr="00FB4705">
        <w:rPr>
          <w:rFonts w:ascii="MetaPro-Norm" w:hAnsi="MetaPro-Norm"/>
          <w:sz w:val="22"/>
          <w:szCs w:val="22"/>
        </w:rPr>
        <w:t>for long periods of time</w:t>
      </w:r>
      <w:r w:rsidRPr="00FB4705">
        <w:rPr>
          <w:rFonts w:ascii="MetaPro-Norm" w:hAnsi="MetaPro-Norm"/>
          <w:sz w:val="22"/>
          <w:szCs w:val="22"/>
        </w:rPr>
        <w:t xml:space="preserve"> and forced her to sign a document stating that she </w:t>
      </w:r>
      <w:r w:rsidR="005F3493">
        <w:rPr>
          <w:rFonts w:ascii="MetaPro-Norm" w:hAnsi="MetaPro-Norm"/>
          <w:sz w:val="22"/>
          <w:szCs w:val="22"/>
        </w:rPr>
        <w:t>refused</w:t>
      </w:r>
      <w:r w:rsidRPr="00FB4705">
        <w:rPr>
          <w:rFonts w:ascii="MetaPro-Norm" w:hAnsi="MetaPro-Norm"/>
          <w:sz w:val="22"/>
          <w:szCs w:val="22"/>
        </w:rPr>
        <w:t xml:space="preserve"> chemotherapy treatment.</w:t>
      </w:r>
      <w:r w:rsidRPr="00FB4705">
        <w:rPr>
          <w:rStyle w:val="FootnoteReference"/>
          <w:rFonts w:ascii="MetaPro-Norm" w:hAnsi="MetaPro-Norm"/>
          <w:sz w:val="22"/>
          <w:szCs w:val="22"/>
        </w:rPr>
        <w:footnoteReference w:id="51"/>
      </w:r>
      <w:r w:rsidRPr="00FB4705">
        <w:rPr>
          <w:rFonts w:ascii="MetaPro-Norm" w:hAnsi="MetaPro-Norm"/>
          <w:sz w:val="22"/>
          <w:szCs w:val="22"/>
        </w:rPr>
        <w:t xml:space="preserve"> </w:t>
      </w:r>
    </w:p>
    <w:p w14:paraId="07D9022F" w14:textId="77777777" w:rsidR="00F82059" w:rsidRPr="00FB4705" w:rsidRDefault="00F82059" w:rsidP="00F82059">
      <w:pPr>
        <w:jc w:val="both"/>
        <w:rPr>
          <w:rFonts w:ascii="MetaPro-Norm" w:hAnsi="MetaPro-Norm"/>
          <w:sz w:val="22"/>
          <w:szCs w:val="22"/>
        </w:rPr>
      </w:pPr>
    </w:p>
    <w:p w14:paraId="2B357747" w14:textId="1F04FCD2" w:rsidR="00F82059" w:rsidRPr="00FB4705" w:rsidRDefault="00F82059" w:rsidP="00F82059">
      <w:pPr>
        <w:jc w:val="both"/>
        <w:rPr>
          <w:rFonts w:ascii="MetaPro-Norm" w:hAnsi="MetaPro-Norm"/>
          <w:sz w:val="22"/>
          <w:szCs w:val="22"/>
        </w:rPr>
      </w:pPr>
      <w:r w:rsidRPr="00FB4705">
        <w:rPr>
          <w:rFonts w:ascii="MetaPro-Norm" w:hAnsi="MetaPro-Norm"/>
          <w:sz w:val="22"/>
          <w:szCs w:val="22"/>
        </w:rPr>
        <w:t>In March 2020, news broke of a 21-year-old Emirati woman who reportedly attempted suicide while serving a five-year sentence at al-Wathba Prison.</w:t>
      </w:r>
      <w:r w:rsidRPr="00FB4705">
        <w:rPr>
          <w:rStyle w:val="FootnoteReference"/>
          <w:rFonts w:ascii="MetaPro-Norm" w:hAnsi="MetaPro-Norm"/>
          <w:sz w:val="22"/>
          <w:szCs w:val="22"/>
        </w:rPr>
        <w:footnoteReference w:id="52"/>
      </w:r>
      <w:r w:rsidRPr="00FB4705">
        <w:rPr>
          <w:rFonts w:ascii="MetaPro-Norm" w:hAnsi="MetaPro-Norm"/>
          <w:sz w:val="22"/>
          <w:szCs w:val="22"/>
        </w:rPr>
        <w:t xml:space="preserve"> She and another Emirati woman prisoner, 37, were placed in solitary confinement for at least three weeks and denied adequate medical care leading up to the reported attempted suicide; both women began a hunger strike around that time. The woman who attempted suicide was arrested at age 19, and since then her overall health has deteriorated.</w:t>
      </w:r>
      <w:r w:rsidR="00EB255E">
        <w:rPr>
          <w:rFonts w:ascii="MetaPro-Norm" w:hAnsi="MetaPro-Norm"/>
          <w:sz w:val="22"/>
          <w:szCs w:val="22"/>
        </w:rPr>
        <w:t xml:space="preserve"> </w:t>
      </w:r>
      <w:r w:rsidR="00AC3370" w:rsidRPr="00FB4705">
        <w:rPr>
          <w:rFonts w:ascii="MetaPro-Norm" w:hAnsi="MetaPro-Norm"/>
          <w:sz w:val="22"/>
          <w:szCs w:val="22"/>
        </w:rPr>
        <w:t>While both women completed their sentence in November 2020, they remain in detention.</w:t>
      </w:r>
      <w:r w:rsidR="00980D03" w:rsidRPr="00FB4705">
        <w:rPr>
          <w:rStyle w:val="FootnoteReference"/>
          <w:rFonts w:ascii="MetaPro-Norm" w:hAnsi="MetaPro-Norm"/>
          <w:sz w:val="22"/>
          <w:szCs w:val="22"/>
        </w:rPr>
        <w:footnoteReference w:id="53"/>
      </w:r>
    </w:p>
    <w:p w14:paraId="3D2DAD18" w14:textId="2B8C8CC0" w:rsidR="00F82059" w:rsidRPr="00FB4705" w:rsidRDefault="00F82059" w:rsidP="00F82059">
      <w:pPr>
        <w:jc w:val="both"/>
        <w:rPr>
          <w:rFonts w:ascii="MetaPro-Norm" w:hAnsi="MetaPro-Norm"/>
          <w:sz w:val="22"/>
          <w:szCs w:val="22"/>
        </w:rPr>
      </w:pPr>
    </w:p>
    <w:p w14:paraId="7DAFDE08" w14:textId="3F6649EE" w:rsidR="00BD7BDC" w:rsidRPr="00FB4705" w:rsidRDefault="00336FFF" w:rsidP="00F92E75">
      <w:pPr>
        <w:jc w:val="both"/>
        <w:rPr>
          <w:rFonts w:ascii="MetaPro-Norm" w:hAnsi="MetaPro-Norm"/>
          <w:sz w:val="22"/>
          <w:szCs w:val="22"/>
        </w:rPr>
      </w:pPr>
      <w:r w:rsidRPr="00FB4705">
        <w:rPr>
          <w:rFonts w:ascii="MetaPro-Norm" w:hAnsi="MetaPro-Norm"/>
          <w:sz w:val="22"/>
          <w:szCs w:val="22"/>
        </w:rPr>
        <w:t xml:space="preserve">We encourage the Committee to pose the following questions: </w:t>
      </w:r>
    </w:p>
    <w:p w14:paraId="475DF0FA" w14:textId="18226E58" w:rsidR="00336FFF" w:rsidRPr="00FB4705" w:rsidRDefault="00336FFF" w:rsidP="00BD7BDC">
      <w:pPr>
        <w:pStyle w:val="ListParagraph"/>
        <w:numPr>
          <w:ilvl w:val="0"/>
          <w:numId w:val="13"/>
        </w:numPr>
        <w:rPr>
          <w:rFonts w:ascii="MetaPro-Norm" w:hAnsi="MetaPro-Norm"/>
          <w:sz w:val="22"/>
          <w:szCs w:val="22"/>
        </w:rPr>
      </w:pPr>
      <w:r w:rsidRPr="00FB4705">
        <w:rPr>
          <w:rFonts w:ascii="MetaPro-Norm" w:hAnsi="MetaPro-Norm"/>
          <w:sz w:val="22"/>
          <w:szCs w:val="22"/>
        </w:rPr>
        <w:t>Are specific protections for women and girls held in detention centers included in the trainings, rules, policies, and manuals for detention center staff? </w:t>
      </w:r>
      <w:r w:rsidR="009B3F48" w:rsidRPr="00FB4705">
        <w:rPr>
          <w:rFonts w:ascii="MetaPro-Norm" w:hAnsi="MetaPro-Norm"/>
          <w:sz w:val="22"/>
          <w:szCs w:val="22"/>
        </w:rPr>
        <w:t>Are there channels by which detainees may report instances of abuse or mistreatment and receive response?</w:t>
      </w:r>
    </w:p>
    <w:p w14:paraId="7BDBC875" w14:textId="19E5B005" w:rsidR="00BD7BDC" w:rsidRPr="00FB4705" w:rsidRDefault="00BD7BDC" w:rsidP="00BD7BDC">
      <w:pPr>
        <w:pStyle w:val="ListParagraph"/>
        <w:numPr>
          <w:ilvl w:val="0"/>
          <w:numId w:val="13"/>
        </w:numPr>
        <w:rPr>
          <w:rFonts w:ascii="MetaPro-Norm" w:hAnsi="MetaPro-Norm"/>
          <w:sz w:val="22"/>
          <w:szCs w:val="22"/>
        </w:rPr>
      </w:pPr>
      <w:r w:rsidRPr="00FB4705">
        <w:rPr>
          <w:rFonts w:ascii="MetaPro-Norm" w:hAnsi="MetaPro-Norm"/>
          <w:sz w:val="22"/>
          <w:szCs w:val="22"/>
        </w:rPr>
        <w:t xml:space="preserve">What efforts are being made to ensure that detainees </w:t>
      </w:r>
      <w:r w:rsidR="00A84023" w:rsidRPr="00FB4705">
        <w:rPr>
          <w:rFonts w:ascii="MetaPro-Norm" w:hAnsi="MetaPro-Norm"/>
          <w:sz w:val="22"/>
          <w:szCs w:val="22"/>
        </w:rPr>
        <w:t xml:space="preserve">can </w:t>
      </w:r>
      <w:r w:rsidRPr="00FB4705">
        <w:rPr>
          <w:rFonts w:ascii="MetaPro-Norm" w:hAnsi="MetaPro-Norm"/>
          <w:sz w:val="22"/>
          <w:szCs w:val="22"/>
        </w:rPr>
        <w:t>access medical care, including the necessary medical equipment, machines, and specialized doctors</w:t>
      </w:r>
      <w:r w:rsidR="00A84023" w:rsidRPr="00FB4705">
        <w:rPr>
          <w:rFonts w:ascii="MetaPro-Norm" w:hAnsi="MetaPro-Norm"/>
          <w:sz w:val="22"/>
          <w:szCs w:val="22"/>
        </w:rPr>
        <w:t>,</w:t>
      </w:r>
      <w:r w:rsidRPr="00FB4705">
        <w:rPr>
          <w:rFonts w:ascii="MetaPro-Norm" w:hAnsi="MetaPro-Norm"/>
          <w:sz w:val="22"/>
          <w:szCs w:val="22"/>
        </w:rPr>
        <w:t xml:space="preserve"> for their conditions?</w:t>
      </w:r>
    </w:p>
    <w:p w14:paraId="4824CF6A" w14:textId="77777777" w:rsidR="00BD7BDC" w:rsidRPr="00FB4705" w:rsidRDefault="00BD7BDC" w:rsidP="00A84023">
      <w:pPr>
        <w:rPr>
          <w:rFonts w:ascii="MetaPro-Norm" w:hAnsi="MetaPro-Norm"/>
          <w:sz w:val="22"/>
          <w:szCs w:val="22"/>
        </w:rPr>
      </w:pPr>
    </w:p>
    <w:p w14:paraId="348C6AE8" w14:textId="3275E009" w:rsidR="00F82059" w:rsidRPr="00770917" w:rsidRDefault="00F82059" w:rsidP="00066845">
      <w:pPr>
        <w:pStyle w:val="ListParagraph"/>
        <w:numPr>
          <w:ilvl w:val="0"/>
          <w:numId w:val="1"/>
        </w:numPr>
        <w:rPr>
          <w:rFonts w:ascii="MetaPro-Norm" w:hAnsi="MetaPro-Norm"/>
          <w:sz w:val="22"/>
          <w:szCs w:val="22"/>
          <w:u w:val="single"/>
        </w:rPr>
      </w:pPr>
      <w:r w:rsidRPr="00FB4705">
        <w:rPr>
          <w:rFonts w:ascii="MetaPro-Norm" w:hAnsi="MetaPro-Norm"/>
          <w:b/>
          <w:bCs/>
          <w:sz w:val="22"/>
          <w:szCs w:val="22"/>
        </w:rPr>
        <w:t xml:space="preserve">Protection of Education from Attack (Article 10) </w:t>
      </w:r>
    </w:p>
    <w:p w14:paraId="2F29684A" w14:textId="77777777" w:rsidR="00770917" w:rsidRPr="00FB4705" w:rsidRDefault="00770917" w:rsidP="00770917">
      <w:pPr>
        <w:pStyle w:val="ListParagraph"/>
        <w:rPr>
          <w:rFonts w:ascii="MetaPro-Norm" w:hAnsi="MetaPro-Norm"/>
          <w:sz w:val="22"/>
          <w:szCs w:val="22"/>
          <w:u w:val="single"/>
        </w:rPr>
      </w:pPr>
    </w:p>
    <w:p w14:paraId="09EE278B" w14:textId="72D5B550" w:rsidR="00F82059" w:rsidRPr="00FB4705" w:rsidRDefault="00F82059" w:rsidP="00F82059">
      <w:pPr>
        <w:rPr>
          <w:rFonts w:ascii="MetaPro-Norm" w:hAnsi="MetaPro-Norm"/>
          <w:sz w:val="22"/>
          <w:szCs w:val="22"/>
        </w:rPr>
      </w:pPr>
      <w:r w:rsidRPr="00FB4705">
        <w:rPr>
          <w:rFonts w:ascii="MetaPro-Norm" w:hAnsi="MetaPro-Norm"/>
          <w:sz w:val="22"/>
          <w:szCs w:val="22"/>
        </w:rPr>
        <w:t xml:space="preserve">The United Arab Emirates is a </w:t>
      </w:r>
      <w:r w:rsidR="00770917">
        <w:rPr>
          <w:rFonts w:ascii="MetaPro-Norm" w:hAnsi="MetaPro-Norm"/>
          <w:sz w:val="22"/>
          <w:szCs w:val="22"/>
        </w:rPr>
        <w:t xml:space="preserve">leading </w:t>
      </w:r>
      <w:r w:rsidRPr="00FB4705">
        <w:rPr>
          <w:rFonts w:ascii="MetaPro-Norm" w:hAnsi="MetaPro-Norm"/>
          <w:sz w:val="22"/>
          <w:szCs w:val="22"/>
        </w:rPr>
        <w:t xml:space="preserve">member of the </w:t>
      </w:r>
      <w:r w:rsidR="00770917">
        <w:rPr>
          <w:rFonts w:ascii="MetaPro-Norm" w:hAnsi="MetaPro-Norm"/>
          <w:sz w:val="22"/>
          <w:szCs w:val="22"/>
        </w:rPr>
        <w:t>military</w:t>
      </w:r>
      <w:r w:rsidRPr="00FB4705">
        <w:rPr>
          <w:rFonts w:ascii="MetaPro-Norm" w:hAnsi="MetaPro-Norm"/>
          <w:sz w:val="22"/>
          <w:szCs w:val="22"/>
        </w:rPr>
        <w:t xml:space="preserve"> coalition participating in the armed conflict in Yemen. Alongside Saudi Arabia, the UAE has played the largest role among coalition members in Yemen</w:t>
      </w:r>
      <w:r w:rsidR="00AD158F" w:rsidRPr="00FB4705">
        <w:rPr>
          <w:rFonts w:ascii="MetaPro-Norm" w:hAnsi="MetaPro-Norm"/>
          <w:sz w:val="22"/>
          <w:szCs w:val="22"/>
        </w:rPr>
        <w:t xml:space="preserve">, including </w:t>
      </w:r>
      <w:r w:rsidR="00FB3861" w:rsidRPr="00FB4705">
        <w:rPr>
          <w:rFonts w:ascii="MetaPro-Norm" w:hAnsi="MetaPro-Norm"/>
          <w:sz w:val="22"/>
          <w:szCs w:val="22"/>
        </w:rPr>
        <w:t>by deploying troops in Saudi Arabia and Yemen.</w:t>
      </w:r>
      <w:r w:rsidRPr="00FB4705">
        <w:rPr>
          <w:rStyle w:val="FootnoteReference"/>
          <w:rFonts w:ascii="MetaPro-Norm" w:hAnsi="MetaPro-Norm"/>
          <w:sz w:val="22"/>
          <w:szCs w:val="22"/>
        </w:rPr>
        <w:footnoteReference w:id="54"/>
      </w:r>
      <w:r w:rsidRPr="00FB4705">
        <w:rPr>
          <w:rFonts w:ascii="MetaPro-Norm" w:hAnsi="MetaPro-Norm"/>
          <w:sz w:val="22"/>
          <w:szCs w:val="22"/>
        </w:rPr>
        <w:t xml:space="preserve"> The coalition has conducted thousands of airstrikes in Yemen since March 2015, including scores that appear to violate the laws of war, some of which may be war crimes. </w:t>
      </w:r>
    </w:p>
    <w:p w14:paraId="106FAA22" w14:textId="77777777" w:rsidR="00F82059" w:rsidRPr="00FB4705" w:rsidRDefault="00F82059" w:rsidP="00F82059">
      <w:pPr>
        <w:rPr>
          <w:rFonts w:ascii="MetaPro-Norm" w:hAnsi="MetaPro-Norm"/>
          <w:sz w:val="22"/>
          <w:szCs w:val="22"/>
        </w:rPr>
      </w:pPr>
    </w:p>
    <w:p w14:paraId="26DE9B64" w14:textId="77777777" w:rsidR="00F82059" w:rsidRPr="00FB4705" w:rsidRDefault="00F82059" w:rsidP="00F82059">
      <w:pPr>
        <w:rPr>
          <w:rFonts w:ascii="MetaPro-Norm" w:hAnsi="MetaPro-Norm"/>
          <w:sz w:val="22"/>
          <w:szCs w:val="22"/>
        </w:rPr>
      </w:pPr>
      <w:r w:rsidRPr="00FB4705">
        <w:rPr>
          <w:rFonts w:ascii="MetaPro-Norm" w:hAnsi="MetaPro-Norm"/>
          <w:sz w:val="22"/>
          <w:szCs w:val="22"/>
        </w:rPr>
        <w:t>Coalition members, including the UAE, have provided no or insufficient information about the role their forces are playing in alleged unlawful attacks and what steps, if any, they have taken to investigate alleged serious violations by their armed forces and persons within their jurisdiction, to appropriately prosecute military personnel responsible for war crimes, and to provide reparation to victims of unlawful attacks.</w:t>
      </w:r>
      <w:r w:rsidRPr="00FB4705">
        <w:rPr>
          <w:rStyle w:val="FootnoteReference"/>
          <w:rFonts w:ascii="MetaPro-Norm" w:hAnsi="MetaPro-Norm"/>
          <w:sz w:val="22"/>
          <w:szCs w:val="22"/>
        </w:rPr>
        <w:footnoteReference w:id="55"/>
      </w:r>
    </w:p>
    <w:p w14:paraId="44FC1848" w14:textId="77777777" w:rsidR="00F82059" w:rsidRPr="00FB4705" w:rsidRDefault="00F82059" w:rsidP="00F82059">
      <w:pPr>
        <w:rPr>
          <w:rFonts w:ascii="MetaPro-Norm" w:hAnsi="MetaPro-Norm"/>
          <w:sz w:val="22"/>
          <w:szCs w:val="22"/>
        </w:rPr>
      </w:pPr>
    </w:p>
    <w:p w14:paraId="163C4A8A" w14:textId="1D63BB4A" w:rsidR="00F82059" w:rsidRDefault="00F82059" w:rsidP="00F82059">
      <w:pPr>
        <w:contextualSpacing/>
        <w:rPr>
          <w:rFonts w:ascii="MetaPro-Norm" w:hAnsi="MetaPro-Norm"/>
          <w:color w:val="000000" w:themeColor="text1"/>
          <w:sz w:val="22"/>
          <w:szCs w:val="22"/>
          <w:shd w:val="clear" w:color="auto" w:fill="FFFFFF"/>
        </w:rPr>
      </w:pPr>
      <w:r w:rsidRPr="00FB4705">
        <w:rPr>
          <w:rFonts w:ascii="MetaPro-Norm" w:hAnsi="MetaPro-Norm"/>
          <w:sz w:val="22"/>
          <w:szCs w:val="22"/>
          <w:shd w:val="clear" w:color="auto" w:fill="FFFFFF"/>
        </w:rPr>
        <w:t xml:space="preserve">Since 2015, Human Rights Watch has documented multiple incidents of attacks on schools, schoolchildren and education infrastructure in Yemen by the Saudi-led coalition. </w:t>
      </w:r>
      <w:r w:rsidRPr="00FB4705">
        <w:rPr>
          <w:rFonts w:ascii="MetaPro-Norm" w:hAnsi="MetaPro-Norm"/>
          <w:color w:val="000000" w:themeColor="text1"/>
          <w:sz w:val="22"/>
          <w:szCs w:val="22"/>
          <w:shd w:val="clear" w:color="auto" w:fill="FFFFFF"/>
        </w:rPr>
        <w:t>In January 2016, a Saudi-coalition bomb struck a school for blind students in Sanaa.</w:t>
      </w:r>
      <w:r w:rsidRPr="00FB4705">
        <w:rPr>
          <w:rStyle w:val="FootnoteReference"/>
          <w:rFonts w:ascii="MetaPro-Norm" w:hAnsi="MetaPro-Norm"/>
          <w:color w:val="000000" w:themeColor="text1"/>
          <w:sz w:val="22"/>
          <w:szCs w:val="22"/>
          <w:shd w:val="clear" w:color="auto" w:fill="FFFFFF"/>
        </w:rPr>
        <w:footnoteReference w:id="56"/>
      </w:r>
      <w:r w:rsidRPr="00FB4705">
        <w:rPr>
          <w:rFonts w:ascii="MetaPro-Norm" w:hAnsi="MetaPro-Norm"/>
          <w:color w:val="000000" w:themeColor="text1"/>
          <w:sz w:val="22"/>
          <w:szCs w:val="22"/>
          <w:shd w:val="clear" w:color="auto" w:fill="FFFFFF"/>
        </w:rPr>
        <w:t xml:space="preserve"> Although it did not explode, the school was damaged and four civilians were injured. At the time of the attack, at least 10 children, all under the age of 12 were sleeping in the building. </w:t>
      </w:r>
    </w:p>
    <w:p w14:paraId="20005840" w14:textId="77777777" w:rsidR="00770917" w:rsidRPr="00FB4705" w:rsidRDefault="00770917" w:rsidP="00F82059">
      <w:pPr>
        <w:contextualSpacing/>
        <w:rPr>
          <w:rFonts w:ascii="MetaPro-Norm" w:hAnsi="MetaPro-Norm"/>
          <w:color w:val="000000" w:themeColor="text1"/>
          <w:sz w:val="22"/>
          <w:szCs w:val="22"/>
          <w:shd w:val="clear" w:color="auto" w:fill="FFFFFF"/>
        </w:rPr>
      </w:pPr>
    </w:p>
    <w:p w14:paraId="6F9AFDE7" w14:textId="50E6FF37" w:rsidR="00F82059" w:rsidRPr="00FB4705" w:rsidRDefault="00F82059" w:rsidP="00F94F16">
      <w:pPr>
        <w:contextualSpacing/>
        <w:rPr>
          <w:rFonts w:ascii="MetaPro-Norm" w:hAnsi="MetaPro-Norm"/>
          <w:color w:val="000000" w:themeColor="text1"/>
          <w:sz w:val="22"/>
          <w:szCs w:val="22"/>
          <w:shd w:val="clear" w:color="auto" w:fill="FFFFFF"/>
        </w:rPr>
      </w:pPr>
      <w:r w:rsidRPr="00FB4705">
        <w:rPr>
          <w:rFonts w:ascii="MetaPro-Norm" w:hAnsi="MetaPro-Norm"/>
          <w:color w:val="000000" w:themeColor="text1"/>
          <w:sz w:val="22"/>
          <w:szCs w:val="22"/>
          <w:shd w:val="clear" w:color="auto" w:fill="FFFFFF"/>
        </w:rPr>
        <w:t>On December 23, 2016, a Saudi-coalition cluster munition attack struck an area near a girls’ school in Saada city in northern Yemen, killing two civilians and wounding six.</w:t>
      </w:r>
      <w:r w:rsidRPr="00FB4705">
        <w:rPr>
          <w:rStyle w:val="FootnoteReference"/>
          <w:rFonts w:ascii="MetaPro-Norm" w:hAnsi="MetaPro-Norm"/>
          <w:color w:val="000000" w:themeColor="text1"/>
          <w:sz w:val="22"/>
          <w:szCs w:val="22"/>
          <w:shd w:val="clear" w:color="auto" w:fill="FFFFFF"/>
        </w:rPr>
        <w:footnoteReference w:id="57"/>
      </w:r>
      <w:r w:rsidR="00F94F16" w:rsidRPr="00FB4705">
        <w:rPr>
          <w:rFonts w:ascii="MetaPro-Norm" w:hAnsi="MetaPro-Norm"/>
          <w:color w:val="000000" w:themeColor="text1"/>
          <w:sz w:val="22"/>
          <w:szCs w:val="22"/>
          <w:shd w:val="clear" w:color="auto" w:fill="FFFFFF"/>
        </w:rPr>
        <w:t xml:space="preserve"> </w:t>
      </w:r>
      <w:r w:rsidRPr="00FB4705">
        <w:rPr>
          <w:rFonts w:ascii="MetaPro-Norm" w:hAnsi="MetaPro-Norm"/>
          <w:color w:val="000000" w:themeColor="text1"/>
          <w:sz w:val="22"/>
          <w:szCs w:val="22"/>
          <w:shd w:val="clear" w:color="auto" w:fill="FFFFFF"/>
        </w:rPr>
        <w:t xml:space="preserve">On January 10, 2017, a Saudi-led coalition airstrike near a </w:t>
      </w:r>
      <w:r w:rsidR="00BB22F0" w:rsidRPr="00FB4705">
        <w:rPr>
          <w:rFonts w:ascii="MetaPro-Norm" w:hAnsi="MetaPro-Norm"/>
          <w:color w:val="000000" w:themeColor="text1"/>
          <w:sz w:val="22"/>
          <w:szCs w:val="22"/>
          <w:shd w:val="clear" w:color="auto" w:fill="FFFFFF"/>
        </w:rPr>
        <w:t xml:space="preserve">primary </w:t>
      </w:r>
      <w:r w:rsidRPr="00FB4705">
        <w:rPr>
          <w:rFonts w:ascii="MetaPro-Norm" w:hAnsi="MetaPro-Norm"/>
          <w:color w:val="000000" w:themeColor="text1"/>
          <w:sz w:val="22"/>
          <w:szCs w:val="22"/>
          <w:shd w:val="clear" w:color="auto" w:fill="FFFFFF"/>
        </w:rPr>
        <w:t>school in northern Yemen killed two students</w:t>
      </w:r>
      <w:r w:rsidR="00222C2C" w:rsidRPr="00FB4705">
        <w:rPr>
          <w:rFonts w:ascii="MetaPro-Norm" w:hAnsi="MetaPro-Norm"/>
          <w:color w:val="000000" w:themeColor="text1"/>
          <w:sz w:val="22"/>
          <w:szCs w:val="22"/>
          <w:shd w:val="clear" w:color="auto" w:fill="FFFFFF"/>
        </w:rPr>
        <w:t xml:space="preserve"> and wounded</w:t>
      </w:r>
      <w:r w:rsidRPr="00FB4705">
        <w:rPr>
          <w:rFonts w:ascii="MetaPro-Norm" w:hAnsi="MetaPro-Norm"/>
          <w:color w:val="000000" w:themeColor="text1"/>
          <w:sz w:val="22"/>
          <w:szCs w:val="22"/>
          <w:shd w:val="clear" w:color="auto" w:fill="FFFFFF"/>
        </w:rPr>
        <w:t xml:space="preserve"> </w:t>
      </w:r>
      <w:r w:rsidR="00222C2C" w:rsidRPr="00FB4705">
        <w:rPr>
          <w:rFonts w:ascii="MetaPro-Norm" w:hAnsi="MetaPro-Norm"/>
          <w:color w:val="000000" w:themeColor="text1"/>
          <w:sz w:val="22"/>
          <w:szCs w:val="22"/>
          <w:shd w:val="clear" w:color="auto" w:fill="FFFFFF"/>
        </w:rPr>
        <w:t>t</w:t>
      </w:r>
      <w:r w:rsidRPr="00FB4705">
        <w:rPr>
          <w:rFonts w:ascii="MetaPro-Norm" w:hAnsi="MetaPro-Norm"/>
          <w:color w:val="000000" w:themeColor="text1"/>
          <w:sz w:val="22"/>
          <w:szCs w:val="22"/>
          <w:shd w:val="clear" w:color="auto" w:fill="FFFFFF"/>
        </w:rPr>
        <w:t>wo girls.</w:t>
      </w:r>
      <w:r w:rsidRPr="00FB4705">
        <w:rPr>
          <w:rStyle w:val="FootnoteReference"/>
          <w:rFonts w:ascii="MetaPro-Norm" w:hAnsi="MetaPro-Norm"/>
          <w:color w:val="000000" w:themeColor="text1"/>
          <w:sz w:val="22"/>
          <w:szCs w:val="22"/>
          <w:shd w:val="clear" w:color="auto" w:fill="FFFFFF"/>
        </w:rPr>
        <w:footnoteReference w:id="58"/>
      </w:r>
    </w:p>
    <w:p w14:paraId="280B7EE1" w14:textId="77777777" w:rsidR="00F82059" w:rsidRPr="00FB4705" w:rsidRDefault="00F82059" w:rsidP="00F82059">
      <w:pPr>
        <w:contextualSpacing/>
        <w:rPr>
          <w:rFonts w:ascii="MetaPro-Norm" w:hAnsi="MetaPro-Norm"/>
          <w:color w:val="000000" w:themeColor="text1"/>
          <w:sz w:val="22"/>
          <w:szCs w:val="22"/>
          <w:shd w:val="clear" w:color="auto" w:fill="FFFFFF"/>
        </w:rPr>
      </w:pPr>
    </w:p>
    <w:p w14:paraId="5C0F503C" w14:textId="2EB1F9B9" w:rsidR="00F82059" w:rsidRPr="00FB4705" w:rsidRDefault="005F3493" w:rsidP="00F82059">
      <w:pPr>
        <w:contextualSpacing/>
        <w:rPr>
          <w:rFonts w:ascii="MetaPro-Norm" w:hAnsi="MetaPro-Norm"/>
          <w:sz w:val="22"/>
          <w:szCs w:val="22"/>
        </w:rPr>
      </w:pPr>
      <w:r>
        <w:rPr>
          <w:rFonts w:ascii="MetaPro-Norm" w:hAnsi="MetaPro-Norm"/>
          <w:sz w:val="22"/>
          <w:szCs w:val="22"/>
        </w:rPr>
        <w:lastRenderedPageBreak/>
        <w:t xml:space="preserve">Attacks </w:t>
      </w:r>
      <w:r w:rsidR="00F82059" w:rsidRPr="00FB4705">
        <w:rPr>
          <w:rFonts w:ascii="MetaPro-Norm" w:hAnsi="MetaPro-Norm"/>
          <w:sz w:val="22"/>
          <w:szCs w:val="22"/>
        </w:rPr>
        <w:t>on students and schools, and the use of schools for military purposes, disproportionately affect girls.</w:t>
      </w:r>
      <w:r w:rsidR="00F82059" w:rsidRPr="00FB4705">
        <w:rPr>
          <w:rStyle w:val="FootnoteReference"/>
          <w:rFonts w:ascii="MetaPro-Norm" w:hAnsi="MetaPro-Norm"/>
          <w:sz w:val="22"/>
          <w:szCs w:val="22"/>
        </w:rPr>
        <w:footnoteReference w:id="59"/>
      </w:r>
      <w:r w:rsidR="00F82059" w:rsidRPr="00FB4705">
        <w:rPr>
          <w:rFonts w:ascii="MetaPro-Norm" w:hAnsi="MetaPro-Norm"/>
          <w:sz w:val="22"/>
          <w:szCs w:val="22"/>
        </w:rPr>
        <w:t xml:space="preserve"> The Safe Schools Declaration is an inter-governmental political commitment that provides countries the opportunity to express political support for the protection of students, teachers, and schools during times of armed conflict;</w:t>
      </w:r>
      <w:r w:rsidR="00F82059" w:rsidRPr="00FB4705">
        <w:rPr>
          <w:rStyle w:val="FootnoteReference"/>
          <w:rFonts w:ascii="MetaPro-Norm" w:hAnsi="MetaPro-Norm"/>
          <w:sz w:val="22"/>
          <w:szCs w:val="22"/>
        </w:rPr>
        <w:footnoteReference w:id="60"/>
      </w:r>
      <w:r w:rsidR="00F82059" w:rsidRPr="00FB4705">
        <w:rPr>
          <w:rFonts w:ascii="MetaPro-Norm" w:hAnsi="MetaPro-Norm"/>
          <w:sz w:val="22"/>
          <w:szCs w:val="22"/>
        </w:rPr>
        <w:t xml:space="preserve"> the importance of the continuation of education during armed conflict; and the implementation of the Guidelines for Protecting Schools and Universities from Military Use during Armed Conflict.</w:t>
      </w:r>
      <w:r w:rsidR="00F82059" w:rsidRPr="00FB4705">
        <w:rPr>
          <w:rStyle w:val="FootnoteReference"/>
          <w:rFonts w:ascii="MetaPro-Norm" w:hAnsi="MetaPro-Norm"/>
          <w:sz w:val="22"/>
          <w:szCs w:val="22"/>
        </w:rPr>
        <w:footnoteReference w:id="61"/>
      </w:r>
      <w:r w:rsidR="00F82059" w:rsidRPr="00FB4705">
        <w:rPr>
          <w:sz w:val="22"/>
          <w:szCs w:val="22"/>
        </w:rPr>
        <w:t xml:space="preserve"> </w:t>
      </w:r>
      <w:r w:rsidR="00F82059" w:rsidRPr="00FB4705">
        <w:rPr>
          <w:rFonts w:ascii="MetaPro-Norm" w:hAnsi="MetaPro-Norm"/>
          <w:sz w:val="22"/>
          <w:szCs w:val="22"/>
        </w:rPr>
        <w:t>As of January 2021, 106 countries have endorsed the Safe Schools Declaration; however the UAE has yet to do so.</w:t>
      </w:r>
    </w:p>
    <w:p w14:paraId="5285E71C" w14:textId="77777777" w:rsidR="00F82059" w:rsidRPr="00FB4705" w:rsidRDefault="00F82059" w:rsidP="00F82059">
      <w:pPr>
        <w:contextualSpacing/>
        <w:rPr>
          <w:rFonts w:ascii="MetaPro-Norm" w:hAnsi="MetaPro-Norm"/>
          <w:color w:val="000000" w:themeColor="text1"/>
          <w:sz w:val="22"/>
          <w:szCs w:val="22"/>
          <w:shd w:val="clear" w:color="auto" w:fill="FFFFFF"/>
        </w:rPr>
      </w:pPr>
    </w:p>
    <w:p w14:paraId="76000ACA" w14:textId="77777777" w:rsidR="00F82059" w:rsidRPr="00FB4705" w:rsidRDefault="00F82059" w:rsidP="00F82059">
      <w:pPr>
        <w:rPr>
          <w:rFonts w:ascii="MetaPro-Norm" w:hAnsi="MetaPro-Norm"/>
          <w:i/>
          <w:sz w:val="22"/>
          <w:szCs w:val="22"/>
        </w:rPr>
      </w:pPr>
      <w:r w:rsidRPr="00FB4705">
        <w:rPr>
          <w:rFonts w:ascii="MetaPro-Norm" w:hAnsi="MetaPro-Norm"/>
          <w:i/>
          <w:sz w:val="22"/>
          <w:szCs w:val="22"/>
        </w:rPr>
        <w:t>We encourage the Committee to pose the following questions:</w:t>
      </w:r>
    </w:p>
    <w:p w14:paraId="7AAADD9E" w14:textId="77777777" w:rsidR="00F82059" w:rsidRPr="00FB4705" w:rsidRDefault="00F82059" w:rsidP="00F82059">
      <w:pPr>
        <w:pStyle w:val="ListParagraph"/>
        <w:numPr>
          <w:ilvl w:val="0"/>
          <w:numId w:val="3"/>
        </w:numPr>
        <w:spacing w:after="160" w:line="259" w:lineRule="auto"/>
        <w:rPr>
          <w:rFonts w:ascii="MetaPro-Norm" w:hAnsi="MetaPro-Norm"/>
          <w:i/>
          <w:sz w:val="22"/>
          <w:szCs w:val="22"/>
        </w:rPr>
      </w:pPr>
      <w:r w:rsidRPr="00FB4705">
        <w:rPr>
          <w:rFonts w:ascii="MetaPro-Norm" w:hAnsi="MetaPro-Norm"/>
          <w:sz w:val="22"/>
          <w:szCs w:val="22"/>
        </w:rPr>
        <w:t xml:space="preserve">Do any Emirati laws, policies, or trainings provide explicit protection for schools and universities from military use during armed conflict? </w:t>
      </w:r>
    </w:p>
    <w:p w14:paraId="2C078E63" w14:textId="088AA472" w:rsidR="00F732D9" w:rsidRPr="00FB4705" w:rsidRDefault="00F82059" w:rsidP="00F82059">
      <w:pPr>
        <w:pStyle w:val="ListParagraph"/>
        <w:numPr>
          <w:ilvl w:val="0"/>
          <w:numId w:val="3"/>
        </w:numPr>
        <w:spacing w:after="160" w:line="259" w:lineRule="auto"/>
        <w:rPr>
          <w:rFonts w:ascii="MetaPro-Norm" w:hAnsi="MetaPro-Norm"/>
          <w:i/>
          <w:sz w:val="22"/>
          <w:szCs w:val="22"/>
        </w:rPr>
      </w:pPr>
      <w:r w:rsidRPr="00FB4705">
        <w:rPr>
          <w:rFonts w:ascii="MetaPro-Norm" w:hAnsi="MetaPro-Norm"/>
          <w:sz w:val="22"/>
          <w:szCs w:val="22"/>
        </w:rPr>
        <w:t xml:space="preserve">What steps are being taken to address and remedy the disproportionate harm to girls’ access to education in Yemen as a result of hostilities and military use of schools? </w:t>
      </w:r>
    </w:p>
    <w:sectPr w:rsidR="00F732D9" w:rsidRPr="00FB4705" w:rsidSect="00260897">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AFD6E" w14:textId="77777777" w:rsidR="006A18F4" w:rsidRDefault="006A18F4" w:rsidP="00F82059">
      <w:r>
        <w:separator/>
      </w:r>
    </w:p>
  </w:endnote>
  <w:endnote w:type="continuationSeparator" w:id="0">
    <w:p w14:paraId="1F00BF56" w14:textId="77777777" w:rsidR="006A18F4" w:rsidRDefault="006A18F4" w:rsidP="00F82059">
      <w:r>
        <w:continuationSeparator/>
      </w:r>
    </w:p>
  </w:endnote>
  <w:endnote w:type="continuationNotice" w:id="1">
    <w:p w14:paraId="25736EF8" w14:textId="77777777" w:rsidR="006A18F4" w:rsidRDefault="006A1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altName w:val="Arial"/>
    <w:panose1 w:val="00000000000000000000"/>
    <w:charset w:val="00"/>
    <w:family w:val="swiss"/>
    <w:notTrueType/>
    <w:pitch w:val="variable"/>
    <w:sig w:usb0="00000001" w:usb1="4000207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1122267"/>
      <w:docPartObj>
        <w:docPartGallery w:val="Page Numbers (Bottom of Page)"/>
        <w:docPartUnique/>
      </w:docPartObj>
    </w:sdtPr>
    <w:sdtEndPr>
      <w:rPr>
        <w:rStyle w:val="PageNumber"/>
      </w:rPr>
    </w:sdtEndPr>
    <w:sdtContent>
      <w:p w14:paraId="67767BFD" w14:textId="77777777" w:rsidR="00260897" w:rsidRDefault="004A1CD0" w:rsidP="00260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7F942B" w14:textId="77777777" w:rsidR="00260897" w:rsidRDefault="00260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Pro-Norm" w:hAnsi="MetaPro-Norm"/>
        <w:sz w:val="22"/>
        <w:szCs w:val="22"/>
      </w:rPr>
      <w:id w:val="2007469780"/>
      <w:docPartObj>
        <w:docPartGallery w:val="Page Numbers (Bottom of Page)"/>
        <w:docPartUnique/>
      </w:docPartObj>
    </w:sdtPr>
    <w:sdtEndPr>
      <w:rPr>
        <w:rStyle w:val="PageNumber"/>
      </w:rPr>
    </w:sdtEndPr>
    <w:sdtContent>
      <w:p w14:paraId="0C89E0DD" w14:textId="654A7AC3" w:rsidR="00260897" w:rsidRPr="0056195B" w:rsidRDefault="004A1CD0" w:rsidP="00260897">
        <w:pPr>
          <w:pStyle w:val="Footer"/>
          <w:framePr w:wrap="none" w:vAnchor="text" w:hAnchor="margin" w:xAlign="center" w:y="1"/>
          <w:rPr>
            <w:rStyle w:val="PageNumber"/>
            <w:rFonts w:ascii="MetaPro-Norm" w:hAnsi="MetaPro-Norm"/>
            <w:sz w:val="22"/>
            <w:szCs w:val="22"/>
          </w:rPr>
        </w:pPr>
        <w:r w:rsidRPr="0056195B">
          <w:rPr>
            <w:rStyle w:val="PageNumber"/>
            <w:rFonts w:ascii="MetaPro-Norm" w:hAnsi="MetaPro-Norm"/>
            <w:sz w:val="22"/>
            <w:szCs w:val="22"/>
          </w:rPr>
          <w:fldChar w:fldCharType="begin"/>
        </w:r>
        <w:r w:rsidRPr="0056195B">
          <w:rPr>
            <w:rStyle w:val="PageNumber"/>
            <w:rFonts w:ascii="MetaPro-Norm" w:hAnsi="MetaPro-Norm"/>
            <w:sz w:val="22"/>
            <w:szCs w:val="22"/>
          </w:rPr>
          <w:instrText xml:space="preserve"> PAGE </w:instrText>
        </w:r>
        <w:r w:rsidRPr="0056195B">
          <w:rPr>
            <w:rStyle w:val="PageNumber"/>
            <w:rFonts w:ascii="MetaPro-Norm" w:hAnsi="MetaPro-Norm"/>
            <w:sz w:val="22"/>
            <w:szCs w:val="22"/>
          </w:rPr>
          <w:fldChar w:fldCharType="separate"/>
        </w:r>
        <w:r w:rsidR="00011C74">
          <w:rPr>
            <w:rStyle w:val="PageNumber"/>
            <w:rFonts w:ascii="MetaPro-Norm" w:hAnsi="MetaPro-Norm"/>
            <w:noProof/>
            <w:sz w:val="22"/>
            <w:szCs w:val="22"/>
          </w:rPr>
          <w:t>1</w:t>
        </w:r>
        <w:r w:rsidRPr="0056195B">
          <w:rPr>
            <w:rStyle w:val="PageNumber"/>
            <w:rFonts w:ascii="MetaPro-Norm" w:hAnsi="MetaPro-Norm"/>
            <w:sz w:val="22"/>
            <w:szCs w:val="22"/>
          </w:rPr>
          <w:fldChar w:fldCharType="end"/>
        </w:r>
      </w:p>
    </w:sdtContent>
  </w:sdt>
  <w:p w14:paraId="208433C9" w14:textId="77777777" w:rsidR="00260897" w:rsidRPr="0056195B" w:rsidRDefault="00260897" w:rsidP="00260897">
    <w:pPr>
      <w:pStyle w:val="Footer"/>
      <w:jc w:val="center"/>
      <w:rPr>
        <w:rFonts w:ascii="MetaPro-Norm" w:hAnsi="MetaPro-Norm"/>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07EF5" w14:textId="77777777" w:rsidR="006A18F4" w:rsidRDefault="006A18F4" w:rsidP="00F82059">
      <w:r>
        <w:separator/>
      </w:r>
    </w:p>
  </w:footnote>
  <w:footnote w:type="continuationSeparator" w:id="0">
    <w:p w14:paraId="595D99C8" w14:textId="77777777" w:rsidR="006A18F4" w:rsidRDefault="006A18F4" w:rsidP="00F82059">
      <w:r>
        <w:continuationSeparator/>
      </w:r>
    </w:p>
  </w:footnote>
  <w:footnote w:type="continuationNotice" w:id="1">
    <w:p w14:paraId="416E97BF" w14:textId="77777777" w:rsidR="006A18F4" w:rsidRDefault="006A18F4"/>
  </w:footnote>
  <w:footnote w:id="2">
    <w:p w14:paraId="62CFCDE0" w14:textId="41100A15" w:rsidR="0057098C" w:rsidRPr="0057098C" w:rsidRDefault="0057098C">
      <w:pPr>
        <w:pStyle w:val="FootnoteText"/>
      </w:pPr>
      <w:r>
        <w:rPr>
          <w:rStyle w:val="FootnoteReference"/>
        </w:rPr>
        <w:footnoteRef/>
      </w:r>
      <w:r>
        <w:t xml:space="preserve"> </w:t>
      </w:r>
      <w:r w:rsidRPr="0057098C">
        <w:rPr>
          <w:sz w:val="16"/>
          <w:szCs w:val="16"/>
        </w:rPr>
        <w:t>Federal Law No. 28 of 2005 on Personal Status</w:t>
      </w:r>
      <w:r>
        <w:rPr>
          <w:rFonts w:ascii="MetaPro-Norm" w:hAnsi="MetaPro-Norm"/>
          <w:sz w:val="22"/>
          <w:szCs w:val="22"/>
        </w:rPr>
        <w:t xml:space="preserve"> </w:t>
      </w:r>
    </w:p>
  </w:footnote>
  <w:footnote w:id="3">
    <w:p w14:paraId="71C81A38" w14:textId="5C4FEE73" w:rsidR="002A39F4" w:rsidRPr="00166AAF" w:rsidRDefault="002A39F4">
      <w:pPr>
        <w:pStyle w:val="FootnoteText"/>
        <w:rPr>
          <w:sz w:val="16"/>
          <w:szCs w:val="16"/>
        </w:rPr>
      </w:pPr>
      <w:r w:rsidRPr="00166AAF">
        <w:rPr>
          <w:rStyle w:val="FootnoteReference"/>
          <w:sz w:val="16"/>
          <w:szCs w:val="16"/>
        </w:rPr>
        <w:footnoteRef/>
      </w:r>
      <w:r w:rsidRPr="00166AAF">
        <w:rPr>
          <w:sz w:val="16"/>
          <w:szCs w:val="16"/>
        </w:rPr>
        <w:t xml:space="preserve"> </w:t>
      </w:r>
      <w:r w:rsidR="00A53CD5" w:rsidRPr="00166AAF">
        <w:rPr>
          <w:sz w:val="16"/>
          <w:szCs w:val="16"/>
        </w:rPr>
        <w:t xml:space="preserve">Decree on Federal Law </w:t>
      </w:r>
      <w:r w:rsidR="00CB0571" w:rsidRPr="00166AAF">
        <w:rPr>
          <w:sz w:val="16"/>
          <w:szCs w:val="16"/>
        </w:rPr>
        <w:t>N</w:t>
      </w:r>
      <w:r w:rsidR="00A53CD5" w:rsidRPr="00166AAF">
        <w:rPr>
          <w:sz w:val="16"/>
          <w:szCs w:val="16"/>
        </w:rPr>
        <w:t xml:space="preserve">o. 5 of 2020 and Decree on Federal Law </w:t>
      </w:r>
      <w:r w:rsidR="00340669" w:rsidRPr="00166AAF">
        <w:rPr>
          <w:sz w:val="16"/>
          <w:szCs w:val="16"/>
        </w:rPr>
        <w:t>N</w:t>
      </w:r>
      <w:r w:rsidR="00A53CD5" w:rsidRPr="00166AAF">
        <w:rPr>
          <w:sz w:val="16"/>
          <w:szCs w:val="16"/>
        </w:rPr>
        <w:t>o.</w:t>
      </w:r>
      <w:r w:rsidR="00D6582C" w:rsidRPr="00166AAF">
        <w:rPr>
          <w:sz w:val="16"/>
          <w:szCs w:val="16"/>
        </w:rPr>
        <w:t xml:space="preserve"> 8 of 2019 amending some provisions in Federal Law no. </w:t>
      </w:r>
      <w:r w:rsidR="00221AA0" w:rsidRPr="00166AAF">
        <w:rPr>
          <w:sz w:val="16"/>
          <w:szCs w:val="16"/>
        </w:rPr>
        <w:t xml:space="preserve">28 of 2005 on Personal Status. </w:t>
      </w:r>
    </w:p>
  </w:footnote>
  <w:footnote w:id="4">
    <w:p w14:paraId="4E8BAE65" w14:textId="280E02CF" w:rsidR="00BB4C6B" w:rsidRPr="00166AAF" w:rsidRDefault="00BB4C6B">
      <w:pPr>
        <w:pStyle w:val="FootnoteText"/>
        <w:rPr>
          <w:sz w:val="16"/>
          <w:szCs w:val="16"/>
        </w:rPr>
      </w:pPr>
      <w:r w:rsidRPr="00166AAF">
        <w:rPr>
          <w:rStyle w:val="FootnoteReference"/>
          <w:sz w:val="16"/>
          <w:szCs w:val="16"/>
        </w:rPr>
        <w:footnoteRef/>
      </w:r>
      <w:r w:rsidRPr="00166AAF">
        <w:rPr>
          <w:sz w:val="16"/>
          <w:szCs w:val="16"/>
        </w:rPr>
        <w:t xml:space="preserve"> The </w:t>
      </w:r>
      <w:r w:rsidR="007678BB" w:rsidRPr="00166AAF">
        <w:rPr>
          <w:sz w:val="16"/>
          <w:szCs w:val="16"/>
        </w:rPr>
        <w:t>2020 law and 2019 law</w:t>
      </w:r>
      <w:r w:rsidR="0012609D" w:rsidRPr="00166AAF">
        <w:rPr>
          <w:sz w:val="16"/>
          <w:szCs w:val="16"/>
        </w:rPr>
        <w:t xml:space="preserve"> </w:t>
      </w:r>
      <w:r w:rsidR="007678BB" w:rsidRPr="00166AAF">
        <w:rPr>
          <w:sz w:val="16"/>
          <w:szCs w:val="16"/>
        </w:rPr>
        <w:t>removed language that previously provided</w:t>
      </w:r>
      <w:r w:rsidRPr="00166AAF">
        <w:rPr>
          <w:sz w:val="16"/>
          <w:szCs w:val="16"/>
        </w:rPr>
        <w:t xml:space="preserve"> that she </w:t>
      </w:r>
      <w:r w:rsidR="007678BB" w:rsidRPr="00166AAF">
        <w:rPr>
          <w:sz w:val="16"/>
          <w:szCs w:val="16"/>
        </w:rPr>
        <w:t>could</w:t>
      </w:r>
      <w:r w:rsidRPr="00166AAF">
        <w:rPr>
          <w:sz w:val="16"/>
          <w:szCs w:val="16"/>
        </w:rPr>
        <w:t xml:space="preserve"> lose her right to financial maintenance if she </w:t>
      </w:r>
      <w:r w:rsidR="00A54A9B" w:rsidRPr="00166AAF">
        <w:rPr>
          <w:sz w:val="16"/>
          <w:szCs w:val="16"/>
        </w:rPr>
        <w:t>le</w:t>
      </w:r>
      <w:r w:rsidR="007678BB" w:rsidRPr="00166AAF">
        <w:rPr>
          <w:sz w:val="16"/>
          <w:szCs w:val="16"/>
        </w:rPr>
        <w:t>ft</w:t>
      </w:r>
      <w:r w:rsidR="00A54A9B" w:rsidRPr="00166AAF">
        <w:rPr>
          <w:sz w:val="16"/>
          <w:szCs w:val="16"/>
        </w:rPr>
        <w:t xml:space="preserve"> the marital home or refuse</w:t>
      </w:r>
      <w:r w:rsidR="007678BB" w:rsidRPr="00166AAF">
        <w:rPr>
          <w:sz w:val="16"/>
          <w:szCs w:val="16"/>
        </w:rPr>
        <w:t>d</w:t>
      </w:r>
      <w:r w:rsidR="00A54A9B" w:rsidRPr="00166AAF">
        <w:rPr>
          <w:sz w:val="16"/>
          <w:szCs w:val="16"/>
        </w:rPr>
        <w:t xml:space="preserve"> to travel abroad with her husband</w:t>
      </w:r>
      <w:r w:rsidR="0012609D" w:rsidRPr="00166AAF">
        <w:rPr>
          <w:sz w:val="16"/>
          <w:szCs w:val="16"/>
        </w:rPr>
        <w:t>, without a lawful excuse</w:t>
      </w:r>
      <w:r w:rsidR="00A54A9B" w:rsidRPr="00166AAF">
        <w:rPr>
          <w:sz w:val="16"/>
          <w:szCs w:val="16"/>
        </w:rPr>
        <w:t xml:space="preserve">. </w:t>
      </w:r>
      <w:r w:rsidR="00221AA0" w:rsidRPr="00166AAF">
        <w:rPr>
          <w:sz w:val="16"/>
          <w:szCs w:val="16"/>
        </w:rPr>
        <w:t xml:space="preserve">See </w:t>
      </w:r>
      <w:r w:rsidR="00CD3E31" w:rsidRPr="00166AAF">
        <w:rPr>
          <w:sz w:val="16"/>
          <w:szCs w:val="16"/>
        </w:rPr>
        <w:t xml:space="preserve">Decree on Federal Law no. 5 of 2020, </w:t>
      </w:r>
      <w:r w:rsidR="00216F99" w:rsidRPr="00166AAF">
        <w:rPr>
          <w:sz w:val="16"/>
          <w:szCs w:val="16"/>
        </w:rPr>
        <w:t xml:space="preserve">article </w:t>
      </w:r>
      <w:r w:rsidR="00CD3E31" w:rsidRPr="00166AAF">
        <w:rPr>
          <w:sz w:val="16"/>
          <w:szCs w:val="16"/>
        </w:rPr>
        <w:t xml:space="preserve">2 amending </w:t>
      </w:r>
      <w:r w:rsidR="00216F99" w:rsidRPr="00166AAF">
        <w:rPr>
          <w:sz w:val="16"/>
          <w:szCs w:val="16"/>
        </w:rPr>
        <w:t>article</w:t>
      </w:r>
      <w:r w:rsidR="00EB255E" w:rsidRPr="00166AAF">
        <w:rPr>
          <w:sz w:val="16"/>
          <w:szCs w:val="16"/>
        </w:rPr>
        <w:t xml:space="preserve"> </w:t>
      </w:r>
      <w:r w:rsidR="00CD3E31" w:rsidRPr="00166AAF">
        <w:rPr>
          <w:sz w:val="16"/>
          <w:szCs w:val="16"/>
        </w:rPr>
        <w:t>71 of the Federal Law no. 28 of 2005 on Personal Status.</w:t>
      </w:r>
    </w:p>
  </w:footnote>
  <w:footnote w:id="5">
    <w:p w14:paraId="17988D81" w14:textId="0F7F3D1F" w:rsidR="0016764C" w:rsidRPr="00166AAF" w:rsidRDefault="0016764C">
      <w:pPr>
        <w:pStyle w:val="FootnoteText"/>
        <w:rPr>
          <w:sz w:val="16"/>
          <w:szCs w:val="16"/>
        </w:rPr>
      </w:pPr>
      <w:r w:rsidRPr="00166AAF">
        <w:rPr>
          <w:rStyle w:val="FootnoteReference"/>
          <w:sz w:val="16"/>
          <w:szCs w:val="16"/>
        </w:rPr>
        <w:footnoteRef/>
      </w:r>
      <w:r w:rsidRPr="00166AAF">
        <w:rPr>
          <w:sz w:val="16"/>
          <w:szCs w:val="16"/>
        </w:rPr>
        <w:t xml:space="preserve"> Previously, </w:t>
      </w:r>
      <w:r w:rsidR="00CA5067" w:rsidRPr="00166AAF">
        <w:rPr>
          <w:sz w:val="16"/>
          <w:szCs w:val="16"/>
        </w:rPr>
        <w:t xml:space="preserve">this amendment </w:t>
      </w:r>
      <w:r w:rsidR="008951DE" w:rsidRPr="00166AAF">
        <w:rPr>
          <w:sz w:val="16"/>
          <w:szCs w:val="16"/>
        </w:rPr>
        <w:t xml:space="preserve">outlined situations for which only women </w:t>
      </w:r>
      <w:r w:rsidR="00417FC6" w:rsidRPr="00166AAF">
        <w:rPr>
          <w:sz w:val="16"/>
          <w:szCs w:val="16"/>
        </w:rPr>
        <w:t xml:space="preserve">would not be considered </w:t>
      </w:r>
      <w:r w:rsidR="00D94CDA" w:rsidRPr="00166AAF">
        <w:rPr>
          <w:sz w:val="16"/>
          <w:szCs w:val="16"/>
        </w:rPr>
        <w:t>disobedient.</w:t>
      </w:r>
    </w:p>
  </w:footnote>
  <w:footnote w:id="6">
    <w:p w14:paraId="5D03B0A6"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“United Arab Emirates – Events of 2019” Human Rights Watch World Report, </w:t>
      </w:r>
      <w:hyperlink r:id="rId1" w:history="1">
        <w:r w:rsidRPr="00166AAF">
          <w:rPr>
            <w:rStyle w:val="Hyperlink"/>
            <w:sz w:val="16"/>
            <w:szCs w:val="16"/>
          </w:rPr>
          <w:t>https://www.hrw.org/world-report/2020/country-chapters/united-arab-emirates</w:t>
        </w:r>
      </w:hyperlink>
      <w:r w:rsidRPr="00166AAF">
        <w:rPr>
          <w:sz w:val="16"/>
          <w:szCs w:val="16"/>
        </w:rPr>
        <w:t xml:space="preserve"> </w:t>
      </w:r>
    </w:p>
  </w:footnote>
  <w:footnote w:id="7">
    <w:p w14:paraId="25BEB682" w14:textId="021645FF"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w:t>
      </w:r>
      <w:r w:rsidR="00EE1C6A" w:rsidRPr="00166AAF">
        <w:rPr>
          <w:sz w:val="16"/>
          <w:szCs w:val="16"/>
        </w:rPr>
        <w:t xml:space="preserve">“UAE sets out legal overhaul of personal and family law,” The National, November 7, 2020, </w:t>
      </w:r>
      <w:hyperlink r:id="rId2" w:history="1">
        <w:r w:rsidR="00EE1C6A" w:rsidRPr="00166AAF">
          <w:rPr>
            <w:rStyle w:val="Hyperlink"/>
            <w:sz w:val="16"/>
            <w:szCs w:val="16"/>
          </w:rPr>
          <w:t>https://www.thenationalnews.com/uae/government/uae-sets-out-legal-overhaul-of-personal-and-family-law-1.1107152</w:t>
        </w:r>
      </w:hyperlink>
      <w:r w:rsidR="00EE1C6A" w:rsidRPr="00166AAF">
        <w:rPr>
          <w:sz w:val="16"/>
          <w:szCs w:val="16"/>
        </w:rPr>
        <w:t xml:space="preserve"> (accessed February 11, 2021).</w:t>
      </w:r>
    </w:p>
  </w:footnote>
  <w:footnote w:id="8">
    <w:p w14:paraId="19B16F10" w14:textId="5C2CF401" w:rsidR="001237AF" w:rsidRPr="00166AAF" w:rsidRDefault="001237AF">
      <w:pPr>
        <w:pStyle w:val="FootnoteText"/>
        <w:rPr>
          <w:sz w:val="16"/>
          <w:szCs w:val="16"/>
        </w:rPr>
      </w:pPr>
      <w:r w:rsidRPr="00166AAF">
        <w:rPr>
          <w:rStyle w:val="FootnoteReference"/>
          <w:sz w:val="16"/>
          <w:szCs w:val="16"/>
        </w:rPr>
        <w:footnoteRef/>
      </w:r>
      <w:r w:rsidRPr="00166AAF">
        <w:rPr>
          <w:sz w:val="16"/>
          <w:szCs w:val="16"/>
        </w:rPr>
        <w:t xml:space="preserve"> </w:t>
      </w:r>
      <w:r w:rsidR="00F16738" w:rsidRPr="00166AAF">
        <w:rPr>
          <w:sz w:val="16"/>
          <w:szCs w:val="16"/>
        </w:rPr>
        <w:t>UAE Federal Decree Law No. 2 of 2015,</w:t>
      </w:r>
      <w:r w:rsidR="007003D1" w:rsidRPr="00166AAF">
        <w:rPr>
          <w:sz w:val="16"/>
          <w:szCs w:val="16"/>
        </w:rPr>
        <w:t xml:space="preserve"> available</w:t>
      </w:r>
      <w:r w:rsidR="00F16738" w:rsidRPr="00166AAF">
        <w:rPr>
          <w:sz w:val="16"/>
          <w:szCs w:val="16"/>
        </w:rPr>
        <w:t xml:space="preserve"> </w:t>
      </w:r>
      <w:hyperlink r:id="rId3" w:history="1">
        <w:r w:rsidR="00F16738" w:rsidRPr="00166AAF">
          <w:rPr>
            <w:rStyle w:val="Hyperlink"/>
            <w:sz w:val="16"/>
            <w:szCs w:val="16"/>
          </w:rPr>
          <w:t>http://ejustice.gov.ae/downloads/latest_laws2015/FDL_2_2015_discrimination_hate_en.pdf</w:t>
        </w:r>
      </w:hyperlink>
      <w:r w:rsidR="00F16738" w:rsidRPr="00166AAF">
        <w:rPr>
          <w:sz w:val="16"/>
          <w:szCs w:val="16"/>
        </w:rPr>
        <w:t xml:space="preserve"> </w:t>
      </w:r>
    </w:p>
  </w:footnote>
  <w:footnote w:id="9">
    <w:p w14:paraId="206C5698"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“’They have to be punished’: the mothers trapped in the UAE by ‘love crimes,’” The Guardian, October 12, 2020, </w:t>
      </w:r>
      <w:hyperlink r:id="rId4" w:history="1">
        <w:r w:rsidRPr="00166AAF">
          <w:rPr>
            <w:rStyle w:val="Hyperlink"/>
            <w:sz w:val="16"/>
            <w:szCs w:val="16"/>
          </w:rPr>
          <w:t>https://www.theguardian.com/global-development/2020/oct/12/they-have-to-be-punished-the-mothers-trapped-in-the-uae-by-love-crimes</w:t>
        </w:r>
      </w:hyperlink>
      <w:r w:rsidRPr="00166AAF">
        <w:rPr>
          <w:sz w:val="16"/>
          <w:szCs w:val="16"/>
        </w:rPr>
        <w:t xml:space="preserve"> </w:t>
      </w:r>
    </w:p>
  </w:footnote>
  <w:footnote w:id="10">
    <w:p w14:paraId="7742D5FD" w14:textId="4CEF3FC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“Marriage as a prerequisite,” Official UAE Government Portal, </w:t>
      </w:r>
      <w:hyperlink r:id="rId5" w:history="1">
        <w:r w:rsidRPr="00166AAF">
          <w:rPr>
            <w:rStyle w:val="Hyperlink"/>
            <w:sz w:val="16"/>
            <w:szCs w:val="16"/>
          </w:rPr>
          <w:t>https://u.ae/en/information-and-services/social-affairs/having-a-baby/marriage-as-a-prerequisite-for-having-a-baby-in-the-uae</w:t>
        </w:r>
      </w:hyperlink>
      <w:r w:rsidRPr="00166AAF">
        <w:rPr>
          <w:sz w:val="16"/>
          <w:szCs w:val="16"/>
        </w:rPr>
        <w:t xml:space="preserve"> (accessed January 27, 202</w:t>
      </w:r>
      <w:r w:rsidR="00ED6BD5" w:rsidRPr="00166AAF">
        <w:rPr>
          <w:sz w:val="16"/>
          <w:szCs w:val="16"/>
        </w:rPr>
        <w:t>1</w:t>
      </w:r>
      <w:r w:rsidRPr="00166AAF">
        <w:rPr>
          <w:sz w:val="16"/>
          <w:szCs w:val="16"/>
        </w:rPr>
        <w:t>)</w:t>
      </w:r>
    </w:p>
  </w:footnote>
  <w:footnote w:id="11">
    <w:p w14:paraId="5A1843C5"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“Frequently Asked Questions – Birth Certificate Issuance,” Department of Health Abu Dhabi </w:t>
      </w:r>
      <w:hyperlink r:id="rId6" w:history="1">
        <w:r w:rsidRPr="00166AAF">
          <w:rPr>
            <w:rStyle w:val="Hyperlink"/>
            <w:sz w:val="16"/>
            <w:szCs w:val="16"/>
          </w:rPr>
          <w:t>https://www.doh.gov.ae/faq</w:t>
        </w:r>
      </w:hyperlink>
      <w:r w:rsidRPr="00166AAF">
        <w:rPr>
          <w:sz w:val="16"/>
          <w:szCs w:val="16"/>
        </w:rPr>
        <w:t xml:space="preserve"> (accessed January 26, 2020) ; Human Rights Watch Report, “I Already Bought You: Abuse and Exploitation of Female Migrant Domestic Workers in the UAE,” October 2014, </w:t>
      </w:r>
      <w:hyperlink r:id="rId7" w:history="1">
        <w:r w:rsidRPr="00166AAF">
          <w:rPr>
            <w:rStyle w:val="Hyperlink"/>
            <w:sz w:val="16"/>
            <w:szCs w:val="16"/>
          </w:rPr>
          <w:t>https://www.hrw.org/sites/default/files/reports/uae1014_forUpload.pdf</w:t>
        </w:r>
      </w:hyperlink>
      <w:r w:rsidRPr="00166AAF">
        <w:rPr>
          <w:sz w:val="16"/>
          <w:szCs w:val="16"/>
        </w:rPr>
        <w:t>;</w:t>
      </w:r>
    </w:p>
  </w:footnote>
  <w:footnote w:id="12">
    <w:p w14:paraId="6FECB5F4"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“Stateless and For Sale in the Gulf,” International Campaign for Freedom in the UAE, July 11, 2016, </w:t>
      </w:r>
      <w:hyperlink r:id="rId8" w:history="1">
        <w:r w:rsidRPr="00166AAF">
          <w:rPr>
            <w:rStyle w:val="Hyperlink"/>
            <w:sz w:val="16"/>
            <w:szCs w:val="16"/>
          </w:rPr>
          <w:t>http://icfuae.org.uk/research-and-publications/stateless-and-sale-gulf</w:t>
        </w:r>
      </w:hyperlink>
      <w:r w:rsidRPr="00166AAF">
        <w:rPr>
          <w:sz w:val="16"/>
          <w:szCs w:val="16"/>
        </w:rPr>
        <w:t xml:space="preserve"> (accessed January 26, 2021) </w:t>
      </w:r>
    </w:p>
  </w:footnote>
  <w:footnote w:id="13">
    <w:p w14:paraId="3AA8F826" w14:textId="77777777" w:rsidR="009067C2" w:rsidRPr="00166AAF" w:rsidRDefault="009067C2" w:rsidP="009067C2">
      <w:pPr>
        <w:pStyle w:val="FootnoteText"/>
        <w:rPr>
          <w:sz w:val="16"/>
          <w:szCs w:val="16"/>
        </w:rPr>
      </w:pPr>
      <w:r w:rsidRPr="00166AAF">
        <w:rPr>
          <w:rStyle w:val="FootnoteReference"/>
          <w:sz w:val="16"/>
          <w:szCs w:val="16"/>
        </w:rPr>
        <w:footnoteRef/>
      </w:r>
      <w:r w:rsidRPr="00166AAF">
        <w:rPr>
          <w:sz w:val="16"/>
          <w:szCs w:val="16"/>
        </w:rPr>
        <w:t xml:space="preserve"> See “UAE sets out legal overhaul of personal and family law,” The National, November 7, 2020, </w:t>
      </w:r>
      <w:hyperlink r:id="rId9" w:history="1">
        <w:r w:rsidRPr="00166AAF">
          <w:rPr>
            <w:rStyle w:val="Hyperlink"/>
            <w:sz w:val="16"/>
            <w:szCs w:val="16"/>
          </w:rPr>
          <w:t>https://www.thenationalnews.com/uae/government/uae-sets-out-legal-overhaul-of-personal-and-family-law-1.1107152</w:t>
        </w:r>
      </w:hyperlink>
      <w:r w:rsidRPr="00166AAF">
        <w:rPr>
          <w:sz w:val="16"/>
          <w:szCs w:val="16"/>
        </w:rPr>
        <w:t xml:space="preserve"> (accessed February 11, 2021).</w:t>
      </w:r>
    </w:p>
  </w:footnote>
  <w:footnote w:id="14">
    <w:p w14:paraId="670D463A" w14:textId="5C727A9F"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“Women’s reproductive and sexual healthcare - Abortion,” Official UAE Government Portal, </w:t>
      </w:r>
      <w:hyperlink r:id="rId10" w:history="1">
        <w:r w:rsidRPr="00166AAF">
          <w:rPr>
            <w:rStyle w:val="Hyperlink"/>
            <w:sz w:val="16"/>
            <w:szCs w:val="16"/>
          </w:rPr>
          <w:t>https://u.ae/en/information-and-services/health-and-fitness/woman-reproductive-and-sexual-healthcare</w:t>
        </w:r>
      </w:hyperlink>
      <w:r w:rsidRPr="00166AAF">
        <w:rPr>
          <w:sz w:val="16"/>
          <w:szCs w:val="16"/>
        </w:rPr>
        <w:t xml:space="preserve"> (accessed January 26, 202</w:t>
      </w:r>
      <w:r w:rsidR="00ED6BD5" w:rsidRPr="00166AAF">
        <w:rPr>
          <w:sz w:val="16"/>
          <w:szCs w:val="16"/>
        </w:rPr>
        <w:t>1</w:t>
      </w:r>
      <w:r w:rsidRPr="00166AAF">
        <w:rPr>
          <w:sz w:val="16"/>
          <w:szCs w:val="16"/>
        </w:rPr>
        <w:t xml:space="preserve">) </w:t>
      </w:r>
    </w:p>
  </w:footnote>
  <w:footnote w:id="15">
    <w:p w14:paraId="034C1131"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Ibid.</w:t>
      </w:r>
    </w:p>
  </w:footnote>
  <w:footnote w:id="16">
    <w:p w14:paraId="183C2A6B" w14:textId="4405382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w:t>
      </w:r>
      <w:r w:rsidR="00216F99" w:rsidRPr="00166AAF">
        <w:rPr>
          <w:sz w:val="16"/>
          <w:szCs w:val="16"/>
        </w:rPr>
        <w:t>Article</w:t>
      </w:r>
      <w:r w:rsidR="00EB255E" w:rsidRPr="00166AAF">
        <w:rPr>
          <w:sz w:val="16"/>
          <w:szCs w:val="16"/>
        </w:rPr>
        <w:t xml:space="preserve"> </w:t>
      </w:r>
      <w:r w:rsidRPr="00166AAF">
        <w:rPr>
          <w:sz w:val="16"/>
          <w:szCs w:val="16"/>
        </w:rPr>
        <w:t xml:space="preserve">340, UAE Federal Penal Code </w:t>
      </w:r>
    </w:p>
  </w:footnote>
  <w:footnote w:id="17">
    <w:p w14:paraId="57340564"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Ibid. </w:t>
      </w:r>
    </w:p>
  </w:footnote>
  <w:footnote w:id="18">
    <w:p w14:paraId="01BFB8DB" w14:textId="77777777" w:rsidR="00F82059" w:rsidRPr="00166AAF" w:rsidRDefault="00F82059" w:rsidP="00F82059">
      <w:pPr>
        <w:rPr>
          <w:sz w:val="16"/>
          <w:szCs w:val="16"/>
        </w:rPr>
      </w:pPr>
      <w:r w:rsidRPr="00166AAF">
        <w:rPr>
          <w:rStyle w:val="FootnoteReference"/>
          <w:sz w:val="16"/>
          <w:szCs w:val="16"/>
        </w:rPr>
        <w:footnoteRef/>
      </w:r>
      <w:r w:rsidRPr="00166AAF">
        <w:rPr>
          <w:sz w:val="16"/>
          <w:szCs w:val="16"/>
        </w:rPr>
        <w:t xml:space="preserve"> “Runaway maid’s abortion attempt lands her in trouble”, Gulf News, June 2, 2012, </w:t>
      </w:r>
      <w:hyperlink r:id="rId11" w:history="1">
        <w:r w:rsidRPr="00166AAF">
          <w:rPr>
            <w:rStyle w:val="Hyperlink"/>
            <w:sz w:val="16"/>
            <w:szCs w:val="16"/>
          </w:rPr>
          <w:t>http://gulfnews.com/news/gulf/uae/crime/runaway-maid-s-abortion-attempt-lands-her-in-trouble-1.1030587</w:t>
        </w:r>
      </w:hyperlink>
      <w:r w:rsidRPr="00166AAF">
        <w:rPr>
          <w:sz w:val="16"/>
          <w:szCs w:val="16"/>
        </w:rPr>
        <w:t> (accessed February 12, 2015). According to media reports, in some attempted abortion cases, it has resulted in death. See “Attempted abortion in UAE ends in tragedy,” Gulf News, February 24, 2012, </w:t>
      </w:r>
      <w:hyperlink r:id="rId12" w:history="1">
        <w:r w:rsidRPr="00166AAF">
          <w:rPr>
            <w:rStyle w:val="Hyperlink"/>
            <w:sz w:val="16"/>
            <w:szCs w:val="16"/>
          </w:rPr>
          <w:t>http://gulfnews.com/news/gulf/uae/crime/attempted-abortion-in-uae-ends-in-tragedy-1.985404</w:t>
        </w:r>
      </w:hyperlink>
      <w:r w:rsidRPr="00166AAF">
        <w:rPr>
          <w:sz w:val="16"/>
          <w:szCs w:val="16"/>
        </w:rPr>
        <w:t> (accessed February 12, 2015).</w:t>
      </w:r>
    </w:p>
  </w:footnote>
  <w:footnote w:id="19">
    <w:p w14:paraId="2A4D1BA5" w14:textId="77777777" w:rsidR="00337858" w:rsidRPr="00166AAF" w:rsidRDefault="00337858" w:rsidP="00337858">
      <w:pPr>
        <w:pStyle w:val="FootnoteText"/>
        <w:rPr>
          <w:sz w:val="16"/>
          <w:szCs w:val="16"/>
        </w:rPr>
      </w:pPr>
      <w:r w:rsidRPr="00166AAF">
        <w:rPr>
          <w:rStyle w:val="FootnoteReference"/>
          <w:sz w:val="16"/>
          <w:szCs w:val="16"/>
        </w:rPr>
        <w:footnoteRef/>
      </w:r>
      <w:r w:rsidRPr="00166AAF">
        <w:rPr>
          <w:sz w:val="16"/>
          <w:szCs w:val="16"/>
        </w:rPr>
        <w:t xml:space="preserve"> Hiba Zayadin, “An Emirati Woman’s Ordeal to Seek Protection from Abuse,” Human Rights Watch, February 14, 2019, </w:t>
      </w:r>
      <w:hyperlink r:id="rId13" w:history="1">
        <w:r w:rsidRPr="00166AAF">
          <w:rPr>
            <w:rStyle w:val="Hyperlink"/>
            <w:sz w:val="16"/>
            <w:szCs w:val="16"/>
          </w:rPr>
          <w:t>https://www.hrw.org/news/2019/02/14/emirati-womans-ordeal-seek-protection-abuse</w:t>
        </w:r>
      </w:hyperlink>
      <w:r w:rsidRPr="00166AAF">
        <w:rPr>
          <w:sz w:val="16"/>
          <w:szCs w:val="16"/>
        </w:rPr>
        <w:t xml:space="preserve"> </w:t>
      </w:r>
    </w:p>
  </w:footnote>
  <w:footnote w:id="20">
    <w:p w14:paraId="34F6989B" w14:textId="227F0C3A"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w:t>
      </w:r>
      <w:r w:rsidR="00216F99" w:rsidRPr="00166AAF">
        <w:rPr>
          <w:sz w:val="16"/>
          <w:szCs w:val="16"/>
        </w:rPr>
        <w:t>Article</w:t>
      </w:r>
      <w:r w:rsidR="00EB255E" w:rsidRPr="00166AAF">
        <w:rPr>
          <w:sz w:val="16"/>
          <w:szCs w:val="16"/>
        </w:rPr>
        <w:t xml:space="preserve"> </w:t>
      </w:r>
      <w:r w:rsidR="00702A20" w:rsidRPr="00166AAF">
        <w:rPr>
          <w:sz w:val="16"/>
          <w:szCs w:val="16"/>
        </w:rPr>
        <w:t>53 of the UAE's penal code had previously allowed for the imposition of “chastisement by a husband to his wife and the chastisement of minor children.” See</w:t>
      </w:r>
      <w:r w:rsidR="00F80B6B">
        <w:rPr>
          <w:sz w:val="16"/>
          <w:szCs w:val="16"/>
        </w:rPr>
        <w:t xml:space="preserve"> Federal Law No. 3, </w:t>
      </w:r>
      <w:r w:rsidR="00923F3D">
        <w:rPr>
          <w:sz w:val="16"/>
          <w:szCs w:val="16"/>
        </w:rPr>
        <w:t xml:space="preserve">Concerning the Penal Code, </w:t>
      </w:r>
      <w:hyperlink r:id="rId14" w:history="1">
        <w:r w:rsidR="00923F3D" w:rsidRPr="00087E1A">
          <w:rPr>
            <w:rStyle w:val="Hyperlink"/>
            <w:sz w:val="16"/>
            <w:szCs w:val="16"/>
          </w:rPr>
          <w:t>https://elaws.moj.gov.ae/UAE-MOJ_LC-En/00_PENALTIES%20AND%20CRIMINAL%20MEASURES/UAE-LC-En_1987-12-08_00003_Kait.html?val=EL1</w:t>
        </w:r>
      </w:hyperlink>
    </w:p>
  </w:footnote>
  <w:footnote w:id="21">
    <w:p w14:paraId="51587350" w14:textId="2D6EEA2D" w:rsidR="00F1259E" w:rsidRPr="00166AAF" w:rsidRDefault="00F1259E">
      <w:pPr>
        <w:pStyle w:val="FootnoteText"/>
        <w:rPr>
          <w:sz w:val="16"/>
          <w:szCs w:val="16"/>
          <w:lang w:val="en-US"/>
        </w:rPr>
      </w:pPr>
      <w:r w:rsidRPr="00166AAF">
        <w:rPr>
          <w:rStyle w:val="FootnoteReference"/>
          <w:sz w:val="16"/>
          <w:szCs w:val="16"/>
        </w:rPr>
        <w:footnoteRef/>
      </w:r>
      <w:r w:rsidRPr="00166AAF">
        <w:rPr>
          <w:sz w:val="16"/>
          <w:szCs w:val="16"/>
        </w:rPr>
        <w:t xml:space="preserve"> </w:t>
      </w:r>
      <w:r w:rsidR="00216F99" w:rsidRPr="00166AAF">
        <w:rPr>
          <w:sz w:val="16"/>
          <w:szCs w:val="16"/>
        </w:rPr>
        <w:t>Article</w:t>
      </w:r>
      <w:r w:rsidR="00EB255E" w:rsidRPr="00166AAF">
        <w:rPr>
          <w:sz w:val="16"/>
          <w:szCs w:val="16"/>
        </w:rPr>
        <w:t xml:space="preserve"> </w:t>
      </w:r>
      <w:r w:rsidR="00B076FB" w:rsidRPr="00166AAF">
        <w:rPr>
          <w:sz w:val="16"/>
          <w:szCs w:val="16"/>
        </w:rPr>
        <w:t xml:space="preserve">3, </w:t>
      </w:r>
      <w:r w:rsidR="00B076FB" w:rsidRPr="00166AAF">
        <w:rPr>
          <w:sz w:val="16"/>
          <w:szCs w:val="16"/>
          <w:lang w:val="en-US"/>
        </w:rPr>
        <w:t xml:space="preserve">Federal Decree No. 10 of 2019 Regarding Domestic Violence, available </w:t>
      </w:r>
      <w:hyperlink r:id="rId15" w:history="1">
        <w:r w:rsidR="00B076FB" w:rsidRPr="00166AAF">
          <w:rPr>
            <w:rStyle w:val="Hyperlink"/>
            <w:sz w:val="16"/>
            <w:szCs w:val="16"/>
            <w:lang w:val="en-US"/>
          </w:rPr>
          <w:t>https://u.ae/-/media/Information-and-services/Social-Affairs/Federal-Decree-No10-of-2019-Regarding-Domestic-Violence-PDFArabic-only.ashx?la=en</w:t>
        </w:r>
      </w:hyperlink>
      <w:r w:rsidR="00B076FB" w:rsidRPr="00166AAF">
        <w:rPr>
          <w:sz w:val="16"/>
          <w:szCs w:val="16"/>
          <w:lang w:val="en-US"/>
        </w:rPr>
        <w:t xml:space="preserve"> </w:t>
      </w:r>
    </w:p>
  </w:footnote>
  <w:footnote w:id="22">
    <w:p w14:paraId="038A6439" w14:textId="7B6999D6" w:rsidR="00B076FB" w:rsidRPr="00166AAF" w:rsidRDefault="00B076FB">
      <w:pPr>
        <w:pStyle w:val="FootnoteText"/>
        <w:rPr>
          <w:sz w:val="16"/>
          <w:szCs w:val="16"/>
        </w:rPr>
      </w:pPr>
      <w:r w:rsidRPr="00166AAF">
        <w:rPr>
          <w:rStyle w:val="FootnoteReference"/>
          <w:sz w:val="16"/>
          <w:szCs w:val="16"/>
        </w:rPr>
        <w:footnoteRef/>
      </w:r>
      <w:r w:rsidRPr="00166AAF">
        <w:rPr>
          <w:sz w:val="16"/>
          <w:szCs w:val="16"/>
        </w:rPr>
        <w:t xml:space="preserve"> Ibid, </w:t>
      </w:r>
      <w:r w:rsidR="00216F99" w:rsidRPr="00166AAF">
        <w:rPr>
          <w:sz w:val="16"/>
          <w:szCs w:val="16"/>
        </w:rPr>
        <w:t>article</w:t>
      </w:r>
      <w:r w:rsidR="00EB255E" w:rsidRPr="00166AAF">
        <w:rPr>
          <w:sz w:val="16"/>
          <w:szCs w:val="16"/>
        </w:rPr>
        <w:t xml:space="preserve"> </w:t>
      </w:r>
      <w:r w:rsidRPr="00166AAF">
        <w:rPr>
          <w:sz w:val="16"/>
          <w:szCs w:val="16"/>
        </w:rPr>
        <w:t>4.</w:t>
      </w:r>
    </w:p>
  </w:footnote>
  <w:footnote w:id="23">
    <w:p w14:paraId="73495523" w14:textId="2B0EC507" w:rsidR="002C32C3" w:rsidRPr="00166AAF" w:rsidRDefault="002C32C3" w:rsidP="002C32C3">
      <w:pPr>
        <w:pStyle w:val="NormalWeb"/>
        <w:spacing w:before="0" w:beforeAutospacing="0" w:after="0" w:afterAutospacing="0"/>
        <w:rPr>
          <w:sz w:val="16"/>
          <w:szCs w:val="16"/>
        </w:rPr>
      </w:pPr>
      <w:r w:rsidRPr="00166AAF">
        <w:rPr>
          <w:rStyle w:val="FootnoteReference"/>
          <w:sz w:val="16"/>
          <w:szCs w:val="16"/>
        </w:rPr>
        <w:footnoteRef/>
      </w:r>
      <w:r w:rsidRPr="00166AAF">
        <w:rPr>
          <w:sz w:val="16"/>
          <w:szCs w:val="16"/>
        </w:rPr>
        <w:t xml:space="preserve"> </w:t>
      </w:r>
      <w:r w:rsidR="00B076FB" w:rsidRPr="00166AAF">
        <w:rPr>
          <w:sz w:val="16"/>
          <w:szCs w:val="16"/>
        </w:rPr>
        <w:t xml:space="preserve">Ibid, </w:t>
      </w:r>
      <w:r w:rsidR="00216F99" w:rsidRPr="00166AAF">
        <w:rPr>
          <w:sz w:val="16"/>
          <w:szCs w:val="16"/>
        </w:rPr>
        <w:t>article</w:t>
      </w:r>
      <w:r w:rsidR="00EB255E" w:rsidRPr="00166AAF">
        <w:rPr>
          <w:sz w:val="16"/>
          <w:szCs w:val="16"/>
        </w:rPr>
        <w:t xml:space="preserve"> </w:t>
      </w:r>
      <w:r w:rsidR="00B076FB" w:rsidRPr="00166AAF">
        <w:rPr>
          <w:sz w:val="16"/>
          <w:szCs w:val="16"/>
        </w:rPr>
        <w:t xml:space="preserve">5; also see </w:t>
      </w:r>
      <w:r w:rsidRPr="00166AAF">
        <w:rPr>
          <w:color w:val="000000"/>
          <w:sz w:val="16"/>
          <w:szCs w:val="16"/>
        </w:rPr>
        <w:t>“</w:t>
      </w:r>
      <w:r w:rsidRPr="00166AAF">
        <w:rPr>
          <w:sz w:val="16"/>
          <w:szCs w:val="16"/>
        </w:rPr>
        <w:t>Police officer who raped woman claims she was his wife and wins appeal</w:t>
      </w:r>
      <w:r w:rsidRPr="00166AAF">
        <w:rPr>
          <w:color w:val="000000"/>
          <w:sz w:val="16"/>
          <w:szCs w:val="16"/>
        </w:rPr>
        <w:t xml:space="preserve">,” The National, May 10, 2018. </w:t>
      </w:r>
      <w:hyperlink r:id="rId16" w:history="1">
        <w:r w:rsidR="00456AD0" w:rsidRPr="00166AAF">
          <w:rPr>
            <w:rStyle w:val="Hyperlink"/>
            <w:sz w:val="16"/>
            <w:szCs w:val="16"/>
          </w:rPr>
          <w:t>https://www.thenationalnews.com/uae/police-officer-who-raped-woman-claims-she-was-his-wife-and-wins-appeal-1.729154</w:t>
        </w:r>
      </w:hyperlink>
      <w:r w:rsidR="00456AD0" w:rsidRPr="00166AAF">
        <w:rPr>
          <w:color w:val="000000"/>
          <w:sz w:val="16"/>
          <w:szCs w:val="16"/>
        </w:rPr>
        <w:t xml:space="preserve"> (accessed February 11, 2021) </w:t>
      </w:r>
    </w:p>
  </w:footnote>
  <w:footnote w:id="24">
    <w:p w14:paraId="0EECB537" w14:textId="2FAC23E8" w:rsidR="00456AD0" w:rsidRPr="00166AAF" w:rsidRDefault="00456AD0">
      <w:pPr>
        <w:pStyle w:val="FootnoteText"/>
        <w:rPr>
          <w:sz w:val="16"/>
          <w:szCs w:val="16"/>
        </w:rPr>
      </w:pPr>
      <w:r w:rsidRPr="00166AAF">
        <w:rPr>
          <w:rStyle w:val="FootnoteReference"/>
          <w:sz w:val="16"/>
          <w:szCs w:val="16"/>
        </w:rPr>
        <w:footnoteRef/>
      </w:r>
      <w:r w:rsidRPr="00166AAF">
        <w:rPr>
          <w:sz w:val="16"/>
          <w:szCs w:val="16"/>
        </w:rPr>
        <w:t xml:space="preserve"> Ibid, </w:t>
      </w:r>
      <w:r w:rsidR="00216F99" w:rsidRPr="00166AAF">
        <w:rPr>
          <w:sz w:val="16"/>
          <w:szCs w:val="16"/>
        </w:rPr>
        <w:t>article</w:t>
      </w:r>
      <w:r w:rsidR="00EB255E" w:rsidRPr="00166AAF">
        <w:rPr>
          <w:sz w:val="16"/>
          <w:szCs w:val="16"/>
        </w:rPr>
        <w:t xml:space="preserve"> </w:t>
      </w:r>
      <w:r w:rsidRPr="00166AAF">
        <w:rPr>
          <w:sz w:val="16"/>
          <w:szCs w:val="16"/>
        </w:rPr>
        <w:t>10</w:t>
      </w:r>
    </w:p>
  </w:footnote>
  <w:footnote w:id="25">
    <w:p w14:paraId="5F540FF5" w14:textId="29F3846C"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w:t>
      </w:r>
      <w:r w:rsidR="00216F99" w:rsidRPr="00166AAF">
        <w:rPr>
          <w:sz w:val="16"/>
          <w:szCs w:val="16"/>
        </w:rPr>
        <w:t>Article</w:t>
      </w:r>
      <w:r w:rsidR="00EB255E" w:rsidRPr="00166AAF">
        <w:rPr>
          <w:sz w:val="16"/>
          <w:szCs w:val="16"/>
        </w:rPr>
        <w:t xml:space="preserve"> </w:t>
      </w:r>
      <w:r w:rsidRPr="00166AAF">
        <w:rPr>
          <w:sz w:val="16"/>
          <w:szCs w:val="16"/>
        </w:rPr>
        <w:t>334</w:t>
      </w:r>
      <w:r w:rsidR="00B85F6C" w:rsidRPr="00166AAF">
        <w:rPr>
          <w:sz w:val="16"/>
          <w:szCs w:val="16"/>
        </w:rPr>
        <w:t xml:space="preserve"> of the </w:t>
      </w:r>
      <w:r w:rsidRPr="00166AAF">
        <w:rPr>
          <w:sz w:val="16"/>
          <w:szCs w:val="16"/>
        </w:rPr>
        <w:t>Penal Code</w:t>
      </w:r>
      <w:r w:rsidR="00C375FC" w:rsidRPr="00166AAF">
        <w:rPr>
          <w:sz w:val="16"/>
          <w:szCs w:val="16"/>
        </w:rPr>
        <w:t xml:space="preserve"> provides that “whoever surprises his wife, daughter or sister committing adultery and instantly kills her or the adulterer or both of them; he shall be sanctioned to detention in case of assault on her or him leading to death or disability.”</w:t>
      </w:r>
    </w:p>
  </w:footnote>
  <w:footnote w:id="26">
    <w:p w14:paraId="36F507BD" w14:textId="78481731"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w:t>
      </w:r>
      <w:r w:rsidR="00216F99" w:rsidRPr="00166AAF">
        <w:rPr>
          <w:sz w:val="16"/>
          <w:szCs w:val="16"/>
        </w:rPr>
        <w:t>Article</w:t>
      </w:r>
      <w:r w:rsidR="00EB255E" w:rsidRPr="00166AAF">
        <w:rPr>
          <w:sz w:val="16"/>
          <w:szCs w:val="16"/>
        </w:rPr>
        <w:t xml:space="preserve"> </w:t>
      </w:r>
      <w:r w:rsidRPr="00166AAF">
        <w:rPr>
          <w:sz w:val="16"/>
          <w:szCs w:val="16"/>
        </w:rPr>
        <w:t xml:space="preserve">332(3), Penal Code. </w:t>
      </w:r>
    </w:p>
  </w:footnote>
  <w:footnote w:id="27">
    <w:p w14:paraId="7136C06A" w14:textId="4915FF1C"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“President approves amendments to Personal Status, Civil Transactions, Penal Code, and Criminal Procedure Laws,” Emirates News Agency, November 7, 2020, </w:t>
      </w:r>
      <w:hyperlink r:id="rId17" w:history="1">
        <w:r w:rsidRPr="00166AAF">
          <w:rPr>
            <w:rStyle w:val="Hyperlink"/>
            <w:sz w:val="16"/>
            <w:szCs w:val="16"/>
          </w:rPr>
          <w:t>https://wam.ae/en/details/1395302884233</w:t>
        </w:r>
      </w:hyperlink>
      <w:r w:rsidRPr="00166AAF">
        <w:rPr>
          <w:sz w:val="16"/>
          <w:szCs w:val="16"/>
        </w:rPr>
        <w:t xml:space="preserve"> (accessed January 26, 202</w:t>
      </w:r>
      <w:r w:rsidR="00E03D52" w:rsidRPr="00166AAF">
        <w:rPr>
          <w:sz w:val="16"/>
          <w:szCs w:val="16"/>
        </w:rPr>
        <w:t>1</w:t>
      </w:r>
      <w:r w:rsidRPr="00166AAF">
        <w:rPr>
          <w:sz w:val="16"/>
          <w:szCs w:val="16"/>
        </w:rPr>
        <w:t>); and “UAE sets out legal overhaul of personal and family law,” The National, November 7, 2020, https://www.thenationalnews.com/uae/government/uae-sets-out-legal-overhaul-of-personal-and-family-law-1.1107152 (accessed January 26, 202</w:t>
      </w:r>
      <w:r w:rsidR="00E03D52" w:rsidRPr="00166AAF">
        <w:rPr>
          <w:sz w:val="16"/>
          <w:szCs w:val="16"/>
        </w:rPr>
        <w:t>1</w:t>
      </w:r>
      <w:r w:rsidRPr="00166AAF">
        <w:rPr>
          <w:sz w:val="16"/>
          <w:szCs w:val="16"/>
        </w:rPr>
        <w:t>).</w:t>
      </w:r>
      <w:r w:rsidR="00EB255E" w:rsidRPr="00166AAF">
        <w:rPr>
          <w:sz w:val="16"/>
          <w:szCs w:val="16"/>
        </w:rPr>
        <w:t xml:space="preserve"> </w:t>
      </w:r>
    </w:p>
  </w:footnote>
  <w:footnote w:id="28">
    <w:p w14:paraId="5C808BC8" w14:textId="29E74CB0" w:rsidR="002C32C3" w:rsidRPr="00166AAF" w:rsidRDefault="002C32C3" w:rsidP="002C32C3">
      <w:pPr>
        <w:pStyle w:val="FootnoteText"/>
        <w:rPr>
          <w:sz w:val="16"/>
          <w:szCs w:val="16"/>
        </w:rPr>
      </w:pPr>
      <w:r w:rsidRPr="00166AAF">
        <w:rPr>
          <w:rStyle w:val="FootnoteReference"/>
          <w:sz w:val="16"/>
          <w:szCs w:val="16"/>
        </w:rPr>
        <w:footnoteRef/>
      </w:r>
      <w:r w:rsidR="00FC4D3E" w:rsidRPr="00166AAF">
        <w:rPr>
          <w:sz w:val="16"/>
          <w:szCs w:val="16"/>
        </w:rPr>
        <w:t xml:space="preserve"> “UAE: Free Dubai Ruler’s Captive Daughters</w:t>
      </w:r>
      <w:r w:rsidR="00422B35" w:rsidRPr="00166AAF">
        <w:rPr>
          <w:sz w:val="16"/>
          <w:szCs w:val="16"/>
        </w:rPr>
        <w:t>: UK Court Concludes They Were Abducted, Forced Back to Dubai</w:t>
      </w:r>
      <w:r w:rsidR="00FC4D3E" w:rsidRPr="00166AAF">
        <w:rPr>
          <w:sz w:val="16"/>
          <w:szCs w:val="16"/>
        </w:rPr>
        <w:t>,” Human Rights Watch news release,</w:t>
      </w:r>
      <w:r w:rsidR="00422B35" w:rsidRPr="00166AAF">
        <w:rPr>
          <w:sz w:val="16"/>
          <w:szCs w:val="16"/>
        </w:rPr>
        <w:t xml:space="preserve"> March 6, 2020, </w:t>
      </w:r>
      <w:hyperlink r:id="rId18" w:history="1">
        <w:r w:rsidR="00422B35" w:rsidRPr="00166AAF">
          <w:rPr>
            <w:rStyle w:val="Hyperlink"/>
            <w:sz w:val="16"/>
            <w:szCs w:val="16"/>
          </w:rPr>
          <w:t>https://www.hrw.org/news/2020/03/06/uae-free-dubai-rulers-captive-daughters</w:t>
        </w:r>
      </w:hyperlink>
      <w:r w:rsidR="00422B35" w:rsidRPr="00166AAF">
        <w:rPr>
          <w:sz w:val="16"/>
          <w:szCs w:val="16"/>
        </w:rPr>
        <w:t xml:space="preserve"> ;</w:t>
      </w:r>
      <w:r w:rsidRPr="00166AAF">
        <w:rPr>
          <w:sz w:val="16"/>
          <w:szCs w:val="16"/>
        </w:rPr>
        <w:t xml:space="preserve"> United Kingdom Courts and Tribunals Judiciary, “Re: AI M handed down by Sir Andrew McFarlane, President of the Family Division,” March 5, 2020, </w:t>
      </w:r>
      <w:hyperlink r:id="rId19" w:history="1">
        <w:r w:rsidRPr="00166AAF">
          <w:rPr>
            <w:rStyle w:val="Hyperlink"/>
            <w:sz w:val="16"/>
            <w:szCs w:val="16"/>
          </w:rPr>
          <w:t>https://www.judiciary.uk/judgments/re-ai-m-handed-down-by-sir-andrew-mcfarlane-president-of-the-family-division/</w:t>
        </w:r>
      </w:hyperlink>
      <w:r w:rsidRPr="00166AAF">
        <w:rPr>
          <w:sz w:val="16"/>
          <w:szCs w:val="16"/>
        </w:rPr>
        <w:t xml:space="preserve"> </w:t>
      </w:r>
    </w:p>
  </w:footnote>
  <w:footnote w:id="29">
    <w:p w14:paraId="4A7F5970" w14:textId="77777777"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“Sheikha (Princess) Latifa Al Maktoum,” March 11, 2018, video clip, YouTube, </w:t>
      </w:r>
      <w:hyperlink r:id="rId20" w:history="1">
        <w:r w:rsidRPr="00166AAF">
          <w:rPr>
            <w:rStyle w:val="Hyperlink"/>
            <w:sz w:val="16"/>
            <w:szCs w:val="16"/>
          </w:rPr>
          <w:t>https://www.youtube.com/watch?v=UN7OEFyNUkQ</w:t>
        </w:r>
      </w:hyperlink>
      <w:r w:rsidRPr="00166AAF">
        <w:rPr>
          <w:sz w:val="16"/>
          <w:szCs w:val="16"/>
        </w:rPr>
        <w:t xml:space="preserve"> (accessed January 27, 2021).</w:t>
      </w:r>
    </w:p>
  </w:footnote>
  <w:footnote w:id="30">
    <w:p w14:paraId="1296F91A" w14:textId="77777777"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“UAE: Reveal Status of Dubai Ruler’s Daughter,” Human Rights Watch news release, May 5, 2018, </w:t>
      </w:r>
      <w:hyperlink r:id="rId21" w:history="1">
        <w:r w:rsidRPr="00166AAF">
          <w:rPr>
            <w:rStyle w:val="Hyperlink"/>
            <w:sz w:val="16"/>
            <w:szCs w:val="16"/>
          </w:rPr>
          <w:t>https://www.hrw.org/news/2018/05/05/uae-reveal-status-dubai-rulers-daughter</w:t>
        </w:r>
      </w:hyperlink>
      <w:r w:rsidRPr="00166AAF">
        <w:rPr>
          <w:sz w:val="16"/>
          <w:szCs w:val="16"/>
        </w:rPr>
        <w:t xml:space="preserve"> </w:t>
      </w:r>
    </w:p>
  </w:footnote>
  <w:footnote w:id="31">
    <w:p w14:paraId="44DF2500" w14:textId="77777777" w:rsidR="002C32C3" w:rsidRPr="00166AAF" w:rsidRDefault="002C32C3" w:rsidP="002C32C3">
      <w:pPr>
        <w:pStyle w:val="FootnoteText"/>
        <w:rPr>
          <w:sz w:val="16"/>
          <w:szCs w:val="16"/>
        </w:rPr>
      </w:pPr>
      <w:r w:rsidRPr="00166AAF">
        <w:rPr>
          <w:rStyle w:val="FootnoteReference"/>
          <w:sz w:val="16"/>
          <w:szCs w:val="16"/>
        </w:rPr>
        <w:footnoteRef/>
      </w:r>
      <w:r w:rsidRPr="00166AAF">
        <w:rPr>
          <w:sz w:val="16"/>
          <w:szCs w:val="16"/>
        </w:rPr>
        <w:t xml:space="preserve"> Hiba Zayadin, “Not even Dubai’s Princesses are Safe from Repression,” Washington Post, March 10, 2020, </w:t>
      </w:r>
      <w:hyperlink r:id="rId22" w:history="1">
        <w:r w:rsidRPr="00166AAF">
          <w:rPr>
            <w:rStyle w:val="Hyperlink"/>
            <w:sz w:val="16"/>
            <w:szCs w:val="16"/>
          </w:rPr>
          <w:t>https://www.washingtonpost.com/opinions/2020/03/10/not-even-dubais-princesses-are-safe-repression/</w:t>
        </w:r>
      </w:hyperlink>
      <w:r w:rsidRPr="00166AAF">
        <w:rPr>
          <w:sz w:val="16"/>
          <w:szCs w:val="16"/>
        </w:rPr>
        <w:t xml:space="preserve"> (accessed January 27, 2021) </w:t>
      </w:r>
    </w:p>
  </w:footnote>
  <w:footnote w:id="32">
    <w:p w14:paraId="73DD717C" w14:textId="3411DB93" w:rsidR="0051622B" w:rsidRPr="00166AAF" w:rsidRDefault="0051622B">
      <w:pPr>
        <w:pStyle w:val="FootnoteText"/>
        <w:rPr>
          <w:sz w:val="16"/>
          <w:szCs w:val="16"/>
        </w:rPr>
      </w:pPr>
      <w:r w:rsidRPr="00166AAF">
        <w:rPr>
          <w:rStyle w:val="FootnoteReference"/>
          <w:sz w:val="16"/>
          <w:szCs w:val="16"/>
        </w:rPr>
        <w:footnoteRef/>
      </w:r>
      <w:r w:rsidRPr="00166AAF">
        <w:rPr>
          <w:sz w:val="16"/>
          <w:szCs w:val="16"/>
        </w:rPr>
        <w:t xml:space="preserve"> </w:t>
      </w:r>
      <w:r w:rsidR="006542CC" w:rsidRPr="00166AAF">
        <w:rPr>
          <w:sz w:val="16"/>
          <w:szCs w:val="16"/>
        </w:rPr>
        <w:t xml:space="preserve">“UAE’s Double-Standard on Citizenship Rights: Government Should Reverse Discriminatory Citizenship Law,” Human Rights Watch, February 5, 2021, </w:t>
      </w:r>
      <w:hyperlink r:id="rId23" w:history="1">
        <w:r w:rsidR="006542CC" w:rsidRPr="00166AAF">
          <w:rPr>
            <w:rStyle w:val="Hyperlink"/>
            <w:sz w:val="16"/>
            <w:szCs w:val="16"/>
          </w:rPr>
          <w:t>https://www.hrw.org/news/2021/02/05/uaes-double-standard-citizenship-rights</w:t>
        </w:r>
      </w:hyperlink>
      <w:r w:rsidR="006542CC" w:rsidRPr="00166AAF">
        <w:rPr>
          <w:sz w:val="16"/>
          <w:szCs w:val="16"/>
        </w:rPr>
        <w:t xml:space="preserve"> </w:t>
      </w:r>
    </w:p>
  </w:footnote>
  <w:footnote w:id="33">
    <w:p w14:paraId="33234FC6" w14:textId="2383DD5E"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Betsy L. Fisher, “Gender Discrimination and Statelessness in the Gulf Cooperation Council States,” 2016, Michigan Journal of Gender &amp; Law, Volume 23, Issue 2, </w:t>
      </w:r>
      <w:hyperlink r:id="rId24" w:history="1">
        <w:r w:rsidRPr="00166AAF">
          <w:rPr>
            <w:rStyle w:val="Hyperlink"/>
            <w:sz w:val="16"/>
            <w:szCs w:val="16"/>
          </w:rPr>
          <w:t>https://repository.law.umich.edu/cgi/viewcontent.cgi?</w:t>
        </w:r>
        <w:r w:rsidR="00216F99" w:rsidRPr="00166AAF">
          <w:rPr>
            <w:rStyle w:val="Hyperlink"/>
            <w:sz w:val="16"/>
            <w:szCs w:val="16"/>
          </w:rPr>
          <w:t xml:space="preserve">article </w:t>
        </w:r>
        <w:r w:rsidRPr="00166AAF">
          <w:rPr>
            <w:rStyle w:val="Hyperlink"/>
            <w:sz w:val="16"/>
            <w:szCs w:val="16"/>
          </w:rPr>
          <w:t>=1202&amp;context=mjgl</w:t>
        </w:r>
      </w:hyperlink>
      <w:r w:rsidRPr="00166AAF">
        <w:rPr>
          <w:sz w:val="16"/>
          <w:szCs w:val="16"/>
        </w:rPr>
        <w:t xml:space="preserve"> </w:t>
      </w:r>
    </w:p>
  </w:footnote>
  <w:footnote w:id="34">
    <w:p w14:paraId="47AC6038" w14:textId="0E42A026" w:rsidR="00017452" w:rsidRPr="00166AAF" w:rsidRDefault="00017452">
      <w:pPr>
        <w:pStyle w:val="FootnoteText"/>
        <w:rPr>
          <w:sz w:val="16"/>
          <w:szCs w:val="16"/>
        </w:rPr>
      </w:pPr>
      <w:r w:rsidRPr="00166AAF">
        <w:rPr>
          <w:rStyle w:val="FootnoteReference"/>
          <w:sz w:val="16"/>
          <w:szCs w:val="16"/>
        </w:rPr>
        <w:footnoteRef/>
      </w:r>
      <w:r w:rsidRPr="00166AAF">
        <w:rPr>
          <w:sz w:val="16"/>
          <w:szCs w:val="16"/>
        </w:rPr>
        <w:t xml:space="preserve"> “Acquiring UAE Nationality,” UAE </w:t>
      </w:r>
      <w:r w:rsidR="00DC55C4" w:rsidRPr="00166AAF">
        <w:rPr>
          <w:sz w:val="16"/>
          <w:szCs w:val="16"/>
        </w:rPr>
        <w:t xml:space="preserve">Official Government Portal, </w:t>
      </w:r>
      <w:hyperlink r:id="rId25" w:history="1">
        <w:r w:rsidR="00DC55C4" w:rsidRPr="00166AAF">
          <w:rPr>
            <w:rStyle w:val="Hyperlink"/>
            <w:sz w:val="16"/>
            <w:szCs w:val="16"/>
          </w:rPr>
          <w:t>https://u.ae/en/information-and-services/passports-and-traveling/uae-nationality</w:t>
        </w:r>
      </w:hyperlink>
      <w:r w:rsidR="00DC55C4" w:rsidRPr="00166AAF">
        <w:rPr>
          <w:sz w:val="16"/>
          <w:szCs w:val="16"/>
        </w:rPr>
        <w:t xml:space="preserve"> (accessed February 11, 2021) </w:t>
      </w:r>
    </w:p>
  </w:footnote>
  <w:footnote w:id="35">
    <w:p w14:paraId="029C8CCF" w14:textId="5988F7F9" w:rsidR="009C4FFF" w:rsidRPr="00166AAF" w:rsidRDefault="009C4FFF">
      <w:pPr>
        <w:pStyle w:val="FootnoteText"/>
        <w:rPr>
          <w:sz w:val="16"/>
          <w:szCs w:val="16"/>
        </w:rPr>
      </w:pPr>
      <w:r w:rsidRPr="00166AAF">
        <w:rPr>
          <w:rStyle w:val="FootnoteReference"/>
          <w:sz w:val="16"/>
          <w:szCs w:val="16"/>
        </w:rPr>
        <w:footnoteRef/>
      </w:r>
      <w:r w:rsidRPr="00166AAF">
        <w:rPr>
          <w:sz w:val="16"/>
          <w:szCs w:val="16"/>
        </w:rPr>
        <w:t xml:space="preserve"> “‘This will change our lives’: Emirati mothers rejoice as children granted citizenship,” The National, </w:t>
      </w:r>
      <w:r w:rsidR="00081D5D" w:rsidRPr="00166AAF">
        <w:rPr>
          <w:sz w:val="16"/>
          <w:szCs w:val="16"/>
        </w:rPr>
        <w:t xml:space="preserve">May 28, 2019, </w:t>
      </w:r>
      <w:hyperlink r:id="rId26" w:history="1">
        <w:r w:rsidR="00081D5D" w:rsidRPr="00166AAF">
          <w:rPr>
            <w:rStyle w:val="Hyperlink"/>
            <w:sz w:val="16"/>
            <w:szCs w:val="16"/>
          </w:rPr>
          <w:t>https://www.thenationalnews.com/uae/this-will-change-our-lives-emirati-mothers-rejoice-as-children-granted-citizenship-1.867176</w:t>
        </w:r>
      </w:hyperlink>
      <w:r w:rsidR="00081D5D" w:rsidRPr="00166AAF">
        <w:rPr>
          <w:sz w:val="16"/>
          <w:szCs w:val="16"/>
        </w:rPr>
        <w:t xml:space="preserve"> (accessed February</w:t>
      </w:r>
      <w:r w:rsidR="00EB255E" w:rsidRPr="00166AAF">
        <w:rPr>
          <w:sz w:val="16"/>
          <w:szCs w:val="16"/>
        </w:rPr>
        <w:t xml:space="preserve"> </w:t>
      </w:r>
      <w:r w:rsidR="00081D5D" w:rsidRPr="00166AAF">
        <w:rPr>
          <w:sz w:val="16"/>
          <w:szCs w:val="16"/>
        </w:rPr>
        <w:t xml:space="preserve">11, 2021) </w:t>
      </w:r>
    </w:p>
  </w:footnote>
  <w:footnote w:id="36">
    <w:p w14:paraId="48A8D2A0" w14:textId="2F1AE788" w:rsidR="00B43C98" w:rsidRPr="00166AAF" w:rsidRDefault="00B43C98" w:rsidP="00C41FA6">
      <w:pPr>
        <w:rPr>
          <w:sz w:val="16"/>
          <w:szCs w:val="16"/>
        </w:rPr>
      </w:pPr>
      <w:r w:rsidRPr="00166AAF">
        <w:rPr>
          <w:rStyle w:val="FootnoteReference"/>
          <w:sz w:val="16"/>
          <w:szCs w:val="16"/>
        </w:rPr>
        <w:footnoteRef/>
      </w:r>
      <w:r w:rsidRPr="00166AAF">
        <w:rPr>
          <w:sz w:val="16"/>
          <w:szCs w:val="16"/>
        </w:rPr>
        <w:t xml:space="preserve"> </w:t>
      </w:r>
      <w:r w:rsidR="00C41FA6" w:rsidRPr="00166AAF">
        <w:rPr>
          <w:sz w:val="16"/>
          <w:szCs w:val="16"/>
        </w:rPr>
        <w:t xml:space="preserve">@TheLettersProject, Instagram, February 3, 2021, </w:t>
      </w:r>
      <w:hyperlink r:id="rId27" w:history="1">
        <w:r w:rsidR="00C41FA6" w:rsidRPr="00166AAF">
          <w:rPr>
            <w:rStyle w:val="Hyperlink"/>
            <w:sz w:val="16"/>
            <w:szCs w:val="16"/>
            <w:shd w:val="clear" w:color="auto" w:fill="FFFFFF"/>
          </w:rPr>
          <w:t>https://www.instagram.com/p/CK1RpTcnU6Y/?utm_source=ig_web_copy_link</w:t>
        </w:r>
      </w:hyperlink>
      <w:r w:rsidR="00C41FA6" w:rsidRPr="00166AAF">
        <w:rPr>
          <w:color w:val="262626"/>
          <w:sz w:val="16"/>
          <w:szCs w:val="16"/>
          <w:shd w:val="clear" w:color="auto" w:fill="FFFFFF"/>
        </w:rPr>
        <w:t xml:space="preserve"> (accessed February 11, 2021)</w:t>
      </w:r>
    </w:p>
  </w:footnote>
  <w:footnote w:id="37">
    <w:p w14:paraId="6CB82AD5" w14:textId="7777777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“UAE: Unrelenting Harassment of Dissidents’ Families,” Human Rights Watch news release, December 22, 2019, </w:t>
      </w:r>
      <w:hyperlink r:id="rId28" w:history="1">
        <w:r w:rsidRPr="00166AAF">
          <w:rPr>
            <w:rStyle w:val="Hyperlink"/>
            <w:sz w:val="16"/>
            <w:szCs w:val="16"/>
          </w:rPr>
          <w:t>https://www.hrw.org/news/2019/12/22/uae-unrelenting-harassment-dissidents-families</w:t>
        </w:r>
      </w:hyperlink>
      <w:r w:rsidRPr="00166AAF">
        <w:rPr>
          <w:sz w:val="16"/>
          <w:szCs w:val="16"/>
        </w:rPr>
        <w:t xml:space="preserve">; and “There is No Freedom Here: Silencing Dissent in the United Arab Emirates (UAE),” Amnesty International Report, 2014, </w:t>
      </w:r>
      <w:hyperlink r:id="rId29" w:history="1">
        <w:r w:rsidRPr="00166AAF">
          <w:rPr>
            <w:rStyle w:val="Hyperlink"/>
            <w:sz w:val="16"/>
            <w:szCs w:val="16"/>
          </w:rPr>
          <w:t>https://www.amnesty.org.uk/files/mde_25.018.2014_-_there_is_no_freedom_here_-_silencing_dissent_in_the_united_arab_emirates_uae.pdf</w:t>
        </w:r>
      </w:hyperlink>
      <w:r w:rsidRPr="00166AAF">
        <w:rPr>
          <w:sz w:val="16"/>
          <w:szCs w:val="16"/>
        </w:rPr>
        <w:t xml:space="preserve"> </w:t>
      </w:r>
    </w:p>
  </w:footnote>
  <w:footnote w:id="38">
    <w:p w14:paraId="70501E4B" w14:textId="4A9C7D59"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“Withdrawal of nationality,” Official UAE Government Portal, </w:t>
      </w:r>
      <w:hyperlink r:id="rId30" w:anchor=":~:text=unless%20proven%20otherwise.-,UAE%20nationality%20by%20citizenship,gets%20one%20child%20or%20more" w:history="1">
        <w:r w:rsidRPr="00166AAF">
          <w:rPr>
            <w:rStyle w:val="Hyperlink"/>
            <w:sz w:val="16"/>
            <w:szCs w:val="16"/>
          </w:rPr>
          <w:t>https://u.ae/en/information-and-services/passports-and-traveling/uae-nationality#:~:text=unless%20proven%20otherwise.-,UAE%20nationality%20by%20citizenship,gets%20one%20child%20or%20more</w:t>
        </w:r>
      </w:hyperlink>
      <w:r w:rsidRPr="00166AAF">
        <w:rPr>
          <w:sz w:val="16"/>
          <w:szCs w:val="16"/>
        </w:rPr>
        <w:t xml:space="preserve"> (</w:t>
      </w:r>
      <w:r w:rsidR="00E03D52" w:rsidRPr="00166AAF">
        <w:rPr>
          <w:sz w:val="16"/>
          <w:szCs w:val="16"/>
        </w:rPr>
        <w:t>a</w:t>
      </w:r>
      <w:r w:rsidRPr="00166AAF">
        <w:rPr>
          <w:sz w:val="16"/>
          <w:szCs w:val="16"/>
        </w:rPr>
        <w:t xml:space="preserve">ccessed January 27, 2021). </w:t>
      </w:r>
    </w:p>
  </w:footnote>
  <w:footnote w:id="39">
    <w:p w14:paraId="4CA71942"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“UAE: Unrelenting Harassment of Dissidents’ Families,” Human Rights Watch press release, December 22, 2019, </w:t>
      </w:r>
      <w:hyperlink r:id="rId31" w:history="1">
        <w:r w:rsidRPr="00166AAF">
          <w:rPr>
            <w:rStyle w:val="Hyperlink"/>
            <w:sz w:val="16"/>
            <w:szCs w:val="16"/>
          </w:rPr>
          <w:t>https://www.hrw.org/news/2019/12/22/uae-unrelenting-harassment-dissidents-families</w:t>
        </w:r>
      </w:hyperlink>
      <w:r w:rsidRPr="00166AAF">
        <w:rPr>
          <w:sz w:val="16"/>
          <w:szCs w:val="16"/>
        </w:rPr>
        <w:t xml:space="preserve"> </w:t>
      </w:r>
    </w:p>
  </w:footnote>
  <w:footnote w:id="40">
    <w:p w14:paraId="4180D61D"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See Human Rights Watch Report, “I Already Bought You: Abuse and Exploitation of Female Migrant Domestic Workers in the UAE,” October 2014, </w:t>
      </w:r>
      <w:hyperlink r:id="rId32" w:history="1">
        <w:r w:rsidRPr="00166AAF">
          <w:rPr>
            <w:rStyle w:val="Hyperlink"/>
            <w:sz w:val="16"/>
            <w:szCs w:val="16"/>
          </w:rPr>
          <w:t>https://www.hrw.org/sites/default/files/reports/uae1014_forUpload.pdf</w:t>
        </w:r>
      </w:hyperlink>
      <w:r w:rsidRPr="00166AAF">
        <w:rPr>
          <w:sz w:val="16"/>
          <w:szCs w:val="16"/>
        </w:rPr>
        <w:t xml:space="preserve">; and “UAE: Domestic Workers’ Rights Bill a Step Forward; Enforcement Mechanisms Needed,” Human Rights Watch news release, June 7, 2017, </w:t>
      </w:r>
      <w:hyperlink r:id="rId33" w:history="1">
        <w:r w:rsidRPr="00166AAF">
          <w:rPr>
            <w:rStyle w:val="Hyperlink"/>
            <w:sz w:val="16"/>
            <w:szCs w:val="16"/>
          </w:rPr>
          <w:t>https://www.hrw.org/news/2017/06/07/uae-domestic-workers-rights-bill-step-forward</w:t>
        </w:r>
      </w:hyperlink>
      <w:r w:rsidRPr="00166AAF">
        <w:rPr>
          <w:sz w:val="16"/>
          <w:szCs w:val="16"/>
        </w:rPr>
        <w:t xml:space="preserve"> </w:t>
      </w:r>
    </w:p>
  </w:footnote>
  <w:footnote w:id="41">
    <w:p w14:paraId="06A2E7E9"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Katie McQue, “’They have to be punished’: the mothers trapped in the UAE by ‘love crimes,’” The Guardian, October 12, 2020, </w:t>
      </w:r>
      <w:hyperlink r:id="rId34" w:history="1">
        <w:r w:rsidRPr="00166AAF">
          <w:rPr>
            <w:rStyle w:val="Hyperlink"/>
            <w:sz w:val="16"/>
            <w:szCs w:val="16"/>
          </w:rPr>
          <w:t>https://www.theguardian.com/global-development/2020/oct/12/they-have-to-be-punished-the-mothers-trapped-in-the-uae-by-love-crimes</w:t>
        </w:r>
      </w:hyperlink>
    </w:p>
  </w:footnote>
  <w:footnote w:id="42">
    <w:p w14:paraId="0C51E1CC" w14:textId="24F64950"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w:t>
      </w:r>
      <w:r w:rsidR="00B0327F" w:rsidRPr="00166AAF">
        <w:rPr>
          <w:sz w:val="16"/>
          <w:szCs w:val="16"/>
        </w:rPr>
        <w:t>World Bank, “</w:t>
      </w:r>
      <w:r w:rsidR="00DE656A" w:rsidRPr="00166AAF">
        <w:rPr>
          <w:sz w:val="16"/>
          <w:szCs w:val="16"/>
        </w:rPr>
        <w:t>International migrant stock (% of population) – United Arab Emirates,</w:t>
      </w:r>
      <w:r w:rsidR="00B0327F" w:rsidRPr="00166AAF">
        <w:rPr>
          <w:sz w:val="16"/>
          <w:szCs w:val="16"/>
        </w:rPr>
        <w:t xml:space="preserve">” </w:t>
      </w:r>
      <w:hyperlink r:id="rId35" w:history="1">
        <w:r w:rsidR="00B0327F" w:rsidRPr="00166AAF">
          <w:rPr>
            <w:rStyle w:val="Hyperlink"/>
            <w:sz w:val="16"/>
            <w:szCs w:val="16"/>
          </w:rPr>
          <w:t>https://data.worldbank.org/indicator/SM.POP.TOTL.ZS?locations=AE</w:t>
        </w:r>
      </w:hyperlink>
      <w:r w:rsidR="00EB255E" w:rsidRPr="00166AAF">
        <w:rPr>
          <w:sz w:val="16"/>
          <w:szCs w:val="16"/>
        </w:rPr>
        <w:t xml:space="preserve"> </w:t>
      </w:r>
      <w:r w:rsidR="00B0327F" w:rsidRPr="00166AAF">
        <w:rPr>
          <w:sz w:val="16"/>
          <w:szCs w:val="16"/>
        </w:rPr>
        <w:t>(accessed February 11, 2021)</w:t>
      </w:r>
    </w:p>
  </w:footnote>
  <w:footnote w:id="43">
    <w:p w14:paraId="34C1625F" w14:textId="72D6033E" w:rsidR="00832791" w:rsidRPr="00166AAF" w:rsidRDefault="00832791" w:rsidP="00832791">
      <w:pPr>
        <w:pStyle w:val="FootnoteText"/>
        <w:rPr>
          <w:sz w:val="16"/>
          <w:szCs w:val="16"/>
        </w:rPr>
      </w:pPr>
      <w:r w:rsidRPr="00166AAF">
        <w:rPr>
          <w:rStyle w:val="FootnoteReference"/>
          <w:sz w:val="16"/>
          <w:szCs w:val="16"/>
        </w:rPr>
        <w:footnoteRef/>
      </w:r>
      <w:r w:rsidR="00EB255E" w:rsidRPr="00166AAF">
        <w:rPr>
          <w:sz w:val="16"/>
          <w:szCs w:val="16"/>
        </w:rPr>
        <w:t xml:space="preserve"> </w:t>
      </w:r>
      <w:r w:rsidRPr="00166AAF">
        <w:rPr>
          <w:sz w:val="16"/>
          <w:szCs w:val="16"/>
        </w:rPr>
        <w:t xml:space="preserve">Human Rights Watch Report, “I Already Bought You: Abuse and Exploitation of Female Migrant Domestic Workers in the UAE,” October 2014, </w:t>
      </w:r>
      <w:hyperlink r:id="rId36" w:history="1">
        <w:r w:rsidRPr="00166AAF">
          <w:rPr>
            <w:rStyle w:val="Hyperlink"/>
            <w:sz w:val="16"/>
            <w:szCs w:val="16"/>
          </w:rPr>
          <w:t>https://www.hrw.org/sites/default/files/reports/uae1014_forUpload.pdf</w:t>
        </w:r>
      </w:hyperlink>
      <w:r w:rsidRPr="00166AAF">
        <w:rPr>
          <w:sz w:val="16"/>
          <w:szCs w:val="16"/>
        </w:rPr>
        <w:t xml:space="preserve">; Thessa Lageman, “Dubai in the United Arab Emirates a centre of human trafficking and prostitution, The Sydney Morning Herald, </w:t>
      </w:r>
      <w:hyperlink r:id="rId37" w:history="1">
        <w:r w:rsidRPr="00166AAF">
          <w:rPr>
            <w:rStyle w:val="Hyperlink"/>
            <w:sz w:val="16"/>
            <w:szCs w:val="16"/>
          </w:rPr>
          <w:t>https://www.smh.com.au/world/dubai-in-united-arab-emirates-an-epicentre-of-human-trafficking-and-prostitution-20160115-gm6mdl.html</w:t>
        </w:r>
      </w:hyperlink>
      <w:r w:rsidRPr="00166AAF">
        <w:rPr>
          <w:sz w:val="16"/>
          <w:szCs w:val="16"/>
        </w:rPr>
        <w:t xml:space="preserve"> </w:t>
      </w:r>
    </w:p>
  </w:footnote>
  <w:footnote w:id="44">
    <w:p w14:paraId="3189F831" w14:textId="77777777" w:rsidR="00D12398" w:rsidRPr="00166AAF" w:rsidRDefault="00D12398" w:rsidP="00D12398">
      <w:pPr>
        <w:pStyle w:val="FootnoteText"/>
        <w:rPr>
          <w:sz w:val="16"/>
          <w:szCs w:val="16"/>
        </w:rPr>
      </w:pPr>
      <w:r w:rsidRPr="00166AAF">
        <w:rPr>
          <w:rStyle w:val="FootnoteReference"/>
          <w:sz w:val="16"/>
          <w:szCs w:val="16"/>
        </w:rPr>
        <w:footnoteRef/>
      </w:r>
      <w:r w:rsidRPr="00166AAF">
        <w:rPr>
          <w:sz w:val="16"/>
          <w:szCs w:val="16"/>
        </w:rPr>
        <w:t xml:space="preserve"> Human Rights Watch Report, “’Working Like a Robot’: Abuse of Tanzanian Domestic Workers in Oman and the United Arab Emirates,” November 14, 2017, </w:t>
      </w:r>
      <w:hyperlink r:id="rId38" w:history="1">
        <w:r w:rsidRPr="00166AAF">
          <w:rPr>
            <w:rStyle w:val="Hyperlink"/>
            <w:sz w:val="16"/>
            <w:szCs w:val="16"/>
          </w:rPr>
          <w:t>https://www.hrw.org/report/2017/11/14/working-robot/abuse-tanzanian-domestic-workers-oman-and-united-arab-emirates</w:t>
        </w:r>
      </w:hyperlink>
      <w:r w:rsidRPr="00166AAF">
        <w:rPr>
          <w:sz w:val="16"/>
          <w:szCs w:val="16"/>
        </w:rPr>
        <w:t xml:space="preserve"> </w:t>
      </w:r>
    </w:p>
  </w:footnote>
  <w:footnote w:id="45">
    <w:p w14:paraId="62639E7A"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“UAE: Domestic Workers’ Rights Bill a Step Forward; Enforcement Mechanisms Needed,” Human Rights Watch news release, June 7, 2017, </w:t>
      </w:r>
      <w:hyperlink r:id="rId39" w:history="1">
        <w:r w:rsidRPr="00166AAF">
          <w:rPr>
            <w:rStyle w:val="Hyperlink"/>
            <w:sz w:val="16"/>
            <w:szCs w:val="16"/>
          </w:rPr>
          <w:t>https://www.hrw.org/news/2017/06/07/uae-domestic-workers-rights-bill-step-forward</w:t>
        </w:r>
      </w:hyperlink>
      <w:r w:rsidRPr="00166AAF">
        <w:rPr>
          <w:sz w:val="16"/>
          <w:szCs w:val="16"/>
        </w:rPr>
        <w:t xml:space="preserve"> </w:t>
      </w:r>
    </w:p>
  </w:footnote>
  <w:footnote w:id="46">
    <w:p w14:paraId="594E0A30" w14:textId="77777777" w:rsidR="00DB236D" w:rsidRPr="00166AAF" w:rsidRDefault="00DB236D" w:rsidP="00DB236D">
      <w:pPr>
        <w:pStyle w:val="FootnoteText"/>
        <w:rPr>
          <w:sz w:val="16"/>
          <w:szCs w:val="16"/>
        </w:rPr>
      </w:pPr>
      <w:r w:rsidRPr="00166AAF">
        <w:rPr>
          <w:rStyle w:val="FootnoteReference"/>
          <w:sz w:val="16"/>
          <w:szCs w:val="16"/>
        </w:rPr>
        <w:footnoteRef/>
      </w:r>
      <w:r w:rsidRPr="00166AAF">
        <w:rPr>
          <w:sz w:val="16"/>
          <w:szCs w:val="16"/>
        </w:rPr>
        <w:t xml:space="preserve"> “Combatting human trafficking,” Official UAE Government Portal, </w:t>
      </w:r>
      <w:hyperlink r:id="rId40" w:history="1">
        <w:r w:rsidRPr="00166AAF">
          <w:rPr>
            <w:rStyle w:val="Hyperlink"/>
            <w:sz w:val="16"/>
            <w:szCs w:val="16"/>
          </w:rPr>
          <w:t>https://u.ae/en/about-the-uae/human-rights-in-the-uae/combatting-human-trafficking</w:t>
        </w:r>
      </w:hyperlink>
      <w:r w:rsidRPr="00166AAF">
        <w:rPr>
          <w:sz w:val="16"/>
          <w:szCs w:val="16"/>
        </w:rPr>
        <w:t xml:space="preserve"> (accessed January 28, 2021) </w:t>
      </w:r>
    </w:p>
  </w:footnote>
  <w:footnote w:id="47">
    <w:p w14:paraId="43599269" w14:textId="582D1CE2" w:rsidR="00F82059" w:rsidRPr="00166AAF" w:rsidRDefault="00F82059" w:rsidP="00F82059">
      <w:pPr>
        <w:pStyle w:val="FootnoteText"/>
        <w:rPr>
          <w:sz w:val="16"/>
          <w:szCs w:val="16"/>
        </w:rPr>
      </w:pPr>
      <w:r w:rsidRPr="00166AAF">
        <w:rPr>
          <w:rStyle w:val="FootnoteReference"/>
          <w:sz w:val="16"/>
          <w:szCs w:val="16"/>
        </w:rPr>
        <w:footnoteRef/>
      </w:r>
      <w:r w:rsidR="00064DE5" w:rsidRPr="00166AAF">
        <w:rPr>
          <w:sz w:val="16"/>
          <w:szCs w:val="16"/>
        </w:rPr>
        <w:t>See</w:t>
      </w:r>
      <w:r w:rsidRPr="00166AAF">
        <w:rPr>
          <w:sz w:val="16"/>
          <w:szCs w:val="16"/>
        </w:rPr>
        <w:t xml:space="preserve"> </w:t>
      </w:r>
      <w:r w:rsidR="001B1415" w:rsidRPr="00166AAF">
        <w:rPr>
          <w:sz w:val="16"/>
          <w:szCs w:val="16"/>
        </w:rPr>
        <w:t xml:space="preserve">Human Rights Watch Report, “ ‘Working Like a Robot:’ Abuse of Tanzanian Domestic Workers in Oman and the United Arab Emirates,” November 14, 2017, </w:t>
      </w:r>
      <w:hyperlink r:id="rId41" w:history="1">
        <w:r w:rsidR="001B1415" w:rsidRPr="00166AAF">
          <w:rPr>
            <w:rStyle w:val="Hyperlink"/>
            <w:sz w:val="16"/>
            <w:szCs w:val="16"/>
          </w:rPr>
          <w:t>https://www.hrw.org/report/2017/11/14/working-robot/abuse-tanzanian-domestic-workers-oman-and-united-arab-emirates</w:t>
        </w:r>
      </w:hyperlink>
      <w:r w:rsidR="001B1415" w:rsidRPr="00166AAF">
        <w:rPr>
          <w:rStyle w:val="Hyperlink"/>
          <w:sz w:val="16"/>
          <w:szCs w:val="16"/>
        </w:rPr>
        <w:t xml:space="preserve">; </w:t>
      </w:r>
      <w:r w:rsidR="00064DE5" w:rsidRPr="00166AAF">
        <w:rPr>
          <w:sz w:val="16"/>
          <w:szCs w:val="16"/>
        </w:rPr>
        <w:t xml:space="preserve">Katie McQue, “Sold into Syrian servitude, Filipina workers tell of abuse, rape and imprisonment,” The Washington Post, January 24, 2021, </w:t>
      </w:r>
      <w:hyperlink r:id="rId42" w:anchor="click=https://t.co/Nr7uuf1BKZ" w:history="1">
        <w:r w:rsidR="00064DE5" w:rsidRPr="00166AAF">
          <w:rPr>
            <w:rStyle w:val="Hyperlink"/>
            <w:sz w:val="16"/>
            <w:szCs w:val="16"/>
          </w:rPr>
          <w:t>https://www.washingtonpost.com/world/middle_east/trafficking-migrant-workers-syria-uae/2021/01/24/1d79e43c-3f0d-11eb-b58b-1623f6267960_story.html#click=https://t.co/Nr7uuf1BKZ</w:t>
        </w:r>
      </w:hyperlink>
      <w:r w:rsidR="00064DE5" w:rsidRPr="00166AAF">
        <w:rPr>
          <w:rStyle w:val="Hyperlink"/>
          <w:sz w:val="16"/>
          <w:szCs w:val="16"/>
        </w:rPr>
        <w:t xml:space="preserve"> </w:t>
      </w:r>
      <w:r w:rsidR="00064DE5" w:rsidRPr="00166AAF">
        <w:rPr>
          <w:rStyle w:val="Hyperlink"/>
          <w:color w:val="000000" w:themeColor="text1"/>
          <w:sz w:val="16"/>
          <w:szCs w:val="16"/>
          <w:u w:val="none"/>
        </w:rPr>
        <w:t xml:space="preserve">; </w:t>
      </w:r>
      <w:r w:rsidR="00064DE5" w:rsidRPr="00166AAF">
        <w:rPr>
          <w:sz w:val="16"/>
          <w:szCs w:val="16"/>
        </w:rPr>
        <w:t xml:space="preserve">Rothna Begum, “Migrant Domestic Workers: Overworked and Underprotected,” Women Across Frontiers, June 2016, </w:t>
      </w:r>
      <w:hyperlink r:id="rId43" w:history="1">
        <w:r w:rsidR="00064DE5" w:rsidRPr="00166AAF">
          <w:rPr>
            <w:rStyle w:val="Hyperlink"/>
            <w:sz w:val="16"/>
            <w:szCs w:val="16"/>
          </w:rPr>
          <w:t>https://wafmag.org/2016/06/migrant-domestic-workers-overworked-underprotected/</w:t>
        </w:r>
      </w:hyperlink>
      <w:r w:rsidR="00903F7E" w:rsidRPr="00166AAF">
        <w:rPr>
          <w:sz w:val="16"/>
          <w:szCs w:val="16"/>
        </w:rPr>
        <w:t>;</w:t>
      </w:r>
      <w:r w:rsidR="001B1415" w:rsidRPr="00166AAF">
        <w:rPr>
          <w:sz w:val="16"/>
          <w:szCs w:val="16"/>
        </w:rPr>
        <w:t xml:space="preserve"> Hiba Zayadin, “Recruited as Security Guards in the UAE, Deceived into Working in Conflict-Ridden Libya Instead,” Human Rights Watch report, November 1, 2020, </w:t>
      </w:r>
      <w:hyperlink r:id="rId44" w:history="1">
        <w:r w:rsidR="001B1415" w:rsidRPr="00166AAF">
          <w:rPr>
            <w:rStyle w:val="Hyperlink"/>
            <w:sz w:val="16"/>
            <w:szCs w:val="16"/>
          </w:rPr>
          <w:t>https://www.hrw.org/news/2020/11/01/recruited-security-guards-uae-deceived-working-conflict-ridden-libya-instead</w:t>
        </w:r>
      </w:hyperlink>
      <w:r w:rsidR="001B1415" w:rsidRPr="00166AAF">
        <w:rPr>
          <w:rStyle w:val="Hyperlink"/>
          <w:sz w:val="16"/>
          <w:szCs w:val="16"/>
        </w:rPr>
        <w:t xml:space="preserve">; </w:t>
      </w:r>
    </w:p>
  </w:footnote>
  <w:footnote w:id="48">
    <w:p w14:paraId="05435F36" w14:textId="1F38495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w:t>
      </w:r>
      <w:r w:rsidR="005F3493" w:rsidRPr="00166AAF">
        <w:rPr>
          <w:sz w:val="16"/>
          <w:szCs w:val="16"/>
        </w:rPr>
        <w:t xml:space="preserve">See Rothna Begum, “Domestic Workers in Middle East Risk Abuse Amid Covid-19 Crisis,” Al Jazeera, April 4, 2020, </w:t>
      </w:r>
      <w:hyperlink r:id="rId45" w:history="1">
        <w:r w:rsidR="005F3493" w:rsidRPr="00166AAF">
          <w:rPr>
            <w:rStyle w:val="Hyperlink"/>
            <w:sz w:val="16"/>
            <w:szCs w:val="16"/>
          </w:rPr>
          <w:t>https://www.aljazeera.com/opinions/2020/4/4/domestic-workers-in-middle-east-risk-abuse-amid-covid-19-crisis</w:t>
        </w:r>
      </w:hyperlink>
      <w:r w:rsidR="005F3493" w:rsidRPr="00166AAF">
        <w:rPr>
          <w:sz w:val="16"/>
          <w:szCs w:val="16"/>
        </w:rPr>
        <w:t xml:space="preserve"> ; “UAE: Protect Migrant Workers During Pandemic,” April 17, 2020, </w:t>
      </w:r>
      <w:hyperlink r:id="rId46" w:history="1">
        <w:r w:rsidR="005F3493" w:rsidRPr="00166AAF">
          <w:rPr>
            <w:rStyle w:val="Hyperlink"/>
            <w:sz w:val="16"/>
            <w:szCs w:val="16"/>
          </w:rPr>
          <w:t>https://www.hrw.org/news/2020/04/17/uae-protect-migrant-workers-during-pandemic</w:t>
        </w:r>
      </w:hyperlink>
      <w:r w:rsidR="005F3493" w:rsidRPr="00166AAF">
        <w:rPr>
          <w:sz w:val="16"/>
          <w:szCs w:val="16"/>
        </w:rPr>
        <w:t xml:space="preserve"> ; and “Gulf States: Ease Immigration Detention in Pandemic,” Human Rights Watch news release, April 7, 2020, </w:t>
      </w:r>
      <w:hyperlink r:id="rId47" w:history="1">
        <w:r w:rsidR="005F3493" w:rsidRPr="00166AAF">
          <w:rPr>
            <w:rStyle w:val="Hyperlink"/>
            <w:sz w:val="16"/>
            <w:szCs w:val="16"/>
          </w:rPr>
          <w:t>https://www.hrw.org/news/2020/04/07/gulf-states-ease-immigration-detention-pandemic</w:t>
        </w:r>
      </w:hyperlink>
      <w:r w:rsidR="005F3493" w:rsidRPr="00166AAF">
        <w:rPr>
          <w:sz w:val="16"/>
          <w:szCs w:val="16"/>
        </w:rPr>
        <w:t>;</w:t>
      </w:r>
    </w:p>
  </w:footnote>
  <w:footnote w:id="49">
    <w:p w14:paraId="4E258E8F" w14:textId="77777777" w:rsidR="009B6891" w:rsidRPr="00166AAF" w:rsidRDefault="009B6891" w:rsidP="009B6891">
      <w:pPr>
        <w:pStyle w:val="FootnoteText"/>
        <w:rPr>
          <w:sz w:val="16"/>
          <w:szCs w:val="16"/>
        </w:rPr>
      </w:pPr>
      <w:r w:rsidRPr="00166AAF">
        <w:rPr>
          <w:rStyle w:val="FootnoteReference"/>
          <w:sz w:val="16"/>
          <w:szCs w:val="16"/>
        </w:rPr>
        <w:footnoteRef/>
      </w:r>
      <w:r w:rsidRPr="00166AAF">
        <w:rPr>
          <w:sz w:val="16"/>
          <w:szCs w:val="16"/>
        </w:rPr>
        <w:t xml:space="preserve"> “UAE: New Cases of Disappearances,” Human Rights Watch news release, March 11, 2015, </w:t>
      </w:r>
      <w:hyperlink r:id="rId48" w:history="1">
        <w:r w:rsidRPr="00166AAF">
          <w:rPr>
            <w:rStyle w:val="Hyperlink"/>
            <w:sz w:val="16"/>
            <w:szCs w:val="16"/>
          </w:rPr>
          <w:t>https://www.hrw.org/news/2015/03/12/uae-new-cases-disappearances</w:t>
        </w:r>
      </w:hyperlink>
      <w:r w:rsidRPr="00166AAF">
        <w:rPr>
          <w:sz w:val="16"/>
          <w:szCs w:val="16"/>
        </w:rPr>
        <w:t xml:space="preserve"> </w:t>
      </w:r>
    </w:p>
  </w:footnote>
  <w:footnote w:id="50">
    <w:p w14:paraId="04A83D63"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“UAE: Cancer-Stricken Female Prisoner Dies,” Human Rights Watch news release, May 4, 2019, </w:t>
      </w:r>
      <w:hyperlink r:id="rId49" w:history="1">
        <w:r w:rsidRPr="00166AAF">
          <w:rPr>
            <w:rStyle w:val="Hyperlink"/>
            <w:sz w:val="16"/>
            <w:szCs w:val="16"/>
          </w:rPr>
          <w:t>https://www.hrw.org/news/2019/05/06/uae-cancer-stricken-female-prisoner-dies</w:t>
        </w:r>
      </w:hyperlink>
      <w:r w:rsidRPr="00166AAF">
        <w:rPr>
          <w:sz w:val="16"/>
          <w:szCs w:val="16"/>
        </w:rPr>
        <w:t xml:space="preserve"> </w:t>
      </w:r>
    </w:p>
  </w:footnote>
  <w:footnote w:id="51">
    <w:p w14:paraId="4547BD3B"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“UAE: Cancer-Stricken Prisoner Ill-Treated,” Human Rights Watch news release, February 26, 2019, </w:t>
      </w:r>
      <w:hyperlink r:id="rId50" w:history="1">
        <w:r w:rsidRPr="00166AAF">
          <w:rPr>
            <w:rStyle w:val="Hyperlink"/>
            <w:sz w:val="16"/>
            <w:szCs w:val="16"/>
          </w:rPr>
          <w:t>https://www.hrw.org/news/2019/02/26/uae-cancer-stricken-prisoner-ill-treated</w:t>
        </w:r>
      </w:hyperlink>
      <w:r w:rsidRPr="00166AAF">
        <w:rPr>
          <w:sz w:val="16"/>
          <w:szCs w:val="16"/>
        </w:rPr>
        <w:t xml:space="preserve"> </w:t>
      </w:r>
    </w:p>
  </w:footnote>
  <w:footnote w:id="52">
    <w:p w14:paraId="6C335819" w14:textId="7777777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“UAE: Woman Prisoner Reportedly Attempts Suicide,” Human Rights Watch news release, March 13, 2020, </w:t>
      </w:r>
      <w:hyperlink r:id="rId51" w:history="1">
        <w:r w:rsidRPr="00166AAF">
          <w:rPr>
            <w:rStyle w:val="Hyperlink"/>
            <w:sz w:val="16"/>
            <w:szCs w:val="16"/>
          </w:rPr>
          <w:t>https://www.hrw.org/news/2020/03/13/uae-woman-prisoner-reportedly-attempts-suicide</w:t>
        </w:r>
      </w:hyperlink>
      <w:r w:rsidRPr="00166AAF">
        <w:rPr>
          <w:sz w:val="16"/>
          <w:szCs w:val="16"/>
        </w:rPr>
        <w:t xml:space="preserve"> </w:t>
      </w:r>
    </w:p>
  </w:footnote>
  <w:footnote w:id="53">
    <w:p w14:paraId="5F4B8F6E" w14:textId="5858E1AF" w:rsidR="00980D03" w:rsidRPr="00166AAF" w:rsidRDefault="00980D03">
      <w:pPr>
        <w:pStyle w:val="FootnoteText"/>
        <w:rPr>
          <w:sz w:val="16"/>
          <w:szCs w:val="16"/>
        </w:rPr>
      </w:pPr>
      <w:r w:rsidRPr="00166AAF">
        <w:rPr>
          <w:rStyle w:val="FootnoteReference"/>
          <w:sz w:val="16"/>
          <w:szCs w:val="16"/>
        </w:rPr>
        <w:footnoteRef/>
      </w:r>
      <w:r w:rsidRPr="00166AAF">
        <w:rPr>
          <w:sz w:val="16"/>
          <w:szCs w:val="16"/>
        </w:rPr>
        <w:t xml:space="preserve"> </w:t>
      </w:r>
      <w:r w:rsidR="00F2732B" w:rsidRPr="00166AAF">
        <w:rPr>
          <w:sz w:val="16"/>
          <w:szCs w:val="16"/>
        </w:rPr>
        <w:t xml:space="preserve">Human Rights Council, UN Working Group on Arbitrary Detention, Opinion No.61/2020 concerning </w:t>
      </w:r>
      <w:r w:rsidR="00470D6F" w:rsidRPr="00166AAF">
        <w:rPr>
          <w:sz w:val="16"/>
          <w:szCs w:val="16"/>
          <w:lang w:val="en-US"/>
        </w:rPr>
        <w:t>Amina Mohammed al-Abdouli and Maryam Suliman al-Balushi (United Arab Emirates), January 18, 2021, https://www.ohchr.org/Documents/Issues/Detention/Opinions/Session89/A_HRC_WGAD_2020_61.pdf</w:t>
      </w:r>
    </w:p>
  </w:footnote>
  <w:footnote w:id="54">
    <w:p w14:paraId="08C7A4DB" w14:textId="7777777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Chris Pocock, “Yemen Issue Raised at Air Chiefs Conference,” Ain Online, November 12, 2017, https://www.ainonline.com/aviation-news/defense/2017-11-12/yemen-issue-raised-air-chiefs-conference (accessed July 6, 2018).</w:t>
      </w:r>
    </w:p>
  </w:footnote>
  <w:footnote w:id="55">
    <w:p w14:paraId="6E0C1D14"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“Hiding Behind the Coalition: Failure to Credibly Investigate and Provide Redress for Unlawful Attacks in Yemen,” August 24, 2018, https://www.hrw.org/report/2018/08/24/hiding-behind-coalition/failure-credibly-investigate-and-provide-redress-unlawful# </w:t>
      </w:r>
    </w:p>
  </w:footnote>
  <w:footnote w:id="56">
    <w:p w14:paraId="61C478F5" w14:textId="27A837E4" w:rsidR="00F82059" w:rsidRPr="00166AAF" w:rsidRDefault="00F82059" w:rsidP="00F82059">
      <w:pPr>
        <w:rPr>
          <w:sz w:val="16"/>
          <w:szCs w:val="16"/>
        </w:rPr>
      </w:pPr>
      <w:r w:rsidRPr="00166AAF">
        <w:rPr>
          <w:rStyle w:val="FootnoteReference"/>
          <w:sz w:val="16"/>
          <w:szCs w:val="16"/>
        </w:rPr>
        <w:footnoteRef/>
      </w:r>
      <w:r w:rsidR="00EB255E" w:rsidRPr="00166AAF">
        <w:rPr>
          <w:sz w:val="16"/>
          <w:szCs w:val="16"/>
        </w:rPr>
        <w:t xml:space="preserve"> </w:t>
      </w:r>
      <w:r w:rsidRPr="00166AAF">
        <w:rPr>
          <w:sz w:val="16"/>
          <w:szCs w:val="16"/>
        </w:rPr>
        <w:t xml:space="preserve">“Yemen: Houthis Endangered School for Blind, Coalition Airstrike Shows Added Risks For People with Disabilities” Human Rights Watch news release, January 13, 2016, </w:t>
      </w:r>
      <w:r w:rsidRPr="00166AAF">
        <w:rPr>
          <w:color w:val="000000" w:themeColor="text1"/>
          <w:sz w:val="16"/>
          <w:szCs w:val="16"/>
        </w:rPr>
        <w:t>https://www.hrw.org/news/2016/01/13/yemen-houthis-endangered-school-blind</w:t>
      </w:r>
    </w:p>
  </w:footnote>
  <w:footnote w:id="57">
    <w:p w14:paraId="49613009" w14:textId="77777777" w:rsidR="00F82059" w:rsidRPr="00166AAF" w:rsidRDefault="00F82059" w:rsidP="00F82059">
      <w:pPr>
        <w:rPr>
          <w:sz w:val="16"/>
          <w:szCs w:val="16"/>
        </w:rPr>
      </w:pPr>
      <w:r w:rsidRPr="00166AAF">
        <w:rPr>
          <w:rStyle w:val="FootnoteReference"/>
          <w:sz w:val="16"/>
          <w:szCs w:val="16"/>
        </w:rPr>
        <w:footnoteRef/>
      </w:r>
      <w:r w:rsidRPr="00166AAF">
        <w:rPr>
          <w:sz w:val="16"/>
          <w:szCs w:val="16"/>
        </w:rPr>
        <w:t xml:space="preserve"> “Yemen: Saudi-led coalition Airstrike Near School, 2 Students, Administrator Killed; 3 Children Wounded” Human Rights Watch news release, February 16, 2017, </w:t>
      </w:r>
      <w:r w:rsidRPr="00166AAF">
        <w:rPr>
          <w:color w:val="000000" w:themeColor="text1"/>
          <w:sz w:val="16"/>
          <w:szCs w:val="16"/>
        </w:rPr>
        <w:t>https://www.hrw.org/news/2017/02/16/yemen-saudi-led-coalition-airstrike-near-school</w:t>
      </w:r>
    </w:p>
  </w:footnote>
  <w:footnote w:id="58">
    <w:p w14:paraId="307CABBA"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Ibid. </w:t>
      </w:r>
    </w:p>
  </w:footnote>
  <w:footnote w:id="59">
    <w:p w14:paraId="39D4CBF9" w14:textId="77777777" w:rsidR="00F82059" w:rsidRPr="00166AAF" w:rsidRDefault="00F82059" w:rsidP="00F82059">
      <w:pPr>
        <w:pStyle w:val="FootnoteText"/>
        <w:rPr>
          <w:sz w:val="16"/>
          <w:szCs w:val="16"/>
        </w:rPr>
      </w:pPr>
      <w:r w:rsidRPr="00166AAF">
        <w:rPr>
          <w:rStyle w:val="FootnoteReference"/>
          <w:sz w:val="16"/>
          <w:szCs w:val="16"/>
        </w:rPr>
        <w:footnoteRef/>
      </w:r>
      <w:r w:rsidRPr="00166AAF">
        <w:rPr>
          <w:sz w:val="16"/>
          <w:szCs w:val="16"/>
        </w:rPr>
        <w:t xml:space="preserve"> UN Committee on the Elimination of Discrimination against Women, General Recommendation No. 30, Access to Education, U.N Doc. CEDAW/C/GC/30 (2013), para. 48.</w:t>
      </w:r>
    </w:p>
  </w:footnote>
  <w:footnote w:id="60">
    <w:p w14:paraId="33A1DB49" w14:textId="7777777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Safe Schools Declaration, May 28, 2015, </w:t>
      </w:r>
      <w:hyperlink r:id="rId52" w:history="1">
        <w:r w:rsidRPr="00166AAF">
          <w:rPr>
            <w:rStyle w:val="Hyperlink"/>
            <w:sz w:val="16"/>
            <w:szCs w:val="16"/>
          </w:rPr>
          <w:t>https://www.regjeringen.no/globalassets/departementene/ud/vedlegg/utvikling/safe_schools_declaration.pdf</w:t>
        </w:r>
      </w:hyperlink>
      <w:r w:rsidRPr="00166AAF">
        <w:rPr>
          <w:sz w:val="16"/>
          <w:szCs w:val="16"/>
        </w:rPr>
        <w:t xml:space="preserve"> (accessed January 23, 2020).</w:t>
      </w:r>
    </w:p>
  </w:footnote>
  <w:footnote w:id="61">
    <w:p w14:paraId="63665277" w14:textId="77777777" w:rsidR="00F82059" w:rsidRPr="00166AAF" w:rsidRDefault="00F82059" w:rsidP="00F82059">
      <w:pPr>
        <w:pStyle w:val="FootnoteText"/>
        <w:rPr>
          <w:sz w:val="16"/>
          <w:szCs w:val="16"/>
          <w:lang w:val="en-US"/>
        </w:rPr>
      </w:pPr>
      <w:r w:rsidRPr="00166AAF">
        <w:rPr>
          <w:rStyle w:val="FootnoteReference"/>
          <w:sz w:val="16"/>
          <w:szCs w:val="16"/>
        </w:rPr>
        <w:footnoteRef/>
      </w:r>
      <w:r w:rsidRPr="00166AAF">
        <w:rPr>
          <w:sz w:val="16"/>
          <w:szCs w:val="16"/>
        </w:rPr>
        <w:t xml:space="preserve"> Guidelines for Protecting Schools and Universities from Military Use during Armed Conflict, March 18, 2014, </w:t>
      </w:r>
      <w:hyperlink r:id="rId53" w:history="1">
        <w:r w:rsidRPr="00166AAF">
          <w:rPr>
            <w:rStyle w:val="Hyperlink"/>
            <w:sz w:val="16"/>
            <w:szCs w:val="16"/>
          </w:rPr>
          <w:t>http://protectingeducation.org/sites/default/files/documents/guidelines_en.pdf</w:t>
        </w:r>
      </w:hyperlink>
      <w:r w:rsidRPr="00166AAF">
        <w:rPr>
          <w:sz w:val="16"/>
          <w:szCs w:val="16"/>
        </w:rPr>
        <w:t xml:space="preserve"> (accessed January 23,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12AC"/>
    <w:multiLevelType w:val="hybridMultilevel"/>
    <w:tmpl w:val="1942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405CF"/>
    <w:multiLevelType w:val="hybridMultilevel"/>
    <w:tmpl w:val="1DA834E2"/>
    <w:lvl w:ilvl="0" w:tplc="0CC65D04">
      <w:start w:val="1"/>
      <w:numFmt w:val="bullet"/>
      <w:lvlText w:val=""/>
      <w:lvlJc w:val="left"/>
      <w:pPr>
        <w:tabs>
          <w:tab w:val="num" w:pos="720"/>
        </w:tabs>
        <w:ind w:left="720" w:hanging="360"/>
      </w:pPr>
      <w:rPr>
        <w:rFonts w:ascii="Symbol" w:hAnsi="Symbol" w:hint="default"/>
        <w:sz w:val="20"/>
      </w:rPr>
    </w:lvl>
    <w:lvl w:ilvl="1" w:tplc="BE508344" w:tentative="1">
      <w:start w:val="1"/>
      <w:numFmt w:val="bullet"/>
      <w:lvlText w:val=""/>
      <w:lvlJc w:val="left"/>
      <w:pPr>
        <w:tabs>
          <w:tab w:val="num" w:pos="1440"/>
        </w:tabs>
        <w:ind w:left="1440" w:hanging="360"/>
      </w:pPr>
      <w:rPr>
        <w:rFonts w:ascii="Symbol" w:hAnsi="Symbol" w:hint="default"/>
        <w:sz w:val="20"/>
      </w:rPr>
    </w:lvl>
    <w:lvl w:ilvl="2" w:tplc="644293DC" w:tentative="1">
      <w:start w:val="1"/>
      <w:numFmt w:val="bullet"/>
      <w:lvlText w:val=""/>
      <w:lvlJc w:val="left"/>
      <w:pPr>
        <w:tabs>
          <w:tab w:val="num" w:pos="2160"/>
        </w:tabs>
        <w:ind w:left="2160" w:hanging="360"/>
      </w:pPr>
      <w:rPr>
        <w:rFonts w:ascii="Symbol" w:hAnsi="Symbol" w:hint="default"/>
        <w:sz w:val="20"/>
      </w:rPr>
    </w:lvl>
    <w:lvl w:ilvl="3" w:tplc="DCC6214C" w:tentative="1">
      <w:start w:val="1"/>
      <w:numFmt w:val="bullet"/>
      <w:lvlText w:val=""/>
      <w:lvlJc w:val="left"/>
      <w:pPr>
        <w:tabs>
          <w:tab w:val="num" w:pos="2880"/>
        </w:tabs>
        <w:ind w:left="2880" w:hanging="360"/>
      </w:pPr>
      <w:rPr>
        <w:rFonts w:ascii="Symbol" w:hAnsi="Symbol" w:hint="default"/>
        <w:sz w:val="20"/>
      </w:rPr>
    </w:lvl>
    <w:lvl w:ilvl="4" w:tplc="D5E67120" w:tentative="1">
      <w:start w:val="1"/>
      <w:numFmt w:val="bullet"/>
      <w:lvlText w:val=""/>
      <w:lvlJc w:val="left"/>
      <w:pPr>
        <w:tabs>
          <w:tab w:val="num" w:pos="3600"/>
        </w:tabs>
        <w:ind w:left="3600" w:hanging="360"/>
      </w:pPr>
      <w:rPr>
        <w:rFonts w:ascii="Symbol" w:hAnsi="Symbol" w:hint="default"/>
        <w:sz w:val="20"/>
      </w:rPr>
    </w:lvl>
    <w:lvl w:ilvl="5" w:tplc="4BEAB93A" w:tentative="1">
      <w:start w:val="1"/>
      <w:numFmt w:val="bullet"/>
      <w:lvlText w:val=""/>
      <w:lvlJc w:val="left"/>
      <w:pPr>
        <w:tabs>
          <w:tab w:val="num" w:pos="4320"/>
        </w:tabs>
        <w:ind w:left="4320" w:hanging="360"/>
      </w:pPr>
      <w:rPr>
        <w:rFonts w:ascii="Symbol" w:hAnsi="Symbol" w:hint="default"/>
        <w:sz w:val="20"/>
      </w:rPr>
    </w:lvl>
    <w:lvl w:ilvl="6" w:tplc="8CC04C4C" w:tentative="1">
      <w:start w:val="1"/>
      <w:numFmt w:val="bullet"/>
      <w:lvlText w:val=""/>
      <w:lvlJc w:val="left"/>
      <w:pPr>
        <w:tabs>
          <w:tab w:val="num" w:pos="5040"/>
        </w:tabs>
        <w:ind w:left="5040" w:hanging="360"/>
      </w:pPr>
      <w:rPr>
        <w:rFonts w:ascii="Symbol" w:hAnsi="Symbol" w:hint="default"/>
        <w:sz w:val="20"/>
      </w:rPr>
    </w:lvl>
    <w:lvl w:ilvl="7" w:tplc="8DFECF48" w:tentative="1">
      <w:start w:val="1"/>
      <w:numFmt w:val="bullet"/>
      <w:lvlText w:val=""/>
      <w:lvlJc w:val="left"/>
      <w:pPr>
        <w:tabs>
          <w:tab w:val="num" w:pos="5760"/>
        </w:tabs>
        <w:ind w:left="5760" w:hanging="360"/>
      </w:pPr>
      <w:rPr>
        <w:rFonts w:ascii="Symbol" w:hAnsi="Symbol" w:hint="default"/>
        <w:sz w:val="20"/>
      </w:rPr>
    </w:lvl>
    <w:lvl w:ilvl="8" w:tplc="AB8E13B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BC5FCD"/>
    <w:multiLevelType w:val="hybridMultilevel"/>
    <w:tmpl w:val="237EFD4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1701F6"/>
    <w:multiLevelType w:val="hybridMultilevel"/>
    <w:tmpl w:val="F378FFB4"/>
    <w:lvl w:ilvl="0" w:tplc="C7AA7C7A">
      <w:start w:val="1"/>
      <w:numFmt w:val="bullet"/>
      <w:lvlText w:val=""/>
      <w:lvlJc w:val="left"/>
      <w:pPr>
        <w:tabs>
          <w:tab w:val="num" w:pos="720"/>
        </w:tabs>
        <w:ind w:left="720" w:hanging="360"/>
      </w:pPr>
      <w:rPr>
        <w:rFonts w:ascii="Symbol" w:hAnsi="Symbol" w:hint="default"/>
        <w:sz w:val="20"/>
      </w:rPr>
    </w:lvl>
    <w:lvl w:ilvl="1" w:tplc="B68CAF62" w:tentative="1">
      <w:start w:val="1"/>
      <w:numFmt w:val="bullet"/>
      <w:lvlText w:val=""/>
      <w:lvlJc w:val="left"/>
      <w:pPr>
        <w:tabs>
          <w:tab w:val="num" w:pos="1440"/>
        </w:tabs>
        <w:ind w:left="1440" w:hanging="360"/>
      </w:pPr>
      <w:rPr>
        <w:rFonts w:ascii="Symbol" w:hAnsi="Symbol" w:hint="default"/>
        <w:sz w:val="20"/>
      </w:rPr>
    </w:lvl>
    <w:lvl w:ilvl="2" w:tplc="B3F0A14E" w:tentative="1">
      <w:start w:val="1"/>
      <w:numFmt w:val="bullet"/>
      <w:lvlText w:val=""/>
      <w:lvlJc w:val="left"/>
      <w:pPr>
        <w:tabs>
          <w:tab w:val="num" w:pos="2160"/>
        </w:tabs>
        <w:ind w:left="2160" w:hanging="360"/>
      </w:pPr>
      <w:rPr>
        <w:rFonts w:ascii="Symbol" w:hAnsi="Symbol" w:hint="default"/>
        <w:sz w:val="20"/>
      </w:rPr>
    </w:lvl>
    <w:lvl w:ilvl="3" w:tplc="BCBABD00" w:tentative="1">
      <w:start w:val="1"/>
      <w:numFmt w:val="bullet"/>
      <w:lvlText w:val=""/>
      <w:lvlJc w:val="left"/>
      <w:pPr>
        <w:tabs>
          <w:tab w:val="num" w:pos="2880"/>
        </w:tabs>
        <w:ind w:left="2880" w:hanging="360"/>
      </w:pPr>
      <w:rPr>
        <w:rFonts w:ascii="Symbol" w:hAnsi="Symbol" w:hint="default"/>
        <w:sz w:val="20"/>
      </w:rPr>
    </w:lvl>
    <w:lvl w:ilvl="4" w:tplc="4B1AB488" w:tentative="1">
      <w:start w:val="1"/>
      <w:numFmt w:val="bullet"/>
      <w:lvlText w:val=""/>
      <w:lvlJc w:val="left"/>
      <w:pPr>
        <w:tabs>
          <w:tab w:val="num" w:pos="3600"/>
        </w:tabs>
        <w:ind w:left="3600" w:hanging="360"/>
      </w:pPr>
      <w:rPr>
        <w:rFonts w:ascii="Symbol" w:hAnsi="Symbol" w:hint="default"/>
        <w:sz w:val="20"/>
      </w:rPr>
    </w:lvl>
    <w:lvl w:ilvl="5" w:tplc="692893B8" w:tentative="1">
      <w:start w:val="1"/>
      <w:numFmt w:val="bullet"/>
      <w:lvlText w:val=""/>
      <w:lvlJc w:val="left"/>
      <w:pPr>
        <w:tabs>
          <w:tab w:val="num" w:pos="4320"/>
        </w:tabs>
        <w:ind w:left="4320" w:hanging="360"/>
      </w:pPr>
      <w:rPr>
        <w:rFonts w:ascii="Symbol" w:hAnsi="Symbol" w:hint="default"/>
        <w:sz w:val="20"/>
      </w:rPr>
    </w:lvl>
    <w:lvl w:ilvl="6" w:tplc="668ED72E" w:tentative="1">
      <w:start w:val="1"/>
      <w:numFmt w:val="bullet"/>
      <w:lvlText w:val=""/>
      <w:lvlJc w:val="left"/>
      <w:pPr>
        <w:tabs>
          <w:tab w:val="num" w:pos="5040"/>
        </w:tabs>
        <w:ind w:left="5040" w:hanging="360"/>
      </w:pPr>
      <w:rPr>
        <w:rFonts w:ascii="Symbol" w:hAnsi="Symbol" w:hint="default"/>
        <w:sz w:val="20"/>
      </w:rPr>
    </w:lvl>
    <w:lvl w:ilvl="7" w:tplc="B8C879BE" w:tentative="1">
      <w:start w:val="1"/>
      <w:numFmt w:val="bullet"/>
      <w:lvlText w:val=""/>
      <w:lvlJc w:val="left"/>
      <w:pPr>
        <w:tabs>
          <w:tab w:val="num" w:pos="5760"/>
        </w:tabs>
        <w:ind w:left="5760" w:hanging="360"/>
      </w:pPr>
      <w:rPr>
        <w:rFonts w:ascii="Symbol" w:hAnsi="Symbol" w:hint="default"/>
        <w:sz w:val="20"/>
      </w:rPr>
    </w:lvl>
    <w:lvl w:ilvl="8" w:tplc="D9226DF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2F1EE5"/>
    <w:multiLevelType w:val="hybridMultilevel"/>
    <w:tmpl w:val="DA3248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336A76"/>
    <w:multiLevelType w:val="hybridMultilevel"/>
    <w:tmpl w:val="F152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8754D"/>
    <w:multiLevelType w:val="hybridMultilevel"/>
    <w:tmpl w:val="DA80F020"/>
    <w:lvl w:ilvl="0" w:tplc="57F48130">
      <w:start w:val="1"/>
      <w:numFmt w:val="bullet"/>
      <w:lvlText w:val=""/>
      <w:lvlJc w:val="left"/>
      <w:pPr>
        <w:tabs>
          <w:tab w:val="num" w:pos="720"/>
        </w:tabs>
        <w:ind w:left="720" w:hanging="360"/>
      </w:pPr>
      <w:rPr>
        <w:rFonts w:ascii="Symbol" w:hAnsi="Symbol" w:hint="default"/>
        <w:sz w:val="20"/>
      </w:rPr>
    </w:lvl>
    <w:lvl w:ilvl="1" w:tplc="792280B6" w:tentative="1">
      <w:start w:val="1"/>
      <w:numFmt w:val="bullet"/>
      <w:lvlText w:val=""/>
      <w:lvlJc w:val="left"/>
      <w:pPr>
        <w:tabs>
          <w:tab w:val="num" w:pos="1440"/>
        </w:tabs>
        <w:ind w:left="1440" w:hanging="360"/>
      </w:pPr>
      <w:rPr>
        <w:rFonts w:ascii="Symbol" w:hAnsi="Symbol" w:hint="default"/>
        <w:sz w:val="20"/>
      </w:rPr>
    </w:lvl>
    <w:lvl w:ilvl="2" w:tplc="45D0A6AC" w:tentative="1">
      <w:start w:val="1"/>
      <w:numFmt w:val="bullet"/>
      <w:lvlText w:val=""/>
      <w:lvlJc w:val="left"/>
      <w:pPr>
        <w:tabs>
          <w:tab w:val="num" w:pos="2160"/>
        </w:tabs>
        <w:ind w:left="2160" w:hanging="360"/>
      </w:pPr>
      <w:rPr>
        <w:rFonts w:ascii="Symbol" w:hAnsi="Symbol" w:hint="default"/>
        <w:sz w:val="20"/>
      </w:rPr>
    </w:lvl>
    <w:lvl w:ilvl="3" w:tplc="B9349006" w:tentative="1">
      <w:start w:val="1"/>
      <w:numFmt w:val="bullet"/>
      <w:lvlText w:val=""/>
      <w:lvlJc w:val="left"/>
      <w:pPr>
        <w:tabs>
          <w:tab w:val="num" w:pos="2880"/>
        </w:tabs>
        <w:ind w:left="2880" w:hanging="360"/>
      </w:pPr>
      <w:rPr>
        <w:rFonts w:ascii="Symbol" w:hAnsi="Symbol" w:hint="default"/>
        <w:sz w:val="20"/>
      </w:rPr>
    </w:lvl>
    <w:lvl w:ilvl="4" w:tplc="AD16D0D8" w:tentative="1">
      <w:start w:val="1"/>
      <w:numFmt w:val="bullet"/>
      <w:lvlText w:val=""/>
      <w:lvlJc w:val="left"/>
      <w:pPr>
        <w:tabs>
          <w:tab w:val="num" w:pos="3600"/>
        </w:tabs>
        <w:ind w:left="3600" w:hanging="360"/>
      </w:pPr>
      <w:rPr>
        <w:rFonts w:ascii="Symbol" w:hAnsi="Symbol" w:hint="default"/>
        <w:sz w:val="20"/>
      </w:rPr>
    </w:lvl>
    <w:lvl w:ilvl="5" w:tplc="813A039E" w:tentative="1">
      <w:start w:val="1"/>
      <w:numFmt w:val="bullet"/>
      <w:lvlText w:val=""/>
      <w:lvlJc w:val="left"/>
      <w:pPr>
        <w:tabs>
          <w:tab w:val="num" w:pos="4320"/>
        </w:tabs>
        <w:ind w:left="4320" w:hanging="360"/>
      </w:pPr>
      <w:rPr>
        <w:rFonts w:ascii="Symbol" w:hAnsi="Symbol" w:hint="default"/>
        <w:sz w:val="20"/>
      </w:rPr>
    </w:lvl>
    <w:lvl w:ilvl="6" w:tplc="47B07978" w:tentative="1">
      <w:start w:val="1"/>
      <w:numFmt w:val="bullet"/>
      <w:lvlText w:val=""/>
      <w:lvlJc w:val="left"/>
      <w:pPr>
        <w:tabs>
          <w:tab w:val="num" w:pos="5040"/>
        </w:tabs>
        <w:ind w:left="5040" w:hanging="360"/>
      </w:pPr>
      <w:rPr>
        <w:rFonts w:ascii="Symbol" w:hAnsi="Symbol" w:hint="default"/>
        <w:sz w:val="20"/>
      </w:rPr>
    </w:lvl>
    <w:lvl w:ilvl="7" w:tplc="7B6E8FCC" w:tentative="1">
      <w:start w:val="1"/>
      <w:numFmt w:val="bullet"/>
      <w:lvlText w:val=""/>
      <w:lvlJc w:val="left"/>
      <w:pPr>
        <w:tabs>
          <w:tab w:val="num" w:pos="5760"/>
        </w:tabs>
        <w:ind w:left="5760" w:hanging="360"/>
      </w:pPr>
      <w:rPr>
        <w:rFonts w:ascii="Symbol" w:hAnsi="Symbol" w:hint="default"/>
        <w:sz w:val="20"/>
      </w:rPr>
    </w:lvl>
    <w:lvl w:ilvl="8" w:tplc="EE5263E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5D16B1"/>
    <w:multiLevelType w:val="hybridMultilevel"/>
    <w:tmpl w:val="AD8C792C"/>
    <w:lvl w:ilvl="0" w:tplc="08B2FDEA">
      <w:start w:val="3"/>
      <w:numFmt w:val="bullet"/>
      <w:lvlText w:val="-"/>
      <w:lvlJc w:val="left"/>
      <w:pPr>
        <w:ind w:left="720" w:hanging="360"/>
      </w:pPr>
      <w:rPr>
        <w:rFonts w:ascii="MetaPro-Norm" w:eastAsia="Times New Roman" w:hAnsi="MetaPro-Norm"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826966"/>
    <w:multiLevelType w:val="hybridMultilevel"/>
    <w:tmpl w:val="9B441708"/>
    <w:lvl w:ilvl="0" w:tplc="275686D8">
      <w:start w:val="1"/>
      <w:numFmt w:val="bullet"/>
      <w:lvlText w:val=""/>
      <w:lvlJc w:val="left"/>
      <w:pPr>
        <w:tabs>
          <w:tab w:val="num" w:pos="720"/>
        </w:tabs>
        <w:ind w:left="720" w:hanging="360"/>
      </w:pPr>
      <w:rPr>
        <w:rFonts w:ascii="Symbol" w:hAnsi="Symbol" w:hint="default"/>
        <w:sz w:val="20"/>
      </w:rPr>
    </w:lvl>
    <w:lvl w:ilvl="1" w:tplc="AA1A1FA6" w:tentative="1">
      <w:start w:val="1"/>
      <w:numFmt w:val="bullet"/>
      <w:lvlText w:val=""/>
      <w:lvlJc w:val="left"/>
      <w:pPr>
        <w:tabs>
          <w:tab w:val="num" w:pos="1440"/>
        </w:tabs>
        <w:ind w:left="1440" w:hanging="360"/>
      </w:pPr>
      <w:rPr>
        <w:rFonts w:ascii="Symbol" w:hAnsi="Symbol" w:hint="default"/>
        <w:sz w:val="20"/>
      </w:rPr>
    </w:lvl>
    <w:lvl w:ilvl="2" w:tplc="AEA0B6BA" w:tentative="1">
      <w:start w:val="1"/>
      <w:numFmt w:val="bullet"/>
      <w:lvlText w:val=""/>
      <w:lvlJc w:val="left"/>
      <w:pPr>
        <w:tabs>
          <w:tab w:val="num" w:pos="2160"/>
        </w:tabs>
        <w:ind w:left="2160" w:hanging="360"/>
      </w:pPr>
      <w:rPr>
        <w:rFonts w:ascii="Symbol" w:hAnsi="Symbol" w:hint="default"/>
        <w:sz w:val="20"/>
      </w:rPr>
    </w:lvl>
    <w:lvl w:ilvl="3" w:tplc="95186414" w:tentative="1">
      <w:start w:val="1"/>
      <w:numFmt w:val="bullet"/>
      <w:lvlText w:val=""/>
      <w:lvlJc w:val="left"/>
      <w:pPr>
        <w:tabs>
          <w:tab w:val="num" w:pos="2880"/>
        </w:tabs>
        <w:ind w:left="2880" w:hanging="360"/>
      </w:pPr>
      <w:rPr>
        <w:rFonts w:ascii="Symbol" w:hAnsi="Symbol" w:hint="default"/>
        <w:sz w:val="20"/>
      </w:rPr>
    </w:lvl>
    <w:lvl w:ilvl="4" w:tplc="E6421A24" w:tentative="1">
      <w:start w:val="1"/>
      <w:numFmt w:val="bullet"/>
      <w:lvlText w:val=""/>
      <w:lvlJc w:val="left"/>
      <w:pPr>
        <w:tabs>
          <w:tab w:val="num" w:pos="3600"/>
        </w:tabs>
        <w:ind w:left="3600" w:hanging="360"/>
      </w:pPr>
      <w:rPr>
        <w:rFonts w:ascii="Symbol" w:hAnsi="Symbol" w:hint="default"/>
        <w:sz w:val="20"/>
      </w:rPr>
    </w:lvl>
    <w:lvl w:ilvl="5" w:tplc="609EE65E" w:tentative="1">
      <w:start w:val="1"/>
      <w:numFmt w:val="bullet"/>
      <w:lvlText w:val=""/>
      <w:lvlJc w:val="left"/>
      <w:pPr>
        <w:tabs>
          <w:tab w:val="num" w:pos="4320"/>
        </w:tabs>
        <w:ind w:left="4320" w:hanging="360"/>
      </w:pPr>
      <w:rPr>
        <w:rFonts w:ascii="Symbol" w:hAnsi="Symbol" w:hint="default"/>
        <w:sz w:val="20"/>
      </w:rPr>
    </w:lvl>
    <w:lvl w:ilvl="6" w:tplc="2304987E" w:tentative="1">
      <w:start w:val="1"/>
      <w:numFmt w:val="bullet"/>
      <w:lvlText w:val=""/>
      <w:lvlJc w:val="left"/>
      <w:pPr>
        <w:tabs>
          <w:tab w:val="num" w:pos="5040"/>
        </w:tabs>
        <w:ind w:left="5040" w:hanging="360"/>
      </w:pPr>
      <w:rPr>
        <w:rFonts w:ascii="Symbol" w:hAnsi="Symbol" w:hint="default"/>
        <w:sz w:val="20"/>
      </w:rPr>
    </w:lvl>
    <w:lvl w:ilvl="7" w:tplc="8C6A5D60" w:tentative="1">
      <w:start w:val="1"/>
      <w:numFmt w:val="bullet"/>
      <w:lvlText w:val=""/>
      <w:lvlJc w:val="left"/>
      <w:pPr>
        <w:tabs>
          <w:tab w:val="num" w:pos="5760"/>
        </w:tabs>
        <w:ind w:left="5760" w:hanging="360"/>
      </w:pPr>
      <w:rPr>
        <w:rFonts w:ascii="Symbol" w:hAnsi="Symbol" w:hint="default"/>
        <w:sz w:val="20"/>
      </w:rPr>
    </w:lvl>
    <w:lvl w:ilvl="8" w:tplc="B9B007D6"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8A6E2A"/>
    <w:multiLevelType w:val="hybridMultilevel"/>
    <w:tmpl w:val="149C1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D24B41"/>
    <w:multiLevelType w:val="hybridMultilevel"/>
    <w:tmpl w:val="8F623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7C2A42"/>
    <w:multiLevelType w:val="hybridMultilevel"/>
    <w:tmpl w:val="C990107C"/>
    <w:lvl w:ilvl="0" w:tplc="04090001">
      <w:start w:val="1"/>
      <w:numFmt w:val="bullet"/>
      <w:lvlText w:val=""/>
      <w:lvlJc w:val="left"/>
      <w:pPr>
        <w:ind w:left="720" w:hanging="360"/>
      </w:pPr>
      <w:rPr>
        <w:rFonts w:ascii="Symbol" w:hAnsi="Symbo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64201"/>
    <w:multiLevelType w:val="multilevel"/>
    <w:tmpl w:val="DC9E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C23BF3"/>
    <w:multiLevelType w:val="hybridMultilevel"/>
    <w:tmpl w:val="1BC6E15C"/>
    <w:lvl w:ilvl="0" w:tplc="04090001">
      <w:start w:val="1"/>
      <w:numFmt w:val="bullet"/>
      <w:lvlText w:val=""/>
      <w:lvlJc w:val="left"/>
      <w:pPr>
        <w:ind w:left="720" w:hanging="360"/>
      </w:pPr>
      <w:rPr>
        <w:rFonts w:ascii="Symbol" w:hAnsi="Symbo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0A5D7C"/>
    <w:multiLevelType w:val="hybridMultilevel"/>
    <w:tmpl w:val="74DA4284"/>
    <w:lvl w:ilvl="0" w:tplc="84E6F7AA">
      <w:start w:val="1"/>
      <w:numFmt w:val="bullet"/>
      <w:lvlText w:val=""/>
      <w:lvlJc w:val="left"/>
      <w:pPr>
        <w:tabs>
          <w:tab w:val="num" w:pos="720"/>
        </w:tabs>
        <w:ind w:left="720" w:hanging="360"/>
      </w:pPr>
      <w:rPr>
        <w:rFonts w:ascii="Symbol" w:hAnsi="Symbol" w:hint="default"/>
        <w:sz w:val="20"/>
      </w:rPr>
    </w:lvl>
    <w:lvl w:ilvl="1" w:tplc="D5DE3996" w:tentative="1">
      <w:start w:val="1"/>
      <w:numFmt w:val="bullet"/>
      <w:lvlText w:val=""/>
      <w:lvlJc w:val="left"/>
      <w:pPr>
        <w:tabs>
          <w:tab w:val="num" w:pos="1440"/>
        </w:tabs>
        <w:ind w:left="1440" w:hanging="360"/>
      </w:pPr>
      <w:rPr>
        <w:rFonts w:ascii="Symbol" w:hAnsi="Symbol" w:hint="default"/>
        <w:sz w:val="20"/>
      </w:rPr>
    </w:lvl>
    <w:lvl w:ilvl="2" w:tplc="98F6C0AC" w:tentative="1">
      <w:start w:val="1"/>
      <w:numFmt w:val="bullet"/>
      <w:lvlText w:val=""/>
      <w:lvlJc w:val="left"/>
      <w:pPr>
        <w:tabs>
          <w:tab w:val="num" w:pos="2160"/>
        </w:tabs>
        <w:ind w:left="2160" w:hanging="360"/>
      </w:pPr>
      <w:rPr>
        <w:rFonts w:ascii="Symbol" w:hAnsi="Symbol" w:hint="default"/>
        <w:sz w:val="20"/>
      </w:rPr>
    </w:lvl>
    <w:lvl w:ilvl="3" w:tplc="0DAE2B1C" w:tentative="1">
      <w:start w:val="1"/>
      <w:numFmt w:val="bullet"/>
      <w:lvlText w:val=""/>
      <w:lvlJc w:val="left"/>
      <w:pPr>
        <w:tabs>
          <w:tab w:val="num" w:pos="2880"/>
        </w:tabs>
        <w:ind w:left="2880" w:hanging="360"/>
      </w:pPr>
      <w:rPr>
        <w:rFonts w:ascii="Symbol" w:hAnsi="Symbol" w:hint="default"/>
        <w:sz w:val="20"/>
      </w:rPr>
    </w:lvl>
    <w:lvl w:ilvl="4" w:tplc="5CB60850" w:tentative="1">
      <w:start w:val="1"/>
      <w:numFmt w:val="bullet"/>
      <w:lvlText w:val=""/>
      <w:lvlJc w:val="left"/>
      <w:pPr>
        <w:tabs>
          <w:tab w:val="num" w:pos="3600"/>
        </w:tabs>
        <w:ind w:left="3600" w:hanging="360"/>
      </w:pPr>
      <w:rPr>
        <w:rFonts w:ascii="Symbol" w:hAnsi="Symbol" w:hint="default"/>
        <w:sz w:val="20"/>
      </w:rPr>
    </w:lvl>
    <w:lvl w:ilvl="5" w:tplc="3A509D42" w:tentative="1">
      <w:start w:val="1"/>
      <w:numFmt w:val="bullet"/>
      <w:lvlText w:val=""/>
      <w:lvlJc w:val="left"/>
      <w:pPr>
        <w:tabs>
          <w:tab w:val="num" w:pos="4320"/>
        </w:tabs>
        <w:ind w:left="4320" w:hanging="360"/>
      </w:pPr>
      <w:rPr>
        <w:rFonts w:ascii="Symbol" w:hAnsi="Symbol" w:hint="default"/>
        <w:sz w:val="20"/>
      </w:rPr>
    </w:lvl>
    <w:lvl w:ilvl="6" w:tplc="6358BA94" w:tentative="1">
      <w:start w:val="1"/>
      <w:numFmt w:val="bullet"/>
      <w:lvlText w:val=""/>
      <w:lvlJc w:val="left"/>
      <w:pPr>
        <w:tabs>
          <w:tab w:val="num" w:pos="5040"/>
        </w:tabs>
        <w:ind w:left="5040" w:hanging="360"/>
      </w:pPr>
      <w:rPr>
        <w:rFonts w:ascii="Symbol" w:hAnsi="Symbol" w:hint="default"/>
        <w:sz w:val="20"/>
      </w:rPr>
    </w:lvl>
    <w:lvl w:ilvl="7" w:tplc="406CD51A" w:tentative="1">
      <w:start w:val="1"/>
      <w:numFmt w:val="bullet"/>
      <w:lvlText w:val=""/>
      <w:lvlJc w:val="left"/>
      <w:pPr>
        <w:tabs>
          <w:tab w:val="num" w:pos="5760"/>
        </w:tabs>
        <w:ind w:left="5760" w:hanging="360"/>
      </w:pPr>
      <w:rPr>
        <w:rFonts w:ascii="Symbol" w:hAnsi="Symbol" w:hint="default"/>
        <w:sz w:val="20"/>
      </w:rPr>
    </w:lvl>
    <w:lvl w:ilvl="8" w:tplc="F86E60DA"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615AED"/>
    <w:multiLevelType w:val="hybridMultilevel"/>
    <w:tmpl w:val="191E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D0078"/>
    <w:multiLevelType w:val="hybridMultilevel"/>
    <w:tmpl w:val="5F58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
  </w:num>
  <w:num w:numId="4">
    <w:abstractNumId w:val="18"/>
  </w:num>
  <w:num w:numId="5">
    <w:abstractNumId w:val="14"/>
  </w:num>
  <w:num w:numId="6">
    <w:abstractNumId w:val="4"/>
  </w:num>
  <w:num w:numId="7">
    <w:abstractNumId w:val="6"/>
  </w:num>
  <w:num w:numId="8">
    <w:abstractNumId w:val="10"/>
  </w:num>
  <w:num w:numId="9">
    <w:abstractNumId w:val="9"/>
  </w:num>
  <w:num w:numId="10">
    <w:abstractNumId w:val="0"/>
  </w:num>
  <w:num w:numId="11">
    <w:abstractNumId w:val="7"/>
  </w:num>
  <w:num w:numId="12">
    <w:abstractNumId w:val="16"/>
  </w:num>
  <w:num w:numId="13">
    <w:abstractNumId w:val="17"/>
  </w:num>
  <w:num w:numId="14">
    <w:abstractNumId w:val="2"/>
  </w:num>
  <w:num w:numId="15">
    <w:abstractNumId w:val="11"/>
  </w:num>
  <w:num w:numId="16">
    <w:abstractNumId w:val="8"/>
  </w:num>
  <w:num w:numId="17">
    <w:abstractNumId w:val="15"/>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FD82"/>
    <w:rsid w:val="00001B22"/>
    <w:rsid w:val="00010EBD"/>
    <w:rsid w:val="00011C74"/>
    <w:rsid w:val="00013121"/>
    <w:rsid w:val="00017452"/>
    <w:rsid w:val="0002247B"/>
    <w:rsid w:val="00027479"/>
    <w:rsid w:val="00030FDF"/>
    <w:rsid w:val="00037CBB"/>
    <w:rsid w:val="000404CC"/>
    <w:rsid w:val="0004422D"/>
    <w:rsid w:val="00052A15"/>
    <w:rsid w:val="00053B47"/>
    <w:rsid w:val="00057CD4"/>
    <w:rsid w:val="00057E8D"/>
    <w:rsid w:val="00060AC6"/>
    <w:rsid w:val="00062591"/>
    <w:rsid w:val="00064DE5"/>
    <w:rsid w:val="00066845"/>
    <w:rsid w:val="0006796D"/>
    <w:rsid w:val="00081D5D"/>
    <w:rsid w:val="00086CFB"/>
    <w:rsid w:val="00090328"/>
    <w:rsid w:val="00094F65"/>
    <w:rsid w:val="000B4603"/>
    <w:rsid w:val="000B73D0"/>
    <w:rsid w:val="000C20AF"/>
    <w:rsid w:val="000F3E17"/>
    <w:rsid w:val="000F6A59"/>
    <w:rsid w:val="00100E70"/>
    <w:rsid w:val="00114704"/>
    <w:rsid w:val="00122F5F"/>
    <w:rsid w:val="001237AF"/>
    <w:rsid w:val="00125CF7"/>
    <w:rsid w:val="0012609D"/>
    <w:rsid w:val="00133A7B"/>
    <w:rsid w:val="00135088"/>
    <w:rsid w:val="00137E32"/>
    <w:rsid w:val="00140513"/>
    <w:rsid w:val="001412A9"/>
    <w:rsid w:val="001440CC"/>
    <w:rsid w:val="001465A7"/>
    <w:rsid w:val="00154283"/>
    <w:rsid w:val="001659AC"/>
    <w:rsid w:val="00166AAF"/>
    <w:rsid w:val="0016764C"/>
    <w:rsid w:val="00167FBF"/>
    <w:rsid w:val="00171051"/>
    <w:rsid w:val="00171A51"/>
    <w:rsid w:val="00174DCA"/>
    <w:rsid w:val="00175BB5"/>
    <w:rsid w:val="00182442"/>
    <w:rsid w:val="00194C34"/>
    <w:rsid w:val="00196AC1"/>
    <w:rsid w:val="001974AD"/>
    <w:rsid w:val="001A4686"/>
    <w:rsid w:val="001B1415"/>
    <w:rsid w:val="001B3B0D"/>
    <w:rsid w:val="001C0CD2"/>
    <w:rsid w:val="001C15C7"/>
    <w:rsid w:val="001C3952"/>
    <w:rsid w:val="001C467B"/>
    <w:rsid w:val="001D4EC5"/>
    <w:rsid w:val="001E0EAD"/>
    <w:rsid w:val="001E4C97"/>
    <w:rsid w:val="001E7EFD"/>
    <w:rsid w:val="001F18AC"/>
    <w:rsid w:val="001F1B51"/>
    <w:rsid w:val="001F3DEE"/>
    <w:rsid w:val="002050D4"/>
    <w:rsid w:val="00216B0F"/>
    <w:rsid w:val="00216F99"/>
    <w:rsid w:val="00221AA0"/>
    <w:rsid w:val="00222C2C"/>
    <w:rsid w:val="00235864"/>
    <w:rsid w:val="002411DF"/>
    <w:rsid w:val="0024336F"/>
    <w:rsid w:val="002441AB"/>
    <w:rsid w:val="00244E35"/>
    <w:rsid w:val="0024605B"/>
    <w:rsid w:val="002529C9"/>
    <w:rsid w:val="002531B2"/>
    <w:rsid w:val="00260897"/>
    <w:rsid w:val="00281038"/>
    <w:rsid w:val="0028316F"/>
    <w:rsid w:val="00283A58"/>
    <w:rsid w:val="0029229F"/>
    <w:rsid w:val="0029370D"/>
    <w:rsid w:val="00296329"/>
    <w:rsid w:val="00297486"/>
    <w:rsid w:val="002A2CA3"/>
    <w:rsid w:val="002A33EC"/>
    <w:rsid w:val="002A39F4"/>
    <w:rsid w:val="002C32C3"/>
    <w:rsid w:val="002C361F"/>
    <w:rsid w:val="002E22CF"/>
    <w:rsid w:val="002E515C"/>
    <w:rsid w:val="002E5396"/>
    <w:rsid w:val="002F1F3C"/>
    <w:rsid w:val="002F7430"/>
    <w:rsid w:val="002F7D0D"/>
    <w:rsid w:val="003015FB"/>
    <w:rsid w:val="00302F47"/>
    <w:rsid w:val="00303983"/>
    <w:rsid w:val="00306822"/>
    <w:rsid w:val="00322C52"/>
    <w:rsid w:val="00325D04"/>
    <w:rsid w:val="00330262"/>
    <w:rsid w:val="00331163"/>
    <w:rsid w:val="003322E3"/>
    <w:rsid w:val="00332AD3"/>
    <w:rsid w:val="00333705"/>
    <w:rsid w:val="00336FFF"/>
    <w:rsid w:val="00337858"/>
    <w:rsid w:val="00340669"/>
    <w:rsid w:val="00344B40"/>
    <w:rsid w:val="00344C8D"/>
    <w:rsid w:val="00354257"/>
    <w:rsid w:val="0035491C"/>
    <w:rsid w:val="00374760"/>
    <w:rsid w:val="003814A4"/>
    <w:rsid w:val="00386E9B"/>
    <w:rsid w:val="00394A34"/>
    <w:rsid w:val="003A342D"/>
    <w:rsid w:val="003A3DE1"/>
    <w:rsid w:val="003B0065"/>
    <w:rsid w:val="003B0A1A"/>
    <w:rsid w:val="003B1306"/>
    <w:rsid w:val="003B7B42"/>
    <w:rsid w:val="003C17E3"/>
    <w:rsid w:val="003D0D81"/>
    <w:rsid w:val="003D357E"/>
    <w:rsid w:val="003D4524"/>
    <w:rsid w:val="003D6ECF"/>
    <w:rsid w:val="003D7989"/>
    <w:rsid w:val="003D79E8"/>
    <w:rsid w:val="003E2DE2"/>
    <w:rsid w:val="003F379F"/>
    <w:rsid w:val="003F540A"/>
    <w:rsid w:val="00401522"/>
    <w:rsid w:val="00412D09"/>
    <w:rsid w:val="00417FC6"/>
    <w:rsid w:val="004206DF"/>
    <w:rsid w:val="00422B35"/>
    <w:rsid w:val="00424B56"/>
    <w:rsid w:val="0042532B"/>
    <w:rsid w:val="0043123E"/>
    <w:rsid w:val="004362E0"/>
    <w:rsid w:val="0044057F"/>
    <w:rsid w:val="00441E0B"/>
    <w:rsid w:val="00455414"/>
    <w:rsid w:val="00456AD0"/>
    <w:rsid w:val="0046522F"/>
    <w:rsid w:val="00470D6F"/>
    <w:rsid w:val="00472F75"/>
    <w:rsid w:val="004768FF"/>
    <w:rsid w:val="004813A4"/>
    <w:rsid w:val="004838A2"/>
    <w:rsid w:val="00490849"/>
    <w:rsid w:val="00493B55"/>
    <w:rsid w:val="00494B13"/>
    <w:rsid w:val="004A1CD0"/>
    <w:rsid w:val="004A387F"/>
    <w:rsid w:val="004A629D"/>
    <w:rsid w:val="004B63C1"/>
    <w:rsid w:val="004C7019"/>
    <w:rsid w:val="004E59D0"/>
    <w:rsid w:val="004E725E"/>
    <w:rsid w:val="004F13BB"/>
    <w:rsid w:val="004F52BF"/>
    <w:rsid w:val="004F64FF"/>
    <w:rsid w:val="005031C6"/>
    <w:rsid w:val="0050344C"/>
    <w:rsid w:val="005116A6"/>
    <w:rsid w:val="0051463B"/>
    <w:rsid w:val="0051622B"/>
    <w:rsid w:val="00544FF7"/>
    <w:rsid w:val="00546353"/>
    <w:rsid w:val="00547BA6"/>
    <w:rsid w:val="00547CC7"/>
    <w:rsid w:val="00555D62"/>
    <w:rsid w:val="00561988"/>
    <w:rsid w:val="0056366D"/>
    <w:rsid w:val="00565BDE"/>
    <w:rsid w:val="00565DFA"/>
    <w:rsid w:val="0057098C"/>
    <w:rsid w:val="00580239"/>
    <w:rsid w:val="0059213C"/>
    <w:rsid w:val="005A1447"/>
    <w:rsid w:val="005A1A6E"/>
    <w:rsid w:val="005A2AAE"/>
    <w:rsid w:val="005A3E8C"/>
    <w:rsid w:val="005B0CC5"/>
    <w:rsid w:val="005B2DF6"/>
    <w:rsid w:val="005B32A2"/>
    <w:rsid w:val="005C2FC7"/>
    <w:rsid w:val="005D5546"/>
    <w:rsid w:val="005D7BF8"/>
    <w:rsid w:val="005E0C33"/>
    <w:rsid w:val="005E4283"/>
    <w:rsid w:val="005E6D21"/>
    <w:rsid w:val="005EFD82"/>
    <w:rsid w:val="005F107D"/>
    <w:rsid w:val="005F3493"/>
    <w:rsid w:val="005F5056"/>
    <w:rsid w:val="005F6547"/>
    <w:rsid w:val="0060617E"/>
    <w:rsid w:val="00614D0E"/>
    <w:rsid w:val="00615191"/>
    <w:rsid w:val="00617BA9"/>
    <w:rsid w:val="00627887"/>
    <w:rsid w:val="00631B91"/>
    <w:rsid w:val="00632552"/>
    <w:rsid w:val="00644C30"/>
    <w:rsid w:val="00650351"/>
    <w:rsid w:val="006542CC"/>
    <w:rsid w:val="00671BF1"/>
    <w:rsid w:val="006735C4"/>
    <w:rsid w:val="00680778"/>
    <w:rsid w:val="006809B4"/>
    <w:rsid w:val="00682F18"/>
    <w:rsid w:val="00683448"/>
    <w:rsid w:val="006849EC"/>
    <w:rsid w:val="00686975"/>
    <w:rsid w:val="00687C0E"/>
    <w:rsid w:val="00690F06"/>
    <w:rsid w:val="00696B49"/>
    <w:rsid w:val="006A18F4"/>
    <w:rsid w:val="006A3C2A"/>
    <w:rsid w:val="006A4190"/>
    <w:rsid w:val="006C0F12"/>
    <w:rsid w:val="006D13A7"/>
    <w:rsid w:val="006D4F07"/>
    <w:rsid w:val="006E7177"/>
    <w:rsid w:val="006F1C74"/>
    <w:rsid w:val="006F2402"/>
    <w:rsid w:val="006F4589"/>
    <w:rsid w:val="006F6314"/>
    <w:rsid w:val="007003D1"/>
    <w:rsid w:val="00702A20"/>
    <w:rsid w:val="00703DE7"/>
    <w:rsid w:val="007077C6"/>
    <w:rsid w:val="00710375"/>
    <w:rsid w:val="00710914"/>
    <w:rsid w:val="0071409F"/>
    <w:rsid w:val="00722277"/>
    <w:rsid w:val="0072554B"/>
    <w:rsid w:val="0072633B"/>
    <w:rsid w:val="007312A4"/>
    <w:rsid w:val="00731E21"/>
    <w:rsid w:val="00733247"/>
    <w:rsid w:val="0073675D"/>
    <w:rsid w:val="00737B35"/>
    <w:rsid w:val="00744EEA"/>
    <w:rsid w:val="00744F39"/>
    <w:rsid w:val="007619CB"/>
    <w:rsid w:val="007678BB"/>
    <w:rsid w:val="00770917"/>
    <w:rsid w:val="00771E36"/>
    <w:rsid w:val="00774642"/>
    <w:rsid w:val="00777F52"/>
    <w:rsid w:val="00780225"/>
    <w:rsid w:val="00784AFA"/>
    <w:rsid w:val="00784FD1"/>
    <w:rsid w:val="007968E7"/>
    <w:rsid w:val="007969D9"/>
    <w:rsid w:val="00797D45"/>
    <w:rsid w:val="007A5AE5"/>
    <w:rsid w:val="007A6FC9"/>
    <w:rsid w:val="007B1442"/>
    <w:rsid w:val="007B43CF"/>
    <w:rsid w:val="007B7292"/>
    <w:rsid w:val="007B7891"/>
    <w:rsid w:val="007C04E8"/>
    <w:rsid w:val="007C13EB"/>
    <w:rsid w:val="007D4322"/>
    <w:rsid w:val="007E0F28"/>
    <w:rsid w:val="007E3C39"/>
    <w:rsid w:val="007E52C9"/>
    <w:rsid w:val="007F042F"/>
    <w:rsid w:val="007F3A78"/>
    <w:rsid w:val="007F514B"/>
    <w:rsid w:val="00827D6F"/>
    <w:rsid w:val="0083125C"/>
    <w:rsid w:val="00832791"/>
    <w:rsid w:val="00847636"/>
    <w:rsid w:val="00847B44"/>
    <w:rsid w:val="0085507F"/>
    <w:rsid w:val="008557FB"/>
    <w:rsid w:val="00855A39"/>
    <w:rsid w:val="008561FC"/>
    <w:rsid w:val="00866251"/>
    <w:rsid w:val="00870752"/>
    <w:rsid w:val="00871DD9"/>
    <w:rsid w:val="00873518"/>
    <w:rsid w:val="00880D24"/>
    <w:rsid w:val="00887F88"/>
    <w:rsid w:val="00892B09"/>
    <w:rsid w:val="008951DE"/>
    <w:rsid w:val="008A0828"/>
    <w:rsid w:val="008A3D21"/>
    <w:rsid w:val="008B0729"/>
    <w:rsid w:val="008B4B48"/>
    <w:rsid w:val="008C297F"/>
    <w:rsid w:val="008C2E6B"/>
    <w:rsid w:val="008C3AC0"/>
    <w:rsid w:val="008C3E9B"/>
    <w:rsid w:val="008C73AE"/>
    <w:rsid w:val="008C79CD"/>
    <w:rsid w:val="008D06FC"/>
    <w:rsid w:val="008D5028"/>
    <w:rsid w:val="008F23D9"/>
    <w:rsid w:val="008F2BF0"/>
    <w:rsid w:val="009008FE"/>
    <w:rsid w:val="00903F7E"/>
    <w:rsid w:val="009046BF"/>
    <w:rsid w:val="00904C38"/>
    <w:rsid w:val="00904F05"/>
    <w:rsid w:val="009067C2"/>
    <w:rsid w:val="00907534"/>
    <w:rsid w:val="00911565"/>
    <w:rsid w:val="0091582F"/>
    <w:rsid w:val="00922376"/>
    <w:rsid w:val="009235DC"/>
    <w:rsid w:val="00923F3D"/>
    <w:rsid w:val="0093169A"/>
    <w:rsid w:val="00933F0E"/>
    <w:rsid w:val="00942E0A"/>
    <w:rsid w:val="009477DC"/>
    <w:rsid w:val="0096547E"/>
    <w:rsid w:val="00966AE5"/>
    <w:rsid w:val="0097277E"/>
    <w:rsid w:val="00980D03"/>
    <w:rsid w:val="00990964"/>
    <w:rsid w:val="009942E8"/>
    <w:rsid w:val="0099470F"/>
    <w:rsid w:val="00996268"/>
    <w:rsid w:val="009966B7"/>
    <w:rsid w:val="009B3F48"/>
    <w:rsid w:val="009B6891"/>
    <w:rsid w:val="009B7658"/>
    <w:rsid w:val="009C06B9"/>
    <w:rsid w:val="009C4FFF"/>
    <w:rsid w:val="009C7637"/>
    <w:rsid w:val="009D5A66"/>
    <w:rsid w:val="009E5852"/>
    <w:rsid w:val="009F0B3D"/>
    <w:rsid w:val="00A13C95"/>
    <w:rsid w:val="00A152D4"/>
    <w:rsid w:val="00A16EBA"/>
    <w:rsid w:val="00A218C1"/>
    <w:rsid w:val="00A22D43"/>
    <w:rsid w:val="00A24B4A"/>
    <w:rsid w:val="00A346EF"/>
    <w:rsid w:val="00A42269"/>
    <w:rsid w:val="00A4681C"/>
    <w:rsid w:val="00A53CD5"/>
    <w:rsid w:val="00A54A9B"/>
    <w:rsid w:val="00A56FA9"/>
    <w:rsid w:val="00A66B6F"/>
    <w:rsid w:val="00A70085"/>
    <w:rsid w:val="00A735E7"/>
    <w:rsid w:val="00A747D9"/>
    <w:rsid w:val="00A84023"/>
    <w:rsid w:val="00A92E7D"/>
    <w:rsid w:val="00A95640"/>
    <w:rsid w:val="00AA0301"/>
    <w:rsid w:val="00AA1090"/>
    <w:rsid w:val="00AA1AE3"/>
    <w:rsid w:val="00AB04E2"/>
    <w:rsid w:val="00AB09B0"/>
    <w:rsid w:val="00AC3370"/>
    <w:rsid w:val="00AC3D4F"/>
    <w:rsid w:val="00AC472F"/>
    <w:rsid w:val="00AC5802"/>
    <w:rsid w:val="00AC592C"/>
    <w:rsid w:val="00AC5C73"/>
    <w:rsid w:val="00AD158F"/>
    <w:rsid w:val="00AE0470"/>
    <w:rsid w:val="00AE1F88"/>
    <w:rsid w:val="00AF2AD4"/>
    <w:rsid w:val="00B018DB"/>
    <w:rsid w:val="00B01D5B"/>
    <w:rsid w:val="00B0327F"/>
    <w:rsid w:val="00B076FB"/>
    <w:rsid w:val="00B12D71"/>
    <w:rsid w:val="00B13BFF"/>
    <w:rsid w:val="00B25D2E"/>
    <w:rsid w:val="00B26FF2"/>
    <w:rsid w:val="00B30309"/>
    <w:rsid w:val="00B31BBB"/>
    <w:rsid w:val="00B34E26"/>
    <w:rsid w:val="00B40507"/>
    <w:rsid w:val="00B433AE"/>
    <w:rsid w:val="00B43C98"/>
    <w:rsid w:val="00B50EFF"/>
    <w:rsid w:val="00B5105A"/>
    <w:rsid w:val="00B51B3D"/>
    <w:rsid w:val="00B51E1B"/>
    <w:rsid w:val="00B55BD0"/>
    <w:rsid w:val="00B61192"/>
    <w:rsid w:val="00B62E90"/>
    <w:rsid w:val="00B64067"/>
    <w:rsid w:val="00B65572"/>
    <w:rsid w:val="00B70871"/>
    <w:rsid w:val="00B70E20"/>
    <w:rsid w:val="00B7535C"/>
    <w:rsid w:val="00B75FF2"/>
    <w:rsid w:val="00B83905"/>
    <w:rsid w:val="00B85F6C"/>
    <w:rsid w:val="00B9678F"/>
    <w:rsid w:val="00BA2D06"/>
    <w:rsid w:val="00BA40BD"/>
    <w:rsid w:val="00BB22F0"/>
    <w:rsid w:val="00BB2742"/>
    <w:rsid w:val="00BB4C6B"/>
    <w:rsid w:val="00BC23D2"/>
    <w:rsid w:val="00BC6A7D"/>
    <w:rsid w:val="00BD6385"/>
    <w:rsid w:val="00BD7BDC"/>
    <w:rsid w:val="00BE5081"/>
    <w:rsid w:val="00BF0EA1"/>
    <w:rsid w:val="00BF5DD0"/>
    <w:rsid w:val="00BF77DF"/>
    <w:rsid w:val="00C1084B"/>
    <w:rsid w:val="00C11061"/>
    <w:rsid w:val="00C24A6C"/>
    <w:rsid w:val="00C304EE"/>
    <w:rsid w:val="00C3511C"/>
    <w:rsid w:val="00C375FC"/>
    <w:rsid w:val="00C41FA6"/>
    <w:rsid w:val="00C4248F"/>
    <w:rsid w:val="00C42649"/>
    <w:rsid w:val="00C5735A"/>
    <w:rsid w:val="00C6003C"/>
    <w:rsid w:val="00C61D46"/>
    <w:rsid w:val="00C706A2"/>
    <w:rsid w:val="00C7487A"/>
    <w:rsid w:val="00C751C2"/>
    <w:rsid w:val="00C76FE4"/>
    <w:rsid w:val="00C80196"/>
    <w:rsid w:val="00C950A7"/>
    <w:rsid w:val="00CA0B17"/>
    <w:rsid w:val="00CA5067"/>
    <w:rsid w:val="00CB0571"/>
    <w:rsid w:val="00CB1166"/>
    <w:rsid w:val="00CB379C"/>
    <w:rsid w:val="00CB672A"/>
    <w:rsid w:val="00CC09ED"/>
    <w:rsid w:val="00CC17E1"/>
    <w:rsid w:val="00CC7671"/>
    <w:rsid w:val="00CD3E31"/>
    <w:rsid w:val="00CD7EE5"/>
    <w:rsid w:val="00CE1122"/>
    <w:rsid w:val="00CE779A"/>
    <w:rsid w:val="00CF5DA1"/>
    <w:rsid w:val="00CF6DD8"/>
    <w:rsid w:val="00D10A84"/>
    <w:rsid w:val="00D12398"/>
    <w:rsid w:val="00D14BD0"/>
    <w:rsid w:val="00D1595B"/>
    <w:rsid w:val="00D15AC2"/>
    <w:rsid w:val="00D21669"/>
    <w:rsid w:val="00D256FD"/>
    <w:rsid w:val="00D30082"/>
    <w:rsid w:val="00D31821"/>
    <w:rsid w:val="00D35622"/>
    <w:rsid w:val="00D42283"/>
    <w:rsid w:val="00D454C2"/>
    <w:rsid w:val="00D45C31"/>
    <w:rsid w:val="00D53B05"/>
    <w:rsid w:val="00D555FA"/>
    <w:rsid w:val="00D60465"/>
    <w:rsid w:val="00D60B99"/>
    <w:rsid w:val="00D6582C"/>
    <w:rsid w:val="00D70DA7"/>
    <w:rsid w:val="00D87BD3"/>
    <w:rsid w:val="00D94CDA"/>
    <w:rsid w:val="00D966AD"/>
    <w:rsid w:val="00DA19C5"/>
    <w:rsid w:val="00DB236D"/>
    <w:rsid w:val="00DB6DDF"/>
    <w:rsid w:val="00DC1691"/>
    <w:rsid w:val="00DC2E76"/>
    <w:rsid w:val="00DC2EB4"/>
    <w:rsid w:val="00DC4589"/>
    <w:rsid w:val="00DC55C4"/>
    <w:rsid w:val="00DC7FF8"/>
    <w:rsid w:val="00DD14F5"/>
    <w:rsid w:val="00DD4231"/>
    <w:rsid w:val="00DD74F8"/>
    <w:rsid w:val="00DE1BEE"/>
    <w:rsid w:val="00DE4177"/>
    <w:rsid w:val="00DE4788"/>
    <w:rsid w:val="00DE656A"/>
    <w:rsid w:val="00DF06C4"/>
    <w:rsid w:val="00DF636D"/>
    <w:rsid w:val="00E009BD"/>
    <w:rsid w:val="00E00D6E"/>
    <w:rsid w:val="00E02082"/>
    <w:rsid w:val="00E03901"/>
    <w:rsid w:val="00E03D52"/>
    <w:rsid w:val="00E10624"/>
    <w:rsid w:val="00E20754"/>
    <w:rsid w:val="00E24828"/>
    <w:rsid w:val="00E25034"/>
    <w:rsid w:val="00E34874"/>
    <w:rsid w:val="00E371B8"/>
    <w:rsid w:val="00E41403"/>
    <w:rsid w:val="00E4181B"/>
    <w:rsid w:val="00E43A52"/>
    <w:rsid w:val="00E4650F"/>
    <w:rsid w:val="00E47809"/>
    <w:rsid w:val="00E516E3"/>
    <w:rsid w:val="00E5217F"/>
    <w:rsid w:val="00E54A91"/>
    <w:rsid w:val="00E56C12"/>
    <w:rsid w:val="00E574C1"/>
    <w:rsid w:val="00E578DE"/>
    <w:rsid w:val="00E6082C"/>
    <w:rsid w:val="00E63412"/>
    <w:rsid w:val="00E66FE7"/>
    <w:rsid w:val="00E74208"/>
    <w:rsid w:val="00E75D2B"/>
    <w:rsid w:val="00E8062A"/>
    <w:rsid w:val="00E9490B"/>
    <w:rsid w:val="00E96655"/>
    <w:rsid w:val="00E97A4E"/>
    <w:rsid w:val="00EA5354"/>
    <w:rsid w:val="00EA67CC"/>
    <w:rsid w:val="00EA7BEB"/>
    <w:rsid w:val="00EA7EE5"/>
    <w:rsid w:val="00EB19C0"/>
    <w:rsid w:val="00EB255E"/>
    <w:rsid w:val="00ED6BD5"/>
    <w:rsid w:val="00EE1C6A"/>
    <w:rsid w:val="00EE4CFB"/>
    <w:rsid w:val="00EE5E0A"/>
    <w:rsid w:val="00EE6A68"/>
    <w:rsid w:val="00EE798B"/>
    <w:rsid w:val="00EF6541"/>
    <w:rsid w:val="00F039B7"/>
    <w:rsid w:val="00F06A3F"/>
    <w:rsid w:val="00F06B57"/>
    <w:rsid w:val="00F1259E"/>
    <w:rsid w:val="00F16738"/>
    <w:rsid w:val="00F224E1"/>
    <w:rsid w:val="00F24CED"/>
    <w:rsid w:val="00F2732B"/>
    <w:rsid w:val="00F3161B"/>
    <w:rsid w:val="00F54452"/>
    <w:rsid w:val="00F5666F"/>
    <w:rsid w:val="00F643B2"/>
    <w:rsid w:val="00F7000B"/>
    <w:rsid w:val="00F732D9"/>
    <w:rsid w:val="00F76668"/>
    <w:rsid w:val="00F80B6B"/>
    <w:rsid w:val="00F82059"/>
    <w:rsid w:val="00F82D2D"/>
    <w:rsid w:val="00F92E75"/>
    <w:rsid w:val="00F94F16"/>
    <w:rsid w:val="00FA64F0"/>
    <w:rsid w:val="00FA6E74"/>
    <w:rsid w:val="00FB0631"/>
    <w:rsid w:val="00FB087C"/>
    <w:rsid w:val="00FB3861"/>
    <w:rsid w:val="00FB4705"/>
    <w:rsid w:val="00FB7466"/>
    <w:rsid w:val="00FC4D3E"/>
    <w:rsid w:val="00FC62E3"/>
    <w:rsid w:val="00FC784F"/>
    <w:rsid w:val="00FD2234"/>
    <w:rsid w:val="00FF1576"/>
    <w:rsid w:val="00FF3C34"/>
    <w:rsid w:val="00FF6656"/>
    <w:rsid w:val="02DAA7BE"/>
    <w:rsid w:val="0E133FB7"/>
    <w:rsid w:val="10542A75"/>
    <w:rsid w:val="14158644"/>
    <w:rsid w:val="2299CE24"/>
    <w:rsid w:val="233D121A"/>
    <w:rsid w:val="24C05196"/>
    <w:rsid w:val="2783F7A1"/>
    <w:rsid w:val="2EAD26EA"/>
    <w:rsid w:val="37B4E219"/>
    <w:rsid w:val="3D0C3981"/>
    <w:rsid w:val="3EA5F05D"/>
    <w:rsid w:val="3F5A5AB4"/>
    <w:rsid w:val="40B6CCE1"/>
    <w:rsid w:val="4193BF16"/>
    <w:rsid w:val="440C7FE6"/>
    <w:rsid w:val="4B114BA1"/>
    <w:rsid w:val="4B9092E5"/>
    <w:rsid w:val="5113FEFC"/>
    <w:rsid w:val="5AA1B8E5"/>
    <w:rsid w:val="5F199B6D"/>
    <w:rsid w:val="5FB8F207"/>
    <w:rsid w:val="69617BCE"/>
    <w:rsid w:val="7041E5AF"/>
    <w:rsid w:val="7DB99E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EFD82"/>
  <w15:chartTrackingRefBased/>
  <w15:docId w15:val="{1394E97A-BFEE-4371-A999-2464DB80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3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2059"/>
    <w:pPr>
      <w:suppressAutoHyphens/>
      <w:spacing w:after="0" w:line="240" w:lineRule="auto"/>
    </w:pPr>
    <w:rPr>
      <w:rFonts w:cs="Times New Roman"/>
      <w:lang w:val="en-GB"/>
    </w:rPr>
  </w:style>
  <w:style w:type="paragraph" w:styleId="ListParagraph">
    <w:name w:val="List Paragraph"/>
    <w:basedOn w:val="Normal"/>
    <w:uiPriority w:val="34"/>
    <w:qFormat/>
    <w:rsid w:val="00F82059"/>
    <w:pPr>
      <w:ind w:left="720"/>
      <w:contextualSpacing/>
    </w:pPr>
  </w:style>
  <w:style w:type="character" w:styleId="Hyperlink">
    <w:name w:val="Hyperlink"/>
    <w:basedOn w:val="DefaultParagraphFont"/>
    <w:uiPriority w:val="99"/>
    <w:unhideWhenUsed/>
    <w:rsid w:val="00F82059"/>
    <w:rPr>
      <w:color w:val="0563C1" w:themeColor="hyperlink"/>
      <w:u w:val="single"/>
    </w:rPr>
  </w:style>
  <w:style w:type="paragraph" w:styleId="FootnoteText">
    <w:name w:val="footnote text"/>
    <w:aliases w:val="Char Char,Char,fn,5_G"/>
    <w:basedOn w:val="Normal"/>
    <w:link w:val="FootnoteTextChar"/>
    <w:uiPriority w:val="99"/>
    <w:unhideWhenUsed/>
    <w:rsid w:val="00F82059"/>
    <w:rPr>
      <w:sz w:val="20"/>
      <w:szCs w:val="20"/>
      <w:lang w:val="en-GB"/>
    </w:rPr>
  </w:style>
  <w:style w:type="character" w:customStyle="1" w:styleId="FootnoteTextChar">
    <w:name w:val="Footnote Text Char"/>
    <w:aliases w:val="Char Char Char,Char Char1,fn Char,5_G Char"/>
    <w:basedOn w:val="DefaultParagraphFont"/>
    <w:link w:val="FootnoteText"/>
    <w:uiPriority w:val="99"/>
    <w:rsid w:val="00F82059"/>
    <w:rPr>
      <w:sz w:val="20"/>
      <w:szCs w:val="20"/>
      <w:lang w:val="en-GB"/>
    </w:rPr>
  </w:style>
  <w:style w:type="character" w:styleId="FootnoteReference">
    <w:name w:val="footnote reference"/>
    <w:aliases w:val="4_G"/>
    <w:basedOn w:val="DefaultParagraphFont"/>
    <w:uiPriority w:val="99"/>
    <w:unhideWhenUsed/>
    <w:rsid w:val="00F82059"/>
    <w:rPr>
      <w:vertAlign w:val="superscript"/>
    </w:rPr>
  </w:style>
  <w:style w:type="paragraph" w:styleId="Footer">
    <w:name w:val="footer"/>
    <w:basedOn w:val="Normal"/>
    <w:link w:val="FooterChar"/>
    <w:uiPriority w:val="99"/>
    <w:unhideWhenUsed/>
    <w:rsid w:val="00F82059"/>
    <w:pPr>
      <w:tabs>
        <w:tab w:val="center" w:pos="4680"/>
        <w:tab w:val="right" w:pos="9360"/>
      </w:tabs>
    </w:pPr>
  </w:style>
  <w:style w:type="character" w:customStyle="1" w:styleId="FooterChar">
    <w:name w:val="Footer Char"/>
    <w:basedOn w:val="DefaultParagraphFont"/>
    <w:link w:val="Footer"/>
    <w:uiPriority w:val="99"/>
    <w:rsid w:val="00F82059"/>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F82059"/>
  </w:style>
  <w:style w:type="character" w:customStyle="1" w:styleId="normaltextrun">
    <w:name w:val="normaltextrun"/>
    <w:basedOn w:val="DefaultParagraphFont"/>
    <w:rsid w:val="003B0065"/>
  </w:style>
  <w:style w:type="character" w:customStyle="1" w:styleId="eop">
    <w:name w:val="eop"/>
    <w:basedOn w:val="DefaultParagraphFont"/>
    <w:rsid w:val="003B0065"/>
  </w:style>
  <w:style w:type="character" w:customStyle="1" w:styleId="UnresolvedMention">
    <w:name w:val="Unresolved Mention"/>
    <w:basedOn w:val="DefaultParagraphFont"/>
    <w:uiPriority w:val="99"/>
    <w:semiHidden/>
    <w:unhideWhenUsed/>
    <w:rsid w:val="006542CC"/>
    <w:rPr>
      <w:color w:val="605E5C"/>
      <w:shd w:val="clear" w:color="auto" w:fill="E1DFDD"/>
    </w:rPr>
  </w:style>
  <w:style w:type="paragraph" w:styleId="Header">
    <w:name w:val="header"/>
    <w:basedOn w:val="Normal"/>
    <w:link w:val="HeaderChar"/>
    <w:uiPriority w:val="99"/>
    <w:semiHidden/>
    <w:unhideWhenUsed/>
    <w:rsid w:val="00174DCA"/>
    <w:pPr>
      <w:tabs>
        <w:tab w:val="center" w:pos="4513"/>
        <w:tab w:val="right" w:pos="9026"/>
      </w:tabs>
    </w:pPr>
  </w:style>
  <w:style w:type="character" w:customStyle="1" w:styleId="HeaderChar">
    <w:name w:val="Header Char"/>
    <w:basedOn w:val="DefaultParagraphFont"/>
    <w:link w:val="Header"/>
    <w:uiPriority w:val="99"/>
    <w:semiHidden/>
    <w:rsid w:val="0056366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35622"/>
    <w:rPr>
      <w:color w:val="954F72" w:themeColor="followedHyperlink"/>
      <w:u w:val="single"/>
    </w:rPr>
  </w:style>
  <w:style w:type="character" w:styleId="CommentReference">
    <w:name w:val="annotation reference"/>
    <w:basedOn w:val="DefaultParagraphFont"/>
    <w:uiPriority w:val="99"/>
    <w:semiHidden/>
    <w:unhideWhenUsed/>
    <w:rsid w:val="00EA67CC"/>
    <w:rPr>
      <w:sz w:val="16"/>
      <w:szCs w:val="16"/>
    </w:rPr>
  </w:style>
  <w:style w:type="paragraph" w:styleId="CommentText">
    <w:name w:val="annotation text"/>
    <w:basedOn w:val="Normal"/>
    <w:link w:val="CommentTextChar"/>
    <w:uiPriority w:val="99"/>
    <w:semiHidden/>
    <w:unhideWhenUsed/>
    <w:rsid w:val="00EA67CC"/>
    <w:rPr>
      <w:sz w:val="20"/>
      <w:szCs w:val="20"/>
    </w:rPr>
  </w:style>
  <w:style w:type="character" w:customStyle="1" w:styleId="CommentTextChar">
    <w:name w:val="Comment Text Char"/>
    <w:basedOn w:val="DefaultParagraphFont"/>
    <w:link w:val="CommentText"/>
    <w:uiPriority w:val="99"/>
    <w:semiHidden/>
    <w:rsid w:val="00EA67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67CC"/>
    <w:rPr>
      <w:b/>
      <w:bCs/>
    </w:rPr>
  </w:style>
  <w:style w:type="character" w:customStyle="1" w:styleId="CommentSubjectChar">
    <w:name w:val="Comment Subject Char"/>
    <w:basedOn w:val="CommentTextChar"/>
    <w:link w:val="CommentSubject"/>
    <w:uiPriority w:val="99"/>
    <w:semiHidden/>
    <w:rsid w:val="00EA67CC"/>
    <w:rPr>
      <w:rFonts w:ascii="Times New Roman" w:eastAsia="Times New Roman" w:hAnsi="Times New Roman" w:cs="Times New Roman"/>
      <w:b/>
      <w:bCs/>
      <w:sz w:val="20"/>
      <w:szCs w:val="20"/>
    </w:rPr>
  </w:style>
  <w:style w:type="paragraph" w:styleId="NormalWeb">
    <w:name w:val="Normal (Web)"/>
    <w:basedOn w:val="Normal"/>
    <w:uiPriority w:val="99"/>
    <w:unhideWhenUsed/>
    <w:rsid w:val="006F458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7750">
      <w:bodyDiv w:val="1"/>
      <w:marLeft w:val="0"/>
      <w:marRight w:val="0"/>
      <w:marTop w:val="0"/>
      <w:marBottom w:val="0"/>
      <w:divBdr>
        <w:top w:val="none" w:sz="0" w:space="0" w:color="auto"/>
        <w:left w:val="none" w:sz="0" w:space="0" w:color="auto"/>
        <w:bottom w:val="none" w:sz="0" w:space="0" w:color="auto"/>
        <w:right w:val="none" w:sz="0" w:space="0" w:color="auto"/>
      </w:divBdr>
    </w:div>
    <w:div w:id="249969099">
      <w:bodyDiv w:val="1"/>
      <w:marLeft w:val="0"/>
      <w:marRight w:val="0"/>
      <w:marTop w:val="0"/>
      <w:marBottom w:val="0"/>
      <w:divBdr>
        <w:top w:val="none" w:sz="0" w:space="0" w:color="auto"/>
        <w:left w:val="none" w:sz="0" w:space="0" w:color="auto"/>
        <w:bottom w:val="none" w:sz="0" w:space="0" w:color="auto"/>
        <w:right w:val="none" w:sz="0" w:space="0" w:color="auto"/>
      </w:divBdr>
    </w:div>
    <w:div w:id="340477477">
      <w:bodyDiv w:val="1"/>
      <w:marLeft w:val="0"/>
      <w:marRight w:val="0"/>
      <w:marTop w:val="0"/>
      <w:marBottom w:val="0"/>
      <w:divBdr>
        <w:top w:val="none" w:sz="0" w:space="0" w:color="auto"/>
        <w:left w:val="none" w:sz="0" w:space="0" w:color="auto"/>
        <w:bottom w:val="none" w:sz="0" w:space="0" w:color="auto"/>
        <w:right w:val="none" w:sz="0" w:space="0" w:color="auto"/>
      </w:divBdr>
    </w:div>
    <w:div w:id="491068858">
      <w:bodyDiv w:val="1"/>
      <w:marLeft w:val="0"/>
      <w:marRight w:val="0"/>
      <w:marTop w:val="0"/>
      <w:marBottom w:val="0"/>
      <w:divBdr>
        <w:top w:val="none" w:sz="0" w:space="0" w:color="auto"/>
        <w:left w:val="none" w:sz="0" w:space="0" w:color="auto"/>
        <w:bottom w:val="none" w:sz="0" w:space="0" w:color="auto"/>
        <w:right w:val="none" w:sz="0" w:space="0" w:color="auto"/>
      </w:divBdr>
    </w:div>
    <w:div w:id="699163813">
      <w:bodyDiv w:val="1"/>
      <w:marLeft w:val="0"/>
      <w:marRight w:val="0"/>
      <w:marTop w:val="0"/>
      <w:marBottom w:val="0"/>
      <w:divBdr>
        <w:top w:val="none" w:sz="0" w:space="0" w:color="auto"/>
        <w:left w:val="none" w:sz="0" w:space="0" w:color="auto"/>
        <w:bottom w:val="none" w:sz="0" w:space="0" w:color="auto"/>
        <w:right w:val="none" w:sz="0" w:space="0" w:color="auto"/>
      </w:divBdr>
    </w:div>
    <w:div w:id="821770731">
      <w:bodyDiv w:val="1"/>
      <w:marLeft w:val="0"/>
      <w:marRight w:val="0"/>
      <w:marTop w:val="0"/>
      <w:marBottom w:val="0"/>
      <w:divBdr>
        <w:top w:val="none" w:sz="0" w:space="0" w:color="auto"/>
        <w:left w:val="none" w:sz="0" w:space="0" w:color="auto"/>
        <w:bottom w:val="none" w:sz="0" w:space="0" w:color="auto"/>
        <w:right w:val="none" w:sz="0" w:space="0" w:color="auto"/>
      </w:divBdr>
    </w:div>
    <w:div w:id="1270434906">
      <w:bodyDiv w:val="1"/>
      <w:marLeft w:val="0"/>
      <w:marRight w:val="0"/>
      <w:marTop w:val="0"/>
      <w:marBottom w:val="0"/>
      <w:divBdr>
        <w:top w:val="none" w:sz="0" w:space="0" w:color="auto"/>
        <w:left w:val="none" w:sz="0" w:space="0" w:color="auto"/>
        <w:bottom w:val="none" w:sz="0" w:space="0" w:color="auto"/>
        <w:right w:val="none" w:sz="0" w:space="0" w:color="auto"/>
      </w:divBdr>
    </w:div>
    <w:div w:id="1334726171">
      <w:bodyDiv w:val="1"/>
      <w:marLeft w:val="0"/>
      <w:marRight w:val="0"/>
      <w:marTop w:val="0"/>
      <w:marBottom w:val="0"/>
      <w:divBdr>
        <w:top w:val="none" w:sz="0" w:space="0" w:color="auto"/>
        <w:left w:val="none" w:sz="0" w:space="0" w:color="auto"/>
        <w:bottom w:val="none" w:sz="0" w:space="0" w:color="auto"/>
        <w:right w:val="none" w:sz="0" w:space="0" w:color="auto"/>
      </w:divBdr>
    </w:div>
    <w:div w:id="1887527898">
      <w:bodyDiv w:val="1"/>
      <w:marLeft w:val="0"/>
      <w:marRight w:val="0"/>
      <w:marTop w:val="0"/>
      <w:marBottom w:val="0"/>
      <w:divBdr>
        <w:top w:val="none" w:sz="0" w:space="0" w:color="auto"/>
        <w:left w:val="none" w:sz="0" w:space="0" w:color="auto"/>
        <w:bottom w:val="none" w:sz="0" w:space="0" w:color="auto"/>
        <w:right w:val="none" w:sz="0" w:space="0" w:color="auto"/>
      </w:divBdr>
    </w:div>
    <w:div w:id="190856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19/02/14/emirati-womans-ordeal-seek-protection-abuse" TargetMode="External"/><Relationship Id="rId18" Type="http://schemas.openxmlformats.org/officeDocument/2006/relationships/hyperlink" Target="https://www.hrw.org/news/2020/03/06/uae-free-dubai-rulers-captive-daughters" TargetMode="External"/><Relationship Id="rId26" Type="http://schemas.openxmlformats.org/officeDocument/2006/relationships/hyperlink" Target="https://www.thenationalnews.com/uae/this-will-change-our-lives-emirati-mothers-rejoice-as-children-granted-citizenship-1.867176" TargetMode="External"/><Relationship Id="rId39" Type="http://schemas.openxmlformats.org/officeDocument/2006/relationships/hyperlink" Target="https://www.hrw.org/news/2017/06/07/uae-domestic-workers-rights-bill-step-forward" TargetMode="External"/><Relationship Id="rId3" Type="http://schemas.openxmlformats.org/officeDocument/2006/relationships/hyperlink" Target="http://ejustice.gov.ae/downloads/latest_laws2015/FDL_2_2015_discrimination_hate_en.pdf" TargetMode="External"/><Relationship Id="rId21" Type="http://schemas.openxmlformats.org/officeDocument/2006/relationships/hyperlink" Target="https://www.hrw.org/news/2018/05/05/uae-reveal-status-dubai-rulers-daughter" TargetMode="External"/><Relationship Id="rId34" Type="http://schemas.openxmlformats.org/officeDocument/2006/relationships/hyperlink" Target="https://www.theguardian.com/global-development/2020/oct/12/they-have-to-be-punished-the-mothers-trapped-in-the-uae-by-love-crimes" TargetMode="External"/><Relationship Id="rId42" Type="http://schemas.openxmlformats.org/officeDocument/2006/relationships/hyperlink" Target="https://www.washingtonpost.com/world/middle_east/trafficking-migrant-workers-syria-uae/2021/01/24/1d79e43c-3f0d-11eb-b58b-1623f6267960_story.html" TargetMode="External"/><Relationship Id="rId47" Type="http://schemas.openxmlformats.org/officeDocument/2006/relationships/hyperlink" Target="https://www.hrw.org/news/2020/04/07/gulf-states-ease-immigration-detention-pandemic" TargetMode="External"/><Relationship Id="rId50" Type="http://schemas.openxmlformats.org/officeDocument/2006/relationships/hyperlink" Target="https://www.hrw.org/news/2019/02/26/uae-cancer-stricken-prisoner-ill-treated" TargetMode="External"/><Relationship Id="rId7" Type="http://schemas.openxmlformats.org/officeDocument/2006/relationships/hyperlink" Target="https://www.hrw.org/sites/default/files/reports/uae1014_forUpload.pdf" TargetMode="External"/><Relationship Id="rId12" Type="http://schemas.openxmlformats.org/officeDocument/2006/relationships/hyperlink" Target="http://gulfnews.com/news/gulf/uae/crime/attempted-abortion-in-uae-ends-in-tragedy-1.985404" TargetMode="External"/><Relationship Id="rId17" Type="http://schemas.openxmlformats.org/officeDocument/2006/relationships/hyperlink" Target="https://wam.ae/en/details/1395302884233" TargetMode="External"/><Relationship Id="rId25" Type="http://schemas.openxmlformats.org/officeDocument/2006/relationships/hyperlink" Target="https://u.ae/en/information-and-services/passports-and-traveling/uae-nationality" TargetMode="External"/><Relationship Id="rId33" Type="http://schemas.openxmlformats.org/officeDocument/2006/relationships/hyperlink" Target="https://www.hrw.org/news/2017/06/07/uae-domestic-workers-rights-bill-step-forward" TargetMode="External"/><Relationship Id="rId38" Type="http://schemas.openxmlformats.org/officeDocument/2006/relationships/hyperlink" Target="https://www.hrw.org/report/2017/11/14/working-robot/abuse-tanzanian-domestic-workers-oman-and-united-arab-emirates" TargetMode="External"/><Relationship Id="rId46" Type="http://schemas.openxmlformats.org/officeDocument/2006/relationships/hyperlink" Target="https://www.hrw.org/news/2020/04/17/uae-protect-migrant-workers-during-pandemic" TargetMode="External"/><Relationship Id="rId2" Type="http://schemas.openxmlformats.org/officeDocument/2006/relationships/hyperlink" Target="https://www.thenationalnews.com/uae/government/uae-sets-out-legal-overhaul-of-personal-and-family-law-1.1107152" TargetMode="External"/><Relationship Id="rId16" Type="http://schemas.openxmlformats.org/officeDocument/2006/relationships/hyperlink" Target="https://www.thenationalnews.com/uae/police-officer-who-raped-woman-claims-she-was-his-wife-and-wins-appeal-1.729154" TargetMode="External"/><Relationship Id="rId20" Type="http://schemas.openxmlformats.org/officeDocument/2006/relationships/hyperlink" Target="https://www.youtube.com/watch?v=UN7OEFyNUkQ" TargetMode="External"/><Relationship Id="rId29" Type="http://schemas.openxmlformats.org/officeDocument/2006/relationships/hyperlink" Target="https://www.amnesty.org.uk/files/mde_25.018.2014_-_there_is_no_freedom_here_-_silencing_dissent_in_the_united_arab_emirates_uae.pdf" TargetMode="External"/><Relationship Id="rId41" Type="http://schemas.openxmlformats.org/officeDocument/2006/relationships/hyperlink" Target="https://www.hrw.org/report/2017/11/14/working-robot/abuse-tanzanian-domestic-workers-oman-and-united-arab-emirates" TargetMode="External"/><Relationship Id="rId1" Type="http://schemas.openxmlformats.org/officeDocument/2006/relationships/hyperlink" Target="https://www.hrw.org/world-report/2020/country-chapters/united-arab-emirates" TargetMode="External"/><Relationship Id="rId6" Type="http://schemas.openxmlformats.org/officeDocument/2006/relationships/hyperlink" Target="https://www.doh.gov.ae/faq" TargetMode="External"/><Relationship Id="rId11" Type="http://schemas.openxmlformats.org/officeDocument/2006/relationships/hyperlink" Target="http://gulfnews.com/news/gulf/uae/crime/runaway-maid-s-abortion-attempt-lands-her-in-trouble-1.1030587" TargetMode="External"/><Relationship Id="rId24" Type="http://schemas.openxmlformats.org/officeDocument/2006/relationships/hyperlink" Target="https://repository.law.umich.edu/cgi/viewcontent.cgi?article=1202&amp;context=mjgl" TargetMode="External"/><Relationship Id="rId32" Type="http://schemas.openxmlformats.org/officeDocument/2006/relationships/hyperlink" Target="https://www.hrw.org/sites/default/files/reports/uae1014_forUpload.pdf" TargetMode="External"/><Relationship Id="rId37" Type="http://schemas.openxmlformats.org/officeDocument/2006/relationships/hyperlink" Target="https://www.smh.com.au/world/dubai-in-united-arab-emirates-an-epicentre-of-human-trafficking-and-prostitution-20160115-gm6mdl.html" TargetMode="External"/><Relationship Id="rId40" Type="http://schemas.openxmlformats.org/officeDocument/2006/relationships/hyperlink" Target="https://u.ae/en/about-the-uae/human-rights-in-the-uae/combatting-human-trafficking" TargetMode="External"/><Relationship Id="rId45" Type="http://schemas.openxmlformats.org/officeDocument/2006/relationships/hyperlink" Target="https://www.aljazeera.com/opinions/2020/4/4/domestic-workers-in-middle-east-risk-abuse-amid-covid-19-crisis" TargetMode="External"/><Relationship Id="rId53" Type="http://schemas.openxmlformats.org/officeDocument/2006/relationships/hyperlink" Target="http://protectingeducation.org/sites/default/files/documents/guidelines_en.pdf" TargetMode="External"/><Relationship Id="rId5" Type="http://schemas.openxmlformats.org/officeDocument/2006/relationships/hyperlink" Target="https://u.ae/en/information-and-services/social-affairs/having-a-baby/marriage-as-a-prerequisite-for-having-a-baby-in-the-uae" TargetMode="External"/><Relationship Id="rId15" Type="http://schemas.openxmlformats.org/officeDocument/2006/relationships/hyperlink" Target="https://u.ae/-/media/Information-and-services/Social-Affairs/Federal-Decree-No10-of-2019-Regarding-Domestic-Violence-PDFArabic-only.ashx?la=en" TargetMode="External"/><Relationship Id="rId23" Type="http://schemas.openxmlformats.org/officeDocument/2006/relationships/hyperlink" Target="https://www.hrw.org/news/2021/02/05/uaes-double-standard-citizenship-rights" TargetMode="External"/><Relationship Id="rId28" Type="http://schemas.openxmlformats.org/officeDocument/2006/relationships/hyperlink" Target="https://www.hrw.org/news/2019/12/22/uae-unrelenting-harassment-dissidents-families" TargetMode="External"/><Relationship Id="rId36" Type="http://schemas.openxmlformats.org/officeDocument/2006/relationships/hyperlink" Target="https://www.hrw.org/sites/default/files/reports/uae1014_forUpload.pdf" TargetMode="External"/><Relationship Id="rId49" Type="http://schemas.openxmlformats.org/officeDocument/2006/relationships/hyperlink" Target="https://www.hrw.org/news/2019/05/06/uae-cancer-stricken-female-prisoner-dies" TargetMode="External"/><Relationship Id="rId10" Type="http://schemas.openxmlformats.org/officeDocument/2006/relationships/hyperlink" Target="https://u.ae/en/information-and-services/health-and-fitness/woman-reproductive-and-sexual-healthcare" TargetMode="External"/><Relationship Id="rId19" Type="http://schemas.openxmlformats.org/officeDocument/2006/relationships/hyperlink" Target="https://www.judiciary.uk/judgments/re-ai-m-handed-down-by-sir-andrew-mcfarlane-president-of-the-family-division/" TargetMode="External"/><Relationship Id="rId31" Type="http://schemas.openxmlformats.org/officeDocument/2006/relationships/hyperlink" Target="https://www.hrw.org/news/2019/12/22/uae-unrelenting-harassment-dissidents-families" TargetMode="External"/><Relationship Id="rId44" Type="http://schemas.openxmlformats.org/officeDocument/2006/relationships/hyperlink" Target="https://www.hrw.org/news/2020/11/01/recruited-security-guards-uae-deceived-working-conflict-ridden-libya-instead" TargetMode="External"/><Relationship Id="rId52" Type="http://schemas.openxmlformats.org/officeDocument/2006/relationships/hyperlink" Target="https://www.regjeringen.no/globalassets/departementene/ud/vedlegg/utvikling/safe_schools_declaration.pdf" TargetMode="External"/><Relationship Id="rId4" Type="http://schemas.openxmlformats.org/officeDocument/2006/relationships/hyperlink" Target="https://www.theguardian.com/global-development/2020/oct/12/they-have-to-be-punished-the-mothers-trapped-in-the-uae-by-love-crimes" TargetMode="External"/><Relationship Id="rId9" Type="http://schemas.openxmlformats.org/officeDocument/2006/relationships/hyperlink" Target="https://www.thenationalnews.com/uae/government/uae-sets-out-legal-overhaul-of-personal-and-family-law-1.1107152" TargetMode="External"/><Relationship Id="rId14" Type="http://schemas.openxmlformats.org/officeDocument/2006/relationships/hyperlink" Target="https://elaws.moj.gov.ae/UAE-MOJ_LC-En/00_PENALTIES%20AND%20CRIMINAL%20MEASURES/UAE-LC-En_1987-12-08_00003_Kait.html?val=EL1" TargetMode="External"/><Relationship Id="rId22" Type="http://schemas.openxmlformats.org/officeDocument/2006/relationships/hyperlink" Target="https://www.washingtonpost.com/opinions/2020/03/10/not-even-dubais-princesses-are-safe-repression/" TargetMode="External"/><Relationship Id="rId27" Type="http://schemas.openxmlformats.org/officeDocument/2006/relationships/hyperlink" Target="https://www.instagram.com/p/CK1RpTcnU6Y/?utm_source=ig_web_copy_link" TargetMode="External"/><Relationship Id="rId30" Type="http://schemas.openxmlformats.org/officeDocument/2006/relationships/hyperlink" Target="https://u.ae/en/information-and-services/passports-and-traveling/uae-nationality" TargetMode="External"/><Relationship Id="rId35" Type="http://schemas.openxmlformats.org/officeDocument/2006/relationships/hyperlink" Target="https://data.worldbank.org/indicator/SM.POP.TOTL.ZS?locations=AE" TargetMode="External"/><Relationship Id="rId43" Type="http://schemas.openxmlformats.org/officeDocument/2006/relationships/hyperlink" Target="https://wafmag.org/2016/06/migrant-domestic-workers-overworked-underprotected/" TargetMode="External"/><Relationship Id="rId48" Type="http://schemas.openxmlformats.org/officeDocument/2006/relationships/hyperlink" Target="https://www.hrw.org/news/2015/03/12/uae-new-cases-disappearances" TargetMode="External"/><Relationship Id="rId8" Type="http://schemas.openxmlformats.org/officeDocument/2006/relationships/hyperlink" Target="http://icfuae.org.uk/research-and-publications/stateless-and-sale-gulf" TargetMode="External"/><Relationship Id="rId51" Type="http://schemas.openxmlformats.org/officeDocument/2006/relationships/hyperlink" Target="https://www.hrw.org/news/2020/03/13/uae-woman-prisoner-reportedly-attempts-suic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0F0035-AC1B-49E5-BB53-16308FE2FF27}">
  <ds:schemaRefs>
    <ds:schemaRef ds:uri="http://schemas.openxmlformats.org/officeDocument/2006/bibliography"/>
  </ds:schemaRefs>
</ds:datastoreItem>
</file>

<file path=customXml/itemProps2.xml><?xml version="1.0" encoding="utf-8"?>
<ds:datastoreItem xmlns:ds="http://schemas.openxmlformats.org/officeDocument/2006/customXml" ds:itemID="{15E94D80-3423-458A-8DF4-5262EEB5666C}"/>
</file>

<file path=customXml/itemProps3.xml><?xml version="1.0" encoding="utf-8"?>
<ds:datastoreItem xmlns:ds="http://schemas.openxmlformats.org/officeDocument/2006/customXml" ds:itemID="{C77C6D1E-0E91-4830-A831-5F53AC368A24}"/>
</file>

<file path=customXml/itemProps4.xml><?xml version="1.0" encoding="utf-8"?>
<ds:datastoreItem xmlns:ds="http://schemas.openxmlformats.org/officeDocument/2006/customXml" ds:itemID="{F86F2794-F61A-4A59-908B-55F3D5368994}"/>
</file>

<file path=docProps/app.xml><?xml version="1.0" encoding="utf-8"?>
<Properties xmlns="http://schemas.openxmlformats.org/officeDocument/2006/extended-properties" xmlns:vt="http://schemas.openxmlformats.org/officeDocument/2006/docPropsVTypes">
  <Template>Normal.dotm</Template>
  <TotalTime>1</TotalTime>
  <Pages>9</Pages>
  <Words>3320</Words>
  <Characters>17884</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21162</CharactersWithSpaces>
  <SharedDoc>false</SharedDoc>
  <HLinks>
    <vt:vector size="324" baseType="variant">
      <vt:variant>
        <vt:i4>786465</vt:i4>
      </vt:variant>
      <vt:variant>
        <vt:i4>159</vt:i4>
      </vt:variant>
      <vt:variant>
        <vt:i4>0</vt:i4>
      </vt:variant>
      <vt:variant>
        <vt:i4>5</vt:i4>
      </vt:variant>
      <vt:variant>
        <vt:lpwstr>http://protectingeducation.org/sites/default/files/documents/guidelines_en.pdf</vt:lpwstr>
      </vt:variant>
      <vt:variant>
        <vt:lpwstr/>
      </vt:variant>
      <vt:variant>
        <vt:i4>1179656</vt:i4>
      </vt:variant>
      <vt:variant>
        <vt:i4>156</vt:i4>
      </vt:variant>
      <vt:variant>
        <vt:i4>0</vt:i4>
      </vt:variant>
      <vt:variant>
        <vt:i4>5</vt:i4>
      </vt:variant>
      <vt:variant>
        <vt:lpwstr>https://www.regjeringen.no/globalassets/departementene/ud/vedlegg/utvikling/safe_schools_declaration.pdf</vt:lpwstr>
      </vt:variant>
      <vt:variant>
        <vt:lpwstr/>
      </vt:variant>
      <vt:variant>
        <vt:i4>8323111</vt:i4>
      </vt:variant>
      <vt:variant>
        <vt:i4>153</vt:i4>
      </vt:variant>
      <vt:variant>
        <vt:i4>0</vt:i4>
      </vt:variant>
      <vt:variant>
        <vt:i4>5</vt:i4>
      </vt:variant>
      <vt:variant>
        <vt:lpwstr>https://www.hrw.org/news/2020/03/13/uae-woman-prisoner-reportedly-attempts-suicide</vt:lpwstr>
      </vt:variant>
      <vt:variant>
        <vt:lpwstr/>
      </vt:variant>
      <vt:variant>
        <vt:i4>5439493</vt:i4>
      </vt:variant>
      <vt:variant>
        <vt:i4>150</vt:i4>
      </vt:variant>
      <vt:variant>
        <vt:i4>0</vt:i4>
      </vt:variant>
      <vt:variant>
        <vt:i4>5</vt:i4>
      </vt:variant>
      <vt:variant>
        <vt:lpwstr>https://www.hrw.org/news/2019/02/26/uae-cancer-stricken-prisoner-ill-treated</vt:lpwstr>
      </vt:variant>
      <vt:variant>
        <vt:lpwstr/>
      </vt:variant>
      <vt:variant>
        <vt:i4>655450</vt:i4>
      </vt:variant>
      <vt:variant>
        <vt:i4>147</vt:i4>
      </vt:variant>
      <vt:variant>
        <vt:i4>0</vt:i4>
      </vt:variant>
      <vt:variant>
        <vt:i4>5</vt:i4>
      </vt:variant>
      <vt:variant>
        <vt:lpwstr>https://www.hrw.org/news/2019/05/06/uae-cancer-stricken-female-prisoner-dies</vt:lpwstr>
      </vt:variant>
      <vt:variant>
        <vt:lpwstr/>
      </vt:variant>
      <vt:variant>
        <vt:i4>1769560</vt:i4>
      </vt:variant>
      <vt:variant>
        <vt:i4>144</vt:i4>
      </vt:variant>
      <vt:variant>
        <vt:i4>0</vt:i4>
      </vt:variant>
      <vt:variant>
        <vt:i4>5</vt:i4>
      </vt:variant>
      <vt:variant>
        <vt:lpwstr>https://www.hrw.org/news/2015/03/12/uae-new-cases-disappearances</vt:lpwstr>
      </vt:variant>
      <vt:variant>
        <vt:lpwstr/>
      </vt:variant>
      <vt:variant>
        <vt:i4>2752608</vt:i4>
      </vt:variant>
      <vt:variant>
        <vt:i4>141</vt:i4>
      </vt:variant>
      <vt:variant>
        <vt:i4>0</vt:i4>
      </vt:variant>
      <vt:variant>
        <vt:i4>5</vt:i4>
      </vt:variant>
      <vt:variant>
        <vt:lpwstr>https://www.hrw.org/world-report/2021/country-chapters/united-arab-emirates</vt:lpwstr>
      </vt:variant>
      <vt:variant>
        <vt:lpwstr/>
      </vt:variant>
      <vt:variant>
        <vt:i4>7864377</vt:i4>
      </vt:variant>
      <vt:variant>
        <vt:i4>138</vt:i4>
      </vt:variant>
      <vt:variant>
        <vt:i4>0</vt:i4>
      </vt:variant>
      <vt:variant>
        <vt:i4>5</vt:i4>
      </vt:variant>
      <vt:variant>
        <vt:lpwstr>https://www.hrw.org/news/2020/04/07/gulf-states-ease-immigration-detention-pandemic</vt:lpwstr>
      </vt:variant>
      <vt:variant>
        <vt:lpwstr/>
      </vt:variant>
      <vt:variant>
        <vt:i4>3407974</vt:i4>
      </vt:variant>
      <vt:variant>
        <vt:i4>135</vt:i4>
      </vt:variant>
      <vt:variant>
        <vt:i4>0</vt:i4>
      </vt:variant>
      <vt:variant>
        <vt:i4>5</vt:i4>
      </vt:variant>
      <vt:variant>
        <vt:lpwstr>https://www.hrw.org/news/2020/04/17/uae-protect-migrant-workers-during-pandemic</vt:lpwstr>
      </vt:variant>
      <vt:variant>
        <vt:lpwstr/>
      </vt:variant>
      <vt:variant>
        <vt:i4>3080246</vt:i4>
      </vt:variant>
      <vt:variant>
        <vt:i4>132</vt:i4>
      </vt:variant>
      <vt:variant>
        <vt:i4>0</vt:i4>
      </vt:variant>
      <vt:variant>
        <vt:i4>5</vt:i4>
      </vt:variant>
      <vt:variant>
        <vt:lpwstr>https://www.aljazeera.com/opinions/2020/4/4/domestic-workers-in-middle-east-risk-abuse-amid-covid-19-crisis</vt:lpwstr>
      </vt:variant>
      <vt:variant>
        <vt:lpwstr/>
      </vt:variant>
      <vt:variant>
        <vt:i4>4849672</vt:i4>
      </vt:variant>
      <vt:variant>
        <vt:i4>129</vt:i4>
      </vt:variant>
      <vt:variant>
        <vt:i4>0</vt:i4>
      </vt:variant>
      <vt:variant>
        <vt:i4>5</vt:i4>
      </vt:variant>
      <vt:variant>
        <vt:lpwstr>https://www.hrw.org/news/2020/11/01/recruited-security-guards-uae-deceived-working-conflict-ridden-libya-instead</vt:lpwstr>
      </vt:variant>
      <vt:variant>
        <vt:lpwstr/>
      </vt:variant>
      <vt:variant>
        <vt:i4>3801130</vt:i4>
      </vt:variant>
      <vt:variant>
        <vt:i4>126</vt:i4>
      </vt:variant>
      <vt:variant>
        <vt:i4>0</vt:i4>
      </vt:variant>
      <vt:variant>
        <vt:i4>5</vt:i4>
      </vt:variant>
      <vt:variant>
        <vt:lpwstr>https://wafmag.org/2016/06/migrant-domestic-workers-overworked-underprotected/</vt:lpwstr>
      </vt:variant>
      <vt:variant>
        <vt:lpwstr/>
      </vt:variant>
      <vt:variant>
        <vt:i4>7798820</vt:i4>
      </vt:variant>
      <vt:variant>
        <vt:i4>123</vt:i4>
      </vt:variant>
      <vt:variant>
        <vt:i4>0</vt:i4>
      </vt:variant>
      <vt:variant>
        <vt:i4>5</vt:i4>
      </vt:variant>
      <vt:variant>
        <vt:lpwstr>https://www.washingtonpost.com/world/middle_east/trafficking-migrant-workers-syria-uae/2021/01/24/1d79e43c-3f0d-11eb-b58b-1623f6267960_story.html</vt:lpwstr>
      </vt:variant>
      <vt:variant>
        <vt:lpwstr>click=https://t.co/Nr7uuf1BKZ</vt:lpwstr>
      </vt:variant>
      <vt:variant>
        <vt:i4>8126568</vt:i4>
      </vt:variant>
      <vt:variant>
        <vt:i4>120</vt:i4>
      </vt:variant>
      <vt:variant>
        <vt:i4>0</vt:i4>
      </vt:variant>
      <vt:variant>
        <vt:i4>5</vt:i4>
      </vt:variant>
      <vt:variant>
        <vt:lpwstr>https://www.hrw.org/report/2017/11/14/working-robot/abuse-tanzanian-domestic-workers-oman-and-united-arab-emirates</vt:lpwstr>
      </vt:variant>
      <vt:variant>
        <vt:lpwstr/>
      </vt:variant>
      <vt:variant>
        <vt:i4>2555967</vt:i4>
      </vt:variant>
      <vt:variant>
        <vt:i4>117</vt:i4>
      </vt:variant>
      <vt:variant>
        <vt:i4>0</vt:i4>
      </vt:variant>
      <vt:variant>
        <vt:i4>5</vt:i4>
      </vt:variant>
      <vt:variant>
        <vt:lpwstr>https://u.ae/en/about-the-uae/human-rights-in-the-uae/combatting-human-trafficking</vt:lpwstr>
      </vt:variant>
      <vt:variant>
        <vt:lpwstr/>
      </vt:variant>
      <vt:variant>
        <vt:i4>27</vt:i4>
      </vt:variant>
      <vt:variant>
        <vt:i4>114</vt:i4>
      </vt:variant>
      <vt:variant>
        <vt:i4>0</vt:i4>
      </vt:variant>
      <vt:variant>
        <vt:i4>5</vt:i4>
      </vt:variant>
      <vt:variant>
        <vt:lpwstr>https://www.hrw.org/news/2017/06/07/uae-domestic-workers-rights-bill-step-forward</vt:lpwstr>
      </vt:variant>
      <vt:variant>
        <vt:lpwstr/>
      </vt:variant>
      <vt:variant>
        <vt:i4>8126568</vt:i4>
      </vt:variant>
      <vt:variant>
        <vt:i4>111</vt:i4>
      </vt:variant>
      <vt:variant>
        <vt:i4>0</vt:i4>
      </vt:variant>
      <vt:variant>
        <vt:i4>5</vt:i4>
      </vt:variant>
      <vt:variant>
        <vt:lpwstr>https://www.hrw.org/report/2017/11/14/working-robot/abuse-tanzanian-domestic-workers-oman-and-united-arab-emirates</vt:lpwstr>
      </vt:variant>
      <vt:variant>
        <vt:lpwstr/>
      </vt:variant>
      <vt:variant>
        <vt:i4>7208998</vt:i4>
      </vt:variant>
      <vt:variant>
        <vt:i4>108</vt:i4>
      </vt:variant>
      <vt:variant>
        <vt:i4>0</vt:i4>
      </vt:variant>
      <vt:variant>
        <vt:i4>5</vt:i4>
      </vt:variant>
      <vt:variant>
        <vt:lpwstr>https://www.smh.com.au/world/dubai-in-united-arab-emirates-an-epicentre-of-human-trafficking-and-prostitution-20160115-gm6mdl.html</vt:lpwstr>
      </vt:variant>
      <vt:variant>
        <vt:lpwstr/>
      </vt:variant>
      <vt:variant>
        <vt:i4>3932241</vt:i4>
      </vt:variant>
      <vt:variant>
        <vt:i4>105</vt:i4>
      </vt:variant>
      <vt:variant>
        <vt:i4>0</vt:i4>
      </vt:variant>
      <vt:variant>
        <vt:i4>5</vt:i4>
      </vt:variant>
      <vt:variant>
        <vt:lpwstr>https://www.hrw.org/sites/default/files/reports/uae1014_forUpload.pdf</vt:lpwstr>
      </vt:variant>
      <vt:variant>
        <vt:lpwstr/>
      </vt:variant>
      <vt:variant>
        <vt:i4>1114130</vt:i4>
      </vt:variant>
      <vt:variant>
        <vt:i4>102</vt:i4>
      </vt:variant>
      <vt:variant>
        <vt:i4>0</vt:i4>
      </vt:variant>
      <vt:variant>
        <vt:i4>5</vt:i4>
      </vt:variant>
      <vt:variant>
        <vt:lpwstr>https://data.worldbank.org/indicator/SM.POP.TOTL.ZS?locations=AE</vt:lpwstr>
      </vt:variant>
      <vt:variant>
        <vt:lpwstr/>
      </vt:variant>
      <vt:variant>
        <vt:i4>5374028</vt:i4>
      </vt:variant>
      <vt:variant>
        <vt:i4>99</vt:i4>
      </vt:variant>
      <vt:variant>
        <vt:i4>0</vt:i4>
      </vt:variant>
      <vt:variant>
        <vt:i4>5</vt:i4>
      </vt:variant>
      <vt:variant>
        <vt:lpwstr>https://www.theguardian.com/global-development/2020/oct/12/they-have-to-be-punished-the-mothers-trapped-in-the-uae-by-love-crimes</vt:lpwstr>
      </vt:variant>
      <vt:variant>
        <vt:lpwstr/>
      </vt:variant>
      <vt:variant>
        <vt:i4>27</vt:i4>
      </vt:variant>
      <vt:variant>
        <vt:i4>96</vt:i4>
      </vt:variant>
      <vt:variant>
        <vt:i4>0</vt:i4>
      </vt:variant>
      <vt:variant>
        <vt:i4>5</vt:i4>
      </vt:variant>
      <vt:variant>
        <vt:lpwstr>https://www.hrw.org/news/2017/06/07/uae-domestic-workers-rights-bill-step-forward</vt:lpwstr>
      </vt:variant>
      <vt:variant>
        <vt:lpwstr/>
      </vt:variant>
      <vt:variant>
        <vt:i4>3932241</vt:i4>
      </vt:variant>
      <vt:variant>
        <vt:i4>93</vt:i4>
      </vt:variant>
      <vt:variant>
        <vt:i4>0</vt:i4>
      </vt:variant>
      <vt:variant>
        <vt:i4>5</vt:i4>
      </vt:variant>
      <vt:variant>
        <vt:lpwstr>https://www.hrw.org/sites/default/files/reports/uae1014_forUpload.pdf</vt:lpwstr>
      </vt:variant>
      <vt:variant>
        <vt:lpwstr/>
      </vt:variant>
      <vt:variant>
        <vt:i4>8061049</vt:i4>
      </vt:variant>
      <vt:variant>
        <vt:i4>90</vt:i4>
      </vt:variant>
      <vt:variant>
        <vt:i4>0</vt:i4>
      </vt:variant>
      <vt:variant>
        <vt:i4>5</vt:i4>
      </vt:variant>
      <vt:variant>
        <vt:lpwstr>https://www.hrw.org/news/2019/12/22/uae-unrelenting-harassment-dissidents-families</vt:lpwstr>
      </vt:variant>
      <vt:variant>
        <vt:lpwstr/>
      </vt:variant>
      <vt:variant>
        <vt:i4>1441874</vt:i4>
      </vt:variant>
      <vt:variant>
        <vt:i4>87</vt:i4>
      </vt:variant>
      <vt:variant>
        <vt:i4>0</vt:i4>
      </vt:variant>
      <vt:variant>
        <vt:i4>5</vt:i4>
      </vt:variant>
      <vt:variant>
        <vt:lpwstr>https://u.ae/en/information-and-services/passports-and-traveling/uae-nationality</vt:lpwstr>
      </vt:variant>
      <vt:variant>
        <vt:lpwstr>:~:text=unless%20proven%20otherwise.-,UAE%20nationality%20by%20citizenship,gets%20one%20child%20or%20more</vt:lpwstr>
      </vt:variant>
      <vt:variant>
        <vt:i4>720925</vt:i4>
      </vt:variant>
      <vt:variant>
        <vt:i4>84</vt:i4>
      </vt:variant>
      <vt:variant>
        <vt:i4>0</vt:i4>
      </vt:variant>
      <vt:variant>
        <vt:i4>5</vt:i4>
      </vt:variant>
      <vt:variant>
        <vt:lpwstr>https://www.amnesty.org.uk/files/mde_25.018.2014_-_there_is_no_freedom_here_-_silencing_dissent_in_the_united_arab_emirates_uae.pdf</vt:lpwstr>
      </vt:variant>
      <vt:variant>
        <vt:lpwstr/>
      </vt:variant>
      <vt:variant>
        <vt:i4>8061049</vt:i4>
      </vt:variant>
      <vt:variant>
        <vt:i4>81</vt:i4>
      </vt:variant>
      <vt:variant>
        <vt:i4>0</vt:i4>
      </vt:variant>
      <vt:variant>
        <vt:i4>5</vt:i4>
      </vt:variant>
      <vt:variant>
        <vt:lpwstr>https://www.hrw.org/news/2019/12/22/uae-unrelenting-harassment-dissidents-families</vt:lpwstr>
      </vt:variant>
      <vt:variant>
        <vt:lpwstr/>
      </vt:variant>
      <vt:variant>
        <vt:i4>7536739</vt:i4>
      </vt:variant>
      <vt:variant>
        <vt:i4>78</vt:i4>
      </vt:variant>
      <vt:variant>
        <vt:i4>0</vt:i4>
      </vt:variant>
      <vt:variant>
        <vt:i4>5</vt:i4>
      </vt:variant>
      <vt:variant>
        <vt:lpwstr>https://www.instagram.com/p/CK1RpTcnU6Y/?utm_source=ig_web_copy_link</vt:lpwstr>
      </vt:variant>
      <vt:variant>
        <vt:lpwstr/>
      </vt:variant>
      <vt:variant>
        <vt:i4>7864439</vt:i4>
      </vt:variant>
      <vt:variant>
        <vt:i4>75</vt:i4>
      </vt:variant>
      <vt:variant>
        <vt:i4>0</vt:i4>
      </vt:variant>
      <vt:variant>
        <vt:i4>5</vt:i4>
      </vt:variant>
      <vt:variant>
        <vt:lpwstr>https://www.thenationalnews.com/uae/this-will-change-our-lives-emirati-mothers-rejoice-as-children-granted-citizenship-1.867176</vt:lpwstr>
      </vt:variant>
      <vt:variant>
        <vt:lpwstr/>
      </vt:variant>
      <vt:variant>
        <vt:i4>1507413</vt:i4>
      </vt:variant>
      <vt:variant>
        <vt:i4>72</vt:i4>
      </vt:variant>
      <vt:variant>
        <vt:i4>0</vt:i4>
      </vt:variant>
      <vt:variant>
        <vt:i4>5</vt:i4>
      </vt:variant>
      <vt:variant>
        <vt:lpwstr>https://u.ae/en/information-and-services/passports-and-traveling/uae-nationality</vt:lpwstr>
      </vt:variant>
      <vt:variant>
        <vt:lpwstr/>
      </vt:variant>
      <vt:variant>
        <vt:i4>7864372</vt:i4>
      </vt:variant>
      <vt:variant>
        <vt:i4>69</vt:i4>
      </vt:variant>
      <vt:variant>
        <vt:i4>0</vt:i4>
      </vt:variant>
      <vt:variant>
        <vt:i4>5</vt:i4>
      </vt:variant>
      <vt:variant>
        <vt:lpwstr>https://repository.law.umich.edu/cgi/viewcontent.cgi?article=1202&amp;context=mjgl</vt:lpwstr>
      </vt:variant>
      <vt:variant>
        <vt:lpwstr/>
      </vt:variant>
      <vt:variant>
        <vt:i4>7995493</vt:i4>
      </vt:variant>
      <vt:variant>
        <vt:i4>66</vt:i4>
      </vt:variant>
      <vt:variant>
        <vt:i4>0</vt:i4>
      </vt:variant>
      <vt:variant>
        <vt:i4>5</vt:i4>
      </vt:variant>
      <vt:variant>
        <vt:lpwstr>https://www.hrw.org/news/2021/02/05/uaes-double-standard-citizenship-rights</vt:lpwstr>
      </vt:variant>
      <vt:variant>
        <vt:lpwstr/>
      </vt:variant>
      <vt:variant>
        <vt:i4>4128886</vt:i4>
      </vt:variant>
      <vt:variant>
        <vt:i4>63</vt:i4>
      </vt:variant>
      <vt:variant>
        <vt:i4>0</vt:i4>
      </vt:variant>
      <vt:variant>
        <vt:i4>5</vt:i4>
      </vt:variant>
      <vt:variant>
        <vt:lpwstr>https://www.washingtonpost.com/opinions/2020/03/10/not-even-dubais-princesses-are-safe-repression/</vt:lpwstr>
      </vt:variant>
      <vt:variant>
        <vt:lpwstr/>
      </vt:variant>
      <vt:variant>
        <vt:i4>7667764</vt:i4>
      </vt:variant>
      <vt:variant>
        <vt:i4>60</vt:i4>
      </vt:variant>
      <vt:variant>
        <vt:i4>0</vt:i4>
      </vt:variant>
      <vt:variant>
        <vt:i4>5</vt:i4>
      </vt:variant>
      <vt:variant>
        <vt:lpwstr>https://www.hrw.org/news/2018/05/05/uae-reveal-status-dubai-rulers-daughter</vt:lpwstr>
      </vt:variant>
      <vt:variant>
        <vt:lpwstr/>
      </vt:variant>
      <vt:variant>
        <vt:i4>3997796</vt:i4>
      </vt:variant>
      <vt:variant>
        <vt:i4>57</vt:i4>
      </vt:variant>
      <vt:variant>
        <vt:i4>0</vt:i4>
      </vt:variant>
      <vt:variant>
        <vt:i4>5</vt:i4>
      </vt:variant>
      <vt:variant>
        <vt:lpwstr>https://www.youtube.com/watch?v=UN7OEFyNUkQ</vt:lpwstr>
      </vt:variant>
      <vt:variant>
        <vt:lpwstr/>
      </vt:variant>
      <vt:variant>
        <vt:i4>4653084</vt:i4>
      </vt:variant>
      <vt:variant>
        <vt:i4>54</vt:i4>
      </vt:variant>
      <vt:variant>
        <vt:i4>0</vt:i4>
      </vt:variant>
      <vt:variant>
        <vt:i4>5</vt:i4>
      </vt:variant>
      <vt:variant>
        <vt:lpwstr>https://www.judiciary.uk/judgments/re-ai-m-handed-down-by-sir-andrew-mcfarlane-president-of-the-family-division/</vt:lpwstr>
      </vt:variant>
      <vt:variant>
        <vt:lpwstr/>
      </vt:variant>
      <vt:variant>
        <vt:i4>6750255</vt:i4>
      </vt:variant>
      <vt:variant>
        <vt:i4>51</vt:i4>
      </vt:variant>
      <vt:variant>
        <vt:i4>0</vt:i4>
      </vt:variant>
      <vt:variant>
        <vt:i4>5</vt:i4>
      </vt:variant>
      <vt:variant>
        <vt:lpwstr>https://www.hrw.org/news/2020/03/06/uae-free-dubai-rulers-captive-daughters</vt:lpwstr>
      </vt:variant>
      <vt:variant>
        <vt:lpwstr/>
      </vt:variant>
      <vt:variant>
        <vt:i4>4128883</vt:i4>
      </vt:variant>
      <vt:variant>
        <vt:i4>48</vt:i4>
      </vt:variant>
      <vt:variant>
        <vt:i4>0</vt:i4>
      </vt:variant>
      <vt:variant>
        <vt:i4>5</vt:i4>
      </vt:variant>
      <vt:variant>
        <vt:lpwstr>https://wam.ae/en/details/1395302884233</vt:lpwstr>
      </vt:variant>
      <vt:variant>
        <vt:lpwstr/>
      </vt:variant>
      <vt:variant>
        <vt:i4>3997795</vt:i4>
      </vt:variant>
      <vt:variant>
        <vt:i4>45</vt:i4>
      </vt:variant>
      <vt:variant>
        <vt:i4>0</vt:i4>
      </vt:variant>
      <vt:variant>
        <vt:i4>5</vt:i4>
      </vt:variant>
      <vt:variant>
        <vt:lpwstr>https://www.thenationalnews.com/uae/police-officer-who-raped-woman-claims-she-was-his-wife-and-wins-appeal-1.729154</vt:lpwstr>
      </vt:variant>
      <vt:variant>
        <vt:lpwstr/>
      </vt:variant>
      <vt:variant>
        <vt:i4>3539046</vt:i4>
      </vt:variant>
      <vt:variant>
        <vt:i4>42</vt:i4>
      </vt:variant>
      <vt:variant>
        <vt:i4>0</vt:i4>
      </vt:variant>
      <vt:variant>
        <vt:i4>5</vt:i4>
      </vt:variant>
      <vt:variant>
        <vt:lpwstr>https://u.ae/-/media/Information-and-services/Social-Affairs/Federal-Decree-No10-of-2019-Regarding-Domestic-Violence-PDFArabic-only.ashx?la=en</vt:lpwstr>
      </vt:variant>
      <vt:variant>
        <vt:lpwstr/>
      </vt:variant>
      <vt:variant>
        <vt:i4>3473492</vt:i4>
      </vt:variant>
      <vt:variant>
        <vt:i4>39</vt:i4>
      </vt:variant>
      <vt:variant>
        <vt:i4>0</vt:i4>
      </vt:variant>
      <vt:variant>
        <vt:i4>5</vt:i4>
      </vt:variant>
      <vt:variant>
        <vt:lpwstr>https://elaws.moj.gov.ae/UAE-MOJ_LC-En/00_PENALTIES AND CRIMINAL MEASURES/UAE-LC-En_1987-12-08_00003_Kait.html?val=EL1</vt:lpwstr>
      </vt:variant>
      <vt:variant>
        <vt:lpwstr/>
      </vt:variant>
      <vt:variant>
        <vt:i4>7340072</vt:i4>
      </vt:variant>
      <vt:variant>
        <vt:i4>36</vt:i4>
      </vt:variant>
      <vt:variant>
        <vt:i4>0</vt:i4>
      </vt:variant>
      <vt:variant>
        <vt:i4>5</vt:i4>
      </vt:variant>
      <vt:variant>
        <vt:lpwstr>https://www.hrw.org/news/2019/02/14/emirati-womans-ordeal-seek-protection-abuse</vt:lpwstr>
      </vt:variant>
      <vt:variant>
        <vt:lpwstr/>
      </vt:variant>
      <vt:variant>
        <vt:i4>4063280</vt:i4>
      </vt:variant>
      <vt:variant>
        <vt:i4>33</vt:i4>
      </vt:variant>
      <vt:variant>
        <vt:i4>0</vt:i4>
      </vt:variant>
      <vt:variant>
        <vt:i4>5</vt:i4>
      </vt:variant>
      <vt:variant>
        <vt:lpwstr>http://gulfnews.com/news/gulf/uae/crime/attempted-abortion-in-uae-ends-in-tragedy-1.985404</vt:lpwstr>
      </vt:variant>
      <vt:variant>
        <vt:lpwstr/>
      </vt:variant>
      <vt:variant>
        <vt:i4>6422570</vt:i4>
      </vt:variant>
      <vt:variant>
        <vt:i4>30</vt:i4>
      </vt:variant>
      <vt:variant>
        <vt:i4>0</vt:i4>
      </vt:variant>
      <vt:variant>
        <vt:i4>5</vt:i4>
      </vt:variant>
      <vt:variant>
        <vt:lpwstr>http://gulfnews.com/news/gulf/uae/crime/runaway-maid-s-abortion-attempt-lands-her-in-trouble-1.1030587</vt:lpwstr>
      </vt:variant>
      <vt:variant>
        <vt:lpwstr/>
      </vt:variant>
      <vt:variant>
        <vt:i4>5898329</vt:i4>
      </vt:variant>
      <vt:variant>
        <vt:i4>27</vt:i4>
      </vt:variant>
      <vt:variant>
        <vt:i4>0</vt:i4>
      </vt:variant>
      <vt:variant>
        <vt:i4>5</vt:i4>
      </vt:variant>
      <vt:variant>
        <vt:lpwstr>https://u.ae/en/information-and-services/health-and-fitness/woman-reproductive-and-sexual-healthcare</vt:lpwstr>
      </vt:variant>
      <vt:variant>
        <vt:lpwstr/>
      </vt:variant>
      <vt:variant>
        <vt:i4>7471215</vt:i4>
      </vt:variant>
      <vt:variant>
        <vt:i4>24</vt:i4>
      </vt:variant>
      <vt:variant>
        <vt:i4>0</vt:i4>
      </vt:variant>
      <vt:variant>
        <vt:i4>5</vt:i4>
      </vt:variant>
      <vt:variant>
        <vt:lpwstr>https://www.thenationalnews.com/uae/government/uae-sets-out-legal-overhaul-of-personal-and-family-law-1.1107152</vt:lpwstr>
      </vt:variant>
      <vt:variant>
        <vt:lpwstr/>
      </vt:variant>
      <vt:variant>
        <vt:i4>6684795</vt:i4>
      </vt:variant>
      <vt:variant>
        <vt:i4>21</vt:i4>
      </vt:variant>
      <vt:variant>
        <vt:i4>0</vt:i4>
      </vt:variant>
      <vt:variant>
        <vt:i4>5</vt:i4>
      </vt:variant>
      <vt:variant>
        <vt:lpwstr>http://icfuae.org.uk/research-and-publications/stateless-and-sale-gulf</vt:lpwstr>
      </vt:variant>
      <vt:variant>
        <vt:lpwstr/>
      </vt:variant>
      <vt:variant>
        <vt:i4>3932241</vt:i4>
      </vt:variant>
      <vt:variant>
        <vt:i4>18</vt:i4>
      </vt:variant>
      <vt:variant>
        <vt:i4>0</vt:i4>
      </vt:variant>
      <vt:variant>
        <vt:i4>5</vt:i4>
      </vt:variant>
      <vt:variant>
        <vt:lpwstr>https://www.hrw.org/sites/default/files/reports/uae1014_forUpload.pdf</vt:lpwstr>
      </vt:variant>
      <vt:variant>
        <vt:lpwstr/>
      </vt:variant>
      <vt:variant>
        <vt:i4>3801202</vt:i4>
      </vt:variant>
      <vt:variant>
        <vt:i4>15</vt:i4>
      </vt:variant>
      <vt:variant>
        <vt:i4>0</vt:i4>
      </vt:variant>
      <vt:variant>
        <vt:i4>5</vt:i4>
      </vt:variant>
      <vt:variant>
        <vt:lpwstr>https://www.doh.gov.ae/faq</vt:lpwstr>
      </vt:variant>
      <vt:variant>
        <vt:lpwstr/>
      </vt:variant>
      <vt:variant>
        <vt:i4>5439580</vt:i4>
      </vt:variant>
      <vt:variant>
        <vt:i4>12</vt:i4>
      </vt:variant>
      <vt:variant>
        <vt:i4>0</vt:i4>
      </vt:variant>
      <vt:variant>
        <vt:i4>5</vt:i4>
      </vt:variant>
      <vt:variant>
        <vt:lpwstr>https://u.ae/en/information-and-services/social-affairs/having-a-baby/marriage-as-a-prerequisite-for-having-a-baby-in-the-uae</vt:lpwstr>
      </vt:variant>
      <vt:variant>
        <vt:lpwstr/>
      </vt:variant>
      <vt:variant>
        <vt:i4>5374028</vt:i4>
      </vt:variant>
      <vt:variant>
        <vt:i4>9</vt:i4>
      </vt:variant>
      <vt:variant>
        <vt:i4>0</vt:i4>
      </vt:variant>
      <vt:variant>
        <vt:i4>5</vt:i4>
      </vt:variant>
      <vt:variant>
        <vt:lpwstr>https://www.theguardian.com/global-development/2020/oct/12/they-have-to-be-punished-the-mothers-trapped-in-the-uae-by-love-crimes</vt:lpwstr>
      </vt:variant>
      <vt:variant>
        <vt:lpwstr/>
      </vt:variant>
      <vt:variant>
        <vt:i4>5963849</vt:i4>
      </vt:variant>
      <vt:variant>
        <vt:i4>6</vt:i4>
      </vt:variant>
      <vt:variant>
        <vt:i4>0</vt:i4>
      </vt:variant>
      <vt:variant>
        <vt:i4>5</vt:i4>
      </vt:variant>
      <vt:variant>
        <vt:lpwstr>http://ejustice.gov.ae/downloads/latest_laws2015/FDL_2_2015_discrimination_hate_en.pdf</vt:lpwstr>
      </vt:variant>
      <vt:variant>
        <vt:lpwstr/>
      </vt:variant>
      <vt:variant>
        <vt:i4>7471215</vt:i4>
      </vt:variant>
      <vt:variant>
        <vt:i4>3</vt:i4>
      </vt:variant>
      <vt:variant>
        <vt:i4>0</vt:i4>
      </vt:variant>
      <vt:variant>
        <vt:i4>5</vt:i4>
      </vt:variant>
      <vt:variant>
        <vt:lpwstr>https://www.thenationalnews.com/uae/government/uae-sets-out-legal-overhaul-of-personal-and-family-law-1.1107152</vt:lpwstr>
      </vt:variant>
      <vt:variant>
        <vt:lpwstr/>
      </vt:variant>
      <vt:variant>
        <vt:i4>2752609</vt:i4>
      </vt:variant>
      <vt:variant>
        <vt:i4>0</vt:i4>
      </vt:variant>
      <vt:variant>
        <vt:i4>0</vt:i4>
      </vt:variant>
      <vt:variant>
        <vt:i4>5</vt:i4>
      </vt:variant>
      <vt:variant>
        <vt:lpwstr>https://www.hrw.org/world-report/2020/country-chapters/united-arab-emirates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OUKO Robert</cp:lastModifiedBy>
  <cp:revision>2</cp:revision>
  <cp:lastPrinted>2021-02-12T21:21:00Z</cp:lastPrinted>
  <dcterms:created xsi:type="dcterms:W3CDTF">2021-02-17T14:40:00Z</dcterms:created>
  <dcterms:modified xsi:type="dcterms:W3CDTF">2021-02-17T14:40:00Z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