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B53ECC" w14:textId="77777777" w:rsidR="004541C5" w:rsidRDefault="002B3C1C">
      <w:pPr>
        <w:tabs>
          <w:tab w:val="left" w:pos="7840"/>
        </w:tabs>
        <w:ind w:left="1280"/>
        <w:rPr>
          <w:color w:val="000000"/>
          <w:sz w:val="24"/>
          <w:szCs w:val="24"/>
        </w:rPr>
      </w:pPr>
      <w:bookmarkStart w:id="0" w:name="gjdgxs" w:colFirst="0" w:colLast="0"/>
      <w:bookmarkStart w:id="1" w:name="_GoBack"/>
      <w:bookmarkEnd w:id="0"/>
      <w:bookmarkEnd w:id="1"/>
      <w:r>
        <w:rPr>
          <w:noProof/>
          <w:lang w:val="en-GB"/>
        </w:rPr>
        <w:drawing>
          <wp:anchor distT="0" distB="0" distL="0" distR="0" simplePos="0" relativeHeight="251658240" behindDoc="0" locked="0" layoutInCell="1" hidden="0" allowOverlap="1" wp14:anchorId="1879D694" wp14:editId="1529A0D1">
            <wp:simplePos x="0" y="0"/>
            <wp:positionH relativeFrom="column">
              <wp:posOffset>-13331</wp:posOffset>
            </wp:positionH>
            <wp:positionV relativeFrom="paragraph">
              <wp:posOffset>909320</wp:posOffset>
            </wp:positionV>
            <wp:extent cx="6130925" cy="18415"/>
            <wp:effectExtent l="0" t="0" r="0" b="0"/>
            <wp:wrapSquare wrapText="bothSides" distT="0" distB="0" distL="0" distR="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6130925" cy="18415"/>
                    </a:xfrm>
                    <a:prstGeom prst="rect">
                      <a:avLst/>
                    </a:prstGeom>
                    <a:ln/>
                  </pic:spPr>
                </pic:pic>
              </a:graphicData>
            </a:graphic>
          </wp:anchor>
        </w:drawing>
      </w:r>
    </w:p>
    <w:p w14:paraId="0836CE96" w14:textId="77777777" w:rsidR="004541C5" w:rsidRDefault="002B3C1C">
      <w:pPr>
        <w:jc w:val="right"/>
        <w:rPr>
          <w:sz w:val="24"/>
          <w:szCs w:val="24"/>
        </w:rPr>
      </w:pPr>
      <w:r>
        <w:rPr>
          <w:sz w:val="24"/>
          <w:szCs w:val="24"/>
        </w:rPr>
        <w:t>71</w:t>
      </w:r>
      <w:r>
        <w:rPr>
          <w:sz w:val="24"/>
          <w:szCs w:val="24"/>
          <w:vertAlign w:val="superscript"/>
        </w:rPr>
        <w:t>st</w:t>
      </w:r>
      <w:r>
        <w:rPr>
          <w:sz w:val="24"/>
          <w:szCs w:val="24"/>
        </w:rPr>
        <w:t xml:space="preserve"> Session of the</w:t>
      </w:r>
    </w:p>
    <w:p w14:paraId="39A005FE" w14:textId="77777777" w:rsidR="004541C5" w:rsidRDefault="002B3C1C">
      <w:pPr>
        <w:jc w:val="right"/>
        <w:rPr>
          <w:sz w:val="24"/>
          <w:szCs w:val="24"/>
        </w:rPr>
      </w:pPr>
      <w:r>
        <w:rPr>
          <w:sz w:val="24"/>
          <w:szCs w:val="24"/>
        </w:rPr>
        <w:t>Committee on Economic, Social, and Cultural Rights</w:t>
      </w:r>
    </w:p>
    <w:p w14:paraId="4B12AF46" w14:textId="77777777" w:rsidR="004541C5" w:rsidRDefault="002B3C1C">
      <w:pPr>
        <w:jc w:val="right"/>
        <w:rPr>
          <w:sz w:val="24"/>
          <w:szCs w:val="24"/>
        </w:rPr>
      </w:pPr>
      <w:r>
        <w:rPr>
          <w:sz w:val="24"/>
          <w:szCs w:val="24"/>
        </w:rPr>
        <w:t>Review of the Third Periodic Report by Uzbekistan</w:t>
      </w:r>
    </w:p>
    <w:p w14:paraId="26DAEDA4" w14:textId="77777777" w:rsidR="004541C5" w:rsidRDefault="004541C5">
      <w:pPr>
        <w:rPr>
          <w:sz w:val="24"/>
          <w:szCs w:val="24"/>
        </w:rPr>
      </w:pPr>
    </w:p>
    <w:p w14:paraId="37DB84EB" w14:textId="77777777" w:rsidR="004541C5" w:rsidRDefault="004541C5">
      <w:pPr>
        <w:rPr>
          <w:sz w:val="24"/>
          <w:szCs w:val="24"/>
        </w:rPr>
      </w:pPr>
    </w:p>
    <w:p w14:paraId="7B870B20" w14:textId="77777777" w:rsidR="004541C5" w:rsidRDefault="004541C5">
      <w:pPr>
        <w:rPr>
          <w:sz w:val="24"/>
          <w:szCs w:val="24"/>
        </w:rPr>
      </w:pPr>
    </w:p>
    <w:p w14:paraId="06C2D013" w14:textId="77777777" w:rsidR="004541C5" w:rsidRDefault="004541C5">
      <w:pPr>
        <w:rPr>
          <w:sz w:val="24"/>
          <w:szCs w:val="24"/>
        </w:rPr>
      </w:pPr>
    </w:p>
    <w:p w14:paraId="7AB52FB5" w14:textId="77777777" w:rsidR="004541C5" w:rsidRDefault="004541C5">
      <w:pPr>
        <w:rPr>
          <w:sz w:val="24"/>
          <w:szCs w:val="24"/>
        </w:rPr>
      </w:pPr>
    </w:p>
    <w:p w14:paraId="13F4258C" w14:textId="77777777" w:rsidR="004541C5" w:rsidRDefault="004541C5">
      <w:pPr>
        <w:rPr>
          <w:sz w:val="24"/>
          <w:szCs w:val="24"/>
        </w:rPr>
      </w:pPr>
    </w:p>
    <w:p w14:paraId="185129D4" w14:textId="77777777" w:rsidR="004541C5" w:rsidRDefault="004541C5">
      <w:pPr>
        <w:rPr>
          <w:sz w:val="24"/>
          <w:szCs w:val="24"/>
        </w:rPr>
      </w:pPr>
    </w:p>
    <w:p w14:paraId="7CBE65CE" w14:textId="77777777" w:rsidR="004541C5" w:rsidRDefault="004541C5">
      <w:pPr>
        <w:rPr>
          <w:sz w:val="24"/>
          <w:szCs w:val="24"/>
        </w:rPr>
      </w:pPr>
    </w:p>
    <w:p w14:paraId="2F548E17" w14:textId="77777777" w:rsidR="004541C5" w:rsidRDefault="004541C5">
      <w:pPr>
        <w:rPr>
          <w:sz w:val="24"/>
          <w:szCs w:val="24"/>
        </w:rPr>
      </w:pPr>
    </w:p>
    <w:p w14:paraId="59DBE4BE" w14:textId="77777777" w:rsidR="004541C5" w:rsidRDefault="004541C5">
      <w:pPr>
        <w:rPr>
          <w:sz w:val="24"/>
          <w:szCs w:val="24"/>
        </w:rPr>
      </w:pPr>
    </w:p>
    <w:p w14:paraId="63E32570" w14:textId="77777777" w:rsidR="004541C5" w:rsidRDefault="004541C5">
      <w:pPr>
        <w:rPr>
          <w:sz w:val="24"/>
          <w:szCs w:val="24"/>
        </w:rPr>
      </w:pPr>
    </w:p>
    <w:p w14:paraId="1C20206B" w14:textId="77777777" w:rsidR="004541C5" w:rsidRDefault="002B3C1C">
      <w:pPr>
        <w:ind w:right="15"/>
        <w:jc w:val="center"/>
        <w:rPr>
          <w:b/>
          <w:sz w:val="34"/>
          <w:szCs w:val="34"/>
        </w:rPr>
      </w:pPr>
      <w:r>
        <w:rPr>
          <w:b/>
          <w:sz w:val="34"/>
          <w:szCs w:val="34"/>
        </w:rPr>
        <w:t>Alternative Report</w:t>
      </w:r>
    </w:p>
    <w:p w14:paraId="17885D79" w14:textId="77777777" w:rsidR="004541C5" w:rsidRDefault="002B3C1C">
      <w:pPr>
        <w:ind w:right="15"/>
        <w:jc w:val="center"/>
        <w:rPr>
          <w:b/>
          <w:sz w:val="34"/>
          <w:szCs w:val="34"/>
        </w:rPr>
      </w:pPr>
      <w:r>
        <w:rPr>
          <w:b/>
          <w:sz w:val="34"/>
          <w:szCs w:val="34"/>
        </w:rPr>
        <w:t>Regarding E/C.12/UZB/RQ/3</w:t>
      </w:r>
    </w:p>
    <w:p w14:paraId="6576B210" w14:textId="77777777" w:rsidR="004541C5" w:rsidRDefault="002B3C1C">
      <w:pPr>
        <w:ind w:right="15"/>
        <w:jc w:val="center"/>
        <w:rPr>
          <w:b/>
          <w:sz w:val="34"/>
          <w:szCs w:val="34"/>
        </w:rPr>
      </w:pPr>
      <w:r>
        <w:rPr>
          <w:b/>
          <w:sz w:val="34"/>
          <w:szCs w:val="34"/>
        </w:rPr>
        <w:t>by Uzbekistan</w:t>
      </w:r>
    </w:p>
    <w:p w14:paraId="1599F81E" w14:textId="77777777" w:rsidR="004541C5" w:rsidRDefault="002B3C1C">
      <w:pPr>
        <w:ind w:right="15"/>
        <w:jc w:val="center"/>
        <w:rPr>
          <w:b/>
          <w:sz w:val="34"/>
          <w:szCs w:val="34"/>
        </w:rPr>
      </w:pPr>
      <w:r>
        <w:rPr>
          <w:b/>
          <w:sz w:val="34"/>
          <w:szCs w:val="34"/>
        </w:rPr>
        <w:t>and</w:t>
      </w:r>
    </w:p>
    <w:p w14:paraId="4ED04461" w14:textId="77777777" w:rsidR="004541C5" w:rsidRDefault="002B3C1C">
      <w:pPr>
        <w:ind w:right="15"/>
        <w:jc w:val="center"/>
        <w:rPr>
          <w:color w:val="000000"/>
          <w:sz w:val="20"/>
          <w:szCs w:val="20"/>
        </w:rPr>
      </w:pPr>
      <w:r>
        <w:rPr>
          <w:b/>
          <w:sz w:val="34"/>
          <w:szCs w:val="34"/>
        </w:rPr>
        <w:t>List of Issues E/C.12/UZB/Q/3</w:t>
      </w:r>
    </w:p>
    <w:p w14:paraId="26DC20E5" w14:textId="77777777" w:rsidR="004541C5" w:rsidRDefault="004541C5">
      <w:pPr>
        <w:spacing w:line="246" w:lineRule="auto"/>
        <w:rPr>
          <w:color w:val="000000"/>
          <w:sz w:val="24"/>
          <w:szCs w:val="24"/>
        </w:rPr>
      </w:pPr>
    </w:p>
    <w:p w14:paraId="65E6BAFE" w14:textId="77777777" w:rsidR="004541C5" w:rsidRDefault="004541C5">
      <w:pPr>
        <w:ind w:left="6140"/>
        <w:rPr>
          <w:color w:val="000000"/>
          <w:sz w:val="20"/>
          <w:szCs w:val="20"/>
        </w:rPr>
      </w:pPr>
    </w:p>
    <w:p w14:paraId="5FA09F41" w14:textId="77777777" w:rsidR="004541C5" w:rsidRDefault="004541C5">
      <w:pPr>
        <w:rPr>
          <w:color w:val="000000"/>
          <w:sz w:val="24"/>
          <w:szCs w:val="24"/>
        </w:rPr>
      </w:pPr>
    </w:p>
    <w:p w14:paraId="300A598E" w14:textId="77777777" w:rsidR="004541C5" w:rsidRDefault="004541C5">
      <w:pPr>
        <w:rPr>
          <w:color w:val="000000"/>
          <w:sz w:val="24"/>
          <w:szCs w:val="24"/>
        </w:rPr>
      </w:pPr>
    </w:p>
    <w:p w14:paraId="181A675E" w14:textId="77777777" w:rsidR="004541C5" w:rsidRDefault="004541C5">
      <w:pPr>
        <w:rPr>
          <w:color w:val="000000"/>
          <w:sz w:val="24"/>
          <w:szCs w:val="24"/>
        </w:rPr>
      </w:pPr>
    </w:p>
    <w:p w14:paraId="47FC3F44" w14:textId="77777777" w:rsidR="004541C5" w:rsidRDefault="004541C5">
      <w:pPr>
        <w:rPr>
          <w:color w:val="000000"/>
          <w:sz w:val="24"/>
          <w:szCs w:val="24"/>
        </w:rPr>
      </w:pPr>
    </w:p>
    <w:p w14:paraId="3313DD6F" w14:textId="77777777" w:rsidR="004541C5" w:rsidRDefault="004541C5">
      <w:pPr>
        <w:rPr>
          <w:color w:val="000000"/>
          <w:sz w:val="24"/>
          <w:szCs w:val="24"/>
        </w:rPr>
      </w:pPr>
    </w:p>
    <w:p w14:paraId="1C22BAFA" w14:textId="77777777" w:rsidR="004541C5" w:rsidRDefault="004541C5">
      <w:pPr>
        <w:rPr>
          <w:color w:val="000000"/>
          <w:sz w:val="24"/>
          <w:szCs w:val="24"/>
        </w:rPr>
      </w:pPr>
    </w:p>
    <w:p w14:paraId="7B6BBF84" w14:textId="77777777" w:rsidR="004541C5" w:rsidRDefault="004541C5">
      <w:pPr>
        <w:rPr>
          <w:color w:val="000000"/>
          <w:sz w:val="24"/>
          <w:szCs w:val="24"/>
        </w:rPr>
      </w:pPr>
    </w:p>
    <w:p w14:paraId="6F9F1BB8" w14:textId="77777777" w:rsidR="004541C5" w:rsidRDefault="004541C5">
      <w:pPr>
        <w:rPr>
          <w:color w:val="000000"/>
          <w:sz w:val="24"/>
          <w:szCs w:val="24"/>
        </w:rPr>
      </w:pPr>
    </w:p>
    <w:p w14:paraId="45F749EB" w14:textId="77777777" w:rsidR="004541C5" w:rsidRDefault="004541C5">
      <w:pPr>
        <w:rPr>
          <w:color w:val="000000"/>
          <w:sz w:val="24"/>
          <w:szCs w:val="24"/>
        </w:rPr>
      </w:pPr>
    </w:p>
    <w:p w14:paraId="3ADBA1C0" w14:textId="77777777" w:rsidR="004541C5" w:rsidRDefault="004541C5">
      <w:pPr>
        <w:rPr>
          <w:color w:val="000000"/>
          <w:sz w:val="24"/>
          <w:szCs w:val="24"/>
        </w:rPr>
      </w:pPr>
    </w:p>
    <w:p w14:paraId="16D91360" w14:textId="77777777" w:rsidR="004541C5" w:rsidRDefault="004541C5">
      <w:pPr>
        <w:rPr>
          <w:color w:val="000000"/>
          <w:sz w:val="24"/>
          <w:szCs w:val="24"/>
        </w:rPr>
      </w:pPr>
    </w:p>
    <w:p w14:paraId="20C90E70" w14:textId="77777777" w:rsidR="004541C5" w:rsidRDefault="004541C5">
      <w:pPr>
        <w:rPr>
          <w:color w:val="000000"/>
          <w:sz w:val="24"/>
          <w:szCs w:val="24"/>
        </w:rPr>
      </w:pPr>
    </w:p>
    <w:p w14:paraId="5C3B99E1" w14:textId="77777777" w:rsidR="004541C5" w:rsidRDefault="004541C5">
      <w:pPr>
        <w:rPr>
          <w:color w:val="000000"/>
          <w:sz w:val="24"/>
          <w:szCs w:val="24"/>
        </w:rPr>
      </w:pPr>
    </w:p>
    <w:p w14:paraId="758B399B" w14:textId="77777777" w:rsidR="004541C5" w:rsidRDefault="004541C5">
      <w:pPr>
        <w:rPr>
          <w:color w:val="000000"/>
          <w:sz w:val="24"/>
          <w:szCs w:val="24"/>
        </w:rPr>
      </w:pPr>
    </w:p>
    <w:p w14:paraId="792DEC96" w14:textId="77777777" w:rsidR="004541C5" w:rsidRDefault="004541C5">
      <w:pPr>
        <w:rPr>
          <w:color w:val="000000"/>
          <w:sz w:val="24"/>
          <w:szCs w:val="24"/>
        </w:rPr>
      </w:pPr>
    </w:p>
    <w:p w14:paraId="71DA2B4D" w14:textId="77777777" w:rsidR="004541C5" w:rsidRDefault="004541C5">
      <w:pPr>
        <w:rPr>
          <w:color w:val="000000"/>
          <w:sz w:val="24"/>
          <w:szCs w:val="24"/>
        </w:rPr>
      </w:pPr>
    </w:p>
    <w:p w14:paraId="59BC3011" w14:textId="77777777" w:rsidR="004541C5" w:rsidRDefault="004541C5">
      <w:pPr>
        <w:rPr>
          <w:color w:val="000000"/>
          <w:sz w:val="24"/>
          <w:szCs w:val="24"/>
        </w:rPr>
      </w:pPr>
    </w:p>
    <w:p w14:paraId="238CE933" w14:textId="77777777" w:rsidR="004541C5" w:rsidRDefault="004541C5">
      <w:pPr>
        <w:rPr>
          <w:color w:val="000000"/>
          <w:sz w:val="24"/>
          <w:szCs w:val="24"/>
        </w:rPr>
      </w:pPr>
    </w:p>
    <w:p w14:paraId="6FDB0804" w14:textId="77777777" w:rsidR="004541C5" w:rsidRDefault="004541C5">
      <w:pPr>
        <w:rPr>
          <w:color w:val="000000"/>
          <w:sz w:val="24"/>
          <w:szCs w:val="24"/>
        </w:rPr>
      </w:pPr>
    </w:p>
    <w:p w14:paraId="40CF6E06" w14:textId="77777777" w:rsidR="004541C5" w:rsidRDefault="004541C5">
      <w:pPr>
        <w:rPr>
          <w:color w:val="000000"/>
          <w:sz w:val="24"/>
          <w:szCs w:val="24"/>
        </w:rPr>
      </w:pPr>
    </w:p>
    <w:p w14:paraId="70BCBDA9" w14:textId="77777777" w:rsidR="004541C5" w:rsidRDefault="004541C5">
      <w:pPr>
        <w:rPr>
          <w:color w:val="000000"/>
          <w:sz w:val="24"/>
          <w:szCs w:val="24"/>
        </w:rPr>
      </w:pPr>
    </w:p>
    <w:p w14:paraId="13C4E24D" w14:textId="77777777" w:rsidR="004541C5" w:rsidRDefault="004541C5">
      <w:pPr>
        <w:rPr>
          <w:color w:val="000000"/>
          <w:sz w:val="24"/>
          <w:szCs w:val="24"/>
        </w:rPr>
      </w:pPr>
    </w:p>
    <w:p w14:paraId="032A58A7" w14:textId="77777777" w:rsidR="004541C5" w:rsidRDefault="004541C5">
      <w:pPr>
        <w:widowControl w:val="0"/>
        <w:pBdr>
          <w:top w:val="nil"/>
          <w:left w:val="nil"/>
          <w:bottom w:val="nil"/>
          <w:right w:val="nil"/>
          <w:between w:val="nil"/>
        </w:pBdr>
        <w:spacing w:line="276" w:lineRule="auto"/>
      </w:pPr>
    </w:p>
    <w:p w14:paraId="0A97A662" w14:textId="77777777" w:rsidR="004541C5" w:rsidRDefault="004541C5">
      <w:pPr>
        <w:widowControl w:val="0"/>
        <w:pBdr>
          <w:top w:val="nil"/>
          <w:left w:val="nil"/>
          <w:bottom w:val="nil"/>
          <w:right w:val="nil"/>
          <w:between w:val="nil"/>
        </w:pBdr>
        <w:spacing w:line="276" w:lineRule="auto"/>
      </w:pPr>
    </w:p>
    <w:p w14:paraId="76D6BB6B" w14:textId="77777777" w:rsidR="004541C5" w:rsidRDefault="004541C5">
      <w:pPr>
        <w:widowControl w:val="0"/>
        <w:pBdr>
          <w:top w:val="nil"/>
          <w:left w:val="nil"/>
          <w:bottom w:val="nil"/>
          <w:right w:val="nil"/>
          <w:between w:val="nil"/>
        </w:pBdr>
        <w:spacing w:line="276" w:lineRule="auto"/>
        <w:sectPr w:rsidR="004541C5">
          <w:headerReference w:type="default" r:id="rId8"/>
          <w:headerReference w:type="first" r:id="rId9"/>
          <w:pgSz w:w="11900" w:h="16841"/>
          <w:pgMar w:top="650" w:right="1126" w:bottom="567" w:left="1140" w:header="0" w:footer="0" w:gutter="0"/>
          <w:pgNumType w:start="1"/>
          <w:cols w:space="720"/>
          <w:titlePg/>
        </w:sectPr>
      </w:pPr>
    </w:p>
    <w:p w14:paraId="26E0E316" w14:textId="77777777" w:rsidR="004541C5" w:rsidRDefault="004541C5">
      <w:pPr>
        <w:sectPr w:rsidR="004541C5">
          <w:type w:val="continuous"/>
          <w:pgSz w:w="11900" w:h="16841"/>
          <w:pgMar w:top="650" w:right="1126" w:bottom="567" w:left="1140" w:header="0" w:footer="0" w:gutter="0"/>
          <w:cols w:space="720"/>
        </w:sectPr>
      </w:pPr>
    </w:p>
    <w:p w14:paraId="1C748ADA" w14:textId="77777777" w:rsidR="004541C5" w:rsidRDefault="004541C5">
      <w:pPr>
        <w:rPr>
          <w:b/>
          <w:sz w:val="28"/>
          <w:szCs w:val="28"/>
        </w:rPr>
      </w:pPr>
    </w:p>
    <w:p w14:paraId="3DFF8817" w14:textId="77777777" w:rsidR="004541C5" w:rsidRDefault="004541C5">
      <w:pPr>
        <w:rPr>
          <w:b/>
          <w:sz w:val="28"/>
          <w:szCs w:val="28"/>
        </w:rPr>
      </w:pPr>
    </w:p>
    <w:p w14:paraId="0F14AB5B" w14:textId="77777777" w:rsidR="004541C5" w:rsidRDefault="004541C5">
      <w:pPr>
        <w:rPr>
          <w:b/>
          <w:sz w:val="28"/>
          <w:szCs w:val="28"/>
        </w:rPr>
      </w:pPr>
    </w:p>
    <w:p w14:paraId="26FE8319" w14:textId="77777777" w:rsidR="004541C5" w:rsidRDefault="002B3C1C">
      <w:pPr>
        <w:rPr>
          <w:color w:val="000000"/>
          <w:sz w:val="20"/>
          <w:szCs w:val="20"/>
        </w:rPr>
      </w:pPr>
      <w:r>
        <w:rPr>
          <w:b/>
          <w:color w:val="000000"/>
          <w:sz w:val="28"/>
          <w:szCs w:val="28"/>
        </w:rPr>
        <w:t>Introduction</w:t>
      </w:r>
    </w:p>
    <w:p w14:paraId="0CF82309" w14:textId="77777777" w:rsidR="004541C5" w:rsidRDefault="004541C5">
      <w:pPr>
        <w:tabs>
          <w:tab w:val="left" w:pos="1689"/>
        </w:tabs>
        <w:spacing w:line="246" w:lineRule="auto"/>
        <w:ind w:right="826"/>
        <w:jc w:val="both"/>
        <w:rPr>
          <w:sz w:val="20"/>
          <w:szCs w:val="20"/>
        </w:rPr>
      </w:pPr>
    </w:p>
    <w:p w14:paraId="2664D8A7" w14:textId="77777777" w:rsidR="004541C5" w:rsidRDefault="002B3C1C" w:rsidP="005E0FE8">
      <w:pPr>
        <w:numPr>
          <w:ilvl w:val="1"/>
          <w:numId w:val="3"/>
        </w:numPr>
        <w:tabs>
          <w:tab w:val="left" w:pos="567"/>
        </w:tabs>
        <w:spacing w:line="246" w:lineRule="auto"/>
        <w:ind w:right="15"/>
        <w:jc w:val="both"/>
        <w:rPr>
          <w:color w:val="000000"/>
          <w:sz w:val="20"/>
          <w:szCs w:val="20"/>
        </w:rPr>
      </w:pPr>
      <w:r>
        <w:rPr>
          <w:sz w:val="20"/>
          <w:szCs w:val="20"/>
        </w:rPr>
        <w:t>The current Alternative Report — a commentary on Replies to LOI E/C.12/UZB/RQ/3 and List of Issues (LOI) E/C.12/UZB/Q/3 — is submitted as per the invitation of the Committee on Economic, Social, and Cultural Rights (hereinafter, Committee) that welcomes alternative reports from various NGOs regarding the observation of the International Covenant on Economic, Social, and Cultural Rights (later referred to as Covenant) by a State Party, in this case, by Uzbekistan.</w:t>
      </w:r>
    </w:p>
    <w:p w14:paraId="05D843FB" w14:textId="77777777" w:rsidR="004541C5" w:rsidRDefault="004541C5" w:rsidP="005E0FE8">
      <w:pPr>
        <w:tabs>
          <w:tab w:val="left" w:pos="567"/>
        </w:tabs>
        <w:spacing w:line="246" w:lineRule="auto"/>
        <w:ind w:right="15"/>
        <w:jc w:val="both"/>
        <w:rPr>
          <w:sz w:val="20"/>
          <w:szCs w:val="20"/>
          <w:highlight w:val="red"/>
        </w:rPr>
      </w:pPr>
    </w:p>
    <w:p w14:paraId="54B4A855"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 xml:space="preserve">In para 7 LOI E/C.12/UZB/Q/3 (hereinafter, LOI), the Committee inquired whether Uzbekistan was planning on adopting comprehensive anti-discrimination legislation, while taking into account General Comment No. 20 (2009), which, among others, would expressly ban all forms of discrimination against most marginalized and disadvantaged groups, including LGBT persons. The same paragraph also queried whether Uzbekistan was planning on decriminalising homosexuality. In its Replies to LOI E/C.12/UZB/RQ/3 (para 65), Uzbekistan answered that “the decriminalisation of homosexuality has not been considered owing to the pressing need to combat the spread of HIV.” </w:t>
      </w:r>
    </w:p>
    <w:p w14:paraId="31AAAEE7" w14:textId="77777777" w:rsidR="004541C5" w:rsidRDefault="004541C5" w:rsidP="005E0FE8">
      <w:pPr>
        <w:tabs>
          <w:tab w:val="left" w:pos="567"/>
        </w:tabs>
        <w:spacing w:line="246" w:lineRule="auto"/>
        <w:ind w:right="15"/>
        <w:jc w:val="both"/>
        <w:rPr>
          <w:sz w:val="20"/>
          <w:szCs w:val="20"/>
        </w:rPr>
      </w:pPr>
    </w:p>
    <w:p w14:paraId="7C04AE94"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 xml:space="preserve">Estonian Network of People Living with HIV (EHPV) takes this opportunity to submit an alternative report in response to E/C.12/UZB/RQ/3 and alongside E/C.12/UZB/Q/3 because the reality that the LGBT people face in Uzbekistan when it comes to enjoying their fundamental human rights and freedoms does not coincide with any decent standard of living. EHPV is a non-governmental organisation based in Tallinn, Estonia, that provides diverse support programmes and services for LGBT people, including HIV-prevention and treatment services. A project “Protection through mobility: Emergengy response to hostility” implemented by EHPV focuses on creating protection mechanisms and ensuring access to healthcare services for men who have sex with men (MSM) and trans people, including those HIV-positive, who experience SOGI-based state-sponsored prosecution in the Caucasus region of Russia, as well as in Tajikistan, Turkmenistan and Uzbekistan. With this in mind, the commentary and reports provided below concerning the right to non-discrimination of the LGBT in Uzbekistan are forwarded to the Committee because there is an urgent need to tackle the stigma and violence that befall the LGBT in this country due to the ongoing reign of discriminatory patriarchy and growing enmity towards these disadvantaged groups actively fuled by the government. </w:t>
      </w:r>
    </w:p>
    <w:p w14:paraId="5AAA5BB9" w14:textId="77777777" w:rsidR="004541C5" w:rsidRDefault="004541C5" w:rsidP="005E0FE8">
      <w:pPr>
        <w:tabs>
          <w:tab w:val="left" w:pos="567"/>
        </w:tabs>
        <w:spacing w:line="246" w:lineRule="auto"/>
        <w:ind w:right="15"/>
        <w:jc w:val="both"/>
        <w:rPr>
          <w:sz w:val="20"/>
          <w:szCs w:val="20"/>
        </w:rPr>
      </w:pPr>
    </w:p>
    <w:p w14:paraId="548DC111"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Having scrutinised the Replies to LOI E/C.12/UZB/RQ/3 , EHPV considers that, within the scope of the right to non-discrimination (Article 2 of the Covenant), right to work (Article 6 of the Covenenat), and right to health (Article 12 of the Covenant), Uzbekistan’s policies and actions, along with existing legislation, are all geared to uphold a violent attitude against all non-heterosexual, non-cisgender people, which grossly and blatantly violates all fundamental human rights and freedoms — in themselves and by extension — enshrined in the Covenant. Based on its ongoing work with various actors in Uzbekistan, EHPV files the current Alternative Report as part of its activity to present the Committee with additional information and help invest in ensuring the highest attainable standard of health for the LGBT people in Uzbekistan.</w:t>
      </w:r>
    </w:p>
    <w:p w14:paraId="5D34827D" w14:textId="77777777" w:rsidR="004541C5" w:rsidRDefault="004541C5" w:rsidP="005E0FE8">
      <w:pPr>
        <w:tabs>
          <w:tab w:val="left" w:pos="567"/>
        </w:tabs>
        <w:spacing w:line="246" w:lineRule="auto"/>
        <w:ind w:right="15"/>
        <w:jc w:val="both"/>
        <w:rPr>
          <w:sz w:val="20"/>
          <w:szCs w:val="20"/>
          <w:shd w:val="clear" w:color="auto" w:fill="D9EAD3"/>
        </w:rPr>
      </w:pPr>
    </w:p>
    <w:p w14:paraId="427EE308" w14:textId="77777777" w:rsidR="004541C5" w:rsidRDefault="002B3C1C" w:rsidP="005E0FE8">
      <w:pPr>
        <w:tabs>
          <w:tab w:val="left" w:pos="567"/>
        </w:tabs>
        <w:ind w:right="15"/>
        <w:rPr>
          <w:b/>
          <w:sz w:val="20"/>
          <w:szCs w:val="20"/>
        </w:rPr>
      </w:pPr>
      <w:r>
        <w:rPr>
          <w:b/>
          <w:sz w:val="28"/>
          <w:szCs w:val="28"/>
        </w:rPr>
        <w:t>Article 2 — Right to Non-Discrimination</w:t>
      </w:r>
    </w:p>
    <w:p w14:paraId="18D879C8" w14:textId="77777777" w:rsidR="004541C5" w:rsidRDefault="004541C5" w:rsidP="005E0FE8">
      <w:pPr>
        <w:tabs>
          <w:tab w:val="left" w:pos="567"/>
        </w:tabs>
        <w:spacing w:line="246" w:lineRule="auto"/>
        <w:ind w:right="15"/>
        <w:jc w:val="both"/>
        <w:rPr>
          <w:sz w:val="20"/>
          <w:szCs w:val="20"/>
          <w:shd w:val="clear" w:color="auto" w:fill="D9EAD3"/>
        </w:rPr>
      </w:pPr>
    </w:p>
    <w:p w14:paraId="43C4B942"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 xml:space="preserve">It is not possible to move towards a democratic, modern, secular, and legal state for Uzbekistan until the State Party decriminalises voluntary same-sex relations between men. </w:t>
      </w:r>
      <w:r>
        <w:rPr>
          <w:color w:val="100F0F"/>
          <w:sz w:val="20"/>
          <w:szCs w:val="20"/>
        </w:rPr>
        <w:t>“</w:t>
      </w:r>
      <w:r>
        <w:rPr>
          <w:color w:val="100F0F"/>
          <w:sz w:val="20"/>
          <w:szCs w:val="20"/>
          <w:highlight w:val="white"/>
        </w:rPr>
        <w:t>[Research] finds a strong positive correlation between equality for LGBT people and the level of democracy in countries. Those with the highest Democracy Score, as calculated by the Economist Intelligence Unit (EIU), tend also to have the highest scores in an Equality Index compiled by the collaborative knowledge database Equaldex. This is based on LGBT rights laid out in the written laws of each country.”</w:t>
      </w:r>
      <w:r>
        <w:rPr>
          <w:color w:val="100F0F"/>
          <w:sz w:val="20"/>
          <w:szCs w:val="20"/>
          <w:highlight w:val="white"/>
          <w:vertAlign w:val="superscript"/>
        </w:rPr>
        <w:footnoteReference w:id="1"/>
      </w:r>
      <w:r>
        <w:rPr>
          <w:rFonts w:ascii="Roboto" w:eastAsia="Roboto" w:hAnsi="Roboto" w:cs="Roboto"/>
          <w:color w:val="54595F"/>
          <w:sz w:val="24"/>
          <w:szCs w:val="24"/>
          <w:highlight w:val="white"/>
        </w:rPr>
        <w:t>.</w:t>
      </w:r>
      <w:r>
        <w:rPr>
          <w:sz w:val="20"/>
          <w:szCs w:val="20"/>
        </w:rPr>
        <w:t>The continued existence of Article 120 of the Uzbekistan Criminal Code that considers consensual same-sex sexual activities between adult men to be a crime is the core foundation for profound systemic discrimination, stigmatization, and violence that befalls the LGBT in all areas of their lives. Based on the statements of practice, partner NGOs data and other information channels, LGBT persons have been fleeing Uzbekistan, also to the EU, to seek asylum there.</w:t>
      </w:r>
    </w:p>
    <w:p w14:paraId="6D03FD61" w14:textId="77777777" w:rsidR="004541C5" w:rsidRDefault="002B3C1C" w:rsidP="005E0FE8">
      <w:pPr>
        <w:tabs>
          <w:tab w:val="left" w:pos="567"/>
        </w:tabs>
        <w:spacing w:line="246" w:lineRule="auto"/>
        <w:ind w:right="15"/>
        <w:jc w:val="both"/>
        <w:rPr>
          <w:sz w:val="20"/>
          <w:szCs w:val="20"/>
        </w:rPr>
      </w:pPr>
      <w:r>
        <w:rPr>
          <w:sz w:val="20"/>
          <w:szCs w:val="20"/>
        </w:rPr>
        <w:tab/>
      </w:r>
    </w:p>
    <w:p w14:paraId="4D1C5B5D"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Craftily constructed religious sentiment that seemingly “protects” “traditional,” “family,” “cultural” “values” is weaponized against “the other,” including the LGBT. Neither the Uzbekistan Constitution, nor the Covenant or any other International Human Rights Treaty of Uzbekistan seems to be able to act as a barrier for the stigma, discrimination, and hate purported by the political elite. The LGBT are demonized as something that threatens national security and the identity of the Uzbekistan people. By extension, Article 120 that criminalises homosexuality is then used to blackmail or silence the divergent, even if the latter is heterosexual. For example, in November 2019, a controversy happened when an audio recording emerged where a man — reportedly Jahongir Ortiqkhojaev, mayor of Tashkent — could be heard making threats to journalists, saying he could “easily” make them disappear or turn them into social outcasts by telling everyone they were gay if they did not cooperate with the authorities; several journalists quit their jobs in an act of protest.</w:t>
      </w:r>
      <w:r>
        <w:rPr>
          <w:sz w:val="20"/>
          <w:szCs w:val="20"/>
          <w:vertAlign w:val="superscript"/>
        </w:rPr>
        <w:footnoteReference w:id="2"/>
      </w:r>
      <w:r>
        <w:rPr>
          <w:sz w:val="20"/>
          <w:szCs w:val="20"/>
        </w:rPr>
        <w:t xml:space="preserve"> Based on Article 2 and 5 of the Covenant, Uzbekistan is not only obliged to ensure the right to non-discrimination of all people on its territory, it is also forbidden from interpreting anything within the Covenant deviantly to limit the scope of fundamental human rights and freedoms. As the previous case reveals, Uzbekistan feels it is not obliged to follow its obligations under those Covenant articles. </w:t>
      </w:r>
    </w:p>
    <w:p w14:paraId="53E9D2A1" w14:textId="77777777" w:rsidR="004541C5" w:rsidRDefault="004541C5" w:rsidP="005E0FE8">
      <w:pPr>
        <w:tabs>
          <w:tab w:val="left" w:pos="567"/>
        </w:tabs>
        <w:spacing w:line="246" w:lineRule="auto"/>
        <w:ind w:right="15"/>
        <w:jc w:val="both"/>
        <w:rPr>
          <w:sz w:val="20"/>
          <w:szCs w:val="20"/>
        </w:rPr>
      </w:pPr>
    </w:p>
    <w:p w14:paraId="4C424E24" w14:textId="4B66987F" w:rsidR="004541C5" w:rsidRDefault="002B3C1C" w:rsidP="005E0FE8">
      <w:pPr>
        <w:numPr>
          <w:ilvl w:val="1"/>
          <w:numId w:val="3"/>
        </w:numPr>
        <w:tabs>
          <w:tab w:val="left" w:pos="567"/>
        </w:tabs>
        <w:spacing w:line="246" w:lineRule="auto"/>
        <w:ind w:right="15"/>
        <w:jc w:val="both"/>
        <w:rPr>
          <w:sz w:val="20"/>
          <w:szCs w:val="20"/>
        </w:rPr>
      </w:pPr>
      <w:r>
        <w:rPr>
          <w:sz w:val="20"/>
          <w:szCs w:val="20"/>
        </w:rPr>
        <w:t>, — EHPV would like to bring the Committee’s attention to Uzbekistan’s position in regard to the topic of “traditional values” — a concept frequently used by states to deny equality to LGBT. Notably, Uzbekistan has made it clear during the review of its Fifth Periodic Report to the Human Rights Committee (HRCtee) that “decriminalising article 120 of the Criminal Code runs counter to traditions of the country’s multi-ethnic population, its family values and national customs, which have been formed over the course of thousands of years, and would be strongly opposed by the public at large.”</w:t>
      </w:r>
      <w:r>
        <w:rPr>
          <w:sz w:val="20"/>
          <w:szCs w:val="20"/>
          <w:vertAlign w:val="superscript"/>
        </w:rPr>
        <w:footnoteReference w:id="3"/>
      </w:r>
      <w:r>
        <w:rPr>
          <w:sz w:val="20"/>
          <w:szCs w:val="20"/>
        </w:rPr>
        <w:t xml:space="preserve"> As visible from the Preamble to the Covenant, fundamental human rights and freedoms outlined in the Covenant, as well as the Charter of the UN and the Universal Declaration, are moral entitlements that every individual in the world possesses simply in virtue of the fact that he or she is a human being. Additionally, the HRC Advisory Committee’s Study A/HRC/22/71 states: “Human rights have moral universality, since human rights are held universally by all persons ‘simply because one is a human being’, and international normative universality, meaning that human rights are universally accepted by Governments through their commitments and obligations under international human rights law.”</w:t>
      </w:r>
      <w:r>
        <w:rPr>
          <w:sz w:val="20"/>
          <w:szCs w:val="20"/>
          <w:vertAlign w:val="superscript"/>
        </w:rPr>
        <w:footnoteReference w:id="4"/>
      </w:r>
      <w:r>
        <w:rPr>
          <w:sz w:val="20"/>
          <w:szCs w:val="20"/>
        </w:rPr>
        <w:t xml:space="preserve"> Therefore, any appeal to “traditional values” or “national values,” or “morals” to limit the rights of the LGBT violates the obligations Uzbekistan took upon itself under the Covenant.</w:t>
      </w:r>
    </w:p>
    <w:p w14:paraId="26BCAB3F" w14:textId="77777777" w:rsidR="004541C5" w:rsidRDefault="004541C5" w:rsidP="005E0FE8">
      <w:pPr>
        <w:tabs>
          <w:tab w:val="left" w:pos="567"/>
        </w:tabs>
        <w:spacing w:line="246" w:lineRule="auto"/>
        <w:ind w:right="15"/>
        <w:jc w:val="both"/>
        <w:rPr>
          <w:sz w:val="20"/>
          <w:szCs w:val="20"/>
        </w:rPr>
      </w:pPr>
    </w:p>
    <w:p w14:paraId="2F026681" w14:textId="13DA6609" w:rsidR="004541C5" w:rsidRDefault="002B3C1C" w:rsidP="005E0FE8">
      <w:pPr>
        <w:numPr>
          <w:ilvl w:val="1"/>
          <w:numId w:val="3"/>
        </w:numPr>
        <w:tabs>
          <w:tab w:val="left" w:pos="567"/>
        </w:tabs>
        <w:spacing w:line="246" w:lineRule="auto"/>
        <w:ind w:right="15"/>
        <w:jc w:val="both"/>
        <w:rPr>
          <w:sz w:val="20"/>
          <w:szCs w:val="20"/>
        </w:rPr>
      </w:pPr>
      <w:r>
        <w:rPr>
          <w:sz w:val="20"/>
          <w:szCs w:val="20"/>
        </w:rPr>
        <w:t>EHPV questions Uzbekistan’s statement in E/C.12/UZB/RQ/3 (para 1-2), which indicates an adoption of a National Human Rights Strategy in 2020, which, among others, “sets out the successes achieved and the existing shortcomings in the area of human rights, as well as the next steps to be taken to improve government policy, including by realizing economic, social and cultural rights.” Sadly, this Human Rights Strategy did not include any changes to the countries legislation that could protect and advance equality of LGBT people. In 2019, Uzbekistan Deputy Justice Minister Mahmud Istamov, after human rights reviews regarding the State, told the reporters that decriminalisation of same-sex intercourse “is not on our agenda. We have not accepted this recommendation. This is not a topical subject for us.”</w:t>
      </w:r>
      <w:r>
        <w:rPr>
          <w:sz w:val="20"/>
          <w:szCs w:val="20"/>
          <w:vertAlign w:val="superscript"/>
        </w:rPr>
        <w:footnoteReference w:id="5"/>
      </w:r>
      <w:r>
        <w:rPr>
          <w:sz w:val="20"/>
          <w:szCs w:val="20"/>
        </w:rPr>
        <w:t xml:space="preserve"> More alarmingly though, earlier in 2021, ILGA-Europe and many other human rights NGOs signed and forwarded a petition to the President of Uzbekistan, which called to decriminalise Article 120 as the Draft of the new Criminal Code was still in progress and being considered by the legislative body of Uzbekistan.</w:t>
      </w:r>
      <w:r>
        <w:rPr>
          <w:sz w:val="20"/>
          <w:szCs w:val="20"/>
          <w:vertAlign w:val="superscript"/>
        </w:rPr>
        <w:footnoteReference w:id="6"/>
      </w:r>
      <w:r>
        <w:rPr>
          <w:sz w:val="20"/>
          <w:szCs w:val="20"/>
        </w:rPr>
        <w:t xml:space="preserve"> Uzbekistan ignored those pleas. Moreover, a young parliamentarian, Rasul Kusherbayev made a post on the Telegram app saying </w:t>
      </w:r>
      <w:r>
        <w:rPr>
          <w:color w:val="100F0F"/>
          <w:sz w:val="20"/>
          <w:szCs w:val="20"/>
          <w:highlight w:val="white"/>
        </w:rPr>
        <w:t>that the day same-sex relations are legalized would mark the death of the nation. Kusherbayev also added, “If they say that this is against human rights, I spit on those rights. A nation’s friend won’t put forward such an illogical, unnatural proposal that will ultimately lead to the extinction of generations.”</w:t>
      </w:r>
      <w:r>
        <w:rPr>
          <w:color w:val="100F0F"/>
          <w:sz w:val="20"/>
          <w:szCs w:val="20"/>
          <w:highlight w:val="white"/>
          <w:vertAlign w:val="superscript"/>
        </w:rPr>
        <w:footnoteReference w:id="7"/>
      </w:r>
      <w:r>
        <w:rPr>
          <w:sz w:val="20"/>
          <w:szCs w:val="20"/>
        </w:rPr>
        <w:t xml:space="preserve"> Due to recurring hate speech and unwillingness of the parliament members to engage in a dialogue on the topic of de-criminalising homosexuality with the civil society, we turn to the international community for assistance with claiming human rights for non-heterosexual and/or non-cis-gender persons in Uzbekistan.</w:t>
      </w:r>
    </w:p>
    <w:p w14:paraId="0A233BCF" w14:textId="77777777" w:rsidR="004541C5" w:rsidRDefault="004541C5" w:rsidP="005E0FE8">
      <w:pPr>
        <w:tabs>
          <w:tab w:val="left" w:pos="567"/>
        </w:tabs>
        <w:spacing w:line="246" w:lineRule="auto"/>
        <w:ind w:right="15"/>
        <w:jc w:val="both"/>
        <w:rPr>
          <w:sz w:val="20"/>
          <w:szCs w:val="20"/>
        </w:rPr>
      </w:pPr>
    </w:p>
    <w:p w14:paraId="04BA189E"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In addition, the newly adopted Draft of the new Uzbekistan Criminal Code not only keeps the criminalisatio</w:t>
      </w:r>
      <w:r>
        <w:rPr>
          <w:color w:val="333333"/>
          <w:sz w:val="20"/>
          <w:szCs w:val="20"/>
        </w:rPr>
        <w:t>n of homosexuality, but also creates more loopholes to further increase discrimination against LGBT people. Specifically, Article 120 becomes Article 154 and</w:t>
      </w:r>
      <w:r>
        <w:rPr>
          <w:color w:val="333333"/>
          <w:sz w:val="20"/>
          <w:szCs w:val="20"/>
          <w:highlight w:val="white"/>
        </w:rPr>
        <w:t xml:space="preserve"> is included in the newly created Chapter V of the Code, entitled: “Crimes against family, children and morality. This has been done by the Uzbekistan parliament to create a loophole akin to Russia’s law against the “propaganda of homosexuality.” Now, anything that will remotely diverge from “traditional values” in media, on the Internet, or in public (i.e. appearance, statements, posts, freedom of expression and self-determination) can be deemed by the government as infringing “morality” and be punished, on top of the article already being used for arbitrary detention, home arrest, or imprisonment of the divergent. </w:t>
      </w:r>
    </w:p>
    <w:p w14:paraId="724F2383" w14:textId="77777777" w:rsidR="004541C5" w:rsidRDefault="004541C5" w:rsidP="005E0FE8">
      <w:pPr>
        <w:tabs>
          <w:tab w:val="left" w:pos="567"/>
        </w:tabs>
        <w:spacing w:line="246" w:lineRule="auto"/>
        <w:ind w:right="15"/>
        <w:jc w:val="both"/>
        <w:rPr>
          <w:color w:val="333333"/>
          <w:sz w:val="20"/>
          <w:szCs w:val="20"/>
          <w:highlight w:val="white"/>
        </w:rPr>
      </w:pPr>
    </w:p>
    <w:p w14:paraId="611248AE" w14:textId="1E761395" w:rsidR="004541C5" w:rsidRDefault="002B3C1C" w:rsidP="005E0FE8">
      <w:pPr>
        <w:numPr>
          <w:ilvl w:val="1"/>
          <w:numId w:val="3"/>
        </w:numPr>
        <w:tabs>
          <w:tab w:val="left" w:pos="567"/>
        </w:tabs>
        <w:spacing w:line="246" w:lineRule="auto"/>
        <w:ind w:right="15"/>
        <w:jc w:val="both"/>
        <w:rPr>
          <w:color w:val="333333"/>
          <w:sz w:val="20"/>
          <w:szCs w:val="20"/>
          <w:highlight w:val="white"/>
        </w:rPr>
      </w:pPr>
      <w:r>
        <w:rPr>
          <w:color w:val="333333"/>
          <w:sz w:val="20"/>
          <w:szCs w:val="20"/>
          <w:highlight w:val="white"/>
        </w:rPr>
        <w:t>The described above points at the fact that Uzbekistan encourages discrimination of those who do not comply with the governmental dogma, including the LGBT. After the above-mentioned petition by ILGA-Europe, violent clashes broke out in Tashkent</w:t>
      </w:r>
      <w:r>
        <w:rPr>
          <w:color w:val="121212"/>
          <w:sz w:val="20"/>
          <w:szCs w:val="20"/>
          <w:highlight w:val="white"/>
        </w:rPr>
        <w:t>, Uzbekistan’s capital,</w:t>
      </w:r>
      <w:r>
        <w:rPr>
          <w:color w:val="333333"/>
          <w:sz w:val="20"/>
          <w:szCs w:val="20"/>
          <w:highlight w:val="white"/>
        </w:rPr>
        <w:t xml:space="preserve"> based on anti-LGBT sentiment. </w:t>
      </w:r>
      <w:r>
        <w:rPr>
          <w:color w:val="121212"/>
          <w:sz w:val="20"/>
          <w:szCs w:val="20"/>
          <w:highlight w:val="white"/>
        </w:rPr>
        <w:t>Anti-LGBT violence erupted in Tashkent on March 27-28, 2021, after heated social media debate around calls to reform the penal code on homosexuality. Two teenagers were badly injured in the clashes. Miraziz Bazarov, a popular blogger and critic of Uzbekistan conservative values who actively supported LGBT rights, was also beaten by a group of masked men and hospitalised. Three days later, his house was searched by the security services and documents and a computer confiscated. Members of the LGBT community in Uzbekistan, speaking to the Guardian on condition of anonymity,</w:t>
      </w:r>
      <w:r>
        <w:rPr>
          <w:b/>
          <w:color w:val="121212"/>
          <w:sz w:val="20"/>
          <w:szCs w:val="20"/>
          <w:highlight w:val="white"/>
        </w:rPr>
        <w:t xml:space="preserve"> </w:t>
      </w:r>
      <w:r>
        <w:rPr>
          <w:color w:val="121212"/>
          <w:sz w:val="20"/>
          <w:szCs w:val="20"/>
          <w:highlight w:val="white"/>
        </w:rPr>
        <w:t>say that the protests and the publication of the photos, names and addresses of LGBT people on social media, along with calls for violence, have left them fearing for their lives.</w:t>
      </w:r>
      <w:r>
        <w:rPr>
          <w:color w:val="121212"/>
          <w:sz w:val="20"/>
          <w:szCs w:val="20"/>
          <w:highlight w:val="white"/>
          <w:vertAlign w:val="superscript"/>
        </w:rPr>
        <w:footnoteReference w:id="8"/>
      </w:r>
      <w:r>
        <w:rPr>
          <w:color w:val="121212"/>
          <w:sz w:val="20"/>
          <w:szCs w:val="20"/>
          <w:highlight w:val="white"/>
        </w:rPr>
        <w:t xml:space="preserve"> The government of Uzbekistan does not only fail to protect human rights of LGBT people, it also encourages others to trample them and then prosecutes the victims of hate crimes as criminals. State-sponsored disinformation on LGBT and HIV issues, for example, is used as a means of continued discrimination of the LGBT. Wrongly, the state equalizes homosexuality and HIV, so by extension people living with HIV (PHLIV) are discriminated against, too, while the hate for gay men is extended to everyone else non-heterosexual and non-cisgender.</w:t>
      </w:r>
    </w:p>
    <w:p w14:paraId="157B313A" w14:textId="77777777" w:rsidR="004541C5" w:rsidRDefault="004541C5" w:rsidP="005E0FE8">
      <w:pPr>
        <w:tabs>
          <w:tab w:val="left" w:pos="567"/>
        </w:tabs>
        <w:spacing w:line="246" w:lineRule="auto"/>
        <w:ind w:right="15"/>
        <w:jc w:val="both"/>
        <w:rPr>
          <w:sz w:val="20"/>
          <w:szCs w:val="20"/>
        </w:rPr>
      </w:pPr>
    </w:p>
    <w:p w14:paraId="321C34C5" w14:textId="58C240D5" w:rsidR="004541C5" w:rsidRDefault="002B3C1C" w:rsidP="005E0FE8">
      <w:pPr>
        <w:numPr>
          <w:ilvl w:val="1"/>
          <w:numId w:val="3"/>
        </w:numPr>
        <w:tabs>
          <w:tab w:val="left" w:pos="567"/>
        </w:tabs>
        <w:spacing w:line="246" w:lineRule="auto"/>
        <w:ind w:right="15"/>
        <w:jc w:val="both"/>
        <w:rPr>
          <w:sz w:val="20"/>
          <w:szCs w:val="20"/>
        </w:rPr>
      </w:pPr>
      <w:r>
        <w:rPr>
          <w:sz w:val="20"/>
          <w:szCs w:val="20"/>
        </w:rPr>
        <w:t>In August 2020, during the TV programme “Relationships” (“Муносабат / Отношения”)  on the national channel “Uzbekistan”, it was stated that wearing short socks and temple-hair cut shortly were signs of homosexuality. Specifically, the Head of the Republican Centre of Spirituality and Enlightenment, Mansur Musayev, stated: “Wearing short socks is a distinctive feature of homosexuality in European countries, for homosexualists to ‘identify’ each other.” He also argued that in Europe, and in the West overall, styled temple-hair on men are actually gay symbolics that is used for gay men to identify each other as well. Musayev went on with other public statements with no scietific grounds, this time, sharing his opinion on ripped attire, inferring that in Ancient Rome, there was a tribe “latyni” who were outcast by the society for being gay, cursed by their relatives, and who wore ripped clothing. Musayev also claimed India had a similar custom. Yodgor Sadiyev, a national artist, supported this and urged the youth to avoid following the dressing habits of homosexuals and avoid their “culture.” The programme’s host described this “situation” with youth attire trends as “inhuman, amoral faults, which completely go against national mentality, customs, and religious values.” The host also said: “If, today, we will not be ardently fighting them [gay men, their attire trends, and “culture”], if we are delicate, then it will be impossible to stop them tomorrow. The Coronavirus can be cured, but the ‘spiritual’ virus is not as easy to cure.” The national television in Uzbekistan purports that gay people are identifiable by non-compliant attire, divergent hairstyles, all of which are symbols to “radar” one another, and that being gay is a “spiritual” ailment that is hard to cure, unlike Coronavirus.</w:t>
      </w:r>
      <w:r>
        <w:rPr>
          <w:sz w:val="20"/>
          <w:szCs w:val="20"/>
          <w:vertAlign w:val="superscript"/>
        </w:rPr>
        <w:footnoteReference w:id="9"/>
      </w:r>
      <w:r>
        <w:rPr>
          <w:sz w:val="20"/>
          <w:szCs w:val="20"/>
        </w:rPr>
        <w:t xml:space="preserve"> Nobody was reprimanded for such outrageously discriminatory and misleading statements. On the contrary, the national channel seems to reflect the Uzbekistan government’s sentiment. </w:t>
      </w:r>
    </w:p>
    <w:p w14:paraId="7F2133F7" w14:textId="77777777" w:rsidR="004541C5" w:rsidRDefault="004541C5" w:rsidP="005E0FE8">
      <w:pPr>
        <w:tabs>
          <w:tab w:val="left" w:pos="567"/>
        </w:tabs>
        <w:spacing w:line="246" w:lineRule="auto"/>
        <w:ind w:right="15"/>
        <w:jc w:val="both"/>
        <w:rPr>
          <w:sz w:val="20"/>
          <w:szCs w:val="20"/>
        </w:rPr>
      </w:pPr>
    </w:p>
    <w:p w14:paraId="37D39918" w14:textId="77777777" w:rsidR="004541C5" w:rsidRDefault="004541C5" w:rsidP="005E0FE8">
      <w:pPr>
        <w:tabs>
          <w:tab w:val="left" w:pos="567"/>
        </w:tabs>
        <w:spacing w:line="246" w:lineRule="auto"/>
        <w:ind w:right="15"/>
        <w:jc w:val="both"/>
        <w:rPr>
          <w:sz w:val="20"/>
          <w:szCs w:val="20"/>
        </w:rPr>
      </w:pPr>
    </w:p>
    <w:p w14:paraId="4BA50C0E" w14:textId="77777777" w:rsidR="004541C5" w:rsidRDefault="002B3C1C" w:rsidP="005E0FE8">
      <w:pPr>
        <w:tabs>
          <w:tab w:val="left" w:pos="567"/>
        </w:tabs>
        <w:ind w:right="15"/>
        <w:rPr>
          <w:sz w:val="20"/>
          <w:szCs w:val="20"/>
        </w:rPr>
      </w:pPr>
      <w:r>
        <w:rPr>
          <w:b/>
          <w:sz w:val="28"/>
          <w:szCs w:val="28"/>
        </w:rPr>
        <w:t>Article 12 — Right to Health</w:t>
      </w:r>
    </w:p>
    <w:p w14:paraId="15CC42DD" w14:textId="77777777" w:rsidR="004541C5" w:rsidRDefault="004541C5" w:rsidP="005E0FE8">
      <w:pPr>
        <w:tabs>
          <w:tab w:val="left" w:pos="567"/>
        </w:tabs>
        <w:spacing w:line="246" w:lineRule="auto"/>
        <w:ind w:right="15"/>
        <w:jc w:val="both"/>
        <w:rPr>
          <w:sz w:val="20"/>
          <w:szCs w:val="20"/>
        </w:rPr>
      </w:pPr>
    </w:p>
    <w:p w14:paraId="582DE097" w14:textId="77777777" w:rsidR="004541C5" w:rsidRDefault="002B3C1C" w:rsidP="005E0FE8">
      <w:pPr>
        <w:numPr>
          <w:ilvl w:val="1"/>
          <w:numId w:val="3"/>
        </w:numPr>
        <w:tabs>
          <w:tab w:val="left" w:pos="567"/>
        </w:tabs>
        <w:spacing w:line="246" w:lineRule="auto"/>
        <w:ind w:right="15"/>
        <w:jc w:val="both"/>
        <w:rPr>
          <w:color w:val="170A19"/>
          <w:sz w:val="20"/>
          <w:szCs w:val="20"/>
        </w:rPr>
      </w:pPr>
      <w:r>
        <w:rPr>
          <w:sz w:val="20"/>
          <w:szCs w:val="20"/>
        </w:rPr>
        <w:t>Right to health is a fundamental human right of every person. The Covenant, the Universal Declaration, the UN Charter, and the WHO have all established that. Within the scope of subject of the right to health of the LGBTI in Uzbekistan, the international scientific community has excluded homosexuality from the list of psychiatric disorders decades ago. As a matter of fact, the Preamble of the Constitution of the World Health Organisation outlines that health is “a state of complete physical, mental and social well-being and not merely the absence of disease or infirmity.”</w:t>
      </w:r>
      <w:r>
        <w:rPr>
          <w:sz w:val="20"/>
          <w:szCs w:val="20"/>
          <w:vertAlign w:val="superscript"/>
        </w:rPr>
        <w:footnoteReference w:id="10"/>
      </w:r>
      <w:r>
        <w:rPr>
          <w:sz w:val="20"/>
          <w:szCs w:val="20"/>
        </w:rPr>
        <w:t xml:space="preserve"> However, the current state of legal and political affairs seem to be aimed expressly to undermine the right to health of the LGBT in Uzbekistan.</w:t>
      </w:r>
    </w:p>
    <w:p w14:paraId="730DE58E" w14:textId="77777777" w:rsidR="004541C5" w:rsidRDefault="004541C5" w:rsidP="005E0FE8">
      <w:pPr>
        <w:tabs>
          <w:tab w:val="left" w:pos="567"/>
        </w:tabs>
        <w:spacing w:line="246" w:lineRule="auto"/>
        <w:ind w:right="15"/>
        <w:jc w:val="both"/>
        <w:rPr>
          <w:sz w:val="20"/>
          <w:szCs w:val="20"/>
        </w:rPr>
      </w:pPr>
    </w:p>
    <w:p w14:paraId="772C7D95"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 xml:space="preserve">One case involves a gay man turning to the Bukhara Regional Centre for Combating AIDS in March 2020. The gay man turned to the Centre because of declining health, suspecting HIV/AIDS. The man tested positive and was directed to an epidemiologist. The epidemiologist questioned the man thoroughly, could not identify when and how he contracted HIV, however, the man lived openly as gay and presented himself to her as such. The gay man was in shock after learning about his HIV-positive status and, after uncomfortable questioning, blurted angrily that he would punish the ones having passed the virus to him and left the Centre. The epidemiologist turned to HIV outreach workers, describing the situation and trying to learn whether they could provide more information on the man. The epidemiologist and the outreach workers, who knew the man, united efforts to track down his sexual partners to pressure them into testing for HIV and forcing statements out of them that would identify same-sex intercourse between them. These medical workers then forwarded the information to law enforcement, who opened a criminal investigation on intentional transmission of HIV (which the gay man in question did not commit) and “sodomy” against the man. Here, sodomy refers to sexual intercourse between men in the context of Article 120 of the Uzbekistan Criminal Code. The man was threatened to have his sexuality and HIV status disclosed. The gay man says this activity had only one aim: to identify other men who had sex with him, single the gay man as gay and as intentionally trying to transmit HIV to others, and then use that information to support further stigma against gay men. </w:t>
      </w:r>
    </w:p>
    <w:p w14:paraId="00DAA6DB" w14:textId="77777777" w:rsidR="004541C5" w:rsidRDefault="004541C5" w:rsidP="005E0FE8">
      <w:pPr>
        <w:tabs>
          <w:tab w:val="left" w:pos="567"/>
        </w:tabs>
        <w:spacing w:line="246" w:lineRule="auto"/>
        <w:ind w:right="15"/>
        <w:jc w:val="both"/>
        <w:rPr>
          <w:sz w:val="20"/>
          <w:szCs w:val="20"/>
        </w:rPr>
      </w:pPr>
    </w:p>
    <w:p w14:paraId="5F3FDE6C" w14:textId="2C4F3360" w:rsidR="004541C5" w:rsidRDefault="002B3C1C" w:rsidP="005E0FE8">
      <w:pPr>
        <w:numPr>
          <w:ilvl w:val="1"/>
          <w:numId w:val="3"/>
        </w:numPr>
        <w:tabs>
          <w:tab w:val="left" w:pos="567"/>
        </w:tabs>
        <w:spacing w:line="246" w:lineRule="auto"/>
        <w:ind w:right="15"/>
        <w:jc w:val="both"/>
        <w:rPr>
          <w:sz w:val="20"/>
          <w:szCs w:val="20"/>
        </w:rPr>
      </w:pPr>
      <w:r>
        <w:rPr>
          <w:sz w:val="20"/>
          <w:szCs w:val="20"/>
        </w:rPr>
        <w:t xml:space="preserve">Another case involves a gay man and the Head of the Syrgaryi Regional Centre for Combating AIDS, Valizhon Shermatov. In January 2020, the gay man came to the centre for his ART treatment and to do relevant blood work. After that, he went to see his HIV-services provider, but there was another man sitting in their place. The gay man learned that his provider retired. This new medical worker started questioning the gay man; questions did not relate to his express health condition. The gay man’s file had the 103 code (which signifies “men who have sex with men”). The medical worker asked about his sex partners, friends, and lifestyle, how many sex contacts he had, etc. The gay man said he would not answer those questions and the Head of the Centre then intervened, notifying that he was denying the gay man his ART treatment. The gay man said he would report this, and then the Head threatened to disclose his sexuality and HIV-positive status, and that he used to work in the law enforcement which would cover for him. The Head went on to disparage and talk in discrimination about MSM: he indicated that, in the past, he already haddisclosed SOGI and HIV status of other men to the law enforcement, who then started prosecution based on on Articles 113 ( HIV Transmission) and Article 120 (Criminalisation of Homosexuality). The gay man left the Centre in fear to return for his ART treatmentand fled his city to keep himself and his family away from any possible retaliation. </w:t>
      </w:r>
    </w:p>
    <w:p w14:paraId="3044BE49" w14:textId="77777777" w:rsidR="004541C5" w:rsidRDefault="004541C5" w:rsidP="005E0FE8">
      <w:pPr>
        <w:tabs>
          <w:tab w:val="left" w:pos="567"/>
        </w:tabs>
        <w:spacing w:line="246" w:lineRule="auto"/>
        <w:ind w:right="15"/>
        <w:jc w:val="both"/>
        <w:rPr>
          <w:sz w:val="20"/>
          <w:szCs w:val="20"/>
        </w:rPr>
      </w:pPr>
    </w:p>
    <w:p w14:paraId="5844CEC9"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Considering the aforementioned case, Article 113 is another leeway used by law enforcement or others to discriminate against the LGBT and PLHIV. Notably, PLHIV can still be prosecuted under article 113 paragraph 4 of the Uzbekistan Criminal Code even if they disclosed their status to the other person and that person voluntarily and consciously engaged in sexual activities with them. Such an approach does not comply with UNAIDS recommendations when it comes to criminalisation of HIV and STI transmission, where the perpetrator is to be punished for direct intent and for the result of transmission, either of the combinations, while leaving out unintentional transmission or transmission by a person who did not know their status, or if the other person gave their consent after being informed.</w:t>
      </w:r>
      <w:r>
        <w:rPr>
          <w:sz w:val="20"/>
          <w:szCs w:val="20"/>
          <w:vertAlign w:val="superscript"/>
        </w:rPr>
        <w:footnoteReference w:id="11"/>
      </w:r>
      <w:r>
        <w:rPr>
          <w:sz w:val="20"/>
          <w:szCs w:val="20"/>
        </w:rPr>
        <w:t xml:space="preserve"> Such laws also violate the person’s privacy and the right to confidentiality of personal medication information. The current laws define that after the person is tested positive, they are forced to reveal the route of transmission. Then, the medical worker checks for the other sexual partner in the electronic database of infected persons. Then the information is sent in writing to relevant internal affairs agencies to take legal action against the person who was the source of infection.</w:t>
      </w:r>
      <w:r>
        <w:rPr>
          <w:sz w:val="20"/>
          <w:szCs w:val="20"/>
          <w:vertAlign w:val="superscript"/>
        </w:rPr>
        <w:footnoteReference w:id="12"/>
      </w:r>
      <w:r>
        <w:rPr>
          <w:sz w:val="20"/>
          <w:szCs w:val="20"/>
        </w:rPr>
        <w:t xml:space="preserve"> </w:t>
      </w:r>
    </w:p>
    <w:p w14:paraId="62BDCDCF" w14:textId="77777777" w:rsidR="004541C5" w:rsidRDefault="004541C5" w:rsidP="005E0FE8">
      <w:pPr>
        <w:tabs>
          <w:tab w:val="left" w:pos="567"/>
        </w:tabs>
        <w:spacing w:line="246" w:lineRule="auto"/>
        <w:ind w:right="15"/>
        <w:jc w:val="both"/>
        <w:rPr>
          <w:sz w:val="20"/>
          <w:szCs w:val="20"/>
        </w:rPr>
      </w:pPr>
    </w:p>
    <w:p w14:paraId="268D6168" w14:textId="7572B2ED" w:rsidR="004541C5" w:rsidRDefault="002B3C1C" w:rsidP="005E0FE8">
      <w:pPr>
        <w:numPr>
          <w:ilvl w:val="1"/>
          <w:numId w:val="3"/>
        </w:numPr>
        <w:tabs>
          <w:tab w:val="left" w:pos="567"/>
        </w:tabs>
        <w:spacing w:line="246" w:lineRule="auto"/>
        <w:ind w:right="15"/>
        <w:jc w:val="both"/>
        <w:rPr>
          <w:sz w:val="20"/>
          <w:szCs w:val="20"/>
        </w:rPr>
      </w:pPr>
      <w:r>
        <w:rPr>
          <w:sz w:val="20"/>
          <w:szCs w:val="20"/>
        </w:rPr>
        <w:t xml:space="preserve">Another incident took place in January 2021. The gay man has been receiving his ART treatment in a local polyclinic in Saykhunabad since 2019. The gay man would take his medication at the polyclinic in an amount that would last him 3 months. After 3 months, when the patient returned to receive further ART, he did not know that his provider retired and there was a new one. The new provider, revealed his personal data, including the fact the patient was assigned with the 103 code, to a female nurse and sent her to summon the gay man for a check-up since he has not been to the polyclinic in some time. However, the nurse, having come to the gay man’s home and having discovered he was not there, disclosed his HIV-positive status to his father. She also disclosed his homosexuality stating to the father that his son was definitely a “homosexualist.” The gay man went to police to report the case as disclosing his confidential health information, but the police said they would not investigate the case and asked him to call off his report. The gay man denied calling off his report. He was forced to move out of the city, his family relationship was disrupted, as well as his ability to work and live in the same city safely and effectively. </w:t>
      </w:r>
    </w:p>
    <w:p w14:paraId="18DE9924" w14:textId="77777777" w:rsidR="004541C5" w:rsidRDefault="004541C5" w:rsidP="005E0FE8">
      <w:pPr>
        <w:tabs>
          <w:tab w:val="left" w:pos="567"/>
        </w:tabs>
        <w:spacing w:line="246" w:lineRule="auto"/>
        <w:ind w:right="15"/>
        <w:jc w:val="both"/>
        <w:rPr>
          <w:sz w:val="20"/>
          <w:szCs w:val="20"/>
        </w:rPr>
      </w:pPr>
    </w:p>
    <w:p w14:paraId="2EA5C30F"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In another instance, an MSM reported the following case. In February 2020, the MSM had to give blood for HIV testing to leave Uzbekistan to work in Russia and the test result was positive. Without having obtained the MSM’s consent, the testing facility forwarded this information to his local healthcare provider. An untrained nurse went to the MSM’s house to obtain relevant paperwork for his further treatment. The nurse came to the MSM’s home and met his mother there. The nurse then claimed that the patient “had AIDS and was a ‘sodomist’”. The mother had a stroke due to shock. The MSM’s wife said she would divorce him and take the children. The father kicked the MSM person out of their home. The MSM left his family, rents out his living, and is afraid to contact his family to not cause any psychological distress to his mother. All of this is a consequence of medical personnel being untrained in issues of SOGI and HIV and intentionally mishandling sensitive medical information.</w:t>
      </w:r>
    </w:p>
    <w:p w14:paraId="2838ED25" w14:textId="77777777" w:rsidR="004541C5" w:rsidRDefault="004541C5" w:rsidP="005E0FE8">
      <w:pPr>
        <w:tabs>
          <w:tab w:val="left" w:pos="567"/>
        </w:tabs>
        <w:spacing w:line="246" w:lineRule="auto"/>
        <w:ind w:right="15"/>
        <w:jc w:val="both"/>
        <w:rPr>
          <w:sz w:val="20"/>
          <w:szCs w:val="20"/>
        </w:rPr>
      </w:pPr>
    </w:p>
    <w:p w14:paraId="2AEE5DFD"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 xml:space="preserve">All of the mentioned cases illustrate severe discriminatory acts against the LGBTI because of state-sponsored homophobia. There are no laws that would protect LGBT in Uzbekistan from their sexuality or health status to be illegally disclosed. Also, the medical workers know the codes that identify men as gay or MSM and then either abuse them and threaten with relaying the information to police. This is a vicious circle of hate, discrimination, and violence that not only grossly violates the right to health of the LGBT, but also undermines entire HIV prevention in Uzbekistan. </w:t>
      </w:r>
    </w:p>
    <w:p w14:paraId="15987992" w14:textId="77777777" w:rsidR="004541C5" w:rsidRDefault="004541C5" w:rsidP="005E0FE8">
      <w:pPr>
        <w:tabs>
          <w:tab w:val="left" w:pos="567"/>
        </w:tabs>
        <w:spacing w:line="246" w:lineRule="auto"/>
        <w:ind w:right="15"/>
        <w:jc w:val="both"/>
        <w:rPr>
          <w:sz w:val="20"/>
          <w:szCs w:val="20"/>
        </w:rPr>
      </w:pPr>
    </w:p>
    <w:p w14:paraId="157C9488"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As it is apparent from E/C.12/UZB/RQ/3 (para 65), Uzbekistan deems gay men to be responsible for HIV, which is why they deny decriminalising homosexuality. Specifically, Uzbekistan stated that “</w:t>
      </w:r>
      <w:r>
        <w:rPr>
          <w:sz w:val="20"/>
          <w:szCs w:val="20"/>
          <w:highlight w:val="white"/>
        </w:rPr>
        <w:t xml:space="preserve">the decriminalization of homosexuality has not been considered owing to the pressing need to combat the spread of HIV” (Replies </w:t>
      </w:r>
      <w:r>
        <w:rPr>
          <w:sz w:val="20"/>
          <w:szCs w:val="20"/>
        </w:rPr>
        <w:t>E/C.12/UZB/RQ/3 para 65). “</w:t>
      </w:r>
      <w:r>
        <w:rPr>
          <w:color w:val="111111"/>
          <w:sz w:val="20"/>
          <w:szCs w:val="20"/>
          <w:highlight w:val="white"/>
        </w:rPr>
        <w:t>Anyone—regardless of sexual orientation, gender identity, gender expression or other factors—can acquire HIV. Calling HIV a “gay” or “LGBTQ” disease is medically untrue and only serves to perpetuate harmful stereotypes about people living with HIV and members of the LGBT community.”</w:t>
      </w:r>
      <w:r>
        <w:rPr>
          <w:color w:val="111111"/>
          <w:sz w:val="20"/>
          <w:szCs w:val="20"/>
          <w:highlight w:val="white"/>
          <w:vertAlign w:val="superscript"/>
        </w:rPr>
        <w:footnoteReference w:id="13"/>
      </w:r>
      <w:r>
        <w:rPr>
          <w:sz w:val="20"/>
          <w:szCs w:val="20"/>
        </w:rPr>
        <w:t xml:space="preserve"> It is worth mentioning that Uzbekistan’s  national HIV prevention policy overall does not abide by any UNAIDS or other evidence-based standards. MSM, trans people, as well as lesbian women are not included as key populations when it comes to HIV monitoring and prevention in Uzbekistan. Therefore, any implications by the State that LGBT people are responsible for HIV/AIDS prevalence has no scientific or data-based grounds. That being said, UNAIDS reports that the prevailing route of HIV transmission in Uzbekistan is sexual (69.5%).</w:t>
      </w:r>
      <w:r>
        <w:rPr>
          <w:sz w:val="20"/>
          <w:szCs w:val="20"/>
          <w:vertAlign w:val="superscript"/>
        </w:rPr>
        <w:footnoteReference w:id="14"/>
      </w:r>
      <w:r>
        <w:rPr>
          <w:sz w:val="20"/>
          <w:szCs w:val="20"/>
        </w:rPr>
        <w:t xml:space="preserve"> With this in mind, UNAIDS’ research also states that 94.6% of MSM in Uzbekistan use condoms during sex.</w:t>
      </w:r>
      <w:r>
        <w:rPr>
          <w:sz w:val="20"/>
          <w:szCs w:val="20"/>
          <w:vertAlign w:val="superscript"/>
        </w:rPr>
        <w:footnoteReference w:id="15"/>
      </w:r>
      <w:r>
        <w:rPr>
          <w:sz w:val="20"/>
          <w:szCs w:val="20"/>
        </w:rPr>
        <w:t xml:space="preserve"> This means that the continuous rise of HIV prevalence in Uzbekistan cannot be linked to gay men and other MSM as the primary source. EHPV’s partner organisation, Eurasian Coalition on Health, Rights, Gender and Sexual Diversity (ECOM), indicates that PLHIV are associated with “antisocial behavior” in Uzbekistan. The general public’s knowledge on HIV and HIV-prevention is either absent at all or heavily distorted with improper or pseudo-knowledge disseminated by the Uzbekistan government.</w:t>
      </w:r>
      <w:r>
        <w:rPr>
          <w:sz w:val="20"/>
          <w:szCs w:val="20"/>
          <w:vertAlign w:val="superscript"/>
        </w:rPr>
        <w:footnoteReference w:id="16"/>
      </w:r>
      <w:r>
        <w:rPr>
          <w:sz w:val="20"/>
          <w:szCs w:val="20"/>
        </w:rPr>
        <w:t xml:space="preserve"> Harmful stereotypes and prejudice regarding HIV and PLHIV are prominent among the general public. There is little investment in educating people about HIV and sharing information about where to get tested and treated. Medical workers are also improperly educated on HIV, PLHIV, and SOGI, and further invest in prejudice and stereotypes, aggravating the HIV epidemic in Uzbekistan. Overall, Uzbekistan fails its entire population, not only the LGBT key population groups, when it comes to HIV: the government has no solid HIV prevention policy in place, does not have a proper mechanism of gathering disaggregated data, and, consequently, does not provide HIV prevention and HIV treatment properly. It is impossible to find any proper HIV statistics on government websites. Data can only loosely and fragmentarily be gathered in Uzbekistan’s filing of some statistics to WHO, UNAIDS, or its applications for donations to the Global Fund. </w:t>
      </w:r>
    </w:p>
    <w:p w14:paraId="675AEB9D" w14:textId="77777777" w:rsidR="004541C5" w:rsidRDefault="004541C5" w:rsidP="005E0FE8">
      <w:pPr>
        <w:tabs>
          <w:tab w:val="left" w:pos="567"/>
        </w:tabs>
        <w:spacing w:line="246" w:lineRule="auto"/>
        <w:ind w:right="15"/>
        <w:jc w:val="both"/>
        <w:rPr>
          <w:sz w:val="20"/>
          <w:szCs w:val="20"/>
        </w:rPr>
      </w:pPr>
    </w:p>
    <w:p w14:paraId="260DC772"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In 2017, the State reported that more than 2,039 MSM from five administrative territories were covered by HIV prevention measures with 151,918 condoms being distributed. Nonetheless, the presence of Article 120 casts doubt on such information since LGBT usually do not disclose their sexuality and those who know their HIV-positive status do not register out of fear of being criminally prosecuted.</w:t>
      </w:r>
      <w:r>
        <w:rPr>
          <w:sz w:val="20"/>
          <w:szCs w:val="20"/>
          <w:vertAlign w:val="superscript"/>
        </w:rPr>
        <w:footnoteReference w:id="17"/>
      </w:r>
      <w:r>
        <w:rPr>
          <w:sz w:val="20"/>
          <w:szCs w:val="20"/>
        </w:rPr>
        <w:t xml:space="preserve"> Article 120 also prevents LGBT people’s access to healthcare. They are reluctant to undergo HIV-testing because HIV-positive people are obliged to disclose their partners under article 57 of the Uzbekistan Code on Administrative Liability. Consequently, their SOGI-status is forcefully revealed by and to the authorities, who then use this information to initiate a criminal investigation under Article 120 against adult gay men engaging in consensual sexual relationships. They are subject to harsh stigma on every level. Article 120 instills fear in LGBT, LGBT who are HIV-positive, and PLHIV overall, which causes them to avoid applying for testing and antiretroviral treatment (ART). Applying for ART will mean undergoing medical examinations that disrespect their right to confidentiality since medical workers are obliged to inform other relevant authorities of new cases of HIV-infection. LGBT NGOs report that community members indicated that, after testing, their HIV-status was reported to mahalla committees, local responsible militia officers, and neighbours, despite Uzbekistan legal provisions on confidentiality of personal medical information. Currently, these PLHIV face severe stigmatization. The ostracism forces them to change their residence, including moving to other countries. </w:t>
      </w:r>
      <w:r>
        <w:rPr>
          <w:sz w:val="20"/>
          <w:szCs w:val="20"/>
        </w:rPr>
        <w:br/>
      </w:r>
    </w:p>
    <w:p w14:paraId="79A918FB"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 xml:space="preserve">Violating the confidentiality of medical information further, the Tashkent testing centre is equipped with surveillance cameras. One gay man reported to an NGO that, during his conversation with a doctor at an AIDS Centre in Tashkent, an outsider person in civilian clothing entered the room and threatened him with Article 120, blackmailing him and extorting money to preserve confidentiality. Confidentiality of personal medical information is an integral part of the right to health, not only when it comes to HIV, but also to any other health-related information. </w:t>
      </w:r>
      <w:r>
        <w:rPr>
          <w:sz w:val="20"/>
          <w:szCs w:val="20"/>
        </w:rPr>
        <w:br/>
        <w:t xml:space="preserve"> </w:t>
      </w:r>
      <w:r>
        <w:rPr>
          <w:sz w:val="20"/>
          <w:szCs w:val="20"/>
        </w:rPr>
        <w:tab/>
      </w:r>
    </w:p>
    <w:p w14:paraId="67305AB4"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There is another discriminatory regulation, which further violates the right to health of PLHIV, including LGBTI PLHIV. According to the law “On counteracting the spread of diseases caused by the human immunodefi- ciency virus,” the following groups of people are required to undergo medical examinations for HIV:</w:t>
      </w:r>
      <w:r>
        <w:rPr>
          <w:sz w:val="20"/>
          <w:szCs w:val="20"/>
        </w:rPr>
        <w:br/>
        <w:t>- Donors of blood and other biological fluids;</w:t>
      </w:r>
    </w:p>
    <w:p w14:paraId="45149F9B" w14:textId="77777777" w:rsidR="004541C5" w:rsidRDefault="002B3C1C" w:rsidP="005E0FE8">
      <w:pPr>
        <w:tabs>
          <w:tab w:val="left" w:pos="567"/>
        </w:tabs>
        <w:spacing w:line="246" w:lineRule="auto"/>
        <w:ind w:right="15"/>
        <w:jc w:val="both"/>
        <w:rPr>
          <w:sz w:val="20"/>
          <w:szCs w:val="20"/>
        </w:rPr>
      </w:pPr>
      <w:r>
        <w:rPr>
          <w:sz w:val="20"/>
          <w:szCs w:val="20"/>
        </w:rPr>
        <w:t xml:space="preserve"> - Persons under the age of 50 who are getting married;</w:t>
      </w:r>
    </w:p>
    <w:p w14:paraId="433BCC95" w14:textId="77777777" w:rsidR="004541C5" w:rsidRDefault="002B3C1C" w:rsidP="005E0FE8">
      <w:pPr>
        <w:tabs>
          <w:tab w:val="left" w:pos="567"/>
        </w:tabs>
        <w:spacing w:line="246" w:lineRule="auto"/>
        <w:ind w:right="15"/>
        <w:jc w:val="both"/>
        <w:rPr>
          <w:sz w:val="20"/>
          <w:szCs w:val="20"/>
        </w:rPr>
      </w:pPr>
      <w:r>
        <w:rPr>
          <w:sz w:val="20"/>
          <w:szCs w:val="20"/>
        </w:rPr>
        <w:t>- Pregnant women;</w:t>
      </w:r>
    </w:p>
    <w:p w14:paraId="682450B6" w14:textId="77777777" w:rsidR="004541C5" w:rsidRDefault="002B3C1C" w:rsidP="005E0FE8">
      <w:pPr>
        <w:tabs>
          <w:tab w:val="left" w:pos="567"/>
        </w:tabs>
        <w:spacing w:line="246" w:lineRule="auto"/>
        <w:ind w:right="15"/>
        <w:jc w:val="both"/>
        <w:rPr>
          <w:sz w:val="20"/>
          <w:szCs w:val="20"/>
        </w:rPr>
      </w:pPr>
      <w:r>
        <w:rPr>
          <w:sz w:val="20"/>
          <w:szCs w:val="20"/>
        </w:rPr>
        <w:t>- Persons who are suspected of using injecting drugs;</w:t>
      </w:r>
    </w:p>
    <w:p w14:paraId="54393520" w14:textId="77777777" w:rsidR="004541C5" w:rsidRDefault="002B3C1C" w:rsidP="005E0FE8">
      <w:pPr>
        <w:tabs>
          <w:tab w:val="left" w:pos="567"/>
        </w:tabs>
        <w:spacing w:line="246" w:lineRule="auto"/>
        <w:ind w:right="15"/>
        <w:jc w:val="both"/>
        <w:rPr>
          <w:sz w:val="20"/>
          <w:szCs w:val="20"/>
        </w:rPr>
      </w:pPr>
      <w:r>
        <w:rPr>
          <w:sz w:val="20"/>
          <w:szCs w:val="20"/>
        </w:rPr>
        <w:t>- Children born to HIV-positive mothers;</w:t>
      </w:r>
    </w:p>
    <w:p w14:paraId="31B7F2C1" w14:textId="77777777" w:rsidR="004541C5" w:rsidRDefault="002B3C1C" w:rsidP="005E0FE8">
      <w:pPr>
        <w:tabs>
          <w:tab w:val="left" w:pos="567"/>
        </w:tabs>
        <w:spacing w:line="246" w:lineRule="auto"/>
        <w:ind w:right="15"/>
        <w:jc w:val="both"/>
        <w:rPr>
          <w:sz w:val="20"/>
          <w:szCs w:val="20"/>
        </w:rPr>
      </w:pPr>
      <w:r>
        <w:rPr>
          <w:sz w:val="20"/>
          <w:szCs w:val="20"/>
        </w:rPr>
        <w:t>- Medical workers in contact with blood, biological fluids, and human organs and tissues;</w:t>
      </w:r>
    </w:p>
    <w:p w14:paraId="78E89FB1" w14:textId="77777777" w:rsidR="004541C5" w:rsidRDefault="002B3C1C" w:rsidP="005E0FE8">
      <w:pPr>
        <w:tabs>
          <w:tab w:val="left" w:pos="567"/>
        </w:tabs>
        <w:spacing w:line="246" w:lineRule="auto"/>
        <w:ind w:right="15"/>
        <w:jc w:val="both"/>
        <w:rPr>
          <w:sz w:val="20"/>
          <w:szCs w:val="20"/>
        </w:rPr>
      </w:pPr>
      <w:r>
        <w:rPr>
          <w:sz w:val="20"/>
          <w:szCs w:val="20"/>
        </w:rPr>
        <w:t>- Persons whose partner contracts HIV.</w:t>
      </w:r>
      <w:r>
        <w:rPr>
          <w:sz w:val="20"/>
          <w:szCs w:val="20"/>
          <w:vertAlign w:val="superscript"/>
        </w:rPr>
        <w:footnoteReference w:id="18"/>
      </w:r>
      <w:r>
        <w:rPr>
          <w:sz w:val="20"/>
          <w:szCs w:val="20"/>
        </w:rPr>
        <w:tab/>
      </w:r>
    </w:p>
    <w:p w14:paraId="0F433161" w14:textId="77777777" w:rsidR="004541C5" w:rsidRDefault="004541C5" w:rsidP="005E0FE8">
      <w:pPr>
        <w:tabs>
          <w:tab w:val="left" w:pos="567"/>
        </w:tabs>
        <w:spacing w:line="246" w:lineRule="auto"/>
        <w:ind w:right="15"/>
        <w:jc w:val="both"/>
        <w:rPr>
          <w:sz w:val="20"/>
          <w:szCs w:val="20"/>
        </w:rPr>
      </w:pPr>
    </w:p>
    <w:p w14:paraId="1FCA1541" w14:textId="77777777" w:rsidR="004541C5" w:rsidRDefault="002B3C1C" w:rsidP="005E0FE8">
      <w:pPr>
        <w:tabs>
          <w:tab w:val="left" w:pos="567"/>
        </w:tabs>
        <w:spacing w:line="246" w:lineRule="auto"/>
        <w:ind w:right="15"/>
        <w:jc w:val="both"/>
        <w:rPr>
          <w:sz w:val="20"/>
          <w:szCs w:val="20"/>
        </w:rPr>
      </w:pPr>
      <w:r>
        <w:rPr>
          <w:sz w:val="20"/>
          <w:szCs w:val="20"/>
        </w:rPr>
        <w:t>Mandatory HIV testing is applied according to article 16 of the said law and is carried out without the consent of the relevant person or their legal representative by order of the official of the body conducting the preliminary investigation, the person leading the inquiry, the investigator, or the prosecutor, or by court order in the manner established by law.</w:t>
      </w:r>
      <w:r>
        <w:rPr>
          <w:sz w:val="20"/>
          <w:szCs w:val="20"/>
          <w:vertAlign w:val="superscript"/>
        </w:rPr>
        <w:footnoteReference w:id="19"/>
      </w:r>
      <w:r>
        <w:rPr>
          <w:sz w:val="20"/>
          <w:szCs w:val="20"/>
        </w:rPr>
        <w:t xml:space="preserve"> Which means that people have no say in undergoing HIV-screening and would be forced to do it.</w:t>
      </w:r>
      <w:r>
        <w:rPr>
          <w:sz w:val="20"/>
          <w:szCs w:val="20"/>
        </w:rPr>
        <w:tab/>
      </w:r>
    </w:p>
    <w:p w14:paraId="269E2F3D" w14:textId="77777777" w:rsidR="004541C5" w:rsidRDefault="002B3C1C" w:rsidP="005E0FE8">
      <w:pPr>
        <w:tabs>
          <w:tab w:val="left" w:pos="567"/>
        </w:tabs>
        <w:spacing w:line="246" w:lineRule="auto"/>
        <w:ind w:right="15"/>
        <w:jc w:val="both"/>
        <w:rPr>
          <w:sz w:val="20"/>
          <w:szCs w:val="20"/>
        </w:rPr>
      </w:pPr>
      <w:r>
        <w:rPr>
          <w:sz w:val="20"/>
          <w:szCs w:val="20"/>
        </w:rPr>
        <w:tab/>
      </w:r>
    </w:p>
    <w:p w14:paraId="1D86FBB9"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While talking forced screening, there is also the monstrous forced anal tests practice in Uzbekistan. According to Human Rights Watch, at least 6 men (of which it is known) were subjected to forced anal examinations in homosexuality prosecution cases between 2017 and 2021.</w:t>
      </w:r>
      <w:r>
        <w:rPr>
          <w:sz w:val="20"/>
          <w:szCs w:val="20"/>
          <w:vertAlign w:val="superscript"/>
        </w:rPr>
        <w:footnoteReference w:id="20"/>
      </w:r>
      <w:r>
        <w:rPr>
          <w:sz w:val="20"/>
          <w:szCs w:val="20"/>
        </w:rPr>
        <w:t xml:space="preserve"> In the most recent case, </w:t>
      </w:r>
      <w:r>
        <w:rPr>
          <w:color w:val="000000"/>
          <w:sz w:val="20"/>
          <w:szCs w:val="20"/>
        </w:rPr>
        <w:t xml:space="preserve">under orders from Internal Affairs officials, doctors subjected two men to forced anal exams in early 2021. A Tashkent court sentenced both men to two years under house arrest, in part on the basis of medical reports purporting to find evidence of same-sex conduct. The men, who had lived together before the arrest, were ordered to serve their sentences in cities 500 kilometers apart and have been prohibited from using the internet. </w:t>
      </w:r>
      <w:r>
        <w:rPr>
          <w:sz w:val="20"/>
          <w:szCs w:val="20"/>
        </w:rPr>
        <w:t xml:space="preserve">ECOM </w:t>
      </w:r>
      <w:r>
        <w:rPr>
          <w:color w:val="000000"/>
          <w:sz w:val="20"/>
          <w:szCs w:val="20"/>
        </w:rPr>
        <w:t>and the International Partnership for Human Rights (IPHR) have documented at least four other cases between 2017 and 2020 in which men were subjected to forced anal exams, indicating a worrying pattern.</w:t>
      </w:r>
      <w:r>
        <w:rPr>
          <w:color w:val="000000"/>
          <w:sz w:val="20"/>
          <w:szCs w:val="20"/>
          <w:vertAlign w:val="superscript"/>
        </w:rPr>
        <w:footnoteReference w:id="21"/>
      </w:r>
      <w:r>
        <w:rPr>
          <w:color w:val="000000"/>
          <w:sz w:val="20"/>
          <w:szCs w:val="20"/>
        </w:rPr>
        <w:t xml:space="preserve"> One of the victims was sentenced to a year and a half of house arrest in 2020, while another was sentenced to prison time. Forced anal exams, conducted purportedly to find “proof” of homosexual conduct, often involve doctors or other medical personnel inserting their fingers, and sometimes other objects, into the anus of the accused without their consent, in an attempt to determine whether the person has engaged in receptive anal intercourse. WHO and CAT denounce such actions as violence and cruel, inhuman behavior. </w:t>
      </w:r>
    </w:p>
    <w:p w14:paraId="5E73A366" w14:textId="77777777" w:rsidR="004541C5" w:rsidRDefault="004541C5" w:rsidP="005E0FE8">
      <w:pPr>
        <w:tabs>
          <w:tab w:val="left" w:pos="567"/>
        </w:tabs>
        <w:spacing w:line="246" w:lineRule="auto"/>
        <w:ind w:right="15"/>
        <w:jc w:val="both"/>
        <w:rPr>
          <w:sz w:val="20"/>
          <w:szCs w:val="20"/>
        </w:rPr>
      </w:pPr>
    </w:p>
    <w:p w14:paraId="15506CEE"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Some other cases of the violation of the right to health that could be classified as inhumane were reported. On 12 September 2019, Shokir Shavkatov (25 years old) was brutally murdered after he “came out” as a gay man on his Instagram page. Police say he suffered “several” knife wounds on his “neck and arms,” and an officer said his throat had been cut so deeply he was nearly decapitated.</w:t>
      </w:r>
      <w:r>
        <w:rPr>
          <w:sz w:val="20"/>
          <w:szCs w:val="20"/>
          <w:vertAlign w:val="superscript"/>
        </w:rPr>
        <w:footnoteReference w:id="22"/>
      </w:r>
      <w:r>
        <w:rPr>
          <w:sz w:val="20"/>
          <w:szCs w:val="20"/>
        </w:rPr>
        <w:t xml:space="preserve"> In January 2020, a fashion designer Nariman Grigoryan was brutally killed in his apartment. Local activitsts reported that he was a gay man which served as the motive for the atrocious crime. Allegedly, the murderer cut his throat, multiple stab wounds including to anus area and then attempted to burn his body. However, the prosecution denied homophobia motive and presented this case as a murder linked to robbery. </w:t>
      </w:r>
    </w:p>
    <w:p w14:paraId="496F9704" w14:textId="77777777" w:rsidR="004541C5" w:rsidRDefault="004541C5" w:rsidP="005E0FE8">
      <w:pPr>
        <w:tabs>
          <w:tab w:val="left" w:pos="567"/>
        </w:tabs>
        <w:spacing w:line="246" w:lineRule="auto"/>
        <w:ind w:right="15"/>
        <w:jc w:val="both"/>
        <w:rPr>
          <w:sz w:val="20"/>
          <w:szCs w:val="20"/>
        </w:rPr>
      </w:pPr>
    </w:p>
    <w:p w14:paraId="590142E7"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Such victims of institutional and public violence are left without any chance to prosecute the perpetrators and restore their rights. NGOs report about hate groups in the Telegram app and in the social media platform Vkontakte that post videos of how their members humiliate, insult, beat and sexually abuse gay people. Men are raped with bottles, stripped naked, severely beaten. Amnesty International reports that physical and sexual abuse of LGBT persons with recording of such activities and further dissemination via social media and other apps is a frequent practice.</w:t>
      </w:r>
      <w:r>
        <w:rPr>
          <w:sz w:val="20"/>
          <w:szCs w:val="20"/>
          <w:vertAlign w:val="superscript"/>
        </w:rPr>
        <w:footnoteReference w:id="23"/>
      </w:r>
      <w:r>
        <w:rPr>
          <w:sz w:val="20"/>
          <w:szCs w:val="20"/>
        </w:rPr>
        <w:tab/>
      </w:r>
      <w:r>
        <w:rPr>
          <w:sz w:val="20"/>
          <w:szCs w:val="20"/>
        </w:rPr>
        <w:tab/>
      </w:r>
    </w:p>
    <w:p w14:paraId="20707894" w14:textId="77777777" w:rsidR="004541C5" w:rsidRDefault="004541C5" w:rsidP="005E0FE8">
      <w:pPr>
        <w:tabs>
          <w:tab w:val="left" w:pos="567"/>
        </w:tabs>
        <w:spacing w:line="246" w:lineRule="auto"/>
        <w:ind w:right="15"/>
        <w:jc w:val="both"/>
        <w:rPr>
          <w:color w:val="170A19"/>
          <w:sz w:val="20"/>
          <w:szCs w:val="20"/>
        </w:rPr>
      </w:pPr>
    </w:p>
    <w:p w14:paraId="15CE8562" w14:textId="77777777" w:rsidR="004541C5" w:rsidRDefault="002B3C1C" w:rsidP="005E0FE8">
      <w:pPr>
        <w:tabs>
          <w:tab w:val="left" w:pos="567"/>
        </w:tabs>
        <w:spacing w:line="246" w:lineRule="auto"/>
        <w:ind w:right="15"/>
        <w:jc w:val="both"/>
        <w:rPr>
          <w:sz w:val="18"/>
          <w:szCs w:val="18"/>
          <w:highlight w:val="white"/>
        </w:rPr>
      </w:pPr>
      <w:r>
        <w:rPr>
          <w:b/>
          <w:sz w:val="28"/>
          <w:szCs w:val="28"/>
        </w:rPr>
        <w:t>Concluding Note</w:t>
      </w:r>
    </w:p>
    <w:p w14:paraId="2EDFBC3F" w14:textId="77777777" w:rsidR="004541C5" w:rsidRDefault="002B3C1C" w:rsidP="005E0FE8">
      <w:pPr>
        <w:numPr>
          <w:ilvl w:val="1"/>
          <w:numId w:val="3"/>
        </w:numPr>
        <w:tabs>
          <w:tab w:val="left" w:pos="567"/>
        </w:tabs>
        <w:spacing w:line="246" w:lineRule="auto"/>
        <w:ind w:right="15"/>
        <w:jc w:val="both"/>
        <w:rPr>
          <w:sz w:val="20"/>
          <w:szCs w:val="20"/>
          <w:highlight w:val="white"/>
        </w:rPr>
      </w:pPr>
      <w:r>
        <w:rPr>
          <w:sz w:val="20"/>
          <w:szCs w:val="20"/>
        </w:rPr>
        <w:t>As this report shows, the situation with the right to health of the LGBT in Uzbekistan is grim, to say the least. The government utterly fails the key populations groups of MSM and trans people, as well as others, deemed at most risk of contracting HIV by demonizing them. Article 113 and Article 120 are both used as gatekeeping for health services against the LGBT, as well as weapons to forcefully reveal them and prosecute them under those articles, or use them as threats to silence or otherwise abuse them. LGBT do not have proper access to HIV prevention, HIV treatment, and to general healthcare overall. As they flee their home country of Uzbekistan, LGBT and PLHIV turn to such organisations as EHPV for respective help and services in foreign countries. In addition to not being able to obtain the highest attainable standard of health and living, these people are also in danger of being killed for being LGBT, with no possibility of proper protection or proper justice to be installed. Their health, confidential medical information, privacy, economic status, and their very lives are in constant state-sponsored discriminatory danger.</w:t>
      </w:r>
    </w:p>
    <w:p w14:paraId="584586D7" w14:textId="77777777" w:rsidR="004541C5" w:rsidRDefault="004541C5" w:rsidP="005E0FE8">
      <w:pPr>
        <w:tabs>
          <w:tab w:val="left" w:pos="567"/>
        </w:tabs>
        <w:spacing w:line="246" w:lineRule="auto"/>
        <w:ind w:right="15"/>
        <w:jc w:val="both"/>
        <w:rPr>
          <w:sz w:val="20"/>
          <w:szCs w:val="20"/>
        </w:rPr>
      </w:pPr>
    </w:p>
    <w:p w14:paraId="7E52CAA8" w14:textId="77777777" w:rsidR="004541C5" w:rsidRDefault="002B3C1C" w:rsidP="005E0FE8">
      <w:pPr>
        <w:tabs>
          <w:tab w:val="left" w:pos="567"/>
        </w:tabs>
        <w:spacing w:line="246" w:lineRule="auto"/>
        <w:ind w:right="15"/>
        <w:jc w:val="both"/>
        <w:rPr>
          <w:sz w:val="20"/>
          <w:szCs w:val="20"/>
        </w:rPr>
      </w:pPr>
      <w:r>
        <w:rPr>
          <w:b/>
          <w:sz w:val="28"/>
          <w:szCs w:val="28"/>
        </w:rPr>
        <w:t>Recommendations</w:t>
      </w:r>
    </w:p>
    <w:p w14:paraId="49358618" w14:textId="77777777" w:rsidR="004541C5" w:rsidRDefault="004541C5" w:rsidP="005E0FE8">
      <w:pPr>
        <w:tabs>
          <w:tab w:val="left" w:pos="567"/>
        </w:tabs>
        <w:spacing w:line="246" w:lineRule="auto"/>
        <w:ind w:right="15"/>
        <w:jc w:val="both"/>
        <w:rPr>
          <w:sz w:val="20"/>
          <w:szCs w:val="20"/>
        </w:rPr>
      </w:pPr>
    </w:p>
    <w:p w14:paraId="25661253"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Considering Uzbekistan’s active anti-human rights sentiment and practices, EHPV urges the Committee to study the alternative reports from the civil society with heightened attention and apply context. EHPV also asks the Committee to apply the entire range of its authority, including cooperation with special mandates and other UN Human Rights Bodies, while reviewing Uzbekistan and adopting Concluding Observations.</w:t>
      </w:r>
    </w:p>
    <w:p w14:paraId="57D9B831" w14:textId="77777777" w:rsidR="004541C5" w:rsidRDefault="004541C5" w:rsidP="005E0FE8">
      <w:pPr>
        <w:tabs>
          <w:tab w:val="left" w:pos="567"/>
        </w:tabs>
        <w:spacing w:line="246" w:lineRule="auto"/>
        <w:ind w:right="15"/>
        <w:jc w:val="both"/>
        <w:rPr>
          <w:sz w:val="20"/>
          <w:szCs w:val="20"/>
        </w:rPr>
      </w:pPr>
    </w:p>
    <w:p w14:paraId="567C18ED" w14:textId="77777777" w:rsidR="004541C5" w:rsidRDefault="002B3C1C" w:rsidP="005E0FE8">
      <w:pPr>
        <w:numPr>
          <w:ilvl w:val="1"/>
          <w:numId w:val="3"/>
        </w:numPr>
        <w:tabs>
          <w:tab w:val="left" w:pos="567"/>
        </w:tabs>
        <w:spacing w:line="246" w:lineRule="auto"/>
        <w:ind w:right="15"/>
        <w:jc w:val="both"/>
        <w:rPr>
          <w:sz w:val="20"/>
          <w:szCs w:val="20"/>
        </w:rPr>
      </w:pPr>
      <w:r>
        <w:rPr>
          <w:sz w:val="20"/>
          <w:szCs w:val="20"/>
        </w:rPr>
        <w:t>All things considered, EHPV asks the Committee on Economic, Social, and Cultural Rights to consider the following recommendations when it comes to Uzbekistan:</w:t>
      </w:r>
    </w:p>
    <w:p w14:paraId="71D50FDD" w14:textId="77777777" w:rsidR="004541C5" w:rsidRDefault="004541C5" w:rsidP="005E0FE8">
      <w:pPr>
        <w:tabs>
          <w:tab w:val="left" w:pos="567"/>
        </w:tabs>
        <w:spacing w:line="246" w:lineRule="auto"/>
        <w:ind w:right="15"/>
        <w:jc w:val="both"/>
        <w:rPr>
          <w:sz w:val="20"/>
          <w:szCs w:val="20"/>
        </w:rPr>
      </w:pPr>
    </w:p>
    <w:p w14:paraId="15CE9456" w14:textId="77777777" w:rsidR="004541C5" w:rsidRDefault="002B3C1C" w:rsidP="005E0FE8">
      <w:pPr>
        <w:numPr>
          <w:ilvl w:val="0"/>
          <w:numId w:val="2"/>
        </w:numPr>
        <w:tabs>
          <w:tab w:val="left" w:pos="567"/>
        </w:tabs>
        <w:spacing w:line="246" w:lineRule="auto"/>
        <w:ind w:right="15"/>
        <w:jc w:val="both"/>
        <w:rPr>
          <w:sz w:val="20"/>
          <w:szCs w:val="20"/>
        </w:rPr>
      </w:pPr>
      <w:r>
        <w:rPr>
          <w:sz w:val="20"/>
          <w:szCs w:val="20"/>
        </w:rPr>
        <w:t>Decriminalise consensual same-sex conduct between men without delay;</w:t>
      </w:r>
    </w:p>
    <w:p w14:paraId="311D753E" w14:textId="77777777" w:rsidR="004541C5" w:rsidRDefault="002B3C1C" w:rsidP="005E0FE8">
      <w:pPr>
        <w:numPr>
          <w:ilvl w:val="0"/>
          <w:numId w:val="2"/>
        </w:numPr>
        <w:tabs>
          <w:tab w:val="left" w:pos="567"/>
        </w:tabs>
        <w:spacing w:line="246" w:lineRule="auto"/>
        <w:ind w:right="15"/>
        <w:jc w:val="both"/>
        <w:rPr>
          <w:sz w:val="20"/>
          <w:szCs w:val="20"/>
        </w:rPr>
      </w:pPr>
      <w:r>
        <w:rPr>
          <w:sz w:val="20"/>
          <w:szCs w:val="20"/>
        </w:rPr>
        <w:t>Develop and adopt legislation that would ban all forms of discrimination, including discrimination based on sexual orientation and gender identity (SOGI), with the help of UN Human Rights Treaties Bodies;</w:t>
      </w:r>
    </w:p>
    <w:p w14:paraId="5227A8BC" w14:textId="77777777" w:rsidR="004541C5" w:rsidRDefault="002B3C1C" w:rsidP="005E0FE8">
      <w:pPr>
        <w:numPr>
          <w:ilvl w:val="0"/>
          <w:numId w:val="2"/>
        </w:numPr>
        <w:tabs>
          <w:tab w:val="left" w:pos="567"/>
        </w:tabs>
        <w:spacing w:line="246" w:lineRule="auto"/>
        <w:ind w:right="15"/>
        <w:jc w:val="both"/>
        <w:rPr>
          <w:sz w:val="20"/>
          <w:szCs w:val="20"/>
        </w:rPr>
      </w:pPr>
      <w:r>
        <w:rPr>
          <w:sz w:val="20"/>
          <w:szCs w:val="20"/>
        </w:rPr>
        <w:t>Forthwith revise its article on criminalisation of HIV transmission and harmonise it with UNAIDS best practices;</w:t>
      </w:r>
    </w:p>
    <w:p w14:paraId="56810CA3" w14:textId="77777777" w:rsidR="004541C5" w:rsidRDefault="002B3C1C" w:rsidP="005E0FE8">
      <w:pPr>
        <w:numPr>
          <w:ilvl w:val="0"/>
          <w:numId w:val="2"/>
        </w:numPr>
        <w:tabs>
          <w:tab w:val="left" w:pos="567"/>
        </w:tabs>
        <w:spacing w:line="246" w:lineRule="auto"/>
        <w:ind w:right="15"/>
        <w:jc w:val="both"/>
        <w:rPr>
          <w:sz w:val="20"/>
          <w:szCs w:val="20"/>
        </w:rPr>
      </w:pPr>
      <w:r>
        <w:rPr>
          <w:sz w:val="20"/>
          <w:szCs w:val="20"/>
        </w:rPr>
        <w:t>Urgently bring its current data collection, prevention, and treatment measures in line with UNAIDS best practices;</w:t>
      </w:r>
    </w:p>
    <w:p w14:paraId="2FCEA8F9" w14:textId="77777777" w:rsidR="004541C5" w:rsidRDefault="002B3C1C" w:rsidP="005E0FE8">
      <w:pPr>
        <w:numPr>
          <w:ilvl w:val="0"/>
          <w:numId w:val="2"/>
        </w:numPr>
        <w:tabs>
          <w:tab w:val="left" w:pos="567"/>
        </w:tabs>
        <w:spacing w:line="246" w:lineRule="auto"/>
        <w:ind w:right="15"/>
        <w:jc w:val="both"/>
        <w:rPr>
          <w:sz w:val="20"/>
          <w:szCs w:val="20"/>
        </w:rPr>
      </w:pPr>
      <w:r>
        <w:rPr>
          <w:sz w:val="20"/>
          <w:szCs w:val="20"/>
        </w:rPr>
        <w:t>Reverse the laws that foresee forced HIV testing for migrants and other involuntary HIV testing laws;</w:t>
      </w:r>
    </w:p>
    <w:p w14:paraId="2635378B" w14:textId="77777777" w:rsidR="004541C5" w:rsidRDefault="002B3C1C" w:rsidP="005E0FE8">
      <w:pPr>
        <w:numPr>
          <w:ilvl w:val="0"/>
          <w:numId w:val="2"/>
        </w:numPr>
        <w:tabs>
          <w:tab w:val="left" w:pos="567"/>
        </w:tabs>
        <w:spacing w:line="246" w:lineRule="auto"/>
        <w:ind w:right="15"/>
        <w:jc w:val="both"/>
        <w:rPr>
          <w:sz w:val="20"/>
          <w:szCs w:val="20"/>
        </w:rPr>
      </w:pPr>
      <w:r>
        <w:rPr>
          <w:sz w:val="20"/>
          <w:szCs w:val="20"/>
        </w:rPr>
        <w:t>Ensure the confidentiality of personal medical information of PLHIV and that all those who breach it are punished in accordance with national criminal laws;</w:t>
      </w:r>
    </w:p>
    <w:p w14:paraId="62A0963A" w14:textId="77777777" w:rsidR="004541C5" w:rsidRDefault="002B3C1C" w:rsidP="005E0FE8">
      <w:pPr>
        <w:numPr>
          <w:ilvl w:val="0"/>
          <w:numId w:val="2"/>
        </w:numPr>
        <w:tabs>
          <w:tab w:val="left" w:pos="567"/>
        </w:tabs>
        <w:spacing w:line="246" w:lineRule="auto"/>
        <w:ind w:right="15"/>
        <w:jc w:val="both"/>
        <w:rPr>
          <w:sz w:val="20"/>
          <w:szCs w:val="20"/>
        </w:rPr>
      </w:pPr>
      <w:r>
        <w:rPr>
          <w:sz w:val="20"/>
          <w:szCs w:val="20"/>
        </w:rPr>
        <w:t>Ensure that hate speech, including hate speech based on SOGI, is reprimanded and punished as hate speech, regardless of the perpetrator’s social and economic status;</w:t>
      </w:r>
    </w:p>
    <w:p w14:paraId="45B01AE4" w14:textId="77777777" w:rsidR="004541C5" w:rsidRDefault="002B3C1C" w:rsidP="005E0FE8">
      <w:pPr>
        <w:numPr>
          <w:ilvl w:val="0"/>
          <w:numId w:val="2"/>
        </w:numPr>
        <w:tabs>
          <w:tab w:val="left" w:pos="567"/>
        </w:tabs>
        <w:spacing w:line="246" w:lineRule="auto"/>
        <w:ind w:right="15"/>
        <w:jc w:val="both"/>
        <w:rPr>
          <w:sz w:val="20"/>
          <w:szCs w:val="20"/>
        </w:rPr>
      </w:pPr>
      <w:r>
        <w:rPr>
          <w:sz w:val="20"/>
          <w:szCs w:val="20"/>
        </w:rPr>
        <w:t>Develop and adopt hate crimes and hate speech crimes which would enforce the protection of people from all forms of discrimination, including based on SOGI, according to UN best practices.</w:t>
      </w:r>
    </w:p>
    <w:p w14:paraId="10048548" w14:textId="77777777" w:rsidR="004541C5" w:rsidRDefault="004541C5">
      <w:pPr>
        <w:tabs>
          <w:tab w:val="left" w:pos="1689"/>
        </w:tabs>
        <w:spacing w:line="246" w:lineRule="auto"/>
        <w:ind w:right="15"/>
        <w:jc w:val="both"/>
        <w:rPr>
          <w:sz w:val="20"/>
          <w:szCs w:val="20"/>
        </w:rPr>
      </w:pPr>
    </w:p>
    <w:sectPr w:rsidR="004541C5">
      <w:type w:val="continuous"/>
      <w:pgSz w:w="11900" w:h="16841"/>
      <w:pgMar w:top="650" w:right="1126" w:bottom="567" w:left="11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FAC0F3" w14:textId="77777777" w:rsidR="002B3C1C" w:rsidRDefault="002B3C1C">
      <w:r>
        <w:separator/>
      </w:r>
    </w:p>
  </w:endnote>
  <w:endnote w:type="continuationSeparator" w:id="0">
    <w:p w14:paraId="674F650C" w14:textId="77777777" w:rsidR="002B3C1C" w:rsidRDefault="002B3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altName w:val="Arial"/>
    <w:charset w:val="00"/>
    <w:family w:val="auto"/>
    <w:pitch w:val="variable"/>
    <w:sig w:usb0="00000001" w:usb1="5000205B" w:usb2="0000002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C26E54" w14:textId="77777777" w:rsidR="002B3C1C" w:rsidRDefault="002B3C1C">
      <w:r>
        <w:separator/>
      </w:r>
    </w:p>
  </w:footnote>
  <w:footnote w:type="continuationSeparator" w:id="0">
    <w:p w14:paraId="2D2A8D05" w14:textId="77777777" w:rsidR="002B3C1C" w:rsidRDefault="002B3C1C">
      <w:r>
        <w:continuationSeparator/>
      </w:r>
    </w:p>
  </w:footnote>
  <w:footnote w:id="1">
    <w:p w14:paraId="6CF2E200"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“Ever Wondered How Democracy Levels Correlate with LGBT and Human Rights,” SOAS University of London, 2018, </w:t>
      </w:r>
      <w:hyperlink r:id="rId1">
        <w:r w:rsidRPr="005E0FE8">
          <w:rPr>
            <w:color w:val="1155CC"/>
            <w:sz w:val="16"/>
            <w:szCs w:val="16"/>
            <w:u w:val="single"/>
          </w:rPr>
          <w:t>https://study.soas.ac.uk/how-democracy-levels-correlate-with-lgbt-and-human-rights/</w:t>
        </w:r>
      </w:hyperlink>
      <w:r w:rsidRPr="005E0FE8">
        <w:rPr>
          <w:sz w:val="16"/>
          <w:szCs w:val="16"/>
        </w:rPr>
        <w:t xml:space="preserve">  </w:t>
      </w:r>
    </w:p>
  </w:footnote>
  <w:footnote w:id="2">
    <w:p w14:paraId="3CD51AA7" w14:textId="77777777" w:rsidR="004541C5" w:rsidRDefault="002B3C1C">
      <w:pPr>
        <w:rPr>
          <w:sz w:val="20"/>
          <w:szCs w:val="20"/>
        </w:rPr>
      </w:pPr>
      <w:r w:rsidRPr="005E0FE8">
        <w:rPr>
          <w:sz w:val="16"/>
          <w:szCs w:val="16"/>
          <w:vertAlign w:val="superscript"/>
        </w:rPr>
        <w:footnoteRef/>
      </w:r>
      <w:r w:rsidRPr="005E0FE8">
        <w:rPr>
          <w:sz w:val="16"/>
          <w:szCs w:val="16"/>
        </w:rPr>
        <w:t xml:space="preserve"> “Journalists Resign After Tashkent Mayors ‘Death,’ ‘Gay’ Threats,” Radio Liberty, 2019, </w:t>
      </w:r>
      <w:hyperlink r:id="rId2">
        <w:r w:rsidRPr="005E0FE8">
          <w:rPr>
            <w:color w:val="1155CC"/>
            <w:sz w:val="16"/>
            <w:szCs w:val="16"/>
            <w:u w:val="single"/>
          </w:rPr>
          <w:t>https://www.rferl.org/a/uzbek-journalists-resign-after-tashkent-mayors-death-gay-threats-/30282235.html</w:t>
        </w:r>
      </w:hyperlink>
      <w:r>
        <w:rPr>
          <w:sz w:val="16"/>
          <w:szCs w:val="16"/>
        </w:rPr>
        <w:t xml:space="preserve">  </w:t>
      </w:r>
    </w:p>
  </w:footnote>
  <w:footnote w:id="3">
    <w:p w14:paraId="566C4DDC" w14:textId="77777777" w:rsidR="004541C5" w:rsidRPr="005E0FE8" w:rsidRDefault="002B3C1C" w:rsidP="005E0FE8">
      <w:pPr>
        <w:numPr>
          <w:ilvl w:val="0"/>
          <w:numId w:val="1"/>
        </w:numPr>
        <w:ind w:left="0" w:firstLine="0"/>
        <w:rPr>
          <w:sz w:val="16"/>
          <w:szCs w:val="16"/>
        </w:rPr>
      </w:pPr>
      <w:r w:rsidRPr="005E0FE8">
        <w:rPr>
          <w:sz w:val="16"/>
          <w:szCs w:val="16"/>
          <w:vertAlign w:val="superscript"/>
        </w:rPr>
        <w:footnoteRef/>
      </w:r>
      <w:r w:rsidRPr="005E0FE8">
        <w:rPr>
          <w:sz w:val="16"/>
          <w:szCs w:val="16"/>
        </w:rPr>
        <w:t xml:space="preserve"> Fifth Periodic Report Submitted by Uzbekistan CCPR/C/UZB/5, UNDOCS, 2018, </w:t>
      </w:r>
      <w:hyperlink r:id="rId3">
        <w:r w:rsidRPr="005E0FE8">
          <w:rPr>
            <w:color w:val="1155CC"/>
            <w:sz w:val="16"/>
            <w:szCs w:val="16"/>
            <w:u w:val="single"/>
          </w:rPr>
          <w:t>https://undocs.org/en/CCPR/C/UZB/5</w:t>
        </w:r>
      </w:hyperlink>
      <w:r w:rsidRPr="005E0FE8">
        <w:rPr>
          <w:sz w:val="16"/>
          <w:szCs w:val="16"/>
        </w:rPr>
        <w:t xml:space="preserve"> , para 69</w:t>
      </w:r>
    </w:p>
  </w:footnote>
  <w:footnote w:id="4">
    <w:p w14:paraId="13F3DEEB"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HRC Advisory Committee’s Study A/HRC/22/71, </w:t>
      </w:r>
      <w:hyperlink r:id="rId4">
        <w:r w:rsidRPr="005E0FE8">
          <w:rPr>
            <w:color w:val="1155CC"/>
            <w:sz w:val="16"/>
            <w:szCs w:val="16"/>
            <w:u w:val="single"/>
          </w:rPr>
          <w:t>https://www.ohchr.org/documents/HRBodies/HRCouncil/AdvisoryCom/Session10/A.HRC.22.71_en.pdf</w:t>
        </w:r>
      </w:hyperlink>
    </w:p>
  </w:footnote>
  <w:footnote w:id="5">
    <w:p w14:paraId="0DBBA9BA"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“The Missing Piece in Uzbekistan’s Reform Puzzle,” The Diplomat, 2019, </w:t>
      </w:r>
      <w:hyperlink r:id="rId5">
        <w:r w:rsidRPr="005E0FE8">
          <w:rPr>
            <w:color w:val="1155CC"/>
            <w:sz w:val="16"/>
            <w:szCs w:val="16"/>
            <w:u w:val="single"/>
          </w:rPr>
          <w:t>https://thediplomat.com/2019/01/the-missing-piece-in-uzbekistans-reform-puzzle/</w:t>
        </w:r>
      </w:hyperlink>
      <w:r w:rsidRPr="005E0FE8">
        <w:rPr>
          <w:sz w:val="16"/>
          <w:szCs w:val="16"/>
        </w:rPr>
        <w:t xml:space="preserve">  </w:t>
      </w:r>
    </w:p>
  </w:footnote>
  <w:footnote w:id="6">
    <w:p w14:paraId="736AFB91"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“Joint Statement: Unique Opportunity for Uzbekistan to Decriminalise Same-Sex Conduct,” </w:t>
      </w:r>
      <w:hyperlink r:id="rId6">
        <w:r w:rsidRPr="005E0FE8">
          <w:rPr>
            <w:color w:val="1155CC"/>
            <w:sz w:val="16"/>
            <w:szCs w:val="16"/>
            <w:u w:val="single"/>
          </w:rPr>
          <w:t>https://www.ilga-europe.org/resources/news/latest-news/joint-statement-unique-opportunity-uzbekistan-decriminalise-same-sex</w:t>
        </w:r>
      </w:hyperlink>
      <w:r w:rsidRPr="005E0FE8">
        <w:rPr>
          <w:sz w:val="16"/>
          <w:szCs w:val="16"/>
        </w:rPr>
        <w:t xml:space="preserve"> </w:t>
      </w:r>
    </w:p>
  </w:footnote>
  <w:footnote w:id="7">
    <w:p w14:paraId="6A41CFF3"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“Uzbekistan Law Reforms Still Criminalize Homosexiality,” </w:t>
      </w:r>
      <w:hyperlink r:id="rId7">
        <w:r w:rsidRPr="005E0FE8">
          <w:rPr>
            <w:color w:val="1155CC"/>
            <w:sz w:val="16"/>
            <w:szCs w:val="16"/>
            <w:u w:val="single"/>
          </w:rPr>
          <w:t>https://www.codastory.com/disinformation/uzbekistan-lgbtq-rights/</w:t>
        </w:r>
      </w:hyperlink>
      <w:r w:rsidRPr="005E0FE8">
        <w:rPr>
          <w:sz w:val="16"/>
          <w:szCs w:val="16"/>
        </w:rPr>
        <w:t xml:space="preserve"> </w:t>
      </w:r>
    </w:p>
  </w:footnote>
  <w:footnote w:id="8">
    <w:p w14:paraId="79D39B3B" w14:textId="77777777" w:rsidR="004541C5" w:rsidRDefault="002B3C1C">
      <w:pPr>
        <w:rPr>
          <w:sz w:val="16"/>
          <w:szCs w:val="16"/>
        </w:rPr>
      </w:pPr>
      <w:r w:rsidRPr="005E0FE8">
        <w:rPr>
          <w:sz w:val="16"/>
          <w:szCs w:val="16"/>
          <w:vertAlign w:val="superscript"/>
        </w:rPr>
        <w:footnoteRef/>
      </w:r>
      <w:r w:rsidRPr="005E0FE8">
        <w:rPr>
          <w:sz w:val="16"/>
          <w:szCs w:val="16"/>
        </w:rPr>
        <w:t xml:space="preserve"> “Anti-LGBTQ Laws in Uzbekistan Fuel Hate and Violence,” </w:t>
      </w:r>
      <w:hyperlink r:id="rId8">
        <w:r w:rsidRPr="005E0FE8">
          <w:rPr>
            <w:color w:val="1155CC"/>
            <w:sz w:val="16"/>
            <w:szCs w:val="16"/>
            <w:u w:val="single"/>
          </w:rPr>
          <w:t>https://www.theguardian.com/global-development/2021/apr/02/new-laws-fuelling-increasing-hostility-and-anti-lgbtq-violence-in-uzbekistan</w:t>
        </w:r>
      </w:hyperlink>
      <w:r>
        <w:rPr>
          <w:sz w:val="16"/>
          <w:szCs w:val="16"/>
        </w:rPr>
        <w:t xml:space="preserve"> </w:t>
      </w:r>
    </w:p>
  </w:footnote>
  <w:footnote w:id="9">
    <w:p w14:paraId="45F70D3C"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Link to excerpts of the programme that include those statements in Uzbekistan language, </w:t>
      </w:r>
      <w:hyperlink r:id="rId9">
        <w:r w:rsidRPr="005E0FE8">
          <w:rPr>
            <w:color w:val="1155CC"/>
            <w:sz w:val="16"/>
            <w:szCs w:val="16"/>
            <w:u w:val="single"/>
          </w:rPr>
          <w:t>https://t.me/videobormi/64</w:t>
        </w:r>
      </w:hyperlink>
      <w:r w:rsidRPr="005E0FE8">
        <w:rPr>
          <w:sz w:val="16"/>
          <w:szCs w:val="16"/>
        </w:rPr>
        <w:t xml:space="preserve"> </w:t>
      </w:r>
    </w:p>
  </w:footnote>
  <w:footnote w:id="10">
    <w:p w14:paraId="31C398BB" w14:textId="77777777" w:rsidR="004541C5" w:rsidRDefault="002B3C1C">
      <w:pPr>
        <w:rPr>
          <w:sz w:val="20"/>
          <w:szCs w:val="20"/>
        </w:rPr>
      </w:pPr>
      <w:r w:rsidRPr="005E0FE8">
        <w:rPr>
          <w:sz w:val="16"/>
          <w:szCs w:val="16"/>
          <w:vertAlign w:val="superscript"/>
        </w:rPr>
        <w:footnoteRef/>
      </w:r>
      <w:r w:rsidRPr="005E0FE8">
        <w:rPr>
          <w:sz w:val="16"/>
          <w:szCs w:val="16"/>
        </w:rPr>
        <w:t xml:space="preserve">  Constitution of WHO, </w:t>
      </w:r>
      <w:hyperlink r:id="rId10">
        <w:r w:rsidRPr="005E0FE8">
          <w:rPr>
            <w:color w:val="1155CC"/>
            <w:sz w:val="16"/>
            <w:szCs w:val="16"/>
            <w:u w:val="single"/>
          </w:rPr>
          <w:t>https://www.who.int/governance/eb/who_constitution_en.pdf</w:t>
        </w:r>
      </w:hyperlink>
    </w:p>
  </w:footnote>
  <w:footnote w:id="11">
    <w:p w14:paraId="37C700EC"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“Criminalization of HIV Transmission,” </w:t>
      </w:r>
      <w:hyperlink r:id="rId11">
        <w:r w:rsidRPr="005E0FE8">
          <w:rPr>
            <w:color w:val="1155CC"/>
            <w:sz w:val="16"/>
            <w:szCs w:val="16"/>
            <w:u w:val="single"/>
          </w:rPr>
          <w:t>http://data.unaids.org/pub/manual/2008/jc1601_policy_brief_criminalization_long_en.pdf</w:t>
        </w:r>
      </w:hyperlink>
      <w:r w:rsidRPr="005E0FE8">
        <w:rPr>
          <w:sz w:val="16"/>
          <w:szCs w:val="16"/>
        </w:rPr>
        <w:t xml:space="preserve"> </w:t>
      </w:r>
    </w:p>
  </w:footnote>
  <w:footnote w:id="12">
    <w:p w14:paraId="687B200B"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w:t>
      </w:r>
      <w:r w:rsidRPr="005E0FE8">
        <w:rPr>
          <w:i/>
          <w:sz w:val="16"/>
          <w:szCs w:val="16"/>
        </w:rPr>
        <w:t>Legislative Analysis Related to LGBT Rights and HIV in Uzbekistan</w:t>
      </w:r>
      <w:r w:rsidRPr="005E0FE8">
        <w:rPr>
          <w:sz w:val="16"/>
          <w:szCs w:val="16"/>
        </w:rPr>
        <w:t>, ECOM, 2019.</w:t>
      </w:r>
    </w:p>
  </w:footnote>
  <w:footnote w:id="13">
    <w:p w14:paraId="56893CAE"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“Debunking Common Myths About HIV,” Human Rights Campaign, 2017, </w:t>
      </w:r>
      <w:hyperlink r:id="rId12">
        <w:r w:rsidRPr="005E0FE8">
          <w:rPr>
            <w:color w:val="1155CC"/>
            <w:sz w:val="16"/>
            <w:szCs w:val="16"/>
            <w:u w:val="single"/>
          </w:rPr>
          <w:t>https://www.hrc.org/resources/debunking-common-myths-about-hiv</w:t>
        </w:r>
      </w:hyperlink>
      <w:r w:rsidRPr="005E0FE8">
        <w:rPr>
          <w:sz w:val="16"/>
          <w:szCs w:val="16"/>
        </w:rPr>
        <w:t xml:space="preserve"> </w:t>
      </w:r>
    </w:p>
  </w:footnote>
  <w:footnote w:id="14">
    <w:p w14:paraId="69E9D49F"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w:t>
      </w:r>
      <w:r w:rsidRPr="005E0FE8">
        <w:rPr>
          <w:i/>
          <w:sz w:val="16"/>
          <w:szCs w:val="16"/>
        </w:rPr>
        <w:t>Country Progress Report — Uzbekistan</w:t>
      </w:r>
      <w:r w:rsidRPr="005E0FE8">
        <w:rPr>
          <w:sz w:val="16"/>
          <w:szCs w:val="16"/>
        </w:rPr>
        <w:t xml:space="preserve">, UNAIDS, 2018, </w:t>
      </w:r>
      <w:hyperlink r:id="rId13">
        <w:r w:rsidRPr="005E0FE8">
          <w:rPr>
            <w:color w:val="1155CC"/>
            <w:sz w:val="16"/>
            <w:szCs w:val="16"/>
            <w:u w:val="single"/>
          </w:rPr>
          <w:t>https://www.unaids.org/sites/default/files/country/documents/UZB_2018_countryreport.pdf</w:t>
        </w:r>
      </w:hyperlink>
      <w:r w:rsidRPr="005E0FE8">
        <w:rPr>
          <w:sz w:val="16"/>
          <w:szCs w:val="16"/>
        </w:rPr>
        <w:t xml:space="preserve"> </w:t>
      </w:r>
    </w:p>
  </w:footnote>
  <w:footnote w:id="15">
    <w:p w14:paraId="4A8EC9CD"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“Country Factsheets: Uzbekistan,” UNAIDS, 2019, </w:t>
      </w:r>
      <w:hyperlink r:id="rId14">
        <w:r w:rsidRPr="005E0FE8">
          <w:rPr>
            <w:color w:val="1155CC"/>
            <w:sz w:val="16"/>
            <w:szCs w:val="16"/>
            <w:u w:val="single"/>
          </w:rPr>
          <w:t>https://www.unaids.org/en/regionscountries/countries/uzbekistan</w:t>
        </w:r>
      </w:hyperlink>
      <w:r w:rsidRPr="005E0FE8">
        <w:rPr>
          <w:sz w:val="16"/>
          <w:szCs w:val="16"/>
        </w:rPr>
        <w:t xml:space="preserve"> </w:t>
      </w:r>
    </w:p>
  </w:footnote>
  <w:footnote w:id="16">
    <w:p w14:paraId="62E0A8D8" w14:textId="77777777" w:rsidR="004541C5" w:rsidRDefault="002B3C1C">
      <w:pPr>
        <w:rPr>
          <w:sz w:val="16"/>
          <w:szCs w:val="16"/>
        </w:rPr>
      </w:pPr>
      <w:r w:rsidRPr="005E0FE8">
        <w:rPr>
          <w:sz w:val="16"/>
          <w:szCs w:val="16"/>
          <w:vertAlign w:val="superscript"/>
        </w:rPr>
        <w:footnoteRef/>
      </w:r>
      <w:r w:rsidRPr="005E0FE8">
        <w:rPr>
          <w:sz w:val="16"/>
          <w:szCs w:val="16"/>
        </w:rPr>
        <w:t xml:space="preserve"> Short Overview of HIV with Regards to MSM and Trans People in Uzbekistan,” ECOM, 2019.</w:t>
      </w:r>
      <w:r>
        <w:rPr>
          <w:sz w:val="16"/>
          <w:szCs w:val="16"/>
        </w:rPr>
        <w:t xml:space="preserve"> </w:t>
      </w:r>
    </w:p>
  </w:footnote>
  <w:footnote w:id="17">
    <w:p w14:paraId="5FBA4B78"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Legislative Analysis Related to LGBT Rights and HIV in Uzbekistan, ECOM, 2019 </w:t>
      </w:r>
    </w:p>
  </w:footnote>
  <w:footnote w:id="18">
    <w:p w14:paraId="08EE351B"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Law of the Republic of Uzbekistan “On preventing the spread of diseases caused by the human immunodeficiency virus (HIV-infection).” Article 15 “Mandatory medical testing for HIV” of 23 September, 2013, ЗРУ-353.</w:t>
      </w:r>
    </w:p>
  </w:footnote>
  <w:footnote w:id="19">
    <w:p w14:paraId="3577FF9C"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Law of the Republic of Uzbekistan “On preventing the spread of diseases caused by the human immunodeficiency virus (HIV-infection).” Article 16 “Mandatory medical testing for HIV” of 23 September, 2013, ЗРУ-353.</w:t>
      </w:r>
    </w:p>
  </w:footnote>
  <w:footnote w:id="20">
    <w:p w14:paraId="5795E35B"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“Uzbekistan: Forced Anal Testing in Homosexuality Prosecutions,” </w:t>
      </w:r>
      <w:hyperlink r:id="rId15">
        <w:r w:rsidRPr="005E0FE8">
          <w:rPr>
            <w:color w:val="1155CC"/>
            <w:sz w:val="16"/>
            <w:szCs w:val="16"/>
            <w:u w:val="single"/>
          </w:rPr>
          <w:t>https://www.hrw.org/news/2021/08/05/uzbekistan-forced-anal-testing-homosexuality-prosecutions</w:t>
        </w:r>
      </w:hyperlink>
      <w:r w:rsidRPr="005E0FE8">
        <w:rPr>
          <w:sz w:val="16"/>
          <w:szCs w:val="16"/>
        </w:rPr>
        <w:t xml:space="preserve"> </w:t>
      </w:r>
    </w:p>
  </w:footnote>
  <w:footnote w:id="21">
    <w:p w14:paraId="2C3FF22D" w14:textId="77777777" w:rsidR="004541C5" w:rsidRDefault="002B3C1C">
      <w:pPr>
        <w:rPr>
          <w:sz w:val="16"/>
          <w:szCs w:val="16"/>
        </w:rPr>
      </w:pPr>
      <w:r w:rsidRPr="005E0FE8">
        <w:rPr>
          <w:sz w:val="16"/>
          <w:szCs w:val="16"/>
          <w:vertAlign w:val="superscript"/>
        </w:rPr>
        <w:footnoteRef/>
      </w:r>
      <w:r w:rsidRPr="005E0FE8">
        <w:rPr>
          <w:sz w:val="16"/>
          <w:szCs w:val="16"/>
        </w:rPr>
        <w:t xml:space="preserve"> “Uzbekistan: Forced Anal Testing in Homosexuality Prosecutions,” Human Rights Watch, 2021, </w:t>
      </w:r>
      <w:hyperlink r:id="rId16">
        <w:r w:rsidRPr="005E0FE8">
          <w:rPr>
            <w:color w:val="1155CC"/>
            <w:sz w:val="16"/>
            <w:szCs w:val="16"/>
            <w:u w:val="single"/>
          </w:rPr>
          <w:t>https://www.hrw.org/news/2021/08/05/uzbekistan-forced-anal-testing-homosexuality-prosecutions</w:t>
        </w:r>
      </w:hyperlink>
      <w:r>
        <w:rPr>
          <w:sz w:val="16"/>
          <w:szCs w:val="16"/>
        </w:rPr>
        <w:t xml:space="preserve"> </w:t>
      </w:r>
    </w:p>
  </w:footnote>
  <w:footnote w:id="22">
    <w:p w14:paraId="2C3A7334" w14:textId="77777777" w:rsidR="004541C5" w:rsidRPr="005E0FE8" w:rsidRDefault="002B3C1C">
      <w:pPr>
        <w:rPr>
          <w:sz w:val="16"/>
          <w:szCs w:val="16"/>
        </w:rPr>
      </w:pPr>
      <w:r w:rsidRPr="005E0FE8">
        <w:rPr>
          <w:sz w:val="16"/>
          <w:szCs w:val="16"/>
          <w:vertAlign w:val="superscript"/>
        </w:rPr>
        <w:footnoteRef/>
      </w:r>
      <w:r w:rsidRPr="005E0FE8">
        <w:rPr>
          <w:sz w:val="16"/>
          <w:szCs w:val="16"/>
        </w:rPr>
        <w:t xml:space="preserve"> “Murder in Tashkent: Killing of Gay Man,” Radio Liberty, 2019, </w:t>
      </w:r>
      <w:hyperlink r:id="rId17">
        <w:r w:rsidRPr="005E0FE8">
          <w:rPr>
            <w:color w:val="1155CC"/>
            <w:sz w:val="16"/>
            <w:szCs w:val="16"/>
            <w:u w:val="single"/>
          </w:rPr>
          <w:t>https://www.rferl.org/a/killing-of-gay-man-spotlights-plight-of-uzbek-lgbt-community/30167271.html</w:t>
        </w:r>
      </w:hyperlink>
      <w:r w:rsidRPr="005E0FE8">
        <w:rPr>
          <w:sz w:val="16"/>
          <w:szCs w:val="16"/>
        </w:rPr>
        <w:t xml:space="preserve"> </w:t>
      </w:r>
    </w:p>
  </w:footnote>
  <w:footnote w:id="23">
    <w:p w14:paraId="596256F9" w14:textId="77777777" w:rsidR="004541C5" w:rsidRDefault="002B3C1C">
      <w:pPr>
        <w:rPr>
          <w:sz w:val="20"/>
          <w:szCs w:val="20"/>
        </w:rPr>
      </w:pPr>
      <w:r w:rsidRPr="005E0FE8">
        <w:rPr>
          <w:sz w:val="16"/>
          <w:szCs w:val="16"/>
          <w:vertAlign w:val="superscript"/>
        </w:rPr>
        <w:footnoteRef/>
      </w:r>
      <w:r w:rsidRPr="005E0FE8">
        <w:rPr>
          <w:sz w:val="16"/>
          <w:szCs w:val="16"/>
        </w:rPr>
        <w:t xml:space="preserve"> “Everything You Need to Know About Human Rights in Uzbekistan,” Amnesty International, 2019, </w:t>
      </w:r>
      <w:hyperlink r:id="rId18">
        <w:r w:rsidRPr="005E0FE8">
          <w:rPr>
            <w:color w:val="1155CC"/>
            <w:sz w:val="16"/>
            <w:szCs w:val="16"/>
            <w:u w:val="single"/>
          </w:rPr>
          <w:t>https://www.amnesty.org/en/countries/europe-and-central-asia/uzbekistan/report-uzbekistan/</w:t>
        </w:r>
      </w:hyperlink>
      <w:r w:rsidRPr="005E0FE8">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FDEE9" w14:textId="77777777" w:rsidR="004541C5" w:rsidRDefault="002B3C1C">
    <w:pPr>
      <w:jc w:val="right"/>
      <w:rPr>
        <w:i/>
        <w:sz w:val="20"/>
        <w:szCs w:val="20"/>
      </w:rPr>
    </w:pPr>
    <w:r>
      <w:rPr>
        <w:i/>
        <w:sz w:val="20"/>
        <w:szCs w:val="20"/>
      </w:rPr>
      <w:t>Submitted by “EHPV - Estonian Network of People Living with HIV”</w:t>
    </w:r>
  </w:p>
  <w:p w14:paraId="37C74A44" w14:textId="77777777" w:rsidR="004541C5" w:rsidRDefault="002B3C1C">
    <w:pPr>
      <w:jc w:val="right"/>
      <w:rPr>
        <w:sz w:val="20"/>
        <w:szCs w:val="20"/>
      </w:rPr>
    </w:pPr>
    <w:r>
      <w:rPr>
        <w:sz w:val="20"/>
        <w:szCs w:val="20"/>
      </w:rPr>
      <w:t>Alternative Report Regarding E/C.12/UZB/RQ/3</w:t>
    </w:r>
  </w:p>
  <w:p w14:paraId="7378E053" w14:textId="77777777" w:rsidR="004541C5" w:rsidRDefault="002B3C1C">
    <w:pPr>
      <w:jc w:val="right"/>
      <w:rPr>
        <w:sz w:val="20"/>
        <w:szCs w:val="20"/>
      </w:rPr>
    </w:pPr>
    <w:r>
      <w:rPr>
        <w:sz w:val="20"/>
        <w:szCs w:val="20"/>
      </w:rPr>
      <w:t>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88168" w14:textId="77777777" w:rsidR="005E0FE8" w:rsidRDefault="005E0FE8" w:rsidP="005E0FE8">
    <w:pPr>
      <w:jc w:val="center"/>
      <w:rPr>
        <w:sz w:val="24"/>
        <w:szCs w:val="24"/>
      </w:rPr>
    </w:pPr>
  </w:p>
  <w:p w14:paraId="71534135" w14:textId="4D70D497" w:rsidR="004541C5" w:rsidRPr="005E0FE8" w:rsidRDefault="002B3C1C" w:rsidP="005E0FE8">
    <w:pPr>
      <w:jc w:val="center"/>
      <w:rPr>
        <w:sz w:val="24"/>
        <w:szCs w:val="24"/>
        <w:highlight w:val="yellow"/>
      </w:rPr>
    </w:pPr>
    <w:r>
      <w:rPr>
        <w:sz w:val="24"/>
        <w:szCs w:val="24"/>
      </w:rPr>
      <w:t>Submitted by “EHPV - Estonian Network of People Living with HIV”</w:t>
    </w:r>
  </w:p>
  <w:p w14:paraId="21F981CC" w14:textId="28D865D4" w:rsidR="004541C5" w:rsidRDefault="005E0FE8" w:rsidP="005E0FE8">
    <w:pPr>
      <w:tabs>
        <w:tab w:val="center" w:pos="4817"/>
        <w:tab w:val="left" w:pos="8322"/>
      </w:tabs>
      <w:rPr>
        <w:sz w:val="24"/>
        <w:szCs w:val="24"/>
      </w:rPr>
    </w:pPr>
    <w:r>
      <w:rPr>
        <w:sz w:val="24"/>
        <w:szCs w:val="24"/>
      </w:rPr>
      <w:tab/>
    </w:r>
    <w:r w:rsidR="002B3C1C">
      <w:rPr>
        <w:sz w:val="24"/>
        <w:szCs w:val="24"/>
      </w:rPr>
      <w:t>Alternative Report Regarding E/C.12/UZB/RQ/3</w:t>
    </w:r>
    <w:r>
      <w:rPr>
        <w:sz w:val="24"/>
        <w:szCs w:val="24"/>
      </w:rPr>
      <w:tab/>
    </w:r>
  </w:p>
  <w:p w14:paraId="10C73C74" w14:textId="4666D7BA" w:rsidR="005E0FE8" w:rsidRDefault="005E0FE8" w:rsidP="005E0FE8">
    <w:pPr>
      <w:tabs>
        <w:tab w:val="center" w:pos="4817"/>
        <w:tab w:val="left" w:pos="8322"/>
      </w:tabs>
      <w:rPr>
        <w:sz w:val="24"/>
        <w:szCs w:val="24"/>
      </w:rPr>
    </w:pPr>
  </w:p>
  <w:p w14:paraId="6AF8411A" w14:textId="26F26158" w:rsidR="005E0FE8" w:rsidRPr="005E0FE8" w:rsidRDefault="005E0FE8" w:rsidP="005E0FE8">
    <w:pPr>
      <w:jc w:val="center"/>
      <w:rPr>
        <w:sz w:val="24"/>
        <w:szCs w:val="24"/>
      </w:rPr>
    </w:pPr>
    <w:r w:rsidRPr="005E0FE8">
      <w:rPr>
        <w:sz w:val="24"/>
        <w:szCs w:val="24"/>
      </w:rPr>
      <w:fldChar w:fldCharType="begin"/>
    </w:r>
    <w:r w:rsidRPr="005E0FE8">
      <w:rPr>
        <w:sz w:val="24"/>
        <w:szCs w:val="24"/>
      </w:rPr>
      <w:instrText xml:space="preserve"> INCLUDEPICTURE "/var/folders/f8/8x4wm6mj3vj11c_mqw2dsvxc0000gn/T/com.microsoft.Word/WebArchiveCopyPasteTempFiles/ehpv_logo_en.jpg" \* MERGEFORMATINET </w:instrText>
    </w:r>
    <w:r w:rsidRPr="005E0FE8">
      <w:rPr>
        <w:sz w:val="24"/>
        <w:szCs w:val="24"/>
      </w:rPr>
      <w:fldChar w:fldCharType="separate"/>
    </w:r>
    <w:r w:rsidRPr="005E0FE8">
      <w:rPr>
        <w:noProof/>
        <w:sz w:val="24"/>
        <w:szCs w:val="24"/>
        <w:lang w:val="en-GB"/>
      </w:rPr>
      <w:drawing>
        <wp:inline distT="0" distB="0" distL="0" distR="0" wp14:anchorId="616496C0" wp14:editId="307D4E83">
          <wp:extent cx="1998921" cy="653206"/>
          <wp:effectExtent l="0" t="0" r="0" b="0"/>
          <wp:docPr id="2" name="Picture 2" descr="EHPV – Eesti HIV-positiivsite Võrgust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PV – Eesti HIV-positiivsite Võrgust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8464" cy="659592"/>
                  </a:xfrm>
                  <a:prstGeom prst="rect">
                    <a:avLst/>
                  </a:prstGeom>
                  <a:noFill/>
                  <a:ln>
                    <a:noFill/>
                  </a:ln>
                </pic:spPr>
              </pic:pic>
            </a:graphicData>
          </a:graphic>
        </wp:inline>
      </w:drawing>
    </w:r>
    <w:r w:rsidRPr="005E0FE8">
      <w:rPr>
        <w:sz w:val="24"/>
        <w:szCs w:val="24"/>
      </w:rPr>
      <w:fldChar w:fldCharType="end"/>
    </w:r>
  </w:p>
  <w:p w14:paraId="726ECD23" w14:textId="77777777" w:rsidR="005E0FE8" w:rsidRDefault="005E0FE8" w:rsidP="005E0FE8">
    <w:pPr>
      <w:tabs>
        <w:tab w:val="center" w:pos="4817"/>
        <w:tab w:val="left" w:pos="8322"/>
      </w:tabs>
      <w:rPr>
        <w:sz w:val="24"/>
        <w:szCs w:val="24"/>
      </w:rPr>
    </w:pPr>
  </w:p>
  <w:p w14:paraId="7BF5262E" w14:textId="77777777" w:rsidR="004541C5" w:rsidRDefault="004541C5">
    <w:pPr>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01469"/>
    <w:multiLevelType w:val="multilevel"/>
    <w:tmpl w:val="59D6E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36451B"/>
    <w:multiLevelType w:val="multilevel"/>
    <w:tmpl w:val="9D80A79C"/>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5B546C1F"/>
    <w:multiLevelType w:val="multilevel"/>
    <w:tmpl w:val="6C8A49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1C5"/>
    <w:rsid w:val="002B3C1C"/>
    <w:rsid w:val="003E43FF"/>
    <w:rsid w:val="004541C5"/>
    <w:rsid w:val="005E0FE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76D1A615"/>
  <w15:docId w15:val="{D499F067-882B-A440-BC8B-FE46220D4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5E0FE8"/>
    <w:pPr>
      <w:tabs>
        <w:tab w:val="center" w:pos="4513"/>
        <w:tab w:val="right" w:pos="9026"/>
      </w:tabs>
    </w:pPr>
  </w:style>
  <w:style w:type="character" w:customStyle="1" w:styleId="HeaderChar">
    <w:name w:val="Header Char"/>
    <w:basedOn w:val="DefaultParagraphFont"/>
    <w:link w:val="Header"/>
    <w:uiPriority w:val="99"/>
    <w:rsid w:val="005E0FE8"/>
  </w:style>
  <w:style w:type="paragraph" w:styleId="Footer">
    <w:name w:val="footer"/>
    <w:basedOn w:val="Normal"/>
    <w:link w:val="FooterChar"/>
    <w:uiPriority w:val="99"/>
    <w:unhideWhenUsed/>
    <w:rsid w:val="005E0FE8"/>
    <w:pPr>
      <w:tabs>
        <w:tab w:val="center" w:pos="4513"/>
        <w:tab w:val="right" w:pos="9026"/>
      </w:tabs>
    </w:pPr>
  </w:style>
  <w:style w:type="character" w:customStyle="1" w:styleId="FooterChar">
    <w:name w:val="Footer Char"/>
    <w:basedOn w:val="DefaultParagraphFont"/>
    <w:link w:val="Footer"/>
    <w:uiPriority w:val="99"/>
    <w:rsid w:val="005E0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192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theguardian.com/global-development/2021/apr/02/new-laws-fuelling-increasing-hostility-and-anti-lgbtq-violence-in-uzbekistan" TargetMode="External"/><Relationship Id="rId13" Type="http://schemas.openxmlformats.org/officeDocument/2006/relationships/hyperlink" Target="https://www.unaids.org/sites/default/files/country/documents/UZB_2018_countryreport.pdf" TargetMode="External"/><Relationship Id="rId18" Type="http://schemas.openxmlformats.org/officeDocument/2006/relationships/hyperlink" Target="https://www.amnesty.org/en/countries/europe-and-central-asia/uzbekistan/report-uzbekistan/" TargetMode="External"/><Relationship Id="rId3" Type="http://schemas.openxmlformats.org/officeDocument/2006/relationships/hyperlink" Target="https://undocs.org/en/CCPR/C/UZB/5" TargetMode="External"/><Relationship Id="rId7" Type="http://schemas.openxmlformats.org/officeDocument/2006/relationships/hyperlink" Target="https://www.codastory.com/disinformation/uzbekistan-lgbtq-rights/" TargetMode="External"/><Relationship Id="rId12" Type="http://schemas.openxmlformats.org/officeDocument/2006/relationships/hyperlink" Target="https://www.hrc.org/resources/debunking-common-myths-about-hiv" TargetMode="External"/><Relationship Id="rId17" Type="http://schemas.openxmlformats.org/officeDocument/2006/relationships/hyperlink" Target="https://www.rferl.org/a/killing-of-gay-man-spotlights-plight-of-uzbek-lgbt-community/30167271.html" TargetMode="External"/><Relationship Id="rId2" Type="http://schemas.openxmlformats.org/officeDocument/2006/relationships/hyperlink" Target="https://www.rferl.org/a/uzbek-journalists-resign-after-tashkent-mayors-death-gay-threats-/30282235.html" TargetMode="External"/><Relationship Id="rId16" Type="http://schemas.openxmlformats.org/officeDocument/2006/relationships/hyperlink" Target="https://www.hrw.org/news/2021/08/05/uzbekistan-forced-anal-testing-homosexuality-prosecutions" TargetMode="External"/><Relationship Id="rId1" Type="http://schemas.openxmlformats.org/officeDocument/2006/relationships/hyperlink" Target="https://study.soas.ac.uk/how-democracy-levels-correlate-with-lgbt-and-human-rights/" TargetMode="External"/><Relationship Id="rId6" Type="http://schemas.openxmlformats.org/officeDocument/2006/relationships/hyperlink" Target="https://www.ilga-europe.org/resources/news/latest-news/joint-statement-unique-opportunity-uzbekistan-decriminalise-same-sex" TargetMode="External"/><Relationship Id="rId11" Type="http://schemas.openxmlformats.org/officeDocument/2006/relationships/hyperlink" Target="http://data.unaids.org/pub/manual/2008/jc1601_policy_brief_criminalization_long_en.pdf" TargetMode="External"/><Relationship Id="rId5" Type="http://schemas.openxmlformats.org/officeDocument/2006/relationships/hyperlink" Target="https://thediplomat.com/2019/01/the-missing-piece-in-uzbekistans-reform-puzzle/" TargetMode="External"/><Relationship Id="rId15" Type="http://schemas.openxmlformats.org/officeDocument/2006/relationships/hyperlink" Target="https://www.hrw.org/news/2021/08/05/uzbekistan-forced-anal-testing-homosexuality-prosecutions" TargetMode="External"/><Relationship Id="rId10" Type="http://schemas.openxmlformats.org/officeDocument/2006/relationships/hyperlink" Target="https://www.who.int/governance/eb/who_constitution_en.pdf" TargetMode="External"/><Relationship Id="rId4" Type="http://schemas.openxmlformats.org/officeDocument/2006/relationships/hyperlink" Target="https://www.ohchr.org/documents/HRBodies/HRCouncil/AdvisoryCom/Session10/A.HRC.22.71_en.pdf" TargetMode="External"/><Relationship Id="rId9" Type="http://schemas.openxmlformats.org/officeDocument/2006/relationships/hyperlink" Target="https://t.me/videobormi/64" TargetMode="External"/><Relationship Id="rId14" Type="http://schemas.openxmlformats.org/officeDocument/2006/relationships/hyperlink" Target="https://www.unaids.org/en/regionscountries/countries/uzbekista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41FA37-C245-4293-9FFA-87C71D4E621F}"/>
</file>

<file path=customXml/itemProps2.xml><?xml version="1.0" encoding="utf-8"?>
<ds:datastoreItem xmlns:ds="http://schemas.openxmlformats.org/officeDocument/2006/customXml" ds:itemID="{BB5EB94C-9C71-4A29-93B2-B307A43566A7}"/>
</file>

<file path=customXml/itemProps3.xml><?xml version="1.0" encoding="utf-8"?>
<ds:datastoreItem xmlns:ds="http://schemas.openxmlformats.org/officeDocument/2006/customXml" ds:itemID="{1DCE39C5-DD75-46AE-9A0C-2D85DA3F2E50}"/>
</file>

<file path=docProps/app.xml><?xml version="1.0" encoding="utf-8"?>
<Properties xmlns="http://schemas.openxmlformats.org/officeDocument/2006/extended-properties" xmlns:vt="http://schemas.openxmlformats.org/officeDocument/2006/docPropsVTypes">
  <Template>Normal.dotm</Template>
  <TotalTime>0</TotalTime>
  <Pages>10</Pages>
  <Words>5061</Words>
  <Characters>28851</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2022-01-10T18:37:00Z</dcterms:created>
  <dcterms:modified xsi:type="dcterms:W3CDTF">2022-01-10T18:37:00Z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