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46B3A" w14:textId="7E18CD6B" w:rsidR="009B3630" w:rsidRPr="005B22B2" w:rsidRDefault="009B3630" w:rsidP="009B3630">
      <w:pPr>
        <w:pStyle w:val="HMG"/>
        <w:spacing w:after="0" w:line="360" w:lineRule="auto"/>
        <w:ind w:left="1138" w:right="1138" w:hanging="1138"/>
        <w:jc w:val="center"/>
        <w:rPr>
          <w:sz w:val="56"/>
          <w:szCs w:val="56"/>
        </w:rPr>
      </w:pPr>
      <w:r w:rsidRPr="005B22B2">
        <w:rPr>
          <w:sz w:val="56"/>
          <w:szCs w:val="56"/>
        </w:rPr>
        <w:t>Submitted under Article</w:t>
      </w:r>
      <w:r>
        <w:rPr>
          <w:sz w:val="56"/>
          <w:szCs w:val="56"/>
        </w:rPr>
        <w:t xml:space="preserve">s 16 and 17 </w:t>
      </w:r>
      <w:r w:rsidRPr="005B22B2">
        <w:rPr>
          <w:sz w:val="56"/>
          <w:szCs w:val="56"/>
        </w:rPr>
        <w:t xml:space="preserve">of the International Covenant on </w:t>
      </w:r>
      <w:r>
        <w:rPr>
          <w:sz w:val="56"/>
          <w:szCs w:val="56"/>
        </w:rPr>
        <w:t xml:space="preserve">Economic, Social and Cultural </w:t>
      </w:r>
      <w:r w:rsidRPr="005B22B2">
        <w:rPr>
          <w:sz w:val="56"/>
          <w:szCs w:val="56"/>
        </w:rPr>
        <w:t>Rights</w:t>
      </w:r>
    </w:p>
    <w:p w14:paraId="2742827D" w14:textId="77777777" w:rsidR="009B3630" w:rsidRDefault="009B3630" w:rsidP="009B3630">
      <w:pPr>
        <w:pStyle w:val="HChG"/>
        <w:outlineLvl w:val="0"/>
      </w:pPr>
      <w:r w:rsidRPr="00E80860">
        <w:tab/>
      </w:r>
      <w:r w:rsidRPr="00E80860">
        <w:tab/>
      </w:r>
    </w:p>
    <w:p w14:paraId="3D94B6E6" w14:textId="77777777" w:rsidR="009B3630" w:rsidRDefault="009B3630" w:rsidP="009B3630">
      <w:pPr>
        <w:pStyle w:val="HChG"/>
        <w:outlineLvl w:val="0"/>
      </w:pPr>
    </w:p>
    <w:p w14:paraId="0D3965F5" w14:textId="77777777" w:rsidR="009B3630" w:rsidRDefault="009B3630" w:rsidP="009B3630">
      <w:pPr>
        <w:pStyle w:val="HChG"/>
        <w:outlineLvl w:val="0"/>
      </w:pPr>
    </w:p>
    <w:p w14:paraId="6E0917A8" w14:textId="77777777" w:rsidR="009B3630" w:rsidRDefault="009B3630" w:rsidP="009B3630">
      <w:pPr>
        <w:pStyle w:val="HMG"/>
        <w:spacing w:after="0" w:line="360" w:lineRule="auto"/>
        <w:ind w:left="1138" w:right="1138" w:hanging="1138"/>
        <w:jc w:val="center"/>
        <w:rPr>
          <w:sz w:val="52"/>
          <w:szCs w:val="52"/>
        </w:rPr>
      </w:pPr>
      <w:r>
        <w:rPr>
          <w:sz w:val="52"/>
          <w:szCs w:val="52"/>
        </w:rPr>
        <w:t>Fourth</w:t>
      </w:r>
      <w:r w:rsidRPr="005B22B2">
        <w:rPr>
          <w:sz w:val="52"/>
          <w:szCs w:val="52"/>
        </w:rPr>
        <w:t xml:space="preserve"> and </w:t>
      </w:r>
      <w:r>
        <w:rPr>
          <w:sz w:val="52"/>
          <w:szCs w:val="52"/>
        </w:rPr>
        <w:t xml:space="preserve">Fifth Combined </w:t>
      </w:r>
      <w:r w:rsidRPr="005B22B2">
        <w:rPr>
          <w:sz w:val="52"/>
          <w:szCs w:val="52"/>
        </w:rPr>
        <w:t>Periodic Reports of Ethiopia</w:t>
      </w:r>
    </w:p>
    <w:p w14:paraId="6DDD75F3" w14:textId="77777777" w:rsidR="009B3630" w:rsidRDefault="009B3630" w:rsidP="009B3630"/>
    <w:p w14:paraId="6402D719" w14:textId="77777777" w:rsidR="009B3630" w:rsidRDefault="009B3630" w:rsidP="009B3630"/>
    <w:p w14:paraId="5C02C29B" w14:textId="77777777" w:rsidR="009B3630" w:rsidRDefault="009B3630" w:rsidP="009B3630"/>
    <w:p w14:paraId="70F09D0E" w14:textId="77777777" w:rsidR="009B3630" w:rsidRDefault="009B3630" w:rsidP="009B3630"/>
    <w:p w14:paraId="59C61FBD" w14:textId="77777777" w:rsidR="009B3630" w:rsidRDefault="009B3630" w:rsidP="009B3630"/>
    <w:p w14:paraId="2311C8D9" w14:textId="2E6123F3" w:rsidR="009B3630" w:rsidRPr="00604819" w:rsidRDefault="009B3630" w:rsidP="009B3630">
      <w:pPr>
        <w:jc w:val="center"/>
        <w:rPr>
          <w:rFonts w:ascii="Times New Roman" w:hAnsi="Times New Roman" w:cs="Times New Roman"/>
          <w:b/>
          <w:sz w:val="32"/>
          <w:szCs w:val="32"/>
        </w:rPr>
      </w:pPr>
      <w:r>
        <w:rPr>
          <w:rFonts w:ascii="Times New Roman" w:hAnsi="Times New Roman" w:cs="Times New Roman"/>
          <w:b/>
          <w:sz w:val="32"/>
          <w:szCs w:val="32"/>
        </w:rPr>
        <w:t xml:space="preserve">                                </w:t>
      </w:r>
      <w:r w:rsidR="007B1B1A">
        <w:rPr>
          <w:rFonts w:ascii="Times New Roman" w:hAnsi="Times New Roman" w:cs="Times New Roman"/>
          <w:b/>
          <w:sz w:val="32"/>
          <w:szCs w:val="32"/>
        </w:rPr>
        <w:t xml:space="preserve">August </w:t>
      </w:r>
      <w:r w:rsidRPr="00604819">
        <w:rPr>
          <w:rFonts w:ascii="Times New Roman" w:hAnsi="Times New Roman" w:cs="Times New Roman"/>
          <w:b/>
          <w:sz w:val="32"/>
          <w:szCs w:val="32"/>
        </w:rPr>
        <w:t>2025</w:t>
      </w:r>
    </w:p>
    <w:p w14:paraId="7C52DFEE" w14:textId="77777777" w:rsidR="009B3630" w:rsidRDefault="009B3630" w:rsidP="009B3630"/>
    <w:p w14:paraId="1265A905" w14:textId="77777777" w:rsidR="009B3630" w:rsidRDefault="009B3630" w:rsidP="009B3630"/>
    <w:p w14:paraId="6111EC85" w14:textId="77777777" w:rsidR="009B3630" w:rsidRDefault="009B3630" w:rsidP="009B3630"/>
    <w:p w14:paraId="2BC65E4A" w14:textId="77777777" w:rsidR="00A354ED" w:rsidRPr="00A354ED" w:rsidRDefault="00A354ED" w:rsidP="00A354ED">
      <w:pPr>
        <w:spacing w:after="120"/>
        <w:ind w:left="1530" w:firstLine="630"/>
        <w:rPr>
          <w:rFonts w:ascii="Times New Roman" w:hAnsi="Times New Roman" w:cs="Times New Roman"/>
          <w:b/>
          <w:bCs/>
          <w:sz w:val="24"/>
          <w:szCs w:val="24"/>
        </w:rPr>
      </w:pPr>
      <w:r w:rsidRPr="00A354ED">
        <w:rPr>
          <w:rFonts w:ascii="Times New Roman" w:hAnsi="Times New Roman" w:cs="Times New Roman"/>
          <w:b/>
          <w:bCs/>
          <w:sz w:val="24"/>
          <w:szCs w:val="24"/>
        </w:rPr>
        <w:lastRenderedPageBreak/>
        <w:t>Contents</w:t>
      </w:r>
    </w:p>
    <w:p w14:paraId="741C1752" w14:textId="64236287" w:rsidR="00A354ED" w:rsidRPr="00A354ED" w:rsidRDefault="00A354ED" w:rsidP="00A354ED">
      <w:pPr>
        <w:tabs>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i/>
          <w:sz w:val="24"/>
          <w:szCs w:val="24"/>
        </w:rPr>
        <w:tab/>
      </w:r>
      <w:r>
        <w:rPr>
          <w:rFonts w:ascii="Times New Roman" w:hAnsi="Times New Roman" w:cs="Times New Roman"/>
          <w:i/>
          <w:sz w:val="24"/>
          <w:szCs w:val="24"/>
        </w:rPr>
        <w:t xml:space="preserve">                                                                                                      </w:t>
      </w:r>
      <w:r w:rsidRPr="00A354ED">
        <w:rPr>
          <w:rFonts w:ascii="Times New Roman" w:hAnsi="Times New Roman" w:cs="Times New Roman"/>
          <w:i/>
          <w:sz w:val="24"/>
          <w:szCs w:val="24"/>
        </w:rPr>
        <w:t>Paragraphs</w:t>
      </w:r>
      <w:r>
        <w:rPr>
          <w:rFonts w:ascii="Times New Roman" w:hAnsi="Times New Roman" w:cs="Times New Roman"/>
          <w:i/>
          <w:sz w:val="24"/>
          <w:szCs w:val="24"/>
        </w:rPr>
        <w:t xml:space="preserve"> </w:t>
      </w:r>
      <w:r w:rsidRPr="00A354ED">
        <w:rPr>
          <w:rFonts w:ascii="Times New Roman" w:hAnsi="Times New Roman" w:cs="Times New Roman"/>
          <w:i/>
          <w:sz w:val="24"/>
          <w:szCs w:val="24"/>
        </w:rPr>
        <w:t>Page</w:t>
      </w:r>
    </w:p>
    <w:p w14:paraId="74B787D7" w14:textId="139473EB" w:rsidR="00A354ED" w:rsidRPr="00A354ED" w:rsidRDefault="00A354ED" w:rsidP="00A354ED">
      <w:pPr>
        <w:tabs>
          <w:tab w:val="right" w:pos="850"/>
          <w:tab w:val="left" w:pos="1134"/>
          <w:tab w:val="left" w:pos="1559"/>
          <w:tab w:val="left" w:pos="1984"/>
          <w:tab w:val="left" w:leader="do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List of acronyms</w:t>
      </w:r>
      <w:r>
        <w:rPr>
          <w:rFonts w:ascii="Times New Roman" w:hAnsi="Times New Roman" w:cs="Times New Roman"/>
          <w:sz w:val="24"/>
          <w:szCs w:val="24"/>
        </w:rPr>
        <w:t>……………………………………………………………………...2</w:t>
      </w:r>
    </w:p>
    <w:p w14:paraId="3FE34867" w14:textId="2481608C"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t>I.</w:t>
      </w:r>
      <w:r w:rsidRPr="00A354ED">
        <w:rPr>
          <w:rFonts w:ascii="Times New Roman" w:hAnsi="Times New Roman" w:cs="Times New Roman"/>
          <w:sz w:val="24"/>
          <w:szCs w:val="24"/>
        </w:rPr>
        <w:tab/>
        <w:t>Introduction</w:t>
      </w:r>
      <w:r w:rsidRPr="00A354ED">
        <w:rPr>
          <w:rFonts w:ascii="Times New Roman" w:hAnsi="Times New Roman" w:cs="Times New Roman"/>
          <w:sz w:val="24"/>
          <w:szCs w:val="24"/>
        </w:rPr>
        <w:tab/>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A354ED">
        <w:rPr>
          <w:rFonts w:ascii="Times New Roman" w:hAnsi="Times New Roman" w:cs="Times New Roman"/>
          <w:sz w:val="24"/>
          <w:szCs w:val="24"/>
        </w:rPr>
        <w:tab/>
        <w:t>1–</w:t>
      </w:r>
      <w:r>
        <w:rPr>
          <w:rFonts w:ascii="Times New Roman" w:hAnsi="Times New Roman" w:cs="Times New Roman"/>
          <w:sz w:val="24"/>
          <w:szCs w:val="24"/>
        </w:rPr>
        <w:t>5</w:t>
      </w:r>
      <w:r w:rsidRPr="00A354ED">
        <w:rPr>
          <w:rFonts w:ascii="Times New Roman" w:hAnsi="Times New Roman" w:cs="Times New Roman"/>
          <w:sz w:val="24"/>
          <w:szCs w:val="24"/>
        </w:rPr>
        <w:tab/>
      </w:r>
      <w:r>
        <w:rPr>
          <w:rFonts w:ascii="Times New Roman" w:hAnsi="Times New Roman" w:cs="Times New Roman"/>
          <w:sz w:val="24"/>
          <w:szCs w:val="24"/>
        </w:rPr>
        <w:t>3</w:t>
      </w:r>
    </w:p>
    <w:p w14:paraId="0D5D76A8" w14:textId="4DCD0236"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t>II.</w:t>
      </w:r>
      <w:r w:rsidRPr="00A354ED">
        <w:rPr>
          <w:rFonts w:ascii="Times New Roman" w:hAnsi="Times New Roman" w:cs="Times New Roman"/>
          <w:sz w:val="24"/>
          <w:szCs w:val="24"/>
        </w:rPr>
        <w:tab/>
        <w:t>Information on the implementation of the Convention</w:t>
      </w:r>
      <w:r w:rsidRPr="00A354ED">
        <w:rPr>
          <w:rFonts w:ascii="Times New Roman" w:hAnsi="Times New Roman" w:cs="Times New Roman"/>
          <w:sz w:val="24"/>
          <w:szCs w:val="24"/>
        </w:rPr>
        <w:tab/>
      </w:r>
      <w:r>
        <w:rPr>
          <w:rFonts w:ascii="Times New Roman" w:hAnsi="Times New Roman" w:cs="Times New Roman"/>
          <w:sz w:val="24"/>
          <w:szCs w:val="24"/>
        </w:rPr>
        <w:t>………. 6</w:t>
      </w:r>
      <w:r w:rsidRPr="00A354ED">
        <w:rPr>
          <w:rFonts w:ascii="Times New Roman" w:hAnsi="Times New Roman" w:cs="Times New Roman"/>
          <w:sz w:val="24"/>
          <w:szCs w:val="24"/>
        </w:rPr>
        <w:t>–</w:t>
      </w:r>
      <w:r w:rsidR="000F638D">
        <w:rPr>
          <w:rFonts w:ascii="Times New Roman" w:hAnsi="Times New Roman" w:cs="Times New Roman"/>
          <w:sz w:val="24"/>
          <w:szCs w:val="24"/>
        </w:rPr>
        <w:t>362</w:t>
      </w:r>
      <w:r w:rsidRPr="00A354ED">
        <w:rPr>
          <w:rFonts w:ascii="Times New Roman" w:hAnsi="Times New Roman" w:cs="Times New Roman"/>
          <w:sz w:val="24"/>
          <w:szCs w:val="24"/>
        </w:rPr>
        <w:tab/>
      </w:r>
      <w:r>
        <w:rPr>
          <w:rFonts w:ascii="Times New Roman" w:hAnsi="Times New Roman" w:cs="Times New Roman"/>
          <w:sz w:val="24"/>
          <w:szCs w:val="24"/>
        </w:rPr>
        <w:t>4</w:t>
      </w:r>
    </w:p>
    <w:p w14:paraId="559DB956" w14:textId="5FCAEBE8"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1: The right to self-determination</w:t>
      </w:r>
      <w:r w:rsidRPr="00A354ED">
        <w:rPr>
          <w:rFonts w:ascii="Times New Roman" w:hAnsi="Times New Roman" w:cs="Times New Roman"/>
          <w:sz w:val="24"/>
          <w:szCs w:val="24"/>
        </w:rPr>
        <w:tab/>
      </w:r>
      <w:r w:rsidR="000F638D">
        <w:rPr>
          <w:rFonts w:ascii="Times New Roman" w:hAnsi="Times New Roman" w:cs="Times New Roman"/>
          <w:sz w:val="24"/>
          <w:szCs w:val="24"/>
        </w:rPr>
        <w:t>……….  6</w:t>
      </w:r>
      <w:r w:rsidRPr="00A354ED">
        <w:rPr>
          <w:rFonts w:ascii="Times New Roman" w:hAnsi="Times New Roman" w:cs="Times New Roman"/>
          <w:sz w:val="24"/>
          <w:szCs w:val="24"/>
        </w:rPr>
        <w:t>–</w:t>
      </w:r>
      <w:r w:rsidR="000F638D">
        <w:rPr>
          <w:rFonts w:ascii="Times New Roman" w:hAnsi="Times New Roman" w:cs="Times New Roman"/>
          <w:sz w:val="24"/>
          <w:szCs w:val="24"/>
        </w:rPr>
        <w:t xml:space="preserve">11 </w:t>
      </w:r>
      <w:r w:rsidRPr="00A354ED">
        <w:rPr>
          <w:rFonts w:ascii="Times New Roman" w:hAnsi="Times New Roman" w:cs="Times New Roman"/>
          <w:sz w:val="24"/>
          <w:szCs w:val="24"/>
        </w:rPr>
        <w:tab/>
      </w:r>
      <w:r>
        <w:rPr>
          <w:rFonts w:ascii="Times New Roman" w:hAnsi="Times New Roman" w:cs="Times New Roman"/>
          <w:sz w:val="24"/>
          <w:szCs w:val="24"/>
        </w:rPr>
        <w:t>4</w:t>
      </w:r>
    </w:p>
    <w:p w14:paraId="1EDBFBD3" w14:textId="0223226B"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 xml:space="preserve">Article 2: </w:t>
      </w:r>
      <w:r w:rsidR="000F638D" w:rsidRPr="000F638D">
        <w:rPr>
          <w:rFonts w:ascii="Times New Roman" w:hAnsi="Times New Roman" w:cs="Times New Roman"/>
          <w:sz w:val="24"/>
          <w:szCs w:val="24"/>
        </w:rPr>
        <w:t>Legislative, Policy and Administrative Measures</w:t>
      </w:r>
      <w:r w:rsidRPr="00A354ED">
        <w:rPr>
          <w:rFonts w:ascii="Times New Roman" w:hAnsi="Times New Roman" w:cs="Times New Roman"/>
          <w:sz w:val="24"/>
          <w:szCs w:val="24"/>
        </w:rPr>
        <w:tab/>
      </w:r>
      <w:r w:rsidR="000F638D">
        <w:rPr>
          <w:rFonts w:ascii="Times New Roman" w:hAnsi="Times New Roman" w:cs="Times New Roman"/>
          <w:sz w:val="24"/>
          <w:szCs w:val="24"/>
        </w:rPr>
        <w:t>………</w:t>
      </w:r>
      <w:r w:rsidRPr="00A354ED">
        <w:rPr>
          <w:rFonts w:ascii="Times New Roman" w:hAnsi="Times New Roman" w:cs="Times New Roman"/>
          <w:sz w:val="24"/>
          <w:szCs w:val="24"/>
        </w:rPr>
        <w:tab/>
        <w:t>1</w:t>
      </w:r>
      <w:r w:rsidR="000F638D">
        <w:rPr>
          <w:rFonts w:ascii="Times New Roman" w:hAnsi="Times New Roman" w:cs="Times New Roman"/>
          <w:sz w:val="24"/>
          <w:szCs w:val="24"/>
        </w:rPr>
        <w:t>2</w:t>
      </w:r>
      <w:r w:rsidRPr="00A354ED">
        <w:rPr>
          <w:rFonts w:ascii="Times New Roman" w:hAnsi="Times New Roman" w:cs="Times New Roman"/>
          <w:sz w:val="24"/>
          <w:szCs w:val="24"/>
        </w:rPr>
        <w:t>–3</w:t>
      </w:r>
      <w:r w:rsidR="000F638D">
        <w:rPr>
          <w:rFonts w:ascii="Times New Roman" w:hAnsi="Times New Roman" w:cs="Times New Roman"/>
          <w:sz w:val="24"/>
          <w:szCs w:val="24"/>
        </w:rPr>
        <w:t>2</w:t>
      </w:r>
      <w:r w:rsidRPr="00A354ED">
        <w:rPr>
          <w:rFonts w:ascii="Times New Roman" w:hAnsi="Times New Roman" w:cs="Times New Roman"/>
          <w:sz w:val="24"/>
          <w:szCs w:val="24"/>
        </w:rPr>
        <w:tab/>
      </w:r>
      <w:r w:rsidR="000F638D">
        <w:rPr>
          <w:rFonts w:ascii="Times New Roman" w:hAnsi="Times New Roman" w:cs="Times New Roman"/>
          <w:sz w:val="24"/>
          <w:szCs w:val="24"/>
        </w:rPr>
        <w:t>5</w:t>
      </w:r>
    </w:p>
    <w:p w14:paraId="7858907C" w14:textId="22540245"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3: Equal rights for men and women</w:t>
      </w:r>
      <w:r w:rsidRPr="00A354ED">
        <w:rPr>
          <w:rFonts w:ascii="Times New Roman" w:hAnsi="Times New Roman" w:cs="Times New Roman"/>
          <w:sz w:val="24"/>
          <w:szCs w:val="24"/>
        </w:rPr>
        <w:tab/>
      </w:r>
      <w:r w:rsidRPr="00A354ED">
        <w:rPr>
          <w:rFonts w:ascii="Times New Roman" w:hAnsi="Times New Roman" w:cs="Times New Roman"/>
          <w:sz w:val="24"/>
          <w:szCs w:val="24"/>
        </w:rPr>
        <w:tab/>
        <w:t>3</w:t>
      </w:r>
      <w:r w:rsidR="000F638D">
        <w:rPr>
          <w:rFonts w:ascii="Times New Roman" w:hAnsi="Times New Roman" w:cs="Times New Roman"/>
          <w:sz w:val="24"/>
          <w:szCs w:val="24"/>
        </w:rPr>
        <w:t>3</w:t>
      </w:r>
      <w:r w:rsidRPr="00A354ED">
        <w:rPr>
          <w:rFonts w:ascii="Times New Roman" w:hAnsi="Times New Roman" w:cs="Times New Roman"/>
          <w:sz w:val="24"/>
          <w:szCs w:val="24"/>
        </w:rPr>
        <w:t>–4</w:t>
      </w:r>
      <w:r w:rsidR="006977FB">
        <w:rPr>
          <w:rFonts w:ascii="Times New Roman" w:hAnsi="Times New Roman" w:cs="Times New Roman"/>
          <w:sz w:val="24"/>
          <w:szCs w:val="24"/>
        </w:rPr>
        <w:t>4</w:t>
      </w:r>
      <w:r w:rsidRPr="00A354ED">
        <w:rPr>
          <w:rFonts w:ascii="Times New Roman" w:hAnsi="Times New Roman" w:cs="Times New Roman"/>
          <w:sz w:val="24"/>
          <w:szCs w:val="24"/>
        </w:rPr>
        <w:tab/>
      </w:r>
      <w:r w:rsidR="009D0E6D">
        <w:rPr>
          <w:rFonts w:ascii="Times New Roman" w:hAnsi="Times New Roman" w:cs="Times New Roman"/>
          <w:sz w:val="24"/>
          <w:szCs w:val="24"/>
        </w:rPr>
        <w:t>8</w:t>
      </w:r>
    </w:p>
    <w:p w14:paraId="78ABE625" w14:textId="4E39BAF4"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6: The right to work</w:t>
      </w:r>
      <w:r w:rsidRPr="00A354ED">
        <w:rPr>
          <w:rFonts w:ascii="Times New Roman" w:hAnsi="Times New Roman" w:cs="Times New Roman"/>
          <w:sz w:val="24"/>
          <w:szCs w:val="24"/>
        </w:rPr>
        <w:tab/>
      </w:r>
      <w:r w:rsidRPr="00A354ED">
        <w:rPr>
          <w:rFonts w:ascii="Times New Roman" w:hAnsi="Times New Roman" w:cs="Times New Roman"/>
          <w:sz w:val="24"/>
          <w:szCs w:val="24"/>
        </w:rPr>
        <w:tab/>
        <w:t>4</w:t>
      </w:r>
      <w:r w:rsidR="006977FB">
        <w:rPr>
          <w:rFonts w:ascii="Times New Roman" w:hAnsi="Times New Roman" w:cs="Times New Roman"/>
          <w:sz w:val="24"/>
          <w:szCs w:val="24"/>
        </w:rPr>
        <w:t>5</w:t>
      </w:r>
      <w:r w:rsidRPr="00A354ED">
        <w:rPr>
          <w:rFonts w:ascii="Times New Roman" w:hAnsi="Times New Roman" w:cs="Times New Roman"/>
          <w:sz w:val="24"/>
          <w:szCs w:val="24"/>
        </w:rPr>
        <w:t>–</w:t>
      </w:r>
      <w:r w:rsidR="006977FB">
        <w:rPr>
          <w:rFonts w:ascii="Times New Roman" w:hAnsi="Times New Roman" w:cs="Times New Roman"/>
          <w:sz w:val="24"/>
          <w:szCs w:val="24"/>
        </w:rPr>
        <w:t>80</w:t>
      </w:r>
      <w:r w:rsidRPr="00A354ED">
        <w:rPr>
          <w:rFonts w:ascii="Times New Roman" w:hAnsi="Times New Roman" w:cs="Times New Roman"/>
          <w:sz w:val="24"/>
          <w:szCs w:val="24"/>
        </w:rPr>
        <w:tab/>
        <w:t>1</w:t>
      </w:r>
      <w:r w:rsidR="009D0E6D">
        <w:rPr>
          <w:rFonts w:ascii="Times New Roman" w:hAnsi="Times New Roman" w:cs="Times New Roman"/>
          <w:sz w:val="24"/>
          <w:szCs w:val="24"/>
        </w:rPr>
        <w:t>0</w:t>
      </w:r>
    </w:p>
    <w:p w14:paraId="75A91871" w14:textId="3D635A76"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7: The right to just and favourable conditions of work</w:t>
      </w:r>
      <w:r w:rsidRPr="00A354ED">
        <w:rPr>
          <w:rFonts w:ascii="Times New Roman" w:hAnsi="Times New Roman" w:cs="Times New Roman"/>
          <w:sz w:val="24"/>
          <w:szCs w:val="24"/>
        </w:rPr>
        <w:tab/>
      </w:r>
      <w:r w:rsidRPr="00A354ED">
        <w:rPr>
          <w:rFonts w:ascii="Times New Roman" w:hAnsi="Times New Roman" w:cs="Times New Roman"/>
          <w:sz w:val="24"/>
          <w:szCs w:val="24"/>
        </w:rPr>
        <w:tab/>
      </w:r>
      <w:r w:rsidR="006977FB">
        <w:rPr>
          <w:rFonts w:ascii="Times New Roman" w:hAnsi="Times New Roman" w:cs="Times New Roman"/>
          <w:sz w:val="24"/>
          <w:szCs w:val="24"/>
        </w:rPr>
        <w:t>81</w:t>
      </w:r>
      <w:r w:rsidRPr="00A354ED">
        <w:rPr>
          <w:rFonts w:ascii="Times New Roman" w:hAnsi="Times New Roman" w:cs="Times New Roman"/>
          <w:sz w:val="24"/>
          <w:szCs w:val="24"/>
        </w:rPr>
        <w:t>–9</w:t>
      </w:r>
      <w:r w:rsidR="006977FB">
        <w:rPr>
          <w:rFonts w:ascii="Times New Roman" w:hAnsi="Times New Roman" w:cs="Times New Roman"/>
          <w:sz w:val="24"/>
          <w:szCs w:val="24"/>
        </w:rPr>
        <w:t>6</w:t>
      </w:r>
      <w:r w:rsidRPr="00A354ED">
        <w:rPr>
          <w:rFonts w:ascii="Times New Roman" w:hAnsi="Times New Roman" w:cs="Times New Roman"/>
          <w:sz w:val="24"/>
          <w:szCs w:val="24"/>
        </w:rPr>
        <w:tab/>
        <w:t>1</w:t>
      </w:r>
      <w:r w:rsidR="009D0E6D">
        <w:rPr>
          <w:rFonts w:ascii="Times New Roman" w:hAnsi="Times New Roman" w:cs="Times New Roman"/>
          <w:sz w:val="24"/>
          <w:szCs w:val="24"/>
        </w:rPr>
        <w:t>7</w:t>
      </w:r>
    </w:p>
    <w:p w14:paraId="731BA2C1" w14:textId="1D273B69"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8: The right to form and join trade unions</w:t>
      </w:r>
      <w:r w:rsidRPr="00A354ED">
        <w:rPr>
          <w:rFonts w:ascii="Times New Roman" w:hAnsi="Times New Roman" w:cs="Times New Roman"/>
          <w:sz w:val="24"/>
          <w:szCs w:val="24"/>
        </w:rPr>
        <w:tab/>
      </w:r>
      <w:r w:rsidRPr="00A354ED">
        <w:rPr>
          <w:rFonts w:ascii="Times New Roman" w:hAnsi="Times New Roman" w:cs="Times New Roman"/>
          <w:sz w:val="24"/>
          <w:szCs w:val="24"/>
        </w:rPr>
        <w:tab/>
        <w:t>9</w:t>
      </w:r>
      <w:r w:rsidR="006977FB">
        <w:rPr>
          <w:rFonts w:ascii="Times New Roman" w:hAnsi="Times New Roman" w:cs="Times New Roman"/>
          <w:sz w:val="24"/>
          <w:szCs w:val="24"/>
        </w:rPr>
        <w:t>7</w:t>
      </w:r>
      <w:r w:rsidRPr="00A354ED">
        <w:rPr>
          <w:rFonts w:ascii="Times New Roman" w:hAnsi="Times New Roman" w:cs="Times New Roman"/>
          <w:sz w:val="24"/>
          <w:szCs w:val="24"/>
        </w:rPr>
        <w:t>–11</w:t>
      </w:r>
      <w:r w:rsidR="006977FB">
        <w:rPr>
          <w:rFonts w:ascii="Times New Roman" w:hAnsi="Times New Roman" w:cs="Times New Roman"/>
          <w:sz w:val="24"/>
          <w:szCs w:val="24"/>
        </w:rPr>
        <w:t>1</w:t>
      </w:r>
      <w:r w:rsidRPr="00A354ED">
        <w:rPr>
          <w:rFonts w:ascii="Times New Roman" w:hAnsi="Times New Roman" w:cs="Times New Roman"/>
          <w:sz w:val="24"/>
          <w:szCs w:val="24"/>
        </w:rPr>
        <w:tab/>
        <w:t>19</w:t>
      </w:r>
    </w:p>
    <w:p w14:paraId="063FC220" w14:textId="1FF47F93"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9: The right to social security and social insurance</w:t>
      </w:r>
      <w:r w:rsidRPr="00A354ED">
        <w:rPr>
          <w:rFonts w:ascii="Times New Roman" w:hAnsi="Times New Roman" w:cs="Times New Roman"/>
          <w:sz w:val="24"/>
          <w:szCs w:val="24"/>
        </w:rPr>
        <w:tab/>
      </w:r>
      <w:r w:rsidRPr="00A354ED">
        <w:rPr>
          <w:rFonts w:ascii="Times New Roman" w:hAnsi="Times New Roman" w:cs="Times New Roman"/>
          <w:sz w:val="24"/>
          <w:szCs w:val="24"/>
        </w:rPr>
        <w:tab/>
        <w:t>11</w:t>
      </w:r>
      <w:r w:rsidR="006977FB">
        <w:rPr>
          <w:rFonts w:ascii="Times New Roman" w:hAnsi="Times New Roman" w:cs="Times New Roman"/>
          <w:sz w:val="24"/>
          <w:szCs w:val="24"/>
        </w:rPr>
        <w:t>2</w:t>
      </w:r>
      <w:r w:rsidRPr="00A354ED">
        <w:rPr>
          <w:rFonts w:ascii="Times New Roman" w:hAnsi="Times New Roman" w:cs="Times New Roman"/>
          <w:sz w:val="24"/>
          <w:szCs w:val="24"/>
        </w:rPr>
        <w:t>–1</w:t>
      </w:r>
      <w:r w:rsidR="006977FB">
        <w:rPr>
          <w:rFonts w:ascii="Times New Roman" w:hAnsi="Times New Roman" w:cs="Times New Roman"/>
          <w:sz w:val="24"/>
          <w:szCs w:val="24"/>
        </w:rPr>
        <w:t>24</w:t>
      </w:r>
      <w:r w:rsidRPr="00A354ED">
        <w:rPr>
          <w:rFonts w:ascii="Times New Roman" w:hAnsi="Times New Roman" w:cs="Times New Roman"/>
          <w:sz w:val="24"/>
          <w:szCs w:val="24"/>
        </w:rPr>
        <w:tab/>
        <w:t>2</w:t>
      </w:r>
      <w:r w:rsidR="009D0E6D">
        <w:rPr>
          <w:rFonts w:ascii="Times New Roman" w:hAnsi="Times New Roman" w:cs="Times New Roman"/>
          <w:sz w:val="24"/>
          <w:szCs w:val="24"/>
        </w:rPr>
        <w:t>2</w:t>
      </w:r>
    </w:p>
    <w:p w14:paraId="5706EA6A" w14:textId="00F13745"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10: Protection and assistance for the family</w:t>
      </w:r>
      <w:r w:rsidRPr="00A354ED">
        <w:rPr>
          <w:rFonts w:ascii="Times New Roman" w:hAnsi="Times New Roman" w:cs="Times New Roman"/>
          <w:sz w:val="24"/>
          <w:szCs w:val="24"/>
        </w:rPr>
        <w:tab/>
      </w:r>
      <w:r w:rsidRPr="00A354ED">
        <w:rPr>
          <w:rFonts w:ascii="Times New Roman" w:hAnsi="Times New Roman" w:cs="Times New Roman"/>
          <w:sz w:val="24"/>
          <w:szCs w:val="24"/>
        </w:rPr>
        <w:tab/>
        <w:t>1</w:t>
      </w:r>
      <w:r w:rsidR="006977FB">
        <w:rPr>
          <w:rFonts w:ascii="Times New Roman" w:hAnsi="Times New Roman" w:cs="Times New Roman"/>
          <w:sz w:val="24"/>
          <w:szCs w:val="24"/>
        </w:rPr>
        <w:t>25</w:t>
      </w:r>
      <w:r w:rsidRPr="00A354ED">
        <w:rPr>
          <w:rFonts w:ascii="Times New Roman" w:hAnsi="Times New Roman" w:cs="Times New Roman"/>
          <w:sz w:val="24"/>
          <w:szCs w:val="24"/>
        </w:rPr>
        <w:t>–1</w:t>
      </w:r>
      <w:r w:rsidR="006977FB">
        <w:rPr>
          <w:rFonts w:ascii="Times New Roman" w:hAnsi="Times New Roman" w:cs="Times New Roman"/>
          <w:sz w:val="24"/>
          <w:szCs w:val="24"/>
        </w:rPr>
        <w:t>60</w:t>
      </w:r>
      <w:r w:rsidRPr="00A354ED">
        <w:rPr>
          <w:rFonts w:ascii="Times New Roman" w:hAnsi="Times New Roman" w:cs="Times New Roman"/>
          <w:sz w:val="24"/>
          <w:szCs w:val="24"/>
        </w:rPr>
        <w:tab/>
        <w:t>2</w:t>
      </w:r>
      <w:r w:rsidR="009D0E6D">
        <w:rPr>
          <w:rFonts w:ascii="Times New Roman" w:hAnsi="Times New Roman" w:cs="Times New Roman"/>
          <w:sz w:val="24"/>
          <w:szCs w:val="24"/>
        </w:rPr>
        <w:t>4</w:t>
      </w:r>
    </w:p>
    <w:p w14:paraId="3F5BC577" w14:textId="0AFB1B22"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11: The right to an adequate standard of living</w:t>
      </w:r>
      <w:r w:rsidRPr="00A354ED">
        <w:rPr>
          <w:rFonts w:ascii="Times New Roman" w:hAnsi="Times New Roman" w:cs="Times New Roman"/>
          <w:sz w:val="24"/>
          <w:szCs w:val="24"/>
        </w:rPr>
        <w:tab/>
      </w:r>
      <w:r w:rsidRPr="00A354ED">
        <w:rPr>
          <w:rFonts w:ascii="Times New Roman" w:hAnsi="Times New Roman" w:cs="Times New Roman"/>
          <w:sz w:val="24"/>
          <w:szCs w:val="24"/>
        </w:rPr>
        <w:tab/>
      </w:r>
      <w:r w:rsidR="006977FB">
        <w:rPr>
          <w:rFonts w:ascii="Times New Roman" w:hAnsi="Times New Roman" w:cs="Times New Roman"/>
          <w:sz w:val="24"/>
          <w:szCs w:val="24"/>
        </w:rPr>
        <w:t>161</w:t>
      </w:r>
      <w:r w:rsidRPr="00A354ED">
        <w:rPr>
          <w:rFonts w:ascii="Times New Roman" w:hAnsi="Times New Roman" w:cs="Times New Roman"/>
          <w:sz w:val="24"/>
          <w:szCs w:val="24"/>
        </w:rPr>
        <w:t>–2</w:t>
      </w:r>
      <w:r w:rsidR="006977FB">
        <w:rPr>
          <w:rFonts w:ascii="Times New Roman" w:hAnsi="Times New Roman" w:cs="Times New Roman"/>
          <w:sz w:val="24"/>
          <w:szCs w:val="24"/>
        </w:rPr>
        <w:t>27</w:t>
      </w:r>
      <w:r w:rsidRPr="00A354ED">
        <w:rPr>
          <w:rFonts w:ascii="Times New Roman" w:hAnsi="Times New Roman" w:cs="Times New Roman"/>
          <w:sz w:val="24"/>
          <w:szCs w:val="24"/>
        </w:rPr>
        <w:tab/>
        <w:t>3</w:t>
      </w:r>
      <w:r w:rsidR="009D0E6D">
        <w:rPr>
          <w:rFonts w:ascii="Times New Roman" w:hAnsi="Times New Roman" w:cs="Times New Roman"/>
          <w:sz w:val="24"/>
          <w:szCs w:val="24"/>
        </w:rPr>
        <w:t>1</w:t>
      </w:r>
    </w:p>
    <w:p w14:paraId="3EB341B8" w14:textId="78ED5367"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 xml:space="preserve">Article 12: The right to the highest attainable standard of physical and </w:t>
      </w:r>
      <w:r w:rsidRPr="00A354ED">
        <w:rPr>
          <w:rFonts w:ascii="Times New Roman" w:hAnsi="Times New Roman" w:cs="Times New Roman"/>
          <w:sz w:val="24"/>
          <w:szCs w:val="24"/>
        </w:rPr>
        <w:br/>
      </w:r>
      <w:r w:rsidRPr="00A354ED">
        <w:rPr>
          <w:rFonts w:ascii="Times New Roman" w:hAnsi="Times New Roman" w:cs="Times New Roman"/>
          <w:sz w:val="24"/>
          <w:szCs w:val="24"/>
        </w:rPr>
        <w:tab/>
      </w:r>
      <w:r w:rsidRPr="00A354ED">
        <w:rPr>
          <w:rFonts w:ascii="Times New Roman" w:hAnsi="Times New Roman" w:cs="Times New Roman"/>
          <w:sz w:val="24"/>
          <w:szCs w:val="24"/>
        </w:rPr>
        <w:tab/>
        <w:t>mental health</w:t>
      </w:r>
      <w:r w:rsidRPr="00A354ED">
        <w:rPr>
          <w:rFonts w:ascii="Times New Roman" w:hAnsi="Times New Roman" w:cs="Times New Roman"/>
          <w:sz w:val="24"/>
          <w:szCs w:val="24"/>
        </w:rPr>
        <w:tab/>
      </w:r>
      <w:r w:rsidRPr="00A354ED">
        <w:rPr>
          <w:rFonts w:ascii="Times New Roman" w:hAnsi="Times New Roman" w:cs="Times New Roman"/>
          <w:sz w:val="24"/>
          <w:szCs w:val="24"/>
        </w:rPr>
        <w:tab/>
        <w:t>2</w:t>
      </w:r>
      <w:r w:rsidR="006977FB">
        <w:rPr>
          <w:rFonts w:ascii="Times New Roman" w:hAnsi="Times New Roman" w:cs="Times New Roman"/>
          <w:sz w:val="24"/>
          <w:szCs w:val="24"/>
        </w:rPr>
        <w:t>28</w:t>
      </w:r>
      <w:r w:rsidRPr="00A354ED">
        <w:rPr>
          <w:rFonts w:ascii="Times New Roman" w:hAnsi="Times New Roman" w:cs="Times New Roman"/>
          <w:sz w:val="24"/>
          <w:szCs w:val="24"/>
        </w:rPr>
        <w:t>–3</w:t>
      </w:r>
      <w:r w:rsidR="006977FB">
        <w:rPr>
          <w:rFonts w:ascii="Times New Roman" w:hAnsi="Times New Roman" w:cs="Times New Roman"/>
          <w:sz w:val="24"/>
          <w:szCs w:val="24"/>
        </w:rPr>
        <w:t>00</w:t>
      </w:r>
      <w:r w:rsidRPr="00A354ED">
        <w:rPr>
          <w:rFonts w:ascii="Times New Roman" w:hAnsi="Times New Roman" w:cs="Times New Roman"/>
          <w:sz w:val="24"/>
          <w:szCs w:val="24"/>
        </w:rPr>
        <w:tab/>
        <w:t>4</w:t>
      </w:r>
      <w:r w:rsidR="009D0E6D">
        <w:rPr>
          <w:rFonts w:ascii="Times New Roman" w:hAnsi="Times New Roman" w:cs="Times New Roman"/>
          <w:sz w:val="24"/>
          <w:szCs w:val="24"/>
        </w:rPr>
        <w:t>2</w:t>
      </w:r>
    </w:p>
    <w:p w14:paraId="7DED015D" w14:textId="4F485E7D"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Articles 13 and 14: The right to education</w:t>
      </w:r>
      <w:r w:rsidRPr="00A354ED">
        <w:rPr>
          <w:rFonts w:ascii="Times New Roman" w:hAnsi="Times New Roman" w:cs="Times New Roman"/>
          <w:sz w:val="24"/>
          <w:szCs w:val="24"/>
        </w:rPr>
        <w:tab/>
      </w:r>
      <w:r w:rsidRPr="00A354ED">
        <w:rPr>
          <w:rFonts w:ascii="Times New Roman" w:hAnsi="Times New Roman" w:cs="Times New Roman"/>
          <w:sz w:val="24"/>
          <w:szCs w:val="24"/>
        </w:rPr>
        <w:tab/>
        <w:t>3</w:t>
      </w:r>
      <w:r w:rsidR="009D0E6D">
        <w:rPr>
          <w:rFonts w:ascii="Times New Roman" w:hAnsi="Times New Roman" w:cs="Times New Roman"/>
          <w:sz w:val="24"/>
          <w:szCs w:val="24"/>
        </w:rPr>
        <w:t>01</w:t>
      </w:r>
      <w:r w:rsidRPr="00A354ED">
        <w:rPr>
          <w:rFonts w:ascii="Times New Roman" w:hAnsi="Times New Roman" w:cs="Times New Roman"/>
          <w:sz w:val="24"/>
          <w:szCs w:val="24"/>
        </w:rPr>
        <w:t>–3</w:t>
      </w:r>
      <w:r w:rsidR="009D0E6D">
        <w:rPr>
          <w:rFonts w:ascii="Times New Roman" w:hAnsi="Times New Roman" w:cs="Times New Roman"/>
          <w:sz w:val="24"/>
          <w:szCs w:val="24"/>
        </w:rPr>
        <w:t>24</w:t>
      </w:r>
      <w:r w:rsidRPr="00A354ED">
        <w:rPr>
          <w:rFonts w:ascii="Times New Roman" w:hAnsi="Times New Roman" w:cs="Times New Roman"/>
          <w:sz w:val="24"/>
          <w:szCs w:val="24"/>
        </w:rPr>
        <w:tab/>
        <w:t>5</w:t>
      </w:r>
      <w:r w:rsidR="009D0E6D">
        <w:rPr>
          <w:rFonts w:ascii="Times New Roman" w:hAnsi="Times New Roman" w:cs="Times New Roman"/>
          <w:sz w:val="24"/>
          <w:szCs w:val="24"/>
        </w:rPr>
        <w:t>3</w:t>
      </w:r>
    </w:p>
    <w:p w14:paraId="085A3E9B" w14:textId="0CD669D2" w:rsidR="00A354ED" w:rsidRPr="00A354ED" w:rsidRDefault="00A354ED" w:rsidP="00A354ED">
      <w:pPr>
        <w:tabs>
          <w:tab w:val="right" w:pos="850"/>
          <w:tab w:val="left" w:pos="1134"/>
          <w:tab w:val="left" w:pos="1559"/>
          <w:tab w:val="left" w:pos="1984"/>
          <w:tab w:val="left" w:leader="dot" w:pos="7654"/>
          <w:tab w:val="right" w:pos="8929"/>
          <w:tab w:val="right" w:pos="9638"/>
        </w:tabs>
        <w:spacing w:after="120"/>
        <w:ind w:left="1530" w:hanging="1440"/>
        <w:rPr>
          <w:rFonts w:ascii="Times New Roman" w:hAnsi="Times New Roman" w:cs="Times New Roman"/>
          <w:sz w:val="24"/>
          <w:szCs w:val="24"/>
        </w:rPr>
      </w:pPr>
      <w:r w:rsidRPr="00A354ED">
        <w:rPr>
          <w:rFonts w:ascii="Times New Roman" w:hAnsi="Times New Roman" w:cs="Times New Roman"/>
          <w:sz w:val="24"/>
          <w:szCs w:val="24"/>
        </w:rPr>
        <w:tab/>
      </w:r>
      <w:r w:rsidRPr="00A354ED">
        <w:rPr>
          <w:rFonts w:ascii="Times New Roman" w:hAnsi="Times New Roman" w:cs="Times New Roman"/>
          <w:sz w:val="24"/>
          <w:szCs w:val="24"/>
        </w:rPr>
        <w:tab/>
        <w:t>Article 15: The right to culture and to benefit from scientific progress</w:t>
      </w:r>
      <w:r w:rsidRPr="00A354ED">
        <w:rPr>
          <w:rFonts w:ascii="Times New Roman" w:hAnsi="Times New Roman" w:cs="Times New Roman"/>
          <w:sz w:val="24"/>
          <w:szCs w:val="24"/>
        </w:rPr>
        <w:tab/>
      </w:r>
      <w:r>
        <w:rPr>
          <w:rFonts w:ascii="Times New Roman" w:hAnsi="Times New Roman" w:cs="Times New Roman"/>
          <w:sz w:val="24"/>
          <w:szCs w:val="24"/>
        </w:rPr>
        <w:t>….</w:t>
      </w:r>
      <w:r w:rsidRPr="00A354ED">
        <w:rPr>
          <w:rFonts w:ascii="Times New Roman" w:hAnsi="Times New Roman" w:cs="Times New Roman"/>
          <w:sz w:val="24"/>
          <w:szCs w:val="24"/>
        </w:rPr>
        <w:t>3</w:t>
      </w:r>
      <w:r w:rsidR="009D0E6D">
        <w:rPr>
          <w:rFonts w:ascii="Times New Roman" w:hAnsi="Times New Roman" w:cs="Times New Roman"/>
          <w:sz w:val="24"/>
          <w:szCs w:val="24"/>
        </w:rPr>
        <w:t>25</w:t>
      </w:r>
      <w:r w:rsidRPr="00A354ED">
        <w:rPr>
          <w:rFonts w:ascii="Times New Roman" w:hAnsi="Times New Roman" w:cs="Times New Roman"/>
          <w:sz w:val="24"/>
          <w:szCs w:val="24"/>
        </w:rPr>
        <w:t>–</w:t>
      </w:r>
      <w:proofErr w:type="gramStart"/>
      <w:r w:rsidR="009D0E6D">
        <w:rPr>
          <w:rFonts w:ascii="Times New Roman" w:hAnsi="Times New Roman" w:cs="Times New Roman"/>
          <w:sz w:val="24"/>
          <w:szCs w:val="24"/>
        </w:rPr>
        <w:t>362</w:t>
      </w:r>
      <w:r>
        <w:rPr>
          <w:rFonts w:ascii="Times New Roman" w:hAnsi="Times New Roman" w:cs="Times New Roman"/>
          <w:sz w:val="24"/>
          <w:szCs w:val="24"/>
        </w:rPr>
        <w:t xml:space="preserve"> </w:t>
      </w:r>
      <w:r w:rsidR="009D0E6D">
        <w:rPr>
          <w:rFonts w:ascii="Times New Roman" w:hAnsi="Times New Roman" w:cs="Times New Roman"/>
          <w:sz w:val="24"/>
          <w:szCs w:val="24"/>
        </w:rPr>
        <w:t xml:space="preserve"> 57</w:t>
      </w:r>
      <w:proofErr w:type="gramEnd"/>
    </w:p>
    <w:p w14:paraId="74BAD4C0" w14:textId="77777777" w:rsidR="00A354ED" w:rsidRDefault="00A354ED" w:rsidP="00526D16">
      <w:pPr>
        <w:pStyle w:val="HChG"/>
        <w:spacing w:line="360" w:lineRule="auto"/>
        <w:rPr>
          <w:color w:val="000000" w:themeColor="text1"/>
          <w:sz w:val="24"/>
          <w:szCs w:val="24"/>
        </w:rPr>
      </w:pPr>
    </w:p>
    <w:p w14:paraId="6D212647" w14:textId="77777777" w:rsidR="00A354ED" w:rsidRDefault="00A354ED" w:rsidP="00526D16">
      <w:pPr>
        <w:pStyle w:val="HChG"/>
        <w:spacing w:line="360" w:lineRule="auto"/>
        <w:rPr>
          <w:color w:val="000000" w:themeColor="text1"/>
          <w:sz w:val="24"/>
          <w:szCs w:val="24"/>
        </w:rPr>
      </w:pPr>
    </w:p>
    <w:p w14:paraId="64C26525" w14:textId="77777777" w:rsidR="00A354ED" w:rsidRDefault="00A354ED" w:rsidP="00A354ED"/>
    <w:p w14:paraId="2B801118" w14:textId="77777777" w:rsidR="00A354ED" w:rsidRDefault="00A354ED" w:rsidP="00A354ED"/>
    <w:p w14:paraId="3F3F9AE1" w14:textId="77777777" w:rsidR="00A354ED" w:rsidRDefault="00A354ED" w:rsidP="00A354ED"/>
    <w:p w14:paraId="6697A90F" w14:textId="77777777" w:rsidR="00A354ED" w:rsidRDefault="00A354ED" w:rsidP="00A354ED"/>
    <w:p w14:paraId="4BC3504B" w14:textId="77777777" w:rsidR="00A354ED" w:rsidRPr="00A354ED" w:rsidRDefault="00A354ED" w:rsidP="00A354ED"/>
    <w:p w14:paraId="0A938B43" w14:textId="3E80C562" w:rsidR="0045479D" w:rsidRPr="00460EC6" w:rsidRDefault="0045479D" w:rsidP="00526D16">
      <w:pPr>
        <w:pStyle w:val="HChG"/>
        <w:spacing w:line="360" w:lineRule="auto"/>
        <w:rPr>
          <w:color w:val="000000" w:themeColor="text1"/>
          <w:sz w:val="24"/>
          <w:szCs w:val="24"/>
        </w:rPr>
      </w:pPr>
      <w:r w:rsidRPr="00460EC6">
        <w:rPr>
          <w:color w:val="000000" w:themeColor="text1"/>
          <w:sz w:val="24"/>
          <w:szCs w:val="24"/>
        </w:rPr>
        <w:lastRenderedPageBreak/>
        <w:t>List of Acronyms Used in the Country Periodic Report</w:t>
      </w:r>
    </w:p>
    <w:p w14:paraId="77914BF6" w14:textId="77777777" w:rsidR="0045479D" w:rsidRPr="00460EC6" w:rsidRDefault="0045479D" w:rsidP="00AF051D">
      <w:pPr>
        <w:spacing w:after="0" w:line="360" w:lineRule="auto"/>
        <w:rPr>
          <w:rFonts w:ascii="Times New Roman" w:eastAsia="Calibri" w:hAnsi="Times New Roman" w:cs="Times New Roman"/>
          <w:bCs/>
          <w:color w:val="000000" w:themeColor="text1"/>
          <w:kern w:val="0"/>
          <w:sz w:val="24"/>
          <w:szCs w:val="24"/>
          <w14:ligatures w14:val="none"/>
        </w:rPr>
      </w:pPr>
      <w:r w:rsidRPr="00460EC6">
        <w:rPr>
          <w:rFonts w:ascii="Times New Roman" w:hAnsi="Times New Roman" w:cs="Times New Roman"/>
          <w:color w:val="000000" w:themeColor="text1"/>
          <w:sz w:val="24"/>
          <w:szCs w:val="24"/>
        </w:rPr>
        <w:t xml:space="preserve">ART      </w:t>
      </w:r>
      <w:r w:rsidRPr="00460EC6">
        <w:rPr>
          <w:rFonts w:ascii="Times New Roman" w:hAnsi="Times New Roman" w:cs="Times New Roman"/>
          <w:color w:val="000000" w:themeColor="text1"/>
          <w:sz w:val="24"/>
          <w:szCs w:val="24"/>
        </w:rPr>
        <w:tab/>
        <w:t>A</w:t>
      </w:r>
      <w:r w:rsidRPr="00460EC6">
        <w:rPr>
          <w:rFonts w:ascii="Times New Roman" w:eastAsia="Calibri" w:hAnsi="Times New Roman" w:cs="Times New Roman"/>
          <w:bCs/>
          <w:color w:val="000000" w:themeColor="text1"/>
          <w:kern w:val="0"/>
          <w:sz w:val="24"/>
          <w:szCs w:val="24"/>
          <w14:ligatures w14:val="none"/>
        </w:rPr>
        <w:t>ntiretroviral Therapy</w:t>
      </w:r>
    </w:p>
    <w:p w14:paraId="7A8A00ED" w14:textId="77777777" w:rsidR="0045479D"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CBHI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Community-Based Health Insurance</w:t>
      </w:r>
    </w:p>
    <w:p w14:paraId="44F58EF6" w14:textId="77777777" w:rsidR="0045479D"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CRC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Convection on the Rights of the Child</w:t>
      </w:r>
    </w:p>
    <w:p w14:paraId="1B7A566D" w14:textId="77777777" w:rsidR="0045479D"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CSOs</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Civil Society Organizations</w:t>
      </w:r>
    </w:p>
    <w:p w14:paraId="203BAE94" w14:textId="77777777" w:rsidR="0045479D"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EHSP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Essential Health Services Package</w:t>
      </w:r>
    </w:p>
    <w:p w14:paraId="4EE4AA04" w14:textId="77777777" w:rsidR="00283110"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FDRE</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r>
      <w:r w:rsidR="00283110" w:rsidRPr="00460EC6">
        <w:rPr>
          <w:rFonts w:ascii="Times New Roman" w:hAnsi="Times New Roman" w:cs="Times New Roman"/>
          <w:color w:val="000000" w:themeColor="text1"/>
          <w:kern w:val="0"/>
          <w:sz w:val="24"/>
          <w:szCs w:val="24"/>
          <w:lang w:val="en-US"/>
        </w:rPr>
        <w:t>Federal Democratic Republic of Ethiopia</w:t>
      </w:r>
    </w:p>
    <w:p w14:paraId="00D3F34D" w14:textId="355B34EB" w:rsidR="0045479D" w:rsidRPr="00460EC6" w:rsidRDefault="00283110"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FGM</w:t>
      </w:r>
      <w:r w:rsidR="0045479D" w:rsidRPr="00460EC6">
        <w:rPr>
          <w:rFonts w:ascii="Times New Roman" w:hAnsi="Times New Roman" w:cs="Times New Roman"/>
          <w:color w:val="000000" w:themeColor="text1"/>
          <w:kern w:val="0"/>
          <w:sz w:val="24"/>
          <w:szCs w:val="24"/>
          <w:lang w:val="en-US"/>
        </w:rPr>
        <w:tab/>
      </w:r>
      <w:r w:rsidR="0045479D" w:rsidRPr="00460EC6">
        <w:rPr>
          <w:rFonts w:ascii="Times New Roman" w:hAnsi="Times New Roman" w:cs="Times New Roman"/>
          <w:color w:val="000000" w:themeColor="text1"/>
          <w:kern w:val="0"/>
          <w:sz w:val="24"/>
          <w:szCs w:val="24"/>
          <w:lang w:val="en-US"/>
        </w:rPr>
        <w:tab/>
        <w:t>Female Genital Mutilation</w:t>
      </w:r>
    </w:p>
    <w:p w14:paraId="5E2973E3" w14:textId="77777777" w:rsidR="0045479D" w:rsidRPr="00460EC6" w:rsidRDefault="0045479D" w:rsidP="00AF051D">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GBV</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Gender Based Violence</w:t>
      </w:r>
    </w:p>
    <w:p w14:paraId="774FBE07"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proofErr w:type="spellStart"/>
      <w:r w:rsidRPr="00460EC6">
        <w:rPr>
          <w:rFonts w:ascii="Times New Roman" w:hAnsi="Times New Roman" w:cs="Times New Roman"/>
          <w:color w:val="000000" w:themeColor="text1"/>
          <w:kern w:val="0"/>
          <w:sz w:val="24"/>
          <w:szCs w:val="24"/>
          <w:lang w:val="en-US"/>
        </w:rPr>
        <w:t>GoE</w:t>
      </w:r>
      <w:proofErr w:type="spellEnd"/>
      <w:r w:rsidRPr="00460EC6">
        <w:rPr>
          <w:rFonts w:ascii="Times New Roman" w:hAnsi="Times New Roman" w:cs="Times New Roman"/>
          <w:color w:val="000000" w:themeColor="text1"/>
          <w:kern w:val="0"/>
          <w:sz w:val="24"/>
          <w:szCs w:val="24"/>
          <w:lang w:val="en-US"/>
        </w:rPr>
        <w:t xml:space="preserve">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Government of Ethiopia</w:t>
      </w:r>
    </w:p>
    <w:p w14:paraId="54163952" w14:textId="77777777" w:rsidR="0045479D" w:rsidRPr="00460EC6" w:rsidRDefault="0045479D" w:rsidP="00536025">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HEP     </w:t>
      </w:r>
      <w:r w:rsidRPr="00460EC6">
        <w:rPr>
          <w:rFonts w:ascii="Times New Roman" w:hAnsi="Times New Roman" w:cs="Times New Roman"/>
          <w:color w:val="000000" w:themeColor="text1"/>
          <w:kern w:val="0"/>
          <w:sz w:val="24"/>
          <w:szCs w:val="24"/>
          <w:lang w:val="en-US"/>
        </w:rPr>
        <w:tab/>
        <w:t>Health Extension Program</w:t>
      </w:r>
    </w:p>
    <w:p w14:paraId="73A1F22D" w14:textId="77777777" w:rsidR="0045479D" w:rsidRPr="00460EC6" w:rsidRDefault="0045479D" w:rsidP="00536025">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HEWs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Health Extension Workers</w:t>
      </w:r>
    </w:p>
    <w:p w14:paraId="26D49E10"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HIV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Human Immunodeficiency Virus</w:t>
      </w:r>
    </w:p>
    <w:p w14:paraId="06F0F3C3"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 xml:space="preserve">HSTP </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Health Sector Transformation Plan</w:t>
      </w:r>
    </w:p>
    <w:p w14:paraId="478DCC02" w14:textId="77777777" w:rsidR="0045479D" w:rsidRPr="00460EC6" w:rsidRDefault="0045479D" w:rsidP="00526D16">
      <w:pPr>
        <w:autoSpaceDE w:val="0"/>
        <w:autoSpaceDN w:val="0"/>
        <w:adjustRightInd w:val="0"/>
        <w:spacing w:after="0" w:line="360" w:lineRule="auto"/>
        <w:rPr>
          <w:rFonts w:ascii="Times New Roman" w:eastAsia="Calibri" w:hAnsi="Times New Roman" w:cs="Times New Roman"/>
          <w:color w:val="000000" w:themeColor="text1"/>
          <w:kern w:val="0"/>
          <w:sz w:val="24"/>
          <w:szCs w:val="24"/>
          <w:lang w:val="en-US"/>
          <w14:ligatures w14:val="none"/>
        </w:rPr>
      </w:pPr>
      <w:r w:rsidRPr="00460EC6">
        <w:rPr>
          <w:rFonts w:ascii="Times New Roman" w:eastAsia="Calibri" w:hAnsi="Times New Roman" w:cs="Times New Roman"/>
          <w:color w:val="000000" w:themeColor="text1"/>
          <w:kern w:val="0"/>
          <w:sz w:val="24"/>
          <w:szCs w:val="24"/>
          <w:lang w:val="en-US"/>
          <w14:ligatures w14:val="none"/>
        </w:rPr>
        <w:t xml:space="preserve">ICESCR </w:t>
      </w:r>
      <w:r w:rsidRPr="00460EC6">
        <w:rPr>
          <w:rFonts w:ascii="Times New Roman" w:eastAsia="Calibri" w:hAnsi="Times New Roman" w:cs="Times New Roman"/>
          <w:color w:val="000000" w:themeColor="text1"/>
          <w:kern w:val="0"/>
          <w:sz w:val="24"/>
          <w:szCs w:val="24"/>
          <w:lang w:val="en-US"/>
          <w14:ligatures w14:val="none"/>
        </w:rPr>
        <w:tab/>
        <w:t xml:space="preserve">International Covenant on Economic, Social and Cultural Rights </w:t>
      </w:r>
    </w:p>
    <w:p w14:paraId="25D83B4D"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r w:rsidRPr="00460EC6">
        <w:rPr>
          <w:rFonts w:ascii="Times New Roman" w:hAnsi="Times New Roman" w:cs="Times New Roman"/>
          <w:color w:val="000000" w:themeColor="text1"/>
          <w:kern w:val="0"/>
          <w:sz w:val="24"/>
          <w:szCs w:val="24"/>
          <w:lang w:val="en-US"/>
        </w:rPr>
        <w:t>IDPs</w:t>
      </w:r>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Internally Displaced Persons</w:t>
      </w:r>
    </w:p>
    <w:p w14:paraId="7367B2E4"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proofErr w:type="spellStart"/>
      <w:r w:rsidRPr="00460EC6">
        <w:rPr>
          <w:rFonts w:ascii="Times New Roman" w:hAnsi="Times New Roman" w:cs="Times New Roman"/>
          <w:color w:val="000000" w:themeColor="text1"/>
          <w:kern w:val="0"/>
          <w:sz w:val="24"/>
          <w:szCs w:val="24"/>
          <w:lang w:val="en-US"/>
        </w:rPr>
        <w:t>MoCS</w:t>
      </w:r>
      <w:proofErr w:type="spellEnd"/>
      <w:r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rPr>
        <w:tab/>
      </w:r>
      <w:r w:rsidRPr="00460EC6">
        <w:rPr>
          <w:rFonts w:ascii="Times New Roman" w:eastAsia="Calibri" w:hAnsi="Times New Roman" w:cs="Times New Roman"/>
          <w:color w:val="000000" w:themeColor="text1"/>
          <w:sz w:val="24"/>
          <w:szCs w:val="24"/>
        </w:rPr>
        <w:tab/>
        <w:t xml:space="preserve">Ministry of Culture and Sports </w:t>
      </w:r>
    </w:p>
    <w:p w14:paraId="6C46BE53"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proofErr w:type="spellStart"/>
      <w:r w:rsidRPr="00460EC6">
        <w:rPr>
          <w:rFonts w:ascii="Times New Roman" w:hAnsi="Times New Roman" w:cs="Times New Roman"/>
          <w:color w:val="000000" w:themeColor="text1"/>
          <w:kern w:val="0"/>
          <w:sz w:val="24"/>
          <w:szCs w:val="24"/>
          <w:lang w:val="en-US"/>
        </w:rPr>
        <w:t>MoE</w:t>
      </w:r>
      <w:proofErr w:type="spellEnd"/>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Ministry of Education</w:t>
      </w:r>
    </w:p>
    <w:p w14:paraId="71006CC3" w14:textId="77777777" w:rsidR="0045479D" w:rsidRPr="00460EC6" w:rsidRDefault="0045479D" w:rsidP="00526D16">
      <w:pPr>
        <w:autoSpaceDE w:val="0"/>
        <w:autoSpaceDN w:val="0"/>
        <w:adjustRightInd w:val="0"/>
        <w:spacing w:after="0" w:line="360" w:lineRule="auto"/>
        <w:rPr>
          <w:rFonts w:ascii="Times New Roman" w:hAnsi="Times New Roman" w:cs="Times New Roman"/>
          <w:color w:val="000000" w:themeColor="text1"/>
          <w:kern w:val="0"/>
          <w:sz w:val="24"/>
          <w:szCs w:val="24"/>
          <w:lang w:val="en-US"/>
        </w:rPr>
      </w:pPr>
      <w:proofErr w:type="spellStart"/>
      <w:r w:rsidRPr="00460EC6">
        <w:rPr>
          <w:rFonts w:ascii="Times New Roman" w:hAnsi="Times New Roman" w:cs="Times New Roman"/>
          <w:color w:val="000000" w:themeColor="text1"/>
          <w:kern w:val="0"/>
          <w:sz w:val="24"/>
          <w:szCs w:val="24"/>
          <w:lang w:val="en-US"/>
        </w:rPr>
        <w:t>MoLS</w:t>
      </w:r>
      <w:proofErr w:type="spellEnd"/>
      <w:r w:rsidRPr="00460EC6">
        <w:rPr>
          <w:rFonts w:ascii="Times New Roman" w:hAnsi="Times New Roman" w:cs="Times New Roman"/>
          <w:color w:val="000000" w:themeColor="text1"/>
          <w:kern w:val="0"/>
          <w:sz w:val="24"/>
          <w:szCs w:val="24"/>
          <w:lang w:val="en-US"/>
        </w:rPr>
        <w:tab/>
      </w:r>
      <w:r w:rsidRPr="00460EC6">
        <w:rPr>
          <w:rFonts w:ascii="Times New Roman" w:hAnsi="Times New Roman" w:cs="Times New Roman"/>
          <w:color w:val="000000" w:themeColor="text1"/>
          <w:kern w:val="0"/>
          <w:sz w:val="24"/>
          <w:szCs w:val="24"/>
          <w:lang w:val="en-US"/>
        </w:rPr>
        <w:tab/>
        <w:t xml:space="preserve">Ministry of </w:t>
      </w:r>
      <w:proofErr w:type="spellStart"/>
      <w:r w:rsidRPr="00460EC6">
        <w:rPr>
          <w:rFonts w:ascii="Times New Roman" w:hAnsi="Times New Roman" w:cs="Times New Roman"/>
          <w:color w:val="000000" w:themeColor="text1"/>
          <w:kern w:val="0"/>
          <w:sz w:val="24"/>
          <w:szCs w:val="24"/>
          <w:lang w:val="en-US"/>
        </w:rPr>
        <w:t>Labour</w:t>
      </w:r>
      <w:proofErr w:type="spellEnd"/>
      <w:r w:rsidRPr="00460EC6">
        <w:rPr>
          <w:rFonts w:ascii="Times New Roman" w:hAnsi="Times New Roman" w:cs="Times New Roman"/>
          <w:color w:val="000000" w:themeColor="text1"/>
          <w:kern w:val="0"/>
          <w:sz w:val="24"/>
          <w:szCs w:val="24"/>
          <w:lang w:val="en-US"/>
        </w:rPr>
        <w:t xml:space="preserve"> and Skills</w:t>
      </w:r>
    </w:p>
    <w:p w14:paraId="3859635C" w14:textId="77777777" w:rsidR="0045479D" w:rsidRPr="00460EC6" w:rsidRDefault="0045479D" w:rsidP="00AF051D">
      <w:pPr>
        <w:spacing w:after="0" w:line="360" w:lineRule="auto"/>
        <w:rPr>
          <w:rFonts w:ascii="Times New Roman" w:hAnsi="Times New Roman" w:cs="Times New Roman"/>
          <w:color w:val="000000" w:themeColor="text1"/>
          <w:sz w:val="24"/>
          <w:szCs w:val="24"/>
        </w:rPr>
      </w:pPr>
      <w:proofErr w:type="spellStart"/>
      <w:r w:rsidRPr="00460EC6">
        <w:rPr>
          <w:rFonts w:ascii="Times New Roman" w:hAnsi="Times New Roman" w:cs="Times New Roman"/>
          <w:color w:val="000000" w:themeColor="text1"/>
          <w:sz w:val="24"/>
          <w:szCs w:val="24"/>
        </w:rPr>
        <w:t>MoWSA</w:t>
      </w:r>
      <w:proofErr w:type="spellEnd"/>
      <w:r w:rsidRPr="00460EC6">
        <w:rPr>
          <w:rFonts w:ascii="Times New Roman" w:hAnsi="Times New Roman" w:cs="Times New Roman"/>
          <w:color w:val="000000" w:themeColor="text1"/>
          <w:sz w:val="24"/>
          <w:szCs w:val="24"/>
        </w:rPr>
        <w:tab/>
        <w:t>Ministry of Women and Social Affairs</w:t>
      </w:r>
    </w:p>
    <w:p w14:paraId="58459743"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NCDs </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r>
      <w:proofErr w:type="gramStart"/>
      <w:r w:rsidRPr="00460EC6">
        <w:rPr>
          <w:rFonts w:ascii="Times New Roman" w:hAnsi="Times New Roman" w:cs="Times New Roman"/>
          <w:color w:val="000000" w:themeColor="text1"/>
          <w:sz w:val="24"/>
          <w:szCs w:val="24"/>
        </w:rPr>
        <w:t>Non Communicable</w:t>
      </w:r>
      <w:proofErr w:type="gramEnd"/>
      <w:r w:rsidRPr="00460EC6">
        <w:rPr>
          <w:rFonts w:ascii="Times New Roman" w:hAnsi="Times New Roman" w:cs="Times New Roman"/>
          <w:color w:val="000000" w:themeColor="text1"/>
          <w:sz w:val="24"/>
          <w:szCs w:val="24"/>
        </w:rPr>
        <w:t xml:space="preserve"> Diseases</w:t>
      </w:r>
    </w:p>
    <w:p w14:paraId="00C8D330"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NDP</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National Development Plan</w:t>
      </w:r>
    </w:p>
    <w:p w14:paraId="335A96DB"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NNP   </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National Nutrition Program</w:t>
      </w:r>
    </w:p>
    <w:p w14:paraId="355A0ECD"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PSNP </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Productive Safety Net Program</w:t>
      </w:r>
    </w:p>
    <w:p w14:paraId="5AF69923"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PWDs</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Persons with Disabilities</w:t>
      </w:r>
    </w:p>
    <w:p w14:paraId="415DC0EC"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SDG</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Sustainable Development Goal</w:t>
      </w:r>
    </w:p>
    <w:p w14:paraId="44BF00CA"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UHC   </w:t>
      </w:r>
      <w:r w:rsidRPr="00460EC6">
        <w:rPr>
          <w:rFonts w:ascii="Times New Roman" w:hAnsi="Times New Roman" w:cs="Times New Roman"/>
          <w:color w:val="000000" w:themeColor="text1"/>
          <w:sz w:val="24"/>
          <w:szCs w:val="24"/>
        </w:rPr>
        <w:tab/>
      </w:r>
      <w:r w:rsidRPr="00460EC6">
        <w:rPr>
          <w:rFonts w:ascii="Times New Roman" w:hAnsi="Times New Roman" w:cs="Times New Roman"/>
          <w:color w:val="000000" w:themeColor="text1"/>
          <w:sz w:val="24"/>
          <w:szCs w:val="24"/>
        </w:rPr>
        <w:tab/>
        <w:t>Universal Health Coverage</w:t>
      </w:r>
    </w:p>
    <w:p w14:paraId="6E8E242A" w14:textId="77777777" w:rsidR="0045479D" w:rsidRPr="00460EC6" w:rsidRDefault="0045479D" w:rsidP="00AF051D">
      <w:pPr>
        <w:spacing w:after="0" w:line="360" w:lineRule="auto"/>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WASH </w:t>
      </w:r>
      <w:r w:rsidRPr="00460EC6">
        <w:rPr>
          <w:rFonts w:ascii="Times New Roman" w:hAnsi="Times New Roman" w:cs="Times New Roman"/>
          <w:color w:val="000000" w:themeColor="text1"/>
          <w:sz w:val="24"/>
          <w:szCs w:val="24"/>
        </w:rPr>
        <w:tab/>
        <w:t>Water, Sanitation and Hygiene</w:t>
      </w:r>
    </w:p>
    <w:p w14:paraId="5E0E56D8" w14:textId="77777777" w:rsidR="0045479D" w:rsidRPr="00460EC6" w:rsidRDefault="0045479D" w:rsidP="00526D16">
      <w:pPr>
        <w:spacing w:line="360" w:lineRule="auto"/>
        <w:rPr>
          <w:rFonts w:ascii="Times New Roman" w:hAnsi="Times New Roman" w:cs="Times New Roman"/>
          <w:color w:val="000000" w:themeColor="text1"/>
          <w:sz w:val="24"/>
          <w:szCs w:val="24"/>
        </w:rPr>
      </w:pPr>
    </w:p>
    <w:p w14:paraId="3838CA38" w14:textId="77777777" w:rsidR="0045479D" w:rsidRPr="00460EC6" w:rsidRDefault="0045479D" w:rsidP="00526D16">
      <w:pPr>
        <w:pStyle w:val="HChG"/>
        <w:numPr>
          <w:ilvl w:val="0"/>
          <w:numId w:val="7"/>
        </w:numPr>
        <w:spacing w:line="360" w:lineRule="auto"/>
        <w:rPr>
          <w:color w:val="000000" w:themeColor="text1"/>
          <w:sz w:val="24"/>
          <w:szCs w:val="24"/>
        </w:rPr>
      </w:pPr>
      <w:bookmarkStart w:id="0" w:name="_Toc284926075"/>
      <w:r w:rsidRPr="00460EC6">
        <w:rPr>
          <w:color w:val="000000" w:themeColor="text1"/>
          <w:sz w:val="24"/>
          <w:szCs w:val="24"/>
        </w:rPr>
        <w:lastRenderedPageBreak/>
        <w:t>Introduction</w:t>
      </w:r>
      <w:bookmarkEnd w:id="0"/>
    </w:p>
    <w:p w14:paraId="75B29517" w14:textId="0F87D3DE" w:rsidR="0045479D" w:rsidRPr="00460EC6" w:rsidRDefault="0045479D" w:rsidP="00526D16">
      <w:pPr>
        <w:pStyle w:val="SingleTxtG"/>
        <w:numPr>
          <w:ilvl w:val="0"/>
          <w:numId w:val="3"/>
        </w:numPr>
        <w:spacing w:after="0" w:line="360" w:lineRule="auto"/>
        <w:ind w:right="49"/>
        <w:rPr>
          <w:color w:val="000000" w:themeColor="text1"/>
          <w:sz w:val="24"/>
          <w:szCs w:val="24"/>
        </w:rPr>
      </w:pPr>
      <w:r w:rsidRPr="00460EC6">
        <w:rPr>
          <w:color w:val="000000" w:themeColor="text1"/>
          <w:sz w:val="24"/>
          <w:szCs w:val="24"/>
        </w:rPr>
        <w:t xml:space="preserve">The present </w:t>
      </w:r>
      <w:r w:rsidR="00460EC6">
        <w:rPr>
          <w:color w:val="000000" w:themeColor="text1"/>
          <w:sz w:val="24"/>
          <w:szCs w:val="24"/>
        </w:rPr>
        <w:t>R</w:t>
      </w:r>
      <w:r w:rsidRPr="00460EC6">
        <w:rPr>
          <w:color w:val="000000" w:themeColor="text1"/>
          <w:sz w:val="24"/>
          <w:szCs w:val="24"/>
        </w:rPr>
        <w:t xml:space="preserve">eport, prepared in accordance with </w:t>
      </w:r>
      <w:r w:rsidR="001E7B97" w:rsidRPr="00460EC6">
        <w:rPr>
          <w:bCs/>
          <w:color w:val="000000" w:themeColor="text1"/>
          <w:sz w:val="24"/>
          <w:szCs w:val="24"/>
        </w:rPr>
        <w:t>A</w:t>
      </w:r>
      <w:r w:rsidRPr="00460EC6">
        <w:rPr>
          <w:bCs/>
          <w:color w:val="000000" w:themeColor="text1"/>
          <w:sz w:val="24"/>
          <w:szCs w:val="24"/>
        </w:rPr>
        <w:t>rticles 16 and 17 of the International Covenant on Economic, Social and Cultural Rights (ICESCR)</w:t>
      </w:r>
      <w:r w:rsidRPr="00460EC6">
        <w:rPr>
          <w:color w:val="000000" w:themeColor="text1"/>
          <w:sz w:val="24"/>
          <w:szCs w:val="24"/>
        </w:rPr>
        <w:t>, constitutes the fourth and fifth combined report of the Federal Democratic Republic of Ethiopia. It shows the measures taken by Ethiopia to implement economic, social, and cultural rights provided in ICESCR.</w:t>
      </w:r>
    </w:p>
    <w:p w14:paraId="5F0E8FE2" w14:textId="355A3A1A" w:rsidR="0045479D" w:rsidRPr="00460EC6" w:rsidRDefault="00410535" w:rsidP="00526D16">
      <w:pPr>
        <w:pStyle w:val="SingleTxtG"/>
        <w:numPr>
          <w:ilvl w:val="0"/>
          <w:numId w:val="3"/>
        </w:numPr>
        <w:spacing w:after="0" w:line="360" w:lineRule="auto"/>
        <w:ind w:right="49"/>
        <w:rPr>
          <w:color w:val="000000" w:themeColor="text1"/>
          <w:sz w:val="24"/>
          <w:szCs w:val="24"/>
        </w:rPr>
      </w:pPr>
      <w:r w:rsidRPr="00460EC6">
        <w:rPr>
          <w:color w:val="000000" w:themeColor="text1"/>
          <w:sz w:val="24"/>
          <w:szCs w:val="24"/>
        </w:rPr>
        <w:t xml:space="preserve">This </w:t>
      </w:r>
      <w:r w:rsidR="00460EC6">
        <w:rPr>
          <w:color w:val="000000" w:themeColor="text1"/>
          <w:sz w:val="24"/>
          <w:szCs w:val="24"/>
        </w:rPr>
        <w:t>R</w:t>
      </w:r>
      <w:r w:rsidRPr="00460EC6">
        <w:rPr>
          <w:color w:val="000000" w:themeColor="text1"/>
          <w:sz w:val="24"/>
          <w:szCs w:val="24"/>
        </w:rPr>
        <w:t>eport is prepared by a</w:t>
      </w:r>
      <w:r w:rsidR="0045479D" w:rsidRPr="00460EC6">
        <w:rPr>
          <w:color w:val="000000" w:themeColor="text1"/>
          <w:sz w:val="24"/>
          <w:szCs w:val="24"/>
        </w:rPr>
        <w:t xml:space="preserve">n Inter-Ministerial group of experts led by the Ministry of Justice. Accordingly, experts from the Ministry of Justice, Ministry of Foreign Affairs, Ministry of Health, Ministry of Education, Ministry of Women and Social Affairs, Ministry of Planning and Development, the Refugees and Returnees Service and Ethiopian Disaster Risk Management Commission </w:t>
      </w:r>
      <w:r w:rsidRPr="00460EC6">
        <w:rPr>
          <w:color w:val="000000" w:themeColor="text1"/>
          <w:sz w:val="24"/>
          <w:szCs w:val="24"/>
        </w:rPr>
        <w:t xml:space="preserve">participated in the drafting </w:t>
      </w:r>
      <w:r w:rsidR="0045479D" w:rsidRPr="00460EC6">
        <w:rPr>
          <w:color w:val="000000" w:themeColor="text1"/>
          <w:sz w:val="24"/>
          <w:szCs w:val="24"/>
        </w:rPr>
        <w:t xml:space="preserve">of the report. Technical assistance of the East Africa Regional Office of the United Nations Office of the High Commissioner for Human Rights (OHCHR) was also instrumental in preparing the </w:t>
      </w:r>
      <w:r w:rsidR="00460EC6">
        <w:rPr>
          <w:color w:val="000000" w:themeColor="text1"/>
          <w:sz w:val="24"/>
          <w:szCs w:val="24"/>
        </w:rPr>
        <w:t>R</w:t>
      </w:r>
      <w:r w:rsidR="0045479D" w:rsidRPr="00460EC6">
        <w:rPr>
          <w:color w:val="000000" w:themeColor="text1"/>
          <w:sz w:val="24"/>
          <w:szCs w:val="24"/>
        </w:rPr>
        <w:t>eport.</w:t>
      </w:r>
    </w:p>
    <w:p w14:paraId="4CB2CD1C" w14:textId="7791E0C8" w:rsidR="0045479D" w:rsidRPr="00460EC6" w:rsidRDefault="0045479D" w:rsidP="00526D16">
      <w:pPr>
        <w:pStyle w:val="SingleTxtG"/>
        <w:numPr>
          <w:ilvl w:val="0"/>
          <w:numId w:val="3"/>
        </w:numPr>
        <w:tabs>
          <w:tab w:val="left" w:pos="3780"/>
        </w:tabs>
        <w:spacing w:after="0" w:line="360" w:lineRule="auto"/>
        <w:ind w:right="49"/>
        <w:rPr>
          <w:color w:val="000000" w:themeColor="text1"/>
          <w:sz w:val="24"/>
          <w:szCs w:val="24"/>
        </w:rPr>
      </w:pPr>
      <w:r w:rsidRPr="00460EC6">
        <w:rPr>
          <w:color w:val="000000" w:themeColor="text1"/>
          <w:sz w:val="24"/>
          <w:szCs w:val="24"/>
        </w:rPr>
        <w:t xml:space="preserve">National consultative meetings were organized on the draft </w:t>
      </w:r>
      <w:r w:rsidR="00460EC6">
        <w:rPr>
          <w:color w:val="000000" w:themeColor="text1"/>
          <w:sz w:val="24"/>
          <w:szCs w:val="24"/>
        </w:rPr>
        <w:t>R</w:t>
      </w:r>
      <w:r w:rsidRPr="00460EC6">
        <w:rPr>
          <w:color w:val="000000" w:themeColor="text1"/>
          <w:sz w:val="24"/>
          <w:szCs w:val="24"/>
        </w:rPr>
        <w:t>eport with government</w:t>
      </w:r>
      <w:r w:rsidR="00460EC6">
        <w:rPr>
          <w:color w:val="000000" w:themeColor="text1"/>
          <w:sz w:val="24"/>
          <w:szCs w:val="24"/>
        </w:rPr>
        <w:t xml:space="preserve"> institutions,</w:t>
      </w:r>
      <w:r w:rsidRPr="00460EC6">
        <w:rPr>
          <w:color w:val="000000" w:themeColor="text1"/>
          <w:sz w:val="24"/>
          <w:szCs w:val="24"/>
        </w:rPr>
        <w:t xml:space="preserve"> </w:t>
      </w:r>
      <w:r w:rsidR="00460EC6">
        <w:rPr>
          <w:color w:val="000000" w:themeColor="text1"/>
          <w:sz w:val="24"/>
          <w:szCs w:val="24"/>
        </w:rPr>
        <w:t xml:space="preserve">CSOs and </w:t>
      </w:r>
      <w:r w:rsidRPr="00460EC6">
        <w:rPr>
          <w:color w:val="000000" w:themeColor="text1"/>
          <w:sz w:val="24"/>
          <w:szCs w:val="24"/>
        </w:rPr>
        <w:t>non-governmental organizations to enrich the document and ensure it</w:t>
      </w:r>
      <w:r w:rsidR="00410535" w:rsidRPr="00460EC6">
        <w:rPr>
          <w:color w:val="000000" w:themeColor="text1"/>
          <w:sz w:val="24"/>
          <w:szCs w:val="24"/>
        </w:rPr>
        <w:t>s</w:t>
      </w:r>
      <w:r w:rsidRPr="00460EC6">
        <w:rPr>
          <w:color w:val="000000" w:themeColor="text1"/>
          <w:sz w:val="24"/>
          <w:szCs w:val="24"/>
        </w:rPr>
        <w:t xml:space="preserve"> accura</w:t>
      </w:r>
      <w:r w:rsidR="00410535" w:rsidRPr="00460EC6">
        <w:rPr>
          <w:color w:val="000000" w:themeColor="text1"/>
          <w:sz w:val="24"/>
          <w:szCs w:val="24"/>
        </w:rPr>
        <w:t>c</w:t>
      </w:r>
      <w:r w:rsidRPr="00460EC6">
        <w:rPr>
          <w:color w:val="000000" w:themeColor="text1"/>
          <w:sz w:val="24"/>
          <w:szCs w:val="24"/>
        </w:rPr>
        <w:t xml:space="preserve">y </w:t>
      </w:r>
      <w:r w:rsidR="00410535" w:rsidRPr="00460EC6">
        <w:rPr>
          <w:color w:val="000000" w:themeColor="text1"/>
          <w:sz w:val="24"/>
          <w:szCs w:val="24"/>
        </w:rPr>
        <w:t xml:space="preserve">in </w:t>
      </w:r>
      <w:r w:rsidRPr="00460EC6">
        <w:rPr>
          <w:color w:val="000000" w:themeColor="text1"/>
          <w:sz w:val="24"/>
          <w:szCs w:val="24"/>
        </w:rPr>
        <w:t>descri</w:t>
      </w:r>
      <w:r w:rsidR="00410535" w:rsidRPr="00460EC6">
        <w:rPr>
          <w:color w:val="000000" w:themeColor="text1"/>
          <w:sz w:val="24"/>
          <w:szCs w:val="24"/>
        </w:rPr>
        <w:t>bing</w:t>
      </w:r>
      <w:r w:rsidRPr="00460EC6">
        <w:rPr>
          <w:color w:val="000000" w:themeColor="text1"/>
          <w:sz w:val="24"/>
          <w:szCs w:val="24"/>
        </w:rPr>
        <w:t xml:space="preserve"> the current state of economic, social and cultural rights in Ethiopia.  </w:t>
      </w:r>
      <w:r w:rsidR="00410535" w:rsidRPr="00460EC6">
        <w:rPr>
          <w:color w:val="000000" w:themeColor="text1"/>
          <w:sz w:val="24"/>
          <w:szCs w:val="24"/>
        </w:rPr>
        <w:t xml:space="preserve"> </w:t>
      </w:r>
    </w:p>
    <w:p w14:paraId="26251FF0" w14:textId="0249F6A5" w:rsidR="00B51839" w:rsidRPr="00460EC6" w:rsidRDefault="003D1205" w:rsidP="00526D16">
      <w:pPr>
        <w:pStyle w:val="SingleTxtG"/>
        <w:numPr>
          <w:ilvl w:val="0"/>
          <w:numId w:val="3"/>
        </w:numPr>
        <w:tabs>
          <w:tab w:val="left" w:pos="3780"/>
        </w:tabs>
        <w:spacing w:after="0" w:line="360" w:lineRule="auto"/>
        <w:ind w:right="49"/>
        <w:rPr>
          <w:color w:val="000000" w:themeColor="text1"/>
          <w:sz w:val="24"/>
          <w:szCs w:val="24"/>
        </w:rPr>
      </w:pPr>
      <w:r w:rsidRPr="00460EC6">
        <w:rPr>
          <w:color w:val="000000" w:themeColor="text1"/>
          <w:sz w:val="24"/>
          <w:szCs w:val="24"/>
        </w:rPr>
        <w:t xml:space="preserve">The present Report, furthermore, incorporates responses to the concerns and recommendations raised by the Committee in its concluding observations on Ethiopia’s previous periodic report. </w:t>
      </w:r>
    </w:p>
    <w:p w14:paraId="02737641" w14:textId="3CCDAB35" w:rsidR="0045479D" w:rsidRDefault="0045479D" w:rsidP="00526D16">
      <w:pPr>
        <w:pStyle w:val="SingleTxtG"/>
        <w:numPr>
          <w:ilvl w:val="0"/>
          <w:numId w:val="3"/>
        </w:numPr>
        <w:spacing w:after="0" w:line="360" w:lineRule="auto"/>
        <w:ind w:right="49"/>
        <w:rPr>
          <w:color w:val="000000" w:themeColor="text1"/>
          <w:sz w:val="24"/>
          <w:szCs w:val="24"/>
        </w:rPr>
      </w:pPr>
      <w:r w:rsidRPr="00460EC6">
        <w:rPr>
          <w:color w:val="000000" w:themeColor="text1"/>
          <w:sz w:val="24"/>
          <w:szCs w:val="24"/>
        </w:rPr>
        <w:t xml:space="preserve">The Government believes, the </w:t>
      </w:r>
      <w:r w:rsidR="00460EC6">
        <w:rPr>
          <w:color w:val="000000" w:themeColor="text1"/>
          <w:sz w:val="24"/>
          <w:szCs w:val="24"/>
        </w:rPr>
        <w:t>R</w:t>
      </w:r>
      <w:r w:rsidRPr="00460EC6">
        <w:rPr>
          <w:color w:val="000000" w:themeColor="text1"/>
          <w:sz w:val="24"/>
          <w:szCs w:val="24"/>
        </w:rPr>
        <w:t xml:space="preserve">eport would provide adequate information on the extent of the implementation of ICESCR in the Country. The Government would like to express its satisfaction in submitting this </w:t>
      </w:r>
      <w:r w:rsidR="00460EC6">
        <w:rPr>
          <w:color w:val="000000" w:themeColor="text1"/>
          <w:sz w:val="24"/>
          <w:szCs w:val="24"/>
        </w:rPr>
        <w:t>R</w:t>
      </w:r>
      <w:r w:rsidRPr="00460EC6">
        <w:rPr>
          <w:color w:val="000000" w:themeColor="text1"/>
          <w:sz w:val="24"/>
          <w:szCs w:val="24"/>
        </w:rPr>
        <w:t>eport and hopes for constructive dialogue with a view to further enhance the protection and promotion of economic, social and cultural rights in Ethiopia.</w:t>
      </w:r>
    </w:p>
    <w:p w14:paraId="2F91C261" w14:textId="77777777" w:rsidR="00460EC6" w:rsidRDefault="00460EC6" w:rsidP="00460EC6">
      <w:pPr>
        <w:pStyle w:val="SingleTxtG"/>
        <w:spacing w:after="0" w:line="360" w:lineRule="auto"/>
        <w:ind w:right="49"/>
        <w:rPr>
          <w:color w:val="000000" w:themeColor="text1"/>
          <w:sz w:val="24"/>
          <w:szCs w:val="24"/>
        </w:rPr>
      </w:pPr>
    </w:p>
    <w:p w14:paraId="34104B9A" w14:textId="77777777" w:rsidR="00460EC6" w:rsidRDefault="00460EC6" w:rsidP="00460EC6">
      <w:pPr>
        <w:pStyle w:val="SingleTxtG"/>
        <w:spacing w:after="0" w:line="360" w:lineRule="auto"/>
        <w:ind w:right="49"/>
        <w:rPr>
          <w:color w:val="000000" w:themeColor="text1"/>
          <w:sz w:val="24"/>
          <w:szCs w:val="24"/>
        </w:rPr>
      </w:pPr>
    </w:p>
    <w:p w14:paraId="252EDF21" w14:textId="77777777" w:rsidR="00460EC6" w:rsidRPr="00460EC6" w:rsidRDefault="00460EC6" w:rsidP="00460EC6">
      <w:pPr>
        <w:pStyle w:val="SingleTxtG"/>
        <w:spacing w:after="0" w:line="360" w:lineRule="auto"/>
        <w:ind w:right="49"/>
        <w:rPr>
          <w:color w:val="000000" w:themeColor="text1"/>
          <w:sz w:val="24"/>
          <w:szCs w:val="24"/>
        </w:rPr>
      </w:pPr>
    </w:p>
    <w:p w14:paraId="7BC8B6C5" w14:textId="4188F472" w:rsidR="0045479D" w:rsidRPr="00460EC6" w:rsidRDefault="0045479D" w:rsidP="00460EC6">
      <w:pPr>
        <w:pStyle w:val="ListParagraph"/>
        <w:keepNext/>
        <w:keepLines/>
        <w:numPr>
          <w:ilvl w:val="0"/>
          <w:numId w:val="7"/>
        </w:numPr>
        <w:tabs>
          <w:tab w:val="right" w:pos="851"/>
        </w:tabs>
        <w:suppressAutoHyphens/>
        <w:spacing w:before="360" w:after="240" w:line="360" w:lineRule="auto"/>
        <w:ind w:right="1134"/>
        <w:jc w:val="both"/>
        <w:rPr>
          <w:rFonts w:ascii="Times New Roman" w:eastAsia="Times New Roman" w:hAnsi="Times New Roman" w:cs="Times New Roman"/>
          <w:b/>
          <w:color w:val="000000" w:themeColor="text1"/>
          <w:kern w:val="0"/>
          <w:sz w:val="24"/>
          <w:szCs w:val="24"/>
          <w14:ligatures w14:val="none"/>
        </w:rPr>
      </w:pPr>
      <w:r w:rsidRPr="00460EC6">
        <w:rPr>
          <w:rFonts w:ascii="Times New Roman" w:eastAsia="Times New Roman" w:hAnsi="Times New Roman" w:cs="Times New Roman"/>
          <w:b/>
          <w:color w:val="000000" w:themeColor="text1"/>
          <w:kern w:val="0"/>
          <w:sz w:val="24"/>
          <w:szCs w:val="24"/>
          <w14:ligatures w14:val="none"/>
        </w:rPr>
        <w:lastRenderedPageBreak/>
        <w:t>Information on new measures and new developments relating to the implementation of the convention</w:t>
      </w:r>
    </w:p>
    <w:p w14:paraId="5E188BB7" w14:textId="4359FC79" w:rsidR="006C2CB1" w:rsidRPr="00460EC6" w:rsidRDefault="006C2CB1" w:rsidP="00526D16">
      <w:pPr>
        <w:spacing w:line="360" w:lineRule="auto"/>
        <w:jc w:val="both"/>
        <w:rPr>
          <w:rFonts w:ascii="Times New Roman" w:eastAsia="Calibri" w:hAnsi="Times New Roman" w:cs="Times New Roman"/>
          <w:b/>
          <w:bCs/>
          <w:color w:val="000000" w:themeColor="text1"/>
          <w:kern w:val="0"/>
          <w:sz w:val="24"/>
          <w:szCs w:val="24"/>
          <w:lang w:val="en-US"/>
          <w14:ligatures w14:val="none"/>
        </w:rPr>
      </w:pPr>
      <w:r w:rsidRPr="00460EC6">
        <w:rPr>
          <w:rFonts w:ascii="Times New Roman" w:eastAsia="Calibri" w:hAnsi="Times New Roman" w:cs="Times New Roman"/>
          <w:b/>
          <w:bCs/>
          <w:color w:val="000000" w:themeColor="text1"/>
          <w:kern w:val="0"/>
          <w:sz w:val="24"/>
          <w:szCs w:val="24"/>
          <w:lang w:val="en-US"/>
          <w14:ligatures w14:val="none"/>
        </w:rPr>
        <w:t xml:space="preserve">Article 1: </w:t>
      </w:r>
      <w:r w:rsidRPr="00460EC6">
        <w:rPr>
          <w:rFonts w:ascii="Times New Roman" w:eastAsia="Calibri" w:hAnsi="Times New Roman" w:cs="Times New Roman"/>
          <w:b/>
          <w:bCs/>
          <w:color w:val="000000" w:themeColor="text1"/>
          <w:kern w:val="0"/>
          <w:sz w:val="24"/>
          <w:szCs w:val="24"/>
          <w:u w:val="single"/>
          <w:lang w:val="en-US"/>
          <w14:ligatures w14:val="none"/>
        </w:rPr>
        <w:t>The Right to Self-determination</w:t>
      </w:r>
      <w:r w:rsidR="00460EC6">
        <w:rPr>
          <w:rFonts w:ascii="Times New Roman" w:eastAsia="Calibri" w:hAnsi="Times New Roman" w:cs="Times New Roman"/>
          <w:b/>
          <w:bCs/>
          <w:color w:val="000000" w:themeColor="text1"/>
          <w:kern w:val="0"/>
          <w:sz w:val="24"/>
          <w:szCs w:val="24"/>
          <w:u w:val="single"/>
          <w:lang w:val="en-US"/>
          <w14:ligatures w14:val="none"/>
        </w:rPr>
        <w:t>.</w:t>
      </w:r>
    </w:p>
    <w:p w14:paraId="6EB4D7E6"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constitutional and political process explained in the previous report remains valid. </w:t>
      </w:r>
    </w:p>
    <w:p w14:paraId="2ACB8C64"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During the reporting period, multiple requests, including from the </w:t>
      </w:r>
      <w:proofErr w:type="spellStart"/>
      <w:r w:rsidRPr="00460EC6">
        <w:rPr>
          <w:rFonts w:ascii="Times New Roman" w:eastAsia="Calibri" w:hAnsi="Times New Roman" w:cs="Times New Roman"/>
          <w:color w:val="000000" w:themeColor="text1"/>
          <w:sz w:val="24"/>
          <w:szCs w:val="24"/>
        </w:rPr>
        <w:t>Qimant</w:t>
      </w:r>
      <w:proofErr w:type="spellEnd"/>
      <w:r w:rsidRPr="00460EC6">
        <w:rPr>
          <w:rFonts w:ascii="Times New Roman" w:eastAsia="Calibri" w:hAnsi="Times New Roman" w:cs="Times New Roman"/>
          <w:color w:val="000000" w:themeColor="text1"/>
          <w:sz w:val="24"/>
          <w:szCs w:val="24"/>
        </w:rPr>
        <w:t xml:space="preserve"> people in Amhara, and several groups in the SNNP regions were submitted and self-determination rights were pursued via referendums organized by the National Election Board.</w:t>
      </w:r>
    </w:p>
    <w:p w14:paraId="5DD5994A" w14:textId="545C6694"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 wave of referendums transforming Ethiopia’s former SNNPR territory reshaped the </w:t>
      </w:r>
      <w:r w:rsidR="00410535" w:rsidRPr="00460EC6">
        <w:rPr>
          <w:rFonts w:ascii="Times New Roman" w:hAnsi="Times New Roman" w:cs="Times New Roman"/>
          <w:color w:val="000000" w:themeColor="text1"/>
          <w:sz w:val="24"/>
          <w:szCs w:val="24"/>
        </w:rPr>
        <w:t>N</w:t>
      </w:r>
      <w:r w:rsidRPr="00460EC6">
        <w:rPr>
          <w:rFonts w:ascii="Times New Roman" w:hAnsi="Times New Roman" w:cs="Times New Roman"/>
          <w:color w:val="000000" w:themeColor="text1"/>
          <w:sz w:val="24"/>
          <w:szCs w:val="24"/>
        </w:rPr>
        <w:t>ation’s federal structure. First, on 20 November 2019, the Sidama zone held a landmark vote: nearly all of 2,280,147 registered voters participated (99.86 % turnout), with 2,225,249 (98.52 %) endorsing statehood, leading to the creation of the Sidama Regional State, Ethiopia’s 10</w:t>
      </w:r>
      <w:r w:rsidRPr="00460EC6">
        <w:rPr>
          <w:rFonts w:ascii="Times New Roman" w:hAnsi="Times New Roman" w:cs="Times New Roman"/>
          <w:color w:val="000000" w:themeColor="text1"/>
          <w:sz w:val="24"/>
          <w:szCs w:val="24"/>
          <w:vertAlign w:val="superscript"/>
        </w:rPr>
        <w:t>th</w:t>
      </w:r>
      <w:r w:rsidRPr="00460EC6">
        <w:rPr>
          <w:rFonts w:ascii="Times New Roman" w:hAnsi="Times New Roman" w:cs="Times New Roman"/>
          <w:color w:val="000000" w:themeColor="text1"/>
          <w:sz w:val="24"/>
          <w:szCs w:val="24"/>
        </w:rPr>
        <w:t xml:space="preserve"> federation member. Next, on 30 September 2021, 1,262,679 voters (94 % turnout) decided by 1,221,092 (98.07 %) to carve out the South West Ethiopia Peoples’ Region, forming the 11</w:t>
      </w:r>
      <w:r w:rsidRPr="00460EC6">
        <w:rPr>
          <w:rFonts w:ascii="Times New Roman" w:hAnsi="Times New Roman" w:cs="Times New Roman"/>
          <w:color w:val="000000" w:themeColor="text1"/>
          <w:sz w:val="24"/>
          <w:szCs w:val="24"/>
          <w:vertAlign w:val="superscript"/>
        </w:rPr>
        <w:t>th</w:t>
      </w:r>
      <w:r w:rsidRPr="00460EC6">
        <w:rPr>
          <w:rFonts w:ascii="Times New Roman" w:hAnsi="Times New Roman" w:cs="Times New Roman"/>
          <w:color w:val="000000" w:themeColor="text1"/>
          <w:sz w:val="24"/>
          <w:szCs w:val="24"/>
        </w:rPr>
        <w:t xml:space="preserve"> state. Lastly, on 6 February 2023, referendums across six zones and five special woredas approved the creation of the Southern Ethiopia Peoples’ Region and the Central Ethiopia Peoples’ Region. Collectively, these votes engaged millions of citizens, dissolved the SNNPR, and added four new regional states to Ethiopia’s federation.</w:t>
      </w:r>
    </w:p>
    <w:p w14:paraId="6666983A" w14:textId="3964EB56"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Another referendum was held on 17 September 2017 across four woredas and 12 kebeles in the territories shared by the </w:t>
      </w:r>
      <w:proofErr w:type="spellStart"/>
      <w:r w:rsidRPr="00460EC6">
        <w:rPr>
          <w:rFonts w:ascii="Times New Roman" w:hAnsi="Times New Roman" w:cs="Times New Roman"/>
          <w:color w:val="000000" w:themeColor="text1"/>
          <w:sz w:val="24"/>
          <w:szCs w:val="24"/>
        </w:rPr>
        <w:t>Qimant</w:t>
      </w:r>
      <w:proofErr w:type="spellEnd"/>
      <w:r w:rsidRPr="00460EC6">
        <w:rPr>
          <w:rFonts w:ascii="Times New Roman" w:hAnsi="Times New Roman" w:cs="Times New Roman"/>
          <w:color w:val="000000" w:themeColor="text1"/>
          <w:sz w:val="24"/>
          <w:szCs w:val="24"/>
        </w:rPr>
        <w:t xml:space="preserve"> and Amhara communities to determine whether these areas should remain under the old administration or become a self-autonomous zone. Around </w:t>
      </w:r>
      <w:r w:rsidRPr="00460EC6">
        <w:rPr>
          <w:rFonts w:ascii="Times New Roman" w:hAnsi="Times New Roman" w:cs="Times New Roman"/>
          <w:bCs/>
          <w:color w:val="000000" w:themeColor="text1"/>
          <w:sz w:val="24"/>
          <w:szCs w:val="24"/>
        </w:rPr>
        <w:t>8,174 men</w:t>
      </w:r>
      <w:r w:rsidRPr="00460EC6">
        <w:rPr>
          <w:rFonts w:ascii="Times New Roman" w:hAnsi="Times New Roman" w:cs="Times New Roman"/>
          <w:color w:val="000000" w:themeColor="text1"/>
          <w:sz w:val="24"/>
          <w:szCs w:val="24"/>
        </w:rPr>
        <w:t xml:space="preserve"> and </w:t>
      </w:r>
      <w:r w:rsidRPr="00460EC6">
        <w:rPr>
          <w:rFonts w:ascii="Times New Roman" w:hAnsi="Times New Roman" w:cs="Times New Roman"/>
          <w:bCs/>
          <w:color w:val="000000" w:themeColor="text1"/>
          <w:sz w:val="24"/>
          <w:szCs w:val="24"/>
        </w:rPr>
        <w:t>7,168 women</w:t>
      </w:r>
      <w:r w:rsidRPr="00460EC6">
        <w:rPr>
          <w:rFonts w:ascii="Times New Roman" w:hAnsi="Times New Roman" w:cs="Times New Roman"/>
          <w:color w:val="000000" w:themeColor="text1"/>
          <w:sz w:val="24"/>
          <w:szCs w:val="24"/>
        </w:rPr>
        <w:t xml:space="preserve"> were participated in the referendum.</w:t>
      </w:r>
    </w:p>
    <w:p w14:paraId="08EADBF0" w14:textId="34A5F993"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lang w:val="en-US"/>
        </w:rPr>
        <w:t xml:space="preserve">The </w:t>
      </w:r>
      <w:proofErr w:type="spellStart"/>
      <w:r w:rsidRPr="00460EC6">
        <w:rPr>
          <w:rFonts w:ascii="Times New Roman" w:hAnsi="Times New Roman" w:cs="Times New Roman"/>
          <w:color w:val="000000" w:themeColor="text1"/>
          <w:sz w:val="24"/>
          <w:szCs w:val="24"/>
          <w:lang w:val="en-US"/>
        </w:rPr>
        <w:t>GoE</w:t>
      </w:r>
      <w:proofErr w:type="spellEnd"/>
      <w:r w:rsidRPr="00460EC6">
        <w:rPr>
          <w:rFonts w:ascii="Times New Roman" w:hAnsi="Times New Roman" w:cs="Times New Roman"/>
          <w:color w:val="000000" w:themeColor="text1"/>
          <w:sz w:val="24"/>
          <w:szCs w:val="24"/>
          <w:lang w:val="en-US"/>
        </w:rPr>
        <w:t xml:space="preserve"> prioritizes public consultation and community participation in projects with significant local impact. This commitment is rooted in Article 92 of the Constitution and reinforced by both national and international environmental policies. For instance, the Gibe III Hydroelectric Dam undertook focused consultations with affected residents and local officials. Similar engagements were also held in the Omo-Kuraz sugar factory project. Moreover, t</w:t>
      </w:r>
      <w:r w:rsidRPr="00460EC6">
        <w:rPr>
          <w:rFonts w:ascii="Times New Roman" w:hAnsi="Times New Roman" w:cs="Times New Roman"/>
          <w:color w:val="000000" w:themeColor="text1"/>
          <w:sz w:val="24"/>
          <w:szCs w:val="24"/>
        </w:rPr>
        <w:t xml:space="preserve">o safeguard displaced communities, Ethiopia has established a legal and administrative framework aligned with its Constitution, </w:t>
      </w:r>
      <w:r w:rsidR="00BE47DD" w:rsidRPr="00460EC6">
        <w:rPr>
          <w:rFonts w:ascii="Times New Roman" w:hAnsi="Times New Roman" w:cs="Times New Roman"/>
          <w:color w:val="000000" w:themeColor="text1"/>
          <w:sz w:val="24"/>
          <w:szCs w:val="24"/>
        </w:rPr>
        <w:t xml:space="preserve">and </w:t>
      </w:r>
      <w:r w:rsidRPr="00460EC6">
        <w:rPr>
          <w:rFonts w:ascii="Times New Roman" w:hAnsi="Times New Roman" w:cs="Times New Roman"/>
          <w:color w:val="000000" w:themeColor="text1"/>
          <w:sz w:val="24"/>
          <w:szCs w:val="24"/>
        </w:rPr>
        <w:t>environmental policy</w:t>
      </w:r>
      <w:r w:rsidR="00BE47DD"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 xml:space="preserve"> These </w:t>
      </w:r>
      <w:r w:rsidR="00BE47DD" w:rsidRPr="00460EC6">
        <w:rPr>
          <w:rFonts w:ascii="Times New Roman" w:hAnsi="Times New Roman" w:cs="Times New Roman"/>
          <w:color w:val="000000" w:themeColor="text1"/>
          <w:sz w:val="24"/>
          <w:szCs w:val="24"/>
        </w:rPr>
        <w:lastRenderedPageBreak/>
        <w:t xml:space="preserve">frameworks and especially the relevant laws </w:t>
      </w:r>
      <w:r w:rsidRPr="00460EC6">
        <w:rPr>
          <w:rFonts w:ascii="Times New Roman" w:hAnsi="Times New Roman" w:cs="Times New Roman"/>
          <w:color w:val="000000" w:themeColor="text1"/>
          <w:sz w:val="24"/>
          <w:szCs w:val="24"/>
        </w:rPr>
        <w:t>define fair compensation, expropriation processes, and grievance mechanisms to uphold community rights and self-determination.</w:t>
      </w:r>
    </w:p>
    <w:p w14:paraId="35044B1F" w14:textId="5E645F4E"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To ensure the economic self-determination of resource reach communities, the </w:t>
      </w:r>
      <w:proofErr w:type="spellStart"/>
      <w:r w:rsidRPr="00460EC6">
        <w:rPr>
          <w:rFonts w:ascii="Times New Roman" w:hAnsi="Times New Roman" w:cs="Times New Roman"/>
          <w:color w:val="000000" w:themeColor="text1"/>
          <w:sz w:val="24"/>
          <w:szCs w:val="24"/>
        </w:rPr>
        <w:t>HoF</w:t>
      </w:r>
      <w:proofErr w:type="spellEnd"/>
      <w:r w:rsidRPr="00460EC6">
        <w:rPr>
          <w:rFonts w:ascii="Times New Roman" w:hAnsi="Times New Roman" w:cs="Times New Roman"/>
          <w:color w:val="000000" w:themeColor="text1"/>
          <w:sz w:val="24"/>
          <w:szCs w:val="24"/>
        </w:rPr>
        <w:t xml:space="preserve"> has approved in July 2019 a new revenue-sharing formula allocating 50% of royalties from large-scale mining and petroleum to regional states and crucially, directing 10% of federal mining royalties to the very localities where mining occurs.</w:t>
      </w:r>
    </w:p>
    <w:p w14:paraId="00C2C24D" w14:textId="69EC380A" w:rsidR="006C2CB1" w:rsidRPr="00460EC6" w:rsidRDefault="006C2CB1" w:rsidP="00526D16">
      <w:pPr>
        <w:spacing w:line="360" w:lineRule="auto"/>
        <w:jc w:val="both"/>
        <w:rPr>
          <w:rFonts w:ascii="Times New Roman" w:eastAsia="Calibri" w:hAnsi="Times New Roman" w:cs="Times New Roman"/>
          <w:b/>
          <w:bCs/>
          <w:color w:val="000000" w:themeColor="text1"/>
          <w:kern w:val="0"/>
          <w:sz w:val="24"/>
          <w:szCs w:val="24"/>
          <w:lang w:val="en-US"/>
          <w14:ligatures w14:val="none"/>
        </w:rPr>
      </w:pPr>
      <w:r w:rsidRPr="00460EC6">
        <w:rPr>
          <w:rFonts w:ascii="Times New Roman" w:eastAsia="Calibri" w:hAnsi="Times New Roman" w:cs="Times New Roman"/>
          <w:b/>
          <w:bCs/>
          <w:color w:val="000000" w:themeColor="text1"/>
          <w:kern w:val="0"/>
          <w:sz w:val="24"/>
          <w:szCs w:val="24"/>
          <w:lang w:val="en-US"/>
          <w14:ligatures w14:val="none"/>
        </w:rPr>
        <w:t>Article 2</w:t>
      </w:r>
      <w:r w:rsidR="00E677A0" w:rsidRPr="00460EC6">
        <w:rPr>
          <w:rFonts w:ascii="Times New Roman" w:eastAsia="Calibri" w:hAnsi="Times New Roman" w:cs="Times New Roman"/>
          <w:b/>
          <w:bCs/>
          <w:color w:val="000000" w:themeColor="text1"/>
          <w:kern w:val="0"/>
          <w:sz w:val="24"/>
          <w:szCs w:val="24"/>
          <w:lang w:val="en-US"/>
          <w14:ligatures w14:val="none"/>
        </w:rPr>
        <w:t xml:space="preserve">: </w:t>
      </w:r>
      <w:r w:rsidR="00E677A0" w:rsidRPr="00460EC6">
        <w:rPr>
          <w:rFonts w:ascii="Times New Roman" w:eastAsia="Calibri" w:hAnsi="Times New Roman" w:cs="Times New Roman"/>
          <w:b/>
          <w:bCs/>
          <w:color w:val="000000" w:themeColor="text1"/>
          <w:kern w:val="0"/>
          <w:sz w:val="24"/>
          <w:szCs w:val="24"/>
          <w:u w:val="single"/>
          <w:lang w:val="en-US"/>
          <w14:ligatures w14:val="none"/>
        </w:rPr>
        <w:t xml:space="preserve">Legislative, Policy and </w:t>
      </w:r>
      <w:r w:rsidR="00536025" w:rsidRPr="00460EC6">
        <w:rPr>
          <w:rFonts w:ascii="Times New Roman" w:eastAsia="Calibri" w:hAnsi="Times New Roman" w:cs="Times New Roman"/>
          <w:b/>
          <w:bCs/>
          <w:color w:val="000000" w:themeColor="text1"/>
          <w:kern w:val="0"/>
          <w:sz w:val="24"/>
          <w:szCs w:val="24"/>
          <w:u w:val="single"/>
          <w:lang w:val="en-US"/>
          <w14:ligatures w14:val="none"/>
        </w:rPr>
        <w:t>Administrative Measures</w:t>
      </w:r>
    </w:p>
    <w:p w14:paraId="4AA4B5E0" w14:textId="77777777" w:rsidR="006C2CB1" w:rsidRPr="00460EC6" w:rsidRDefault="006C2CB1"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constitutional guarantees of social, economic, and cultural rights, outlined in the previous report, remain fully applicable.  </w:t>
      </w:r>
    </w:p>
    <w:p w14:paraId="2BE22B2B"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In the reporting period, the Charities and Societies Proclamation No. 621/2009 was replaced by a more progressive Civil Societies Proclamation No. 1113/2019, which widens the space for Civil Societies Organizations to engage in human rights related activities.</w:t>
      </w:r>
    </w:p>
    <w:p w14:paraId="1E9ED8EE" w14:textId="6FDF3BEB"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Ethiopian Human Rights Commission Establishment Proclamation No. 210/2000 has also been amended by Proclamation No. 1224/2020</w:t>
      </w:r>
      <w:r w:rsidR="00945DA5"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which provided for a clear appointment of thematic Deputy Commissioners</w:t>
      </w:r>
      <w:r w:rsidR="00945DA5"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including Disability Rights, and </w:t>
      </w:r>
      <w:r w:rsidR="00945DA5" w:rsidRPr="00460EC6">
        <w:rPr>
          <w:rFonts w:ascii="Times New Roman" w:eastAsia="Calibri" w:hAnsi="Times New Roman" w:cs="Times New Roman"/>
          <w:color w:val="000000" w:themeColor="text1"/>
          <w:sz w:val="24"/>
          <w:szCs w:val="24"/>
        </w:rPr>
        <w:t>Socio-Economic</w:t>
      </w:r>
      <w:r w:rsidRPr="00460EC6">
        <w:rPr>
          <w:rFonts w:ascii="Times New Roman" w:eastAsia="Calibri" w:hAnsi="Times New Roman" w:cs="Times New Roman"/>
          <w:color w:val="000000" w:themeColor="text1"/>
          <w:sz w:val="24"/>
          <w:szCs w:val="24"/>
        </w:rPr>
        <w:t xml:space="preserve"> and Cultural Rights.</w:t>
      </w:r>
    </w:p>
    <w:p w14:paraId="4EF4E0CD" w14:textId="574C39DF" w:rsidR="006C2CB1" w:rsidRPr="00460EC6" w:rsidRDefault="006C2CB1"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Labor Proclamation No. 1156/2019 and Special Economic Zone Proclamation No. 1322/2024 have also been adopted in the reporting period, introducing, among others, a minimum </w:t>
      </w:r>
      <w:r w:rsidR="00945DA5" w:rsidRPr="00460EC6">
        <w:rPr>
          <w:rFonts w:ascii="Times New Roman" w:hAnsi="Times New Roman" w:cs="Times New Roman"/>
          <w:color w:val="000000" w:themeColor="text1"/>
          <w:sz w:val="24"/>
          <w:szCs w:val="24"/>
        </w:rPr>
        <w:t>wage-related</w:t>
      </w:r>
      <w:r w:rsidRPr="00460EC6">
        <w:rPr>
          <w:rFonts w:ascii="Times New Roman" w:hAnsi="Times New Roman" w:cs="Times New Roman"/>
          <w:color w:val="000000" w:themeColor="text1"/>
          <w:sz w:val="24"/>
          <w:szCs w:val="24"/>
        </w:rPr>
        <w:t xml:space="preserve"> scheme.</w:t>
      </w:r>
    </w:p>
    <w:p w14:paraId="2360F71C" w14:textId="1641AD0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Pension laws were also amended further to enhance the public as well as private social security scheme. The amendments are the Public Servants' Pension Proclamation No. 1267/2022 and the Private Sector, Proclamation No. 1268/2022.</w:t>
      </w:r>
    </w:p>
    <w:p w14:paraId="59F4B075" w14:textId="2E36B448" w:rsidR="006C2CB1" w:rsidRPr="00460EC6" w:rsidRDefault="006C2CB1"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r w:rsidR="00C13283" w:rsidRPr="00460EC6">
        <w:rPr>
          <w:rFonts w:ascii="Times New Roman" w:hAnsi="Times New Roman" w:cs="Times New Roman"/>
          <w:color w:val="000000" w:themeColor="text1"/>
          <w:sz w:val="24"/>
          <w:szCs w:val="24"/>
        </w:rPr>
        <w:t>E</w:t>
      </w:r>
      <w:r w:rsidRPr="00460EC6">
        <w:rPr>
          <w:rFonts w:ascii="Times New Roman" w:hAnsi="Times New Roman" w:cs="Times New Roman"/>
          <w:color w:val="000000" w:themeColor="text1"/>
          <w:sz w:val="24"/>
          <w:szCs w:val="24"/>
        </w:rPr>
        <w:t xml:space="preserve">xpropriation of </w:t>
      </w:r>
      <w:r w:rsidR="00C13283" w:rsidRPr="00460EC6">
        <w:rPr>
          <w:rFonts w:ascii="Times New Roman" w:hAnsi="Times New Roman" w:cs="Times New Roman"/>
          <w:color w:val="000000" w:themeColor="text1"/>
          <w:sz w:val="24"/>
          <w:szCs w:val="24"/>
        </w:rPr>
        <w:t>L</w:t>
      </w:r>
      <w:r w:rsidRPr="00460EC6">
        <w:rPr>
          <w:rFonts w:ascii="Times New Roman" w:hAnsi="Times New Roman" w:cs="Times New Roman"/>
          <w:color w:val="000000" w:themeColor="text1"/>
          <w:sz w:val="24"/>
          <w:szCs w:val="24"/>
        </w:rPr>
        <w:t xml:space="preserve">andholdings for </w:t>
      </w:r>
      <w:r w:rsidR="00C13283" w:rsidRPr="00460EC6">
        <w:rPr>
          <w:rFonts w:ascii="Times New Roman" w:hAnsi="Times New Roman" w:cs="Times New Roman"/>
          <w:color w:val="000000" w:themeColor="text1"/>
          <w:sz w:val="24"/>
          <w:szCs w:val="24"/>
        </w:rPr>
        <w:t>P</w:t>
      </w:r>
      <w:r w:rsidRPr="00460EC6">
        <w:rPr>
          <w:rFonts w:ascii="Times New Roman" w:hAnsi="Times New Roman" w:cs="Times New Roman"/>
          <w:color w:val="000000" w:themeColor="text1"/>
          <w:sz w:val="24"/>
          <w:szCs w:val="24"/>
        </w:rPr>
        <w:t xml:space="preserve">ublic </w:t>
      </w:r>
      <w:r w:rsidR="00C13283" w:rsidRPr="00460EC6">
        <w:rPr>
          <w:rFonts w:ascii="Times New Roman" w:hAnsi="Times New Roman" w:cs="Times New Roman"/>
          <w:color w:val="000000" w:themeColor="text1"/>
          <w:sz w:val="24"/>
          <w:szCs w:val="24"/>
        </w:rPr>
        <w:t>P</w:t>
      </w:r>
      <w:r w:rsidRPr="00460EC6">
        <w:rPr>
          <w:rFonts w:ascii="Times New Roman" w:hAnsi="Times New Roman" w:cs="Times New Roman"/>
          <w:color w:val="000000" w:themeColor="text1"/>
          <w:sz w:val="24"/>
          <w:szCs w:val="24"/>
        </w:rPr>
        <w:t xml:space="preserve">urposes, </w:t>
      </w:r>
      <w:r w:rsidR="00C13283" w:rsidRPr="00460EC6">
        <w:rPr>
          <w:rFonts w:ascii="Times New Roman" w:hAnsi="Times New Roman" w:cs="Times New Roman"/>
          <w:color w:val="000000" w:themeColor="text1"/>
          <w:sz w:val="24"/>
          <w:szCs w:val="24"/>
        </w:rPr>
        <w:t>P</w:t>
      </w:r>
      <w:r w:rsidRPr="00460EC6">
        <w:rPr>
          <w:rFonts w:ascii="Times New Roman" w:hAnsi="Times New Roman" w:cs="Times New Roman"/>
          <w:color w:val="000000" w:themeColor="text1"/>
          <w:sz w:val="24"/>
          <w:szCs w:val="24"/>
        </w:rPr>
        <w:t xml:space="preserve">ayments of </w:t>
      </w:r>
      <w:r w:rsidR="00C13283" w:rsidRPr="00460EC6">
        <w:rPr>
          <w:rFonts w:ascii="Times New Roman" w:hAnsi="Times New Roman" w:cs="Times New Roman"/>
          <w:color w:val="000000" w:themeColor="text1"/>
          <w:sz w:val="24"/>
          <w:szCs w:val="24"/>
        </w:rPr>
        <w:t>C</w:t>
      </w:r>
      <w:r w:rsidRPr="00460EC6">
        <w:rPr>
          <w:rFonts w:ascii="Times New Roman" w:hAnsi="Times New Roman" w:cs="Times New Roman"/>
          <w:color w:val="000000" w:themeColor="text1"/>
          <w:sz w:val="24"/>
          <w:szCs w:val="24"/>
        </w:rPr>
        <w:t xml:space="preserve">ompensation, and </w:t>
      </w:r>
      <w:r w:rsidR="00C13283" w:rsidRPr="00460EC6">
        <w:rPr>
          <w:rFonts w:ascii="Times New Roman" w:hAnsi="Times New Roman" w:cs="Times New Roman"/>
          <w:color w:val="000000" w:themeColor="text1"/>
          <w:sz w:val="24"/>
          <w:szCs w:val="24"/>
        </w:rPr>
        <w:t>R</w:t>
      </w:r>
      <w:r w:rsidRPr="00460EC6">
        <w:rPr>
          <w:rFonts w:ascii="Times New Roman" w:hAnsi="Times New Roman" w:cs="Times New Roman"/>
          <w:color w:val="000000" w:themeColor="text1"/>
          <w:sz w:val="24"/>
          <w:szCs w:val="24"/>
        </w:rPr>
        <w:t xml:space="preserve">esettlement </w:t>
      </w:r>
      <w:r w:rsidR="00C13283" w:rsidRPr="00460EC6">
        <w:rPr>
          <w:rFonts w:ascii="Times New Roman" w:hAnsi="Times New Roman" w:cs="Times New Roman"/>
          <w:color w:val="000000" w:themeColor="text1"/>
          <w:sz w:val="24"/>
          <w:szCs w:val="24"/>
        </w:rPr>
        <w:t>P</w:t>
      </w:r>
      <w:r w:rsidRPr="00460EC6">
        <w:rPr>
          <w:rFonts w:ascii="Times New Roman" w:hAnsi="Times New Roman" w:cs="Times New Roman"/>
          <w:color w:val="000000" w:themeColor="text1"/>
          <w:sz w:val="24"/>
          <w:szCs w:val="24"/>
        </w:rPr>
        <w:t>roclamation was amended twice in 2019 and 2024 with Proclamation No. 1161 and Proclamation No. 1336, respectively.</w:t>
      </w:r>
    </w:p>
    <w:p w14:paraId="1B2256B1"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Movable Properties Security Rights Proclamation No. 1147/2019 is also a new adoption which made it possible for farmers and small-scale entrepreneurs to use the usufructuary right over their land and movable assets as collateral to secure loans from financial institutions.</w:t>
      </w:r>
    </w:p>
    <w:p w14:paraId="0F648425" w14:textId="2D23B71B"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lastRenderedPageBreak/>
        <w:t xml:space="preserve">In addition to the government’s effort to provide adequate and affordable </w:t>
      </w:r>
      <w:r w:rsidR="00945DA5" w:rsidRPr="00460EC6">
        <w:rPr>
          <w:rFonts w:ascii="Times New Roman" w:eastAsia="Calibri" w:hAnsi="Times New Roman" w:cs="Times New Roman"/>
          <w:color w:val="000000" w:themeColor="text1"/>
          <w:sz w:val="24"/>
          <w:szCs w:val="24"/>
        </w:rPr>
        <w:t>housing</w:t>
      </w:r>
      <w:r w:rsidRPr="00460EC6">
        <w:rPr>
          <w:rFonts w:ascii="Times New Roman" w:eastAsia="Calibri" w:hAnsi="Times New Roman" w:cs="Times New Roman"/>
          <w:color w:val="000000" w:themeColor="text1"/>
          <w:sz w:val="24"/>
          <w:szCs w:val="24"/>
        </w:rPr>
        <w:t xml:space="preserve"> for citizens, the Rent Control and Administration Proclamation 1320/2024 has been adopted. </w:t>
      </w:r>
    </w:p>
    <w:p w14:paraId="1E2E29A1" w14:textId="01E5CC92"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Proclamations on Health Service Administration and Regulation (Proclamation No. 1362/2025) as well as General Education (Proclamation No. 1368/</w:t>
      </w:r>
      <w:proofErr w:type="gramStart"/>
      <w:r w:rsidRPr="00460EC6">
        <w:rPr>
          <w:rFonts w:ascii="Times New Roman" w:eastAsia="Calibri" w:hAnsi="Times New Roman" w:cs="Times New Roman"/>
          <w:color w:val="000000" w:themeColor="text1"/>
          <w:sz w:val="24"/>
          <w:szCs w:val="24"/>
        </w:rPr>
        <w:t>2025)have</w:t>
      </w:r>
      <w:proofErr w:type="gramEnd"/>
      <w:r w:rsidRPr="00460EC6">
        <w:rPr>
          <w:rFonts w:ascii="Times New Roman" w:eastAsia="Calibri" w:hAnsi="Times New Roman" w:cs="Times New Roman"/>
          <w:color w:val="000000" w:themeColor="text1"/>
          <w:sz w:val="24"/>
          <w:szCs w:val="24"/>
        </w:rPr>
        <w:t xml:space="preserve"> also been endorsed by the parliament. </w:t>
      </w:r>
      <w:r w:rsidR="00945DA5" w:rsidRPr="00460EC6">
        <w:rPr>
          <w:rFonts w:ascii="Times New Roman" w:eastAsia="Calibri" w:hAnsi="Times New Roman" w:cs="Times New Roman"/>
          <w:color w:val="000000" w:themeColor="text1"/>
          <w:sz w:val="24"/>
          <w:szCs w:val="24"/>
        </w:rPr>
        <w:t xml:space="preserve">Additionally, the Community-Based Health Insurance Proclamation No. 1273/2022 has been adopted, amending </w:t>
      </w:r>
      <w:r w:rsidRPr="00460EC6">
        <w:rPr>
          <w:rFonts w:ascii="Times New Roman" w:eastAsia="Calibri" w:hAnsi="Times New Roman" w:cs="Times New Roman"/>
          <w:color w:val="000000" w:themeColor="text1"/>
          <w:sz w:val="24"/>
          <w:szCs w:val="24"/>
        </w:rPr>
        <w:t>Proclamation No. 690/2010.</w:t>
      </w:r>
    </w:p>
    <w:p w14:paraId="6BFFC314" w14:textId="2839D65A"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Ethiopia has acceded to the Paris Convention for the Protection of Industrial Property and the Protocol Relating to the Madrid Agreement Concerning the International Registration of Marks through ratification proclamations of 1351/2024 and 1352/2024</w:t>
      </w:r>
      <w:r w:rsidR="00945DA5"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respectively.</w:t>
      </w:r>
    </w:p>
    <w:p w14:paraId="4DEBBBF1" w14:textId="479213EF" w:rsidR="006C2CB1" w:rsidRPr="00460EC6" w:rsidRDefault="006C2CB1" w:rsidP="00526D16">
      <w:pPr>
        <w:pStyle w:val="ListParagraph"/>
        <w:numPr>
          <w:ilvl w:val="0"/>
          <w:numId w:val="3"/>
        </w:numPr>
        <w:tabs>
          <w:tab w:val="left" w:pos="270"/>
        </w:tabs>
        <w:spacing w:line="360" w:lineRule="auto"/>
        <w:jc w:val="both"/>
        <w:rPr>
          <w:rFonts w:ascii="Times New Roman" w:eastAsia="Calibri" w:hAnsi="Times New Roman" w:cs="Times New Roman"/>
          <w:color w:val="000000" w:themeColor="text1"/>
          <w:sz w:val="24"/>
          <w:szCs w:val="24"/>
          <w:lang w:eastAsia="en-GB"/>
        </w:rPr>
      </w:pPr>
      <w:r w:rsidRPr="00460EC6">
        <w:rPr>
          <w:rFonts w:ascii="Times New Roman" w:eastAsia="Calibri" w:hAnsi="Times New Roman" w:cs="Times New Roman"/>
          <w:color w:val="000000" w:themeColor="text1"/>
          <w:sz w:val="24"/>
          <w:szCs w:val="24"/>
          <w:lang w:eastAsia="en-GB"/>
        </w:rPr>
        <w:t>In the reporting period, the Overseas Employment legislation has been amended twice</w:t>
      </w:r>
      <w:r w:rsidR="00945DA5" w:rsidRPr="00460EC6">
        <w:rPr>
          <w:rFonts w:ascii="Times New Roman" w:eastAsia="Calibri" w:hAnsi="Times New Roman" w:cs="Times New Roman"/>
          <w:color w:val="000000" w:themeColor="text1"/>
          <w:sz w:val="24"/>
          <w:szCs w:val="24"/>
          <w:lang w:eastAsia="en-GB"/>
        </w:rPr>
        <w:t>,</w:t>
      </w:r>
      <w:r w:rsidRPr="00460EC6">
        <w:rPr>
          <w:rFonts w:ascii="Times New Roman" w:eastAsia="Calibri" w:hAnsi="Times New Roman" w:cs="Times New Roman"/>
          <w:color w:val="000000" w:themeColor="text1"/>
          <w:sz w:val="24"/>
          <w:szCs w:val="24"/>
          <w:lang w:eastAsia="en-GB"/>
        </w:rPr>
        <w:t xml:space="preserve"> as Proclamation No. 1246/2021 and 1389/2025. These law</w:t>
      </w:r>
      <w:r w:rsidR="00945DA5" w:rsidRPr="00460EC6">
        <w:rPr>
          <w:rFonts w:ascii="Times New Roman" w:eastAsia="Calibri" w:hAnsi="Times New Roman" w:cs="Times New Roman"/>
          <w:color w:val="000000" w:themeColor="text1"/>
          <w:sz w:val="24"/>
          <w:szCs w:val="24"/>
          <w:lang w:eastAsia="en-GB"/>
        </w:rPr>
        <w:t>s</w:t>
      </w:r>
      <w:r w:rsidRPr="00460EC6">
        <w:rPr>
          <w:rFonts w:ascii="Times New Roman" w:eastAsia="Calibri" w:hAnsi="Times New Roman" w:cs="Times New Roman"/>
          <w:color w:val="000000" w:themeColor="text1"/>
          <w:sz w:val="24"/>
          <w:szCs w:val="24"/>
          <w:lang w:eastAsia="en-GB"/>
        </w:rPr>
        <w:t xml:space="preserve"> aim to safeguard Ethiopian migrant workers through pre-departure training, regulated recruitment, and legal protections abroad and </w:t>
      </w:r>
      <w:r w:rsidR="00945DA5" w:rsidRPr="00460EC6">
        <w:rPr>
          <w:rFonts w:ascii="Times New Roman" w:eastAsia="Calibri" w:hAnsi="Times New Roman" w:cs="Times New Roman"/>
          <w:color w:val="000000" w:themeColor="text1"/>
          <w:sz w:val="24"/>
          <w:szCs w:val="24"/>
          <w:lang w:eastAsia="en-GB"/>
        </w:rPr>
        <w:t>reduce</w:t>
      </w:r>
      <w:r w:rsidRPr="00460EC6">
        <w:rPr>
          <w:rFonts w:ascii="Times New Roman" w:eastAsia="Calibri" w:hAnsi="Times New Roman" w:cs="Times New Roman"/>
          <w:color w:val="000000" w:themeColor="text1"/>
          <w:sz w:val="24"/>
          <w:szCs w:val="24"/>
          <w:lang w:eastAsia="en-GB"/>
        </w:rPr>
        <w:t xml:space="preserve"> their vulnerability to trafficking.</w:t>
      </w:r>
    </w:p>
    <w:p w14:paraId="6795F91F" w14:textId="77777777" w:rsidR="006C2CB1" w:rsidRPr="00460EC6" w:rsidRDefault="006C2CB1" w:rsidP="00526D16">
      <w:pPr>
        <w:pStyle w:val="ListParagraph"/>
        <w:numPr>
          <w:ilvl w:val="0"/>
          <w:numId w:val="3"/>
        </w:numPr>
        <w:tabs>
          <w:tab w:val="left" w:pos="270"/>
        </w:tabs>
        <w:spacing w:line="360" w:lineRule="auto"/>
        <w:jc w:val="both"/>
        <w:rPr>
          <w:rFonts w:ascii="Times New Roman" w:eastAsia="Calibri" w:hAnsi="Times New Roman" w:cs="Times New Roman"/>
          <w:color w:val="000000" w:themeColor="text1"/>
          <w:sz w:val="24"/>
          <w:szCs w:val="24"/>
          <w:lang w:eastAsia="en-GB"/>
        </w:rPr>
      </w:pPr>
      <w:r w:rsidRPr="00460EC6">
        <w:rPr>
          <w:rFonts w:ascii="Times New Roman" w:eastAsia="Calibri" w:hAnsi="Times New Roman" w:cs="Times New Roman"/>
          <w:color w:val="000000" w:themeColor="text1"/>
          <w:sz w:val="24"/>
          <w:szCs w:val="24"/>
          <w:lang w:eastAsia="en-GB"/>
        </w:rPr>
        <w:t xml:space="preserve">Legislations meant to intensify the economic development of the country have also been adopted which includes the Real Estate Development and Real Property Marketing and Valuation Proclamation No. 1357/2024, the Public Private Partnership Proclamation No. 1076/2018 (further amended by Proclamation No. 1283/2023), Capital Market Proclamation No. 1248/2021, The National Bank of Ethiopia Proclamation No. 1369/2025, Banking Business Proclamation No. 1360/2025.  </w:t>
      </w:r>
    </w:p>
    <w:p w14:paraId="7F82FBAA"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A ten-year Development Plan was adopted in 2021 with ten key strategic pillars of quality economic growth and shared prosperity, economic productivity and competitiveness, technological capability and building a digital economy, sustainable development financing, private sector-led growth, resilient green economy, institutional transformation, gender, and social inclusion, access to justice and efficient public services, and regional peace-building and economic integration.</w:t>
      </w:r>
    </w:p>
    <w:p w14:paraId="5EFDAE0E" w14:textId="2406A9EA"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Moreover, a Homegrown Economic Reform </w:t>
      </w:r>
      <w:r w:rsidR="00945DA5" w:rsidRPr="00460EC6">
        <w:rPr>
          <w:rFonts w:ascii="Times New Roman" w:eastAsia="Calibri" w:hAnsi="Times New Roman" w:cs="Times New Roman"/>
          <w:color w:val="000000" w:themeColor="text1"/>
          <w:sz w:val="24"/>
          <w:szCs w:val="24"/>
        </w:rPr>
        <w:t>P</w:t>
      </w:r>
      <w:r w:rsidRPr="00460EC6">
        <w:rPr>
          <w:rFonts w:ascii="Times New Roman" w:eastAsia="Calibri" w:hAnsi="Times New Roman" w:cs="Times New Roman"/>
          <w:color w:val="000000" w:themeColor="text1"/>
          <w:sz w:val="24"/>
          <w:szCs w:val="24"/>
        </w:rPr>
        <w:t>lan is being implemented to address structural macroeconomic issues, enhance sectoral productivity, and promote private-sector growth to sustain rapid growth, reduce debt vulnerabilities, and create sustainable jobs.</w:t>
      </w:r>
    </w:p>
    <w:p w14:paraId="450B2E52" w14:textId="058BA632"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lastRenderedPageBreak/>
        <w:t xml:space="preserve">A new Education and Training Policy was adopted in 2022 </w:t>
      </w:r>
      <w:r w:rsidR="00945DA5" w:rsidRPr="00460EC6">
        <w:rPr>
          <w:rFonts w:ascii="Times New Roman" w:eastAsia="Calibri" w:hAnsi="Times New Roman" w:cs="Times New Roman"/>
          <w:color w:val="000000" w:themeColor="text1"/>
          <w:sz w:val="24"/>
          <w:szCs w:val="24"/>
        </w:rPr>
        <w:t>aimed at enhancing the quality, equity, and accessibility of education as well as making</w:t>
      </w:r>
      <w:r w:rsidRPr="00460EC6">
        <w:rPr>
          <w:rFonts w:ascii="Times New Roman" w:eastAsia="Calibri" w:hAnsi="Times New Roman" w:cs="Times New Roman"/>
          <w:color w:val="000000" w:themeColor="text1"/>
          <w:sz w:val="24"/>
          <w:szCs w:val="24"/>
        </w:rPr>
        <w:t xml:space="preserve"> education from kindergarten to 8th grade free and compulsory.</w:t>
      </w:r>
    </w:p>
    <w:p w14:paraId="58FCD475" w14:textId="4AB26F73"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A new Health Policy was adopted in April 2024, which took the contemporary needs of the sector and aimed at bringing structural transformation to the sector, particularly in the rural areas. </w:t>
      </w:r>
    </w:p>
    <w:p w14:paraId="766F7015" w14:textId="5198BBD1"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Ethiopia has made tremendous efforts towards the progressive realization of Economic, Social, and Cultural Rights. On average, </w:t>
      </w:r>
      <w:r w:rsidR="00945DA5" w:rsidRPr="00460EC6">
        <w:rPr>
          <w:rFonts w:ascii="Times New Roman" w:eastAsia="Calibri" w:hAnsi="Times New Roman" w:cs="Times New Roman"/>
          <w:color w:val="000000" w:themeColor="text1"/>
          <w:sz w:val="24"/>
          <w:szCs w:val="24"/>
        </w:rPr>
        <w:t>approximately two-thirds of the national budget is allocated to pro-poor sectors, including</w:t>
      </w:r>
      <w:r w:rsidRPr="00460EC6">
        <w:rPr>
          <w:rFonts w:ascii="Times New Roman" w:eastAsia="Calibri" w:hAnsi="Times New Roman" w:cs="Times New Roman"/>
          <w:color w:val="000000" w:themeColor="text1"/>
          <w:sz w:val="24"/>
          <w:szCs w:val="24"/>
        </w:rPr>
        <w:t xml:space="preserve"> agriculture, education, health, natural resource management, roads, and water. In addition, the government has continued to allocate a separate and significant budget for the implementation of the SDGs. In this regard, 14 billion ETB has been allocated for the implementation of the SDGs for the fiscal year of 2024/25 alone.</w:t>
      </w:r>
    </w:p>
    <w:p w14:paraId="2C2BBED4" w14:textId="51D41EF4"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During the reporting period, despite enormous challenges such as, </w:t>
      </w:r>
      <w:r w:rsidR="00945DA5" w:rsidRPr="00460EC6">
        <w:rPr>
          <w:rFonts w:ascii="Times New Roman" w:eastAsia="Calibri" w:hAnsi="Times New Roman" w:cs="Times New Roman"/>
          <w:color w:val="000000" w:themeColor="text1"/>
          <w:sz w:val="24"/>
          <w:szCs w:val="24"/>
        </w:rPr>
        <w:t>COVID-19</w:t>
      </w:r>
      <w:r w:rsidRPr="00460EC6">
        <w:rPr>
          <w:rFonts w:ascii="Times New Roman" w:eastAsia="Calibri" w:hAnsi="Times New Roman" w:cs="Times New Roman"/>
          <w:color w:val="000000" w:themeColor="text1"/>
          <w:sz w:val="24"/>
          <w:szCs w:val="24"/>
        </w:rPr>
        <w:t xml:space="preserve"> pandemic and internal conflicts, Ethiopia’s tax collection capacity has significantly increased. This is manifested in the improved tax-to-GDP ratio and the increasing amount of tax collected. For instance, for the 2023/24 fiscal year, the government achieved 96.88% of its tax collection goal, having collected 512.83 billion ETB</w:t>
      </w:r>
      <w:r w:rsidR="00935EB0" w:rsidRPr="00460EC6">
        <w:rPr>
          <w:rFonts w:ascii="Times New Roman" w:eastAsia="Calibri" w:hAnsi="Times New Roman" w:cs="Times New Roman"/>
          <w:color w:val="000000" w:themeColor="text1"/>
          <w:sz w:val="24"/>
          <w:szCs w:val="24"/>
        </w:rPr>
        <w:t>.</w:t>
      </w:r>
    </w:p>
    <w:p w14:paraId="2544A5C1" w14:textId="77777777"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Ethiopia has benefited from Official Development Assistance (ODA) in finance as well as technical assistance and cooperation in the realization of the country’s development.</w:t>
      </w:r>
    </w:p>
    <w:p w14:paraId="5597B5AD" w14:textId="745AF3BC"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Financial assistance that Ethiopia received from ODA significantly increased to 3.9 billion USD in 2023/24 from 1.1 billion USD in 2005/06</w:t>
      </w:r>
      <w:r w:rsidR="00935EB0"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marking a 256.16% </w:t>
      </w:r>
      <w:r w:rsidR="00935EB0" w:rsidRPr="00460EC6">
        <w:rPr>
          <w:rFonts w:ascii="Times New Roman" w:eastAsia="Calibri" w:hAnsi="Times New Roman" w:cs="Times New Roman"/>
          <w:color w:val="000000" w:themeColor="text1"/>
          <w:sz w:val="24"/>
          <w:szCs w:val="24"/>
        </w:rPr>
        <w:t>rise</w:t>
      </w:r>
      <w:r w:rsidRPr="00460EC6">
        <w:rPr>
          <w:rFonts w:ascii="Times New Roman" w:eastAsia="Calibri" w:hAnsi="Times New Roman" w:cs="Times New Roman"/>
          <w:color w:val="000000" w:themeColor="text1"/>
          <w:sz w:val="24"/>
          <w:szCs w:val="24"/>
        </w:rPr>
        <w:t xml:space="preserve">. In terms of the per capita assistance, the figure has also shown a significant surge. The per capita assistance has increased from about 14.87 USD in the 2005/06 fiscal year to 42.33 USD in the 2022/23 fiscal year. </w:t>
      </w:r>
    </w:p>
    <w:p w14:paraId="3821A283" w14:textId="107CE7F9" w:rsidR="006C2CB1" w:rsidRPr="00460EC6" w:rsidRDefault="006C2CB1" w:rsidP="00526D16">
      <w:pPr>
        <w:pStyle w:val="ListParagraph"/>
        <w:numPr>
          <w:ilvl w:val="0"/>
          <w:numId w:val="3"/>
        </w:numPr>
        <w:spacing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principle, foreign nationals in Ethiopia enjoy the same level of protection for their economic rights as citizens. However, there have been certain legal restrictions on foreign investment in specific sectors. </w:t>
      </w:r>
      <w:r w:rsidR="00935EB0" w:rsidRPr="00460EC6">
        <w:rPr>
          <w:rFonts w:ascii="Times New Roman" w:hAnsi="Times New Roman" w:cs="Times New Roman"/>
          <w:color w:val="000000" w:themeColor="text1"/>
          <w:sz w:val="24"/>
          <w:szCs w:val="24"/>
        </w:rPr>
        <w:t>T</w:t>
      </w:r>
      <w:r w:rsidRPr="00460EC6">
        <w:rPr>
          <w:rFonts w:ascii="Times New Roman" w:hAnsi="Times New Roman" w:cs="Times New Roman"/>
          <w:color w:val="000000" w:themeColor="text1"/>
          <w:sz w:val="24"/>
          <w:szCs w:val="24"/>
        </w:rPr>
        <w:t xml:space="preserve">hese restrictions have been gradually relaxed, leading to increased opportunities for foreign nationals to invest in a wider array of industries. Notably, the economic reform initiative that commenced in 2018 marked a significant turning point, as it opened the telecom and financial sectors formerly reserved exclusively </w:t>
      </w:r>
      <w:r w:rsidRPr="00460EC6">
        <w:rPr>
          <w:rFonts w:ascii="Times New Roman" w:hAnsi="Times New Roman" w:cs="Times New Roman"/>
          <w:color w:val="000000" w:themeColor="text1"/>
          <w:sz w:val="24"/>
          <w:szCs w:val="24"/>
        </w:rPr>
        <w:lastRenderedPageBreak/>
        <w:t xml:space="preserve">for government entities and domestic investors to foreign investment. Furthermore, a new legal framework </w:t>
      </w:r>
      <w:r w:rsidR="00935EB0" w:rsidRPr="00460EC6">
        <w:rPr>
          <w:rFonts w:ascii="Times New Roman" w:hAnsi="Times New Roman" w:cs="Times New Roman"/>
          <w:color w:val="000000" w:themeColor="text1"/>
          <w:sz w:val="24"/>
          <w:szCs w:val="24"/>
        </w:rPr>
        <w:t>has been</w:t>
      </w:r>
      <w:r w:rsidRPr="00460EC6">
        <w:rPr>
          <w:rFonts w:ascii="Times New Roman" w:hAnsi="Times New Roman" w:cs="Times New Roman"/>
          <w:color w:val="000000" w:themeColor="text1"/>
          <w:sz w:val="24"/>
          <w:szCs w:val="24"/>
        </w:rPr>
        <w:t xml:space="preserve"> adopted as Proclamation No. 1388/2025 that </w:t>
      </w:r>
      <w:r w:rsidR="00935EB0" w:rsidRPr="00460EC6">
        <w:rPr>
          <w:rFonts w:ascii="Times New Roman" w:hAnsi="Times New Roman" w:cs="Times New Roman"/>
          <w:color w:val="000000" w:themeColor="text1"/>
          <w:sz w:val="24"/>
          <w:szCs w:val="24"/>
        </w:rPr>
        <w:t>permits</w:t>
      </w:r>
      <w:r w:rsidRPr="00460EC6">
        <w:rPr>
          <w:rFonts w:ascii="Times New Roman" w:hAnsi="Times New Roman" w:cs="Times New Roman"/>
          <w:color w:val="000000" w:themeColor="text1"/>
          <w:sz w:val="24"/>
          <w:szCs w:val="24"/>
        </w:rPr>
        <w:t xml:space="preserve"> foreign nationals </w:t>
      </w:r>
      <w:r w:rsidR="00935EB0" w:rsidRPr="00460EC6">
        <w:rPr>
          <w:rFonts w:ascii="Times New Roman" w:hAnsi="Times New Roman" w:cs="Times New Roman"/>
          <w:color w:val="000000" w:themeColor="text1"/>
          <w:sz w:val="24"/>
          <w:szCs w:val="24"/>
        </w:rPr>
        <w:t xml:space="preserve">to own </w:t>
      </w:r>
      <w:r w:rsidRPr="00460EC6">
        <w:rPr>
          <w:rFonts w:ascii="Times New Roman" w:hAnsi="Times New Roman" w:cs="Times New Roman"/>
          <w:color w:val="000000" w:themeColor="text1"/>
          <w:sz w:val="24"/>
          <w:szCs w:val="24"/>
        </w:rPr>
        <w:t>residential property</w:t>
      </w:r>
      <w:r w:rsidR="00935EB0"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 xml:space="preserve"> </w:t>
      </w:r>
    </w:p>
    <w:p w14:paraId="5C688377" w14:textId="77777777" w:rsidR="00A716D7" w:rsidRPr="00460EC6" w:rsidRDefault="00A716D7" w:rsidP="00A716D7">
      <w:pPr>
        <w:spacing w:line="360" w:lineRule="auto"/>
        <w:jc w:val="both"/>
        <w:rPr>
          <w:rFonts w:ascii="Times New Roman" w:eastAsia="Calibri" w:hAnsi="Times New Roman" w:cs="Times New Roman"/>
          <w:color w:val="000000" w:themeColor="text1"/>
          <w:sz w:val="24"/>
          <w:szCs w:val="24"/>
        </w:rPr>
      </w:pPr>
    </w:p>
    <w:p w14:paraId="7D644E4F" w14:textId="4D3C440E" w:rsidR="00E145C3" w:rsidRPr="00460EC6" w:rsidRDefault="00E145C3" w:rsidP="00935EB0">
      <w:pPr>
        <w:pStyle w:val="ListParagraph"/>
        <w:spacing w:line="360" w:lineRule="auto"/>
        <w:rPr>
          <w:rFonts w:ascii="Times New Roman" w:eastAsia="Calibri" w:hAnsi="Times New Roman" w:cs="Times New Roman"/>
          <w:b/>
          <w:color w:val="000000" w:themeColor="text1"/>
          <w:sz w:val="24"/>
          <w:szCs w:val="24"/>
        </w:rPr>
      </w:pPr>
      <w:r w:rsidRPr="00460EC6">
        <w:rPr>
          <w:rFonts w:ascii="Times New Roman" w:eastAsia="Calibri" w:hAnsi="Times New Roman" w:cs="Times New Roman"/>
          <w:b/>
          <w:color w:val="000000" w:themeColor="text1"/>
          <w:sz w:val="24"/>
          <w:szCs w:val="24"/>
        </w:rPr>
        <w:t xml:space="preserve">Article 3: </w:t>
      </w:r>
      <w:r w:rsidRPr="00460EC6">
        <w:rPr>
          <w:rFonts w:ascii="Times New Roman" w:eastAsia="Calibri" w:hAnsi="Times New Roman" w:cs="Times New Roman"/>
          <w:b/>
          <w:color w:val="000000" w:themeColor="text1"/>
          <w:sz w:val="24"/>
          <w:szCs w:val="24"/>
          <w:u w:val="single"/>
        </w:rPr>
        <w:t>Equal Rights for Men and Women</w:t>
      </w:r>
      <w:r w:rsidR="00C87F70">
        <w:rPr>
          <w:rFonts w:ascii="Times New Roman" w:eastAsia="Calibri" w:hAnsi="Times New Roman" w:cs="Times New Roman"/>
          <w:b/>
          <w:color w:val="000000" w:themeColor="text1"/>
          <w:sz w:val="24"/>
          <w:szCs w:val="24"/>
          <w:u w:val="single"/>
        </w:rPr>
        <w:t>.</w:t>
      </w:r>
    </w:p>
    <w:p w14:paraId="0C1D1AEC" w14:textId="77777777" w:rsidR="00E145C3" w:rsidRPr="00460EC6" w:rsidRDefault="00E145C3"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undertaken various legal, policy and institutional measures to promote gender equality and eliminate discrimination against women and girls, in alignment with its obligations under ICESCR.  </w:t>
      </w:r>
    </w:p>
    <w:p w14:paraId="539E8AB4" w14:textId="4AF05135" w:rsidR="00E145C3" w:rsidRPr="00460EC6" w:rsidRDefault="00E145C3"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Article 25 of the Constitution </w:t>
      </w:r>
      <w:r w:rsidR="00935EB0" w:rsidRPr="00460EC6">
        <w:rPr>
          <w:rFonts w:ascii="Times New Roman" w:hAnsi="Times New Roman" w:cs="Times New Roman"/>
          <w:color w:val="000000" w:themeColor="text1"/>
          <w:sz w:val="24"/>
          <w:szCs w:val="24"/>
        </w:rPr>
        <w:t>enshrines</w:t>
      </w:r>
      <w:r w:rsidRPr="00460EC6">
        <w:rPr>
          <w:rFonts w:ascii="Times New Roman" w:hAnsi="Times New Roman" w:cs="Times New Roman"/>
          <w:color w:val="000000" w:themeColor="text1"/>
          <w:sz w:val="24"/>
          <w:szCs w:val="24"/>
        </w:rPr>
        <w:t xml:space="preserve"> the principle of equality before the law. These provisions guarantee non-discrimination based on race, ethnicity, colour, sex, language, religion, political opinion, property, birth, or other status. </w:t>
      </w:r>
    </w:p>
    <w:p w14:paraId="043BF35C" w14:textId="1DA1A223" w:rsidR="00E145C3" w:rsidRPr="00460EC6" w:rsidRDefault="00E145C3"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Article 35 of the Constitution emphasizes that women shall be entitled to affirmative measures to empower them in the political, social, and economic spheres. Additionally, Article 34 of the same law and the Revised Family Code (2004) </w:t>
      </w:r>
      <w:r w:rsidR="00935EB0" w:rsidRPr="00460EC6">
        <w:rPr>
          <w:rFonts w:ascii="Times New Roman" w:hAnsi="Times New Roman" w:cs="Times New Roman"/>
          <w:color w:val="000000" w:themeColor="text1"/>
          <w:sz w:val="24"/>
          <w:szCs w:val="24"/>
        </w:rPr>
        <w:t>guarantee</w:t>
      </w:r>
      <w:r w:rsidRPr="00460EC6">
        <w:rPr>
          <w:rFonts w:ascii="Times New Roman" w:hAnsi="Times New Roman" w:cs="Times New Roman"/>
          <w:color w:val="000000" w:themeColor="text1"/>
          <w:sz w:val="24"/>
          <w:szCs w:val="24"/>
        </w:rPr>
        <w:t xml:space="preserve"> equal rights in marriage, personal and family life, including the right to marry upon reaching the legal age. </w:t>
      </w:r>
    </w:p>
    <w:p w14:paraId="0AF3CD58" w14:textId="6C8B91B4" w:rsidR="00E145C3" w:rsidRPr="00460EC6" w:rsidRDefault="0022405C"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w:t>
      </w:r>
      <w:r w:rsidR="00E145C3" w:rsidRPr="00460EC6">
        <w:rPr>
          <w:rFonts w:ascii="Times New Roman" w:hAnsi="Times New Roman" w:cs="Times New Roman"/>
          <w:color w:val="000000" w:themeColor="text1"/>
          <w:sz w:val="24"/>
          <w:szCs w:val="24"/>
        </w:rPr>
        <w:t>he legislative reforms</w:t>
      </w:r>
      <w:r w:rsidR="00935EB0" w:rsidRPr="00460EC6">
        <w:rPr>
          <w:rFonts w:ascii="Times New Roman" w:hAnsi="Times New Roman" w:cs="Times New Roman"/>
          <w:color w:val="000000" w:themeColor="text1"/>
          <w:sz w:val="24"/>
          <w:szCs w:val="24"/>
        </w:rPr>
        <w:t>,</w:t>
      </w:r>
      <w:r w:rsidR="00E145C3" w:rsidRPr="00460EC6">
        <w:rPr>
          <w:rFonts w:ascii="Times New Roman" w:hAnsi="Times New Roman" w:cs="Times New Roman"/>
          <w:color w:val="000000" w:themeColor="text1"/>
          <w:sz w:val="24"/>
          <w:szCs w:val="24"/>
        </w:rPr>
        <w:t xml:space="preserve"> such as the Electoral Proclamation No. 1162/2019 and the Refugee Law Proclamation No. 1110/2019</w:t>
      </w:r>
      <w:r w:rsidR="00935EB0" w:rsidRPr="00460EC6">
        <w:rPr>
          <w:rFonts w:ascii="Times New Roman" w:hAnsi="Times New Roman" w:cs="Times New Roman"/>
          <w:color w:val="000000" w:themeColor="text1"/>
          <w:sz w:val="24"/>
          <w:szCs w:val="24"/>
        </w:rPr>
        <w:t>,</w:t>
      </w:r>
      <w:r w:rsidR="00E145C3" w:rsidRPr="00460EC6">
        <w:rPr>
          <w:rFonts w:ascii="Times New Roman" w:hAnsi="Times New Roman" w:cs="Times New Roman"/>
          <w:color w:val="000000" w:themeColor="text1"/>
          <w:sz w:val="24"/>
          <w:szCs w:val="24"/>
        </w:rPr>
        <w:t xml:space="preserve"> </w:t>
      </w:r>
      <w:r w:rsidR="00935EB0" w:rsidRPr="00460EC6">
        <w:rPr>
          <w:rFonts w:ascii="Times New Roman" w:hAnsi="Times New Roman" w:cs="Times New Roman"/>
          <w:color w:val="000000" w:themeColor="text1"/>
          <w:sz w:val="24"/>
          <w:szCs w:val="24"/>
        </w:rPr>
        <w:t>ensure</w:t>
      </w:r>
      <w:r w:rsidR="00E145C3" w:rsidRPr="00460EC6">
        <w:rPr>
          <w:rFonts w:ascii="Times New Roman" w:hAnsi="Times New Roman" w:cs="Times New Roman"/>
          <w:color w:val="000000" w:themeColor="text1"/>
          <w:sz w:val="24"/>
          <w:szCs w:val="24"/>
        </w:rPr>
        <w:t xml:space="preserve"> gender equality in political participation and refugee protection. The </w:t>
      </w:r>
      <w:r w:rsidR="00935EB0" w:rsidRPr="00460EC6">
        <w:rPr>
          <w:rFonts w:ascii="Times New Roman" w:hAnsi="Times New Roman" w:cs="Times New Roman"/>
          <w:color w:val="000000" w:themeColor="text1"/>
          <w:sz w:val="24"/>
          <w:szCs w:val="24"/>
        </w:rPr>
        <w:t>CSO's</w:t>
      </w:r>
      <w:r w:rsidR="00E145C3" w:rsidRPr="00460EC6">
        <w:rPr>
          <w:rFonts w:ascii="Times New Roman" w:hAnsi="Times New Roman" w:cs="Times New Roman"/>
          <w:color w:val="000000" w:themeColor="text1"/>
          <w:sz w:val="24"/>
          <w:szCs w:val="24"/>
        </w:rPr>
        <w:t xml:space="preserve"> Proclamation No. 1113/2019 promotes advocacy, including for women’s rights. The Executive Organs Proclamation No. 1263/2021 institutionalizes gender mainstreaming across all levels of governance, ensuring that policies, strategies, laws, development programs, and projects benefit women. The Ten-Year Development Plan (2021-2030) aims to achieve gender parity at all levels of government within the legislative, executive, and judicial branches.</w:t>
      </w:r>
    </w:p>
    <w:p w14:paraId="46194FEE" w14:textId="0BDE6E0E" w:rsidR="00E145C3" w:rsidRPr="00460EC6" w:rsidRDefault="00E145C3"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At the national level, a comprehensive assessment and review of more than 28 laws and policies from a gender perspective has been conducted, resulting in recommendations to amend existing legislation and introduce new laws. Based on these recommendations, the 1993 National Women's Policy was revised to adopt the National Policy on Women Empowerment and Gender Equality-2024, which aims to promote gender equality and empower women across all sectors. This revised policy is now ready for parliamentary approval and endorsement. </w:t>
      </w:r>
    </w:p>
    <w:p w14:paraId="541C48AF" w14:textId="0D972A90" w:rsidR="00E145C3" w:rsidRPr="00460EC6" w:rsidRDefault="00E145C3" w:rsidP="00526D16">
      <w:pPr>
        <w:pStyle w:val="ListParagraph"/>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Ethiopia has made significant efforts to address discriminatory practices</w:t>
      </w:r>
      <w:r w:rsidR="0043591A" w:rsidRPr="00460EC6">
        <w:rPr>
          <w:rFonts w:ascii="Times New Roman" w:hAnsi="Times New Roman" w:cs="Times New Roman"/>
          <w:color w:val="000000" w:themeColor="text1"/>
          <w:sz w:val="24"/>
          <w:szCs w:val="24"/>
        </w:rPr>
        <w:t xml:space="preserve">. </w:t>
      </w:r>
      <w:r w:rsidRPr="00460EC6">
        <w:rPr>
          <w:rFonts w:ascii="Times New Roman" w:hAnsi="Times New Roman" w:cs="Times New Roman"/>
          <w:color w:val="000000" w:themeColor="text1"/>
          <w:sz w:val="24"/>
          <w:szCs w:val="24"/>
        </w:rPr>
        <w:t xml:space="preserve">Gender mainstreaming initiatives are being intensified across all sectors and levels, including the establishment of independent institutions to help close the gender gap. These efforts have employed a diverse range of methods, such as media campaigns, community dialogues </w:t>
      </w:r>
      <w:r w:rsidR="0043591A" w:rsidRPr="00460EC6">
        <w:rPr>
          <w:rFonts w:ascii="Times New Roman" w:hAnsi="Times New Roman" w:cs="Times New Roman"/>
          <w:color w:val="000000" w:themeColor="text1"/>
          <w:sz w:val="24"/>
          <w:szCs w:val="24"/>
        </w:rPr>
        <w:t xml:space="preserve">and engagement with </w:t>
      </w:r>
      <w:r w:rsidRPr="00460EC6">
        <w:rPr>
          <w:rFonts w:ascii="Times New Roman" w:hAnsi="Times New Roman" w:cs="Times New Roman"/>
          <w:color w:val="000000" w:themeColor="text1"/>
          <w:sz w:val="24"/>
          <w:szCs w:val="24"/>
        </w:rPr>
        <w:t xml:space="preserve">religious and community leaders, school-based conversations, and dedicated hotlines to raise awareness on the prevention and response to GBV and the protection of women’s and children’s rights.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places high regard on ending GBV and has developed the National Women’s Development and Change Strategy to fulfil its constitutional commitment to gender equality and drive social change in all spheres of life.</w:t>
      </w:r>
    </w:p>
    <w:p w14:paraId="4B317D42" w14:textId="77777777" w:rsidR="00460EC6" w:rsidRPr="00460EC6" w:rsidRDefault="00E145C3" w:rsidP="00460EC6">
      <w:pPr>
        <w:pStyle w:val="ListParagraph"/>
        <w:widowControl w:val="0"/>
        <w:numPr>
          <w:ilvl w:val="0"/>
          <w:numId w:val="3"/>
        </w:numPr>
        <w:tabs>
          <w:tab w:val="left" w:pos="450"/>
          <w:tab w:val="left" w:pos="1361"/>
        </w:tabs>
        <w:autoSpaceDE w:val="0"/>
        <w:autoSpaceDN w:val="0"/>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To create </w:t>
      </w:r>
      <w:r w:rsidR="0043591A" w:rsidRPr="00460EC6">
        <w:rPr>
          <w:rFonts w:ascii="Times New Roman" w:hAnsi="Times New Roman" w:cs="Times New Roman"/>
          <w:color w:val="000000" w:themeColor="text1"/>
          <w:sz w:val="24"/>
          <w:szCs w:val="24"/>
        </w:rPr>
        <w:t xml:space="preserve">a </w:t>
      </w:r>
      <w:r w:rsidRPr="00460EC6">
        <w:rPr>
          <w:rFonts w:ascii="Times New Roman" w:hAnsi="Times New Roman" w:cs="Times New Roman"/>
          <w:color w:val="000000" w:themeColor="text1"/>
          <w:sz w:val="24"/>
          <w:szCs w:val="24"/>
        </w:rPr>
        <w:t xml:space="preserve">conducive working environment and ensure fair working conditions both in public and private sectors, particularly </w:t>
      </w:r>
      <w:r w:rsidR="0043591A" w:rsidRPr="00460EC6">
        <w:rPr>
          <w:rFonts w:ascii="Times New Roman" w:hAnsi="Times New Roman" w:cs="Times New Roman"/>
          <w:color w:val="000000" w:themeColor="text1"/>
          <w:sz w:val="24"/>
          <w:szCs w:val="24"/>
        </w:rPr>
        <w:t>concerning</w:t>
      </w:r>
      <w:r w:rsidRPr="00460EC6">
        <w:rPr>
          <w:rFonts w:ascii="Times New Roman" w:hAnsi="Times New Roman" w:cs="Times New Roman"/>
          <w:color w:val="000000" w:themeColor="text1"/>
          <w:sz w:val="24"/>
          <w:szCs w:val="24"/>
        </w:rPr>
        <w:t xml:space="preserve"> women’s </w:t>
      </w:r>
      <w:r w:rsidR="0043591A" w:rsidRPr="00460EC6">
        <w:rPr>
          <w:rFonts w:ascii="Times New Roman" w:hAnsi="Times New Roman" w:cs="Times New Roman"/>
          <w:color w:val="000000" w:themeColor="text1"/>
          <w:sz w:val="24"/>
          <w:szCs w:val="24"/>
        </w:rPr>
        <w:t>rights</w:t>
      </w:r>
      <w:r w:rsidRPr="00460EC6">
        <w:rPr>
          <w:rFonts w:ascii="Times New Roman" w:hAnsi="Times New Roman" w:cs="Times New Roman"/>
          <w:color w:val="000000" w:themeColor="text1"/>
          <w:sz w:val="24"/>
          <w:szCs w:val="24"/>
        </w:rPr>
        <w:t xml:space="preserve">,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enacted Civil Servants and Labor </w:t>
      </w:r>
      <w:r w:rsidR="0043591A" w:rsidRPr="00460EC6">
        <w:rPr>
          <w:rFonts w:ascii="Times New Roman" w:hAnsi="Times New Roman" w:cs="Times New Roman"/>
          <w:color w:val="000000" w:themeColor="text1"/>
          <w:sz w:val="24"/>
          <w:szCs w:val="24"/>
        </w:rPr>
        <w:t>Proclamations</w:t>
      </w:r>
      <w:r w:rsidRPr="00460EC6">
        <w:rPr>
          <w:rFonts w:ascii="Times New Roman" w:hAnsi="Times New Roman" w:cs="Times New Roman"/>
          <w:color w:val="000000" w:themeColor="text1"/>
          <w:sz w:val="24"/>
          <w:szCs w:val="24"/>
        </w:rPr>
        <w:t xml:space="preserve">.  </w:t>
      </w:r>
    </w:p>
    <w:p w14:paraId="3CDD44D2" w14:textId="37441DA1" w:rsidR="00A716D7" w:rsidRPr="00460EC6" w:rsidRDefault="00A716D7" w:rsidP="00460EC6">
      <w:pPr>
        <w:pStyle w:val="ListParagraph"/>
        <w:widowControl w:val="0"/>
        <w:numPr>
          <w:ilvl w:val="0"/>
          <w:numId w:val="3"/>
        </w:numPr>
        <w:tabs>
          <w:tab w:val="left" w:pos="450"/>
          <w:tab w:val="left" w:pos="1361"/>
        </w:tabs>
        <w:autoSpaceDE w:val="0"/>
        <w:autoSpaceDN w:val="0"/>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According to the 2022 Ethiopian Gender Asset Gap Survey, residential dwelling ownership is nearly equal: 84% of women and 86% of men own residential dwellings. However, in financial asset ownership, women account for just 34% of </w:t>
      </w:r>
      <w:r w:rsidR="00460EC6" w:rsidRPr="00460EC6">
        <w:rPr>
          <w:rFonts w:ascii="Times New Roman" w:hAnsi="Times New Roman" w:cs="Times New Roman"/>
          <w:color w:val="000000" w:themeColor="text1"/>
          <w:sz w:val="24"/>
          <w:szCs w:val="24"/>
        </w:rPr>
        <w:t xml:space="preserve">financial assets </w:t>
      </w:r>
      <w:r w:rsidRPr="00460EC6">
        <w:rPr>
          <w:rFonts w:ascii="Times New Roman" w:hAnsi="Times New Roman" w:cs="Times New Roman"/>
          <w:color w:val="000000" w:themeColor="text1"/>
          <w:sz w:val="24"/>
          <w:szCs w:val="24"/>
        </w:rPr>
        <w:t xml:space="preserve">compared to 66% for men, </w:t>
      </w:r>
      <w:r w:rsidR="00460EC6" w:rsidRPr="00460EC6">
        <w:rPr>
          <w:rFonts w:ascii="Times New Roman" w:hAnsi="Times New Roman" w:cs="Times New Roman"/>
          <w:color w:val="000000" w:themeColor="text1"/>
          <w:sz w:val="24"/>
          <w:szCs w:val="24"/>
        </w:rPr>
        <w:t xml:space="preserve">with 32% </w:t>
      </w:r>
      <w:r w:rsidRPr="00460EC6">
        <w:rPr>
          <w:rFonts w:ascii="Times New Roman" w:hAnsi="Times New Roman" w:cs="Times New Roman"/>
          <w:color w:val="000000" w:themeColor="text1"/>
          <w:sz w:val="24"/>
          <w:szCs w:val="24"/>
        </w:rPr>
        <w:t>gender gap. Ethiopia’s National Financial Inclusion Strategy II (2021-2025) explicitly aims to close this financial gender gap.</w:t>
      </w:r>
    </w:p>
    <w:p w14:paraId="341A5596" w14:textId="77777777" w:rsidR="00E145C3" w:rsidRPr="00460EC6" w:rsidRDefault="00E145C3" w:rsidP="00526D16">
      <w:pPr>
        <w:pStyle w:val="ListParagraph"/>
        <w:widowControl w:val="0"/>
        <w:numPr>
          <w:ilvl w:val="0"/>
          <w:numId w:val="3"/>
        </w:numPr>
        <w:tabs>
          <w:tab w:val="left" w:pos="1361"/>
        </w:tabs>
        <w:autoSpaceDE w:val="0"/>
        <w:autoSpaceDN w:val="0"/>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As of 2021, Ethiopia has over 92,755 cooperatives with more than 21 million members. From these total numbers, women accounted for 32%. </w:t>
      </w:r>
    </w:p>
    <w:p w14:paraId="715222BF" w14:textId="290E2CAF" w:rsidR="00E145C3" w:rsidRPr="00460EC6" w:rsidRDefault="00E145C3" w:rsidP="00526D16">
      <w:pPr>
        <w:pStyle w:val="ListParagraph"/>
        <w:widowControl w:val="0"/>
        <w:numPr>
          <w:ilvl w:val="0"/>
          <w:numId w:val="3"/>
        </w:numPr>
        <w:tabs>
          <w:tab w:val="left" w:pos="1361"/>
        </w:tabs>
        <w:autoSpaceDE w:val="0"/>
        <w:autoSpaceDN w:val="0"/>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2023, the enrolment in TVET reached 352,000, with women comprising 52.3% of total </w:t>
      </w:r>
      <w:r w:rsidR="00460EC6" w:rsidRPr="00460EC6">
        <w:rPr>
          <w:rFonts w:ascii="Times New Roman" w:hAnsi="Times New Roman" w:cs="Times New Roman"/>
          <w:color w:val="000000" w:themeColor="text1"/>
          <w:sz w:val="24"/>
          <w:szCs w:val="24"/>
        </w:rPr>
        <w:t>enrolees</w:t>
      </w:r>
      <w:r w:rsidRPr="00460EC6">
        <w:rPr>
          <w:rFonts w:ascii="Times New Roman" w:hAnsi="Times New Roman" w:cs="Times New Roman"/>
          <w:color w:val="000000" w:themeColor="text1"/>
          <w:sz w:val="24"/>
          <w:szCs w:val="24"/>
        </w:rPr>
        <w:t xml:space="preserve">. </w:t>
      </w:r>
    </w:p>
    <w:p w14:paraId="770BEF9F" w14:textId="1F3EB8E7" w:rsidR="00E145C3" w:rsidRPr="00460EC6" w:rsidRDefault="00E145C3" w:rsidP="00526D16">
      <w:pPr>
        <w:pStyle w:val="ListParagraph"/>
        <w:widowControl w:val="0"/>
        <w:numPr>
          <w:ilvl w:val="0"/>
          <w:numId w:val="3"/>
        </w:numPr>
        <w:tabs>
          <w:tab w:val="left" w:pos="1361"/>
        </w:tabs>
        <w:autoSpaceDE w:val="0"/>
        <w:autoSpaceDN w:val="0"/>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As of 2021, women own 73.5% of micro enterprises, 13.5% of small manufacturing enterprises, and 30% of medium and large industrial enterprises. In the same year, </w:t>
      </w:r>
      <w:r w:rsidR="0043591A" w:rsidRPr="00460EC6">
        <w:rPr>
          <w:rFonts w:ascii="Times New Roman" w:hAnsi="Times New Roman" w:cs="Times New Roman"/>
          <w:color w:val="000000" w:themeColor="text1"/>
          <w:sz w:val="24"/>
          <w:szCs w:val="24"/>
        </w:rPr>
        <w:t>the</w:t>
      </w:r>
      <w:r w:rsidRPr="00460EC6">
        <w:rPr>
          <w:rFonts w:ascii="Times New Roman" w:hAnsi="Times New Roman" w:cs="Times New Roman"/>
          <w:color w:val="000000" w:themeColor="text1"/>
          <w:sz w:val="24"/>
          <w:szCs w:val="24"/>
        </w:rPr>
        <w:t xml:space="preserve"> employment-to-population ratio reached 69% for men and 50.2% for women.</w:t>
      </w:r>
    </w:p>
    <w:p w14:paraId="1FF498E1" w14:textId="78A98255" w:rsidR="00E145C3" w:rsidRDefault="00E145C3" w:rsidP="00526D16">
      <w:pPr>
        <w:pStyle w:val="ListParagraph"/>
        <w:numPr>
          <w:ilvl w:val="0"/>
          <w:numId w:val="3"/>
        </w:numPr>
        <w:spacing w:line="360" w:lineRule="auto"/>
        <w:jc w:val="both"/>
        <w:rPr>
          <w:rFonts w:ascii="Times New Roman" w:eastAsia="Times New Roman" w:hAnsi="Times New Roman" w:cs="Times New Roman"/>
          <w:color w:val="000000" w:themeColor="text1"/>
          <w:sz w:val="24"/>
          <w:szCs w:val="24"/>
        </w:rPr>
      </w:pPr>
      <w:r w:rsidRPr="00460EC6">
        <w:rPr>
          <w:rFonts w:ascii="Times New Roman" w:eastAsia="Times New Roman" w:hAnsi="Times New Roman" w:cs="Times New Roman"/>
          <w:color w:val="000000" w:themeColor="text1"/>
          <w:sz w:val="24"/>
          <w:szCs w:val="24"/>
        </w:rPr>
        <w:t xml:space="preserve">In </w:t>
      </w:r>
      <w:r w:rsidR="0043591A" w:rsidRPr="00460EC6">
        <w:rPr>
          <w:rFonts w:ascii="Times New Roman" w:eastAsia="Times New Roman" w:hAnsi="Times New Roman" w:cs="Times New Roman"/>
          <w:color w:val="000000" w:themeColor="text1"/>
          <w:sz w:val="24"/>
          <w:szCs w:val="24"/>
        </w:rPr>
        <w:t xml:space="preserve">the </w:t>
      </w:r>
      <w:r w:rsidRPr="00460EC6">
        <w:rPr>
          <w:rFonts w:ascii="Times New Roman" w:eastAsia="Times New Roman" w:hAnsi="Times New Roman" w:cs="Times New Roman"/>
          <w:color w:val="000000" w:themeColor="text1"/>
          <w:sz w:val="24"/>
          <w:szCs w:val="24"/>
        </w:rPr>
        <w:t xml:space="preserve">education sector, the 2023 Gender Parity Index (GPI) has reached 0.91 for primary, 0.98 for middle, and 1.01 for secondary education. The </w:t>
      </w:r>
      <w:proofErr w:type="spellStart"/>
      <w:r w:rsidRPr="00460EC6">
        <w:rPr>
          <w:rFonts w:ascii="Times New Roman" w:eastAsia="Times New Roman" w:hAnsi="Times New Roman" w:cs="Times New Roman"/>
          <w:color w:val="000000" w:themeColor="text1"/>
          <w:sz w:val="24"/>
          <w:szCs w:val="24"/>
        </w:rPr>
        <w:t>enrollment</w:t>
      </w:r>
      <w:proofErr w:type="spellEnd"/>
      <w:r w:rsidRPr="00460EC6">
        <w:rPr>
          <w:rFonts w:ascii="Times New Roman" w:eastAsia="Times New Roman" w:hAnsi="Times New Roman" w:cs="Times New Roman"/>
          <w:color w:val="000000" w:themeColor="text1"/>
          <w:sz w:val="24"/>
          <w:szCs w:val="24"/>
        </w:rPr>
        <w:t xml:space="preserve"> of women in adult education accounted </w:t>
      </w:r>
      <w:r w:rsidR="0043591A" w:rsidRPr="00460EC6">
        <w:rPr>
          <w:rFonts w:ascii="Times New Roman" w:eastAsia="Times New Roman" w:hAnsi="Times New Roman" w:cs="Times New Roman"/>
          <w:color w:val="000000" w:themeColor="text1"/>
          <w:sz w:val="24"/>
          <w:szCs w:val="24"/>
        </w:rPr>
        <w:t xml:space="preserve">for </w:t>
      </w:r>
      <w:r w:rsidRPr="00460EC6">
        <w:rPr>
          <w:rFonts w:ascii="Times New Roman" w:eastAsia="Times New Roman" w:hAnsi="Times New Roman" w:cs="Times New Roman"/>
          <w:color w:val="000000" w:themeColor="text1"/>
          <w:sz w:val="24"/>
          <w:szCs w:val="24"/>
        </w:rPr>
        <w:t xml:space="preserve">43.7% </w:t>
      </w:r>
      <w:r w:rsidR="0043591A" w:rsidRPr="00460EC6">
        <w:rPr>
          <w:rFonts w:ascii="Times New Roman" w:eastAsia="Times New Roman" w:hAnsi="Times New Roman" w:cs="Times New Roman"/>
          <w:color w:val="000000" w:themeColor="text1"/>
          <w:sz w:val="24"/>
          <w:szCs w:val="24"/>
        </w:rPr>
        <w:t>of</w:t>
      </w:r>
      <w:r w:rsidRPr="00460EC6">
        <w:rPr>
          <w:rFonts w:ascii="Times New Roman" w:eastAsia="Times New Roman" w:hAnsi="Times New Roman" w:cs="Times New Roman"/>
          <w:color w:val="000000" w:themeColor="text1"/>
          <w:sz w:val="24"/>
          <w:szCs w:val="24"/>
        </w:rPr>
        <w:t xml:space="preserve"> a total of 4.15 million. Completion rates for girls in grades 6 and 8 </w:t>
      </w:r>
      <w:r w:rsidR="00262511" w:rsidRPr="00460EC6">
        <w:rPr>
          <w:rFonts w:ascii="Times New Roman" w:eastAsia="Times New Roman" w:hAnsi="Times New Roman" w:cs="Times New Roman"/>
          <w:color w:val="000000" w:themeColor="text1"/>
          <w:sz w:val="24"/>
          <w:szCs w:val="24"/>
        </w:rPr>
        <w:t>reached</w:t>
      </w:r>
      <w:r w:rsidRPr="00460EC6">
        <w:rPr>
          <w:rFonts w:ascii="Times New Roman" w:eastAsia="Times New Roman" w:hAnsi="Times New Roman" w:cs="Times New Roman"/>
          <w:color w:val="000000" w:themeColor="text1"/>
          <w:sz w:val="24"/>
          <w:szCs w:val="24"/>
        </w:rPr>
        <w:t xml:space="preserve"> 70% and 61%, compared to 73% and 61% for boys</w:t>
      </w:r>
      <w:r w:rsidR="00262511" w:rsidRPr="00460EC6">
        <w:rPr>
          <w:rFonts w:ascii="Times New Roman" w:eastAsia="Times New Roman" w:hAnsi="Times New Roman" w:cs="Times New Roman"/>
          <w:color w:val="000000" w:themeColor="text1"/>
          <w:sz w:val="24"/>
          <w:szCs w:val="24"/>
        </w:rPr>
        <w:t>.</w:t>
      </w:r>
    </w:p>
    <w:p w14:paraId="365C9A34" w14:textId="77777777" w:rsidR="00DE1049" w:rsidRDefault="00DE1049" w:rsidP="00DE1049">
      <w:pPr>
        <w:spacing w:line="360" w:lineRule="auto"/>
        <w:jc w:val="both"/>
        <w:rPr>
          <w:rFonts w:ascii="Times New Roman" w:eastAsia="Times New Roman" w:hAnsi="Times New Roman" w:cs="Times New Roman"/>
          <w:color w:val="000000" w:themeColor="text1"/>
          <w:sz w:val="24"/>
          <w:szCs w:val="24"/>
        </w:rPr>
      </w:pPr>
    </w:p>
    <w:p w14:paraId="04B6B34B" w14:textId="77777777" w:rsidR="00C87F70" w:rsidRDefault="00C87F70" w:rsidP="00DE1049">
      <w:pPr>
        <w:spacing w:line="360" w:lineRule="auto"/>
        <w:jc w:val="both"/>
        <w:rPr>
          <w:rFonts w:ascii="Times New Roman" w:eastAsia="Times New Roman" w:hAnsi="Times New Roman" w:cs="Times New Roman"/>
          <w:color w:val="000000" w:themeColor="text1"/>
          <w:sz w:val="24"/>
          <w:szCs w:val="24"/>
        </w:rPr>
      </w:pPr>
    </w:p>
    <w:p w14:paraId="22620DE6" w14:textId="77777777" w:rsidR="00C87F70" w:rsidRPr="00DE1049" w:rsidRDefault="00C87F70" w:rsidP="00DE1049">
      <w:pPr>
        <w:spacing w:line="360" w:lineRule="auto"/>
        <w:jc w:val="both"/>
        <w:rPr>
          <w:rFonts w:ascii="Times New Roman" w:eastAsia="Times New Roman" w:hAnsi="Times New Roman" w:cs="Times New Roman"/>
          <w:color w:val="000000" w:themeColor="text1"/>
          <w:sz w:val="24"/>
          <w:szCs w:val="24"/>
        </w:rPr>
      </w:pPr>
    </w:p>
    <w:p w14:paraId="0599BBCB" w14:textId="77777777" w:rsidR="006C2CB1" w:rsidRPr="00460EC6" w:rsidRDefault="006C2CB1" w:rsidP="00526D16">
      <w:pPr>
        <w:spacing w:line="360" w:lineRule="auto"/>
        <w:jc w:val="both"/>
        <w:rPr>
          <w:rFonts w:ascii="Times New Roman" w:eastAsia="Calibri" w:hAnsi="Times New Roman" w:cs="Times New Roman"/>
          <w:b/>
          <w:bCs/>
          <w:color w:val="000000" w:themeColor="text1"/>
          <w:kern w:val="0"/>
          <w:sz w:val="24"/>
          <w:szCs w:val="24"/>
          <w:lang w:val="en-US"/>
          <w14:ligatures w14:val="none"/>
        </w:rPr>
      </w:pPr>
      <w:r w:rsidRPr="00460EC6">
        <w:rPr>
          <w:rFonts w:ascii="Times New Roman" w:eastAsia="Calibri" w:hAnsi="Times New Roman" w:cs="Times New Roman"/>
          <w:b/>
          <w:bCs/>
          <w:color w:val="000000" w:themeColor="text1"/>
          <w:kern w:val="0"/>
          <w:sz w:val="24"/>
          <w:szCs w:val="24"/>
          <w:lang w:val="en-US"/>
          <w14:ligatures w14:val="none"/>
        </w:rPr>
        <w:t xml:space="preserve">Article 6: </w:t>
      </w:r>
      <w:r w:rsidRPr="00460EC6">
        <w:rPr>
          <w:rFonts w:ascii="Times New Roman" w:eastAsia="Calibri" w:hAnsi="Times New Roman" w:cs="Times New Roman"/>
          <w:b/>
          <w:bCs/>
          <w:color w:val="000000" w:themeColor="text1"/>
          <w:kern w:val="0"/>
          <w:sz w:val="24"/>
          <w:szCs w:val="24"/>
          <w:u w:val="single"/>
          <w:lang w:val="en-US"/>
          <w14:ligatures w14:val="none"/>
        </w:rPr>
        <w:t>The Right to Work</w:t>
      </w:r>
      <w:r w:rsidRPr="00460EC6">
        <w:rPr>
          <w:rFonts w:ascii="Times New Roman" w:eastAsia="Calibri" w:hAnsi="Times New Roman" w:cs="Times New Roman"/>
          <w:b/>
          <w:bCs/>
          <w:color w:val="000000" w:themeColor="text1"/>
          <w:kern w:val="0"/>
          <w:sz w:val="24"/>
          <w:szCs w:val="24"/>
          <w:lang w:val="en-US"/>
          <w14:ligatures w14:val="none"/>
        </w:rPr>
        <w:t xml:space="preserve"> </w:t>
      </w:r>
    </w:p>
    <w:p w14:paraId="75C61C3B" w14:textId="1ED363FC"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right to work is a constitutionally guaranteed right in Ethiopia. To further ensure the enjoyment of this right, the Government has been making relentless efforts in terms of formulating policies, adopting </w:t>
      </w:r>
      <w:r w:rsidR="00262511" w:rsidRPr="00460EC6">
        <w:rPr>
          <w:rFonts w:ascii="Times New Roman" w:eastAsia="Calibri" w:hAnsi="Times New Roman" w:cs="Times New Roman"/>
          <w:color w:val="000000" w:themeColor="text1"/>
          <w:sz w:val="24"/>
          <w:szCs w:val="24"/>
        </w:rPr>
        <w:t>law</w:t>
      </w:r>
      <w:r w:rsidRPr="00460EC6">
        <w:rPr>
          <w:rFonts w:ascii="Times New Roman" w:eastAsia="Calibri" w:hAnsi="Times New Roman" w:cs="Times New Roman"/>
          <w:color w:val="000000" w:themeColor="text1"/>
          <w:sz w:val="24"/>
          <w:szCs w:val="24"/>
        </w:rPr>
        <w:t xml:space="preserve">s, </w:t>
      </w:r>
      <w:r w:rsidR="00262511" w:rsidRPr="00460EC6">
        <w:rPr>
          <w:rFonts w:ascii="Times New Roman" w:eastAsia="Calibri" w:hAnsi="Times New Roman" w:cs="Times New Roman"/>
          <w:color w:val="000000" w:themeColor="text1"/>
          <w:sz w:val="24"/>
          <w:szCs w:val="24"/>
        </w:rPr>
        <w:t xml:space="preserve">as well as </w:t>
      </w:r>
      <w:r w:rsidRPr="00460EC6">
        <w:rPr>
          <w:rFonts w:ascii="Times New Roman" w:eastAsia="Calibri" w:hAnsi="Times New Roman" w:cs="Times New Roman"/>
          <w:color w:val="000000" w:themeColor="text1"/>
          <w:sz w:val="24"/>
          <w:szCs w:val="24"/>
        </w:rPr>
        <w:t>designing and implementing programs.</w:t>
      </w:r>
    </w:p>
    <w:p w14:paraId="4C35FA32" w14:textId="079B05B6"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At the international level, several instruments have been ratified by Ethiopia since its last report. The Maritime </w:t>
      </w:r>
      <w:r w:rsidR="00B00E32"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Convention was ratified on 16 November 2017, </w:t>
      </w:r>
      <w:r w:rsidR="00262511" w:rsidRPr="00460EC6">
        <w:rPr>
          <w:rFonts w:ascii="Times New Roman" w:eastAsia="Calibri" w:hAnsi="Times New Roman" w:cs="Times New Roman"/>
          <w:color w:val="000000" w:themeColor="text1"/>
          <w:sz w:val="24"/>
          <w:szCs w:val="24"/>
        </w:rPr>
        <w:t xml:space="preserve">the </w:t>
      </w:r>
      <w:r w:rsidRPr="00460EC6">
        <w:rPr>
          <w:rFonts w:ascii="Times New Roman" w:eastAsia="Calibri" w:hAnsi="Times New Roman" w:cs="Times New Roman"/>
          <w:color w:val="000000" w:themeColor="text1"/>
          <w:sz w:val="24"/>
          <w:szCs w:val="24"/>
        </w:rPr>
        <w:t>UNCRC Optional Protocol on the Sale of Children, Child Prostitution and Child Pornography</w:t>
      </w:r>
      <w:r w:rsidR="00262511"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and </w:t>
      </w:r>
      <w:r w:rsidR="00262511" w:rsidRPr="00460EC6">
        <w:rPr>
          <w:rFonts w:ascii="Times New Roman" w:eastAsia="Calibri" w:hAnsi="Times New Roman" w:cs="Times New Roman"/>
          <w:color w:val="000000" w:themeColor="text1"/>
          <w:sz w:val="24"/>
          <w:szCs w:val="24"/>
        </w:rPr>
        <w:t xml:space="preserve">the </w:t>
      </w:r>
      <w:r w:rsidRPr="00460EC6">
        <w:rPr>
          <w:rFonts w:ascii="Times New Roman" w:eastAsia="Calibri" w:hAnsi="Times New Roman" w:cs="Times New Roman"/>
          <w:color w:val="000000" w:themeColor="text1"/>
          <w:sz w:val="24"/>
          <w:szCs w:val="24"/>
        </w:rPr>
        <w:t>UNCRC Optional Protocol on Armed Conflict in 2014.</w:t>
      </w:r>
    </w:p>
    <w:p w14:paraId="4DCC2642" w14:textId="1F3A3C4F"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At the national level, new policies, strategies, legislations, and development plans have been adopted and implemented. The National Employment Policy and Strategy was adopted on April 28, 2016. The main focus of the policy </w:t>
      </w:r>
      <w:r w:rsidR="00262511" w:rsidRPr="00460EC6">
        <w:rPr>
          <w:rFonts w:ascii="Times New Roman" w:eastAsia="Calibri" w:hAnsi="Times New Roman" w:cs="Times New Roman"/>
          <w:color w:val="000000" w:themeColor="text1"/>
          <w:sz w:val="24"/>
          <w:szCs w:val="24"/>
        </w:rPr>
        <w:t>is promoting</w:t>
      </w:r>
      <w:r w:rsidRPr="00460EC6">
        <w:rPr>
          <w:rFonts w:ascii="Times New Roman" w:eastAsia="Calibri" w:hAnsi="Times New Roman" w:cs="Times New Roman"/>
          <w:color w:val="000000" w:themeColor="text1"/>
          <w:sz w:val="24"/>
          <w:szCs w:val="24"/>
        </w:rPr>
        <w:t xml:space="preserve"> decent, productive, and equitable employment opportunities</w:t>
      </w:r>
      <w:r w:rsidR="00262511"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w:t>
      </w:r>
    </w:p>
    <w:p w14:paraId="2BE48081" w14:textId="0A23A97F"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policy’s specific target includes women, the youth, people with disabilities, people with HIV/AIDS, children who are subject to child labour abuse, young and women farmers, migrant workers of Ethiopian citizenship in different countries, employees of foreign nationals, and those vulnerable to climate change and related disasters and agricultural workers. The policy coordinates </w:t>
      </w:r>
      <w:r w:rsidR="00262511" w:rsidRPr="00460EC6">
        <w:rPr>
          <w:rFonts w:ascii="Times New Roman" w:eastAsia="Calibri" w:hAnsi="Times New Roman" w:cs="Times New Roman"/>
          <w:color w:val="000000" w:themeColor="text1"/>
          <w:sz w:val="24"/>
          <w:szCs w:val="24"/>
        </w:rPr>
        <w:t>job</w:t>
      </w:r>
      <w:r w:rsidRPr="00460EC6">
        <w:rPr>
          <w:rFonts w:ascii="Times New Roman" w:eastAsia="Calibri" w:hAnsi="Times New Roman" w:cs="Times New Roman"/>
          <w:color w:val="000000" w:themeColor="text1"/>
          <w:sz w:val="24"/>
          <w:szCs w:val="24"/>
        </w:rPr>
        <w:t xml:space="preserve"> creation efforts across different sectors.</w:t>
      </w:r>
    </w:p>
    <w:p w14:paraId="7822961F" w14:textId="01F81B06"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Manufacturing Industry Policy</w:t>
      </w:r>
      <w:r w:rsidR="00262511"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which was adopted in 2023, replacing the industrial development strategy, upholds the basic principle of encouraging </w:t>
      </w:r>
      <w:r w:rsidR="00B00E32" w:rsidRPr="00460EC6">
        <w:rPr>
          <w:rFonts w:ascii="Times New Roman" w:eastAsia="Calibri" w:hAnsi="Times New Roman" w:cs="Times New Roman"/>
          <w:color w:val="000000" w:themeColor="text1"/>
          <w:sz w:val="24"/>
          <w:szCs w:val="24"/>
        </w:rPr>
        <w:t>labour-intensive industry</w:t>
      </w:r>
      <w:r w:rsidRPr="00460EC6">
        <w:rPr>
          <w:rFonts w:ascii="Times New Roman" w:eastAsia="Calibri" w:hAnsi="Times New Roman" w:cs="Times New Roman"/>
          <w:color w:val="000000" w:themeColor="text1"/>
          <w:sz w:val="24"/>
          <w:szCs w:val="24"/>
        </w:rPr>
        <w:t xml:space="preserve">. The Policy spurs </w:t>
      </w:r>
      <w:r w:rsidR="00B00E32" w:rsidRPr="00460EC6">
        <w:rPr>
          <w:rFonts w:ascii="Times New Roman" w:eastAsia="Calibri" w:hAnsi="Times New Roman" w:cs="Times New Roman"/>
          <w:color w:val="000000" w:themeColor="text1"/>
          <w:sz w:val="24"/>
          <w:szCs w:val="24"/>
        </w:rPr>
        <w:t>F</w:t>
      </w:r>
      <w:r w:rsidRPr="00460EC6">
        <w:rPr>
          <w:rFonts w:ascii="Times New Roman" w:eastAsia="Calibri" w:hAnsi="Times New Roman" w:cs="Times New Roman"/>
          <w:color w:val="000000" w:themeColor="text1"/>
          <w:sz w:val="24"/>
          <w:szCs w:val="24"/>
        </w:rPr>
        <w:t xml:space="preserve">oreign </w:t>
      </w:r>
      <w:r w:rsidR="00B00E32" w:rsidRPr="00460EC6">
        <w:rPr>
          <w:rFonts w:ascii="Times New Roman" w:eastAsia="Calibri" w:hAnsi="Times New Roman" w:cs="Times New Roman"/>
          <w:color w:val="000000" w:themeColor="text1"/>
          <w:sz w:val="24"/>
          <w:szCs w:val="24"/>
        </w:rPr>
        <w:t>D</w:t>
      </w:r>
      <w:r w:rsidRPr="00460EC6">
        <w:rPr>
          <w:rFonts w:ascii="Times New Roman" w:eastAsia="Calibri" w:hAnsi="Times New Roman" w:cs="Times New Roman"/>
          <w:color w:val="000000" w:themeColor="text1"/>
          <w:sz w:val="24"/>
          <w:szCs w:val="24"/>
        </w:rPr>
        <w:t xml:space="preserve">irect </w:t>
      </w:r>
      <w:r w:rsidR="00B00E32" w:rsidRPr="00460EC6">
        <w:rPr>
          <w:rFonts w:ascii="Times New Roman" w:eastAsia="Calibri" w:hAnsi="Times New Roman" w:cs="Times New Roman"/>
          <w:color w:val="000000" w:themeColor="text1"/>
          <w:sz w:val="24"/>
          <w:szCs w:val="24"/>
        </w:rPr>
        <w:t>I</w:t>
      </w:r>
      <w:r w:rsidRPr="00460EC6">
        <w:rPr>
          <w:rFonts w:ascii="Times New Roman" w:eastAsia="Calibri" w:hAnsi="Times New Roman" w:cs="Times New Roman"/>
          <w:color w:val="000000" w:themeColor="text1"/>
          <w:sz w:val="24"/>
          <w:szCs w:val="24"/>
        </w:rPr>
        <w:t xml:space="preserve">nvestment, enhances export revenues, and supports sustainable job creation. </w:t>
      </w:r>
      <w:r w:rsidR="00B00E32" w:rsidRPr="00460EC6">
        <w:rPr>
          <w:rFonts w:ascii="Times New Roman" w:eastAsia="Calibri" w:hAnsi="Times New Roman" w:cs="Times New Roman"/>
          <w:color w:val="000000" w:themeColor="text1"/>
          <w:sz w:val="24"/>
          <w:szCs w:val="24"/>
        </w:rPr>
        <w:t>Labour-intensive</w:t>
      </w:r>
      <w:r w:rsidRPr="00460EC6">
        <w:rPr>
          <w:rFonts w:ascii="Times New Roman" w:eastAsia="Calibri" w:hAnsi="Times New Roman" w:cs="Times New Roman"/>
          <w:color w:val="000000" w:themeColor="text1"/>
          <w:sz w:val="24"/>
          <w:szCs w:val="24"/>
        </w:rPr>
        <w:t xml:space="preserve"> Manufacturing Industry Policy stems from the availability of an affordable and hard-working </w:t>
      </w:r>
      <w:r w:rsidR="00B00E32"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force in the domestic market, which gives local companies </w:t>
      </w:r>
      <w:r w:rsidR="00B00E32" w:rsidRPr="00460EC6">
        <w:rPr>
          <w:rFonts w:ascii="Times New Roman" w:eastAsia="Calibri" w:hAnsi="Times New Roman" w:cs="Times New Roman"/>
          <w:color w:val="000000" w:themeColor="text1"/>
          <w:sz w:val="24"/>
          <w:szCs w:val="24"/>
        </w:rPr>
        <w:t xml:space="preserve">a </w:t>
      </w:r>
      <w:r w:rsidRPr="00460EC6">
        <w:rPr>
          <w:rFonts w:ascii="Times New Roman" w:eastAsia="Calibri" w:hAnsi="Times New Roman" w:cs="Times New Roman"/>
          <w:color w:val="000000" w:themeColor="text1"/>
          <w:sz w:val="24"/>
          <w:szCs w:val="24"/>
        </w:rPr>
        <w:t>comparative advantage and the opportunity to be competitive.</w:t>
      </w:r>
    </w:p>
    <w:p w14:paraId="61E62B7B" w14:textId="7F6CAE7A"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Plan of Action for Job Creation (2020-2025) proposes holistic interventions to solve the employment and job creation challenges and provides a new vision of employment in Ethiopia. The </w:t>
      </w:r>
      <w:r w:rsidR="00B00E32" w:rsidRPr="00460EC6">
        <w:rPr>
          <w:rFonts w:ascii="Times New Roman" w:eastAsia="Calibri" w:hAnsi="Times New Roman" w:cs="Times New Roman"/>
          <w:color w:val="000000" w:themeColor="text1"/>
          <w:sz w:val="24"/>
          <w:szCs w:val="24"/>
        </w:rPr>
        <w:t>Pl</w:t>
      </w:r>
      <w:r w:rsidRPr="00460EC6">
        <w:rPr>
          <w:rFonts w:ascii="Times New Roman" w:eastAsia="Calibri" w:hAnsi="Times New Roman" w:cs="Times New Roman"/>
          <w:color w:val="000000" w:themeColor="text1"/>
          <w:sz w:val="24"/>
          <w:szCs w:val="24"/>
        </w:rPr>
        <w:t xml:space="preserve">an aims to foster the business environment and conditions necessary to create 14 million jobs by 2025, to absorb the currently unemployed, and to ensure that jobs are </w:t>
      </w:r>
      <w:r w:rsidR="00B00E32" w:rsidRPr="00460EC6">
        <w:rPr>
          <w:rFonts w:ascii="Times New Roman" w:eastAsia="Calibri" w:hAnsi="Times New Roman" w:cs="Times New Roman"/>
          <w:color w:val="000000" w:themeColor="text1"/>
          <w:sz w:val="24"/>
          <w:szCs w:val="24"/>
        </w:rPr>
        <w:t>available</w:t>
      </w:r>
      <w:r w:rsidRPr="00460EC6">
        <w:rPr>
          <w:rFonts w:ascii="Times New Roman" w:eastAsia="Calibri" w:hAnsi="Times New Roman" w:cs="Times New Roman"/>
          <w:color w:val="000000" w:themeColor="text1"/>
          <w:sz w:val="24"/>
          <w:szCs w:val="24"/>
        </w:rPr>
        <w:t xml:space="preserve"> for new entrants to the labour force. The plan has been developed through </w:t>
      </w:r>
      <w:r w:rsidRPr="00460EC6">
        <w:rPr>
          <w:rFonts w:ascii="Times New Roman" w:eastAsia="Calibri" w:hAnsi="Times New Roman" w:cs="Times New Roman"/>
          <w:color w:val="000000" w:themeColor="text1"/>
          <w:sz w:val="24"/>
          <w:szCs w:val="24"/>
        </w:rPr>
        <w:lastRenderedPageBreak/>
        <w:t>important and lengthy consultations with relevant stakeholders from the public and private sectors.</w:t>
      </w:r>
    </w:p>
    <w:p w14:paraId="561EF037" w14:textId="1CE49A7E"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w:t>
      </w:r>
      <w:proofErr w:type="gramStart"/>
      <w:r w:rsidRPr="00460EC6">
        <w:rPr>
          <w:rFonts w:ascii="Times New Roman" w:eastAsia="Calibri" w:hAnsi="Times New Roman" w:cs="Times New Roman"/>
          <w:color w:val="000000" w:themeColor="text1"/>
          <w:sz w:val="24"/>
          <w:szCs w:val="24"/>
        </w:rPr>
        <w:t>Home Grown</w:t>
      </w:r>
      <w:proofErr w:type="gramEnd"/>
      <w:r w:rsidRPr="00460EC6">
        <w:rPr>
          <w:rFonts w:ascii="Times New Roman" w:eastAsia="Calibri" w:hAnsi="Times New Roman" w:cs="Times New Roman"/>
          <w:color w:val="000000" w:themeColor="text1"/>
          <w:sz w:val="24"/>
          <w:szCs w:val="24"/>
        </w:rPr>
        <w:t xml:space="preserve"> Economic Reform Agenda is a program Ethiopia pursues </w:t>
      </w:r>
      <w:r w:rsidR="00B00E32" w:rsidRPr="00460EC6">
        <w:rPr>
          <w:rFonts w:ascii="Times New Roman" w:eastAsia="Calibri" w:hAnsi="Times New Roman" w:cs="Times New Roman"/>
          <w:color w:val="000000" w:themeColor="text1"/>
          <w:sz w:val="24"/>
          <w:szCs w:val="24"/>
        </w:rPr>
        <w:t xml:space="preserve">to </w:t>
      </w:r>
      <w:r w:rsidRPr="00460EC6">
        <w:rPr>
          <w:rFonts w:ascii="Times New Roman" w:eastAsia="Calibri" w:hAnsi="Times New Roman" w:cs="Times New Roman"/>
          <w:color w:val="000000" w:themeColor="text1"/>
          <w:sz w:val="24"/>
          <w:szCs w:val="24"/>
        </w:rPr>
        <w:t xml:space="preserve">provide </w:t>
      </w:r>
      <w:r w:rsidR="00B00E32" w:rsidRPr="00460EC6">
        <w:rPr>
          <w:rFonts w:ascii="Times New Roman" w:eastAsia="Calibri" w:hAnsi="Times New Roman" w:cs="Times New Roman"/>
          <w:color w:val="000000" w:themeColor="text1"/>
          <w:sz w:val="24"/>
          <w:szCs w:val="24"/>
        </w:rPr>
        <w:t>s</w:t>
      </w:r>
      <w:r w:rsidRPr="00460EC6">
        <w:rPr>
          <w:rFonts w:ascii="Times New Roman" w:eastAsia="Calibri" w:hAnsi="Times New Roman" w:cs="Times New Roman"/>
          <w:color w:val="000000" w:themeColor="text1"/>
          <w:sz w:val="24"/>
          <w:szCs w:val="24"/>
        </w:rPr>
        <w:t>ustaining economic growth, creating job opportunities for the growing population and setting the foundation for prosperity requires correcting macroeconomic imbalances and rebalancing the sources of growth; from demand-driven to supply-driven, from debt financing to saving and equity financing, and from public sector-led to private sector-led. The free market economic policy through th</w:t>
      </w:r>
      <w:r w:rsidR="00B00E32" w:rsidRPr="00460EC6">
        <w:rPr>
          <w:rFonts w:ascii="Times New Roman" w:eastAsia="Calibri" w:hAnsi="Times New Roman" w:cs="Times New Roman"/>
          <w:color w:val="000000" w:themeColor="text1"/>
          <w:sz w:val="24"/>
          <w:szCs w:val="24"/>
        </w:rPr>
        <w:t>is</w:t>
      </w:r>
      <w:r w:rsidRPr="00460EC6">
        <w:rPr>
          <w:rFonts w:ascii="Times New Roman" w:eastAsia="Calibri" w:hAnsi="Times New Roman" w:cs="Times New Roman"/>
          <w:color w:val="000000" w:themeColor="text1"/>
          <w:sz w:val="24"/>
          <w:szCs w:val="24"/>
        </w:rPr>
        <w:t xml:space="preserve"> reform also promotes private investment, allowing the flow of capital from inside and outside sources. This has been playing a crucial role in creating job opportunities for millions of Ethiopians </w:t>
      </w:r>
      <w:r w:rsidR="00B00E32" w:rsidRPr="00460EC6">
        <w:rPr>
          <w:rFonts w:ascii="Times New Roman" w:eastAsia="Calibri" w:hAnsi="Times New Roman" w:cs="Times New Roman"/>
          <w:color w:val="000000" w:themeColor="text1"/>
          <w:sz w:val="24"/>
          <w:szCs w:val="24"/>
        </w:rPr>
        <w:t>across</w:t>
      </w:r>
      <w:r w:rsidRPr="00460EC6">
        <w:rPr>
          <w:rFonts w:ascii="Times New Roman" w:eastAsia="Calibri" w:hAnsi="Times New Roman" w:cs="Times New Roman"/>
          <w:color w:val="000000" w:themeColor="text1"/>
          <w:sz w:val="24"/>
          <w:szCs w:val="24"/>
        </w:rPr>
        <w:t xml:space="preserve"> different sectors of the economy. </w:t>
      </w:r>
    </w:p>
    <w:p w14:paraId="7BF24259" w14:textId="38275715"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Growth and Transformation Plan (I &amp; II) was launched in October 2010, extending to 2020 in two phases. In these Plans, the government has accorded top priority to accelerated </w:t>
      </w:r>
      <w:r w:rsidR="00B00E32" w:rsidRPr="00460EC6">
        <w:rPr>
          <w:rFonts w:ascii="Times New Roman" w:eastAsia="Calibri" w:hAnsi="Times New Roman" w:cs="Times New Roman"/>
          <w:color w:val="000000" w:themeColor="text1"/>
          <w:sz w:val="24"/>
          <w:szCs w:val="24"/>
        </w:rPr>
        <w:t>industrialisation</w:t>
      </w:r>
      <w:r w:rsidRPr="00460EC6">
        <w:rPr>
          <w:rFonts w:ascii="Times New Roman" w:eastAsia="Calibri" w:hAnsi="Times New Roman" w:cs="Times New Roman"/>
          <w:color w:val="000000" w:themeColor="text1"/>
          <w:sz w:val="24"/>
          <w:szCs w:val="24"/>
        </w:rPr>
        <w:t xml:space="preserve"> </w:t>
      </w:r>
      <w:r w:rsidR="00B00E32" w:rsidRPr="00460EC6">
        <w:rPr>
          <w:rFonts w:ascii="Times New Roman" w:eastAsia="Calibri" w:hAnsi="Times New Roman" w:cs="Times New Roman"/>
          <w:color w:val="000000" w:themeColor="text1"/>
          <w:sz w:val="24"/>
          <w:szCs w:val="24"/>
        </w:rPr>
        <w:t>to</w:t>
      </w:r>
      <w:r w:rsidRPr="00460EC6">
        <w:rPr>
          <w:rFonts w:ascii="Times New Roman" w:eastAsia="Calibri" w:hAnsi="Times New Roman" w:cs="Times New Roman"/>
          <w:color w:val="000000" w:themeColor="text1"/>
          <w:sz w:val="24"/>
          <w:szCs w:val="24"/>
        </w:rPr>
        <w:t xml:space="preserve"> create jobs and lift workers from low-productivity agriculture and informal sectors into higher productivity activities. Building on the lessons learned from these plans, Ethiopia has further developed and begun implementing the Ten-Year Development Plan (2021-2030). This plan places poverty reduction as its central objective and envisions Ethiopia becoming an "African Beacon of Prosperity." The Plan focuses on creating millions of jobs, particularly for the youth, by promoting sectors with high employment potential, such as manufacturing and agriculture.</w:t>
      </w:r>
    </w:p>
    <w:p w14:paraId="17E83E68" w14:textId="62F5413B"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Several instruments relat</w:t>
      </w:r>
      <w:r w:rsidR="00C2075A" w:rsidRPr="00460EC6">
        <w:rPr>
          <w:rFonts w:ascii="Times New Roman" w:eastAsia="Calibri" w:hAnsi="Times New Roman" w:cs="Times New Roman"/>
          <w:color w:val="000000" w:themeColor="text1"/>
          <w:sz w:val="24"/>
          <w:szCs w:val="24"/>
        </w:rPr>
        <w:t>ed</w:t>
      </w:r>
      <w:r w:rsidRPr="00460EC6">
        <w:rPr>
          <w:rFonts w:ascii="Times New Roman" w:eastAsia="Calibri" w:hAnsi="Times New Roman" w:cs="Times New Roman"/>
          <w:color w:val="000000" w:themeColor="text1"/>
          <w:sz w:val="24"/>
          <w:szCs w:val="24"/>
        </w:rPr>
        <w:t xml:space="preserve"> to the protection of workers have also been adopted since the last report. Notable are the two instruments</w:t>
      </w:r>
      <w:r w:rsidR="00C2075A"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the National Children’s Policy (2017) and the National Action Plan for the Prevention and Elimination of the Worst Forms of Child Labour (2021-2025). These </w:t>
      </w:r>
      <w:r w:rsidR="00C2075A" w:rsidRPr="00460EC6">
        <w:rPr>
          <w:rFonts w:ascii="Times New Roman" w:eastAsia="Calibri" w:hAnsi="Times New Roman" w:cs="Times New Roman"/>
          <w:color w:val="000000" w:themeColor="text1"/>
          <w:sz w:val="24"/>
          <w:szCs w:val="24"/>
        </w:rPr>
        <w:t>instruments</w:t>
      </w:r>
      <w:r w:rsidRPr="00460EC6">
        <w:rPr>
          <w:rFonts w:ascii="Times New Roman" w:eastAsia="Calibri" w:hAnsi="Times New Roman" w:cs="Times New Roman"/>
          <w:color w:val="000000" w:themeColor="text1"/>
          <w:sz w:val="24"/>
          <w:szCs w:val="24"/>
        </w:rPr>
        <w:t xml:space="preserve"> focus directly on children’s rights, preventing child labour and giving support to children engaged in the worst forms of child labour. Other action plans focus on children or youth as sub-target groups, such as the National Occupational Safety and Health Policy</w:t>
      </w:r>
      <w:r w:rsidR="00C2075A"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which aims to protect young workers from hazardous jobs.</w:t>
      </w:r>
    </w:p>
    <w:p w14:paraId="43AEC8D0" w14:textId="2F0FE24A"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With regard to legislative amendments, significant work has been done. Amendments were made to the long serving Proclamations; and the newly amended proclamations include The Labor Proclamation No. 1156/2019, The Civil Servants Proclamation No. 1064/2017, </w:t>
      </w:r>
      <w:r w:rsidRPr="00460EC6">
        <w:rPr>
          <w:rFonts w:ascii="Times New Roman" w:eastAsia="Calibri" w:hAnsi="Times New Roman" w:cs="Times New Roman"/>
          <w:color w:val="000000" w:themeColor="text1"/>
          <w:sz w:val="24"/>
          <w:szCs w:val="24"/>
        </w:rPr>
        <w:lastRenderedPageBreak/>
        <w:t>The Social Health Insurance Proclamation No. 690/2010, Overseas Employment Proclamation No. 1389/2025</w:t>
      </w:r>
      <w:r w:rsidR="005F5F61"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rPr>
        <w:t>1246/2021</w:t>
      </w:r>
      <w:r w:rsidR="005F5F61" w:rsidRPr="00460EC6">
        <w:rPr>
          <w:rFonts w:ascii="Times New Roman" w:eastAsia="Calibri" w:hAnsi="Times New Roman" w:cs="Times New Roman"/>
          <w:color w:val="000000" w:themeColor="text1"/>
          <w:sz w:val="24"/>
          <w:szCs w:val="24"/>
        </w:rPr>
        <w:t xml:space="preserve"> and </w:t>
      </w:r>
      <w:r w:rsidRPr="00460EC6">
        <w:rPr>
          <w:rFonts w:ascii="Times New Roman" w:eastAsia="Calibri" w:hAnsi="Times New Roman" w:cs="Times New Roman"/>
          <w:color w:val="000000" w:themeColor="text1"/>
          <w:sz w:val="24"/>
          <w:szCs w:val="24"/>
        </w:rPr>
        <w:t xml:space="preserve">923/2016, Private Organization Employees’ Pension Proclamation No. 1268/2022, and Public Servants’ Pension Proclamation No. 1267/2022. These legislations have contributed to the improvement of the working environment. The Right to Employment of Persons with Disabilities Proclamation No. 568/2008 is also under an amendment process with a comprehensive draft awaiting final consultation and validation. These set of laws are complemented by several regulations, directives, and the different decisions of the Cassation Division of the Federal Supreme Court. </w:t>
      </w:r>
    </w:p>
    <w:p w14:paraId="235AB3C6"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Industrial parks have been one of the Government’s key policy-backed development activities for the last decade. Creating ample job opportunities, thereby supporting sustainable economic development, is among the primary goals outlined under the Industrial Parks Proclamation No. 886/2015. The Special Economic Zones Proclamation No. 1322/2024 also has the same purpose in terms of creating jobs.</w:t>
      </w:r>
    </w:p>
    <w:p w14:paraId="69AF6F18" w14:textId="25DAC943"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revised Refugee Proclamation No.1110/2019 and Directive No. 1019/2024</w:t>
      </w:r>
      <w:r w:rsidR="00C2075A"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which </w:t>
      </w:r>
      <w:r w:rsidR="00B40103" w:rsidRPr="00460EC6">
        <w:rPr>
          <w:rFonts w:ascii="Times New Roman" w:eastAsia="Calibri" w:hAnsi="Times New Roman" w:cs="Times New Roman"/>
          <w:color w:val="000000" w:themeColor="text1"/>
          <w:sz w:val="24"/>
          <w:szCs w:val="24"/>
        </w:rPr>
        <w:t>were</w:t>
      </w:r>
      <w:r w:rsidRPr="00460EC6">
        <w:rPr>
          <w:rFonts w:ascii="Times New Roman" w:eastAsia="Calibri" w:hAnsi="Times New Roman" w:cs="Times New Roman"/>
          <w:color w:val="000000" w:themeColor="text1"/>
          <w:sz w:val="24"/>
          <w:szCs w:val="24"/>
        </w:rPr>
        <w:t xml:space="preserve"> enacted to </w:t>
      </w:r>
      <w:r w:rsidR="00C2075A" w:rsidRPr="00460EC6">
        <w:rPr>
          <w:rFonts w:ascii="Times New Roman" w:eastAsia="Calibri" w:hAnsi="Times New Roman" w:cs="Times New Roman"/>
          <w:color w:val="000000" w:themeColor="text1"/>
          <w:sz w:val="24"/>
          <w:szCs w:val="24"/>
        </w:rPr>
        <w:t>implement</w:t>
      </w:r>
      <w:r w:rsidRPr="00460EC6">
        <w:rPr>
          <w:rFonts w:ascii="Times New Roman" w:eastAsia="Calibri" w:hAnsi="Times New Roman" w:cs="Times New Roman"/>
          <w:color w:val="000000" w:themeColor="text1"/>
          <w:sz w:val="24"/>
          <w:szCs w:val="24"/>
        </w:rPr>
        <w:t xml:space="preserve"> </w:t>
      </w:r>
      <w:r w:rsidR="00C2075A" w:rsidRPr="00460EC6">
        <w:rPr>
          <w:rFonts w:ascii="Times New Roman" w:eastAsia="Calibri" w:hAnsi="Times New Roman" w:cs="Times New Roman"/>
          <w:color w:val="000000" w:themeColor="text1"/>
          <w:sz w:val="24"/>
          <w:szCs w:val="24"/>
        </w:rPr>
        <w:t>r</w:t>
      </w:r>
      <w:r w:rsidRPr="00460EC6">
        <w:rPr>
          <w:rFonts w:ascii="Times New Roman" w:eastAsia="Calibri" w:hAnsi="Times New Roman" w:cs="Times New Roman"/>
          <w:color w:val="000000" w:themeColor="text1"/>
          <w:sz w:val="24"/>
          <w:szCs w:val="24"/>
        </w:rPr>
        <w:t xml:space="preserve">ecognized </w:t>
      </w:r>
      <w:r w:rsidR="00C2075A" w:rsidRPr="00460EC6">
        <w:rPr>
          <w:rFonts w:ascii="Times New Roman" w:eastAsia="Calibri" w:hAnsi="Times New Roman" w:cs="Times New Roman"/>
          <w:color w:val="000000" w:themeColor="text1"/>
          <w:sz w:val="24"/>
          <w:szCs w:val="24"/>
        </w:rPr>
        <w:t>r</w:t>
      </w:r>
      <w:r w:rsidRPr="00460EC6">
        <w:rPr>
          <w:rFonts w:ascii="Times New Roman" w:eastAsia="Calibri" w:hAnsi="Times New Roman" w:cs="Times New Roman"/>
          <w:color w:val="000000" w:themeColor="text1"/>
          <w:sz w:val="24"/>
          <w:szCs w:val="24"/>
        </w:rPr>
        <w:t xml:space="preserve">efugees' and </w:t>
      </w:r>
      <w:r w:rsidR="00C2075A" w:rsidRPr="00460EC6">
        <w:rPr>
          <w:rFonts w:ascii="Times New Roman" w:eastAsia="Calibri" w:hAnsi="Times New Roman" w:cs="Times New Roman"/>
          <w:color w:val="000000" w:themeColor="text1"/>
          <w:sz w:val="24"/>
          <w:szCs w:val="24"/>
        </w:rPr>
        <w:t>a</w:t>
      </w:r>
      <w:r w:rsidRPr="00460EC6">
        <w:rPr>
          <w:rFonts w:ascii="Times New Roman" w:eastAsia="Calibri" w:hAnsi="Times New Roman" w:cs="Times New Roman"/>
          <w:color w:val="000000" w:themeColor="text1"/>
          <w:sz w:val="24"/>
          <w:szCs w:val="24"/>
        </w:rPr>
        <w:t xml:space="preserve">sylum </w:t>
      </w:r>
      <w:r w:rsidR="00C2075A" w:rsidRPr="00460EC6">
        <w:rPr>
          <w:rFonts w:ascii="Times New Roman" w:eastAsia="Calibri" w:hAnsi="Times New Roman" w:cs="Times New Roman"/>
          <w:color w:val="000000" w:themeColor="text1"/>
          <w:sz w:val="24"/>
          <w:szCs w:val="24"/>
        </w:rPr>
        <w:t>s</w:t>
      </w:r>
      <w:r w:rsidRPr="00460EC6">
        <w:rPr>
          <w:rFonts w:ascii="Times New Roman" w:eastAsia="Calibri" w:hAnsi="Times New Roman" w:cs="Times New Roman"/>
          <w:color w:val="000000" w:themeColor="text1"/>
          <w:sz w:val="24"/>
          <w:szCs w:val="24"/>
        </w:rPr>
        <w:t xml:space="preserve">eekers' </w:t>
      </w:r>
      <w:r w:rsidR="00C2075A" w:rsidRPr="00460EC6">
        <w:rPr>
          <w:rFonts w:ascii="Times New Roman" w:eastAsia="Calibri" w:hAnsi="Times New Roman" w:cs="Times New Roman"/>
          <w:color w:val="000000" w:themeColor="text1"/>
          <w:sz w:val="24"/>
          <w:szCs w:val="24"/>
        </w:rPr>
        <w:t>r</w:t>
      </w:r>
      <w:r w:rsidRPr="00460EC6">
        <w:rPr>
          <w:rFonts w:ascii="Times New Roman" w:eastAsia="Calibri" w:hAnsi="Times New Roman" w:cs="Times New Roman"/>
          <w:color w:val="000000" w:themeColor="text1"/>
          <w:sz w:val="24"/>
          <w:szCs w:val="24"/>
        </w:rPr>
        <w:t xml:space="preserve">ight to </w:t>
      </w:r>
      <w:r w:rsidR="00C2075A" w:rsidRPr="00460EC6">
        <w:rPr>
          <w:rFonts w:ascii="Times New Roman" w:eastAsia="Calibri" w:hAnsi="Times New Roman" w:cs="Times New Roman"/>
          <w:color w:val="000000" w:themeColor="text1"/>
          <w:sz w:val="24"/>
          <w:szCs w:val="24"/>
        </w:rPr>
        <w:t>w</w:t>
      </w:r>
      <w:r w:rsidRPr="00460EC6">
        <w:rPr>
          <w:rFonts w:ascii="Times New Roman" w:eastAsia="Calibri" w:hAnsi="Times New Roman" w:cs="Times New Roman"/>
          <w:color w:val="000000" w:themeColor="text1"/>
          <w:sz w:val="24"/>
          <w:szCs w:val="24"/>
        </w:rPr>
        <w:t>ork</w:t>
      </w:r>
      <w:r w:rsidR="00C2075A"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has relaxed the working environment for refugees and asylum-seekers to engage in wage-earning employment in the same circumstances as the most </w:t>
      </w:r>
      <w:r w:rsidR="00C2075A" w:rsidRPr="00460EC6">
        <w:rPr>
          <w:rFonts w:ascii="Times New Roman" w:eastAsia="Calibri" w:hAnsi="Times New Roman" w:cs="Times New Roman"/>
          <w:color w:val="000000" w:themeColor="text1"/>
          <w:sz w:val="24"/>
          <w:szCs w:val="24"/>
        </w:rPr>
        <w:t>favourable</w:t>
      </w:r>
      <w:r w:rsidRPr="00460EC6">
        <w:rPr>
          <w:rFonts w:ascii="Times New Roman" w:eastAsia="Calibri" w:hAnsi="Times New Roman" w:cs="Times New Roman"/>
          <w:color w:val="000000" w:themeColor="text1"/>
          <w:sz w:val="24"/>
          <w:szCs w:val="24"/>
        </w:rPr>
        <w:t xml:space="preserve"> treatment accorded to foreign nationals subject to relevant laws. It also allows refugees and asylum seekers to engage in agriculture, industry, small and micro</w:t>
      </w:r>
      <w:r w:rsidR="00C2075A"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enterprises, handicrafts, and commerce. The revised law is in accordance with the Comprehensive Refugees Response Framework and the Declaration on Durable Solutions of the Intergovernmental Authority on Development.</w:t>
      </w:r>
    </w:p>
    <w:p w14:paraId="0A45E674" w14:textId="45641671"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During the reporting period, the </w:t>
      </w:r>
      <w:proofErr w:type="spellStart"/>
      <w:r w:rsidRPr="00460EC6">
        <w:rPr>
          <w:rFonts w:ascii="Times New Roman" w:eastAsia="Calibri" w:hAnsi="Times New Roman" w:cs="Times New Roman"/>
          <w:color w:val="000000" w:themeColor="text1"/>
          <w:sz w:val="24"/>
          <w:szCs w:val="24"/>
        </w:rPr>
        <w:t>GoE</w:t>
      </w:r>
      <w:proofErr w:type="spellEnd"/>
      <w:r w:rsidR="00724114" w:rsidRPr="00460EC6">
        <w:rPr>
          <w:rFonts w:ascii="Times New Roman" w:eastAsia="Calibri" w:hAnsi="Times New Roman" w:cs="Times New Roman"/>
          <w:color w:val="000000" w:themeColor="text1"/>
          <w:sz w:val="24"/>
          <w:szCs w:val="24"/>
        </w:rPr>
        <w:t xml:space="preserve">, through </w:t>
      </w:r>
      <w:proofErr w:type="spellStart"/>
      <w:r w:rsidRPr="00460EC6">
        <w:rPr>
          <w:rFonts w:ascii="Times New Roman" w:eastAsia="Calibri" w:hAnsi="Times New Roman" w:cs="Times New Roman"/>
          <w:color w:val="000000" w:themeColor="text1"/>
          <w:sz w:val="24"/>
          <w:szCs w:val="24"/>
        </w:rPr>
        <w:t>MoLS</w:t>
      </w:r>
      <w:proofErr w:type="spellEnd"/>
      <w:r w:rsidRPr="00460EC6">
        <w:rPr>
          <w:rFonts w:ascii="Times New Roman" w:eastAsia="Calibri" w:hAnsi="Times New Roman" w:cs="Times New Roman"/>
          <w:color w:val="000000" w:themeColor="text1"/>
          <w:sz w:val="24"/>
          <w:szCs w:val="24"/>
        </w:rPr>
        <w:t xml:space="preserve">, adopted a wide range of directives, manuals, and operational procedures to progressively realize the right to work as recognized under Article 6 of the International Covenant on Economic, Social and Cultural Rights (ICESCR). These efforts were aligned with national development priorities and international standards, including the ILO Decent Work Agenda. A key milestone in this regard was the adoption of the National Employment Policy and Strategy (2016). To operationalize these policy objectives, the Ministry adopted various directives and manuals targeting skills development and job creation. For instance, Directive No. 912/2014 </w:t>
      </w:r>
      <w:r w:rsidRPr="00460EC6">
        <w:rPr>
          <w:rFonts w:ascii="Times New Roman" w:eastAsia="Calibri" w:hAnsi="Times New Roman" w:cs="Times New Roman"/>
          <w:color w:val="000000" w:themeColor="text1"/>
          <w:sz w:val="24"/>
          <w:szCs w:val="24"/>
        </w:rPr>
        <w:lastRenderedPageBreak/>
        <w:t xml:space="preserve">standardized procedures for national TVET qualification assessment, accreditation, and certification to ensure quality and alignment with </w:t>
      </w:r>
      <w:r w:rsidR="00C2075A"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market demands. </w:t>
      </w:r>
    </w:p>
    <w:p w14:paraId="36A6B7D9" w14:textId="4922FEDE"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Furthermore, the Recognition of Prior Learning (RPL) initiative was introduced to formally recognize informal skills acquired through non-formal settings, benefiting returnees and vulnerable job seekers. In support of </w:t>
      </w:r>
      <w:r w:rsidR="00C2075A"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mobility, the Foreign Employ</w:t>
      </w:r>
      <w:r w:rsidR="0022405C" w:rsidRPr="00460EC6">
        <w:rPr>
          <w:rFonts w:ascii="Times New Roman" w:eastAsia="Calibri" w:hAnsi="Times New Roman" w:cs="Times New Roman"/>
          <w:color w:val="000000" w:themeColor="text1"/>
          <w:sz w:val="24"/>
          <w:szCs w:val="24"/>
        </w:rPr>
        <w:t xml:space="preserve">ment Proclamation No. 1389/2025, </w:t>
      </w:r>
      <w:r w:rsidRPr="00460EC6">
        <w:rPr>
          <w:rFonts w:ascii="Times New Roman" w:eastAsia="Calibri" w:hAnsi="Times New Roman" w:cs="Times New Roman"/>
          <w:color w:val="000000" w:themeColor="text1"/>
          <w:sz w:val="24"/>
          <w:szCs w:val="24"/>
        </w:rPr>
        <w:t>1246/2021</w:t>
      </w:r>
      <w:r w:rsidR="005F5F61" w:rsidRPr="00460EC6">
        <w:rPr>
          <w:rFonts w:ascii="Times New Roman" w:eastAsia="Calibri" w:hAnsi="Times New Roman" w:cs="Times New Roman"/>
          <w:color w:val="000000" w:themeColor="text1"/>
          <w:sz w:val="24"/>
          <w:szCs w:val="24"/>
        </w:rPr>
        <w:t xml:space="preserve"> and</w:t>
      </w:r>
      <w:r w:rsidR="0022405C"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rPr>
        <w:t>923/2016</w:t>
      </w:r>
      <w:r w:rsidR="005F5F61" w:rsidRPr="00460EC6">
        <w:rPr>
          <w:rFonts w:ascii="Times New Roman" w:eastAsia="Calibri" w:hAnsi="Times New Roman" w:cs="Times New Roman"/>
          <w:color w:val="000000" w:themeColor="text1"/>
          <w:sz w:val="24"/>
          <w:szCs w:val="24"/>
        </w:rPr>
        <w:t xml:space="preserve"> </w:t>
      </w:r>
      <w:r w:rsidR="00C2075A" w:rsidRPr="00460EC6">
        <w:rPr>
          <w:rFonts w:ascii="Times New Roman" w:eastAsia="Calibri" w:hAnsi="Times New Roman" w:cs="Times New Roman"/>
          <w:color w:val="000000" w:themeColor="text1"/>
          <w:sz w:val="24"/>
          <w:szCs w:val="24"/>
        </w:rPr>
        <w:t>were adopted</w:t>
      </w:r>
      <w:r w:rsidR="00B40103"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rPr>
        <w:t xml:space="preserve">institutionalizing ethical recruitment practices and mandatory pre-departure orientation. </w:t>
      </w:r>
    </w:p>
    <w:p w14:paraId="34E7D327"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Additionally, Directive No. 1019/2024 which grants recognized refugees and asylum seekers legal access to employment in </w:t>
      </w:r>
      <w:r w:rsidR="0022405C" w:rsidRPr="00460EC6">
        <w:rPr>
          <w:rFonts w:ascii="Times New Roman" w:eastAsia="Calibri" w:hAnsi="Times New Roman" w:cs="Times New Roman"/>
          <w:color w:val="000000" w:themeColor="text1"/>
          <w:sz w:val="24"/>
          <w:szCs w:val="24"/>
        </w:rPr>
        <w:t>Ethiopia</w:t>
      </w:r>
      <w:r w:rsidRPr="00460EC6">
        <w:rPr>
          <w:rFonts w:ascii="Times New Roman" w:eastAsia="Calibri" w:hAnsi="Times New Roman" w:cs="Times New Roman"/>
          <w:color w:val="000000" w:themeColor="text1"/>
          <w:sz w:val="24"/>
          <w:szCs w:val="24"/>
        </w:rPr>
        <w:t xml:space="preserve"> was also adopted in accordance with Article 17 of the 1951 Refugee Convention.</w:t>
      </w:r>
    </w:p>
    <w:p w14:paraId="3929A2F2" w14:textId="1C9EDAB0" w:rsidR="00B40103"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In terms of </w:t>
      </w:r>
      <w:r w:rsidR="00B40103" w:rsidRPr="00460EC6">
        <w:rPr>
          <w:rFonts w:ascii="Times New Roman" w:eastAsia="Calibri" w:hAnsi="Times New Roman" w:cs="Times New Roman"/>
          <w:color w:val="000000" w:themeColor="text1"/>
          <w:sz w:val="24"/>
          <w:szCs w:val="24"/>
        </w:rPr>
        <w:t>O</w:t>
      </w:r>
      <w:r w:rsidRPr="00460EC6">
        <w:rPr>
          <w:rFonts w:ascii="Times New Roman" w:eastAsia="Calibri" w:hAnsi="Times New Roman" w:cs="Times New Roman"/>
          <w:color w:val="000000" w:themeColor="text1"/>
          <w:sz w:val="24"/>
          <w:szCs w:val="24"/>
        </w:rPr>
        <w:t xml:space="preserve">ccupational </w:t>
      </w:r>
      <w:r w:rsidR="00B40103" w:rsidRPr="00460EC6">
        <w:rPr>
          <w:rFonts w:ascii="Times New Roman" w:eastAsia="Calibri" w:hAnsi="Times New Roman" w:cs="Times New Roman"/>
          <w:color w:val="000000" w:themeColor="text1"/>
          <w:sz w:val="24"/>
          <w:szCs w:val="24"/>
        </w:rPr>
        <w:t>S</w:t>
      </w:r>
      <w:r w:rsidRPr="00460EC6">
        <w:rPr>
          <w:rFonts w:ascii="Times New Roman" w:eastAsia="Calibri" w:hAnsi="Times New Roman" w:cs="Times New Roman"/>
          <w:color w:val="000000" w:themeColor="text1"/>
          <w:sz w:val="24"/>
          <w:szCs w:val="24"/>
        </w:rPr>
        <w:t xml:space="preserve">afety and </w:t>
      </w:r>
      <w:r w:rsidR="00B40103" w:rsidRPr="00460EC6">
        <w:rPr>
          <w:rFonts w:ascii="Times New Roman" w:eastAsia="Calibri" w:hAnsi="Times New Roman" w:cs="Times New Roman"/>
          <w:color w:val="000000" w:themeColor="text1"/>
          <w:sz w:val="24"/>
          <w:szCs w:val="24"/>
        </w:rPr>
        <w:t>H</w:t>
      </w:r>
      <w:r w:rsidRPr="00460EC6">
        <w:rPr>
          <w:rFonts w:ascii="Times New Roman" w:eastAsia="Calibri" w:hAnsi="Times New Roman" w:cs="Times New Roman"/>
          <w:color w:val="000000" w:themeColor="text1"/>
          <w:sz w:val="24"/>
          <w:szCs w:val="24"/>
        </w:rPr>
        <w:t xml:space="preserve">ealth (OSH), the Ministry issued Directive No. 811/2013 which </w:t>
      </w:r>
      <w:r w:rsidR="006E4D5E" w:rsidRPr="00460EC6">
        <w:rPr>
          <w:rFonts w:ascii="Times New Roman" w:eastAsia="Calibri" w:hAnsi="Times New Roman" w:cs="Times New Roman"/>
          <w:color w:val="000000" w:themeColor="text1"/>
          <w:sz w:val="24"/>
          <w:szCs w:val="24"/>
        </w:rPr>
        <w:t>identifies the types of works which are particularly hazardous or dangerous to the health and reproductive systems of women workers</w:t>
      </w:r>
      <w:r w:rsidRPr="00460EC6">
        <w:rPr>
          <w:rFonts w:ascii="Times New Roman" w:eastAsia="Calibri" w:hAnsi="Times New Roman" w:cs="Times New Roman"/>
          <w:color w:val="000000" w:themeColor="text1"/>
          <w:sz w:val="24"/>
          <w:szCs w:val="24"/>
        </w:rPr>
        <w:t xml:space="preserve"> and Directive No. 834/2014 </w:t>
      </w:r>
      <w:r w:rsidR="006E4D5E" w:rsidRPr="00460EC6">
        <w:rPr>
          <w:rFonts w:ascii="Times New Roman" w:eastAsia="Calibri" w:hAnsi="Times New Roman" w:cs="Times New Roman"/>
          <w:color w:val="000000" w:themeColor="text1"/>
          <w:sz w:val="24"/>
          <w:szCs w:val="24"/>
        </w:rPr>
        <w:t xml:space="preserve">which </w:t>
      </w:r>
      <w:r w:rsidRPr="00460EC6">
        <w:rPr>
          <w:rFonts w:ascii="Times New Roman" w:eastAsia="Calibri" w:hAnsi="Times New Roman" w:cs="Times New Roman"/>
          <w:color w:val="000000" w:themeColor="text1"/>
          <w:sz w:val="24"/>
          <w:szCs w:val="24"/>
        </w:rPr>
        <w:t>mandat</w:t>
      </w:r>
      <w:r w:rsidR="006E4D5E" w:rsidRPr="00460EC6">
        <w:rPr>
          <w:rFonts w:ascii="Times New Roman" w:eastAsia="Calibri" w:hAnsi="Times New Roman" w:cs="Times New Roman"/>
          <w:color w:val="000000" w:themeColor="text1"/>
          <w:sz w:val="24"/>
          <w:szCs w:val="24"/>
        </w:rPr>
        <w:t>es</w:t>
      </w:r>
      <w:r w:rsidRPr="00460EC6">
        <w:rPr>
          <w:rFonts w:ascii="Times New Roman" w:eastAsia="Calibri" w:hAnsi="Times New Roman" w:cs="Times New Roman"/>
          <w:color w:val="000000" w:themeColor="text1"/>
          <w:sz w:val="24"/>
          <w:szCs w:val="24"/>
        </w:rPr>
        <w:t xml:space="preserve"> the establishment of OSH committees in workplaces. </w:t>
      </w:r>
    </w:p>
    <w:p w14:paraId="3C9C5868" w14:textId="0257469D"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More recently, </w:t>
      </w:r>
      <w:proofErr w:type="spellStart"/>
      <w:r w:rsidRPr="00460EC6">
        <w:rPr>
          <w:rFonts w:ascii="Times New Roman" w:eastAsia="Calibri" w:hAnsi="Times New Roman" w:cs="Times New Roman"/>
          <w:color w:val="000000" w:themeColor="text1"/>
          <w:sz w:val="24"/>
          <w:szCs w:val="24"/>
        </w:rPr>
        <w:t>MoLS</w:t>
      </w:r>
      <w:proofErr w:type="spellEnd"/>
      <w:r w:rsidRPr="00460EC6">
        <w:rPr>
          <w:rFonts w:ascii="Times New Roman" w:eastAsia="Calibri" w:hAnsi="Times New Roman" w:cs="Times New Roman"/>
          <w:color w:val="000000" w:themeColor="text1"/>
          <w:sz w:val="24"/>
          <w:szCs w:val="24"/>
        </w:rPr>
        <w:t xml:space="preserve"> embraced digital transformation as a means of improving access to employment services. In 2024–2025, three digital platforms were launched, and these are Lucy E-</w:t>
      </w:r>
      <w:r w:rsidR="006E4D5E" w:rsidRPr="00460EC6">
        <w:rPr>
          <w:rFonts w:ascii="Times New Roman" w:eastAsia="Calibri" w:hAnsi="Times New Roman" w:cs="Times New Roman"/>
          <w:color w:val="000000" w:themeColor="text1"/>
          <w:sz w:val="24"/>
          <w:szCs w:val="24"/>
        </w:rPr>
        <w:t>C</w:t>
      </w:r>
      <w:r w:rsidRPr="00460EC6">
        <w:rPr>
          <w:rFonts w:ascii="Times New Roman" w:eastAsia="Calibri" w:hAnsi="Times New Roman" w:cs="Times New Roman"/>
          <w:color w:val="000000" w:themeColor="text1"/>
          <w:sz w:val="24"/>
          <w:szCs w:val="24"/>
        </w:rPr>
        <w:t xml:space="preserve">ommerce, designed to support women entrepreneurs; the </w:t>
      </w:r>
      <w:proofErr w:type="spellStart"/>
      <w:r w:rsidRPr="00460EC6">
        <w:rPr>
          <w:rFonts w:ascii="Times New Roman" w:eastAsia="Calibri" w:hAnsi="Times New Roman" w:cs="Times New Roman"/>
          <w:color w:val="000000" w:themeColor="text1"/>
          <w:sz w:val="24"/>
          <w:szCs w:val="24"/>
        </w:rPr>
        <w:t>Bequ</w:t>
      </w:r>
      <w:proofErr w:type="spellEnd"/>
      <w:r w:rsidRPr="00460EC6">
        <w:rPr>
          <w:rFonts w:ascii="Times New Roman" w:eastAsia="Calibri" w:hAnsi="Times New Roman" w:cs="Times New Roman"/>
          <w:color w:val="000000" w:themeColor="text1"/>
          <w:sz w:val="24"/>
          <w:szCs w:val="24"/>
        </w:rPr>
        <w:t xml:space="preserve"> App, a mobile job-matching tool; and the E-LMIS (Ethiopia </w:t>
      </w:r>
      <w:r w:rsidR="006E4D5E"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Market Information System), which provides free online courses and real-time </w:t>
      </w:r>
      <w:r w:rsidR="006E4D5E"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market data. These platforms aim to expand employment access, particularly for youth, women, and disadvantaged groups, and to close skills mismatches in the </w:t>
      </w:r>
      <w:r w:rsidR="006E4D5E" w:rsidRPr="00460EC6">
        <w:rPr>
          <w:rFonts w:ascii="Times New Roman" w:eastAsia="Calibri" w:hAnsi="Times New Roman" w:cs="Times New Roman"/>
          <w:color w:val="000000" w:themeColor="text1"/>
          <w:sz w:val="24"/>
          <w:szCs w:val="24"/>
        </w:rPr>
        <w:t>labour</w:t>
      </w:r>
      <w:r w:rsidRPr="00460EC6">
        <w:rPr>
          <w:rFonts w:ascii="Times New Roman" w:eastAsia="Calibri" w:hAnsi="Times New Roman" w:cs="Times New Roman"/>
          <w:color w:val="000000" w:themeColor="text1"/>
          <w:sz w:val="24"/>
          <w:szCs w:val="24"/>
        </w:rPr>
        <w:t xml:space="preserve"> market. </w:t>
      </w:r>
    </w:p>
    <w:p w14:paraId="54F8746F"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Overall, these legislative and institutional developments represent a comprehensive and multidimensional approach to realizing the right to work. It also contributes directly to the achievement of Sustainable Development Goal 8 (promote sustained, inclusive and sustainable economic growth, full and productive employment, and decent work for all).</w:t>
      </w:r>
    </w:p>
    <w:p w14:paraId="5A979A51"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w:t>
      </w:r>
      <w:proofErr w:type="spellStart"/>
      <w:r w:rsidRPr="00460EC6">
        <w:rPr>
          <w:rFonts w:ascii="Times New Roman" w:eastAsia="Calibri" w:hAnsi="Times New Roman" w:cs="Times New Roman"/>
          <w:color w:val="000000" w:themeColor="text1"/>
          <w:sz w:val="24"/>
          <w:szCs w:val="24"/>
        </w:rPr>
        <w:t>M</w:t>
      </w:r>
      <w:r w:rsidR="00724114" w:rsidRPr="00460EC6">
        <w:rPr>
          <w:rFonts w:ascii="Times New Roman" w:eastAsia="Calibri" w:hAnsi="Times New Roman" w:cs="Times New Roman"/>
          <w:color w:val="000000" w:themeColor="text1"/>
          <w:sz w:val="24"/>
          <w:szCs w:val="24"/>
        </w:rPr>
        <w:t>oWSA</w:t>
      </w:r>
      <w:proofErr w:type="spellEnd"/>
      <w:r w:rsidRPr="00460EC6">
        <w:rPr>
          <w:rFonts w:ascii="Times New Roman" w:eastAsia="Calibri" w:hAnsi="Times New Roman" w:cs="Times New Roman"/>
          <w:color w:val="000000" w:themeColor="text1"/>
          <w:sz w:val="24"/>
          <w:szCs w:val="24"/>
        </w:rPr>
        <w:t xml:space="preserve"> has implemented a wide range of directives, manuals, and operational procedures to realize the right to work, particularly focusing on women, youth, PWD</w:t>
      </w:r>
      <w:r w:rsidR="00724114" w:rsidRPr="00460EC6">
        <w:rPr>
          <w:rFonts w:ascii="Times New Roman" w:eastAsia="Calibri" w:hAnsi="Times New Roman" w:cs="Times New Roman"/>
          <w:color w:val="000000" w:themeColor="text1"/>
          <w:sz w:val="24"/>
          <w:szCs w:val="24"/>
        </w:rPr>
        <w:t>s</w:t>
      </w:r>
      <w:r w:rsidRPr="00460EC6">
        <w:rPr>
          <w:rFonts w:ascii="Times New Roman" w:eastAsia="Calibri" w:hAnsi="Times New Roman" w:cs="Times New Roman"/>
          <w:color w:val="000000" w:themeColor="text1"/>
          <w:sz w:val="24"/>
          <w:szCs w:val="24"/>
        </w:rPr>
        <w:t xml:space="preserve">, and other vulnerable groups. Under the Federal Executive Power and Functions Proclamation No. 1263/2021, </w:t>
      </w:r>
      <w:proofErr w:type="spellStart"/>
      <w:r w:rsidRPr="00460EC6">
        <w:rPr>
          <w:rFonts w:ascii="Times New Roman" w:eastAsia="Calibri" w:hAnsi="Times New Roman" w:cs="Times New Roman"/>
          <w:color w:val="000000" w:themeColor="text1"/>
          <w:sz w:val="24"/>
          <w:szCs w:val="24"/>
        </w:rPr>
        <w:t>MoWSA</w:t>
      </w:r>
      <w:proofErr w:type="spellEnd"/>
      <w:r w:rsidRPr="00460EC6">
        <w:rPr>
          <w:rFonts w:ascii="Times New Roman" w:eastAsia="Calibri" w:hAnsi="Times New Roman" w:cs="Times New Roman"/>
          <w:color w:val="000000" w:themeColor="text1"/>
          <w:sz w:val="24"/>
          <w:szCs w:val="24"/>
        </w:rPr>
        <w:t xml:space="preserve"> is mandated to initiate and implement policies and strategies that promote the active participation of these groups in the country’s political, economic, and social activities. This includes devising strategies for mainstreaming their issues in </w:t>
      </w:r>
      <w:r w:rsidRPr="00460EC6">
        <w:rPr>
          <w:rFonts w:ascii="Times New Roman" w:eastAsia="Calibri" w:hAnsi="Times New Roman" w:cs="Times New Roman"/>
          <w:color w:val="000000" w:themeColor="text1"/>
          <w:sz w:val="24"/>
          <w:szCs w:val="24"/>
        </w:rPr>
        <w:lastRenderedPageBreak/>
        <w:t xml:space="preserve">development policies and programs, ensuring their access to social services, including work. </w:t>
      </w:r>
    </w:p>
    <w:p w14:paraId="05080705" w14:textId="693C9F84"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Government has invested heavily in the education sector over the past two decades: increased public-sector investment</w:t>
      </w:r>
      <w:r w:rsidR="006E4D5E" w:rsidRPr="00460EC6">
        <w:rPr>
          <w:rFonts w:ascii="Times New Roman" w:eastAsia="Calibri" w:hAnsi="Times New Roman" w:cs="Times New Roman"/>
          <w:color w:val="000000" w:themeColor="text1"/>
          <w:sz w:val="24"/>
          <w:szCs w:val="24"/>
        </w:rPr>
        <w:t>,</w:t>
      </w:r>
      <w:r w:rsidRPr="00460EC6">
        <w:rPr>
          <w:rFonts w:ascii="Times New Roman" w:eastAsia="Calibri" w:hAnsi="Times New Roman" w:cs="Times New Roman"/>
          <w:color w:val="000000" w:themeColor="text1"/>
          <w:sz w:val="24"/>
          <w:szCs w:val="24"/>
        </w:rPr>
        <w:t xml:space="preserve"> expanded the building of school infrastructure, and the training of teachers.</w:t>
      </w:r>
    </w:p>
    <w:p w14:paraId="20020C62"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Between 2012 and 2024, Ethiopia's Technical and Vocational Education and Training (TVET) sector has undergone significant expansion, reflecting the government's commitment to enhancing vocational education and addressing the country's workforce needs.​</w:t>
      </w:r>
    </w:p>
    <w:p w14:paraId="09A1BC9C"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In the 2010/11 academic year, there were 815 TVET institutions across Ethiopia. By 2013/14, this number had increased to 1,312, comprising both public and private institutions. This growth aligns with Ethiopia's national strategy to enhance access to vocational education and support workforce development. </w:t>
      </w:r>
    </w:p>
    <w:p w14:paraId="1CCD5835" w14:textId="55C08AC8"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As of 2018, the total number of TVET institutions reached 1,672, comprising 670 public, 952 privates, and 50 operated by non-governmental organizations (NGOs). By 2023, the number of TVET institutions further increased to 1,567, with 672 public, 838 private, and 56 NGO-run institutions. This expansion reflects the government's commitment to improving vocational education infrastructure and accessibility.</w:t>
      </w:r>
    </w:p>
    <w:p w14:paraId="0CBDB130"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number of trainers retained in Ethiopia's TVET </w:t>
      </w:r>
      <w:proofErr w:type="spellStart"/>
      <w:r w:rsidRPr="00460EC6">
        <w:rPr>
          <w:rFonts w:ascii="Times New Roman" w:hAnsi="Times New Roman" w:cs="Times New Roman"/>
          <w:color w:val="000000" w:themeColor="text1"/>
          <w:sz w:val="24"/>
          <w:szCs w:val="24"/>
        </w:rPr>
        <w:t>centers</w:t>
      </w:r>
      <w:proofErr w:type="spellEnd"/>
      <w:r w:rsidRPr="00460EC6">
        <w:rPr>
          <w:rFonts w:ascii="Times New Roman" w:hAnsi="Times New Roman" w:cs="Times New Roman"/>
          <w:color w:val="000000" w:themeColor="text1"/>
          <w:sz w:val="24"/>
          <w:szCs w:val="24"/>
        </w:rPr>
        <w:t xml:space="preserve"> has also increased from approximately 238,884 in 2012 to 3,685,862 in 2024</w:t>
      </w:r>
    </w:p>
    <w:p w14:paraId="6443404C"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Additionally, the government has been implementing programs aimed at providing information and raising awareness regarding job creation among the workforce and the general public. In 2024, these initiatives reached more than 12 million people, further underscoring the importance placed on job readiness and economic development. </w:t>
      </w:r>
    </w:p>
    <w:p w14:paraId="030696DA"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overall unemployment rate had a significant decline from 8.1% in 1999 to 4.5% in 2013, indicating an improvement in the job market. However, due to factors such as the COVID-19 pandemic and others, the unemployment rate increased to 8% in 2020/21.  The rural unemployment rate is much lower than the urban unemployment rate in 2021, at 5.2%.</w:t>
      </w:r>
    </w:p>
    <w:p w14:paraId="2ED5EA9C"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male unemployment rate is 5% in 2021, while the female rate stood at 11.7%. Compared to the 1999 figure, the 5% rate indicates an increase in the male rate and a decrease in the female rate, with 4.3% and 12.5%, respectively. The unemployment rate is </w:t>
      </w:r>
      <w:r w:rsidRPr="00460EC6">
        <w:rPr>
          <w:rFonts w:ascii="Times New Roman" w:eastAsia="Calibri" w:hAnsi="Times New Roman" w:cs="Times New Roman"/>
          <w:color w:val="000000" w:themeColor="text1"/>
          <w:sz w:val="24"/>
          <w:szCs w:val="24"/>
        </w:rPr>
        <w:lastRenderedPageBreak/>
        <w:t>high for persons with disability, especially those in urban areas. Persons with disabilities (PWD) are also disproportionately represented in the overall employment landscape, accounting for less than 1% of the total employed population (aged 10 years and above) in 2020/21.</w:t>
      </w:r>
    </w:p>
    <w:p w14:paraId="5F962C1A" w14:textId="11C48A4D"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youth unemployment rate is high, at 11.8%. The youth unemployment rate is higher in urban areas (22.9%) than in rural areas (8.1%). In urban areas, female youth unemployment is disproportionately high, at 28.4%, compared with youth male (11.6%).  However, initiatives such as the </w:t>
      </w:r>
      <w:r w:rsidR="00A36987" w:rsidRPr="00460EC6">
        <w:rPr>
          <w:rFonts w:ascii="Times New Roman" w:eastAsia="Calibri" w:hAnsi="Times New Roman" w:cs="Times New Roman"/>
          <w:color w:val="000000" w:themeColor="text1"/>
          <w:sz w:val="24"/>
          <w:szCs w:val="24"/>
        </w:rPr>
        <w:t>Y</w:t>
      </w:r>
      <w:r w:rsidRPr="00460EC6">
        <w:rPr>
          <w:rFonts w:ascii="Times New Roman" w:eastAsia="Calibri" w:hAnsi="Times New Roman" w:cs="Times New Roman"/>
          <w:color w:val="000000" w:themeColor="text1"/>
          <w:sz w:val="24"/>
          <w:szCs w:val="24"/>
        </w:rPr>
        <w:t xml:space="preserve">outh </w:t>
      </w:r>
      <w:r w:rsidR="00A36987" w:rsidRPr="00460EC6">
        <w:rPr>
          <w:rFonts w:ascii="Times New Roman" w:eastAsia="Calibri" w:hAnsi="Times New Roman" w:cs="Times New Roman"/>
          <w:color w:val="000000" w:themeColor="text1"/>
          <w:sz w:val="24"/>
          <w:szCs w:val="24"/>
        </w:rPr>
        <w:t>R</w:t>
      </w:r>
      <w:r w:rsidRPr="00460EC6">
        <w:rPr>
          <w:rFonts w:ascii="Times New Roman" w:eastAsia="Calibri" w:hAnsi="Times New Roman" w:cs="Times New Roman"/>
          <w:color w:val="000000" w:themeColor="text1"/>
          <w:sz w:val="24"/>
          <w:szCs w:val="24"/>
        </w:rPr>
        <w:t xml:space="preserve">evolving </w:t>
      </w:r>
      <w:r w:rsidR="00A36987" w:rsidRPr="00460EC6">
        <w:rPr>
          <w:rFonts w:ascii="Times New Roman" w:eastAsia="Calibri" w:hAnsi="Times New Roman" w:cs="Times New Roman"/>
          <w:color w:val="000000" w:themeColor="text1"/>
          <w:sz w:val="24"/>
          <w:szCs w:val="24"/>
        </w:rPr>
        <w:t>F</w:t>
      </w:r>
      <w:r w:rsidRPr="00460EC6">
        <w:rPr>
          <w:rFonts w:ascii="Times New Roman" w:eastAsia="Calibri" w:hAnsi="Times New Roman" w:cs="Times New Roman"/>
          <w:color w:val="000000" w:themeColor="text1"/>
          <w:sz w:val="24"/>
          <w:szCs w:val="24"/>
        </w:rPr>
        <w:t>und, National Volunteer Community Service Program, the Rural Job Opportunity Creation Strategy, etc. provide financial and technical assistance to young entrepreneurs. Successive trainings focusing on skill development, digital literacy enhancement, entrepreneurship, community service, and leadership are being provided.</w:t>
      </w:r>
    </w:p>
    <w:p w14:paraId="01D036B3" w14:textId="77777777" w:rsidR="00DD2ED8" w:rsidRDefault="006C2CB1" w:rsidP="00DD2ED8">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DD2ED8">
        <w:rPr>
          <w:rFonts w:ascii="Times New Roman" w:eastAsia="Calibri" w:hAnsi="Times New Roman" w:cs="Times New Roman"/>
          <w:color w:val="000000" w:themeColor="text1"/>
          <w:sz w:val="24"/>
          <w:szCs w:val="24"/>
        </w:rPr>
        <w:t>The employment creation trends by major sectors (Agriculture, Service, and Industry) have shown changes over the reporting periods. In 1999, the total employment created was 24.9 million, with the lion's share, 79.8% being generated by the agriculture sector, while the service and industry sectors share the remaining 14.9% and 5.4% respectively. The total employment had reached to 42.33 million, with the share of employment creation shifting to 64.9% in agriculture, 29.9% in services and 5.2% in industry.</w:t>
      </w:r>
    </w:p>
    <w:p w14:paraId="2B4E5811" w14:textId="434D26A4" w:rsidR="00DE1049" w:rsidRPr="00DD2ED8" w:rsidRDefault="00DE1049" w:rsidP="00DD2ED8">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DD2ED8">
        <w:rPr>
          <w:rFonts w:ascii="Times New Roman" w:eastAsia="Calibri" w:hAnsi="Times New Roman" w:cs="Times New Roman"/>
          <w:color w:val="000000" w:themeColor="text1"/>
          <w:sz w:val="24"/>
          <w:szCs w:val="24"/>
        </w:rPr>
        <w:t>From the total job opportunities created during the reporting period, female workers accounted for 41% of total placements: 35% of them in-country, 65% abroad. Of those placed abroad, 98.8% were women. In the year 2024 alone, 3.937,500 job opportunities were created. The agriculture, service, and industry sectors responsible for this figure contributed respectively, 1,133,761, 1,616,680, and 1,187,059. Out of the total jobs created in 2024, 1,370,917 women have benefited. Also, 2,929,298 among the total number of individuals who benefited from the job created are young persons. 5,095 persons with disabilities have also benefited from the job opportunity created in the same year.</w:t>
      </w:r>
    </w:p>
    <w:p w14:paraId="03842231" w14:textId="12D8862A"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Over the past five years, around 2.7 million women have secured job opportunities in the industry sector. The government has also been providing business development support </w:t>
      </w:r>
      <w:r w:rsidR="00A36987" w:rsidRPr="00460EC6">
        <w:rPr>
          <w:rFonts w:ascii="Times New Roman" w:eastAsia="Calibri" w:hAnsi="Times New Roman" w:cs="Times New Roman"/>
          <w:color w:val="000000" w:themeColor="text1"/>
          <w:sz w:val="24"/>
          <w:szCs w:val="24"/>
        </w:rPr>
        <w:t>to</w:t>
      </w:r>
      <w:r w:rsidRPr="00460EC6">
        <w:rPr>
          <w:rFonts w:ascii="Times New Roman" w:eastAsia="Calibri" w:hAnsi="Times New Roman" w:cs="Times New Roman"/>
          <w:color w:val="000000" w:themeColor="text1"/>
          <w:sz w:val="24"/>
          <w:szCs w:val="24"/>
        </w:rPr>
        <w:t xml:space="preserve"> enhance women’s business skills and empower them to engage in income-generating activities. Around 2.3 million women have received this support in the last five years.</w:t>
      </w:r>
    </w:p>
    <w:p w14:paraId="7F205B15" w14:textId="6D5B0800"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lastRenderedPageBreak/>
        <w:t xml:space="preserve">There have been significant shifts in the gender divide within the workforce, with more opportunities opening for women to participate in traditionally male-dominated occupations, including sport leadership, public transport, and </w:t>
      </w:r>
      <w:proofErr w:type="spellStart"/>
      <w:r w:rsidRPr="00460EC6">
        <w:rPr>
          <w:rFonts w:ascii="Times New Roman" w:eastAsia="Calibri" w:hAnsi="Times New Roman" w:cs="Times New Roman"/>
          <w:color w:val="000000" w:themeColor="text1"/>
          <w:sz w:val="24"/>
          <w:szCs w:val="24"/>
        </w:rPr>
        <w:t>defense</w:t>
      </w:r>
      <w:proofErr w:type="spellEnd"/>
      <w:r w:rsidRPr="00460EC6">
        <w:rPr>
          <w:rFonts w:ascii="Times New Roman" w:eastAsia="Calibri" w:hAnsi="Times New Roman" w:cs="Times New Roman"/>
          <w:color w:val="000000" w:themeColor="text1"/>
          <w:sz w:val="24"/>
          <w:szCs w:val="24"/>
        </w:rPr>
        <w:t xml:space="preserve"> and security institutions. For instance, the Ministry of Transport has made notable strides in challenging long-standing norms by successfully recruiting over 460 female public bus drivers, while previously the sector used to be male-dominated. Specific establishments such as banks, document authentication and registration offices and Ride transport companies have set up specialized branches and services that exclusively </w:t>
      </w:r>
      <w:r w:rsidR="00A36987" w:rsidRPr="00460EC6">
        <w:rPr>
          <w:rFonts w:ascii="Times New Roman" w:eastAsia="Calibri" w:hAnsi="Times New Roman" w:cs="Times New Roman"/>
          <w:color w:val="000000" w:themeColor="text1"/>
          <w:sz w:val="24"/>
          <w:szCs w:val="24"/>
        </w:rPr>
        <w:t>operate by</w:t>
      </w:r>
      <w:r w:rsidRPr="00460EC6">
        <w:rPr>
          <w:rFonts w:ascii="Times New Roman" w:eastAsia="Calibri" w:hAnsi="Times New Roman" w:cs="Times New Roman"/>
          <w:color w:val="000000" w:themeColor="text1"/>
          <w:sz w:val="24"/>
          <w:szCs w:val="24"/>
        </w:rPr>
        <w:t xml:space="preserve"> </w:t>
      </w:r>
      <w:proofErr w:type="gramStart"/>
      <w:r w:rsidRPr="00460EC6">
        <w:rPr>
          <w:rFonts w:ascii="Times New Roman" w:eastAsia="Calibri" w:hAnsi="Times New Roman" w:cs="Times New Roman"/>
          <w:color w:val="000000" w:themeColor="text1"/>
          <w:sz w:val="24"/>
          <w:szCs w:val="24"/>
        </w:rPr>
        <w:t>females</w:t>
      </w:r>
      <w:proofErr w:type="gramEnd"/>
      <w:r w:rsidR="00A36987" w:rsidRPr="00460EC6">
        <w:rPr>
          <w:rFonts w:ascii="Times New Roman" w:eastAsia="Calibri" w:hAnsi="Times New Roman" w:cs="Times New Roman"/>
          <w:color w:val="000000" w:themeColor="text1"/>
          <w:sz w:val="24"/>
          <w:szCs w:val="24"/>
        </w:rPr>
        <w:t xml:space="preserve"> employees</w:t>
      </w:r>
      <w:r w:rsidRPr="00460EC6">
        <w:rPr>
          <w:rFonts w:ascii="Times New Roman" w:eastAsia="Calibri" w:hAnsi="Times New Roman" w:cs="Times New Roman"/>
          <w:color w:val="000000" w:themeColor="text1"/>
          <w:sz w:val="24"/>
          <w:szCs w:val="24"/>
        </w:rPr>
        <w:t xml:space="preserve">. </w:t>
      </w:r>
    </w:p>
    <w:p w14:paraId="1753380E" w14:textId="77777777" w:rsidR="006C2CB1" w:rsidRPr="00460EC6" w:rsidRDefault="00AA780D"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proofErr w:type="spellStart"/>
      <w:r w:rsidRPr="00460EC6">
        <w:rPr>
          <w:rFonts w:ascii="Times New Roman" w:eastAsia="Calibri" w:hAnsi="Times New Roman" w:cs="Times New Roman"/>
          <w:color w:val="000000" w:themeColor="text1"/>
          <w:sz w:val="24"/>
          <w:szCs w:val="24"/>
        </w:rPr>
        <w:t>MoLS</w:t>
      </w:r>
      <w:proofErr w:type="spellEnd"/>
      <w:r w:rsidRPr="00460EC6">
        <w:rPr>
          <w:rFonts w:ascii="Times New Roman" w:eastAsia="Calibri" w:hAnsi="Times New Roman" w:cs="Times New Roman"/>
          <w:color w:val="000000" w:themeColor="text1"/>
          <w:sz w:val="24"/>
          <w:szCs w:val="24"/>
        </w:rPr>
        <w:t xml:space="preserve"> </w:t>
      </w:r>
      <w:r w:rsidR="006C2CB1" w:rsidRPr="00460EC6">
        <w:rPr>
          <w:rFonts w:ascii="Times New Roman" w:eastAsia="Calibri" w:hAnsi="Times New Roman" w:cs="Times New Roman"/>
          <w:color w:val="000000" w:themeColor="text1"/>
          <w:sz w:val="24"/>
          <w:szCs w:val="24"/>
        </w:rPr>
        <w:t>was established with the prime responsibility of improving the employment profile of the country. Its responsibility ranges from initiating policies, strategies, and laws with respect to labour, employment and skills to establishing a system for the expansion of efficient, accessible and equitable job opportunities and employment.</w:t>
      </w:r>
    </w:p>
    <w:p w14:paraId="6E9A3BA3"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Jobs Creation Commission was also established under the Office of the Prime Minister, with the primary mission of driving job creation through innovation and coordinated efforts across various sectors. Its major responsibilities include coordinating efforts of job creation in the public and private sectors; adopting policies that favour job creation, private sector development, and addressing the skills mismatch in the labour market; implementing sector-specific job strategies, designing and implementing job creation innovative projects.</w:t>
      </w:r>
    </w:p>
    <w:p w14:paraId="2DEED227" w14:textId="77777777" w:rsidR="006C2CB1" w:rsidRPr="00460EC6"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proofErr w:type="spellStart"/>
      <w:r w:rsidRPr="00460EC6">
        <w:rPr>
          <w:rFonts w:ascii="Times New Roman" w:eastAsia="Calibri" w:hAnsi="Times New Roman" w:cs="Times New Roman"/>
          <w:color w:val="000000" w:themeColor="text1"/>
          <w:sz w:val="24"/>
          <w:szCs w:val="24"/>
        </w:rPr>
        <w:t>MoWSA</w:t>
      </w:r>
      <w:proofErr w:type="spellEnd"/>
      <w:r w:rsidRPr="00460EC6">
        <w:rPr>
          <w:rFonts w:ascii="Times New Roman" w:eastAsia="Calibri" w:hAnsi="Times New Roman" w:cs="Times New Roman"/>
          <w:color w:val="000000" w:themeColor="text1"/>
          <w:sz w:val="24"/>
          <w:szCs w:val="24"/>
        </w:rPr>
        <w:t xml:space="preserve"> is responsible for ensuring that opportunities are created for the vulnerable segments of society, such as women, youth, and people with disabilities. Among the initiatives it procures, empowerment programs, social protection programs, and support for micro and small enterprises are notable.</w:t>
      </w:r>
    </w:p>
    <w:p w14:paraId="3E00F869" w14:textId="6CFF7967" w:rsidR="006C2CB1" w:rsidRDefault="006C2CB1" w:rsidP="00526D16">
      <w:pPr>
        <w:pStyle w:val="ListParagraph"/>
        <w:numPr>
          <w:ilvl w:val="0"/>
          <w:numId w:val="3"/>
        </w:numPr>
        <w:spacing w:after="16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Ethiopian Enterprises Development (EDE) established by the Council of Ministers of Ethiopia Regulation No. 526/2022 on November 28/2022</w:t>
      </w:r>
      <w:r w:rsidR="00B82D49"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rPr>
        <w:t xml:space="preserve">is playing a crucial role in creating job opportunities through micro and small enterprises (MSEs). The major objective of EDE is to encourage, coordinate and assist institutions engaged in service provision to the development and expansion of MSEs and small enterprises in the country at large. In order to promote </w:t>
      </w:r>
      <w:r w:rsidR="00B82D49" w:rsidRPr="00460EC6">
        <w:rPr>
          <w:rFonts w:ascii="Times New Roman" w:eastAsia="Calibri" w:hAnsi="Times New Roman" w:cs="Times New Roman"/>
          <w:color w:val="000000" w:themeColor="text1"/>
          <w:sz w:val="24"/>
          <w:szCs w:val="24"/>
        </w:rPr>
        <w:t>MSEs</w:t>
      </w:r>
      <w:r w:rsidRPr="00460EC6">
        <w:rPr>
          <w:rFonts w:ascii="Times New Roman" w:eastAsia="Calibri" w:hAnsi="Times New Roman" w:cs="Times New Roman"/>
          <w:color w:val="000000" w:themeColor="text1"/>
          <w:sz w:val="24"/>
          <w:szCs w:val="24"/>
        </w:rPr>
        <w:t>, the agency has established a coordinated working relationship with regional government organs, regional agencies responsible for MSE development, CSOs and the private sector.</w:t>
      </w:r>
    </w:p>
    <w:p w14:paraId="14E22DA5" w14:textId="77777777" w:rsidR="00C87F70" w:rsidRPr="00C87F70" w:rsidRDefault="00C87F70" w:rsidP="00C87F70">
      <w:pPr>
        <w:spacing w:after="160" w:line="360" w:lineRule="auto"/>
        <w:jc w:val="both"/>
        <w:rPr>
          <w:rFonts w:ascii="Times New Roman" w:eastAsia="Calibri" w:hAnsi="Times New Roman" w:cs="Times New Roman"/>
          <w:color w:val="000000" w:themeColor="text1"/>
          <w:sz w:val="24"/>
          <w:szCs w:val="24"/>
        </w:rPr>
      </w:pPr>
    </w:p>
    <w:p w14:paraId="20F209B2" w14:textId="744C15FE" w:rsidR="00890288" w:rsidRPr="00460EC6" w:rsidRDefault="00890288" w:rsidP="00526D16">
      <w:pPr>
        <w:spacing w:line="360" w:lineRule="auto"/>
        <w:jc w:val="both"/>
        <w:rPr>
          <w:rFonts w:ascii="Times New Roman" w:eastAsia="Calibri" w:hAnsi="Times New Roman" w:cs="Times New Roman"/>
          <w:b/>
          <w:color w:val="000000" w:themeColor="text1"/>
          <w:sz w:val="24"/>
          <w:szCs w:val="24"/>
        </w:rPr>
      </w:pPr>
      <w:r w:rsidRPr="00460EC6">
        <w:rPr>
          <w:rFonts w:ascii="Times New Roman" w:eastAsia="Calibri" w:hAnsi="Times New Roman" w:cs="Times New Roman"/>
          <w:b/>
          <w:color w:val="000000" w:themeColor="text1"/>
          <w:sz w:val="24"/>
          <w:szCs w:val="24"/>
        </w:rPr>
        <w:lastRenderedPageBreak/>
        <w:t xml:space="preserve">Article 7: </w:t>
      </w:r>
      <w:r w:rsidRPr="00460EC6">
        <w:rPr>
          <w:rFonts w:ascii="Times New Roman" w:eastAsia="Calibri" w:hAnsi="Times New Roman" w:cs="Times New Roman"/>
          <w:b/>
          <w:color w:val="000000" w:themeColor="text1"/>
          <w:sz w:val="24"/>
          <w:szCs w:val="24"/>
          <w:u w:val="single"/>
        </w:rPr>
        <w:t>The Right to Just and Favourable Work Conditions</w:t>
      </w:r>
      <w:r w:rsidR="00C87F70">
        <w:rPr>
          <w:rFonts w:ascii="Times New Roman" w:eastAsia="Calibri" w:hAnsi="Times New Roman" w:cs="Times New Roman"/>
          <w:b/>
          <w:color w:val="000000" w:themeColor="text1"/>
          <w:sz w:val="24"/>
          <w:szCs w:val="24"/>
          <w:u w:val="single"/>
        </w:rPr>
        <w:t>.</w:t>
      </w:r>
    </w:p>
    <w:p w14:paraId="006AADE9"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Ethiopia has taken significant steps to ensure just and favourable working conditions, aligning with Article 7 of the ICESCR. Key measures include wage regulation, social security expansion, affirmative action, workplace safety improvements, and enhanced labour rights protections. </w:t>
      </w:r>
    </w:p>
    <w:p w14:paraId="179E789F"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through Proclamation No. 1156/2019 and the Special Economic Zone Proclamation No. 1322/2024, established the Wage Board, consisting of representatives from the government, employees, trade unions, and stakeholders, with a mandate to periodically review minimum wages, considering economic conditions and living standards. The draft regulation to define the power and duty of the Wage Board has been prepared. </w:t>
      </w:r>
    </w:p>
    <w:p w14:paraId="35862F59"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iCs/>
          <w:color w:val="000000" w:themeColor="text1"/>
          <w:sz w:val="24"/>
          <w:szCs w:val="24"/>
        </w:rPr>
        <w:t xml:space="preserve">Concerning remuneration, the </w:t>
      </w:r>
      <w:proofErr w:type="spellStart"/>
      <w:r w:rsidRPr="00460EC6">
        <w:rPr>
          <w:rFonts w:ascii="Times New Roman" w:hAnsi="Times New Roman" w:cs="Times New Roman"/>
          <w:iCs/>
          <w:color w:val="000000" w:themeColor="text1"/>
          <w:sz w:val="24"/>
          <w:szCs w:val="24"/>
        </w:rPr>
        <w:t>GoE</w:t>
      </w:r>
      <w:proofErr w:type="spellEnd"/>
      <w:r w:rsidRPr="00460EC6">
        <w:rPr>
          <w:rFonts w:ascii="Times New Roman" w:hAnsi="Times New Roman" w:cs="Times New Roman"/>
          <w:iCs/>
          <w:color w:val="000000" w:themeColor="text1"/>
          <w:sz w:val="24"/>
          <w:szCs w:val="24"/>
        </w:rPr>
        <w:t xml:space="preserve"> has been collaborating with stakeholders to enhance working conditions for employees in both the public and private sectors. Efforts have been made to ensure employees in the garment industry receive adequate wages and comprehensive benefit packages, including transportation, meals at the workplace, housing, and bonuses. Labour issues have also been identified as a key thematic area in the ongoing development of the Ethiopian National Human Rights Action Plan.   </w:t>
      </w:r>
    </w:p>
    <w:p w14:paraId="77D34886" w14:textId="77777777" w:rsidR="00890288" w:rsidRPr="00460EC6" w:rsidRDefault="00890288" w:rsidP="00526D16">
      <w:pPr>
        <w:pStyle w:val="ListParagraph"/>
        <w:numPr>
          <w:ilvl w:val="0"/>
          <w:numId w:val="3"/>
        </w:numPr>
        <w:tabs>
          <w:tab w:val="left" w:pos="5670"/>
        </w:tabs>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FDRE Constitution and labour laws uphold the principle of "Equal Pay for Equal Work," ensuring that women and men receive equal remuneration for work of equal value. Both the labour and civil service proclamations explicitly prohibit wage discrimination based on gender. </w:t>
      </w:r>
    </w:p>
    <w:p w14:paraId="7F924771"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Efforts are underway to formalize informal businesses by extending social security mechanisms, simplifying business registration, and ensuring compliance with minimum wage.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taken steps to improve working conditions in the informal sector through the Women and Youth in Green Jobs Programme, which addresses barriers to economic participation. Additionally, the CBHI scheme aims to cover 80% of informal sector workers by 2025. Moreover, the government is also in the process of drafting a Domestic Workers’ Proclamation. </w:t>
      </w:r>
    </w:p>
    <w:p w14:paraId="29CBC98A"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MoLS</w:t>
      </w:r>
      <w:proofErr w:type="spellEnd"/>
      <w:r w:rsidRPr="00460EC6">
        <w:rPr>
          <w:rFonts w:ascii="Times New Roman" w:hAnsi="Times New Roman" w:cs="Times New Roman"/>
          <w:color w:val="000000" w:themeColor="text1"/>
          <w:sz w:val="24"/>
          <w:szCs w:val="24"/>
        </w:rPr>
        <w:t xml:space="preserve"> has developed a system, known as </w:t>
      </w:r>
      <w:r w:rsidRPr="00460EC6">
        <w:rPr>
          <w:rFonts w:ascii="Times New Roman" w:hAnsi="Times New Roman" w:cs="Times New Roman"/>
          <w:color w:val="000000" w:themeColor="text1"/>
          <w:spacing w:val="11"/>
          <w:sz w:val="24"/>
          <w:szCs w:val="24"/>
          <w:shd w:val="clear" w:color="auto" w:fill="FFFFFF"/>
        </w:rPr>
        <w:t xml:space="preserve">the Ethiopian Labour Market Information System (E-LMIS), </w:t>
      </w:r>
      <w:r w:rsidRPr="00460EC6">
        <w:rPr>
          <w:rFonts w:ascii="Times New Roman" w:hAnsi="Times New Roman" w:cs="Times New Roman"/>
          <w:color w:val="000000" w:themeColor="text1"/>
          <w:sz w:val="24"/>
          <w:szCs w:val="24"/>
        </w:rPr>
        <w:t xml:space="preserve">for monitoring trends of employment, including informal sector employment. The system helps to oversee data collection and labour market analysis, improve the implementation of job creation efforts, and </w:t>
      </w:r>
      <w:r w:rsidRPr="00460EC6">
        <w:rPr>
          <w:rFonts w:ascii="Times New Roman" w:hAnsi="Times New Roman" w:cs="Times New Roman"/>
          <w:color w:val="000000" w:themeColor="text1"/>
          <w:spacing w:val="11"/>
          <w:sz w:val="24"/>
          <w:szCs w:val="24"/>
          <w:shd w:val="clear" w:color="auto" w:fill="FFFFFF"/>
        </w:rPr>
        <w:t xml:space="preserve">connects skilled </w:t>
      </w:r>
      <w:r w:rsidRPr="00460EC6">
        <w:rPr>
          <w:rFonts w:ascii="Times New Roman" w:hAnsi="Times New Roman" w:cs="Times New Roman"/>
          <w:color w:val="000000" w:themeColor="text1"/>
          <w:spacing w:val="11"/>
          <w:sz w:val="24"/>
          <w:szCs w:val="24"/>
          <w:shd w:val="clear" w:color="auto" w:fill="FFFFFF"/>
        </w:rPr>
        <w:lastRenderedPageBreak/>
        <w:t xml:space="preserve">Ethiopian workers with domestic and global employment opportunities, and fosters economic growth and development. </w:t>
      </w:r>
    </w:p>
    <w:p w14:paraId="09FF86FB"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The new Federal Civil Servants Proclamation No. 1353/2024 replaces Proclamation No. 1064/2017, providing a modern legal framework for regulating employment conditions, rights, and duties of federal civil servants in Ethiopia. It promotes merit-based recruitment, fair promotion, performance standards, and ethical conduct. The law ensures equal opportunities through affirmative measures for women, persons with disabilities, and marginalized groups, while also updating rules on discipline, appeals, leave, pay, pension, and retirement.</w:t>
      </w:r>
    </w:p>
    <w:p w14:paraId="2AEA087A"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Through these reforms, the proclamation seeks to enhance the effectiveness and responsiveness of public administration, align civil service practices with constitutional and human rights principles, and support the broader goals of good governance and sustainable development.</w:t>
      </w:r>
    </w:p>
    <w:p w14:paraId="6F53FA1F" w14:textId="06425192"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The Labour</w:t>
      </w:r>
      <w:r w:rsidR="0092461D" w:rsidRPr="00460EC6">
        <w:rPr>
          <w:rFonts w:ascii="Times New Roman" w:hAnsi="Times New Roman" w:cs="Times New Roman"/>
          <w:color w:val="000000" w:themeColor="text1"/>
          <w:sz w:val="24"/>
          <w:szCs w:val="24"/>
        </w:rPr>
        <w:t xml:space="preserve"> and Federal Civil Servants</w:t>
      </w:r>
      <w:r w:rsidRPr="00460EC6">
        <w:rPr>
          <w:rFonts w:ascii="Times New Roman" w:hAnsi="Times New Roman" w:cs="Times New Roman"/>
          <w:color w:val="000000" w:themeColor="text1"/>
          <w:sz w:val="24"/>
          <w:szCs w:val="24"/>
        </w:rPr>
        <w:t xml:space="preserve"> Proclamation</w:t>
      </w:r>
      <w:r w:rsidR="0092461D" w:rsidRPr="00460EC6">
        <w:rPr>
          <w:rFonts w:ascii="Times New Roman" w:hAnsi="Times New Roman" w:cs="Times New Roman"/>
          <w:color w:val="000000" w:themeColor="text1"/>
          <w:sz w:val="24"/>
          <w:szCs w:val="24"/>
        </w:rPr>
        <w:t xml:space="preserve">s </w:t>
      </w:r>
      <w:r w:rsidRPr="00460EC6">
        <w:rPr>
          <w:rFonts w:ascii="Times New Roman" w:hAnsi="Times New Roman" w:cs="Times New Roman"/>
          <w:color w:val="000000" w:themeColor="text1"/>
          <w:sz w:val="24"/>
          <w:szCs w:val="24"/>
        </w:rPr>
        <w:t>provide that in cases where a woman and a man achieve equal results in recruitment, promotion, or other employment-related benefits, priority shall be given to the woman as a measure to promote gender equality.</w:t>
      </w:r>
    </w:p>
    <w:p w14:paraId="03AF743F" w14:textId="74A3721B"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r w:rsidR="00B82D49" w:rsidRPr="00460EC6">
        <w:rPr>
          <w:rFonts w:ascii="Times New Roman" w:hAnsi="Times New Roman" w:cs="Times New Roman"/>
          <w:color w:val="000000" w:themeColor="text1"/>
          <w:sz w:val="24"/>
          <w:szCs w:val="24"/>
        </w:rPr>
        <w:t>Federal Civil Servants Proclamation</w:t>
      </w:r>
      <w:r w:rsidRPr="00460EC6">
        <w:rPr>
          <w:rFonts w:ascii="Times New Roman" w:hAnsi="Times New Roman" w:cs="Times New Roman"/>
          <w:color w:val="000000" w:themeColor="text1"/>
          <w:sz w:val="24"/>
          <w:szCs w:val="24"/>
        </w:rPr>
        <w:t xml:space="preserve"> obliges government institutions to take affirmative actions that enable female civil servants to improve their competence and assume decision-making positions. Moreover, any government institution may not discharge a female civil servant by way of retrenchment during her pregnancy or within four months after delivery. Government institutions are also required to provide day-care facilities for working mothers. </w:t>
      </w:r>
    </w:p>
    <w:p w14:paraId="7D0B4776" w14:textId="3D5D7D34"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Moreover, one of the six core objectives outlined under the Ten Years NDP is to create decent work, aiming at improving living standards, increasing income levels and wealth accumulation, and universal access to basic services.</w:t>
      </w:r>
    </w:p>
    <w:p w14:paraId="34C16B03"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Labour Proclamation No.1156/2019 extends existing maternity leave from 90 to 120 consecutive days. Furthermore, the law introduced, for the first time, paternity leave of three consecutive days for male employees. This same law has also increased employees’ annual leave days from 14 working days in the first year of service to 16 working days. </w:t>
      </w:r>
    </w:p>
    <w:p w14:paraId="7B33105A" w14:textId="23A9FC61"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According to Proclamation No. 1353/2024, a pregnant civil servant is entitled to a period of 30 consecutive days of prenatal leave and a period of 90 consecutive days after her </w:t>
      </w:r>
      <w:r w:rsidRPr="00460EC6">
        <w:rPr>
          <w:rFonts w:ascii="Times New Roman" w:hAnsi="Times New Roman" w:cs="Times New Roman"/>
          <w:color w:val="000000" w:themeColor="text1"/>
          <w:sz w:val="24"/>
          <w:szCs w:val="24"/>
        </w:rPr>
        <w:lastRenderedPageBreak/>
        <w:t xml:space="preserve">confinement, in total 120 days of maternity leave with pay which was in total 90 days in the previous proclamation. The same law, when confirmed by a medical certificate, entitles every female civil servant to </w:t>
      </w:r>
      <w:r w:rsidR="00922BD9" w:rsidRPr="00460EC6">
        <w:rPr>
          <w:rFonts w:ascii="Times New Roman" w:hAnsi="Times New Roman" w:cs="Times New Roman"/>
          <w:color w:val="000000" w:themeColor="text1"/>
          <w:sz w:val="24"/>
          <w:szCs w:val="24"/>
        </w:rPr>
        <w:t xml:space="preserve">a </w:t>
      </w:r>
      <w:r w:rsidRPr="00460EC6">
        <w:rPr>
          <w:rFonts w:ascii="Times New Roman" w:hAnsi="Times New Roman" w:cs="Times New Roman"/>
          <w:color w:val="000000" w:themeColor="text1"/>
          <w:sz w:val="24"/>
          <w:szCs w:val="24"/>
        </w:rPr>
        <w:t xml:space="preserve">leave with pay for the time spent in the follow-up of medical treatment of her child under the age of one year. Likewise, any female civil servant who encounters a miscarriage is entitled to leave with pay. Any male civil servant is also entitled to a paternity leave with pay for 10 working days at the time of his wife's delivery. </w:t>
      </w:r>
    </w:p>
    <w:p w14:paraId="71074AB9"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Ethiopian labour law guarantees workers at least 24 uninterrupted hours of weekly rest. Workers are also entitled to various types of leave, including annual leave, sick leave, and union leave. Any agreement that waives an employee's right to annual leave is considered void.</w:t>
      </w:r>
    </w:p>
    <w:p w14:paraId="3FCA8921" w14:textId="77777777"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labour law acknowledges the right to leisure by enforcing limits on working hours, requiring employers to provide reasonable rest breaks, and prohibiting excessive work demands. Normal working hours in Ethiopia are set at a maximum of 48 hours per week. Overtime is capped at 4 hours per day and 12 hours per week, with additional pay. </w:t>
      </w:r>
    </w:p>
    <w:p w14:paraId="57FB7C72" w14:textId="4B43C87D" w:rsidR="00890288" w:rsidRPr="00460EC6" w:rsidRDefault="00890288" w:rsidP="00526D16">
      <w:pPr>
        <w:pStyle w:val="ListParagraph"/>
        <w:numPr>
          <w:ilvl w:val="0"/>
          <w:numId w:val="3"/>
        </w:numPr>
        <w:spacing w:after="0" w:line="360" w:lineRule="auto"/>
        <w:jc w:val="both"/>
        <w:rPr>
          <w:rFonts w:ascii="Times New Roman" w:hAnsi="Times New Roman" w:cs="Times New Roman"/>
          <w:color w:val="000000" w:themeColor="text1"/>
          <w:sz w:val="24"/>
          <w:szCs w:val="24"/>
        </w:rPr>
      </w:pPr>
      <w:proofErr w:type="spellStart"/>
      <w:r w:rsidRPr="00460EC6">
        <w:rPr>
          <w:rFonts w:ascii="Times New Roman" w:hAnsi="Times New Roman" w:cs="Times New Roman"/>
          <w:color w:val="000000" w:themeColor="text1"/>
          <w:sz w:val="24"/>
          <w:szCs w:val="24"/>
        </w:rPr>
        <w:t>MoLS</w:t>
      </w:r>
      <w:proofErr w:type="spellEnd"/>
      <w:r w:rsidRPr="00460EC6">
        <w:rPr>
          <w:rFonts w:ascii="Times New Roman" w:hAnsi="Times New Roman" w:cs="Times New Roman"/>
          <w:color w:val="000000" w:themeColor="text1"/>
          <w:sz w:val="24"/>
          <w:szCs w:val="24"/>
        </w:rPr>
        <w:t xml:space="preserve"> and the regional labour and social affairs bureaus carry out unannounced labour inspections and enforce corrective actions for violations of labour rights. Between 2022-2025,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taken actions against 60 businesses to correct irregularities on occupational health and safety.</w:t>
      </w:r>
    </w:p>
    <w:p w14:paraId="65E209DD" w14:textId="25F4A1AB" w:rsidR="00890288" w:rsidRPr="00460EC6" w:rsidRDefault="00890288" w:rsidP="00526D16">
      <w:pPr>
        <w:pStyle w:val="Heading1"/>
        <w:spacing w:line="360" w:lineRule="auto"/>
        <w:jc w:val="both"/>
        <w:rPr>
          <w:rFonts w:ascii="Times New Roman" w:hAnsi="Times New Roman" w:cs="Times New Roman"/>
          <w:b/>
          <w:bCs/>
          <w:color w:val="000000" w:themeColor="text1"/>
          <w:sz w:val="24"/>
          <w:szCs w:val="24"/>
          <w:u w:val="single"/>
        </w:rPr>
      </w:pPr>
      <w:r w:rsidRPr="00460EC6">
        <w:rPr>
          <w:rFonts w:ascii="Times New Roman" w:hAnsi="Times New Roman" w:cs="Times New Roman"/>
          <w:b/>
          <w:bCs/>
          <w:color w:val="000000" w:themeColor="text1"/>
          <w:sz w:val="24"/>
          <w:szCs w:val="24"/>
        </w:rPr>
        <w:t xml:space="preserve">Article 8: </w:t>
      </w:r>
      <w:r w:rsidRPr="00460EC6">
        <w:rPr>
          <w:rFonts w:ascii="Times New Roman" w:hAnsi="Times New Roman" w:cs="Times New Roman"/>
          <w:b/>
          <w:bCs/>
          <w:color w:val="000000" w:themeColor="text1"/>
          <w:sz w:val="24"/>
          <w:szCs w:val="24"/>
          <w:u w:val="single"/>
        </w:rPr>
        <w:t>The Right to Form and Join Trade Unions</w:t>
      </w:r>
      <w:r w:rsidR="00C87F70">
        <w:rPr>
          <w:rFonts w:ascii="Times New Roman" w:hAnsi="Times New Roman" w:cs="Times New Roman"/>
          <w:b/>
          <w:bCs/>
          <w:color w:val="000000" w:themeColor="text1"/>
          <w:sz w:val="24"/>
          <w:szCs w:val="24"/>
          <w:u w:val="single"/>
        </w:rPr>
        <w:t>.</w:t>
      </w:r>
    </w:p>
    <w:p w14:paraId="2BA14511" w14:textId="77777777" w:rsidR="00890288" w:rsidRPr="00460EC6" w:rsidRDefault="00890288" w:rsidP="00526D16">
      <w:pPr>
        <w:pStyle w:val="ListBullet"/>
        <w:numPr>
          <w:ilvl w:val="0"/>
          <w:numId w:val="3"/>
        </w:numPr>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Ethiopia, the right to form and join a trade union is constitutionally guaranteed right for factory and service workers, farm </w:t>
      </w:r>
      <w:proofErr w:type="spellStart"/>
      <w:r w:rsidRPr="00460EC6">
        <w:rPr>
          <w:rFonts w:ascii="Times New Roman" w:hAnsi="Times New Roman" w:cs="Times New Roman"/>
          <w:color w:val="000000" w:themeColor="text1"/>
          <w:sz w:val="24"/>
          <w:szCs w:val="24"/>
        </w:rPr>
        <w:t>labourers</w:t>
      </w:r>
      <w:proofErr w:type="spellEnd"/>
      <w:r w:rsidRPr="00460EC6">
        <w:rPr>
          <w:rFonts w:ascii="Times New Roman" w:hAnsi="Times New Roman" w:cs="Times New Roman"/>
          <w:color w:val="000000" w:themeColor="text1"/>
          <w:sz w:val="24"/>
          <w:szCs w:val="24"/>
        </w:rPr>
        <w:t xml:space="preserve">, other rural workers, and government employees, contingent upon the compatibility of their job responsibilities and their status below a certain level of responsibility. </w:t>
      </w:r>
    </w:p>
    <w:p w14:paraId="64E37896" w14:textId="77777777" w:rsidR="00A70474" w:rsidRPr="00460EC6" w:rsidRDefault="00890288" w:rsidP="00526D16">
      <w:pPr>
        <w:pStyle w:val="ListBullet"/>
        <w:numPr>
          <w:ilvl w:val="0"/>
          <w:numId w:val="3"/>
        </w:numPr>
        <w:spacing w:line="360" w:lineRule="auto"/>
        <w:jc w:val="both"/>
        <w:rPr>
          <w:rFonts w:ascii="Times New Roman" w:hAnsi="Times New Roman" w:cs="Times New Roman"/>
          <w:color w:val="000000" w:themeColor="text1"/>
          <w:sz w:val="24"/>
          <w:szCs w:val="24"/>
        </w:rPr>
      </w:pPr>
      <w:r w:rsidRPr="00460EC6">
        <w:rPr>
          <w:rStyle w:val="cf01"/>
          <w:rFonts w:ascii="Times New Roman" w:hAnsi="Times New Roman" w:cs="Times New Roman"/>
          <w:color w:val="000000" w:themeColor="text1"/>
          <w:sz w:val="24"/>
          <w:szCs w:val="24"/>
        </w:rPr>
        <w:t xml:space="preserve">The </w:t>
      </w:r>
      <w:proofErr w:type="spellStart"/>
      <w:r w:rsidRPr="00460EC6">
        <w:rPr>
          <w:rStyle w:val="cf01"/>
          <w:rFonts w:ascii="Times New Roman" w:hAnsi="Times New Roman" w:cs="Times New Roman"/>
          <w:color w:val="000000" w:themeColor="text1"/>
          <w:sz w:val="24"/>
          <w:szCs w:val="24"/>
        </w:rPr>
        <w:t>GoE</w:t>
      </w:r>
      <w:proofErr w:type="spellEnd"/>
      <w:r w:rsidRPr="00460EC6">
        <w:rPr>
          <w:rStyle w:val="cf01"/>
          <w:rFonts w:ascii="Times New Roman" w:hAnsi="Times New Roman" w:cs="Times New Roman"/>
          <w:color w:val="000000" w:themeColor="text1"/>
          <w:sz w:val="24"/>
          <w:szCs w:val="24"/>
        </w:rPr>
        <w:t xml:space="preserve"> has shown commitment to broad reforms, including legal and judicial measures, to advance good governance and fundamental rights such as trade union rights. Notably, the restrictive Charities and Societies Proclamation No. 621/2009 was repealed and replaced by Proclamation No. 1113/2019, which upholds freedom of association.</w:t>
      </w:r>
    </w:p>
    <w:p w14:paraId="0596036A" w14:textId="77777777" w:rsidR="00890288" w:rsidRPr="00460EC6" w:rsidRDefault="00890288" w:rsidP="00526D16">
      <w:pPr>
        <w:pStyle w:val="ListBullet"/>
        <w:numPr>
          <w:ilvl w:val="0"/>
          <w:numId w:val="3"/>
        </w:numPr>
        <w:tabs>
          <w:tab w:val="left" w:pos="810"/>
          <w:tab w:val="left" w:pos="990"/>
        </w:tabs>
        <w:spacing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2019, the Ethiopian Government amended its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laws to align them with ILO Convention. The proclamation recognizes the right of workers in private enterprises to </w:t>
      </w:r>
      <w:r w:rsidRPr="00460EC6">
        <w:rPr>
          <w:rFonts w:ascii="Times New Roman" w:hAnsi="Times New Roman" w:cs="Times New Roman"/>
          <w:color w:val="000000" w:themeColor="text1"/>
          <w:sz w:val="24"/>
          <w:szCs w:val="24"/>
        </w:rPr>
        <w:lastRenderedPageBreak/>
        <w:t xml:space="preserve">form and join trade unions, and the right of employers to establish and join employers' associations, as well as to actively participate therein. </w:t>
      </w:r>
    </w:p>
    <w:p w14:paraId="670DA2B7"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 trade union can be formed in an organization where there are ten or more workers, provided that the union has at least ten members. Workers engaged in similar activities at separate organizations with fewer than ten workers are allowed to establish a general trade union, as long as their union also has a minimum of ten members. </w:t>
      </w:r>
    </w:p>
    <w:p w14:paraId="112842F1"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government bodies shall, upon conducting a thorough review of submitted documentation, issue a certificate of registration within fifteen days of receiving a complete application. If it fails to communicate its decision within this designated timeframe, the union shall be considered registered.   </w:t>
      </w:r>
    </w:p>
    <w:p w14:paraId="509CBFB6" w14:textId="026F468B"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There are no restrictions imposed on trade unions that would inhibit their ability to pursue their legitimate objectives. However, trade unions are prohibited from engaging in activities that are contrary to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law or that conflict with their stated purposes and constitutive documents. </w:t>
      </w:r>
    </w:p>
    <w:p w14:paraId="287390BF"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Trade unions are permitted to establish federations collectively, and these federations may further organize into confederations. Any federation or confederation of trade unions may also affiliate with international trade union organizations. </w:t>
      </w:r>
    </w:p>
    <w:p w14:paraId="7484AAE0"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As of January 2025, Ethiopia has one employee confederation, nine federations, and 2,303 trade unions, as well as 2,508 basic employers’ associations, with a total membership of 1,048,000, comprised of 574,373 males and 473,627 females. </w:t>
      </w:r>
    </w:p>
    <w:p w14:paraId="209C5C1F" w14:textId="2D27D7F1"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Government has implemented various measures to encourage free collective bargaining. Educational seminars have been organized to enhance awareness among workers and employers regarding the significance of collective agreements and to elucidate the bargaining processes. Furthermore, the Government assumes a mediating role in addressing disputes arising from collective bargaining. Disagreements in this context may be submitted to a </w:t>
      </w:r>
      <w:proofErr w:type="spellStart"/>
      <w:r w:rsidR="00922BD9" w:rsidRPr="00460EC6">
        <w:rPr>
          <w:rFonts w:ascii="Times New Roman" w:hAnsi="Times New Roman" w:cs="Times New Roman"/>
          <w:color w:val="000000" w:themeColor="text1"/>
          <w:sz w:val="24"/>
          <w:szCs w:val="24"/>
        </w:rPr>
        <w:t>L</w:t>
      </w:r>
      <w:r w:rsidRPr="00460EC6">
        <w:rPr>
          <w:rFonts w:ascii="Times New Roman" w:hAnsi="Times New Roman" w:cs="Times New Roman"/>
          <w:color w:val="000000" w:themeColor="text1"/>
          <w:sz w:val="24"/>
          <w:szCs w:val="24"/>
        </w:rPr>
        <w:t>abour</w:t>
      </w:r>
      <w:proofErr w:type="spellEnd"/>
      <w:r w:rsidRPr="00460EC6">
        <w:rPr>
          <w:rFonts w:ascii="Times New Roman" w:hAnsi="Times New Roman" w:cs="Times New Roman"/>
          <w:color w:val="000000" w:themeColor="text1"/>
          <w:sz w:val="24"/>
          <w:szCs w:val="24"/>
        </w:rPr>
        <w:t xml:space="preserve"> </w:t>
      </w:r>
      <w:r w:rsidR="00922BD9" w:rsidRPr="00460EC6">
        <w:rPr>
          <w:rFonts w:ascii="Times New Roman" w:hAnsi="Times New Roman" w:cs="Times New Roman"/>
          <w:color w:val="000000" w:themeColor="text1"/>
          <w:sz w:val="24"/>
          <w:szCs w:val="24"/>
        </w:rPr>
        <w:t>D</w:t>
      </w:r>
      <w:r w:rsidRPr="00460EC6">
        <w:rPr>
          <w:rFonts w:ascii="Times New Roman" w:hAnsi="Times New Roman" w:cs="Times New Roman"/>
          <w:color w:val="000000" w:themeColor="text1"/>
          <w:sz w:val="24"/>
          <w:szCs w:val="24"/>
        </w:rPr>
        <w:t xml:space="preserve">ispute </w:t>
      </w:r>
      <w:r w:rsidR="00922BD9" w:rsidRPr="00460EC6">
        <w:rPr>
          <w:rFonts w:ascii="Times New Roman" w:hAnsi="Times New Roman" w:cs="Times New Roman"/>
          <w:color w:val="000000" w:themeColor="text1"/>
          <w:sz w:val="24"/>
          <w:szCs w:val="24"/>
        </w:rPr>
        <w:t>S</w:t>
      </w:r>
      <w:r w:rsidRPr="00460EC6">
        <w:rPr>
          <w:rFonts w:ascii="Times New Roman" w:hAnsi="Times New Roman" w:cs="Times New Roman"/>
          <w:color w:val="000000" w:themeColor="text1"/>
          <w:sz w:val="24"/>
          <w:szCs w:val="24"/>
        </w:rPr>
        <w:t xml:space="preserve">ettlement </w:t>
      </w:r>
      <w:r w:rsidR="00922BD9" w:rsidRPr="00460EC6">
        <w:rPr>
          <w:rFonts w:ascii="Times New Roman" w:hAnsi="Times New Roman" w:cs="Times New Roman"/>
          <w:color w:val="000000" w:themeColor="text1"/>
          <w:sz w:val="24"/>
          <w:szCs w:val="24"/>
        </w:rPr>
        <w:t>T</w:t>
      </w:r>
      <w:r w:rsidRPr="00460EC6">
        <w:rPr>
          <w:rFonts w:ascii="Times New Roman" w:hAnsi="Times New Roman" w:cs="Times New Roman"/>
          <w:color w:val="000000" w:themeColor="text1"/>
          <w:sz w:val="24"/>
          <w:szCs w:val="24"/>
        </w:rPr>
        <w:t xml:space="preserve">ribunal for resolution. </w:t>
      </w:r>
    </w:p>
    <w:p w14:paraId="2986D7C5" w14:textId="073C1BE2"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Social dialogue and inclusive collective bargaining are promoted as key means of achieving decent work and stable industrial relations in the </w:t>
      </w:r>
      <w:r w:rsidR="00922BD9" w:rsidRPr="00460EC6">
        <w:rPr>
          <w:rFonts w:ascii="Times New Roman" w:hAnsi="Times New Roman" w:cs="Times New Roman"/>
          <w:color w:val="000000" w:themeColor="text1"/>
          <w:sz w:val="24"/>
          <w:szCs w:val="24"/>
        </w:rPr>
        <w:t>A</w:t>
      </w:r>
      <w:r w:rsidRPr="00460EC6">
        <w:rPr>
          <w:rFonts w:ascii="Times New Roman" w:hAnsi="Times New Roman" w:cs="Times New Roman"/>
          <w:color w:val="000000" w:themeColor="text1"/>
          <w:sz w:val="24"/>
          <w:szCs w:val="24"/>
        </w:rPr>
        <w:t xml:space="preserve">gribusiness sector. Ten companies sampled from Amhara and Sidama agribusiness parks, where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unions have been formed and different forms of collective bargaining arrangements (CBAs) developed, have reported that workplace representation and dialogues fostered better </w:t>
      </w:r>
      <w:r w:rsidRPr="00460EC6">
        <w:rPr>
          <w:rFonts w:ascii="Times New Roman" w:hAnsi="Times New Roman" w:cs="Times New Roman"/>
          <w:color w:val="000000" w:themeColor="text1"/>
          <w:sz w:val="24"/>
          <w:szCs w:val="24"/>
        </w:rPr>
        <w:lastRenderedPageBreak/>
        <w:t xml:space="preserve">business performance. For instance, collective bargaining supported the management of some enterprises in adopting high-performance workplace practices such as working in teams, job rotation, and upward communication, as these often require a climate of mutual trust and cooperation. </w:t>
      </w:r>
    </w:p>
    <w:p w14:paraId="3510777C" w14:textId="2BFBFDCE"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employers’ association, and trade unions have been working hand in hand by establishing tripartite forums. The forums have been solving lots of problems that have arisen between employers and workers. The new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law, which encompasses several amendments to safeguard employee rights, is the culmination of a harmonious relationship between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employers, and workers. </w:t>
      </w:r>
    </w:p>
    <w:p w14:paraId="53C49E7F"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right to strike is provided under the Ethiopian constitution and is regulated under the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Proclamation. The Constitution established that factory and service workers, agricultural </w:t>
      </w:r>
      <w:proofErr w:type="spellStart"/>
      <w:r w:rsidRPr="00460EC6">
        <w:rPr>
          <w:rFonts w:ascii="Times New Roman" w:hAnsi="Times New Roman" w:cs="Times New Roman"/>
          <w:color w:val="000000" w:themeColor="text1"/>
          <w:sz w:val="24"/>
          <w:szCs w:val="24"/>
        </w:rPr>
        <w:t>labourers</w:t>
      </w:r>
      <w:proofErr w:type="spellEnd"/>
      <w:r w:rsidRPr="00460EC6">
        <w:rPr>
          <w:rFonts w:ascii="Times New Roman" w:hAnsi="Times New Roman" w:cs="Times New Roman"/>
          <w:color w:val="000000" w:themeColor="text1"/>
          <w:sz w:val="24"/>
          <w:szCs w:val="24"/>
        </w:rPr>
        <w:t xml:space="preserve">, other rural workers, and government employees, provided their roles permit such actions and they are situated below a defined level of responsibility, possess the right to express grievances, which includes the right to strike. </w:t>
      </w:r>
    </w:p>
    <w:p w14:paraId="39014ECC"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However, specific conditions must be met to exercise the right to strike. These include providing advance notice to employers and relevant government authorities and exhausting available conciliatory measures. In addition, a strike motion has to be supported by a majority of the workers concerned in a meeting in which at least two-thirds of the members of the trade unions are in attendance. This does not, however, mean that a two-thirds majority is required to decide on a strike motion. This stipulation intends to give an opportunity to the majority of the attending members to discuss the issue. Otherwise, a decision will be passed by the majority of the two-thirds of the attendees. Moreover, workers are required to implement measures that ensure adherence to safety regulations and accident prevention protocols during such undertakings.</w:t>
      </w:r>
    </w:p>
    <w:p w14:paraId="0238A7BA"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Certain circumstances prohibit the exercise of the right to strike. These include situations where the matter in dispute is currently under consideration by a </w:t>
      </w:r>
      <w:proofErr w:type="spellStart"/>
      <w:r w:rsidRPr="00460EC6">
        <w:rPr>
          <w:rFonts w:ascii="Times New Roman" w:hAnsi="Times New Roman" w:cs="Times New Roman"/>
          <w:color w:val="000000" w:themeColor="text1"/>
          <w:sz w:val="24"/>
          <w:szCs w:val="24"/>
        </w:rPr>
        <w:t>Labour</w:t>
      </w:r>
      <w:proofErr w:type="spellEnd"/>
      <w:r w:rsidRPr="00460EC6">
        <w:rPr>
          <w:rFonts w:ascii="Times New Roman" w:hAnsi="Times New Roman" w:cs="Times New Roman"/>
          <w:color w:val="000000" w:themeColor="text1"/>
          <w:sz w:val="24"/>
          <w:szCs w:val="24"/>
        </w:rPr>
        <w:t xml:space="preserve"> Relations Board or a court, where the strike is initiated in defiance of a final order or decision issued by the Board or the court, or where the objective of the strike is to unjustifiably delay compliance with such determinations. Furthermore, any form of violence, threats of physical force, or any acts deemed explicitly and officially unlawful are strictly prohibited during the exercise of this right. </w:t>
      </w:r>
    </w:p>
    <w:p w14:paraId="52874636" w14:textId="77777777" w:rsidR="00890288" w:rsidRPr="00460EC6" w:rsidRDefault="00890288" w:rsidP="00526D16">
      <w:pPr>
        <w:pStyle w:val="ListBullet"/>
        <w:numPr>
          <w:ilvl w:val="0"/>
          <w:numId w:val="3"/>
        </w:numPr>
        <w:tabs>
          <w:tab w:val="left" w:pos="990"/>
          <w:tab w:val="left" w:pos="1170"/>
        </w:tabs>
        <w:spacing w:line="360" w:lineRule="auto"/>
        <w:ind w:left="810"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In Ethiopia, there are instances whereby workers improve their conditions of employment and economic well-being through the instrumentality of a strike lawfully conducted. Recently, DHL workers in Ethiopia successfully concluded a strike after reaching an agreement with the company for a 35% salary increase. The strike was a result of unresolved demands related to salary adjustments amidst the rising cost of living. The agreement, which includes a 35% salary increase, was reached after negotiations facilitated by labor authorities and union representatives. This showcase, therefore, can be considered as progress towards the application of the right to strike in law and practice in Ethiopia.</w:t>
      </w:r>
    </w:p>
    <w:p w14:paraId="75C24D61" w14:textId="34EAE248" w:rsidR="00884A4F" w:rsidRPr="00460EC6" w:rsidRDefault="00884A4F" w:rsidP="00526D16">
      <w:pPr>
        <w:spacing w:line="360" w:lineRule="auto"/>
        <w:rPr>
          <w:rFonts w:ascii="Times New Roman" w:eastAsia="Calibri" w:hAnsi="Times New Roman" w:cs="Times New Roman"/>
          <w:b/>
          <w:color w:val="000000" w:themeColor="text1"/>
          <w:sz w:val="24"/>
          <w:szCs w:val="24"/>
          <w:u w:val="single"/>
        </w:rPr>
      </w:pPr>
      <w:r w:rsidRPr="00460EC6">
        <w:rPr>
          <w:rFonts w:ascii="Times New Roman" w:eastAsia="Calibri" w:hAnsi="Times New Roman" w:cs="Times New Roman"/>
          <w:b/>
          <w:color w:val="000000" w:themeColor="text1"/>
          <w:sz w:val="24"/>
          <w:szCs w:val="24"/>
        </w:rPr>
        <w:t xml:space="preserve">Article 9: </w:t>
      </w:r>
      <w:r w:rsidRPr="00460EC6">
        <w:rPr>
          <w:rFonts w:ascii="Times New Roman" w:eastAsia="Calibri" w:hAnsi="Times New Roman" w:cs="Times New Roman"/>
          <w:b/>
          <w:color w:val="000000" w:themeColor="text1"/>
          <w:sz w:val="24"/>
          <w:szCs w:val="24"/>
          <w:u w:val="single"/>
        </w:rPr>
        <w:t>The Right to Social Security and Social Insurance</w:t>
      </w:r>
      <w:r w:rsidR="00C87F70">
        <w:rPr>
          <w:rFonts w:ascii="Times New Roman" w:eastAsia="Calibri" w:hAnsi="Times New Roman" w:cs="Times New Roman"/>
          <w:b/>
          <w:color w:val="000000" w:themeColor="text1"/>
          <w:sz w:val="24"/>
          <w:szCs w:val="24"/>
          <w:u w:val="single"/>
        </w:rPr>
        <w:t>.</w:t>
      </w:r>
    </w:p>
    <w:p w14:paraId="63217A26" w14:textId="77777777" w:rsidR="00A12F8D" w:rsidRPr="00460EC6" w:rsidRDefault="00884A4F" w:rsidP="00526D16">
      <w:pPr>
        <w:pStyle w:val="ListParagraph"/>
        <w:numPr>
          <w:ilvl w:val="0"/>
          <w:numId w:val="3"/>
        </w:numPr>
        <w:tabs>
          <w:tab w:val="left" w:pos="630"/>
          <w:tab w:val="left" w:pos="810"/>
          <w:tab w:val="left" w:pos="990"/>
        </w:tabs>
        <w:spacing w:after="240" w:line="360" w:lineRule="auto"/>
        <w:jc w:val="both"/>
        <w:rPr>
          <w:rFonts w:ascii="Times New Roman" w:hAnsi="Times New Roman" w:cs="Times New Roman"/>
          <w:iCs/>
          <w:strike/>
          <w:color w:val="000000" w:themeColor="text1"/>
          <w:sz w:val="24"/>
          <w:szCs w:val="24"/>
        </w:rPr>
      </w:pPr>
      <w:r w:rsidRPr="00460EC6">
        <w:rPr>
          <w:rFonts w:ascii="Times New Roman" w:hAnsi="Times New Roman" w:cs="Times New Roman"/>
          <w:iCs/>
          <w:color w:val="000000" w:themeColor="text1"/>
          <w:sz w:val="24"/>
          <w:szCs w:val="24"/>
        </w:rPr>
        <w:t xml:space="preserve">The </w:t>
      </w:r>
      <w:proofErr w:type="spellStart"/>
      <w:r w:rsidRPr="00460EC6">
        <w:rPr>
          <w:rFonts w:ascii="Times New Roman" w:hAnsi="Times New Roman" w:cs="Times New Roman"/>
          <w:iCs/>
          <w:color w:val="000000" w:themeColor="text1"/>
          <w:sz w:val="24"/>
          <w:szCs w:val="24"/>
        </w:rPr>
        <w:t>GoE</w:t>
      </w:r>
      <w:proofErr w:type="spellEnd"/>
      <w:r w:rsidRPr="00460EC6">
        <w:rPr>
          <w:rFonts w:ascii="Times New Roman" w:hAnsi="Times New Roman" w:cs="Times New Roman"/>
          <w:iCs/>
          <w:color w:val="000000" w:themeColor="text1"/>
          <w:sz w:val="24"/>
          <w:szCs w:val="24"/>
        </w:rPr>
        <w:t xml:space="preserve"> has improved the social security scheme covering employees of both the public and private sectors. In this regard, </w:t>
      </w:r>
      <w:r w:rsidRPr="00460EC6">
        <w:rPr>
          <w:rFonts w:ascii="Times New Roman" w:hAnsi="Times New Roman" w:cs="Times New Roman"/>
          <w:color w:val="000000" w:themeColor="text1"/>
          <w:sz w:val="24"/>
          <w:szCs w:val="24"/>
        </w:rPr>
        <w:t xml:space="preserve">the Public Servants Pension </w:t>
      </w:r>
      <w:r w:rsidR="00505CED" w:rsidRPr="00460EC6">
        <w:rPr>
          <w:rFonts w:ascii="Times New Roman" w:hAnsi="Times New Roman" w:cs="Times New Roman"/>
          <w:color w:val="000000" w:themeColor="text1"/>
          <w:sz w:val="24"/>
          <w:szCs w:val="24"/>
        </w:rPr>
        <w:t xml:space="preserve">Proclamation </w:t>
      </w:r>
      <w:r w:rsidR="0024341E" w:rsidRPr="00460EC6">
        <w:rPr>
          <w:rFonts w:ascii="Times New Roman" w:hAnsi="Times New Roman" w:cs="Times New Roman"/>
          <w:color w:val="000000" w:themeColor="text1"/>
          <w:sz w:val="24"/>
          <w:szCs w:val="24"/>
        </w:rPr>
        <w:t>No. 1267/2022</w:t>
      </w:r>
      <w:r w:rsidRPr="00460EC6">
        <w:rPr>
          <w:rFonts w:ascii="Times New Roman" w:hAnsi="Times New Roman" w:cs="Times New Roman"/>
          <w:color w:val="000000" w:themeColor="text1"/>
          <w:sz w:val="24"/>
          <w:szCs w:val="24"/>
        </w:rPr>
        <w:t xml:space="preserve"> </w:t>
      </w:r>
      <w:r w:rsidR="00505CED" w:rsidRPr="00460EC6">
        <w:rPr>
          <w:rFonts w:ascii="Times New Roman" w:hAnsi="Times New Roman" w:cs="Times New Roman"/>
          <w:color w:val="000000" w:themeColor="text1"/>
          <w:sz w:val="24"/>
          <w:szCs w:val="24"/>
        </w:rPr>
        <w:t xml:space="preserve">and the Private Organization Employees’ Pension </w:t>
      </w:r>
      <w:r w:rsidR="0024341E" w:rsidRPr="00460EC6">
        <w:rPr>
          <w:rFonts w:ascii="Times New Roman" w:hAnsi="Times New Roman" w:cs="Times New Roman"/>
          <w:color w:val="000000" w:themeColor="text1"/>
          <w:sz w:val="24"/>
          <w:szCs w:val="24"/>
        </w:rPr>
        <w:t xml:space="preserve">Proclamation </w:t>
      </w:r>
      <w:r w:rsidR="00102A76" w:rsidRPr="00460EC6">
        <w:rPr>
          <w:rFonts w:ascii="Times New Roman" w:hAnsi="Times New Roman" w:cs="Times New Roman"/>
          <w:color w:val="000000" w:themeColor="text1"/>
          <w:sz w:val="24"/>
          <w:szCs w:val="24"/>
        </w:rPr>
        <w:t>N</w:t>
      </w:r>
      <w:r w:rsidR="00505CED" w:rsidRPr="00460EC6">
        <w:rPr>
          <w:rFonts w:ascii="Times New Roman" w:hAnsi="Times New Roman" w:cs="Times New Roman"/>
          <w:color w:val="000000" w:themeColor="text1"/>
          <w:sz w:val="24"/>
          <w:szCs w:val="24"/>
        </w:rPr>
        <w:t xml:space="preserve">o. 1268/2022 </w:t>
      </w:r>
      <w:r w:rsidR="0024341E" w:rsidRPr="00460EC6">
        <w:rPr>
          <w:rFonts w:ascii="Times New Roman" w:hAnsi="Times New Roman" w:cs="Times New Roman"/>
          <w:color w:val="000000" w:themeColor="text1"/>
          <w:sz w:val="24"/>
          <w:szCs w:val="24"/>
        </w:rPr>
        <w:t>have</w:t>
      </w:r>
      <w:r w:rsidR="00505CED" w:rsidRPr="00460EC6">
        <w:rPr>
          <w:rFonts w:ascii="Times New Roman" w:hAnsi="Times New Roman" w:cs="Times New Roman"/>
          <w:color w:val="000000" w:themeColor="text1"/>
          <w:sz w:val="24"/>
          <w:szCs w:val="24"/>
        </w:rPr>
        <w:t xml:space="preserve"> been enacted with a view of strengthening and improving employees’ pension scheme and pension fund to ensure a transparent governance system. </w:t>
      </w:r>
      <w:r w:rsidR="00BC5F90" w:rsidRPr="00460EC6">
        <w:rPr>
          <w:rFonts w:ascii="Times New Roman" w:hAnsi="Times New Roman" w:cs="Times New Roman"/>
          <w:color w:val="000000" w:themeColor="text1"/>
          <w:sz w:val="24"/>
          <w:szCs w:val="24"/>
        </w:rPr>
        <w:t xml:space="preserve">These </w:t>
      </w:r>
      <w:r w:rsidR="00C077C7" w:rsidRPr="00460EC6">
        <w:rPr>
          <w:rFonts w:ascii="Times New Roman" w:hAnsi="Times New Roman" w:cs="Times New Roman"/>
          <w:color w:val="000000" w:themeColor="text1"/>
          <w:sz w:val="24"/>
          <w:szCs w:val="24"/>
        </w:rPr>
        <w:t xml:space="preserve">proclamations </w:t>
      </w:r>
      <w:r w:rsidR="00C077C7" w:rsidRPr="00460EC6">
        <w:rPr>
          <w:rFonts w:ascii="Times New Roman" w:hAnsi="Times New Roman" w:cs="Times New Roman"/>
          <w:iCs/>
          <w:color w:val="000000" w:themeColor="text1"/>
          <w:sz w:val="24"/>
          <w:szCs w:val="24"/>
        </w:rPr>
        <w:t>have introduced, among others, the pension adjustment range, which has been reduced from five years to three years.</w:t>
      </w:r>
    </w:p>
    <w:p w14:paraId="1657E12B" w14:textId="694F2455" w:rsidR="00884A4F" w:rsidRPr="00460EC6" w:rsidRDefault="00884A4F" w:rsidP="00C87F70">
      <w:pPr>
        <w:pStyle w:val="ListParagraph"/>
        <w:numPr>
          <w:ilvl w:val="0"/>
          <w:numId w:val="3"/>
        </w:numPr>
        <w:tabs>
          <w:tab w:val="left" w:pos="630"/>
          <w:tab w:val="left" w:pos="810"/>
          <w:tab w:val="left" w:pos="990"/>
        </w:tabs>
        <w:spacing w:after="0" w:line="360" w:lineRule="auto"/>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Both </w:t>
      </w:r>
      <w:r w:rsidR="0024341E" w:rsidRPr="00460EC6">
        <w:rPr>
          <w:rFonts w:ascii="Times New Roman" w:hAnsi="Times New Roman" w:cs="Times New Roman"/>
          <w:color w:val="000000" w:themeColor="text1"/>
          <w:sz w:val="24"/>
          <w:szCs w:val="24"/>
        </w:rPr>
        <w:t xml:space="preserve">pension proclamations </w:t>
      </w:r>
      <w:r w:rsidRPr="00460EC6">
        <w:rPr>
          <w:rFonts w:ascii="Times New Roman" w:hAnsi="Times New Roman" w:cs="Times New Roman"/>
          <w:color w:val="000000" w:themeColor="text1"/>
          <w:sz w:val="24"/>
          <w:szCs w:val="24"/>
        </w:rPr>
        <w:t>provide for retirement pension, invalidity pension, employment injury be</w:t>
      </w:r>
      <w:r w:rsidR="00C750C4" w:rsidRPr="00460EC6">
        <w:rPr>
          <w:rFonts w:ascii="Times New Roman" w:hAnsi="Times New Roman" w:cs="Times New Roman"/>
          <w:color w:val="000000" w:themeColor="text1"/>
          <w:sz w:val="24"/>
          <w:szCs w:val="24"/>
        </w:rPr>
        <w:t>nefits, and survivor’s benefits</w:t>
      </w:r>
      <w:r w:rsidR="00797F7A" w:rsidRPr="00460EC6">
        <w:rPr>
          <w:rFonts w:ascii="Times New Roman" w:hAnsi="Times New Roman" w:cs="Times New Roman"/>
          <w:color w:val="000000" w:themeColor="text1"/>
          <w:sz w:val="24"/>
          <w:szCs w:val="24"/>
        </w:rPr>
        <w:t>, whereas</w:t>
      </w:r>
      <w:r w:rsidRPr="00460EC6">
        <w:rPr>
          <w:rFonts w:ascii="Times New Roman" w:hAnsi="Times New Roman" w:cs="Times New Roman"/>
          <w:color w:val="000000" w:themeColor="text1"/>
          <w:sz w:val="24"/>
          <w:szCs w:val="24"/>
        </w:rPr>
        <w:t xml:space="preserve"> cash and sickness benefits and maternity benefits are provided in the Federal Civil Servants Proclamation and the Labour Proclamation</w:t>
      </w:r>
      <w:r w:rsidR="00A12F8D" w:rsidRPr="00460EC6">
        <w:rPr>
          <w:rFonts w:ascii="Times New Roman" w:hAnsi="Times New Roman" w:cs="Times New Roman"/>
          <w:color w:val="000000" w:themeColor="text1"/>
          <w:sz w:val="24"/>
          <w:szCs w:val="24"/>
        </w:rPr>
        <w:t xml:space="preserve">. </w:t>
      </w:r>
    </w:p>
    <w:p w14:paraId="4465EE89" w14:textId="77777777" w:rsidR="00797F7A" w:rsidRPr="00AA002D" w:rsidRDefault="00884A4F" w:rsidP="00C87F70">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810" w:hanging="450"/>
        <w:jc w:val="both"/>
        <w:rPr>
          <w:color w:val="000000" w:themeColor="text1"/>
          <w:shd w:val="clear" w:color="auto" w:fill="FFFFFF"/>
        </w:rPr>
      </w:pPr>
      <w:r w:rsidRPr="00460EC6">
        <w:rPr>
          <w:color w:val="000000" w:themeColor="text1"/>
        </w:rPr>
        <w:t xml:space="preserve">Additionally, </w:t>
      </w:r>
      <w:r w:rsidR="00A12F8D" w:rsidRPr="00460EC6">
        <w:rPr>
          <w:color w:val="000000" w:themeColor="text1"/>
        </w:rPr>
        <w:t xml:space="preserve">Public Servants Security Administration Regulation No.522/2022 and </w:t>
      </w:r>
      <w:r w:rsidRPr="00460EC6">
        <w:rPr>
          <w:color w:val="000000" w:themeColor="text1"/>
        </w:rPr>
        <w:t>Private Organization Employees’ Social Security Administra</w:t>
      </w:r>
      <w:r w:rsidR="00A12F8D" w:rsidRPr="00460EC6">
        <w:rPr>
          <w:color w:val="000000" w:themeColor="text1"/>
        </w:rPr>
        <w:t>tion Regulation No. 523/2022</w:t>
      </w:r>
      <w:r w:rsidRPr="00460EC6">
        <w:rPr>
          <w:color w:val="000000" w:themeColor="text1"/>
        </w:rPr>
        <w:t xml:space="preserve"> have been enacted</w:t>
      </w:r>
      <w:r w:rsidR="00A12F8D" w:rsidRPr="00460EC6">
        <w:rPr>
          <w:color w:val="000000" w:themeColor="text1"/>
        </w:rPr>
        <w:t xml:space="preserve"> to further strengthen and extend the coverage of the employees’ pension </w:t>
      </w:r>
      <w:r w:rsidR="00A12F8D" w:rsidRPr="00AA002D">
        <w:rPr>
          <w:color w:val="000000" w:themeColor="text1"/>
          <w:shd w:val="clear" w:color="auto" w:fill="FFFFFF"/>
        </w:rPr>
        <w:t>scheme</w:t>
      </w:r>
      <w:r w:rsidRPr="00AA002D">
        <w:rPr>
          <w:color w:val="000000" w:themeColor="text1"/>
          <w:shd w:val="clear" w:color="auto" w:fill="FFFFFF"/>
        </w:rPr>
        <w:t>. To make the pension services readily available and accessible, the Private Organization Employees’ Social Security Administration has 10 districts and 49 branch offices all around the country.</w:t>
      </w:r>
    </w:p>
    <w:p w14:paraId="157CD54A" w14:textId="77777777" w:rsidR="00797F7A" w:rsidRPr="00AA002D" w:rsidRDefault="002D1FB7" w:rsidP="00AA002D">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810" w:hanging="450"/>
        <w:jc w:val="both"/>
        <w:rPr>
          <w:color w:val="000000" w:themeColor="text1"/>
          <w:shd w:val="clear" w:color="auto" w:fill="FFFFFF"/>
        </w:rPr>
      </w:pPr>
      <w:r w:rsidRPr="00AA002D">
        <w:rPr>
          <w:color w:val="000000" w:themeColor="text1"/>
          <w:shd w:val="clear" w:color="auto" w:fill="FFFFFF"/>
        </w:rPr>
        <w:t xml:space="preserve">Furthermore, Directive No. 001/2022 and Directive No. 002/2022 have been introduced to further protect the interests of private sector employees in the context of pension and social security. </w:t>
      </w:r>
      <w:r w:rsidR="00884A4F" w:rsidRPr="00AA002D">
        <w:rPr>
          <w:color w:val="000000" w:themeColor="text1"/>
          <w:shd w:val="clear" w:color="auto" w:fill="FFFFFF"/>
        </w:rPr>
        <w:t xml:space="preserve">Directive No. 002/2022, which pertains to the administration of the Private </w:t>
      </w:r>
      <w:r w:rsidR="00884A4F" w:rsidRPr="00AA002D">
        <w:rPr>
          <w:color w:val="000000" w:themeColor="text1"/>
          <w:shd w:val="clear" w:color="auto" w:fill="FFFFFF"/>
        </w:rPr>
        <w:lastRenderedPageBreak/>
        <w:t>Organization Employees Provident Fund, is a</w:t>
      </w:r>
      <w:r w:rsidR="00A12F8D" w:rsidRPr="00AA002D">
        <w:rPr>
          <w:color w:val="000000" w:themeColor="text1"/>
          <w:shd w:val="clear" w:color="auto" w:fill="FFFFFF"/>
        </w:rPr>
        <w:t>nother</w:t>
      </w:r>
      <w:r w:rsidR="00884A4F" w:rsidRPr="00AA002D">
        <w:rPr>
          <w:color w:val="000000" w:themeColor="text1"/>
          <w:shd w:val="clear" w:color="auto" w:fill="FFFFFF"/>
        </w:rPr>
        <w:t xml:space="preserve"> key development </w:t>
      </w:r>
      <w:r w:rsidR="00A12F8D" w:rsidRPr="00AA002D">
        <w:rPr>
          <w:color w:val="000000" w:themeColor="text1"/>
          <w:shd w:val="clear" w:color="auto" w:fill="FFFFFF"/>
        </w:rPr>
        <w:t xml:space="preserve">in the protection of </w:t>
      </w:r>
      <w:r w:rsidRPr="00AA002D">
        <w:rPr>
          <w:color w:val="000000" w:themeColor="text1"/>
          <w:shd w:val="clear" w:color="auto" w:fill="FFFFFF"/>
        </w:rPr>
        <w:t xml:space="preserve">the pension rights of employees </w:t>
      </w:r>
      <w:r w:rsidR="00884A4F" w:rsidRPr="00AA002D">
        <w:rPr>
          <w:color w:val="000000" w:themeColor="text1"/>
          <w:shd w:val="clear" w:color="auto" w:fill="FFFFFF"/>
        </w:rPr>
        <w:t xml:space="preserve">by establishing clear guidelines for the management and disbursement of the provident fund. </w:t>
      </w:r>
    </w:p>
    <w:p w14:paraId="710F315A" w14:textId="2A2F8FA5" w:rsidR="00884A4F" w:rsidRPr="00AA002D" w:rsidRDefault="009B0B26" w:rsidP="00AA002D">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810" w:hanging="450"/>
        <w:jc w:val="both"/>
        <w:rPr>
          <w:color w:val="000000" w:themeColor="text1"/>
          <w:shd w:val="clear" w:color="auto" w:fill="FFFFFF"/>
        </w:rPr>
      </w:pPr>
      <w:r w:rsidRPr="00460EC6">
        <w:rPr>
          <w:color w:val="000000" w:themeColor="text1"/>
          <w:shd w:val="clear" w:color="auto" w:fill="FFFFFF"/>
        </w:rPr>
        <w:t xml:space="preserve">In an effort to ensure accessibility, </w:t>
      </w:r>
      <w:r w:rsidR="00884A4F" w:rsidRPr="00460EC6">
        <w:rPr>
          <w:color w:val="000000" w:themeColor="text1"/>
          <w:shd w:val="clear" w:color="auto" w:fill="FFFFFF"/>
        </w:rPr>
        <w:t xml:space="preserve">affordability </w:t>
      </w:r>
      <w:r w:rsidRPr="00460EC6">
        <w:rPr>
          <w:color w:val="000000" w:themeColor="text1"/>
          <w:shd w:val="clear" w:color="auto" w:fill="FFFFFF"/>
        </w:rPr>
        <w:t xml:space="preserve">and equitable coverage of </w:t>
      </w:r>
      <w:r w:rsidR="00884A4F" w:rsidRPr="00460EC6">
        <w:rPr>
          <w:color w:val="000000" w:themeColor="text1"/>
          <w:shd w:val="clear" w:color="auto" w:fill="FFFFFF"/>
        </w:rPr>
        <w:t>health care services for its citizens, the GOE has introduced health insurance schemes</w:t>
      </w:r>
      <w:r w:rsidRPr="00460EC6">
        <w:rPr>
          <w:color w:val="000000" w:themeColor="text1"/>
          <w:shd w:val="clear" w:color="auto" w:fill="FFFFFF"/>
        </w:rPr>
        <w:t>.</w:t>
      </w:r>
      <w:r w:rsidR="00884A4F" w:rsidRPr="00460EC6">
        <w:rPr>
          <w:color w:val="000000" w:themeColor="text1"/>
          <w:shd w:val="clear" w:color="auto" w:fill="FFFFFF"/>
        </w:rPr>
        <w:t xml:space="preserve"> To this end, the Eth</w:t>
      </w:r>
      <w:r w:rsidRPr="00460EC6">
        <w:rPr>
          <w:color w:val="000000" w:themeColor="text1"/>
          <w:shd w:val="clear" w:color="auto" w:fill="FFFFFF"/>
        </w:rPr>
        <w:t xml:space="preserve">iopian </w:t>
      </w:r>
      <w:r w:rsidR="00884A4F" w:rsidRPr="00460EC6">
        <w:rPr>
          <w:color w:val="000000" w:themeColor="text1"/>
          <w:shd w:val="clear" w:color="auto" w:fill="FFFFFF"/>
        </w:rPr>
        <w:t xml:space="preserve">Health Insurance Service </w:t>
      </w:r>
      <w:r w:rsidRPr="00460EC6">
        <w:rPr>
          <w:color w:val="000000" w:themeColor="text1"/>
          <w:shd w:val="clear" w:color="auto" w:fill="FFFFFF"/>
        </w:rPr>
        <w:t xml:space="preserve">(EHIS) </w:t>
      </w:r>
      <w:r w:rsidR="00884A4F" w:rsidRPr="00460EC6">
        <w:rPr>
          <w:color w:val="000000" w:themeColor="text1"/>
          <w:shd w:val="clear" w:color="auto" w:fill="FFFFFF"/>
        </w:rPr>
        <w:t>was established with the primary mandate of implementing health insurance</w:t>
      </w:r>
      <w:r w:rsidRPr="00460EC6">
        <w:rPr>
          <w:color w:val="000000" w:themeColor="text1"/>
          <w:shd w:val="clear" w:color="auto" w:fill="FFFFFF"/>
        </w:rPr>
        <w:t xml:space="preserve"> schemes and has </w:t>
      </w:r>
      <w:r w:rsidR="00884A4F" w:rsidRPr="00460EC6">
        <w:rPr>
          <w:color w:val="000000" w:themeColor="text1"/>
          <w:shd w:val="clear" w:color="auto" w:fill="FFFFFF"/>
        </w:rPr>
        <w:t xml:space="preserve">24 branch offices to implement the health insurance scheme </w:t>
      </w:r>
      <w:r w:rsidR="00070D70" w:rsidRPr="00460EC6">
        <w:rPr>
          <w:color w:val="000000" w:themeColor="text1"/>
          <w:shd w:val="clear" w:color="auto" w:fill="FFFFFF"/>
        </w:rPr>
        <w:t>across</w:t>
      </w:r>
      <w:r w:rsidR="00884A4F" w:rsidRPr="00460EC6">
        <w:rPr>
          <w:color w:val="000000" w:themeColor="text1"/>
          <w:shd w:val="clear" w:color="auto" w:fill="FFFFFF"/>
        </w:rPr>
        <w:t xml:space="preserve"> the country.   </w:t>
      </w:r>
    </w:p>
    <w:p w14:paraId="6EE52FBF" w14:textId="009916C9" w:rsidR="00884A4F" w:rsidRPr="00460EC6" w:rsidRDefault="009B0B26" w:rsidP="00526D16">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810" w:hanging="450"/>
        <w:jc w:val="both"/>
        <w:rPr>
          <w:color w:val="000000" w:themeColor="text1"/>
          <w:shd w:val="clear" w:color="auto" w:fill="FFFFFF"/>
        </w:rPr>
      </w:pPr>
      <w:r w:rsidRPr="00460EC6">
        <w:rPr>
          <w:color w:val="000000" w:themeColor="text1"/>
          <w:shd w:val="clear" w:color="auto" w:fill="FFFFFF"/>
        </w:rPr>
        <w:t>EHIS</w:t>
      </w:r>
      <w:r w:rsidR="00884A4F" w:rsidRPr="00460EC6">
        <w:rPr>
          <w:color w:val="000000" w:themeColor="text1"/>
          <w:shd w:val="clear" w:color="auto" w:fill="FFFFFF"/>
        </w:rPr>
        <w:t xml:space="preserve"> is currently working on the implementation of community</w:t>
      </w:r>
      <w:r w:rsidR="00C87F70">
        <w:rPr>
          <w:color w:val="000000" w:themeColor="text1"/>
          <w:shd w:val="clear" w:color="auto" w:fill="FFFFFF"/>
        </w:rPr>
        <w:t>-</w:t>
      </w:r>
      <w:r w:rsidR="00884A4F" w:rsidRPr="00460EC6">
        <w:rPr>
          <w:color w:val="000000" w:themeColor="text1"/>
          <w:shd w:val="clear" w:color="auto" w:fill="FFFFFF"/>
        </w:rPr>
        <w:t xml:space="preserve">based health insurance scheme which is designed to enhance access to health care services for communities and households that are not covered by formal </w:t>
      </w:r>
      <w:proofErr w:type="gramStart"/>
      <w:r w:rsidR="00884A4F" w:rsidRPr="00460EC6">
        <w:rPr>
          <w:color w:val="000000" w:themeColor="text1"/>
          <w:shd w:val="clear" w:color="auto" w:fill="FFFFFF"/>
        </w:rPr>
        <w:t>employment based</w:t>
      </w:r>
      <w:proofErr w:type="gramEnd"/>
      <w:r w:rsidR="00884A4F" w:rsidRPr="00460EC6">
        <w:rPr>
          <w:color w:val="000000" w:themeColor="text1"/>
          <w:shd w:val="clear" w:color="auto" w:fill="FFFFFF"/>
        </w:rPr>
        <w:t xml:space="preserve"> insurance scheme.</w:t>
      </w:r>
    </w:p>
    <w:p w14:paraId="69659B82" w14:textId="60CD4E3C" w:rsidR="00884A4F" w:rsidRPr="00460EC6" w:rsidRDefault="008A4D5B" w:rsidP="00526D16">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810" w:hanging="450"/>
        <w:jc w:val="both"/>
        <w:rPr>
          <w:color w:val="000000" w:themeColor="text1"/>
        </w:rPr>
      </w:pPr>
      <w:r w:rsidRPr="00460EC6">
        <w:rPr>
          <w:color w:val="000000" w:themeColor="text1"/>
          <w:shd w:val="clear" w:color="auto" w:fill="FFFFFF"/>
        </w:rPr>
        <w:t xml:space="preserve">The </w:t>
      </w:r>
      <w:proofErr w:type="spellStart"/>
      <w:r w:rsidRPr="00460EC6">
        <w:rPr>
          <w:color w:val="000000" w:themeColor="text1"/>
          <w:shd w:val="clear" w:color="auto" w:fill="FFFFFF"/>
        </w:rPr>
        <w:t>GoE</w:t>
      </w:r>
      <w:proofErr w:type="spellEnd"/>
      <w:r w:rsidR="00884A4F" w:rsidRPr="00460EC6">
        <w:rPr>
          <w:color w:val="000000" w:themeColor="text1"/>
          <w:shd w:val="clear" w:color="auto" w:fill="FFFFFF"/>
        </w:rPr>
        <w:t xml:space="preserve"> has enacted the Community Based Health Insu</w:t>
      </w:r>
      <w:r w:rsidRPr="00460EC6">
        <w:rPr>
          <w:color w:val="000000" w:themeColor="text1"/>
          <w:shd w:val="clear" w:color="auto" w:fill="FFFFFF"/>
        </w:rPr>
        <w:t>rance</w:t>
      </w:r>
      <w:r w:rsidR="00070D70" w:rsidRPr="00460EC6">
        <w:rPr>
          <w:color w:val="000000" w:themeColor="text1"/>
          <w:shd w:val="clear" w:color="auto" w:fill="FFFFFF"/>
        </w:rPr>
        <w:t xml:space="preserve"> </w:t>
      </w:r>
      <w:r w:rsidRPr="00460EC6">
        <w:rPr>
          <w:color w:val="000000" w:themeColor="text1"/>
          <w:shd w:val="clear" w:color="auto" w:fill="FFFFFF"/>
        </w:rPr>
        <w:t>Proclamation No.1273/2022 to ensure standard for</w:t>
      </w:r>
      <w:r w:rsidR="00884A4F" w:rsidRPr="00460EC6">
        <w:rPr>
          <w:color w:val="000000" w:themeColor="text1"/>
          <w:shd w:val="clear" w:color="auto" w:fill="FFFFFF"/>
        </w:rPr>
        <w:t xml:space="preserve"> the </w:t>
      </w:r>
      <w:r w:rsidRPr="00460EC6">
        <w:rPr>
          <w:color w:val="000000" w:themeColor="text1"/>
          <w:shd w:val="clear" w:color="auto" w:fill="FFFFFF"/>
        </w:rPr>
        <w:t>sustainability of the system allowing</w:t>
      </w:r>
      <w:r w:rsidR="00884A4F" w:rsidRPr="00460EC6">
        <w:rPr>
          <w:color w:val="000000" w:themeColor="text1"/>
        </w:rPr>
        <w:t xml:space="preserve"> better coordination at the Federal and Regional levels. </w:t>
      </w:r>
    </w:p>
    <w:p w14:paraId="7A0BC46E" w14:textId="6C6D05EE" w:rsidR="00AC672E" w:rsidRPr="00460EC6" w:rsidRDefault="00884A4F" w:rsidP="00AA002D">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t xml:space="preserve">Since its pilot launch in 2011 across 13 districts, </w:t>
      </w:r>
      <w:r w:rsidR="00070D70" w:rsidRPr="00460EC6">
        <w:rPr>
          <w:color w:val="000000" w:themeColor="text1"/>
        </w:rPr>
        <w:t>Community Based Health Insurance (</w:t>
      </w:r>
      <w:r w:rsidRPr="00460EC6">
        <w:rPr>
          <w:color w:val="000000" w:themeColor="text1"/>
        </w:rPr>
        <w:t>CBHI</w:t>
      </w:r>
      <w:r w:rsidR="00070D70" w:rsidRPr="00460EC6">
        <w:rPr>
          <w:color w:val="000000" w:themeColor="text1"/>
        </w:rPr>
        <w:t>)</w:t>
      </w:r>
      <w:r w:rsidRPr="00460EC6">
        <w:rPr>
          <w:color w:val="000000" w:themeColor="text1"/>
        </w:rPr>
        <w:t xml:space="preserve"> has expanded significantly. By 2021, it was operational </w:t>
      </w:r>
      <w:r w:rsidR="008A4D5B" w:rsidRPr="00460EC6">
        <w:rPr>
          <w:color w:val="000000" w:themeColor="text1"/>
        </w:rPr>
        <w:t>in over 85% of Woredas,</w:t>
      </w:r>
      <w:r w:rsidR="006F7629" w:rsidRPr="00460EC6">
        <w:rPr>
          <w:color w:val="000000" w:themeColor="text1"/>
        </w:rPr>
        <w:t xml:space="preserve"> and covers 78 % of eligible households, with a 91 % policy renewal rate</w:t>
      </w:r>
      <w:r w:rsidRPr="00460EC6">
        <w:rPr>
          <w:color w:val="000000" w:themeColor="text1"/>
        </w:rPr>
        <w:t>. This widespread implementation underscores the government’s commitment to enhancing hea</w:t>
      </w:r>
      <w:r w:rsidR="008A4D5B" w:rsidRPr="00460EC6">
        <w:rPr>
          <w:color w:val="000000" w:themeColor="text1"/>
        </w:rPr>
        <w:t xml:space="preserve">lthcare access for its citizens aligning with UHC and SDG 3 several targets. </w:t>
      </w:r>
    </w:p>
    <w:p w14:paraId="307BB9FB" w14:textId="77777777" w:rsidR="00B10CB0" w:rsidRPr="00460EC6" w:rsidRDefault="00797F7A" w:rsidP="00AA002D">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t>Member contributions to CBHI have seen remarkable growth over the past decade, rising from just 14.6 million ETB in 2012 to 178.6 million ETB in 2016, then to 1.3 billion ETB in 2020, and surpassing 7.5 billion ETB by 2024.</w:t>
      </w:r>
      <w:r w:rsidR="00AC672E" w:rsidRPr="00460EC6">
        <w:rPr>
          <w:color w:val="000000" w:themeColor="text1"/>
        </w:rPr>
        <w:t xml:space="preserve"> </w:t>
      </w:r>
      <w:r w:rsidR="00884A4F" w:rsidRPr="00460EC6">
        <w:rPr>
          <w:color w:val="000000" w:themeColor="text1"/>
        </w:rPr>
        <w:t>The covera</w:t>
      </w:r>
      <w:r w:rsidR="00326EBD" w:rsidRPr="00460EC6">
        <w:rPr>
          <w:color w:val="000000" w:themeColor="text1"/>
        </w:rPr>
        <w:t>ge of CBHI</w:t>
      </w:r>
      <w:r w:rsidR="00884A4F" w:rsidRPr="00460EC6">
        <w:rPr>
          <w:color w:val="000000" w:themeColor="text1"/>
        </w:rPr>
        <w:t xml:space="preserve"> expanded sig</w:t>
      </w:r>
      <w:r w:rsidR="006245D9" w:rsidRPr="00460EC6">
        <w:rPr>
          <w:color w:val="000000" w:themeColor="text1"/>
        </w:rPr>
        <w:t>nificantly between 2012 and 2024</w:t>
      </w:r>
      <w:r w:rsidR="00884A4F" w:rsidRPr="00460EC6">
        <w:rPr>
          <w:color w:val="000000" w:themeColor="text1"/>
        </w:rPr>
        <w:t>, with the number of members and beneficiaries rising from 18,562,309 in 2012 to</w:t>
      </w:r>
      <w:r w:rsidR="006245D9" w:rsidRPr="00460EC6">
        <w:rPr>
          <w:color w:val="000000" w:themeColor="text1"/>
        </w:rPr>
        <w:t xml:space="preserve"> 53,000,000 in 2024</w:t>
      </w:r>
      <w:r w:rsidR="00DE4F1C" w:rsidRPr="00460EC6">
        <w:rPr>
          <w:color w:val="000000" w:themeColor="text1"/>
        </w:rPr>
        <w:t>.</w:t>
      </w:r>
    </w:p>
    <w:p w14:paraId="7B76B68B" w14:textId="77777777" w:rsidR="00283110" w:rsidRPr="00460EC6" w:rsidRDefault="00FC4CF2" w:rsidP="00AA002D">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t>The PSNP targets extremely poor rural populations to reduce poverty and enhance resilience. It provides food and financial support, fosters economic independence, and creates job</w:t>
      </w:r>
      <w:r w:rsidR="00876970" w:rsidRPr="00460EC6">
        <w:rPr>
          <w:color w:val="000000" w:themeColor="text1"/>
        </w:rPr>
        <w:t xml:space="preserve"> opportunities. Within the PSNP, 9.7 million most vulnerable beneficiaries are reached across 489 woredas in rural areas, and around 625,135 urban residents. </w:t>
      </w:r>
      <w:r w:rsidR="00DE4F1C" w:rsidRPr="00460EC6">
        <w:rPr>
          <w:color w:val="000000" w:themeColor="text1"/>
        </w:rPr>
        <w:t>During the fifth phase of the PSNP (2021–2024), 8 million individuals, including 2.41 million households (52% women) were supported. The government allocated 19.4 billion birr and 134,340 metric tons of grain to this phase.</w:t>
      </w:r>
    </w:p>
    <w:p w14:paraId="6764CF44" w14:textId="02BF2EE5" w:rsidR="00884A4F" w:rsidRPr="00460EC6" w:rsidRDefault="00884A4F" w:rsidP="00AA002D">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lastRenderedPageBreak/>
        <w:t>The PSNP addresses gender-specific challenges faced by women, acknowledging the impact of household roles, cultural norms, and life cycle factors. To support women’s participation, the program include</w:t>
      </w:r>
      <w:r w:rsidR="00876970" w:rsidRPr="00460EC6">
        <w:rPr>
          <w:color w:val="000000" w:themeColor="text1"/>
        </w:rPr>
        <w:t>s measures such as community crèches</w:t>
      </w:r>
      <w:r w:rsidRPr="00460EC6">
        <w:rPr>
          <w:color w:val="000000" w:themeColor="text1"/>
        </w:rPr>
        <w:t xml:space="preserve"> for mothers with young children and flexible work schedules for </w:t>
      </w:r>
      <w:r w:rsidR="00353D5F" w:rsidRPr="00460EC6">
        <w:rPr>
          <w:color w:val="000000" w:themeColor="text1"/>
        </w:rPr>
        <w:t>F</w:t>
      </w:r>
      <w:r w:rsidRPr="00460EC6">
        <w:rPr>
          <w:color w:val="000000" w:themeColor="text1"/>
        </w:rPr>
        <w:t>emale-</w:t>
      </w:r>
      <w:r w:rsidR="00353D5F" w:rsidRPr="00460EC6">
        <w:rPr>
          <w:color w:val="000000" w:themeColor="text1"/>
        </w:rPr>
        <w:t>H</w:t>
      </w:r>
      <w:r w:rsidRPr="00460EC6">
        <w:rPr>
          <w:color w:val="000000" w:themeColor="text1"/>
        </w:rPr>
        <w:t xml:space="preserve">eaded </w:t>
      </w:r>
      <w:r w:rsidR="00353D5F" w:rsidRPr="00460EC6">
        <w:rPr>
          <w:color w:val="000000" w:themeColor="text1"/>
        </w:rPr>
        <w:t>H</w:t>
      </w:r>
      <w:r w:rsidRPr="00460EC6">
        <w:rPr>
          <w:color w:val="000000" w:themeColor="text1"/>
        </w:rPr>
        <w:t xml:space="preserve">ouseholds (FHHs), who are often among the poorest. Additionally, the program promotes women’s involvement in community decision-making processes. </w:t>
      </w:r>
    </w:p>
    <w:p w14:paraId="21705AC4" w14:textId="77777777" w:rsidR="00884A4F" w:rsidRPr="00460EC6" w:rsidRDefault="00707617" w:rsidP="00526D16">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t xml:space="preserve">The </w:t>
      </w:r>
      <w:proofErr w:type="spellStart"/>
      <w:r w:rsidRPr="00460EC6">
        <w:rPr>
          <w:color w:val="000000" w:themeColor="text1"/>
        </w:rPr>
        <w:t>Go</w:t>
      </w:r>
      <w:r w:rsidR="00884A4F" w:rsidRPr="00460EC6">
        <w:rPr>
          <w:color w:val="000000" w:themeColor="text1"/>
        </w:rPr>
        <w:t>E</w:t>
      </w:r>
      <w:proofErr w:type="spellEnd"/>
      <w:r w:rsidR="00884A4F" w:rsidRPr="00460EC6">
        <w:rPr>
          <w:color w:val="000000" w:themeColor="text1"/>
        </w:rPr>
        <w:t xml:space="preserve"> in collaboration with the World Bank has prepared the Urban Safety Net and Jobs Project with the objective of supporting and lifting poor households and individuals from absolute poverty to self-sufficiency through variety of activities such as cash for work, permanent direct income support, awareness creations, skills training, provision of incentives in the form of livelihood grant, experience sharing, education and counseling on behavioral change for beneficiaries.</w:t>
      </w:r>
    </w:p>
    <w:p w14:paraId="6E56DCBA" w14:textId="77777777" w:rsidR="00884A4F" w:rsidRPr="00460EC6" w:rsidRDefault="006A685D" w:rsidP="00526D16">
      <w:pPr>
        <w:pStyle w:val="NormalWeb"/>
        <w:numPr>
          <w:ilvl w:val="0"/>
          <w:numId w:val="3"/>
        </w:numPr>
        <w:tabs>
          <w:tab w:val="left" w:pos="810"/>
          <w:tab w:val="left" w:pos="900"/>
          <w:tab w:val="left" w:pos="990"/>
        </w:tabs>
        <w:spacing w:line="360" w:lineRule="auto"/>
        <w:ind w:left="810" w:hanging="450"/>
        <w:jc w:val="both"/>
        <w:rPr>
          <w:color w:val="000000" w:themeColor="text1"/>
        </w:rPr>
      </w:pPr>
      <w:r w:rsidRPr="00460EC6">
        <w:rPr>
          <w:color w:val="000000" w:themeColor="text1"/>
        </w:rPr>
        <w:t>U</w:t>
      </w:r>
      <w:r w:rsidR="00707617" w:rsidRPr="00460EC6">
        <w:rPr>
          <w:color w:val="000000" w:themeColor="text1"/>
        </w:rPr>
        <w:t xml:space="preserve">rban </w:t>
      </w:r>
      <w:r w:rsidRPr="00460EC6">
        <w:rPr>
          <w:color w:val="000000" w:themeColor="text1"/>
        </w:rPr>
        <w:t xml:space="preserve">PSNP targets vulnerable groups since the program launched in 11 major urban cities of the country in 2016. These programs are complemented by the National Social Protection Policy, which lays the groundwork for a more cohesive and inclusive social protection system, promoting equity and resilience across all segments of society.  </w:t>
      </w:r>
    </w:p>
    <w:p w14:paraId="155ECF5F" w14:textId="0C0BDE49" w:rsidR="00884A4F" w:rsidRPr="00460EC6" w:rsidRDefault="00884A4F" w:rsidP="00526D16">
      <w:pPr>
        <w:spacing w:line="360" w:lineRule="auto"/>
        <w:jc w:val="both"/>
        <w:rPr>
          <w:rFonts w:ascii="Times New Roman" w:eastAsia="Calibri" w:hAnsi="Times New Roman" w:cs="Times New Roman"/>
          <w:b/>
          <w:color w:val="000000" w:themeColor="text1"/>
          <w:kern w:val="0"/>
          <w:sz w:val="24"/>
          <w:szCs w:val="24"/>
          <w:u w:val="single"/>
          <w14:ligatures w14:val="none"/>
        </w:rPr>
      </w:pPr>
      <w:r w:rsidRPr="00460EC6">
        <w:rPr>
          <w:rFonts w:ascii="Times New Roman" w:eastAsia="Calibri" w:hAnsi="Times New Roman" w:cs="Times New Roman"/>
          <w:b/>
          <w:color w:val="000000" w:themeColor="text1"/>
          <w:kern w:val="0"/>
          <w:sz w:val="24"/>
          <w:szCs w:val="24"/>
          <w14:ligatures w14:val="none"/>
        </w:rPr>
        <w:t xml:space="preserve">Article 10: </w:t>
      </w:r>
      <w:r w:rsidRPr="00460EC6">
        <w:rPr>
          <w:rFonts w:ascii="Times New Roman" w:eastAsia="Calibri" w:hAnsi="Times New Roman" w:cs="Times New Roman"/>
          <w:b/>
          <w:color w:val="000000" w:themeColor="text1"/>
          <w:kern w:val="0"/>
          <w:sz w:val="24"/>
          <w:szCs w:val="24"/>
          <w:u w:val="single"/>
          <w14:ligatures w14:val="none"/>
        </w:rPr>
        <w:t xml:space="preserve">Protection and </w:t>
      </w:r>
      <w:r w:rsidR="00A70474" w:rsidRPr="00460EC6">
        <w:rPr>
          <w:rFonts w:ascii="Times New Roman" w:eastAsia="Calibri" w:hAnsi="Times New Roman" w:cs="Times New Roman"/>
          <w:b/>
          <w:color w:val="000000" w:themeColor="text1"/>
          <w:kern w:val="0"/>
          <w:sz w:val="24"/>
          <w:szCs w:val="24"/>
          <w:u w:val="single"/>
          <w14:ligatures w14:val="none"/>
        </w:rPr>
        <w:t>A</w:t>
      </w:r>
      <w:r w:rsidRPr="00460EC6">
        <w:rPr>
          <w:rFonts w:ascii="Times New Roman" w:eastAsia="Calibri" w:hAnsi="Times New Roman" w:cs="Times New Roman"/>
          <w:b/>
          <w:color w:val="000000" w:themeColor="text1"/>
          <w:kern w:val="0"/>
          <w:sz w:val="24"/>
          <w:szCs w:val="24"/>
          <w:u w:val="single"/>
          <w14:ligatures w14:val="none"/>
        </w:rPr>
        <w:t xml:space="preserve">ssistance to the </w:t>
      </w:r>
      <w:r w:rsidR="00A70474" w:rsidRPr="00460EC6">
        <w:rPr>
          <w:rFonts w:ascii="Times New Roman" w:eastAsia="Calibri" w:hAnsi="Times New Roman" w:cs="Times New Roman"/>
          <w:b/>
          <w:color w:val="000000" w:themeColor="text1"/>
          <w:kern w:val="0"/>
          <w:sz w:val="24"/>
          <w:szCs w:val="24"/>
          <w:u w:val="single"/>
          <w14:ligatures w14:val="none"/>
        </w:rPr>
        <w:t>F</w:t>
      </w:r>
      <w:r w:rsidRPr="00460EC6">
        <w:rPr>
          <w:rFonts w:ascii="Times New Roman" w:eastAsia="Calibri" w:hAnsi="Times New Roman" w:cs="Times New Roman"/>
          <w:b/>
          <w:color w:val="000000" w:themeColor="text1"/>
          <w:kern w:val="0"/>
          <w:sz w:val="24"/>
          <w:szCs w:val="24"/>
          <w:u w:val="single"/>
          <w14:ligatures w14:val="none"/>
        </w:rPr>
        <w:t>amily</w:t>
      </w:r>
      <w:r w:rsidR="00C87F70">
        <w:rPr>
          <w:rFonts w:ascii="Times New Roman" w:eastAsia="Calibri" w:hAnsi="Times New Roman" w:cs="Times New Roman"/>
          <w:b/>
          <w:color w:val="000000" w:themeColor="text1"/>
          <w:kern w:val="0"/>
          <w:sz w:val="24"/>
          <w:szCs w:val="24"/>
          <w:u w:val="single"/>
          <w14:ligatures w14:val="none"/>
        </w:rPr>
        <w:t>.</w:t>
      </w:r>
    </w:p>
    <w:p w14:paraId="4A50ACDB" w14:textId="140433B0" w:rsidR="00C87F70" w:rsidRP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hAnsi="Times New Roman" w:cs="Times New Roman"/>
          <w:color w:val="000000" w:themeColor="text1"/>
          <w:kern w:val="0"/>
          <w:sz w:val="24"/>
          <w:szCs w:val="24"/>
          <w:lang w:val="en-US"/>
          <w14:ligatures w14:val="none"/>
        </w:rPr>
        <w:t>The</w:t>
      </w:r>
      <w:r w:rsidR="00353D5F" w:rsidRPr="00C87F70">
        <w:rPr>
          <w:rFonts w:ascii="Times New Roman" w:hAnsi="Times New Roman" w:cs="Times New Roman"/>
          <w:color w:val="000000" w:themeColor="text1"/>
          <w:kern w:val="0"/>
          <w:sz w:val="24"/>
          <w:szCs w:val="24"/>
          <w:lang w:val="en-US"/>
          <w14:ligatures w14:val="none"/>
        </w:rPr>
        <w:t xml:space="preserve"> FDRE</w:t>
      </w:r>
      <w:r w:rsidRPr="00C87F70">
        <w:rPr>
          <w:rFonts w:ascii="Times New Roman" w:hAnsi="Times New Roman" w:cs="Times New Roman"/>
          <w:color w:val="000000" w:themeColor="text1"/>
          <w:kern w:val="0"/>
          <w:sz w:val="24"/>
          <w:szCs w:val="24"/>
          <w:lang w:val="en-US"/>
          <w14:ligatures w14:val="none"/>
        </w:rPr>
        <w:t xml:space="preserve"> Constitution, the Revised Family Code, and the regional family laws govern the protections accorded to the family. </w:t>
      </w:r>
      <w:r w:rsidRPr="00C87F70">
        <w:rPr>
          <w:rFonts w:ascii="Times New Roman" w:eastAsia="Times New Roman" w:hAnsi="Times New Roman" w:cs="Times New Roman"/>
          <w:color w:val="000000" w:themeColor="text1"/>
          <w:kern w:val="0"/>
          <w:sz w:val="24"/>
          <w:szCs w:val="24"/>
          <w:lang w:val="en-US"/>
          <w14:ligatures w14:val="none"/>
        </w:rPr>
        <w:t>Family matters are regulated by special</w:t>
      </w:r>
      <w:r w:rsidR="00353D5F" w:rsidRPr="00C87F70">
        <w:rPr>
          <w:rFonts w:ascii="Times New Roman" w:eastAsia="Times New Roman" w:hAnsi="Times New Roman" w:cs="Times New Roman"/>
          <w:color w:val="000000" w:themeColor="text1"/>
          <w:kern w:val="0"/>
          <w:sz w:val="24"/>
          <w:szCs w:val="24"/>
          <w:lang w:val="en-US"/>
          <w14:ligatures w14:val="none"/>
        </w:rPr>
        <w:t>ized</w:t>
      </w:r>
      <w:r w:rsidRPr="00C87F70">
        <w:rPr>
          <w:rFonts w:ascii="Times New Roman" w:eastAsia="Times New Roman" w:hAnsi="Times New Roman" w:cs="Times New Roman"/>
          <w:color w:val="000000" w:themeColor="text1"/>
          <w:kern w:val="0"/>
          <w:sz w:val="24"/>
          <w:szCs w:val="24"/>
          <w:lang w:val="en-US"/>
          <w14:ligatures w14:val="none"/>
        </w:rPr>
        <w:t xml:space="preserve"> </w:t>
      </w:r>
      <w:r w:rsidR="00353D5F" w:rsidRPr="00C87F70">
        <w:rPr>
          <w:rFonts w:ascii="Times New Roman" w:eastAsia="Times New Roman" w:hAnsi="Times New Roman" w:cs="Times New Roman"/>
          <w:color w:val="000000" w:themeColor="text1"/>
          <w:kern w:val="0"/>
          <w:sz w:val="24"/>
          <w:szCs w:val="24"/>
          <w:lang w:val="en-US"/>
          <w14:ligatures w14:val="none"/>
        </w:rPr>
        <w:t>c</w:t>
      </w:r>
      <w:r w:rsidRPr="00C87F70">
        <w:rPr>
          <w:rFonts w:ascii="Times New Roman" w:eastAsia="Times New Roman" w:hAnsi="Times New Roman" w:cs="Times New Roman"/>
          <w:color w:val="000000" w:themeColor="text1"/>
          <w:kern w:val="0"/>
          <w:sz w:val="24"/>
          <w:szCs w:val="24"/>
          <w:lang w:val="en-US"/>
          <w14:ligatures w14:val="none"/>
        </w:rPr>
        <w:t xml:space="preserve">ourts that also provide free counseling services, </w:t>
      </w:r>
      <w:r w:rsidR="00353D5F" w:rsidRPr="00C87F70">
        <w:rPr>
          <w:rFonts w:ascii="Times New Roman" w:eastAsia="Times New Roman" w:hAnsi="Times New Roman" w:cs="Times New Roman"/>
          <w:color w:val="000000" w:themeColor="text1"/>
          <w:kern w:val="0"/>
          <w:sz w:val="24"/>
          <w:szCs w:val="24"/>
          <w:lang w:val="en-US"/>
          <w14:ligatures w14:val="none"/>
        </w:rPr>
        <w:t>taking into account</w:t>
      </w:r>
      <w:r w:rsidRPr="00C87F70">
        <w:rPr>
          <w:rFonts w:ascii="Times New Roman" w:eastAsia="Times New Roman" w:hAnsi="Times New Roman" w:cs="Times New Roman"/>
          <w:color w:val="000000" w:themeColor="text1"/>
          <w:kern w:val="0"/>
          <w:sz w:val="24"/>
          <w:szCs w:val="24"/>
          <w:lang w:val="en-US"/>
          <w14:ligatures w14:val="none"/>
        </w:rPr>
        <w:t xml:space="preserve"> the</w:t>
      </w:r>
      <w:r w:rsidR="00A70474" w:rsidRPr="00C87F70">
        <w:rPr>
          <w:rFonts w:ascii="Times New Roman" w:eastAsia="Times New Roman" w:hAnsi="Times New Roman" w:cs="Times New Roman"/>
          <w:color w:val="000000" w:themeColor="text1"/>
          <w:kern w:val="0"/>
          <w:sz w:val="24"/>
          <w:szCs w:val="24"/>
          <w:lang w:val="en-US"/>
          <w14:ligatures w14:val="none"/>
        </w:rPr>
        <w:t xml:space="preserve"> social and psychological needs.</w:t>
      </w:r>
    </w:p>
    <w:p w14:paraId="4BDCC9F0" w14:textId="77777777" w:rsidR="00C87F70" w:rsidRPr="00C87F70" w:rsidRDefault="006B7B65"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hAnsi="Times New Roman" w:cs="Times New Roman"/>
          <w:color w:val="000000" w:themeColor="text1"/>
          <w:kern w:val="0"/>
          <w:sz w:val="24"/>
          <w:szCs w:val="24"/>
          <w:lang w:val="en-US"/>
          <w14:ligatures w14:val="none"/>
        </w:rPr>
        <w:t>To ensure a health system that encompasses integrated services and information that meet the needs of older people,</w:t>
      </w:r>
      <w:r w:rsidRPr="00C87F70">
        <w:rPr>
          <w:rFonts w:ascii="Times New Roman" w:hAnsi="Times New Roman" w:cs="Times New Roman"/>
          <w:b/>
          <w:color w:val="000000" w:themeColor="text1"/>
          <w:kern w:val="0"/>
          <w:sz w:val="24"/>
          <w:szCs w:val="24"/>
          <w14:ligatures w14:val="none"/>
        </w:rPr>
        <w:t xml:space="preserve"> </w:t>
      </w:r>
      <w:r w:rsidRPr="00C87F70">
        <w:rPr>
          <w:rFonts w:ascii="Times New Roman" w:hAnsi="Times New Roman" w:cs="Times New Roman"/>
          <w:color w:val="000000" w:themeColor="text1"/>
          <w:kern w:val="0"/>
          <w:sz w:val="24"/>
          <w:szCs w:val="24"/>
          <w:lang w:val="en-US"/>
          <w14:ligatures w14:val="none"/>
        </w:rPr>
        <w:t>t</w:t>
      </w:r>
      <w:r w:rsidR="00884A4F" w:rsidRPr="00C87F70">
        <w:rPr>
          <w:rFonts w:ascii="Times New Roman" w:hAnsi="Times New Roman" w:cs="Times New Roman"/>
          <w:color w:val="000000" w:themeColor="text1"/>
          <w:kern w:val="0"/>
          <w:sz w:val="24"/>
          <w:szCs w:val="24"/>
          <w:lang w:val="en-US"/>
          <w14:ligatures w14:val="none"/>
        </w:rPr>
        <w:t xml:space="preserve">he </w:t>
      </w:r>
      <w:proofErr w:type="spellStart"/>
      <w:r w:rsidR="001A59F7" w:rsidRPr="00C87F70">
        <w:rPr>
          <w:rFonts w:ascii="Times New Roman" w:hAnsi="Times New Roman" w:cs="Times New Roman"/>
          <w:color w:val="000000" w:themeColor="text1"/>
          <w:kern w:val="0"/>
          <w:sz w:val="24"/>
          <w:szCs w:val="24"/>
          <w:lang w:val="en-US"/>
          <w14:ligatures w14:val="none"/>
        </w:rPr>
        <w:t>GoE</w:t>
      </w:r>
      <w:proofErr w:type="spellEnd"/>
      <w:r w:rsidR="00884A4F" w:rsidRPr="00C87F70">
        <w:rPr>
          <w:rFonts w:ascii="Times New Roman" w:hAnsi="Times New Roman" w:cs="Times New Roman"/>
          <w:color w:val="000000" w:themeColor="text1"/>
          <w:kern w:val="0"/>
          <w:sz w:val="24"/>
          <w:szCs w:val="24"/>
          <w:lang w:val="en-US"/>
          <w14:ligatures w14:val="none"/>
        </w:rPr>
        <w:t xml:space="preserve"> has developed the Healthy Ageing Strategy (2020 – 2025)</w:t>
      </w:r>
      <w:r w:rsidR="001A59F7" w:rsidRPr="00C87F70">
        <w:rPr>
          <w:rFonts w:ascii="Times New Roman" w:hAnsi="Times New Roman" w:cs="Times New Roman"/>
          <w:color w:val="000000" w:themeColor="text1"/>
          <w:kern w:val="0"/>
          <w:sz w:val="24"/>
          <w:szCs w:val="24"/>
          <w:lang w:val="en-US"/>
          <w14:ligatures w14:val="none"/>
        </w:rPr>
        <w:t xml:space="preserve"> which </w:t>
      </w:r>
      <w:r w:rsidR="00884A4F" w:rsidRPr="00C87F70">
        <w:rPr>
          <w:rFonts w:ascii="Times New Roman" w:hAnsi="Times New Roman" w:cs="Times New Roman"/>
          <w:color w:val="000000" w:themeColor="text1"/>
          <w:kern w:val="0"/>
          <w:sz w:val="24"/>
          <w:szCs w:val="24"/>
          <w:lang w:val="en-US"/>
          <w14:ligatures w14:val="none"/>
        </w:rPr>
        <w:t>serve</w:t>
      </w:r>
      <w:r w:rsidR="001A59F7" w:rsidRPr="00C87F70">
        <w:rPr>
          <w:rFonts w:ascii="Times New Roman" w:hAnsi="Times New Roman" w:cs="Times New Roman"/>
          <w:color w:val="000000" w:themeColor="text1"/>
          <w:kern w:val="0"/>
          <w:sz w:val="24"/>
          <w:szCs w:val="24"/>
          <w:lang w:val="en-US"/>
          <w14:ligatures w14:val="none"/>
        </w:rPr>
        <w:t>s</w:t>
      </w:r>
      <w:r w:rsidR="00884A4F" w:rsidRPr="00C87F70">
        <w:rPr>
          <w:rFonts w:ascii="Times New Roman" w:hAnsi="Times New Roman" w:cs="Times New Roman"/>
          <w:color w:val="000000" w:themeColor="text1"/>
          <w:kern w:val="0"/>
          <w:sz w:val="24"/>
          <w:szCs w:val="24"/>
          <w:lang w:val="en-US"/>
          <w14:ligatures w14:val="none"/>
        </w:rPr>
        <w:t xml:space="preserve"> as a roadmap in addressing the health problems at all levels of the health sector with operational links to all relevant sectors. It envisions creating an enabling environment where actions are taken for healthy ageing through the life-course of individuals as well as across the health sector, which is supportive of older people to remain healthy, active, empowered, and socially engaged. </w:t>
      </w:r>
    </w:p>
    <w:p w14:paraId="34CB0427" w14:textId="77777777" w:rsidR="00C87F70" w:rsidRPr="00C87F70" w:rsidRDefault="00E603DE"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proofErr w:type="spellStart"/>
      <w:r w:rsidRPr="00C87F70">
        <w:rPr>
          <w:rFonts w:ascii="Times New Roman" w:hAnsi="Times New Roman" w:cs="Times New Roman"/>
          <w:color w:val="000000" w:themeColor="text1"/>
          <w:kern w:val="0"/>
          <w:sz w:val="24"/>
          <w:szCs w:val="24"/>
          <w:lang w:val="en-US"/>
          <w14:ligatures w14:val="none"/>
        </w:rPr>
        <w:lastRenderedPageBreak/>
        <w:t>MoWSA</w:t>
      </w:r>
      <w:proofErr w:type="spellEnd"/>
      <w:r w:rsidRPr="00C87F70">
        <w:rPr>
          <w:rFonts w:ascii="Times New Roman" w:hAnsi="Times New Roman" w:cs="Times New Roman"/>
          <w:color w:val="000000" w:themeColor="text1"/>
          <w:kern w:val="0"/>
          <w:sz w:val="24"/>
          <w:szCs w:val="24"/>
          <w:lang w:val="en-US"/>
          <w14:ligatures w14:val="none"/>
        </w:rPr>
        <w:t xml:space="preserve"> is responsible in overseeing</w:t>
      </w:r>
      <w:r w:rsidR="00354EBC" w:rsidRPr="00C87F70">
        <w:rPr>
          <w:rFonts w:ascii="Times New Roman" w:hAnsi="Times New Roman" w:cs="Times New Roman"/>
          <w:color w:val="000000" w:themeColor="text1"/>
          <w:kern w:val="0"/>
          <w:sz w:val="24"/>
          <w:szCs w:val="24"/>
          <w:lang w:val="en-US"/>
          <w14:ligatures w14:val="none"/>
        </w:rPr>
        <w:t xml:space="preserve"> the implementation of</w:t>
      </w:r>
      <w:r w:rsidR="00B10CB0" w:rsidRPr="00C87F70">
        <w:rPr>
          <w:rFonts w:ascii="Times New Roman" w:hAnsi="Times New Roman" w:cs="Times New Roman"/>
          <w:color w:val="000000" w:themeColor="text1"/>
          <w:kern w:val="0"/>
          <w:sz w:val="24"/>
          <w:szCs w:val="24"/>
          <w:lang w:val="en-US"/>
          <w14:ligatures w14:val="none"/>
        </w:rPr>
        <w:t xml:space="preserve"> family protection strategies.</w:t>
      </w:r>
      <w:r w:rsidR="006B7B65" w:rsidRPr="00C87F70">
        <w:rPr>
          <w:rFonts w:ascii="Times New Roman" w:hAnsi="Times New Roman" w:cs="Times New Roman"/>
          <w:color w:val="000000" w:themeColor="text1"/>
          <w:kern w:val="0"/>
          <w:sz w:val="24"/>
          <w:szCs w:val="24"/>
          <w:lang w:val="en-US"/>
          <w14:ligatures w14:val="none"/>
        </w:rPr>
        <w:t xml:space="preserve"> </w:t>
      </w:r>
      <w:r w:rsidR="00657288" w:rsidRPr="00C87F70">
        <w:rPr>
          <w:rFonts w:ascii="Times New Roman" w:hAnsi="Times New Roman" w:cs="Times New Roman"/>
          <w:color w:val="000000" w:themeColor="text1"/>
          <w:kern w:val="0"/>
          <w:sz w:val="24"/>
          <w:szCs w:val="24"/>
          <w:lang w:val="en-US"/>
          <w14:ligatures w14:val="none"/>
        </w:rPr>
        <w:t>In respect to that</w:t>
      </w:r>
      <w:r w:rsidR="00884A4F" w:rsidRPr="00C87F70">
        <w:rPr>
          <w:rFonts w:ascii="Times New Roman" w:hAnsi="Times New Roman" w:cs="Times New Roman"/>
          <w:color w:val="000000" w:themeColor="text1"/>
          <w:kern w:val="0"/>
          <w:sz w:val="24"/>
          <w:szCs w:val="24"/>
          <w:lang w:val="en-US"/>
          <w14:ligatures w14:val="none"/>
        </w:rPr>
        <w:t xml:space="preserve">, </w:t>
      </w:r>
      <w:r w:rsidR="009C3A06" w:rsidRPr="00C87F70">
        <w:rPr>
          <w:rFonts w:ascii="Times New Roman" w:hAnsi="Times New Roman" w:cs="Times New Roman"/>
          <w:color w:val="000000" w:themeColor="text1"/>
          <w:kern w:val="0"/>
          <w:sz w:val="24"/>
          <w:szCs w:val="24"/>
          <w:lang w:val="en-US"/>
          <w14:ligatures w14:val="none"/>
        </w:rPr>
        <w:t>the</w:t>
      </w:r>
      <w:r w:rsidR="005B6293" w:rsidRPr="00C87F70">
        <w:rPr>
          <w:rFonts w:ascii="Times New Roman" w:hAnsi="Times New Roman" w:cs="Times New Roman"/>
          <w:color w:val="000000" w:themeColor="text1"/>
          <w:kern w:val="0"/>
          <w:sz w:val="24"/>
          <w:szCs w:val="24"/>
          <w:lang w:val="en-US"/>
          <w14:ligatures w14:val="none"/>
        </w:rPr>
        <w:t xml:space="preserve"> preparation of the latest </w:t>
      </w:r>
      <w:r w:rsidR="00884A4F" w:rsidRPr="00C87F70">
        <w:rPr>
          <w:rFonts w:ascii="Times New Roman" w:hAnsi="Times New Roman" w:cs="Times New Roman"/>
          <w:color w:val="000000" w:themeColor="text1"/>
          <w:kern w:val="0"/>
          <w:sz w:val="24"/>
          <w:szCs w:val="24"/>
          <w:lang w:val="en-US"/>
          <w14:ligatures w14:val="none"/>
        </w:rPr>
        <w:t xml:space="preserve">five-year Plan of Action for Family (2024-2029) and a Family Management Skill Manual are in progress. </w:t>
      </w:r>
      <w:r w:rsidR="001A59F7" w:rsidRPr="00C87F70">
        <w:rPr>
          <w:rFonts w:ascii="Times New Roman" w:hAnsi="Times New Roman" w:cs="Times New Roman"/>
          <w:color w:val="000000" w:themeColor="text1"/>
          <w:kern w:val="0"/>
          <w:sz w:val="24"/>
          <w:szCs w:val="24"/>
          <w:lang w:val="en-US"/>
          <w14:ligatures w14:val="none"/>
        </w:rPr>
        <w:t xml:space="preserve"> </w:t>
      </w:r>
    </w:p>
    <w:p w14:paraId="2B67E243" w14:textId="77777777" w:rsidR="00C87F70" w:rsidRP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Calibri" w:hAnsi="Times New Roman" w:cs="Times New Roman"/>
          <w:color w:val="000000" w:themeColor="text1"/>
          <w:kern w:val="0"/>
          <w:sz w:val="24"/>
          <w:szCs w:val="24"/>
          <w:lang w:val="en-US"/>
          <w14:ligatures w14:val="none"/>
        </w:rPr>
        <w:t>During the reporting period, the government has shown commitment to enforcing regulatory frameworks that prevent a</w:t>
      </w:r>
      <w:r w:rsidR="009C3A06" w:rsidRPr="00C87F70">
        <w:rPr>
          <w:rFonts w:ascii="Times New Roman" w:eastAsia="Calibri" w:hAnsi="Times New Roman" w:cs="Times New Roman"/>
          <w:color w:val="000000" w:themeColor="text1"/>
          <w:kern w:val="0"/>
          <w:sz w:val="24"/>
          <w:szCs w:val="24"/>
          <w:lang w:val="en-US"/>
          <w14:ligatures w14:val="none"/>
        </w:rPr>
        <w:t>nd address GBV</w:t>
      </w:r>
      <w:r w:rsidRPr="00C87F70">
        <w:rPr>
          <w:rFonts w:ascii="Times New Roman" w:eastAsia="Calibri" w:hAnsi="Times New Roman" w:cs="Times New Roman"/>
          <w:color w:val="000000" w:themeColor="text1"/>
          <w:kern w:val="0"/>
          <w:sz w:val="24"/>
          <w:szCs w:val="24"/>
          <w:lang w:val="en-US"/>
          <w14:ligatures w14:val="none"/>
        </w:rPr>
        <w:t xml:space="preserve">. </w:t>
      </w:r>
    </w:p>
    <w:p w14:paraId="15E523DB" w14:textId="77777777" w:rsidR="00C87F70" w:rsidRP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Calibri" w:hAnsi="Times New Roman" w:cs="Times New Roman"/>
          <w:iCs/>
          <w:color w:val="000000" w:themeColor="text1"/>
          <w:kern w:val="0"/>
          <w:sz w:val="24"/>
          <w:szCs w:val="24"/>
          <w:lang w:val="en-US"/>
          <w14:ligatures w14:val="none"/>
        </w:rPr>
        <w:t xml:space="preserve">Courts have been taking reforms to expedite proceedings and provide legal support to cases </w:t>
      </w:r>
      <w:r w:rsidRPr="00C87F70">
        <w:rPr>
          <w:rFonts w:ascii="Times New Roman" w:hAnsi="Times New Roman" w:cs="Times New Roman"/>
          <w:color w:val="000000" w:themeColor="text1"/>
          <w:kern w:val="0"/>
          <w:sz w:val="24"/>
          <w:szCs w:val="24"/>
          <w:lang w:val="en-US"/>
          <w14:ligatures w14:val="none"/>
        </w:rPr>
        <w:t>involving women and children in accordance with Proclamation No.1234/202</w:t>
      </w:r>
      <w:r w:rsidR="004865A3" w:rsidRPr="00C87F70">
        <w:rPr>
          <w:rFonts w:ascii="Times New Roman" w:hAnsi="Times New Roman" w:cs="Times New Roman"/>
          <w:color w:val="000000" w:themeColor="text1"/>
          <w:kern w:val="0"/>
          <w:sz w:val="24"/>
          <w:szCs w:val="24"/>
          <w:lang w:val="en-US"/>
          <w14:ligatures w14:val="none"/>
        </w:rPr>
        <w:t>1</w:t>
      </w:r>
      <w:r w:rsidRPr="00C87F70">
        <w:rPr>
          <w:rFonts w:ascii="Times New Roman" w:hAnsi="Times New Roman" w:cs="Times New Roman"/>
          <w:color w:val="000000" w:themeColor="text1"/>
          <w:kern w:val="0"/>
          <w:sz w:val="24"/>
          <w:szCs w:val="24"/>
          <w:lang w:val="en-US"/>
          <w14:ligatures w14:val="none"/>
        </w:rPr>
        <w:t xml:space="preserve">. </w:t>
      </w:r>
    </w:p>
    <w:p w14:paraId="54781ACC" w14:textId="77777777" w:rsidR="00C87F70" w:rsidRP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hAnsi="Times New Roman" w:cs="Times New Roman"/>
          <w:color w:val="000000" w:themeColor="text1"/>
          <w:kern w:val="0"/>
          <w:sz w:val="24"/>
          <w:szCs w:val="24"/>
          <w:lang w:val="en-US"/>
          <w14:ligatures w14:val="none"/>
        </w:rPr>
        <w:t>In this regard, gender-responsive criminal procedures, including investigations and evidence collection, have been implemented nationwide to ensure that the criminal justice system effectively meets the needs of women.</w:t>
      </w:r>
    </w:p>
    <w:p w14:paraId="5CAF24F4" w14:textId="77777777" w:rsidR="00C87F70" w:rsidRPr="00C87F70" w:rsidRDefault="00C97095"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hAnsi="Times New Roman" w:cs="Times New Roman"/>
          <w:color w:val="000000" w:themeColor="text1"/>
          <w:kern w:val="0"/>
          <w:sz w:val="24"/>
          <w:szCs w:val="24"/>
          <w:lang w:val="en-US"/>
          <w14:ligatures w14:val="none"/>
        </w:rPr>
        <w:t xml:space="preserve">The </w:t>
      </w:r>
      <w:proofErr w:type="spellStart"/>
      <w:r w:rsidRPr="00C87F70">
        <w:rPr>
          <w:rFonts w:ascii="Times New Roman" w:hAnsi="Times New Roman" w:cs="Times New Roman"/>
          <w:color w:val="000000" w:themeColor="text1"/>
          <w:kern w:val="0"/>
          <w:sz w:val="24"/>
          <w:szCs w:val="24"/>
          <w:lang w:val="en-US"/>
          <w14:ligatures w14:val="none"/>
        </w:rPr>
        <w:t>GoE</w:t>
      </w:r>
      <w:proofErr w:type="spellEnd"/>
      <w:r w:rsidR="00884A4F" w:rsidRPr="00C87F70">
        <w:rPr>
          <w:rFonts w:ascii="Times New Roman" w:hAnsi="Times New Roman" w:cs="Times New Roman"/>
          <w:color w:val="000000" w:themeColor="text1"/>
          <w:kern w:val="0"/>
          <w:sz w:val="24"/>
          <w:szCs w:val="24"/>
          <w:lang w:val="en-US"/>
          <w14:ligatures w14:val="none"/>
        </w:rPr>
        <w:t xml:space="preserve"> has also established the necessary institutional mechanisms</w:t>
      </w:r>
      <w:r w:rsidRPr="00C87F70">
        <w:rPr>
          <w:rFonts w:ascii="Times New Roman" w:hAnsi="Times New Roman" w:cs="Times New Roman"/>
          <w:color w:val="000000" w:themeColor="text1"/>
          <w:kern w:val="0"/>
          <w:sz w:val="24"/>
          <w:szCs w:val="24"/>
          <w:lang w:val="en-US"/>
          <w14:ligatures w14:val="none"/>
        </w:rPr>
        <w:t xml:space="preserve"> both at federal and regional level</w:t>
      </w:r>
      <w:r w:rsidR="00884A4F" w:rsidRPr="00C87F70">
        <w:rPr>
          <w:rFonts w:ascii="Times New Roman" w:hAnsi="Times New Roman" w:cs="Times New Roman"/>
          <w:color w:val="000000" w:themeColor="text1"/>
          <w:kern w:val="0"/>
          <w:sz w:val="24"/>
          <w:szCs w:val="24"/>
          <w:lang w:val="en-US"/>
          <w14:ligatures w14:val="none"/>
        </w:rPr>
        <w:t xml:space="preserve">, such as the creation of Federal and Regional Women and Social Affairs Offices, Special Child and Women Protection Units in the police and prosecution offices, and special benches for cases involving violence against women in the federal and many regional courts. </w:t>
      </w:r>
    </w:p>
    <w:p w14:paraId="1FCE9BF9" w14:textId="77777777" w:rsidR="00C87F70" w:rsidRPr="00C87F70" w:rsidRDefault="002E0DBB"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hAnsi="Times New Roman" w:cs="Times New Roman"/>
          <w:color w:val="000000" w:themeColor="text1"/>
          <w:kern w:val="0"/>
          <w:sz w:val="24"/>
          <w:szCs w:val="24"/>
          <w:lang w:val="en-US"/>
          <w14:ligatures w14:val="none"/>
        </w:rPr>
        <w:t xml:space="preserve">In 2012, the </w:t>
      </w:r>
      <w:proofErr w:type="spellStart"/>
      <w:r w:rsidRPr="00C87F70">
        <w:rPr>
          <w:rFonts w:ascii="Times New Roman" w:hAnsi="Times New Roman" w:cs="Times New Roman"/>
          <w:color w:val="000000" w:themeColor="text1"/>
          <w:kern w:val="0"/>
          <w:sz w:val="24"/>
          <w:szCs w:val="24"/>
          <w:lang w:val="en-US"/>
          <w14:ligatures w14:val="none"/>
        </w:rPr>
        <w:t>GoE</w:t>
      </w:r>
      <w:proofErr w:type="spellEnd"/>
      <w:r w:rsidRPr="00C87F70">
        <w:rPr>
          <w:rFonts w:ascii="Times New Roman" w:hAnsi="Times New Roman" w:cs="Times New Roman"/>
          <w:color w:val="000000" w:themeColor="text1"/>
          <w:kern w:val="0"/>
          <w:sz w:val="24"/>
          <w:szCs w:val="24"/>
          <w:lang w:val="en-US"/>
          <w14:ligatures w14:val="none"/>
        </w:rPr>
        <w:t xml:space="preserve"> established</w:t>
      </w:r>
      <w:r w:rsidRPr="00C87F70">
        <w:rPr>
          <w:rFonts w:ascii="Times New Roman" w:eastAsia="Calibri" w:hAnsi="Times New Roman" w:cs="Times New Roman"/>
          <w:color w:val="000000" w:themeColor="text1"/>
          <w:kern w:val="0"/>
          <w:sz w:val="24"/>
          <w:szCs w:val="24"/>
          <w:lang w:val="en-US"/>
          <w14:ligatures w14:val="none"/>
        </w:rPr>
        <w:t xml:space="preserve"> </w:t>
      </w:r>
      <w:r w:rsidR="00884A4F" w:rsidRPr="00C87F70">
        <w:rPr>
          <w:rFonts w:ascii="Times New Roman" w:eastAsia="Calibri" w:hAnsi="Times New Roman" w:cs="Times New Roman"/>
          <w:color w:val="000000" w:themeColor="text1"/>
          <w:kern w:val="0"/>
          <w:sz w:val="24"/>
          <w:szCs w:val="24"/>
          <w:lang w:val="en-US"/>
          <w14:ligatures w14:val="none"/>
        </w:rPr>
        <w:t>a national coordinating body to prevent and re</w:t>
      </w:r>
      <w:r w:rsidR="00C97095" w:rsidRPr="00C87F70">
        <w:rPr>
          <w:rFonts w:ascii="Times New Roman" w:eastAsia="Calibri" w:hAnsi="Times New Roman" w:cs="Times New Roman"/>
          <w:color w:val="000000" w:themeColor="text1"/>
          <w:kern w:val="0"/>
          <w:sz w:val="24"/>
          <w:szCs w:val="24"/>
          <w:lang w:val="en-US"/>
          <w14:ligatures w14:val="none"/>
        </w:rPr>
        <w:t xml:space="preserve">spond to GBV </w:t>
      </w:r>
      <w:r w:rsidRPr="00C87F70">
        <w:rPr>
          <w:rFonts w:ascii="Times New Roman" w:eastAsia="Calibri" w:hAnsi="Times New Roman" w:cs="Times New Roman"/>
          <w:color w:val="000000" w:themeColor="text1"/>
          <w:kern w:val="0"/>
          <w:sz w:val="24"/>
          <w:szCs w:val="24"/>
          <w:lang w:val="en-US"/>
          <w14:ligatures w14:val="none"/>
        </w:rPr>
        <w:t>and children</w:t>
      </w:r>
      <w:r w:rsidR="00884A4F" w:rsidRPr="00C87F70">
        <w:rPr>
          <w:rFonts w:ascii="Times New Roman" w:eastAsia="Calibri" w:hAnsi="Times New Roman" w:cs="Times New Roman"/>
          <w:color w:val="000000" w:themeColor="text1"/>
          <w:kern w:val="0"/>
          <w:sz w:val="24"/>
          <w:szCs w:val="24"/>
          <w:lang w:val="en-US"/>
          <w14:ligatures w14:val="none"/>
        </w:rPr>
        <w:t>. This coordinating body has launched a revised five-year VAWC strategic plan (2023-2028) to strategically prevent violence and provide a comprehensive and coordinated response to violence.</w:t>
      </w:r>
    </w:p>
    <w:p w14:paraId="417D291A" w14:textId="77777777" w:rsidR="00C87F70" w:rsidRP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Calibri" w:hAnsi="Times New Roman" w:cs="Times New Roman"/>
          <w:color w:val="000000" w:themeColor="text1"/>
          <w:kern w:val="0"/>
          <w:sz w:val="24"/>
          <w:szCs w:val="24"/>
          <w14:ligatures w14:val="none"/>
        </w:rPr>
        <w:t>Accordingly, several initiatives are in place to raise awareness among women</w:t>
      </w:r>
      <w:r w:rsidRPr="00C87F70">
        <w:rPr>
          <w:rFonts w:ascii="Times New Roman" w:eastAsia="Calibri" w:hAnsi="Times New Roman" w:cs="Times New Roman"/>
          <w:color w:val="000000" w:themeColor="text1"/>
          <w:kern w:val="0"/>
          <w:sz w:val="24"/>
          <w:szCs w:val="24"/>
          <w:lang w:val="en-US"/>
          <w14:ligatures w14:val="none"/>
        </w:rPr>
        <w:t xml:space="preserve"> and girls to encourage reporting of acts of violence and ensure the availability of adequate victim assistance and rehabilitation services.</w:t>
      </w:r>
      <w:r w:rsidRPr="00C87F70">
        <w:rPr>
          <w:rFonts w:ascii="Times New Roman" w:eastAsia="Calibri" w:hAnsi="Times New Roman" w:cs="Times New Roman"/>
          <w:color w:val="000000" w:themeColor="text1"/>
          <w:kern w:val="0"/>
          <w:sz w:val="24"/>
          <w:szCs w:val="24"/>
          <w14:ligatures w14:val="none"/>
        </w:rPr>
        <w:t xml:space="preserve"> In this respect,</w:t>
      </w:r>
      <w:r w:rsidRPr="00C87F70">
        <w:rPr>
          <w:rFonts w:ascii="Times New Roman" w:eastAsia="Calibri" w:hAnsi="Times New Roman" w:cs="Times New Roman"/>
          <w:color w:val="000000" w:themeColor="text1"/>
          <w:kern w:val="0"/>
          <w:sz w:val="24"/>
          <w:szCs w:val="24"/>
          <w:lang w:val="en-US"/>
          <w14:ligatures w14:val="none"/>
        </w:rPr>
        <w:t xml:space="preserve"> various awareness campaigns on preventing GBV have been conducted by the government, CSOs, and development partners. Diverse methods such as media campaigns, community discussions, dialogues with religious and community leaders, conversations in schools, and hotlines providing information on GBV have been utilized to raise awareness on GBV and women's rights. The structures at the regional, zonal, and dis</w:t>
      </w:r>
      <w:r w:rsidR="002E0DBB" w:rsidRPr="00C87F70">
        <w:rPr>
          <w:rFonts w:ascii="Times New Roman" w:eastAsia="Calibri" w:hAnsi="Times New Roman" w:cs="Times New Roman"/>
          <w:color w:val="000000" w:themeColor="text1"/>
          <w:kern w:val="0"/>
          <w:sz w:val="24"/>
          <w:szCs w:val="24"/>
          <w:lang w:val="en-US"/>
          <w14:ligatures w14:val="none"/>
        </w:rPr>
        <w:t>trict levels, along with HEWs</w:t>
      </w:r>
      <w:r w:rsidRPr="00C87F70">
        <w:rPr>
          <w:rFonts w:ascii="Times New Roman" w:eastAsia="Calibri" w:hAnsi="Times New Roman" w:cs="Times New Roman"/>
          <w:color w:val="000000" w:themeColor="text1"/>
          <w:kern w:val="0"/>
          <w:sz w:val="24"/>
          <w:szCs w:val="24"/>
          <w:lang w:val="en-US"/>
          <w14:ligatures w14:val="none"/>
        </w:rPr>
        <w:t xml:space="preserve"> and Women </w:t>
      </w:r>
      <w:r w:rsidR="002E0DBB" w:rsidRPr="00C87F70">
        <w:rPr>
          <w:rFonts w:ascii="Times New Roman" w:eastAsia="Calibri" w:hAnsi="Times New Roman" w:cs="Times New Roman"/>
          <w:color w:val="000000" w:themeColor="text1"/>
          <w:kern w:val="0"/>
          <w:sz w:val="24"/>
          <w:szCs w:val="24"/>
          <w:lang w:val="en-US"/>
          <w14:ligatures w14:val="none"/>
        </w:rPr>
        <w:t xml:space="preserve">Development Union </w:t>
      </w:r>
      <w:r w:rsidRPr="00C87F70">
        <w:rPr>
          <w:rFonts w:ascii="Times New Roman" w:eastAsia="Calibri" w:hAnsi="Times New Roman" w:cs="Times New Roman"/>
          <w:color w:val="000000" w:themeColor="text1"/>
          <w:kern w:val="0"/>
          <w:sz w:val="24"/>
          <w:szCs w:val="24"/>
          <w:lang w:val="en-US"/>
          <w14:ligatures w14:val="none"/>
        </w:rPr>
        <w:t xml:space="preserve">at the community level, have </w:t>
      </w:r>
      <w:r w:rsidR="002E0DBB" w:rsidRPr="00C87F70">
        <w:rPr>
          <w:rFonts w:ascii="Times New Roman" w:eastAsia="Calibri" w:hAnsi="Times New Roman" w:cs="Times New Roman"/>
          <w:color w:val="000000" w:themeColor="text1"/>
          <w:kern w:val="0"/>
          <w:sz w:val="24"/>
          <w:szCs w:val="24"/>
          <w:lang w:val="en-US"/>
          <w14:ligatures w14:val="none"/>
        </w:rPr>
        <w:t xml:space="preserve">also </w:t>
      </w:r>
      <w:r w:rsidRPr="00C87F70">
        <w:rPr>
          <w:rFonts w:ascii="Times New Roman" w:eastAsia="Calibri" w:hAnsi="Times New Roman" w:cs="Times New Roman"/>
          <w:color w:val="000000" w:themeColor="text1"/>
          <w:kern w:val="0"/>
          <w:sz w:val="24"/>
          <w:szCs w:val="24"/>
          <w:lang w:val="en-US"/>
          <w14:ligatures w14:val="none"/>
        </w:rPr>
        <w:t>been utilized to integrate gender education that reaches the family level.</w:t>
      </w:r>
    </w:p>
    <w:p w14:paraId="3E084F62" w14:textId="77777777" w:rsid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Times New Roman" w:hAnsi="Times New Roman" w:cs="Times New Roman"/>
          <w:color w:val="000000" w:themeColor="text1"/>
          <w:kern w:val="0"/>
          <w:sz w:val="24"/>
          <w:szCs w:val="24"/>
          <w:lang w:val="en-US"/>
          <w14:ligatures w14:val="none"/>
        </w:rPr>
        <w:t xml:space="preserve">During the reporting period, the capacity of service providers to offer survivor-centered services has been enhanced. The government has established 90 One-Stop-Centers across </w:t>
      </w:r>
      <w:r w:rsidRPr="00C87F70">
        <w:rPr>
          <w:rFonts w:ascii="Times New Roman" w:eastAsia="Times New Roman" w:hAnsi="Times New Roman" w:cs="Times New Roman"/>
          <w:color w:val="000000" w:themeColor="text1"/>
          <w:kern w:val="0"/>
          <w:sz w:val="24"/>
          <w:szCs w:val="24"/>
          <w:lang w:val="en-US"/>
          <w14:ligatures w14:val="none"/>
        </w:rPr>
        <w:lastRenderedPageBreak/>
        <w:t>regions and city administrations, offering medical, psychological, and legal support, and temporary shelters for survivors of sexual violence, particularly women and girls. Additionally, safe houses and rehabilitation centers run by the government and CSOs facilitate reporting of GBVs to justice institutions.</w:t>
      </w:r>
    </w:p>
    <w:p w14:paraId="6DE48019" w14:textId="77777777" w:rsidR="00C87F70"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Times New Roman" w:hAnsi="Times New Roman" w:cs="Times New Roman"/>
          <w:color w:val="000000" w:themeColor="text1"/>
          <w:kern w:val="0"/>
          <w:sz w:val="24"/>
          <w:szCs w:val="24"/>
          <w:lang w:val="en-US"/>
          <w14:ligatures w14:val="none"/>
        </w:rPr>
        <w:t>In June 2024 alone, a total of 919 surv</w:t>
      </w:r>
      <w:r w:rsidR="002E0DBB" w:rsidRPr="00C87F70">
        <w:rPr>
          <w:rFonts w:ascii="Times New Roman" w:eastAsia="Times New Roman" w:hAnsi="Times New Roman" w:cs="Times New Roman"/>
          <w:color w:val="000000" w:themeColor="text1"/>
          <w:kern w:val="0"/>
          <w:sz w:val="24"/>
          <w:szCs w:val="24"/>
          <w:lang w:val="en-US"/>
          <w14:ligatures w14:val="none"/>
        </w:rPr>
        <w:t>ivors of GBV</w:t>
      </w:r>
      <w:r w:rsidRPr="00C87F70">
        <w:rPr>
          <w:rFonts w:ascii="Times New Roman" w:eastAsia="Times New Roman" w:hAnsi="Times New Roman" w:cs="Times New Roman"/>
          <w:color w:val="000000" w:themeColor="text1"/>
          <w:kern w:val="0"/>
          <w:sz w:val="24"/>
          <w:szCs w:val="24"/>
          <w:lang w:val="en-US"/>
          <w14:ligatures w14:val="none"/>
        </w:rPr>
        <w:t xml:space="preserve"> and individuals at risk in refugee camps received psychosocial support, counseling, and medical referrals. Additionally, 14,022 women and girls of reproductive age were provided with sanitary pads. Awareness-raising sessions on GBV prevention and protection from sexual exploitation and abuse reached 13,286 people through home visits and safe spaces for women and girls. Information, education, and communication materials we</w:t>
      </w:r>
      <w:r w:rsidR="002E0DBB" w:rsidRPr="00C87F70">
        <w:rPr>
          <w:rFonts w:ascii="Times New Roman" w:eastAsia="Times New Roman" w:hAnsi="Times New Roman" w:cs="Times New Roman"/>
          <w:color w:val="000000" w:themeColor="text1"/>
          <w:kern w:val="0"/>
          <w:sz w:val="24"/>
          <w:szCs w:val="24"/>
          <w:lang w:val="en-US"/>
          <w14:ligatures w14:val="none"/>
        </w:rPr>
        <w:t>re developed in Tigrigna, Arabic</w:t>
      </w:r>
      <w:r w:rsidRPr="00C87F70">
        <w:rPr>
          <w:rFonts w:ascii="Times New Roman" w:eastAsia="Times New Roman" w:hAnsi="Times New Roman" w:cs="Times New Roman"/>
          <w:color w:val="000000" w:themeColor="text1"/>
          <w:kern w:val="0"/>
          <w:sz w:val="24"/>
          <w:szCs w:val="24"/>
          <w:lang w:val="en-US"/>
          <w14:ligatures w14:val="none"/>
        </w:rPr>
        <w:t xml:space="preserve">, and English, specifically for new arrivals at the </w:t>
      </w:r>
      <w:proofErr w:type="spellStart"/>
      <w:r w:rsidRPr="00C87F70">
        <w:rPr>
          <w:rFonts w:ascii="Times New Roman" w:eastAsia="Times New Roman" w:hAnsi="Times New Roman" w:cs="Times New Roman"/>
          <w:color w:val="000000" w:themeColor="text1"/>
          <w:kern w:val="0"/>
          <w:sz w:val="24"/>
          <w:szCs w:val="24"/>
          <w:lang w:val="en-US"/>
          <w14:ligatures w14:val="none"/>
        </w:rPr>
        <w:t>Metema</w:t>
      </w:r>
      <w:proofErr w:type="spellEnd"/>
      <w:r w:rsidRPr="00C87F70">
        <w:rPr>
          <w:rFonts w:ascii="Times New Roman" w:eastAsia="Times New Roman" w:hAnsi="Times New Roman" w:cs="Times New Roman"/>
          <w:color w:val="000000" w:themeColor="text1"/>
          <w:kern w:val="0"/>
          <w:sz w:val="24"/>
          <w:szCs w:val="24"/>
          <w:lang w:val="en-US"/>
          <w14:ligatures w14:val="none"/>
        </w:rPr>
        <w:t xml:space="preserve"> entry point and transit area. At a national level, 152 refugee community leaders participated in GBV community dialogues.</w:t>
      </w:r>
    </w:p>
    <w:p w14:paraId="3634448F" w14:textId="77777777" w:rsidR="006B0EE8" w:rsidRPr="006B0EE8" w:rsidRDefault="00936DF1"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C87F70">
        <w:rPr>
          <w:rFonts w:ascii="Times New Roman" w:eastAsia="Calibri" w:hAnsi="Times New Roman" w:cs="Times New Roman"/>
          <w:color w:val="000000" w:themeColor="text1"/>
          <w:kern w:val="0"/>
          <w:sz w:val="24"/>
          <w:szCs w:val="24"/>
          <w:lang w:val="en-US"/>
          <w14:ligatures w14:val="none"/>
        </w:rPr>
        <w:t>D</w:t>
      </w:r>
      <w:r w:rsidR="005B40B2" w:rsidRPr="00C87F70">
        <w:rPr>
          <w:rFonts w:ascii="Times New Roman" w:eastAsia="Calibri" w:hAnsi="Times New Roman" w:cs="Times New Roman"/>
          <w:color w:val="000000" w:themeColor="text1"/>
          <w:kern w:val="0"/>
          <w:sz w:val="24"/>
          <w:szCs w:val="24"/>
          <w:lang w:val="en-US"/>
          <w14:ligatures w14:val="none"/>
        </w:rPr>
        <w:t xml:space="preserve">uring the reporting period, </w:t>
      </w:r>
      <w:r w:rsidRPr="00C87F70">
        <w:rPr>
          <w:rFonts w:ascii="Times New Roman" w:eastAsia="Calibri" w:hAnsi="Times New Roman" w:cs="Times New Roman"/>
          <w:color w:val="000000" w:themeColor="text1"/>
          <w:kern w:val="0"/>
          <w:sz w:val="24"/>
          <w:szCs w:val="24"/>
          <w:lang w:val="en-US"/>
          <w14:ligatures w14:val="none"/>
        </w:rPr>
        <w:t>several response mechanisms were in place to fight GBV such as the establishment of Shelter Network, Sta</w:t>
      </w:r>
      <w:r w:rsidR="002E0DBB" w:rsidRPr="00C87F70">
        <w:rPr>
          <w:rFonts w:ascii="Times New Roman" w:eastAsia="Calibri" w:hAnsi="Times New Roman" w:cs="Times New Roman"/>
          <w:color w:val="000000" w:themeColor="text1"/>
          <w:kern w:val="0"/>
          <w:sz w:val="24"/>
          <w:szCs w:val="24"/>
          <w:lang w:val="en-US"/>
          <w14:ligatures w14:val="none"/>
        </w:rPr>
        <w:t>ndard Operating Procedures</w:t>
      </w:r>
      <w:r w:rsidRPr="00C87F70">
        <w:rPr>
          <w:rFonts w:ascii="Times New Roman" w:eastAsia="Calibri" w:hAnsi="Times New Roman" w:cs="Times New Roman"/>
          <w:color w:val="000000" w:themeColor="text1"/>
          <w:kern w:val="0"/>
          <w:sz w:val="24"/>
          <w:szCs w:val="24"/>
          <w:lang w:val="en-US"/>
          <w14:ligatures w14:val="none"/>
        </w:rPr>
        <w:t>, GBV Ar</w:t>
      </w:r>
      <w:r w:rsidR="002E0DBB" w:rsidRPr="00C87F70">
        <w:rPr>
          <w:rFonts w:ascii="Times New Roman" w:eastAsia="Calibri" w:hAnsi="Times New Roman" w:cs="Times New Roman"/>
          <w:color w:val="000000" w:themeColor="text1"/>
          <w:kern w:val="0"/>
          <w:sz w:val="24"/>
          <w:szCs w:val="24"/>
          <w:lang w:val="en-US"/>
          <w14:ligatures w14:val="none"/>
        </w:rPr>
        <w:t>eas of Responsibility</w:t>
      </w:r>
      <w:r w:rsidRPr="00C87F70">
        <w:rPr>
          <w:rFonts w:ascii="Times New Roman" w:eastAsia="Calibri" w:hAnsi="Times New Roman" w:cs="Times New Roman"/>
          <w:color w:val="000000" w:themeColor="text1"/>
          <w:kern w:val="0"/>
          <w:sz w:val="24"/>
          <w:szCs w:val="24"/>
          <w:lang w:val="en-US"/>
          <w14:ligatures w14:val="none"/>
        </w:rPr>
        <w:t>, and the GBV committees established by the Inter-Ministerial Task</w:t>
      </w:r>
      <w:r w:rsidR="0059643E" w:rsidRPr="00C87F70">
        <w:rPr>
          <w:rFonts w:ascii="Times New Roman" w:eastAsia="Calibri" w:hAnsi="Times New Roman" w:cs="Times New Roman"/>
          <w:color w:val="000000" w:themeColor="text1"/>
          <w:kern w:val="0"/>
          <w:sz w:val="24"/>
          <w:szCs w:val="24"/>
          <w:lang w:val="en-US"/>
          <w14:ligatures w14:val="none"/>
        </w:rPr>
        <w:t>force for the conflict in the northern part of Ethiopia</w:t>
      </w:r>
      <w:r w:rsidRPr="00C87F70">
        <w:rPr>
          <w:rFonts w:ascii="Times New Roman" w:eastAsia="Calibri" w:hAnsi="Times New Roman" w:cs="Times New Roman"/>
          <w:color w:val="000000" w:themeColor="text1"/>
          <w:kern w:val="0"/>
          <w:sz w:val="24"/>
          <w:szCs w:val="24"/>
          <w:lang w:val="en-US"/>
          <w14:ligatures w14:val="none"/>
        </w:rPr>
        <w:t xml:space="preserve">. </w:t>
      </w:r>
    </w:p>
    <w:p w14:paraId="752AF388" w14:textId="77777777" w:rsidR="006B0EE8" w:rsidRPr="006B0EE8" w:rsidRDefault="006A1E77"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As part of inclusive service expansion, integrated one-stop centers for GBV survivors and disability-friendly service corners have been established in health facilities across the country.</w:t>
      </w:r>
    </w:p>
    <w:p w14:paraId="768E1B65" w14:textId="77777777" w:rsidR="006B0EE8" w:rsidRPr="006B0EE8"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iCs/>
          <w:color w:val="000000" w:themeColor="text1"/>
          <w:kern w:val="0"/>
          <w:sz w:val="24"/>
          <w:szCs w:val="24"/>
          <w:lang w:val="en-US"/>
          <w14:ligatures w14:val="none"/>
        </w:rPr>
        <w:t>To create a safe learning environment for children and female students in and around schools, including higher education institu</w:t>
      </w:r>
      <w:r w:rsidR="0059643E" w:rsidRPr="006B0EE8">
        <w:rPr>
          <w:rFonts w:ascii="Times New Roman" w:eastAsia="Calibri" w:hAnsi="Times New Roman" w:cs="Times New Roman"/>
          <w:iCs/>
          <w:color w:val="000000" w:themeColor="text1"/>
          <w:kern w:val="0"/>
          <w:sz w:val="24"/>
          <w:szCs w:val="24"/>
          <w:lang w:val="en-US"/>
          <w14:ligatures w14:val="none"/>
        </w:rPr>
        <w:t xml:space="preserve">tions, the </w:t>
      </w:r>
      <w:proofErr w:type="spellStart"/>
      <w:r w:rsidR="0059643E" w:rsidRPr="006B0EE8">
        <w:rPr>
          <w:rFonts w:ascii="Times New Roman" w:eastAsia="Calibri" w:hAnsi="Times New Roman" w:cs="Times New Roman"/>
          <w:iCs/>
          <w:color w:val="000000" w:themeColor="text1"/>
          <w:kern w:val="0"/>
          <w:sz w:val="24"/>
          <w:szCs w:val="24"/>
          <w:lang w:val="en-US"/>
          <w14:ligatures w14:val="none"/>
        </w:rPr>
        <w:t>MoE</w:t>
      </w:r>
      <w:proofErr w:type="spellEnd"/>
      <w:r w:rsidRPr="006B0EE8">
        <w:rPr>
          <w:rFonts w:ascii="Times New Roman" w:eastAsia="Calibri" w:hAnsi="Times New Roman" w:cs="Times New Roman"/>
          <w:iCs/>
          <w:color w:val="000000" w:themeColor="text1"/>
          <w:kern w:val="0"/>
          <w:sz w:val="24"/>
          <w:szCs w:val="24"/>
          <w:lang w:val="en-US"/>
          <w14:ligatures w14:val="none"/>
        </w:rPr>
        <w:t xml:space="preserve"> has been implementing a guideline designed to prevent a</w:t>
      </w:r>
      <w:r w:rsidR="0059643E" w:rsidRPr="006B0EE8">
        <w:rPr>
          <w:rFonts w:ascii="Times New Roman" w:eastAsia="Calibri" w:hAnsi="Times New Roman" w:cs="Times New Roman"/>
          <w:iCs/>
          <w:color w:val="000000" w:themeColor="text1"/>
          <w:kern w:val="0"/>
          <w:sz w:val="24"/>
          <w:szCs w:val="24"/>
          <w:lang w:val="en-US"/>
          <w14:ligatures w14:val="none"/>
        </w:rPr>
        <w:t>nd address GBV</w:t>
      </w:r>
      <w:r w:rsidRPr="006B0EE8">
        <w:rPr>
          <w:rFonts w:ascii="Times New Roman" w:eastAsia="Calibri" w:hAnsi="Times New Roman" w:cs="Times New Roman"/>
          <w:iCs/>
          <w:color w:val="000000" w:themeColor="text1"/>
          <w:kern w:val="0"/>
          <w:sz w:val="24"/>
          <w:szCs w:val="24"/>
          <w:lang w:val="en-US"/>
          <w14:ligatures w14:val="none"/>
        </w:rPr>
        <w:t>. Focusing on preventing sexual violence and its impacts on female students, the Government has also coordinated among stakeholders to solicit societal engagement platforms, intensive training, and awareness campaigns.</w:t>
      </w:r>
    </w:p>
    <w:p w14:paraId="5997A678" w14:textId="77777777" w:rsidR="006B0EE8" w:rsidRPr="006B0EE8"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iCs/>
          <w:color w:val="000000" w:themeColor="text1"/>
          <w:kern w:val="0"/>
          <w:sz w:val="24"/>
          <w:szCs w:val="24"/>
          <w:lang w:val="en-US"/>
          <w14:ligatures w14:val="none"/>
        </w:rPr>
        <w:t xml:space="preserve">The </w:t>
      </w:r>
      <w:proofErr w:type="spellStart"/>
      <w:r w:rsidRPr="006B0EE8">
        <w:rPr>
          <w:rFonts w:ascii="Times New Roman" w:eastAsia="Calibri" w:hAnsi="Times New Roman" w:cs="Times New Roman"/>
          <w:iCs/>
          <w:color w:val="000000" w:themeColor="text1"/>
          <w:kern w:val="0"/>
          <w:sz w:val="24"/>
          <w:szCs w:val="24"/>
          <w:lang w:val="en-US"/>
          <w14:ligatures w14:val="none"/>
        </w:rPr>
        <w:t>GoE</w:t>
      </w:r>
      <w:proofErr w:type="spellEnd"/>
      <w:r w:rsidRPr="006B0EE8">
        <w:rPr>
          <w:rFonts w:ascii="Times New Roman" w:eastAsia="Calibri" w:hAnsi="Times New Roman" w:cs="Times New Roman"/>
          <w:iCs/>
          <w:color w:val="000000" w:themeColor="text1"/>
          <w:kern w:val="0"/>
          <w:sz w:val="24"/>
          <w:szCs w:val="24"/>
          <w:lang w:val="en-US"/>
          <w14:ligatures w14:val="none"/>
        </w:rPr>
        <w:t xml:space="preserve"> has continued its efforts to strictly enforce its criminal laws related to the crime of GBV against women</w:t>
      </w:r>
      <w:r w:rsidR="0059643E" w:rsidRPr="006B0EE8">
        <w:rPr>
          <w:rFonts w:ascii="Times New Roman" w:eastAsia="Calibri" w:hAnsi="Times New Roman" w:cs="Times New Roman"/>
          <w:iCs/>
          <w:color w:val="000000" w:themeColor="text1"/>
          <w:kern w:val="0"/>
          <w:sz w:val="24"/>
          <w:szCs w:val="24"/>
          <w:lang w:val="en-US"/>
          <w14:ligatures w14:val="none"/>
        </w:rPr>
        <w:t>.</w:t>
      </w:r>
      <w:r w:rsidRPr="006B0EE8">
        <w:rPr>
          <w:rFonts w:ascii="Times New Roman" w:eastAsia="Calibri" w:hAnsi="Times New Roman" w:cs="Times New Roman"/>
          <w:iCs/>
          <w:color w:val="000000" w:themeColor="text1"/>
          <w:kern w:val="0"/>
          <w:sz w:val="24"/>
          <w:szCs w:val="24"/>
          <w:lang w:val="en-US"/>
          <w14:ligatures w14:val="none"/>
        </w:rPr>
        <w:t xml:space="preserve"> In this </w:t>
      </w:r>
      <w:r w:rsidR="002D0B9B" w:rsidRPr="006B0EE8">
        <w:rPr>
          <w:rFonts w:ascii="Times New Roman" w:eastAsia="Calibri" w:hAnsi="Times New Roman" w:cs="Times New Roman"/>
          <w:iCs/>
          <w:color w:val="000000" w:themeColor="text1"/>
          <w:kern w:val="0"/>
          <w:sz w:val="24"/>
          <w:szCs w:val="24"/>
          <w:lang w:val="en-US"/>
          <w14:ligatures w14:val="none"/>
        </w:rPr>
        <w:t>regard</w:t>
      </w:r>
      <w:r w:rsidRPr="006B0EE8">
        <w:rPr>
          <w:rFonts w:ascii="Times New Roman" w:eastAsia="Calibri" w:hAnsi="Times New Roman" w:cs="Times New Roman"/>
          <w:iCs/>
          <w:color w:val="000000" w:themeColor="text1"/>
          <w:kern w:val="0"/>
          <w:sz w:val="24"/>
          <w:szCs w:val="24"/>
          <w:lang w:val="en-US"/>
          <w14:ligatures w14:val="none"/>
        </w:rPr>
        <w:t xml:space="preserve">, </w:t>
      </w:r>
      <w:r w:rsidR="00543150" w:rsidRPr="006B0EE8">
        <w:rPr>
          <w:rFonts w:ascii="Times New Roman" w:eastAsia="Calibri" w:hAnsi="Times New Roman" w:cs="Times New Roman"/>
          <w:color w:val="000000" w:themeColor="text1"/>
          <w:kern w:val="0"/>
          <w:sz w:val="24"/>
          <w:szCs w:val="24"/>
          <w:lang w:val="en-US"/>
          <w14:ligatures w14:val="none"/>
        </w:rPr>
        <w:t>a national strategy was</w:t>
      </w:r>
      <w:r w:rsidR="0059643E" w:rsidRPr="006B0EE8">
        <w:rPr>
          <w:rFonts w:ascii="Times New Roman" w:eastAsia="Calibri" w:hAnsi="Times New Roman" w:cs="Times New Roman"/>
          <w:color w:val="000000" w:themeColor="text1"/>
          <w:kern w:val="0"/>
          <w:sz w:val="24"/>
          <w:szCs w:val="24"/>
          <w:lang w:val="en-US"/>
          <w14:ligatures w14:val="none"/>
        </w:rPr>
        <w:t xml:space="preserve"> put in</w:t>
      </w:r>
      <w:r w:rsidR="00543150" w:rsidRPr="006B0EE8">
        <w:rPr>
          <w:rFonts w:ascii="Times New Roman" w:eastAsia="Calibri" w:hAnsi="Times New Roman" w:cs="Times New Roman"/>
          <w:color w:val="000000" w:themeColor="text1"/>
          <w:kern w:val="0"/>
          <w:sz w:val="24"/>
          <w:szCs w:val="24"/>
          <w:lang w:val="en-US"/>
          <w14:ligatures w14:val="none"/>
        </w:rPr>
        <w:t xml:space="preserve"> </w:t>
      </w:r>
      <w:r w:rsidR="0059643E" w:rsidRPr="006B0EE8">
        <w:rPr>
          <w:rFonts w:ascii="Times New Roman" w:eastAsia="Calibri" w:hAnsi="Times New Roman" w:cs="Times New Roman"/>
          <w:color w:val="000000" w:themeColor="text1"/>
          <w:kern w:val="0"/>
          <w:sz w:val="24"/>
          <w:szCs w:val="24"/>
          <w:lang w:val="en-US"/>
          <w14:ligatures w14:val="none"/>
        </w:rPr>
        <w:t>place</w:t>
      </w:r>
      <w:r w:rsidRPr="006B0EE8">
        <w:rPr>
          <w:rFonts w:ascii="Times New Roman" w:eastAsia="Calibri" w:hAnsi="Times New Roman" w:cs="Times New Roman"/>
          <w:color w:val="000000" w:themeColor="text1"/>
          <w:kern w:val="0"/>
          <w:sz w:val="24"/>
          <w:szCs w:val="24"/>
          <w:lang w:val="en-US"/>
          <w14:ligatures w14:val="none"/>
        </w:rPr>
        <w:t xml:space="preserve"> on the three-pillar approach: prevention, provision, and protection. Accordingly, mechanisms wer</w:t>
      </w:r>
      <w:r w:rsidR="0059643E" w:rsidRPr="006B0EE8">
        <w:rPr>
          <w:rFonts w:ascii="Times New Roman" w:eastAsia="Calibri" w:hAnsi="Times New Roman" w:cs="Times New Roman"/>
          <w:color w:val="000000" w:themeColor="text1"/>
          <w:kern w:val="0"/>
          <w:sz w:val="24"/>
          <w:szCs w:val="24"/>
          <w:lang w:val="en-US"/>
          <w14:ligatures w14:val="none"/>
        </w:rPr>
        <w:t>e set to engage HEWs</w:t>
      </w:r>
      <w:r w:rsidRPr="006B0EE8">
        <w:rPr>
          <w:rFonts w:ascii="Times New Roman" w:eastAsia="Calibri" w:hAnsi="Times New Roman" w:cs="Times New Roman"/>
          <w:color w:val="000000" w:themeColor="text1"/>
          <w:kern w:val="0"/>
          <w:sz w:val="24"/>
          <w:szCs w:val="24"/>
          <w:lang w:val="en-US"/>
          <w14:ligatures w14:val="none"/>
        </w:rPr>
        <w:t xml:space="preserve"> and school teachers in disseminating information related to FGM/C and educating women at the grassroots level. </w:t>
      </w:r>
    </w:p>
    <w:p w14:paraId="250403BC" w14:textId="77777777" w:rsidR="006B0EE8" w:rsidRPr="006B0EE8" w:rsidRDefault="00436D3D"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hAnsi="Times New Roman" w:cs="Times New Roman"/>
          <w:color w:val="000000" w:themeColor="text1"/>
          <w:sz w:val="24"/>
          <w:szCs w:val="24"/>
        </w:rPr>
        <w:lastRenderedPageBreak/>
        <w:t xml:space="preserve">This targeted approach guides the national effort and helps galvanize the support of stakeholders to end the practice and mitigate the impact of FGM/C. Furthermore, focusing on the two harmful practices, a </w:t>
      </w:r>
      <w:r w:rsidRPr="006B0EE8">
        <w:rPr>
          <w:rStyle w:val="Strong"/>
          <w:rFonts w:ascii="Times New Roman" w:hAnsi="Times New Roman" w:cs="Times New Roman"/>
          <w:b w:val="0"/>
          <w:color w:val="000000" w:themeColor="text1"/>
          <w:sz w:val="24"/>
          <w:szCs w:val="24"/>
        </w:rPr>
        <w:t>National Costed Roadmap to End Child Marriage and FGM/C (2020–2024)</w:t>
      </w:r>
      <w:r w:rsidRPr="006B0EE8">
        <w:rPr>
          <w:rFonts w:ascii="Times New Roman" w:hAnsi="Times New Roman" w:cs="Times New Roman"/>
          <w:color w:val="000000" w:themeColor="text1"/>
          <w:sz w:val="24"/>
          <w:szCs w:val="24"/>
        </w:rPr>
        <w:t xml:space="preserve"> has been implemented in alignment with </w:t>
      </w:r>
      <w:r w:rsidRPr="006B0EE8">
        <w:rPr>
          <w:rStyle w:val="Strong"/>
          <w:rFonts w:ascii="Times New Roman" w:hAnsi="Times New Roman" w:cs="Times New Roman"/>
          <w:b w:val="0"/>
          <w:color w:val="000000" w:themeColor="text1"/>
          <w:sz w:val="24"/>
          <w:szCs w:val="24"/>
        </w:rPr>
        <w:t>SDG 5.3</w:t>
      </w:r>
      <w:r w:rsidRPr="006B0EE8">
        <w:rPr>
          <w:rFonts w:ascii="Times New Roman" w:hAnsi="Times New Roman" w:cs="Times New Roman"/>
          <w:b/>
          <w:color w:val="000000" w:themeColor="text1"/>
          <w:sz w:val="24"/>
          <w:szCs w:val="24"/>
        </w:rPr>
        <w:t>.</w:t>
      </w:r>
      <w:r w:rsidRPr="006B0EE8">
        <w:rPr>
          <w:rFonts w:ascii="Times New Roman" w:hAnsi="Times New Roman" w:cs="Times New Roman"/>
          <w:color w:val="000000" w:themeColor="text1"/>
          <w:sz w:val="24"/>
          <w:szCs w:val="24"/>
        </w:rPr>
        <w:t xml:space="preserve"> As a result, a national alliance was formed to implement the roadmap at both the federal level and within regional state structures. The roadmap is applicable in all circumstances, including humanitarian and emergency contexts. Accordingly, during the reporting period, over </w:t>
      </w:r>
      <w:r w:rsidRPr="006B0EE8">
        <w:rPr>
          <w:rStyle w:val="Strong"/>
          <w:rFonts w:ascii="Times New Roman" w:hAnsi="Times New Roman" w:cs="Times New Roman"/>
          <w:b w:val="0"/>
          <w:bCs w:val="0"/>
          <w:color w:val="000000" w:themeColor="text1"/>
          <w:sz w:val="24"/>
          <w:szCs w:val="24"/>
        </w:rPr>
        <w:t>4,671 villages</w:t>
      </w:r>
      <w:r w:rsidRPr="006B0EE8">
        <w:rPr>
          <w:rFonts w:ascii="Times New Roman" w:hAnsi="Times New Roman" w:cs="Times New Roman"/>
          <w:color w:val="000000" w:themeColor="text1"/>
          <w:sz w:val="24"/>
          <w:szCs w:val="24"/>
        </w:rPr>
        <w:t xml:space="preserve"> were declared free of FGM/C and child marriage. Similarly, </w:t>
      </w:r>
      <w:r w:rsidR="00245510" w:rsidRPr="006B0EE8">
        <w:rPr>
          <w:rFonts w:ascii="Times New Roman" w:hAnsi="Times New Roman" w:cs="Times New Roman"/>
          <w:color w:val="000000" w:themeColor="text1"/>
          <w:sz w:val="24"/>
          <w:szCs w:val="24"/>
        </w:rPr>
        <w:t xml:space="preserve">efforts are underway to develop </w:t>
      </w:r>
      <w:r w:rsidRPr="006B0EE8">
        <w:rPr>
          <w:rFonts w:ascii="Times New Roman" w:hAnsi="Times New Roman" w:cs="Times New Roman"/>
          <w:color w:val="000000" w:themeColor="text1"/>
          <w:sz w:val="24"/>
          <w:szCs w:val="24"/>
        </w:rPr>
        <w:t xml:space="preserve">the second phase of the roadmap to accelerate </w:t>
      </w:r>
      <w:r w:rsidR="00245510" w:rsidRPr="006B0EE8">
        <w:rPr>
          <w:rFonts w:ascii="Times New Roman" w:hAnsi="Times New Roman" w:cs="Times New Roman"/>
          <w:color w:val="000000" w:themeColor="text1"/>
          <w:sz w:val="24"/>
          <w:szCs w:val="24"/>
        </w:rPr>
        <w:t>progress</w:t>
      </w:r>
      <w:r w:rsidRPr="006B0EE8">
        <w:rPr>
          <w:rFonts w:ascii="Times New Roman" w:hAnsi="Times New Roman" w:cs="Times New Roman"/>
          <w:color w:val="000000" w:themeColor="text1"/>
          <w:sz w:val="24"/>
          <w:szCs w:val="24"/>
        </w:rPr>
        <w:t xml:space="preserve"> across the country.</w:t>
      </w:r>
    </w:p>
    <w:p w14:paraId="02982C25" w14:textId="77777777" w:rsidR="006B0EE8" w:rsidRPr="006B0EE8" w:rsidRDefault="00884A4F"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In response to the rise in domestic violence during the COVID-19 pandemic, measures were implemented to ensure women had access to justice. Awareness campaigns were conducted through various media channels, and hotlines were made available. Survivors received free legal assistance to help them seek protection and justice, with government agencies, civil society organizations, and universities setting up free legal aid centers across regions. Additionally, the Federal courts swiftly handled domestic violence cases linked to stay-at-home orders.</w:t>
      </w:r>
    </w:p>
    <w:p w14:paraId="44965964"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 xml:space="preserve">Children's well-being and protection continue to be the main area of concern for the Government. During the reporting period, the Country has further adopted a comprehensive National Child </w:t>
      </w:r>
      <w:r w:rsidR="00895B4C" w:rsidRPr="006B0EE8">
        <w:rPr>
          <w:rFonts w:ascii="Times New Roman" w:eastAsia="Calibri" w:hAnsi="Times New Roman" w:cs="Times New Roman"/>
          <w:color w:val="000000" w:themeColor="text1"/>
          <w:kern w:val="0"/>
          <w:sz w:val="24"/>
          <w:szCs w:val="24"/>
          <w:lang w:val="en-US"/>
          <w14:ligatures w14:val="none"/>
        </w:rPr>
        <w:t xml:space="preserve">Protection </w:t>
      </w:r>
      <w:r w:rsidRPr="006B0EE8">
        <w:rPr>
          <w:rFonts w:ascii="Times New Roman" w:eastAsia="Calibri" w:hAnsi="Times New Roman" w:cs="Times New Roman"/>
          <w:color w:val="000000" w:themeColor="text1"/>
          <w:kern w:val="0"/>
          <w:sz w:val="24"/>
          <w:szCs w:val="24"/>
          <w:lang w:val="en-US"/>
          <w14:ligatures w14:val="none"/>
        </w:rPr>
        <w:t xml:space="preserve">Policy in 2016 </w:t>
      </w:r>
      <w:r w:rsidR="00543150" w:rsidRPr="006B0EE8">
        <w:rPr>
          <w:rFonts w:ascii="Times New Roman" w:eastAsia="Calibri" w:hAnsi="Times New Roman" w:cs="Times New Roman"/>
          <w:color w:val="000000" w:themeColor="text1"/>
          <w:kern w:val="0"/>
          <w:sz w:val="24"/>
          <w:szCs w:val="24"/>
          <w:lang w:val="en-US"/>
          <w14:ligatures w14:val="none"/>
        </w:rPr>
        <w:t>and its implementation strategy.</w:t>
      </w:r>
    </w:p>
    <w:p w14:paraId="669422B3" w14:textId="77777777" w:rsidR="006B0EE8" w:rsidRPr="006B0EE8" w:rsidRDefault="00895B4C"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The Policy</w:t>
      </w:r>
      <w:r w:rsidR="006A6E69" w:rsidRPr="006B0EE8">
        <w:rPr>
          <w:rFonts w:ascii="Times New Roman" w:eastAsia="Calibri" w:hAnsi="Times New Roman" w:cs="Times New Roman"/>
          <w:color w:val="000000" w:themeColor="text1"/>
          <w:kern w:val="0"/>
          <w:sz w:val="24"/>
          <w:szCs w:val="24"/>
          <w:lang w:val="en-US"/>
          <w14:ligatures w14:val="none"/>
        </w:rPr>
        <w:t xml:space="preserve"> sets key strategic focus areas in terms of dev</w:t>
      </w:r>
      <w:r w:rsidR="00B10CB0" w:rsidRPr="006B0EE8">
        <w:rPr>
          <w:rFonts w:ascii="Times New Roman" w:eastAsia="Calibri" w:hAnsi="Times New Roman" w:cs="Times New Roman"/>
          <w:color w:val="000000" w:themeColor="text1"/>
          <w:kern w:val="0"/>
          <w:sz w:val="24"/>
          <w:szCs w:val="24"/>
          <w:lang w:val="en-US"/>
          <w14:ligatures w14:val="none"/>
        </w:rPr>
        <w:t xml:space="preserve">elopment and growth, prevention </w:t>
      </w:r>
      <w:r w:rsidR="006A6E69" w:rsidRPr="006B0EE8">
        <w:rPr>
          <w:rFonts w:ascii="Times New Roman" w:eastAsia="Calibri" w:hAnsi="Times New Roman" w:cs="Times New Roman"/>
          <w:color w:val="000000" w:themeColor="text1"/>
          <w:kern w:val="0"/>
          <w:sz w:val="24"/>
          <w:szCs w:val="24"/>
          <w:lang w:val="en-US"/>
          <w14:ligatures w14:val="none"/>
        </w:rPr>
        <w:t xml:space="preserve">and protection, rehabilitation, </w:t>
      </w:r>
      <w:r w:rsidRPr="006B0EE8">
        <w:rPr>
          <w:rFonts w:ascii="Times New Roman" w:eastAsia="Calibri" w:hAnsi="Times New Roman" w:cs="Times New Roman"/>
          <w:color w:val="000000" w:themeColor="text1"/>
          <w:kern w:val="0"/>
          <w:sz w:val="24"/>
          <w:szCs w:val="24"/>
          <w:lang w:val="en-US"/>
          <w14:ligatures w14:val="none"/>
        </w:rPr>
        <w:t xml:space="preserve">care, and support. It </w:t>
      </w:r>
      <w:r w:rsidR="006A6E69" w:rsidRPr="006B0EE8">
        <w:rPr>
          <w:rFonts w:ascii="Times New Roman" w:eastAsia="Calibri" w:hAnsi="Times New Roman" w:cs="Times New Roman"/>
          <w:color w:val="000000" w:themeColor="text1"/>
          <w:kern w:val="0"/>
          <w:sz w:val="24"/>
          <w:szCs w:val="24"/>
          <w:lang w:val="en-US"/>
          <w14:ligatures w14:val="none"/>
        </w:rPr>
        <w:t>particularly aims to promote the healthy livin</w:t>
      </w:r>
      <w:r w:rsidRPr="006B0EE8">
        <w:rPr>
          <w:rFonts w:ascii="Times New Roman" w:eastAsia="Calibri" w:hAnsi="Times New Roman" w:cs="Times New Roman"/>
          <w:color w:val="000000" w:themeColor="text1"/>
          <w:kern w:val="0"/>
          <w:sz w:val="24"/>
          <w:szCs w:val="24"/>
          <w:lang w:val="en-US"/>
          <w14:ligatures w14:val="none"/>
        </w:rPr>
        <w:t>g conditions of children, which</w:t>
      </w:r>
      <w:r w:rsidR="006A6E69" w:rsidRPr="006B0EE8">
        <w:rPr>
          <w:rFonts w:ascii="Times New Roman" w:eastAsia="Calibri" w:hAnsi="Times New Roman" w:cs="Times New Roman"/>
          <w:color w:val="000000" w:themeColor="text1"/>
          <w:kern w:val="0"/>
          <w:sz w:val="24"/>
          <w:szCs w:val="24"/>
          <w:lang w:val="en-US"/>
          <w14:ligatures w14:val="none"/>
        </w:rPr>
        <w:t xml:space="preserve"> consists of the reduction of infant mortality rate, the provision of access to primary education and quality of education at a national level, as well as protection of children from child labor and exploitation.</w:t>
      </w:r>
    </w:p>
    <w:p w14:paraId="53D856FA"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The launching of a permanent, compulsory, and universal registration and certification of vital events aligns with the design and implementation of children’s vital re</w:t>
      </w:r>
      <w:r w:rsidR="00895B4C" w:rsidRPr="006B0EE8">
        <w:rPr>
          <w:rFonts w:ascii="Times New Roman" w:eastAsia="Calibri" w:hAnsi="Times New Roman" w:cs="Times New Roman"/>
          <w:color w:val="000000" w:themeColor="text1"/>
          <w:kern w:val="0"/>
          <w:sz w:val="24"/>
          <w:szCs w:val="24"/>
          <w:lang w:val="en-US"/>
          <w14:ligatures w14:val="none"/>
        </w:rPr>
        <w:t>gistration indicated in the P</w:t>
      </w:r>
      <w:r w:rsidRPr="006B0EE8">
        <w:rPr>
          <w:rFonts w:ascii="Times New Roman" w:eastAsia="Calibri" w:hAnsi="Times New Roman" w:cs="Times New Roman"/>
          <w:color w:val="000000" w:themeColor="text1"/>
          <w:kern w:val="0"/>
          <w:sz w:val="24"/>
          <w:szCs w:val="24"/>
          <w:lang w:val="en-US"/>
          <w14:ligatures w14:val="none"/>
        </w:rPr>
        <w:t>olicy. From September 2016 to June 2023, a total of 7</w:t>
      </w:r>
      <w:r w:rsidR="00895B4C" w:rsidRPr="006B0EE8">
        <w:rPr>
          <w:rFonts w:ascii="Times New Roman" w:eastAsia="Calibri" w:hAnsi="Times New Roman" w:cs="Times New Roman"/>
          <w:color w:val="000000" w:themeColor="text1"/>
          <w:kern w:val="0"/>
          <w:sz w:val="24"/>
          <w:szCs w:val="24"/>
          <w:lang w:val="en-US"/>
          <w14:ligatures w14:val="none"/>
        </w:rPr>
        <w:t>,023,387 births were registered while i</w:t>
      </w:r>
      <w:r w:rsidRPr="006B0EE8">
        <w:rPr>
          <w:rFonts w:ascii="Times New Roman" w:eastAsia="Calibri" w:hAnsi="Times New Roman" w:cs="Times New Roman"/>
          <w:color w:val="000000" w:themeColor="text1"/>
          <w:kern w:val="0"/>
          <w:sz w:val="24"/>
          <w:szCs w:val="24"/>
          <w:lang w:val="en-US"/>
          <w14:ligatures w14:val="none"/>
        </w:rPr>
        <w:t>n 2022/23 alo</w:t>
      </w:r>
      <w:r w:rsidR="00895B4C" w:rsidRPr="006B0EE8">
        <w:rPr>
          <w:rFonts w:ascii="Times New Roman" w:eastAsia="Calibri" w:hAnsi="Times New Roman" w:cs="Times New Roman"/>
          <w:color w:val="000000" w:themeColor="text1"/>
          <w:kern w:val="0"/>
          <w:sz w:val="24"/>
          <w:szCs w:val="24"/>
          <w:lang w:val="en-US"/>
          <w14:ligatures w14:val="none"/>
        </w:rPr>
        <w:t>ne, a total of 1,035,656 births</w:t>
      </w:r>
      <w:r w:rsidRPr="006B0EE8">
        <w:rPr>
          <w:rFonts w:ascii="Times New Roman" w:eastAsia="Calibri" w:hAnsi="Times New Roman" w:cs="Times New Roman"/>
          <w:color w:val="000000" w:themeColor="text1"/>
          <w:kern w:val="0"/>
          <w:sz w:val="24"/>
          <w:szCs w:val="24"/>
          <w:lang w:val="en-US"/>
          <w14:ligatures w14:val="none"/>
        </w:rPr>
        <w:t xml:space="preserve"> were registered. Ethi</w:t>
      </w:r>
      <w:r w:rsidR="00895B4C" w:rsidRPr="006B0EE8">
        <w:rPr>
          <w:rFonts w:ascii="Times New Roman" w:eastAsia="Calibri" w:hAnsi="Times New Roman" w:cs="Times New Roman"/>
          <w:color w:val="000000" w:themeColor="text1"/>
          <w:kern w:val="0"/>
          <w:sz w:val="24"/>
          <w:szCs w:val="24"/>
          <w:lang w:val="en-US"/>
          <w14:ligatures w14:val="none"/>
        </w:rPr>
        <w:t>opia also began providing birth</w:t>
      </w:r>
      <w:r w:rsidRPr="006B0EE8">
        <w:rPr>
          <w:rFonts w:ascii="Times New Roman" w:eastAsia="Calibri" w:hAnsi="Times New Roman" w:cs="Times New Roman"/>
          <w:color w:val="000000" w:themeColor="text1"/>
          <w:kern w:val="0"/>
          <w:sz w:val="24"/>
          <w:szCs w:val="24"/>
          <w:lang w:val="en-US"/>
          <w14:ligatures w14:val="none"/>
        </w:rPr>
        <w:t xml:space="preserve"> registration for refugees from 2017 onwards.</w:t>
      </w:r>
    </w:p>
    <w:p w14:paraId="6EC1E213"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lastRenderedPageBreak/>
        <w:t xml:space="preserve">Moreover, the Government undertakes measures to ensure special protection and assistance for children who are deprived of their family environment. With a view to protecting the best interests of a child and providing a permanent family environment, the </w:t>
      </w:r>
      <w:r w:rsidR="00A70474" w:rsidRPr="006B0EE8">
        <w:rPr>
          <w:rFonts w:ascii="Times New Roman" w:eastAsia="Calibri" w:hAnsi="Times New Roman" w:cs="Times New Roman"/>
          <w:color w:val="000000" w:themeColor="text1"/>
          <w:kern w:val="0"/>
          <w:sz w:val="24"/>
          <w:szCs w:val="24"/>
          <w:lang w:val="en-US"/>
          <w14:ligatures w14:val="none"/>
        </w:rPr>
        <w:t xml:space="preserve">Government has also undertaken </w:t>
      </w:r>
      <w:r w:rsidRPr="006B0EE8">
        <w:rPr>
          <w:rFonts w:ascii="Times New Roman" w:eastAsia="Calibri" w:hAnsi="Times New Roman" w:cs="Times New Roman"/>
          <w:color w:val="000000" w:themeColor="text1"/>
          <w:kern w:val="0"/>
          <w:sz w:val="24"/>
          <w:szCs w:val="24"/>
          <w:lang w:val="en-US"/>
          <w14:ligatures w14:val="none"/>
        </w:rPr>
        <w:t>measures to restrict inter-country adoption under the revised Family Code Amend</w:t>
      </w:r>
      <w:r w:rsidR="00895B4C" w:rsidRPr="006B0EE8">
        <w:rPr>
          <w:rFonts w:ascii="Times New Roman" w:eastAsia="Calibri" w:hAnsi="Times New Roman" w:cs="Times New Roman"/>
          <w:color w:val="000000" w:themeColor="text1"/>
          <w:kern w:val="0"/>
          <w:sz w:val="24"/>
          <w:szCs w:val="24"/>
          <w:lang w:val="en-US"/>
          <w14:ligatures w14:val="none"/>
        </w:rPr>
        <w:t>ment Proclamation No. 1070/2018</w:t>
      </w:r>
      <w:r w:rsidRPr="006B0EE8">
        <w:rPr>
          <w:rFonts w:ascii="Times New Roman" w:eastAsia="Calibri" w:hAnsi="Times New Roman" w:cs="Times New Roman"/>
          <w:color w:val="000000" w:themeColor="text1"/>
          <w:kern w:val="0"/>
          <w:sz w:val="24"/>
          <w:szCs w:val="24"/>
          <w:lang w:val="en-US"/>
          <w14:ligatures w14:val="none"/>
        </w:rPr>
        <w:t xml:space="preserve"> </w:t>
      </w:r>
      <w:r w:rsidR="00895B4C" w:rsidRPr="006B0EE8">
        <w:rPr>
          <w:rFonts w:ascii="Times New Roman" w:eastAsia="Calibri" w:hAnsi="Times New Roman" w:cs="Times New Roman"/>
          <w:color w:val="000000" w:themeColor="text1"/>
          <w:kern w:val="0"/>
          <w:sz w:val="24"/>
          <w:szCs w:val="24"/>
          <w:lang w:val="en-US"/>
          <w14:ligatures w14:val="none"/>
        </w:rPr>
        <w:t>that aims</w:t>
      </w:r>
      <w:r w:rsidRPr="006B0EE8">
        <w:rPr>
          <w:rFonts w:ascii="Times New Roman" w:eastAsia="Calibri" w:hAnsi="Times New Roman" w:cs="Times New Roman"/>
          <w:color w:val="000000" w:themeColor="text1"/>
          <w:kern w:val="0"/>
          <w:sz w:val="24"/>
          <w:szCs w:val="24"/>
          <w:lang w:val="en-US"/>
          <w14:ligatures w14:val="none"/>
        </w:rPr>
        <w:t xml:space="preserve"> </w:t>
      </w:r>
      <w:r w:rsidR="00895B4C" w:rsidRPr="006B0EE8">
        <w:rPr>
          <w:rFonts w:ascii="Times New Roman" w:eastAsia="Calibri" w:hAnsi="Times New Roman" w:cs="Times New Roman"/>
          <w:color w:val="000000" w:themeColor="text1"/>
          <w:kern w:val="0"/>
          <w:sz w:val="24"/>
          <w:szCs w:val="24"/>
          <w:lang w:val="en-US"/>
          <w14:ligatures w14:val="none"/>
        </w:rPr>
        <w:t>to strengthen</w:t>
      </w:r>
      <w:r w:rsidRPr="006B0EE8">
        <w:rPr>
          <w:rFonts w:ascii="Times New Roman" w:eastAsia="Calibri" w:hAnsi="Times New Roman" w:cs="Times New Roman"/>
          <w:color w:val="000000" w:themeColor="text1"/>
          <w:kern w:val="0"/>
          <w:sz w:val="24"/>
          <w:szCs w:val="24"/>
          <w:lang w:val="en-US"/>
          <w14:ligatures w14:val="none"/>
        </w:rPr>
        <w:t xml:space="preserve"> dome</w:t>
      </w:r>
      <w:r w:rsidR="00895B4C" w:rsidRPr="006B0EE8">
        <w:rPr>
          <w:rFonts w:ascii="Times New Roman" w:eastAsia="Calibri" w:hAnsi="Times New Roman" w:cs="Times New Roman"/>
          <w:color w:val="000000" w:themeColor="text1"/>
          <w:kern w:val="0"/>
          <w:sz w:val="24"/>
          <w:szCs w:val="24"/>
          <w:lang w:val="en-US"/>
          <w14:ligatures w14:val="none"/>
        </w:rPr>
        <w:t>stic adoption</w:t>
      </w:r>
      <w:r w:rsidRPr="006B0EE8">
        <w:rPr>
          <w:rFonts w:ascii="Times New Roman" w:eastAsia="Calibri" w:hAnsi="Times New Roman" w:cs="Times New Roman"/>
          <w:color w:val="000000" w:themeColor="text1"/>
          <w:kern w:val="0"/>
          <w:sz w:val="24"/>
          <w:szCs w:val="24"/>
          <w:lang w:val="en-US"/>
          <w14:ligatures w14:val="none"/>
        </w:rPr>
        <w:t xml:space="preserve">. </w:t>
      </w:r>
    </w:p>
    <w:p w14:paraId="4DBD04D8"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In line with this commitment, the directive on Alternative Child Care and Support was adopted in 2023. The directive primarily aims to support vulnerable children by acknowledging various forms of care along a continuum. These include famil</w:t>
      </w:r>
      <w:r w:rsidR="00895B4C" w:rsidRPr="006B0EE8">
        <w:rPr>
          <w:rFonts w:ascii="Times New Roman" w:eastAsia="Calibri" w:hAnsi="Times New Roman" w:cs="Times New Roman"/>
          <w:color w:val="000000" w:themeColor="text1"/>
          <w:kern w:val="0"/>
          <w:sz w:val="24"/>
          <w:szCs w:val="24"/>
          <w:lang w:val="en-US"/>
          <w14:ligatures w14:val="none"/>
        </w:rPr>
        <w:t>y preservation and strengthen</w:t>
      </w:r>
      <w:r w:rsidRPr="006B0EE8">
        <w:rPr>
          <w:rFonts w:ascii="Times New Roman" w:eastAsia="Calibri" w:hAnsi="Times New Roman" w:cs="Times New Roman"/>
          <w:color w:val="000000" w:themeColor="text1"/>
          <w:kern w:val="0"/>
          <w:sz w:val="24"/>
          <w:szCs w:val="24"/>
          <w:lang w:val="en-US"/>
          <w14:ligatures w14:val="none"/>
        </w:rPr>
        <w:t xml:space="preserve">, reintegration and reunification, kinship care, foster care, domestic adoption, supported and independent living, and residential care. While these options are prioritized, institutional care may also be considered, but only as a last resort. </w:t>
      </w:r>
    </w:p>
    <w:p w14:paraId="7500EB9A"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hAnsi="Times New Roman" w:cs="Times New Roman"/>
          <w:bCs/>
          <w:color w:val="000000" w:themeColor="text1"/>
          <w:sz w:val="24"/>
          <w:szCs w:val="24"/>
        </w:rPr>
        <w:t>To ensure the care and support of children whose mothers are inmates, the government has implemented a range of measures in accordance with the Federal Prisons Proclamation No. 1174/2019, particularly when placing them with close relatives is not feasible.</w:t>
      </w:r>
      <w:r w:rsidRPr="006B0EE8">
        <w:rPr>
          <w:rFonts w:ascii="Times New Roman" w:hAnsi="Times New Roman" w:cs="Times New Roman"/>
          <w:b/>
          <w:bCs/>
          <w:color w:val="000000" w:themeColor="text1"/>
          <w:sz w:val="24"/>
          <w:szCs w:val="24"/>
        </w:rPr>
        <w:t xml:space="preserve"> </w:t>
      </w:r>
      <w:r w:rsidRPr="006B0EE8">
        <w:rPr>
          <w:rFonts w:ascii="Times New Roman" w:hAnsi="Times New Roman" w:cs="Times New Roman"/>
          <w:color w:val="000000" w:themeColor="text1"/>
          <w:sz w:val="24"/>
          <w:szCs w:val="24"/>
        </w:rPr>
        <w:t>One such initiative, introduced by the Federal Prison Commission, allows foster care institutions responsible for minors whose mothers are incarcerated to bring the children to visit their mothers at the prison every two weeks. Additionally, the Commission allocates a dedicated budget for pregnant inmates and those with infants to ensure their specific needs are met. In prison facilities overseen by the Federal Prison Commission, minors are housed separately from adult prisoners.</w:t>
      </w:r>
      <w:r w:rsidR="00E26A4E" w:rsidRPr="006B0EE8">
        <w:rPr>
          <w:rFonts w:ascii="Times New Roman" w:hAnsi="Times New Roman" w:cs="Times New Roman"/>
          <w:color w:val="000000" w:themeColor="text1"/>
          <w:sz w:val="24"/>
          <w:szCs w:val="24"/>
        </w:rPr>
        <w:t xml:space="preserve"> Similar measures are being taken in regional prison facilities. </w:t>
      </w:r>
    </w:p>
    <w:p w14:paraId="4BB979D3" w14:textId="77777777" w:rsidR="006B0EE8" w:rsidRDefault="00E26A4E"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Times New Roman" w:hAnsi="Times New Roman" w:cs="Times New Roman"/>
          <w:color w:val="000000" w:themeColor="text1"/>
          <w:kern w:val="0"/>
          <w:sz w:val="24"/>
          <w:szCs w:val="24"/>
          <w:lang w:val="en-US"/>
          <w14:ligatures w14:val="none"/>
        </w:rPr>
        <w:t>Additionally</w:t>
      </w:r>
      <w:r w:rsidR="006A6E69" w:rsidRPr="006B0EE8">
        <w:rPr>
          <w:rFonts w:ascii="Times New Roman" w:eastAsia="Times New Roman" w:hAnsi="Times New Roman" w:cs="Times New Roman"/>
          <w:color w:val="000000" w:themeColor="text1"/>
          <w:kern w:val="0"/>
          <w:sz w:val="24"/>
          <w:szCs w:val="24"/>
          <w:lang w:val="en-US"/>
          <w14:ligatures w14:val="none"/>
        </w:rPr>
        <w:t xml:space="preserve">, </w:t>
      </w:r>
      <w:r w:rsidRPr="006B0EE8">
        <w:rPr>
          <w:rFonts w:ascii="Times New Roman" w:eastAsia="Times New Roman" w:hAnsi="Times New Roman" w:cs="Times New Roman"/>
          <w:color w:val="000000" w:themeColor="text1"/>
          <w:kern w:val="0"/>
          <w:sz w:val="24"/>
          <w:szCs w:val="24"/>
          <w:lang w:val="en-US"/>
          <w14:ligatures w14:val="none"/>
        </w:rPr>
        <w:t>a</w:t>
      </w:r>
      <w:r w:rsidR="006A6E69" w:rsidRPr="006B0EE8">
        <w:rPr>
          <w:rFonts w:ascii="Times New Roman" w:eastAsia="Times New Roman" w:hAnsi="Times New Roman" w:cs="Times New Roman"/>
          <w:color w:val="000000" w:themeColor="text1"/>
          <w:kern w:val="0"/>
          <w:sz w:val="24"/>
          <w:szCs w:val="24"/>
          <w:lang w:val="en-US"/>
          <w14:ligatures w14:val="none"/>
        </w:rPr>
        <w:t xml:space="preserve"> Juvenile Rehabilitation Center </w:t>
      </w:r>
      <w:r w:rsidRPr="006B0EE8">
        <w:rPr>
          <w:rFonts w:ascii="Times New Roman" w:eastAsia="Times New Roman" w:hAnsi="Times New Roman" w:cs="Times New Roman"/>
          <w:color w:val="000000" w:themeColor="text1"/>
          <w:kern w:val="0"/>
          <w:sz w:val="24"/>
          <w:szCs w:val="24"/>
          <w:lang w:val="en-US"/>
          <w14:ligatures w14:val="none"/>
        </w:rPr>
        <w:t xml:space="preserve">was renovated </w:t>
      </w:r>
      <w:r w:rsidR="006A6E69" w:rsidRPr="006B0EE8">
        <w:rPr>
          <w:rFonts w:ascii="Times New Roman" w:eastAsia="Times New Roman" w:hAnsi="Times New Roman" w:cs="Times New Roman"/>
          <w:color w:val="000000" w:themeColor="text1"/>
          <w:kern w:val="0"/>
          <w:sz w:val="24"/>
          <w:szCs w:val="24"/>
          <w:lang w:val="en-US"/>
          <w14:ligatures w14:val="none"/>
        </w:rPr>
        <w:t xml:space="preserve">in Addis Ababa in September 2022. This facility, which can accommodate up to 700 children in conflict with the law between the ages of 9 and 15, includes residential blocks, vocational training workshops, classrooms, meeting halls, a library, spaces for psycho-social support, and sports facilities. </w:t>
      </w:r>
    </w:p>
    <w:p w14:paraId="179E871A"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hAnsi="Times New Roman" w:cs="Times New Roman"/>
          <w:color w:val="000000" w:themeColor="text1"/>
          <w:sz w:val="24"/>
          <w:szCs w:val="24"/>
        </w:rPr>
        <w:t xml:space="preserve">To enhance the collection of disaggregated data on children, several tools and systems have been introduced, including hotline </w:t>
      </w:r>
      <w:proofErr w:type="spellStart"/>
      <w:r w:rsidRPr="006B0EE8">
        <w:rPr>
          <w:rFonts w:ascii="Times New Roman" w:hAnsi="Times New Roman" w:cs="Times New Roman"/>
          <w:color w:val="000000" w:themeColor="text1"/>
          <w:sz w:val="24"/>
          <w:szCs w:val="24"/>
        </w:rPr>
        <w:t>centers</w:t>
      </w:r>
      <w:proofErr w:type="spellEnd"/>
      <w:r w:rsidRPr="006B0EE8">
        <w:rPr>
          <w:rFonts w:ascii="Times New Roman" w:hAnsi="Times New Roman" w:cs="Times New Roman"/>
          <w:color w:val="000000" w:themeColor="text1"/>
          <w:sz w:val="24"/>
          <w:szCs w:val="24"/>
        </w:rPr>
        <w:t xml:space="preserve"> for reporting child abuse and exploitation, as well as the National Case Management Framework on Child Protection and Support </w:t>
      </w:r>
      <w:r w:rsidRPr="006B0EE8">
        <w:rPr>
          <w:rFonts w:ascii="Times New Roman" w:hAnsi="Times New Roman" w:cs="Times New Roman"/>
          <w:color w:val="000000" w:themeColor="text1"/>
          <w:sz w:val="24"/>
          <w:szCs w:val="24"/>
        </w:rPr>
        <w:lastRenderedPageBreak/>
        <w:t>Services. As part of these efforts, 100 child-frien</w:t>
      </w:r>
      <w:r w:rsidR="00BB6E11" w:rsidRPr="006B0EE8">
        <w:rPr>
          <w:rFonts w:ascii="Times New Roman" w:hAnsi="Times New Roman" w:cs="Times New Roman"/>
          <w:color w:val="000000" w:themeColor="text1"/>
          <w:sz w:val="24"/>
          <w:szCs w:val="24"/>
        </w:rPr>
        <w:t>dly court-benches, 8 hotline services</w:t>
      </w:r>
      <w:r w:rsidRPr="006B0EE8">
        <w:rPr>
          <w:rFonts w:ascii="Times New Roman" w:hAnsi="Times New Roman" w:cs="Times New Roman"/>
          <w:color w:val="000000" w:themeColor="text1"/>
          <w:sz w:val="24"/>
          <w:szCs w:val="24"/>
        </w:rPr>
        <w:t>, and 16 safe houses have been established across the country.</w:t>
      </w:r>
    </w:p>
    <w:p w14:paraId="5C8FD93C"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hAnsi="Times New Roman" w:cs="Times New Roman"/>
          <w:color w:val="000000" w:themeColor="text1"/>
          <w:sz w:val="24"/>
          <w:szCs w:val="24"/>
        </w:rPr>
        <w:t>These hotlines offer accessible and user-friendly reporting channels for children and adults to report incidents of abuse, violence, exploitation, and neglect. They also help facilitate comprehensive support services for child victims by connecting them to relevant government authorities.</w:t>
      </w:r>
    </w:p>
    <w:p w14:paraId="0785861E" w14:textId="77777777" w:rsidR="006B0EE8" w:rsidRPr="006B0EE8" w:rsidRDefault="00BB6E11"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proofErr w:type="spellStart"/>
      <w:r w:rsidRPr="006B0EE8">
        <w:rPr>
          <w:rFonts w:ascii="Times New Roman" w:hAnsi="Times New Roman" w:cs="Times New Roman"/>
          <w:color w:val="000000" w:themeColor="text1"/>
          <w:sz w:val="24"/>
          <w:szCs w:val="24"/>
        </w:rPr>
        <w:t>MoWSA</w:t>
      </w:r>
      <w:proofErr w:type="spellEnd"/>
      <w:r w:rsidRPr="006B0EE8">
        <w:rPr>
          <w:rFonts w:ascii="Times New Roman" w:hAnsi="Times New Roman" w:cs="Times New Roman"/>
          <w:color w:val="000000" w:themeColor="text1"/>
          <w:sz w:val="24"/>
          <w:szCs w:val="24"/>
        </w:rPr>
        <w:t xml:space="preserve"> and </w:t>
      </w:r>
      <w:proofErr w:type="spellStart"/>
      <w:r w:rsidRPr="006B0EE8">
        <w:rPr>
          <w:rFonts w:ascii="Times New Roman" w:hAnsi="Times New Roman" w:cs="Times New Roman"/>
          <w:color w:val="000000" w:themeColor="text1"/>
          <w:sz w:val="24"/>
          <w:szCs w:val="24"/>
        </w:rPr>
        <w:t>MoE</w:t>
      </w:r>
      <w:proofErr w:type="spellEnd"/>
      <w:r w:rsidRPr="006B0EE8">
        <w:rPr>
          <w:rFonts w:ascii="Times New Roman" w:hAnsi="Times New Roman" w:cs="Times New Roman"/>
          <w:color w:val="000000" w:themeColor="text1"/>
          <w:sz w:val="24"/>
          <w:szCs w:val="24"/>
        </w:rPr>
        <w:t xml:space="preserve"> have</w:t>
      </w:r>
      <w:r w:rsidR="006A6E69" w:rsidRPr="006B0EE8">
        <w:rPr>
          <w:rFonts w:ascii="Times New Roman" w:hAnsi="Times New Roman" w:cs="Times New Roman"/>
          <w:color w:val="000000" w:themeColor="text1"/>
          <w:sz w:val="24"/>
          <w:szCs w:val="24"/>
        </w:rPr>
        <w:t xml:space="preserve"> developed a Manual on Positive Child Disciplining. This manual promotes non-violent disciplinary methods and is intended to prevent corporal punishment in educational settings, orphanages, and households. Awareness-raising activities and regulatory measures based on the manual are regularly conducted across various sectors of society.</w:t>
      </w:r>
    </w:p>
    <w:p w14:paraId="35D0CD0C"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hAnsi="Times New Roman" w:cs="Times New Roman"/>
          <w:color w:val="000000" w:themeColor="text1"/>
          <w:sz w:val="24"/>
          <w:szCs w:val="24"/>
        </w:rPr>
        <w:t>Additionally, multiple reporting mechanisms have been established to enable children and others to report violence and abuse</w:t>
      </w:r>
      <w:r w:rsidR="00BB6E11" w:rsidRPr="006B0EE8">
        <w:rPr>
          <w:rFonts w:ascii="Times New Roman" w:hAnsi="Times New Roman" w:cs="Times New Roman"/>
          <w:color w:val="000000" w:themeColor="text1"/>
          <w:sz w:val="24"/>
          <w:szCs w:val="24"/>
        </w:rPr>
        <w:t>, including corporal punishment.</w:t>
      </w:r>
      <w:r w:rsidRPr="006B0EE8">
        <w:rPr>
          <w:rFonts w:ascii="Times New Roman" w:hAnsi="Times New Roman" w:cs="Times New Roman"/>
          <w:color w:val="000000" w:themeColor="text1"/>
          <w:sz w:val="24"/>
          <w:szCs w:val="24"/>
        </w:rPr>
        <w:t xml:space="preserve"> Community policing structures have also been leveraged to safeguard children against corporal punishment. When such incidents occur or are likely to occur, children or concerned individuals can report them to community police officers, who are readily accessible within schools and local communities.</w:t>
      </w:r>
    </w:p>
    <w:p w14:paraId="48A46DAD"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In order to prevent children from going out to the street and to rehabilitate and integrate those who are already in the street, the government took different measures. An urban destitute component was added to the Urban Productive Safety Net Project in 2019 to support vulnerable urban populations, including street children. The government mobilized all actors and allocated a budget to create awareness. For instance, in 2020, in rural and urban woredas, 10,432 community-based networks were created to prevent children from going onto the street. 285,896,877</w:t>
      </w:r>
      <w:r w:rsidR="001C021F" w:rsidRPr="006B0EE8">
        <w:rPr>
          <w:rFonts w:ascii="Times New Roman" w:eastAsia="Calibri" w:hAnsi="Times New Roman" w:cs="Times New Roman"/>
          <w:color w:val="000000" w:themeColor="text1"/>
          <w:kern w:val="0"/>
          <w:sz w:val="24"/>
          <w:szCs w:val="24"/>
          <w:lang w:val="en-US"/>
          <w14:ligatures w14:val="none"/>
        </w:rPr>
        <w:t xml:space="preserve"> ETB</w:t>
      </w:r>
      <w:r w:rsidRPr="006B0EE8">
        <w:rPr>
          <w:rFonts w:ascii="Times New Roman" w:eastAsia="Calibri" w:hAnsi="Times New Roman" w:cs="Times New Roman"/>
          <w:color w:val="000000" w:themeColor="text1"/>
          <w:kern w:val="0"/>
          <w:sz w:val="24"/>
          <w:szCs w:val="24"/>
          <w:lang w:val="en-US"/>
          <w14:ligatures w14:val="none"/>
        </w:rPr>
        <w:t xml:space="preserve"> was collected from the community to support the people living on the street. As a result, 21,793 people (including children) who used to live on the street were rehabilitated, reunited with their families.</w:t>
      </w:r>
    </w:p>
    <w:p w14:paraId="439ABAE4"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 xml:space="preserve">Ethiopia undertakes several initiatives to combat </w:t>
      </w:r>
      <w:r w:rsidRPr="006B0EE8">
        <w:rPr>
          <w:rFonts w:ascii="Times New Roman" w:hAnsi="Times New Roman" w:cs="Times New Roman"/>
          <w:color w:val="000000" w:themeColor="text1"/>
          <w:sz w:val="24"/>
          <w:szCs w:val="24"/>
          <w:lang w:val="en-US"/>
        </w:rPr>
        <w:t xml:space="preserve">Child labor. </w:t>
      </w:r>
      <w:r w:rsidR="00A66300" w:rsidRPr="006B0EE8">
        <w:rPr>
          <w:rFonts w:ascii="Times New Roman" w:hAnsi="Times New Roman" w:cs="Times New Roman"/>
          <w:color w:val="000000" w:themeColor="text1"/>
          <w:sz w:val="24"/>
          <w:szCs w:val="24"/>
        </w:rPr>
        <w:t xml:space="preserve">The </w:t>
      </w:r>
      <w:r w:rsidRPr="006B0EE8">
        <w:rPr>
          <w:rFonts w:ascii="Times New Roman" w:hAnsi="Times New Roman" w:cs="Times New Roman"/>
          <w:color w:val="000000" w:themeColor="text1"/>
          <w:sz w:val="24"/>
          <w:szCs w:val="24"/>
        </w:rPr>
        <w:t xml:space="preserve">Constitution of Ethiopia asserts that every child has the right to protection from exploitative practices and hazardous work that may harm their education, health, or well-being. Additionally, the Labour Proclamation No. 1156/2019 prohibits the employment of individuals under 15 years of age. These laws are aligned with international conventions such as the Worst </w:t>
      </w:r>
      <w:r w:rsidRPr="006B0EE8">
        <w:rPr>
          <w:rFonts w:ascii="Times New Roman" w:hAnsi="Times New Roman" w:cs="Times New Roman"/>
          <w:color w:val="000000" w:themeColor="text1"/>
          <w:sz w:val="24"/>
          <w:szCs w:val="24"/>
        </w:rPr>
        <w:lastRenderedPageBreak/>
        <w:t xml:space="preserve">Forms of Child Labour Convention (ILO No. 182) and the Minimum Age Convention (ILO No. 138). </w:t>
      </w:r>
    </w:p>
    <w:p w14:paraId="334676EF"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SimSun" w:hAnsi="Times New Roman" w:cs="Times New Roman"/>
          <w:color w:val="000000" w:themeColor="text1"/>
          <w:kern w:val="0"/>
          <w:sz w:val="24"/>
          <w:szCs w:val="24"/>
          <w:lang w:val="en-US"/>
          <w14:ligatures w14:val="none"/>
        </w:rPr>
        <w:t xml:space="preserve">In 2020, the government adopted five </w:t>
      </w:r>
      <w:r w:rsidR="00A66300" w:rsidRPr="006B0EE8">
        <w:rPr>
          <w:rFonts w:ascii="Times New Roman" w:eastAsia="SimSun" w:hAnsi="Times New Roman" w:cs="Times New Roman"/>
          <w:color w:val="000000" w:themeColor="text1"/>
          <w:kern w:val="0"/>
          <w:sz w:val="24"/>
          <w:szCs w:val="24"/>
          <w:lang w:val="en-US"/>
          <w14:ligatures w14:val="none"/>
        </w:rPr>
        <w:t>years</w:t>
      </w:r>
      <w:r w:rsidRPr="006B0EE8">
        <w:rPr>
          <w:rFonts w:ascii="Times New Roman" w:eastAsia="SimSun" w:hAnsi="Times New Roman" w:cs="Times New Roman"/>
          <w:color w:val="000000" w:themeColor="text1"/>
          <w:kern w:val="0"/>
          <w:sz w:val="24"/>
          <w:szCs w:val="24"/>
          <w:lang w:val="en-US"/>
          <w14:ligatures w14:val="none"/>
        </w:rPr>
        <w:t xml:space="preserve"> Action Plan to prevent and eliminate child labor exploitation, based on an assessment </w:t>
      </w:r>
      <w:r w:rsidR="00A66300" w:rsidRPr="006B0EE8">
        <w:rPr>
          <w:rFonts w:ascii="Times New Roman" w:eastAsia="SimSun" w:hAnsi="Times New Roman" w:cs="Times New Roman"/>
          <w:color w:val="000000" w:themeColor="text1"/>
          <w:kern w:val="0"/>
          <w:sz w:val="24"/>
          <w:szCs w:val="24"/>
          <w:lang w:val="en-US"/>
          <w14:ligatures w14:val="none"/>
        </w:rPr>
        <w:t xml:space="preserve">made </w:t>
      </w:r>
      <w:r w:rsidRPr="006B0EE8">
        <w:rPr>
          <w:rFonts w:ascii="Times New Roman" w:eastAsia="SimSun" w:hAnsi="Times New Roman" w:cs="Times New Roman"/>
          <w:color w:val="000000" w:themeColor="text1"/>
          <w:kern w:val="0"/>
          <w:sz w:val="24"/>
          <w:szCs w:val="24"/>
          <w:lang w:val="en-US"/>
          <w14:ligatures w14:val="none"/>
        </w:rPr>
        <w:t>by the Eth</w:t>
      </w:r>
      <w:r w:rsidR="00A66300" w:rsidRPr="006B0EE8">
        <w:rPr>
          <w:rFonts w:ascii="Times New Roman" w:eastAsia="SimSun" w:hAnsi="Times New Roman" w:cs="Times New Roman"/>
          <w:color w:val="000000" w:themeColor="text1"/>
          <w:kern w:val="0"/>
          <w:sz w:val="24"/>
          <w:szCs w:val="24"/>
          <w:lang w:val="en-US"/>
          <w14:ligatures w14:val="none"/>
        </w:rPr>
        <w:t>iopian CSS</w:t>
      </w:r>
      <w:r w:rsidRPr="006B0EE8">
        <w:rPr>
          <w:rFonts w:ascii="Times New Roman" w:eastAsia="SimSun" w:hAnsi="Times New Roman" w:cs="Times New Roman"/>
          <w:color w:val="000000" w:themeColor="text1"/>
          <w:kern w:val="0"/>
          <w:sz w:val="24"/>
          <w:szCs w:val="24"/>
          <w:lang w:val="en-US"/>
          <w14:ligatures w14:val="none"/>
        </w:rPr>
        <w:t xml:space="preserve">. </w:t>
      </w:r>
      <w:r w:rsidRPr="006B0EE8">
        <w:rPr>
          <w:rFonts w:ascii="Times New Roman" w:eastAsia="Times New Roman" w:hAnsi="Times New Roman" w:cs="Times New Roman"/>
          <w:color w:val="000000" w:themeColor="text1"/>
          <w:kern w:val="0"/>
          <w:sz w:val="24"/>
          <w:szCs w:val="24"/>
          <w:lang w:val="en-US"/>
          <w14:ligatures w14:val="none"/>
        </w:rPr>
        <w:t xml:space="preserve">The action plan set basic goals to prevent, protect, and rehabilitate vulnerable children in the street by carrying out various activities focusing on awareness raising, law enforcement efforts, identification of victims, and providing basic services. </w:t>
      </w:r>
      <w:r w:rsidRPr="006B0EE8">
        <w:rPr>
          <w:rFonts w:ascii="Times New Roman" w:hAnsi="Times New Roman" w:cs="Times New Roman"/>
          <w:color w:val="000000" w:themeColor="text1"/>
          <w:sz w:val="24"/>
          <w:szCs w:val="24"/>
        </w:rPr>
        <w:t xml:space="preserve"> </w:t>
      </w:r>
    </w:p>
    <w:p w14:paraId="6A7C146F"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To strengthen efforts against trafficking in women and children, the government has enacted laws, developed strategies, and established institutional mechanisms to hold perpetrators accountable and support victims. It has intensified the enforcement of anti-trafficking laws, including Ethiopia’s Overseas Employment Proclamation No. 1246/2021</w:t>
      </w:r>
      <w:r w:rsidR="00B76B4B" w:rsidRPr="006B0EE8">
        <w:rPr>
          <w:rFonts w:ascii="Times New Roman" w:eastAsia="Calibri" w:hAnsi="Times New Roman" w:cs="Times New Roman"/>
          <w:color w:val="000000" w:themeColor="text1"/>
          <w:kern w:val="0"/>
          <w:sz w:val="24"/>
          <w:szCs w:val="24"/>
          <w:lang w:val="en-US"/>
          <w14:ligatures w14:val="none"/>
        </w:rPr>
        <w:t xml:space="preserve"> and 1389/2025</w:t>
      </w:r>
      <w:r w:rsidRPr="006B0EE8">
        <w:rPr>
          <w:rFonts w:ascii="Times New Roman" w:eastAsia="Calibri" w:hAnsi="Times New Roman" w:cs="Times New Roman"/>
          <w:color w:val="000000" w:themeColor="text1"/>
          <w:kern w:val="0"/>
          <w:sz w:val="24"/>
          <w:szCs w:val="24"/>
          <w:lang w:val="en-US"/>
          <w14:ligatures w14:val="none"/>
        </w:rPr>
        <w:t xml:space="preserve">, which protects employees working abroad, and Proclamation No. 1178/2020 on the Prevention and Suppression of Trafficking in Persons and Smuggling of Persons. This legislation criminalizes labor and sex trafficking, ensures the rehabilitation of survivors, and mandates stricter penalties for human trafficking and smuggling. Proclamation No. 1178/2020 </w:t>
      </w:r>
      <w:r w:rsidRPr="006B0EE8">
        <w:rPr>
          <w:rFonts w:ascii="Times New Roman" w:eastAsia="SimSun" w:hAnsi="Times New Roman" w:cs="Times New Roman"/>
          <w:color w:val="000000" w:themeColor="text1"/>
          <w:kern w:val="0"/>
          <w:sz w:val="24"/>
          <w:szCs w:val="24"/>
          <w:lang w:eastAsia="zh-CN"/>
          <w14:ligatures w14:val="none"/>
        </w:rPr>
        <w:t xml:space="preserve">established a National Council, led by the Deputy Prime Minister, and National Partnership Coalition accountable to the Council. These institutional frameworks are designed for better coordination of activities including victims’ protection, assistance and rehabilitation, policy formulations and their implementation. Similar coalitions to combat crimes of trafficking and ensure best protection and rehabilitation of victims </w:t>
      </w:r>
      <w:r w:rsidR="00D94933" w:rsidRPr="006B0EE8">
        <w:rPr>
          <w:rFonts w:ascii="Times New Roman" w:eastAsia="SimSun" w:hAnsi="Times New Roman" w:cs="Times New Roman"/>
          <w:color w:val="000000" w:themeColor="text1"/>
          <w:kern w:val="0"/>
          <w:sz w:val="24"/>
          <w:szCs w:val="24"/>
          <w:lang w:eastAsia="zh-CN"/>
          <w14:ligatures w14:val="none"/>
        </w:rPr>
        <w:t>have also been established in regional states and</w:t>
      </w:r>
      <w:r w:rsidRPr="006B0EE8">
        <w:rPr>
          <w:rFonts w:ascii="Times New Roman" w:eastAsia="SimSun" w:hAnsi="Times New Roman" w:cs="Times New Roman"/>
          <w:color w:val="000000" w:themeColor="text1"/>
          <w:kern w:val="0"/>
          <w:sz w:val="24"/>
          <w:szCs w:val="24"/>
          <w:lang w:eastAsia="zh-CN"/>
          <w14:ligatures w14:val="none"/>
        </w:rPr>
        <w:t xml:space="preserve"> city administrations. </w:t>
      </w:r>
    </w:p>
    <w:p w14:paraId="1FD0AEC5"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According to the Witness and Whistleblowers Protect</w:t>
      </w:r>
      <w:r w:rsidR="00D94933" w:rsidRPr="006B0EE8">
        <w:rPr>
          <w:rFonts w:ascii="Times New Roman" w:eastAsia="Calibri" w:hAnsi="Times New Roman" w:cs="Times New Roman"/>
          <w:color w:val="000000" w:themeColor="text1"/>
          <w:kern w:val="0"/>
          <w:sz w:val="24"/>
          <w:szCs w:val="24"/>
          <w:lang w:val="en-US"/>
          <w14:ligatures w14:val="none"/>
        </w:rPr>
        <w:t xml:space="preserve">ion Proclamation (No. 699/2010) </w:t>
      </w:r>
      <w:r w:rsidRPr="006B0EE8">
        <w:rPr>
          <w:rFonts w:ascii="Times New Roman" w:eastAsia="Calibri" w:hAnsi="Times New Roman" w:cs="Times New Roman"/>
          <w:color w:val="000000" w:themeColor="text1"/>
          <w:kern w:val="0"/>
          <w:sz w:val="24"/>
          <w:szCs w:val="24"/>
          <w:lang w:val="en-US"/>
          <w14:ligatures w14:val="none"/>
        </w:rPr>
        <w:t>provided safeguards for victims involved in investigations and prosecutions. These protections included immunity from prosecution for offenses committed solely as a direct consequence of being traffi</w:t>
      </w:r>
      <w:r w:rsidR="00D94933" w:rsidRPr="006B0EE8">
        <w:rPr>
          <w:rFonts w:ascii="Times New Roman" w:eastAsia="Calibri" w:hAnsi="Times New Roman" w:cs="Times New Roman"/>
          <w:color w:val="000000" w:themeColor="text1"/>
          <w:kern w:val="0"/>
          <w:sz w:val="24"/>
          <w:szCs w:val="24"/>
          <w:lang w:val="en-US"/>
          <w14:ligatures w14:val="none"/>
        </w:rPr>
        <w:t xml:space="preserve">cked. The government </w:t>
      </w:r>
      <w:r w:rsidRPr="006B0EE8">
        <w:rPr>
          <w:rFonts w:ascii="Times New Roman" w:eastAsia="Calibri" w:hAnsi="Times New Roman" w:cs="Times New Roman"/>
          <w:color w:val="000000" w:themeColor="text1"/>
          <w:kern w:val="0"/>
          <w:sz w:val="24"/>
          <w:szCs w:val="24"/>
          <w:lang w:val="en-US"/>
          <w14:ligatures w14:val="none"/>
        </w:rPr>
        <w:t>enhanced protections for crime victims, including those of human trafficking, and ensured these measures aligned with international standards by collaborating with an international organization.</w:t>
      </w:r>
    </w:p>
    <w:p w14:paraId="44FAFDEA" w14:textId="77777777" w:rsid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Times New Roman" w:hAnsi="Times New Roman" w:cs="Times New Roman"/>
          <w:color w:val="000000" w:themeColor="text1"/>
          <w:kern w:val="0"/>
          <w:sz w:val="24"/>
          <w:szCs w:val="24"/>
          <w:lang w:val="en-US"/>
          <w14:ligatures w14:val="none"/>
        </w:rPr>
        <w:t xml:space="preserve">The federal government allocated 1.36 billion ETB to implement anti-trafficking and anti-migrant smuggling initiatives during the 2022–2023 fiscal year, while regional governments provided funding for their respective areas. These efforts have supported </w:t>
      </w:r>
      <w:r w:rsidRPr="006B0EE8">
        <w:rPr>
          <w:rFonts w:ascii="Times New Roman" w:eastAsia="Times New Roman" w:hAnsi="Times New Roman" w:cs="Times New Roman"/>
          <w:color w:val="000000" w:themeColor="text1"/>
          <w:kern w:val="0"/>
          <w:sz w:val="24"/>
          <w:szCs w:val="24"/>
          <w:lang w:val="en-US"/>
          <w14:ligatures w14:val="none"/>
        </w:rPr>
        <w:lastRenderedPageBreak/>
        <w:t xml:space="preserve">vulnerable women and girls, recognizing the significant number of female migrants subjected to human trafficking in Ethiopia. </w:t>
      </w:r>
    </w:p>
    <w:p w14:paraId="58230D3E" w14:textId="77777777" w:rsidR="006B0EE8"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Calibri" w:hAnsi="Times New Roman" w:cs="Times New Roman"/>
          <w:color w:val="000000" w:themeColor="text1"/>
          <w:kern w:val="0"/>
          <w:sz w:val="24"/>
          <w:szCs w:val="24"/>
          <w:lang w:val="en-US"/>
          <w14:ligatures w14:val="none"/>
        </w:rPr>
        <w:t>Between 2019 and 2023, in partnership with international organizations, the government provided extensive support to over 259,370 individuals, including access to shelter, healthcare, psycho</w:t>
      </w:r>
      <w:r w:rsidR="00BE5A8D" w:rsidRPr="006B0EE8">
        <w:rPr>
          <w:rFonts w:ascii="Times New Roman" w:eastAsia="Calibri" w:hAnsi="Times New Roman" w:cs="Times New Roman"/>
          <w:color w:val="000000" w:themeColor="text1"/>
          <w:kern w:val="0"/>
          <w:sz w:val="24"/>
          <w:szCs w:val="24"/>
          <w:lang w:val="en-US"/>
          <w14:ligatures w14:val="none"/>
        </w:rPr>
        <w:t>-</w:t>
      </w:r>
      <w:r w:rsidRPr="006B0EE8">
        <w:rPr>
          <w:rFonts w:ascii="Times New Roman" w:eastAsia="Calibri" w:hAnsi="Times New Roman" w:cs="Times New Roman"/>
          <w:color w:val="000000" w:themeColor="text1"/>
          <w:kern w:val="0"/>
          <w:sz w:val="24"/>
          <w:szCs w:val="24"/>
          <w:lang w:val="en-US"/>
          <w14:ligatures w14:val="none"/>
        </w:rPr>
        <w:t xml:space="preserve">social assistance, and reintegration services. During this period, 2,059 traffickers were prosecuted and convicted, with particular emphasis on cases where women and children were victims.  </w:t>
      </w:r>
    </w:p>
    <w:p w14:paraId="68779097" w14:textId="5764FBF7" w:rsidR="006A6E69" w:rsidRPr="006B0EE8" w:rsidRDefault="006A6E69" w:rsidP="006B0EE8">
      <w:pPr>
        <w:pStyle w:val="ListParagraph"/>
        <w:numPr>
          <w:ilvl w:val="0"/>
          <w:numId w:val="3"/>
        </w:numPr>
        <w:spacing w:line="360" w:lineRule="auto"/>
        <w:ind w:left="810" w:hanging="540"/>
        <w:jc w:val="both"/>
        <w:rPr>
          <w:rFonts w:ascii="Times New Roman" w:eastAsia="Times New Roman" w:hAnsi="Times New Roman" w:cs="Times New Roman"/>
          <w:color w:val="000000" w:themeColor="text1"/>
          <w:kern w:val="0"/>
          <w:sz w:val="24"/>
          <w:szCs w:val="24"/>
          <w:lang w:val="en-US"/>
          <w14:ligatures w14:val="none"/>
        </w:rPr>
      </w:pPr>
      <w:r w:rsidRPr="006B0EE8">
        <w:rPr>
          <w:rFonts w:ascii="Times New Roman" w:eastAsia="SimSun" w:hAnsi="Times New Roman" w:cs="Times New Roman"/>
          <w:color w:val="000000" w:themeColor="text1"/>
          <w:kern w:val="0"/>
          <w:sz w:val="24"/>
          <w:szCs w:val="24"/>
          <w:lang w:eastAsia="zh-CN"/>
          <w14:ligatures w14:val="none"/>
        </w:rPr>
        <w:t>Courts have also established special benches to entertain cases of human trafficking and smuggling of migrants. Judges assigned to these benches took special trainings on the adjudication of such cases.</w:t>
      </w:r>
    </w:p>
    <w:p w14:paraId="4DF2EE96" w14:textId="77777777" w:rsidR="00526D16" w:rsidRPr="00460EC6" w:rsidRDefault="00526D16" w:rsidP="00526D16">
      <w:pPr>
        <w:spacing w:line="360" w:lineRule="auto"/>
        <w:jc w:val="center"/>
        <w:rPr>
          <w:rFonts w:ascii="Times New Roman" w:hAnsi="Times New Roman" w:cs="Times New Roman"/>
          <w:b/>
          <w:color w:val="000000" w:themeColor="text1"/>
          <w:sz w:val="24"/>
          <w:szCs w:val="24"/>
        </w:rPr>
      </w:pPr>
    </w:p>
    <w:p w14:paraId="7BB7C263" w14:textId="1445EAE9" w:rsidR="000F6CEB" w:rsidRPr="00460EC6" w:rsidRDefault="000F6CEB" w:rsidP="00283110">
      <w:pPr>
        <w:spacing w:line="360" w:lineRule="auto"/>
        <w:rPr>
          <w:rFonts w:ascii="Times New Roman" w:hAnsi="Times New Roman" w:cs="Times New Roman"/>
          <w:b/>
          <w:color w:val="000000" w:themeColor="text1"/>
          <w:sz w:val="24"/>
          <w:szCs w:val="24"/>
        </w:rPr>
      </w:pPr>
      <w:r w:rsidRPr="00460EC6">
        <w:rPr>
          <w:rFonts w:ascii="Times New Roman" w:hAnsi="Times New Roman" w:cs="Times New Roman"/>
          <w:b/>
          <w:color w:val="000000" w:themeColor="text1"/>
          <w:sz w:val="24"/>
          <w:szCs w:val="24"/>
        </w:rPr>
        <w:t xml:space="preserve">Article 11: </w:t>
      </w:r>
      <w:r w:rsidRPr="00460EC6">
        <w:rPr>
          <w:rFonts w:ascii="Times New Roman" w:hAnsi="Times New Roman" w:cs="Times New Roman"/>
          <w:b/>
          <w:color w:val="000000" w:themeColor="text1"/>
          <w:sz w:val="24"/>
          <w:szCs w:val="24"/>
          <w:u w:val="single"/>
        </w:rPr>
        <w:t>The Right to Adequate Standard of Living</w:t>
      </w:r>
      <w:r w:rsidR="00283110" w:rsidRPr="00460EC6">
        <w:rPr>
          <w:rFonts w:ascii="Times New Roman" w:hAnsi="Times New Roman" w:cs="Times New Roman"/>
          <w:b/>
          <w:color w:val="000000" w:themeColor="text1"/>
          <w:sz w:val="24"/>
          <w:szCs w:val="24"/>
          <w:u w:val="single"/>
        </w:rPr>
        <w:t>.</w:t>
      </w:r>
    </w:p>
    <w:p w14:paraId="53A93E42" w14:textId="19B87FCC" w:rsidR="000F6CEB" w:rsidRPr="00C32E5E"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C32E5E">
        <w:rPr>
          <w:rFonts w:ascii="Times New Roman" w:hAnsi="Times New Roman" w:cs="Times New Roman"/>
          <w:color w:val="000000" w:themeColor="text1"/>
          <w:sz w:val="24"/>
          <w:szCs w:val="24"/>
        </w:rPr>
        <w:t xml:space="preserve">The </w:t>
      </w:r>
      <w:proofErr w:type="spellStart"/>
      <w:r w:rsidRPr="00C32E5E">
        <w:rPr>
          <w:rFonts w:ascii="Times New Roman" w:hAnsi="Times New Roman" w:cs="Times New Roman"/>
          <w:color w:val="000000" w:themeColor="text1"/>
          <w:sz w:val="24"/>
          <w:szCs w:val="24"/>
        </w:rPr>
        <w:t>GoE</w:t>
      </w:r>
      <w:proofErr w:type="spellEnd"/>
      <w:r w:rsidRPr="00C32E5E">
        <w:rPr>
          <w:rFonts w:ascii="Times New Roman" w:hAnsi="Times New Roman" w:cs="Times New Roman"/>
          <w:color w:val="000000" w:themeColor="text1"/>
          <w:sz w:val="24"/>
          <w:szCs w:val="24"/>
        </w:rPr>
        <w:t xml:space="preserve"> employs multiple tools to measure poverty in the country. The Household Consumption and Expenditure Surveys (HCES) has been utilized to assess the incidence, depth and severity of poverty. These surveys had been conducted in 2010/2011, 2015/2016, and 2020/2021 to update national poverty metrics by evaluating household per capita consumption. Complementary to the HCES, the Welfare Monitoring Surveys, conducted in 2011 and 2016, provide data on welfare indicators such as access to services and living conditions.  Ethiopia also applies the World Bank’s Living Standards Measurement Study - Integrated Surveys on Agriculture, conducted in 2013/2014 and 2015/2016, which combine household and agricultural data to assess rural poverty. It further utilizes other poverty measurement methods such as the Cost of Basic Needs, and Food Energy Intake Method. </w:t>
      </w:r>
    </w:p>
    <w:p w14:paraId="1EC65234"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Since 2021, Ethiopia has predominantly employed the Multidimensional Poverty Index, to capture non-monetary dimensions of poverty, including education, health, and living standards.</w:t>
      </w:r>
    </w:p>
    <w:p w14:paraId="394C61C5" w14:textId="0A7C6904"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Ethiopia has integrated various mechanisms into its development policies and strategies. The G</w:t>
      </w:r>
      <w:r w:rsidR="00283110" w:rsidRPr="00460EC6">
        <w:rPr>
          <w:rFonts w:ascii="Times New Roman" w:hAnsi="Times New Roman" w:cs="Times New Roman"/>
          <w:color w:val="000000" w:themeColor="text1"/>
          <w:sz w:val="24"/>
          <w:szCs w:val="24"/>
        </w:rPr>
        <w:t xml:space="preserve">rowth Transformation </w:t>
      </w:r>
      <w:r w:rsidRPr="00460EC6">
        <w:rPr>
          <w:rFonts w:ascii="Times New Roman" w:hAnsi="Times New Roman" w:cs="Times New Roman"/>
          <w:color w:val="000000" w:themeColor="text1"/>
          <w:sz w:val="24"/>
          <w:szCs w:val="24"/>
        </w:rPr>
        <w:t>P</w:t>
      </w:r>
      <w:r w:rsidR="00283110" w:rsidRPr="00460EC6">
        <w:rPr>
          <w:rFonts w:ascii="Times New Roman" w:hAnsi="Times New Roman" w:cs="Times New Roman"/>
          <w:color w:val="000000" w:themeColor="text1"/>
          <w:sz w:val="24"/>
          <w:szCs w:val="24"/>
        </w:rPr>
        <w:t>lan</w:t>
      </w:r>
      <w:r w:rsidRPr="00460EC6">
        <w:rPr>
          <w:rFonts w:ascii="Times New Roman" w:hAnsi="Times New Roman" w:cs="Times New Roman"/>
          <w:color w:val="000000" w:themeColor="text1"/>
          <w:sz w:val="24"/>
          <w:szCs w:val="24"/>
        </w:rPr>
        <w:t xml:space="preserve"> I (2010-2015) and II (2016-2020) have incorporated poverty reduction targets and indicators. The 10-Years NDP (2020-2030) introduces </w:t>
      </w:r>
      <w:r w:rsidRPr="00460EC6">
        <w:rPr>
          <w:rFonts w:ascii="Times New Roman" w:hAnsi="Times New Roman" w:cs="Times New Roman"/>
          <w:color w:val="000000" w:themeColor="text1"/>
          <w:sz w:val="24"/>
          <w:szCs w:val="24"/>
        </w:rPr>
        <w:lastRenderedPageBreak/>
        <w:t>updated tools for comprehensive poverty monitoring alongside broader development initiatives.</w:t>
      </w:r>
    </w:p>
    <w:p w14:paraId="424F83FB"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To assess poverty severity and distribution, Ethiopia applies the Poverty Gap Index. Based on this index, the severity of poverty declined from 3.1% in 2015/16 to 2.7% in 2021/22. </w:t>
      </w:r>
    </w:p>
    <w:p w14:paraId="7F86FD9C"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launched Homegrown Economic Reform (HGER) Agenda in 2019 to achieve macroeconomic stabilization, liberalization and private sector led growth. The landmark reforms in fiscal years 2024/25, included liberalizing the foreign exchange regime, ending central bank deficit financing, and adopting a market-based exchange rate. These efforts, supported by a $3.4 billion IMF program approved in July 2024, helped triple foreign reserves to $3.4 billion by May 2025. Inflation dropped significantly from 30% in 2023 to 15.5% in early 2025, with a forecast of 10% by the 2025/26. Public revenue collection improved sharply, with tax revenues rising by 83% in the first half of 2024/25, narrowing the fiscal deficit from 4.2% to 1.7% of GDP.</w:t>
      </w:r>
    </w:p>
    <w:p w14:paraId="78BC4A2C" w14:textId="77777777" w:rsidR="000F6CEB" w:rsidRPr="00460EC6" w:rsidRDefault="000F6CEB" w:rsidP="00C32E5E">
      <w:pPr>
        <w:pStyle w:val="ListParagraph"/>
        <w:numPr>
          <w:ilvl w:val="0"/>
          <w:numId w:val="3"/>
        </w:numPr>
        <w:spacing w:after="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Ethiopia’s Macroeconomic Reform Agenda, closely tied to the HGER has launched in July 2024, to achieve economic stabilization, reduce inflation, curb public debt, and build resilience in external trade. Key reform program includes fiscal consolidation, monetary tightening, exchange rate flexibility, and State-Owned Enterprise (SOE) reform. </w:t>
      </w:r>
    </w:p>
    <w:p w14:paraId="7FAAB43C" w14:textId="1ECFF07B" w:rsidR="00A716D7" w:rsidRPr="00460EC6" w:rsidRDefault="00A716D7"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Under the IMF supported Extended Credit Facility,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adopted a market-clearing exchange rate regime, improving foreign exchange access and boosting reserves. The transition to interest rate based monetary policy and market led policy contributed to reduction in inflation from 36.6% in 2022 to 13.8 by late 2024.</w:t>
      </w:r>
    </w:p>
    <w:p w14:paraId="5B717541"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Tax reform measures including VAT modernization, digital filing, and new excise and property tax raised tax revenues by 110% in the first half of 2024/25, and increasing the tax-to-GDP ratio to reaching 8.5% thereby expanding fiscal space for public investment in health, education, and social services. </w:t>
      </w:r>
    </w:p>
    <w:p w14:paraId="2AAC378D"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The Government also ended national bank deficit financing, capped credit expansion to reduce inflationary pressures, and partially liberalized key sectors to attract private investment and capital. These reforms enhance Ethiopia’s capacity to mobilize the maximum available resources in line with its ICESCR obligations.</w:t>
      </w:r>
    </w:p>
    <w:p w14:paraId="61CE75E2" w14:textId="2E479ED6" w:rsidR="00BF660E"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Structural reforms</w:t>
      </w:r>
      <w:r w:rsidR="009B594A"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 xml:space="preserve"> </w:t>
      </w:r>
      <w:r w:rsidR="009B594A" w:rsidRPr="00460EC6">
        <w:rPr>
          <w:rFonts w:ascii="Times New Roman" w:hAnsi="Times New Roman" w:cs="Times New Roman"/>
          <w:color w:val="000000" w:themeColor="text1"/>
          <w:sz w:val="24"/>
          <w:szCs w:val="24"/>
        </w:rPr>
        <w:t>including</w:t>
      </w:r>
      <w:r w:rsidRPr="00460EC6">
        <w:rPr>
          <w:rFonts w:ascii="Times New Roman" w:hAnsi="Times New Roman" w:cs="Times New Roman"/>
          <w:color w:val="000000" w:themeColor="text1"/>
          <w:sz w:val="24"/>
          <w:szCs w:val="24"/>
        </w:rPr>
        <w:t xml:space="preserve"> the launch of </w:t>
      </w:r>
      <w:r w:rsidR="009B594A" w:rsidRPr="00460EC6">
        <w:rPr>
          <w:rFonts w:ascii="Times New Roman" w:hAnsi="Times New Roman" w:cs="Times New Roman"/>
          <w:color w:val="000000" w:themeColor="text1"/>
          <w:sz w:val="24"/>
          <w:szCs w:val="24"/>
        </w:rPr>
        <w:t xml:space="preserve">the </w:t>
      </w:r>
      <w:r w:rsidRPr="00460EC6">
        <w:rPr>
          <w:rFonts w:ascii="Times New Roman" w:hAnsi="Times New Roman" w:cs="Times New Roman"/>
          <w:color w:val="000000" w:themeColor="text1"/>
          <w:sz w:val="24"/>
          <w:szCs w:val="24"/>
        </w:rPr>
        <w:t>Ethiopian Securities Exchange in 2025</w:t>
      </w:r>
      <w:r w:rsidR="009B594A" w:rsidRPr="00460EC6">
        <w:rPr>
          <w:rFonts w:ascii="Times New Roman" w:hAnsi="Times New Roman" w:cs="Times New Roman"/>
          <w:color w:val="000000" w:themeColor="text1"/>
          <w:sz w:val="24"/>
          <w:szCs w:val="24"/>
        </w:rPr>
        <w:t>,</w:t>
      </w:r>
      <w:r w:rsidR="00BF660E" w:rsidRPr="00460EC6">
        <w:rPr>
          <w:rFonts w:ascii="Times New Roman" w:hAnsi="Times New Roman" w:cs="Times New Roman"/>
          <w:color w:val="000000" w:themeColor="text1"/>
          <w:sz w:val="24"/>
          <w:szCs w:val="24"/>
        </w:rPr>
        <w:t xml:space="preserve"> </w:t>
      </w:r>
      <w:r w:rsidR="009B594A" w:rsidRPr="00460EC6">
        <w:rPr>
          <w:rFonts w:ascii="Times New Roman" w:hAnsi="Times New Roman" w:cs="Times New Roman"/>
          <w:color w:val="000000" w:themeColor="text1"/>
          <w:sz w:val="24"/>
          <w:szCs w:val="24"/>
        </w:rPr>
        <w:t>are</w:t>
      </w:r>
      <w:r w:rsidR="00BF660E" w:rsidRPr="00460EC6">
        <w:rPr>
          <w:rFonts w:ascii="Times New Roman" w:hAnsi="Times New Roman" w:cs="Times New Roman"/>
          <w:color w:val="000000" w:themeColor="text1"/>
          <w:sz w:val="24"/>
          <w:szCs w:val="24"/>
        </w:rPr>
        <w:t xml:space="preserve"> an important step to enhance wide public participation in investments. </w:t>
      </w:r>
    </w:p>
    <w:p w14:paraId="2BDBD625" w14:textId="2A19BC39" w:rsidR="000F6CEB" w:rsidRPr="00460EC6" w:rsidRDefault="00BF660E"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 xml:space="preserve">The structural reform implemented in the agricultural sector </w:t>
      </w:r>
      <w:r w:rsidR="00E677A0" w:rsidRPr="00460EC6">
        <w:rPr>
          <w:rFonts w:ascii="Times New Roman" w:hAnsi="Times New Roman" w:cs="Times New Roman"/>
          <w:color w:val="000000" w:themeColor="text1"/>
          <w:sz w:val="24"/>
          <w:szCs w:val="24"/>
        </w:rPr>
        <w:t>h</w:t>
      </w:r>
      <w:r w:rsidRPr="00460EC6">
        <w:rPr>
          <w:rFonts w:ascii="Times New Roman" w:hAnsi="Times New Roman" w:cs="Times New Roman"/>
          <w:color w:val="000000" w:themeColor="text1"/>
          <w:sz w:val="24"/>
          <w:szCs w:val="24"/>
        </w:rPr>
        <w:t>as yielded in</w:t>
      </w:r>
      <w:r w:rsidR="000F6CEB" w:rsidRPr="00460EC6">
        <w:rPr>
          <w:rFonts w:ascii="Times New Roman" w:hAnsi="Times New Roman" w:cs="Times New Roman"/>
          <w:color w:val="000000" w:themeColor="text1"/>
          <w:sz w:val="24"/>
          <w:szCs w:val="24"/>
        </w:rPr>
        <w:t xml:space="preserve"> </w:t>
      </w:r>
      <w:r w:rsidRPr="00460EC6">
        <w:rPr>
          <w:rFonts w:ascii="Times New Roman" w:hAnsi="Times New Roman" w:cs="Times New Roman"/>
          <w:color w:val="000000" w:themeColor="text1"/>
          <w:sz w:val="24"/>
          <w:szCs w:val="24"/>
        </w:rPr>
        <w:t>a</w:t>
      </w:r>
      <w:r w:rsidR="000F6CEB" w:rsidRPr="00460EC6">
        <w:rPr>
          <w:rFonts w:ascii="Times New Roman" w:hAnsi="Times New Roman" w:cs="Times New Roman"/>
          <w:color w:val="000000" w:themeColor="text1"/>
          <w:sz w:val="24"/>
          <w:szCs w:val="24"/>
        </w:rPr>
        <w:t xml:space="preserve"> record agricultural production, with wheat output reaching 23 million tonnes, positioning Ethiopia as Africa’s top </w:t>
      </w:r>
      <w:r w:rsidR="009B594A" w:rsidRPr="00460EC6">
        <w:rPr>
          <w:rFonts w:ascii="Times New Roman" w:hAnsi="Times New Roman" w:cs="Times New Roman"/>
          <w:color w:val="000000" w:themeColor="text1"/>
          <w:sz w:val="24"/>
          <w:szCs w:val="24"/>
        </w:rPr>
        <w:t>wheat-producing</w:t>
      </w:r>
      <w:r w:rsidR="000F6CEB" w:rsidRPr="00460EC6">
        <w:rPr>
          <w:rFonts w:ascii="Times New Roman" w:hAnsi="Times New Roman" w:cs="Times New Roman"/>
          <w:color w:val="000000" w:themeColor="text1"/>
          <w:sz w:val="24"/>
          <w:szCs w:val="24"/>
        </w:rPr>
        <w:t xml:space="preserve"> country. </w:t>
      </w:r>
    </w:p>
    <w:p w14:paraId="2BB30C94" w14:textId="04FD0D5A"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Export performance surged, with total </w:t>
      </w:r>
      <w:r w:rsidR="009B594A" w:rsidRPr="00460EC6">
        <w:rPr>
          <w:rFonts w:ascii="Times New Roman" w:hAnsi="Times New Roman" w:cs="Times New Roman"/>
          <w:color w:val="000000" w:themeColor="text1"/>
          <w:sz w:val="24"/>
          <w:szCs w:val="24"/>
        </w:rPr>
        <w:t>exports</w:t>
      </w:r>
      <w:r w:rsidRPr="00460EC6">
        <w:rPr>
          <w:rFonts w:ascii="Times New Roman" w:hAnsi="Times New Roman" w:cs="Times New Roman"/>
          <w:color w:val="000000" w:themeColor="text1"/>
          <w:sz w:val="24"/>
          <w:szCs w:val="24"/>
        </w:rPr>
        <w:t xml:space="preserve"> </w:t>
      </w:r>
      <w:r w:rsidR="009B594A" w:rsidRPr="00460EC6">
        <w:rPr>
          <w:rFonts w:ascii="Times New Roman" w:hAnsi="Times New Roman" w:cs="Times New Roman"/>
          <w:color w:val="000000" w:themeColor="text1"/>
          <w:sz w:val="24"/>
          <w:szCs w:val="24"/>
        </w:rPr>
        <w:t>rising</w:t>
      </w:r>
      <w:r w:rsidRPr="00460EC6">
        <w:rPr>
          <w:rFonts w:ascii="Times New Roman" w:hAnsi="Times New Roman" w:cs="Times New Roman"/>
          <w:color w:val="000000" w:themeColor="text1"/>
          <w:sz w:val="24"/>
          <w:szCs w:val="24"/>
        </w:rPr>
        <w:t xml:space="preserve"> from $2.9 billion in 2019 to $4.6 billion in 2023, driven by diversification and value addition in agriculture and mining. </w:t>
      </w:r>
    </w:p>
    <w:p w14:paraId="0EF65A04"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Inflation, which peaked at 36.6% in 2021, declined to 28.7% by mid-2023 due to improved monetary policy coordination. Ethiopia's external debt-to-GDP ratio also reduced from 31.6% in 2019 to 26.5% in 2023, supported by concessional financing and restructuring. Export earnings grew from $2.9 billion in 2019 to over $4.6 billion in 2023, supported by better export diversification and value addition in agriculture and mining.</w:t>
      </w:r>
    </w:p>
    <w:p w14:paraId="1BE81389" w14:textId="4FF17483"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government </w:t>
      </w:r>
      <w:r w:rsidR="009B594A" w:rsidRPr="00460EC6">
        <w:rPr>
          <w:rFonts w:ascii="Times New Roman" w:hAnsi="Times New Roman" w:cs="Times New Roman"/>
          <w:color w:val="000000" w:themeColor="text1"/>
          <w:sz w:val="24"/>
          <w:szCs w:val="24"/>
        </w:rPr>
        <w:t>has</w:t>
      </w:r>
      <w:r w:rsidRPr="00460EC6">
        <w:rPr>
          <w:rFonts w:ascii="Times New Roman" w:hAnsi="Times New Roman" w:cs="Times New Roman"/>
          <w:color w:val="000000" w:themeColor="text1"/>
          <w:sz w:val="24"/>
          <w:szCs w:val="24"/>
        </w:rPr>
        <w:t xml:space="preserve"> increased its share of domestic financing for poverty-oriented programs to over 90% in 2023/24</w:t>
      </w:r>
      <w:r w:rsidR="009B594A"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 xml:space="preserve"> up</w:t>
      </w:r>
      <w:r w:rsidR="009B594A" w:rsidRPr="00460EC6">
        <w:rPr>
          <w:rFonts w:ascii="Times New Roman" w:hAnsi="Times New Roman" w:cs="Times New Roman"/>
          <w:color w:val="000000" w:themeColor="text1"/>
          <w:sz w:val="24"/>
          <w:szCs w:val="24"/>
        </w:rPr>
        <w:t xml:space="preserve"> </w:t>
      </w:r>
      <w:r w:rsidRPr="00460EC6">
        <w:rPr>
          <w:rFonts w:ascii="Times New Roman" w:hAnsi="Times New Roman" w:cs="Times New Roman"/>
          <w:color w:val="000000" w:themeColor="text1"/>
          <w:sz w:val="24"/>
          <w:szCs w:val="24"/>
        </w:rPr>
        <w:t xml:space="preserve">from 83.4% in 2015/16. </w:t>
      </w:r>
    </w:p>
    <w:p w14:paraId="31423E92"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Ethiopia has undertaken significant legal, institutional and policy steps to realize the right to food in accordance with Article 11 of the ICESCR. National efforts are aligned with the SDGs particularly goals related to ending hunger, improving nutrition, and promoting sustainable agriculture. These efforts focus on food availability, accessibility, quality, affordability, security, and achieving the SDGs. </w:t>
      </w:r>
    </w:p>
    <w:p w14:paraId="55672BAC"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Ethiopia has introduced Food and Nutrition Policy in 2018 aims to ensure food and nutrition security through sustainable agricultural production, equitable food access, affordability, and improved national nutrition. The policy promotes climate-resilient agriculture, fisheries, and forest conservation, along with improvements in food distribution systems, infrastructure, and price control mechanism. Key affordability measures include subsidies, food banks, and school-feeding programs.  </w:t>
      </w:r>
    </w:p>
    <w:p w14:paraId="72034E02" w14:textId="58763AE6"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The Policy further introduces a multi</w:t>
      </w:r>
      <w:r w:rsidR="002B0876"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sectoral framework to address malnutrition-including undernutrition, obesity and micronutrient deficiencies through maternal and child nutrition programs, targeted emergency food aid, and public awareness campaigns.</w:t>
      </w:r>
    </w:p>
    <w:p w14:paraId="03D48B7B"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In alignment with this Policy, the National Food and Nutrition Strategy (2021-2030) targets individuals across all life stages from infancy to old age focusing food security, dietary diversity, and sustainable food systems.  It incorporates nutrition-sensitive interventions across health, agriculture, education, and social protection sectors, with a </w:t>
      </w:r>
      <w:r w:rsidRPr="00460EC6">
        <w:rPr>
          <w:rFonts w:ascii="Times New Roman" w:hAnsi="Times New Roman" w:cs="Times New Roman"/>
          <w:color w:val="000000" w:themeColor="text1"/>
          <w:sz w:val="24"/>
          <w:szCs w:val="24"/>
        </w:rPr>
        <w:lastRenderedPageBreak/>
        <w:t xml:space="preserve">focus on behavioural change communication, capacity building and community participation. </w:t>
      </w:r>
    </w:p>
    <w:p w14:paraId="0BF79EC4"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To support implementation, Food and Nutrition Executive Offices were established within the MoH and </w:t>
      </w:r>
      <w:proofErr w:type="spellStart"/>
      <w:r w:rsidRPr="00460EC6">
        <w:rPr>
          <w:rFonts w:ascii="Times New Roman" w:hAnsi="Times New Roman" w:cs="Times New Roman"/>
          <w:color w:val="000000" w:themeColor="text1"/>
          <w:sz w:val="24"/>
          <w:szCs w:val="24"/>
        </w:rPr>
        <w:t>MoA</w:t>
      </w:r>
      <w:proofErr w:type="spellEnd"/>
      <w:r w:rsidRPr="00460EC6">
        <w:rPr>
          <w:rFonts w:ascii="Times New Roman" w:hAnsi="Times New Roman" w:cs="Times New Roman"/>
          <w:color w:val="000000" w:themeColor="text1"/>
          <w:sz w:val="24"/>
          <w:szCs w:val="24"/>
        </w:rPr>
        <w:t xml:space="preserve">. These offices coordinate intersectoral efforts, advocate for institutional reform and mobilize financial resources.   </w:t>
      </w:r>
    </w:p>
    <w:p w14:paraId="359277B5"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Between 2012 and 2014, the government mainstreamed nutrition into national development policies. The NNP I (2013-2015) and NNP II (2016-2020) integrated nutrition education into health services, promoted maternal and child feeding practices, and expanded public outreach on food and health. </w:t>
      </w:r>
    </w:p>
    <w:p w14:paraId="4F071E90"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A critical environmental initiative, the Green Legacy Initiative, was launched in 2019 to address deforestation and land degradation, particularly in food-insecure regions. Over 40 billion trees have been planted across the country by 2024, contributing to land rehabilitation, ecosystem restoration and expansion of arable land for food production. Furthermore, it has enhanced biodiversity, water retention and ecotourism potential, thereby supporting environmental sustainability and community resilience. As a result, forest coverage has increased from 17.2% in 2019 to 23.6% as of 2024. </w:t>
      </w:r>
    </w:p>
    <w:p w14:paraId="5F2C62E9"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National Wheat Initiative has achieved self-sufficiency and initiated wheat export to neighbouring countries. The program’s success is rooted in expansion of irrigated agriculture and modern farming techniques. </w:t>
      </w:r>
    </w:p>
    <w:p w14:paraId="44DB745D"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In the 2023/24 season, irrigated wheat farming covered approximately 2.9 million hectares, yielding around 107.7 million quintals, contributing to a total national wheat output of about 231 million quintals. This shift has stabilized domestic prices, enhanced farmer incomes, and strengthened food supply chains. Through cluster farming in over 300 woredas, Ethiopia transitioned from a wheat-importing nation to full import substitution in 2024.</w:t>
      </w:r>
    </w:p>
    <w:p w14:paraId="320BE6F5" w14:textId="319FDBE9"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Complementing this, the “</w:t>
      </w:r>
      <w:r w:rsidR="002B0876" w:rsidRPr="00460EC6">
        <w:rPr>
          <w:rFonts w:ascii="Times New Roman" w:hAnsi="Times New Roman" w:cs="Times New Roman"/>
          <w:i/>
          <w:color w:val="000000" w:themeColor="text1"/>
          <w:sz w:val="24"/>
          <w:szCs w:val="24"/>
        </w:rPr>
        <w:t>B</w:t>
      </w:r>
      <w:r w:rsidRPr="00460EC6">
        <w:rPr>
          <w:rFonts w:ascii="Times New Roman" w:hAnsi="Times New Roman" w:cs="Times New Roman"/>
          <w:i/>
          <w:color w:val="000000" w:themeColor="text1"/>
          <w:sz w:val="24"/>
          <w:szCs w:val="24"/>
        </w:rPr>
        <w:t xml:space="preserve">ounty of the </w:t>
      </w:r>
      <w:r w:rsidR="002B0876" w:rsidRPr="00460EC6">
        <w:rPr>
          <w:rFonts w:ascii="Times New Roman" w:hAnsi="Times New Roman" w:cs="Times New Roman"/>
          <w:i/>
          <w:color w:val="000000" w:themeColor="text1"/>
          <w:sz w:val="24"/>
          <w:szCs w:val="24"/>
        </w:rPr>
        <w:t>B</w:t>
      </w:r>
      <w:r w:rsidRPr="00460EC6">
        <w:rPr>
          <w:rFonts w:ascii="Times New Roman" w:hAnsi="Times New Roman" w:cs="Times New Roman"/>
          <w:i/>
          <w:color w:val="000000" w:themeColor="text1"/>
          <w:sz w:val="24"/>
          <w:szCs w:val="24"/>
        </w:rPr>
        <w:t>asket”</w:t>
      </w:r>
      <w:r w:rsidRPr="00460EC6">
        <w:rPr>
          <w:rFonts w:ascii="Times New Roman" w:hAnsi="Times New Roman" w:cs="Times New Roman"/>
          <w:color w:val="000000" w:themeColor="text1"/>
          <w:sz w:val="24"/>
          <w:szCs w:val="24"/>
        </w:rPr>
        <w:t xml:space="preserve"> program, launched in 2022, promotes nutrition-sensitive agriculture by scaling up diary, poultry, and honey production. It targets over 12 million people, aiming to improve rural household nutrition and economic resilience. </w:t>
      </w:r>
    </w:p>
    <w:p w14:paraId="0DA8104F"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2016,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launched the </w:t>
      </w:r>
      <w:proofErr w:type="spellStart"/>
      <w:r w:rsidRPr="00460EC6">
        <w:rPr>
          <w:rFonts w:ascii="Times New Roman" w:hAnsi="Times New Roman" w:cs="Times New Roman"/>
          <w:color w:val="000000" w:themeColor="text1"/>
          <w:sz w:val="24"/>
          <w:szCs w:val="24"/>
        </w:rPr>
        <w:t>Seqota</w:t>
      </w:r>
      <w:proofErr w:type="spellEnd"/>
      <w:r w:rsidRPr="00460EC6">
        <w:rPr>
          <w:rFonts w:ascii="Times New Roman" w:hAnsi="Times New Roman" w:cs="Times New Roman"/>
          <w:color w:val="000000" w:themeColor="text1"/>
          <w:sz w:val="24"/>
          <w:szCs w:val="24"/>
        </w:rPr>
        <w:t xml:space="preserve"> Declaration, a high-level commitment to end child stunting by 2030. It aims to ensure year-round food access, improve smallholder </w:t>
      </w:r>
      <w:r w:rsidRPr="00460EC6">
        <w:rPr>
          <w:rFonts w:ascii="Times New Roman" w:hAnsi="Times New Roman" w:cs="Times New Roman"/>
          <w:color w:val="000000" w:themeColor="text1"/>
          <w:sz w:val="24"/>
          <w:szCs w:val="24"/>
        </w:rPr>
        <w:lastRenderedPageBreak/>
        <w:t xml:space="preserve">productivity and income, reduce post-harvest losses, and develop sustainable food systems. It also emphasizes education, water, sanitation, hygiene, and social protection. </w:t>
      </w:r>
    </w:p>
    <w:p w14:paraId="03866F3C"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Innovation Phase (2016-2020) of the Declaration digital tools and mobile health platforms to improve nutrition awareness in underserved communities. The Expansion Phase (2021-2025) is also operational in 334 woredas, with plans to expand to 700 woredas. </w:t>
      </w:r>
    </w:p>
    <w:p w14:paraId="5765FDAE"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2025, the government allocated 750 million ETB from domestic funds to support the </w:t>
      </w:r>
      <w:proofErr w:type="spellStart"/>
      <w:r w:rsidRPr="00460EC6">
        <w:rPr>
          <w:rFonts w:ascii="Times New Roman" w:hAnsi="Times New Roman" w:cs="Times New Roman"/>
          <w:color w:val="000000" w:themeColor="text1"/>
          <w:sz w:val="24"/>
          <w:szCs w:val="24"/>
        </w:rPr>
        <w:t>Seqota</w:t>
      </w:r>
      <w:proofErr w:type="spellEnd"/>
      <w:r w:rsidRPr="00460EC6">
        <w:rPr>
          <w:rFonts w:ascii="Times New Roman" w:hAnsi="Times New Roman" w:cs="Times New Roman"/>
          <w:color w:val="000000" w:themeColor="text1"/>
          <w:sz w:val="24"/>
          <w:szCs w:val="24"/>
        </w:rPr>
        <w:t xml:space="preserve"> Declaration. Additionally, the Nutrition-Centric Humanitarian-Development-Peace Triple Nexus Implementation Roadmap was launched to guide coordinated food and nutrition interventions at national scale.</w:t>
      </w:r>
    </w:p>
    <w:p w14:paraId="7EC1CE7B"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National School Health and Nutrition Strategy, introduced by MoH in 2014, integrates nutrition education into school curricula. A Five-Year Enhanced School Health and Nutrition Project is under development to expand access to school-based and nutrition services in collaboration with key stakeholders.   </w:t>
      </w:r>
    </w:p>
    <w:p w14:paraId="6C1B2F74"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National School Feeding Program (2016–2020) aimed to improve children’s nutrition, educational access, and equality. It supported 3 million primary school students across 50 zones in 6 regions, while also creating market linkages for local farmers. </w:t>
      </w:r>
    </w:p>
    <w:p w14:paraId="69F86F32"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Home-Grown School Feeding Initiative, launched in 2019, promotes the use of locally sourced, nutritious foods and integrates nutrition food in schools and embodies nutrition messages in education. It has become a key pillar in Ethiopia’s broader education and food security strategy.  </w:t>
      </w:r>
    </w:p>
    <w:p w14:paraId="7ACECD51"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Between 2012 and 2024,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implemented the Agricultural Transformation Agenda (ATA) to improve food production among marginalized smallholder farmers. Over 15 million smallholder farmers benefited from improved access to agricultural inputs, mechanization and technologies. During the reporting period, more than 1.5 million smallholder farmers benefited from improved access to certified seeds, fertilizers, mechanizations services, and agricultural extension support. In support of post-harvest management, the programme also introduced improved storage facilities, contributing to an estimated 20-25% reduction in post-harvest food loss. Moreover, by 2023, more than 2,300 Farmer Production Clusters (FPCs) had been established nationwide. These clusters, </w:t>
      </w:r>
      <w:r w:rsidRPr="00460EC6">
        <w:rPr>
          <w:rFonts w:ascii="Times New Roman" w:hAnsi="Times New Roman" w:cs="Times New Roman"/>
          <w:color w:val="000000" w:themeColor="text1"/>
          <w:sz w:val="24"/>
          <w:szCs w:val="24"/>
        </w:rPr>
        <w:lastRenderedPageBreak/>
        <w:t>designed to organize farmers around priority commodities, helped approximately 3 million producers increase productivity and access markets.</w:t>
      </w:r>
      <w:r w:rsidRPr="00460EC6" w:rsidDel="00327A41">
        <w:rPr>
          <w:rFonts w:ascii="Times New Roman" w:hAnsi="Times New Roman" w:cs="Times New Roman"/>
          <w:color w:val="000000" w:themeColor="text1"/>
          <w:sz w:val="24"/>
          <w:szCs w:val="24"/>
        </w:rPr>
        <w:t xml:space="preserve"> </w:t>
      </w:r>
    </w:p>
    <w:p w14:paraId="6AA79BCD" w14:textId="25792AA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r w:rsidR="00292106" w:rsidRPr="00460EC6">
        <w:rPr>
          <w:rFonts w:ascii="Times New Roman" w:hAnsi="Times New Roman" w:cs="Times New Roman"/>
          <w:color w:val="000000" w:themeColor="text1"/>
          <w:sz w:val="24"/>
          <w:szCs w:val="24"/>
        </w:rPr>
        <w:t>G</w:t>
      </w:r>
      <w:r w:rsidRPr="00460EC6">
        <w:rPr>
          <w:rFonts w:ascii="Times New Roman" w:hAnsi="Times New Roman" w:cs="Times New Roman"/>
          <w:color w:val="000000" w:themeColor="text1"/>
          <w:sz w:val="24"/>
          <w:szCs w:val="24"/>
        </w:rPr>
        <w:t>overnment also strengthened rural savings and credit cooperatives, particularly targeting women and minority groups. Between 2012 and 2018, cooperative membership increased by 60%, enhancing access to market and financial services for disadvantaged populations.</w:t>
      </w:r>
      <w:r w:rsidRPr="00460EC6" w:rsidDel="00274F96">
        <w:rPr>
          <w:rFonts w:ascii="Times New Roman" w:hAnsi="Times New Roman" w:cs="Times New Roman"/>
          <w:color w:val="000000" w:themeColor="text1"/>
          <w:sz w:val="24"/>
          <w:szCs w:val="24"/>
        </w:rPr>
        <w:t xml:space="preserve"> </w:t>
      </w:r>
    </w:p>
    <w:p w14:paraId="3B10FF95"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These national efforts have yielded measurable reductions in food poverty in Ethiopia. Extreme food poverty declined from 24.8% in 2015/16 to 19.1% in 2021/22, a reduction of 5.7% points. Urban food poverty dropped from 15.2% to 12.1%, while rural food poverty declined from 27.1% to 25.5% during the same period. </w:t>
      </w:r>
    </w:p>
    <w:p w14:paraId="1629D77D"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Progress in food poverty reduction is also evident at the regional level between 2015/16 and 2021/22; in Addis Ababa, it reduced from 19.5% to 14.8%; in the Amhara region, from 31.4% to 24.3%; in the Somali region, from 25.8% to 16.5%; in the Afar region, from 32.7% to 6.4%; and in the </w:t>
      </w:r>
      <w:proofErr w:type="spellStart"/>
      <w:r w:rsidRPr="00460EC6">
        <w:rPr>
          <w:rFonts w:ascii="Times New Roman" w:hAnsi="Times New Roman" w:cs="Times New Roman"/>
          <w:color w:val="000000" w:themeColor="text1"/>
          <w:sz w:val="24"/>
          <w:szCs w:val="24"/>
        </w:rPr>
        <w:t>Gambella</w:t>
      </w:r>
      <w:proofErr w:type="spellEnd"/>
      <w:r w:rsidRPr="00460EC6">
        <w:rPr>
          <w:rFonts w:ascii="Times New Roman" w:hAnsi="Times New Roman" w:cs="Times New Roman"/>
          <w:color w:val="000000" w:themeColor="text1"/>
          <w:sz w:val="24"/>
          <w:szCs w:val="24"/>
        </w:rPr>
        <w:t xml:space="preserve"> region, from 17.4% to 13.8%. </w:t>
      </w:r>
    </w:p>
    <w:p w14:paraId="5E3CA083" w14:textId="77777777" w:rsidR="000F6CEB" w:rsidRPr="00460EC6" w:rsidRDefault="000F6CEB" w:rsidP="00C32E5E">
      <w:pPr>
        <w:pStyle w:val="ListParagraph"/>
        <w:numPr>
          <w:ilvl w:val="0"/>
          <w:numId w:val="3"/>
        </w:numPr>
        <w:spacing w:after="160"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From 2015/16 to 2023/24, the total cultivated land increased from 12.5 to over 17 million hectares. Over the same period, food crop output nearly doubled from 26.68 to 50.6 million tons, while productivity improved from 2.13 to 22.90 tons/hectare, driven by improved seeds, irrigation, and mechanization.</w:t>
      </w:r>
    </w:p>
    <w:p w14:paraId="56E6B414"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2013,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introduced the National Pastoralist Development Policy to enhance access to natural resources such as water and grazing land, promote drought-resilient agriculture, and support the economic integration of pastoralists. By 2019, this policy facilitated the construction of over 1,200 water points and 1,000 km of roads, benefiting pastoral communities in Afar, Somali, and Oromia regions.</w:t>
      </w:r>
    </w:p>
    <w:p w14:paraId="6B975215"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As part of its efforts to expand essential social services such as water accessibility, between 2015/16 and 2021/22, access to safe drinking water increased from 64.8% in 2015/16 to 68.8% in 2019/20 and further to 74% in 2021/22. </w:t>
      </w:r>
    </w:p>
    <w:p w14:paraId="2734E245"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Between 2012 and 2024,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implemented various initiatives to improve energy access and uphold energy-related rights. The Ethiopia Electrification Program (EEP) launched in 2017, aimed to achieve universal electricity access by 2025. The strategy targeted connecting 65% of the population to the national grid while providing off-grid solutions for the remaining 35%. This initiative planned 8.2 million new on-grid connections and 6 </w:t>
      </w:r>
      <w:r w:rsidRPr="00460EC6">
        <w:rPr>
          <w:rFonts w:ascii="Times New Roman" w:hAnsi="Times New Roman" w:cs="Times New Roman"/>
          <w:color w:val="000000" w:themeColor="text1"/>
          <w:sz w:val="24"/>
          <w:szCs w:val="24"/>
        </w:rPr>
        <w:lastRenderedPageBreak/>
        <w:t xml:space="preserve">million off-grid connections over six years. By 2021, approximately 44% of the population had electricity access, with 33% connected to the grid and 11% benefiting from off-grid solutions. </w:t>
      </w:r>
    </w:p>
    <w:p w14:paraId="32D9479C"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Launched in June 2018 with World Bank support, the EEP facilitated 1,080,000 new connections via grid densification and piloted off-grid technologies like standalone solar systems and mini-grids. It also emphasized capacity-building and institutional reforms, significantly improving electrification in remote areas.</w:t>
      </w:r>
    </w:p>
    <w:p w14:paraId="549CFDA4"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In March 2021, the Access to Distributed Electricity and Lighting in Ethiopia (ADELE) Project was approved with a $500 million budget. It aimed to electrify nearly 5 million people, 11,500 enterprises, and 1,400 health and education facilities using decentralized renewable energy primarily solar mini-grids and individual solar systems. ADELE adopted both public and private models to enhance affordability and inclusion for vulnerable groups. </w:t>
      </w:r>
    </w:p>
    <w:p w14:paraId="25BB71D8"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In April 2024,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launched the National Sustainable Energy Development Strategy to guide the country’s energy transition. It emphasizes universal access, energy efficiency, security, sustainability, and social equity, using a cross-sectoral approach involving multiple stakeholders.</w:t>
      </w:r>
    </w:p>
    <w:p w14:paraId="230B2936"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Initiated in 2011, the GERD is a transformative hydroelectric project intended to boost energy capacity and support agriculture and industry. As of April 2025, more than 98% of the dam's construction was completed, including 98.9% of civil works and 78% of electro-mechanical works. With a projected capacity of 5,150 megawatts, GERD is expected to significantly improve electricity supply, irrigation, and agro-industrial productivity.</w:t>
      </w:r>
    </w:p>
    <w:p w14:paraId="7E38C9DD"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Urban electricity access remained consistently high between 2012 and 2022, rising from 87.12% in 2012 to 96.6% in 2017, before slightly declining to 93.25% in 2020 and rebounding to 94% by 2022. In contrast, rural electrification improved steadily from 8.2% in 2012 to 39.41% by 2020.</w:t>
      </w:r>
    </w:p>
    <w:p w14:paraId="63A52DE7"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Nationally, electricity access rose from 24.1% in 2012 to 42.9% in 2016 and reached 51.09% by 2020. By 2022, approximately 55% of the population had electricity access, up from 20% in 2015 demonstrating the success of government investments in grid expansion and alternative energy.</w:t>
      </w:r>
    </w:p>
    <w:p w14:paraId="52DED241"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Electricity access rose from 21.8% in 2015/16 to 44% in 2020/21 reaching 63% in 2021/2022.</w:t>
      </w:r>
    </w:p>
    <w:p w14:paraId="4934F190"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enacted a comprehensive legal framework to uphold the right to housing. This framework aims to ensure the provision of housing, promote private sector participation, and create enabling conditions for housing development. To oversee this mandate, the MoUI established under a Proclamation No. 1263/2021. </w:t>
      </w:r>
    </w:p>
    <w:p w14:paraId="0F23F503"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In response to widespread housing shortage, particularly in urban areas of regional states, the MoUI has implemented various programs to realize citizens’ right to adequate housing.</w:t>
      </w:r>
    </w:p>
    <w:p w14:paraId="717B2371"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During the reporting period, low-cost housing programs have been launched in Addis Ababa and other major cities. The Addis Ababa City Administration </w:t>
      </w:r>
      <w:proofErr w:type="gramStart"/>
      <w:r w:rsidRPr="00460EC6">
        <w:rPr>
          <w:rFonts w:ascii="Times New Roman" w:hAnsi="Times New Roman" w:cs="Times New Roman"/>
          <w:color w:val="000000" w:themeColor="text1"/>
          <w:sz w:val="24"/>
          <w:szCs w:val="24"/>
        </w:rPr>
        <w:t>enacted</w:t>
      </w:r>
      <w:proofErr w:type="gramEnd"/>
      <w:r w:rsidRPr="00460EC6">
        <w:rPr>
          <w:rFonts w:ascii="Times New Roman" w:hAnsi="Times New Roman" w:cs="Times New Roman"/>
          <w:color w:val="000000" w:themeColor="text1"/>
          <w:sz w:val="24"/>
          <w:szCs w:val="24"/>
        </w:rPr>
        <w:t xml:space="preserve"> Directive No. 1/2018, which enables low-income workers to rent communal housing. Additionally, Directive No. 1/2019 introduced affordable rental schemes specifically targeting teachers.</w:t>
      </w:r>
    </w:p>
    <w:p w14:paraId="1C0B9E77"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Women and PWD have increasingly benefited from housing initiatives as recognized under Directive No. 3/2019. This directive mandates that 30% of low-cost housing units be allocated to women and 5% PWDs. Since 2016, 110,242 housing units have been distributed in Addis Ababa, with 33,071 units allocated to women and 5,511 to PWDs in accordance with the quota system.</w:t>
      </w:r>
    </w:p>
    <w:p w14:paraId="04CAEAD0"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Constitution permits the expropriation of private property for public purposes, provided there is advance compensation. To safeguard property rights in this context, Proclamation No. 1161/2019 and Regulation No. 472/2020 were enacted to regulate processes of expropriation, valuation, and resettlement. </w:t>
      </w:r>
    </w:p>
    <w:p w14:paraId="779EEE26"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In 2024, the Prime Minister’s Office launched a flagship housing project in the </w:t>
      </w:r>
      <w:r w:rsidRPr="00460EC6">
        <w:rPr>
          <w:rFonts w:ascii="Times New Roman" w:hAnsi="Times New Roman" w:cs="Times New Roman"/>
          <w:i/>
          <w:color w:val="000000" w:themeColor="text1"/>
          <w:sz w:val="24"/>
          <w:szCs w:val="24"/>
        </w:rPr>
        <w:t xml:space="preserve">Aware area of </w:t>
      </w:r>
      <w:r w:rsidRPr="00460EC6">
        <w:rPr>
          <w:rFonts w:ascii="Times New Roman" w:hAnsi="Times New Roman" w:cs="Times New Roman"/>
          <w:color w:val="000000" w:themeColor="text1"/>
          <w:sz w:val="24"/>
          <w:szCs w:val="24"/>
        </w:rPr>
        <w:t>Addis Ababa. The first phase included two eleven-story buildings with shared amenities for low-income residents. By September 2024, this initiative expanded into the “</w:t>
      </w:r>
      <w:r w:rsidRPr="00460EC6">
        <w:rPr>
          <w:rFonts w:ascii="Times New Roman" w:hAnsi="Times New Roman" w:cs="Times New Roman"/>
          <w:i/>
          <w:color w:val="000000" w:themeColor="text1"/>
          <w:sz w:val="24"/>
          <w:szCs w:val="24"/>
        </w:rPr>
        <w:t>Aware Village</w:t>
      </w:r>
      <w:r w:rsidRPr="00460EC6">
        <w:rPr>
          <w:rFonts w:ascii="Times New Roman" w:hAnsi="Times New Roman" w:cs="Times New Roman"/>
          <w:color w:val="000000" w:themeColor="text1"/>
          <w:sz w:val="24"/>
          <w:szCs w:val="24"/>
        </w:rPr>
        <w:t>,” comprising 275 housing units, 130+ shops, roads, green spaces, and playgrounds. The units were distributed rent-free to economically disadvantaged families.</w:t>
      </w:r>
    </w:p>
    <w:p w14:paraId="272317AD"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Beyond </w:t>
      </w:r>
      <w:r w:rsidRPr="00460EC6">
        <w:rPr>
          <w:rFonts w:ascii="Times New Roman" w:hAnsi="Times New Roman" w:cs="Times New Roman"/>
          <w:i/>
          <w:color w:val="000000" w:themeColor="text1"/>
          <w:sz w:val="24"/>
          <w:szCs w:val="24"/>
        </w:rPr>
        <w:t>Aware</w:t>
      </w:r>
      <w:r w:rsidRPr="00460EC6">
        <w:rPr>
          <w:rFonts w:ascii="Times New Roman" w:hAnsi="Times New Roman" w:cs="Times New Roman"/>
          <w:color w:val="000000" w:themeColor="text1"/>
          <w:sz w:val="24"/>
          <w:szCs w:val="24"/>
        </w:rPr>
        <w:t xml:space="preserve">, the Prime Minister’s Office, in collaboration with the Addis Ababa City Administration, initiated the rehabilitation of older housing stock. The aim is to improve substandard dwellings and informal settlements that previously lacked adequate sanitation, infrastructure, and legal tenure.  </w:t>
      </w:r>
    </w:p>
    <w:p w14:paraId="085002AC"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 xml:space="preserve">The Integrated Housing Development Programme (IHDP), launched in 2006, remains Ethiopia’s flagship condominium housing initiative. As of 2024, it had delivered over 587,000 low-cost housing units across 56 cities, benefiting approximately 2 million civil servants, low-income families, and informal settlement dwellers. </w:t>
      </w:r>
    </w:p>
    <w:p w14:paraId="00832428"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By November 2022, a total of 25,791 condominium units under the 40/60 housing scheme had been transferred to beneficiaries in Addis Ababa. This scheme promotes urbanization through vertical development and long-term financing.</w:t>
      </w:r>
    </w:p>
    <w:p w14:paraId="420EB154" w14:textId="3009696F"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The Addis Ababa City Administration also launched Corridor Development and Beautification Project-commonly referred to as the “</w:t>
      </w:r>
      <w:r w:rsidRPr="00460EC6">
        <w:rPr>
          <w:rFonts w:ascii="Times New Roman" w:hAnsi="Times New Roman" w:cs="Times New Roman"/>
          <w:i/>
          <w:color w:val="000000" w:themeColor="text1"/>
          <w:sz w:val="24"/>
          <w:szCs w:val="24"/>
        </w:rPr>
        <w:t>Smart City</w:t>
      </w:r>
      <w:r w:rsidRPr="00460EC6">
        <w:rPr>
          <w:rFonts w:ascii="Times New Roman" w:hAnsi="Times New Roman" w:cs="Times New Roman"/>
          <w:color w:val="000000" w:themeColor="text1"/>
          <w:sz w:val="24"/>
          <w:szCs w:val="24"/>
        </w:rPr>
        <w:t>” or “</w:t>
      </w:r>
      <w:proofErr w:type="spellStart"/>
      <w:r w:rsidR="00292106" w:rsidRPr="00460EC6">
        <w:rPr>
          <w:rFonts w:ascii="Times New Roman" w:hAnsi="Times New Roman" w:cs="Times New Roman"/>
          <w:i/>
          <w:color w:val="000000" w:themeColor="text1"/>
          <w:sz w:val="24"/>
          <w:szCs w:val="24"/>
        </w:rPr>
        <w:t>S</w:t>
      </w:r>
      <w:r w:rsidRPr="00460EC6">
        <w:rPr>
          <w:rFonts w:ascii="Times New Roman" w:hAnsi="Times New Roman" w:cs="Times New Roman"/>
          <w:i/>
          <w:color w:val="000000" w:themeColor="text1"/>
          <w:sz w:val="24"/>
          <w:szCs w:val="24"/>
        </w:rPr>
        <w:t>heger</w:t>
      </w:r>
      <w:proofErr w:type="spellEnd"/>
      <w:r w:rsidRPr="00460EC6">
        <w:rPr>
          <w:rFonts w:ascii="Times New Roman" w:hAnsi="Times New Roman" w:cs="Times New Roman"/>
          <w:i/>
          <w:color w:val="000000" w:themeColor="text1"/>
          <w:sz w:val="24"/>
          <w:szCs w:val="24"/>
        </w:rPr>
        <w:t xml:space="preserve"> </w:t>
      </w:r>
      <w:r w:rsidR="00292106" w:rsidRPr="00460EC6">
        <w:rPr>
          <w:rFonts w:ascii="Times New Roman" w:hAnsi="Times New Roman" w:cs="Times New Roman"/>
          <w:i/>
          <w:color w:val="000000" w:themeColor="text1"/>
          <w:sz w:val="24"/>
          <w:szCs w:val="24"/>
        </w:rPr>
        <w:t>P</w:t>
      </w:r>
      <w:r w:rsidRPr="00460EC6">
        <w:rPr>
          <w:rFonts w:ascii="Times New Roman" w:hAnsi="Times New Roman" w:cs="Times New Roman"/>
          <w:i/>
          <w:color w:val="000000" w:themeColor="text1"/>
          <w:sz w:val="24"/>
          <w:szCs w:val="24"/>
        </w:rPr>
        <w:t>roject</w:t>
      </w:r>
      <w:r w:rsidRPr="00460EC6">
        <w:rPr>
          <w:rFonts w:ascii="Times New Roman" w:hAnsi="Times New Roman" w:cs="Times New Roman"/>
          <w:color w:val="000000" w:themeColor="text1"/>
          <w:sz w:val="24"/>
          <w:szCs w:val="24"/>
        </w:rPr>
        <w:t xml:space="preserve">” began in 2022. Covering 132 </w:t>
      </w:r>
      <w:r w:rsidR="00292106" w:rsidRPr="00460EC6">
        <w:rPr>
          <w:rFonts w:ascii="Times New Roman" w:hAnsi="Times New Roman" w:cs="Times New Roman"/>
          <w:color w:val="000000" w:themeColor="text1"/>
          <w:sz w:val="24"/>
          <w:szCs w:val="24"/>
        </w:rPr>
        <w:t>Kilometres</w:t>
      </w:r>
      <w:r w:rsidRPr="00460EC6">
        <w:rPr>
          <w:rFonts w:ascii="Times New Roman" w:hAnsi="Times New Roman" w:cs="Times New Roman"/>
          <w:color w:val="000000" w:themeColor="text1"/>
          <w:sz w:val="24"/>
          <w:szCs w:val="24"/>
        </w:rPr>
        <w:t>, it encompasses housing, roads, green infrastructure, and stormwater systems. While advancing urban renewal, the project necessitated resettlement. Affected residents received one year’s rent subsidies, relocation assistance, and in some cases, land plots ranging from 75 to 450 sqm on the city's outskirts.</w:t>
      </w:r>
    </w:p>
    <w:p w14:paraId="48B5B018"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In line with its human rights obligations, the Federal Housing Corporation has adopted affirmative action policies for housing allocation. Under the IHDP, a minimum of 30% of housing units must be allocated to female-headed households before general distribution.</w:t>
      </w:r>
    </w:p>
    <w:p w14:paraId="7D316015" w14:textId="741E825D"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To address the growing housing demand, Ethiopia has increasingly engaged the private sector. The national housing strategy targets an increase in housing supply coverage from 64% to 80% by 2030. Notably, of the projected housing development, 80% is designated for the private sector</w:t>
      </w:r>
      <w:r w:rsidR="00292106" w:rsidRPr="00460EC6">
        <w:rPr>
          <w:rFonts w:ascii="Times New Roman" w:hAnsi="Times New Roman" w:cs="Times New Roman"/>
          <w:color w:val="000000" w:themeColor="text1"/>
          <w:sz w:val="24"/>
          <w:szCs w:val="24"/>
        </w:rPr>
        <w:t>,</w:t>
      </w:r>
      <w:r w:rsidRPr="00460EC6">
        <w:rPr>
          <w:rFonts w:ascii="Times New Roman" w:hAnsi="Times New Roman" w:cs="Times New Roman"/>
          <w:color w:val="000000" w:themeColor="text1"/>
          <w:sz w:val="24"/>
          <w:szCs w:val="24"/>
        </w:rPr>
        <w:t xml:space="preserve"> including real estate developers, housing cooperatives, Public-Private Partnerships (PPS), and joint ventures-while the government retains responsibility for the remaining 20%, prioritizing vulnerable and low-income communities. Between 2020/21 and 2023/24, approximately 1.3 million housing units were constructed; 957,000 units (73.3%) by private sector and about 349,000 units by the government. </w:t>
      </w:r>
    </w:p>
    <w:p w14:paraId="6A3FFDE3"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has introduced significant legislative and policy measures to strengthen land tenure security and enhance the livelihoods of farmers, semi-pastoralists, and pastoralists. These efforts align with the country’s broader economic and social development objectives. The enactment of the Rural Land Administration and Use Proclamation No. 1324/2024 marks a milestone in safeguarding landholding rights. It establishes a modern and inclusive rural land administration system that ensures secure land tenure, especially for farmers, semi-pastoralists, and pastoralists. The proclamation regulates land distribution to promote </w:t>
      </w:r>
      <w:r w:rsidRPr="00460EC6">
        <w:rPr>
          <w:rFonts w:ascii="Times New Roman" w:hAnsi="Times New Roman" w:cs="Times New Roman"/>
          <w:color w:val="000000" w:themeColor="text1"/>
          <w:sz w:val="24"/>
          <w:szCs w:val="24"/>
        </w:rPr>
        <w:lastRenderedPageBreak/>
        <w:t>equitable access and allows landholders to lease, sharecrop, use land as collateral, jointly develop land with investors, transfer land use rights through legal means, and participate in cluster farming. It also introduces a modern land information system to support tenure security and dispute resolution. Importantly, the law incorporates affirmative action for marginalized groups women, youth, and persons with disabilities by mandating equal landholding rights for women, including in polygamous marriages, and requiring land registration that protects the rights of all wives. This reform underscores Ethiopia’s commitment to sustainable land management, inclusive growth, and the implementation of the ICESCR and SDGs particularly Goals 1 (No Poverty), Goals 2 (Zero Hunger), and Goals 5 (Gender Equality), which recognize secure land tenure as a cornerstone of development.</w:t>
      </w:r>
    </w:p>
    <w:p w14:paraId="33FBDBD6"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In line with the People-</w:t>
      </w:r>
      <w:proofErr w:type="spellStart"/>
      <w:r w:rsidRPr="00460EC6">
        <w:rPr>
          <w:rFonts w:ascii="Times New Roman" w:hAnsi="Times New Roman" w:cs="Times New Roman"/>
          <w:color w:val="000000" w:themeColor="text1"/>
          <w:sz w:val="24"/>
          <w:szCs w:val="24"/>
        </w:rPr>
        <w:t>Centered</w:t>
      </w:r>
      <w:proofErr w:type="spellEnd"/>
      <w:r w:rsidRPr="00460EC6">
        <w:rPr>
          <w:rFonts w:ascii="Times New Roman" w:hAnsi="Times New Roman" w:cs="Times New Roman"/>
          <w:color w:val="000000" w:themeColor="text1"/>
          <w:sz w:val="24"/>
          <w:szCs w:val="24"/>
        </w:rPr>
        <w:t xml:space="preserve"> Urbanization Policy, Ethiopia amended the Expropriation, Compensation, and Resettlement Proclamation (No. 1161/2019) to enhance transparency and fairness in land expropriation. The law requires expropriation to be based on approved land use or development plans and mandates that compensation and resettlement sustainably restore or improve the livelihoods of displaced persons. It ensures equal compensation for similar losses and establishes transparent, participatory, and accountable procedures, incorporating both compensation and resettlement safeguards. </w:t>
      </w:r>
    </w:p>
    <w:p w14:paraId="602D6992"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The Second-Level Land Certification Program (2013–2024) was launched to bolster tenure security for smallholder farmers in Ethiopia’s highlands. Initiated in 2014, the program provided detailed maps and certificates using geospatial data. By 2023, over 30 million rural land parcels had been mapped and certified, contributing to a 50% reduction in land disputes.  In 2021, joint certification listing both husbands and wives exceeded 80%, significantly improving women’s land ownership. </w:t>
      </w:r>
    </w:p>
    <w:p w14:paraId="4937F528" w14:textId="77777777" w:rsidR="000F6CEB"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To further strengthen women’s land tenure security, the government and its development partners have implemented gender-responsive certification programs requiring women’s names on landholding documents. As a result, the share of rural land registered under women’s names increased from 20% in 2012 to 35% by 2023. In parallel, land dispute case backlogs were also reduced by 40% in 2023.</w:t>
      </w:r>
    </w:p>
    <w:p w14:paraId="02C4E7B0" w14:textId="77777777" w:rsidR="00526D16"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Gender equality is advancing through legal reforms, land rights, and protection services. Over 63 percent of second-level land certificates are held by women individually or jointly with men.</w:t>
      </w:r>
    </w:p>
    <w:p w14:paraId="56F8EA7B" w14:textId="77777777" w:rsidR="00526D16"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Since 2012, the </w:t>
      </w:r>
      <w:proofErr w:type="spellStart"/>
      <w:r w:rsidRPr="00460EC6">
        <w:rPr>
          <w:rFonts w:ascii="Times New Roman" w:hAnsi="Times New Roman" w:cs="Times New Roman"/>
          <w:color w:val="000000" w:themeColor="text1"/>
          <w:sz w:val="24"/>
          <w:szCs w:val="24"/>
        </w:rPr>
        <w:t>GoE</w:t>
      </w:r>
      <w:proofErr w:type="spellEnd"/>
      <w:r w:rsidRPr="00460EC6">
        <w:rPr>
          <w:rFonts w:ascii="Times New Roman" w:hAnsi="Times New Roman" w:cs="Times New Roman"/>
          <w:color w:val="000000" w:themeColor="text1"/>
          <w:sz w:val="24"/>
          <w:szCs w:val="24"/>
        </w:rPr>
        <w:t xml:space="preserve"> introduced the 2</w:t>
      </w:r>
      <w:r w:rsidRPr="00460EC6">
        <w:rPr>
          <w:rFonts w:ascii="Times New Roman" w:hAnsi="Times New Roman" w:cs="Times New Roman"/>
          <w:color w:val="000000" w:themeColor="text1"/>
          <w:sz w:val="24"/>
          <w:szCs w:val="24"/>
          <w:vertAlign w:val="superscript"/>
        </w:rPr>
        <w:t>nd</w:t>
      </w:r>
      <w:r w:rsidRPr="00460EC6">
        <w:rPr>
          <w:rFonts w:ascii="Times New Roman" w:hAnsi="Times New Roman" w:cs="Times New Roman"/>
          <w:color w:val="000000" w:themeColor="text1"/>
          <w:sz w:val="24"/>
          <w:szCs w:val="24"/>
        </w:rPr>
        <w:t xml:space="preserve"> Phase of the Land Certification Program, enhancing land tenure security for rural women, pastoralists, and minorities and adopting sustainable land management. Notably, the program implemented joint certification, issuing landholding certificates in both spouses’ names significantly benefiting women. As of 2019, over 35 million land parcels had been certified, with substantial participation by female-headed households.</w:t>
      </w:r>
    </w:p>
    <w:p w14:paraId="26485C96" w14:textId="77777777" w:rsidR="00526D16"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Ethiopia’s rural land registration and certification program, active for over a decade, has played a vital role in securing rural land use rights, particularly for women. As of 2023, 25 million farm plots had been registered and certified; 30% are solely owned by women, while 70% are either jointly held with husbands or held by men alone.</w:t>
      </w:r>
    </w:p>
    <w:p w14:paraId="4114A030" w14:textId="77777777" w:rsidR="00526D16"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As of 2023/24, over 8.9 million 2</w:t>
      </w:r>
      <w:r w:rsidRPr="00460EC6">
        <w:rPr>
          <w:rFonts w:ascii="Times New Roman" w:hAnsi="Times New Roman" w:cs="Times New Roman"/>
          <w:color w:val="000000" w:themeColor="text1"/>
          <w:sz w:val="24"/>
          <w:szCs w:val="24"/>
          <w:vertAlign w:val="superscript"/>
        </w:rPr>
        <w:t>nd</w:t>
      </w:r>
      <w:r w:rsidRPr="00460EC6">
        <w:rPr>
          <w:rFonts w:ascii="Times New Roman" w:hAnsi="Times New Roman" w:cs="Times New Roman"/>
          <w:color w:val="000000" w:themeColor="text1"/>
          <w:sz w:val="24"/>
          <w:szCs w:val="24"/>
        </w:rPr>
        <w:t xml:space="preserve"> level land certificates have been issued, increasing the share of adults with legally recognized land rights from 7.4% in 2015/16 to 62.2%.</w:t>
      </w:r>
    </w:p>
    <w:p w14:paraId="4F522608" w14:textId="77777777" w:rsidR="00526D16" w:rsidRPr="00460EC6"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Ethiopia has made significant progress in strengthening land tenure security—a vital foundation for rural poverty reduction. As of 2023/24, over 8.9 million second-level land certificates have been issued, increasing the share of adults with legally recognized land rights from 7.4 percent in 2015/16 to 62.2 percent (Figure 8). This major gain in legal recognition enhances asset security and enables investment in agriculture. Land certification has led to reduced disputes and greater adoption of sustainable land management, boosting productivity and resilience. Notably, 30 per cent of certified parcels are held by female headed households, while joint ownership is ensured by listing both spouses in male-headed households—advancing SDG 5 on gender equality</w:t>
      </w:r>
    </w:p>
    <w:p w14:paraId="1D89DD85" w14:textId="77777777" w:rsidR="000F6CEB" w:rsidRDefault="000F6CEB" w:rsidP="00C32E5E">
      <w:pPr>
        <w:pStyle w:val="ListParagraph"/>
        <w:numPr>
          <w:ilvl w:val="0"/>
          <w:numId w:val="3"/>
        </w:numPr>
        <w:spacing w:line="360" w:lineRule="auto"/>
        <w:ind w:hanging="450"/>
        <w:jc w:val="both"/>
        <w:rPr>
          <w:rFonts w:ascii="Times New Roman" w:hAnsi="Times New Roman" w:cs="Times New Roman"/>
          <w:color w:val="000000" w:themeColor="text1"/>
          <w:sz w:val="24"/>
          <w:szCs w:val="24"/>
        </w:rPr>
      </w:pPr>
      <w:r w:rsidRPr="00460EC6">
        <w:rPr>
          <w:rFonts w:ascii="Times New Roman" w:hAnsi="Times New Roman" w:cs="Times New Roman"/>
          <w:color w:val="000000" w:themeColor="text1"/>
          <w:sz w:val="24"/>
          <w:szCs w:val="24"/>
        </w:rPr>
        <w:t>A notable milestone is the Rural Land Administration and Use Proclamation No. 1324/2024, which ensures equal land rights for women and men, promotes joint land certification for spouses, and enables affirmative action to improve land access for women, youth, and persons with disabilities.</w:t>
      </w:r>
    </w:p>
    <w:p w14:paraId="1064680F" w14:textId="77777777" w:rsidR="00C32E5E" w:rsidRDefault="00C32E5E" w:rsidP="00C32E5E">
      <w:pPr>
        <w:spacing w:line="360" w:lineRule="auto"/>
        <w:jc w:val="both"/>
        <w:rPr>
          <w:rFonts w:ascii="Times New Roman" w:hAnsi="Times New Roman" w:cs="Times New Roman"/>
          <w:color w:val="000000" w:themeColor="text1"/>
          <w:sz w:val="24"/>
          <w:szCs w:val="24"/>
        </w:rPr>
      </w:pPr>
    </w:p>
    <w:p w14:paraId="0FD61C8A" w14:textId="77777777" w:rsidR="00C32E5E" w:rsidRDefault="00C32E5E" w:rsidP="00C32E5E">
      <w:pPr>
        <w:spacing w:line="360" w:lineRule="auto"/>
        <w:jc w:val="both"/>
        <w:rPr>
          <w:rFonts w:ascii="Times New Roman" w:hAnsi="Times New Roman" w:cs="Times New Roman"/>
          <w:color w:val="000000" w:themeColor="text1"/>
          <w:sz w:val="24"/>
          <w:szCs w:val="24"/>
        </w:rPr>
      </w:pPr>
    </w:p>
    <w:p w14:paraId="400FC2D8" w14:textId="77777777" w:rsidR="009D0E6D" w:rsidRPr="00C32E5E" w:rsidRDefault="009D0E6D" w:rsidP="00C32E5E">
      <w:pPr>
        <w:spacing w:line="360" w:lineRule="auto"/>
        <w:jc w:val="both"/>
        <w:rPr>
          <w:rFonts w:ascii="Times New Roman" w:hAnsi="Times New Roman" w:cs="Times New Roman"/>
          <w:color w:val="000000" w:themeColor="text1"/>
          <w:sz w:val="24"/>
          <w:szCs w:val="24"/>
        </w:rPr>
      </w:pPr>
    </w:p>
    <w:p w14:paraId="2D3E9DCB" w14:textId="77777777" w:rsidR="005E60DC" w:rsidRPr="00460EC6" w:rsidRDefault="005E60DC" w:rsidP="00526D16">
      <w:pPr>
        <w:spacing w:line="360" w:lineRule="auto"/>
        <w:jc w:val="both"/>
        <w:rPr>
          <w:rFonts w:ascii="Times New Roman" w:eastAsia="Calibri" w:hAnsi="Times New Roman" w:cs="Times New Roman"/>
          <w:b/>
          <w:color w:val="000000" w:themeColor="text1"/>
          <w:kern w:val="0"/>
          <w:sz w:val="24"/>
          <w:szCs w:val="24"/>
          <w14:ligatures w14:val="none"/>
        </w:rPr>
      </w:pPr>
      <w:r w:rsidRPr="00460EC6">
        <w:rPr>
          <w:rFonts w:ascii="Times New Roman" w:eastAsia="Calibri" w:hAnsi="Times New Roman" w:cs="Times New Roman"/>
          <w:b/>
          <w:bCs/>
          <w:color w:val="000000" w:themeColor="text1"/>
          <w:kern w:val="0"/>
          <w:sz w:val="24"/>
          <w:szCs w:val="24"/>
          <w14:ligatures w14:val="none"/>
        </w:rPr>
        <w:t xml:space="preserve">Article 12: </w:t>
      </w:r>
      <w:r w:rsidRPr="00460EC6">
        <w:rPr>
          <w:rFonts w:ascii="Times New Roman" w:eastAsia="Calibri" w:hAnsi="Times New Roman" w:cs="Times New Roman"/>
          <w:b/>
          <w:color w:val="000000" w:themeColor="text1"/>
          <w:kern w:val="0"/>
          <w:sz w:val="24"/>
          <w:szCs w:val="24"/>
          <w:u w:val="single"/>
          <w14:ligatures w14:val="none"/>
        </w:rPr>
        <w:t xml:space="preserve">The </w:t>
      </w:r>
      <w:r w:rsidR="00526D16" w:rsidRPr="00460EC6">
        <w:rPr>
          <w:rFonts w:ascii="Times New Roman" w:eastAsia="Calibri" w:hAnsi="Times New Roman" w:cs="Times New Roman"/>
          <w:b/>
          <w:color w:val="000000" w:themeColor="text1"/>
          <w:kern w:val="0"/>
          <w:sz w:val="24"/>
          <w:szCs w:val="24"/>
          <w:u w:val="single"/>
          <w14:ligatures w14:val="none"/>
        </w:rPr>
        <w:t>R</w:t>
      </w:r>
      <w:r w:rsidRPr="00460EC6">
        <w:rPr>
          <w:rFonts w:ascii="Times New Roman" w:eastAsia="Calibri" w:hAnsi="Times New Roman" w:cs="Times New Roman"/>
          <w:b/>
          <w:color w:val="000000" w:themeColor="text1"/>
          <w:kern w:val="0"/>
          <w:sz w:val="24"/>
          <w:szCs w:val="24"/>
          <w:u w:val="single"/>
          <w14:ligatures w14:val="none"/>
        </w:rPr>
        <w:t xml:space="preserve">ight to the </w:t>
      </w:r>
      <w:r w:rsidR="00526D16" w:rsidRPr="00460EC6">
        <w:rPr>
          <w:rFonts w:ascii="Times New Roman" w:eastAsia="Calibri" w:hAnsi="Times New Roman" w:cs="Times New Roman"/>
          <w:b/>
          <w:color w:val="000000" w:themeColor="text1"/>
          <w:kern w:val="0"/>
          <w:sz w:val="24"/>
          <w:szCs w:val="24"/>
          <w:u w:val="single"/>
          <w14:ligatures w14:val="none"/>
        </w:rPr>
        <w:t>Highest A</w:t>
      </w:r>
      <w:r w:rsidRPr="00460EC6">
        <w:rPr>
          <w:rFonts w:ascii="Times New Roman" w:eastAsia="Calibri" w:hAnsi="Times New Roman" w:cs="Times New Roman"/>
          <w:b/>
          <w:color w:val="000000" w:themeColor="text1"/>
          <w:kern w:val="0"/>
          <w:sz w:val="24"/>
          <w:szCs w:val="24"/>
          <w:u w:val="single"/>
          <w14:ligatures w14:val="none"/>
        </w:rPr>
        <w:t xml:space="preserve">ttainable </w:t>
      </w:r>
      <w:r w:rsidR="00526D16" w:rsidRPr="00460EC6">
        <w:rPr>
          <w:rFonts w:ascii="Times New Roman" w:eastAsia="Calibri" w:hAnsi="Times New Roman" w:cs="Times New Roman"/>
          <w:b/>
          <w:color w:val="000000" w:themeColor="text1"/>
          <w:kern w:val="0"/>
          <w:sz w:val="24"/>
          <w:szCs w:val="24"/>
          <w:u w:val="single"/>
          <w14:ligatures w14:val="none"/>
        </w:rPr>
        <w:t>S</w:t>
      </w:r>
      <w:r w:rsidRPr="00460EC6">
        <w:rPr>
          <w:rFonts w:ascii="Times New Roman" w:eastAsia="Calibri" w:hAnsi="Times New Roman" w:cs="Times New Roman"/>
          <w:b/>
          <w:color w:val="000000" w:themeColor="text1"/>
          <w:kern w:val="0"/>
          <w:sz w:val="24"/>
          <w:szCs w:val="24"/>
          <w:u w:val="single"/>
          <w14:ligatures w14:val="none"/>
        </w:rPr>
        <w:t xml:space="preserve">tandard of </w:t>
      </w:r>
      <w:r w:rsidR="00526D16" w:rsidRPr="00460EC6">
        <w:rPr>
          <w:rFonts w:ascii="Times New Roman" w:eastAsia="Calibri" w:hAnsi="Times New Roman" w:cs="Times New Roman"/>
          <w:b/>
          <w:color w:val="000000" w:themeColor="text1"/>
          <w:kern w:val="0"/>
          <w:sz w:val="24"/>
          <w:szCs w:val="24"/>
          <w:u w:val="single"/>
          <w14:ligatures w14:val="none"/>
        </w:rPr>
        <w:t>P</w:t>
      </w:r>
      <w:r w:rsidRPr="00460EC6">
        <w:rPr>
          <w:rFonts w:ascii="Times New Roman" w:eastAsia="Calibri" w:hAnsi="Times New Roman" w:cs="Times New Roman"/>
          <w:b/>
          <w:color w:val="000000" w:themeColor="text1"/>
          <w:kern w:val="0"/>
          <w:sz w:val="24"/>
          <w:szCs w:val="24"/>
          <w:u w:val="single"/>
          <w14:ligatures w14:val="none"/>
        </w:rPr>
        <w:t xml:space="preserve">hysical and </w:t>
      </w:r>
      <w:r w:rsidR="00526D16" w:rsidRPr="00460EC6">
        <w:rPr>
          <w:rFonts w:ascii="Times New Roman" w:eastAsia="Calibri" w:hAnsi="Times New Roman" w:cs="Times New Roman"/>
          <w:b/>
          <w:color w:val="000000" w:themeColor="text1"/>
          <w:kern w:val="0"/>
          <w:sz w:val="24"/>
          <w:szCs w:val="24"/>
          <w:u w:val="single"/>
          <w14:ligatures w14:val="none"/>
        </w:rPr>
        <w:t>M</w:t>
      </w:r>
      <w:r w:rsidRPr="00460EC6">
        <w:rPr>
          <w:rFonts w:ascii="Times New Roman" w:eastAsia="Calibri" w:hAnsi="Times New Roman" w:cs="Times New Roman"/>
          <w:b/>
          <w:color w:val="000000" w:themeColor="text1"/>
          <w:kern w:val="0"/>
          <w:sz w:val="24"/>
          <w:szCs w:val="24"/>
          <w:u w:val="single"/>
          <w14:ligatures w14:val="none"/>
        </w:rPr>
        <w:t xml:space="preserve">ental </w:t>
      </w:r>
      <w:r w:rsidR="00526D16" w:rsidRPr="00460EC6">
        <w:rPr>
          <w:rFonts w:ascii="Times New Roman" w:eastAsia="Calibri" w:hAnsi="Times New Roman" w:cs="Times New Roman"/>
          <w:b/>
          <w:color w:val="000000" w:themeColor="text1"/>
          <w:kern w:val="0"/>
          <w:sz w:val="24"/>
          <w:szCs w:val="24"/>
          <w:u w:val="single"/>
          <w14:ligatures w14:val="none"/>
        </w:rPr>
        <w:t>H</w:t>
      </w:r>
      <w:r w:rsidRPr="00460EC6">
        <w:rPr>
          <w:rFonts w:ascii="Times New Roman" w:eastAsia="Calibri" w:hAnsi="Times New Roman" w:cs="Times New Roman"/>
          <w:b/>
          <w:color w:val="000000" w:themeColor="text1"/>
          <w:kern w:val="0"/>
          <w:sz w:val="24"/>
          <w:szCs w:val="24"/>
          <w:u w:val="single"/>
          <w14:ligatures w14:val="none"/>
        </w:rPr>
        <w:t>ealth</w:t>
      </w:r>
    </w:p>
    <w:p w14:paraId="563850D5" w14:textId="77777777" w:rsidR="00526D16"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sz w:val="24"/>
          <w:szCs w:val="24"/>
          <w:lang w:val="en-US"/>
        </w:rPr>
        <w:t>Ethiopia has been working towards achieving UHC by increasing investments in health services, infrastructure, and workforce.</w:t>
      </w:r>
      <w:r w:rsidRPr="00460EC6">
        <w:rPr>
          <w:rFonts w:ascii="Times New Roman" w:eastAsia="Calibri" w:hAnsi="Times New Roman" w:cs="Times New Roman"/>
          <w:color w:val="000000" w:themeColor="text1"/>
          <w:sz w:val="24"/>
          <w:szCs w:val="24"/>
          <w:lang w:val="en-US"/>
        </w:rPr>
        <w:t xml:space="preserve"> To address evolving health challenges including the impacts of climate change, disease outbreaks, and the need for a more resilient and responsive health system, the country revised its</w:t>
      </w:r>
      <w:bookmarkStart w:id="1" w:name="_Toc208842128"/>
      <w:r w:rsidR="00526D16" w:rsidRPr="00460EC6">
        <w:rPr>
          <w:rFonts w:ascii="Times New Roman" w:eastAsia="Calibri" w:hAnsi="Times New Roman" w:cs="Times New Roman"/>
          <w:color w:val="000000" w:themeColor="text1"/>
          <w:sz w:val="24"/>
          <w:szCs w:val="24"/>
          <w:lang w:val="en-US"/>
        </w:rPr>
        <w:t xml:space="preserve"> National Health Policy in 2024.</w:t>
      </w:r>
    </w:p>
    <w:p w14:paraId="4981DE49" w14:textId="77777777" w:rsidR="00526D16"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Improving the health status of neonates and children is a major priority for Ethiopia’s health sector.</w:t>
      </w:r>
      <w:r w:rsidRPr="00460EC6">
        <w:rPr>
          <w:rFonts w:ascii="Times New Roman" w:eastAsia="Calibri" w:hAnsi="Times New Roman" w:cs="Times New Roman"/>
          <w:color w:val="000000" w:themeColor="text1"/>
          <w:kern w:val="0"/>
          <w:sz w:val="24"/>
          <w:szCs w:val="24"/>
          <w:lang w:val="en-US"/>
          <w14:ligatures w14:val="none"/>
        </w:rPr>
        <w:t xml:space="preserve"> To achieve the child health targets outlined in the first and second Health Sector Transformation Plans (2015/16 – 2024/25) and the SDGs, Ethiopia has implemented the </w:t>
      </w:r>
      <w:r w:rsidRPr="00460EC6">
        <w:rPr>
          <w:rFonts w:ascii="Times New Roman" w:eastAsia="Calibri" w:hAnsi="Times New Roman" w:cs="Times New Roman"/>
          <w:bCs/>
          <w:color w:val="000000" w:themeColor="text1"/>
          <w:kern w:val="0"/>
          <w:sz w:val="24"/>
          <w:szCs w:val="24"/>
          <w:lang w:val="en-US"/>
          <w14:ligatures w14:val="none"/>
        </w:rPr>
        <w:t>National Newborn and Child Survival Strategy (2015/16–2019/20)</w:t>
      </w:r>
      <w:r w:rsidRPr="00460EC6">
        <w:rPr>
          <w:rFonts w:ascii="Times New Roman" w:eastAsia="Calibri" w:hAnsi="Times New Roman" w:cs="Times New Roman"/>
          <w:color w:val="000000" w:themeColor="text1"/>
          <w:kern w:val="0"/>
          <w:sz w:val="24"/>
          <w:szCs w:val="24"/>
          <w:lang w:val="en-US"/>
          <w14:ligatures w14:val="none"/>
        </w:rPr>
        <w:t xml:space="preserve"> and the </w:t>
      </w:r>
      <w:r w:rsidRPr="00460EC6">
        <w:rPr>
          <w:rFonts w:ascii="Times New Roman" w:eastAsia="Calibri" w:hAnsi="Times New Roman" w:cs="Times New Roman"/>
          <w:bCs/>
          <w:color w:val="000000" w:themeColor="text1"/>
          <w:kern w:val="0"/>
          <w:sz w:val="24"/>
          <w:szCs w:val="24"/>
          <w:lang w:val="en-US"/>
          <w14:ligatures w14:val="none"/>
        </w:rPr>
        <w:t>National Health Sector Strategic Plan for Early Childhood Development (2020/21–2024/25)</w:t>
      </w:r>
      <w:r w:rsidRPr="00460EC6">
        <w:rPr>
          <w:rFonts w:ascii="Times New Roman" w:eastAsia="Calibri" w:hAnsi="Times New Roman" w:cs="Times New Roman"/>
          <w:color w:val="000000" w:themeColor="text1"/>
          <w:kern w:val="0"/>
          <w:sz w:val="24"/>
          <w:szCs w:val="24"/>
          <w:lang w:val="en-US"/>
          <w14:ligatures w14:val="none"/>
        </w:rPr>
        <w:t>.</w:t>
      </w:r>
    </w:p>
    <w:p w14:paraId="1639675F" w14:textId="77777777" w:rsidR="00526D16"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Strategies’ core principles include increasing equitable access to quality health services, enhancing community engagement, empowerment, and ownership, and promoting the efficient use of resources. They aim to ensure all children not only survive but also receive the nurturing care necessary to reach their full developmental potential. </w:t>
      </w:r>
      <w:bookmarkEnd w:id="1"/>
    </w:p>
    <w:p w14:paraId="333F5A9D" w14:textId="77777777" w:rsidR="00526D16"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The Ethiopian immunization program targets over 3.4 million live births annually with 13 life-saving vaccines.</w:t>
      </w:r>
      <w:r w:rsidRPr="00460EC6">
        <w:rPr>
          <w:rFonts w:ascii="Times New Roman" w:eastAsia="Calibri" w:hAnsi="Times New Roman" w:cs="Times New Roman"/>
          <w:color w:val="000000" w:themeColor="text1"/>
          <w:kern w:val="0"/>
          <w:sz w:val="24"/>
          <w:szCs w:val="24"/>
          <w:lang w:val="en-US"/>
          <w14:ligatures w14:val="none"/>
        </w:rPr>
        <w:t xml:space="preserve"> Increased immunization coverage has significantly reduced fatalities from vaccine-preventable diseases. Ethiopia has maintained </w:t>
      </w:r>
      <w:r w:rsidRPr="00460EC6">
        <w:rPr>
          <w:rFonts w:ascii="Times New Roman" w:eastAsia="Calibri" w:hAnsi="Times New Roman" w:cs="Times New Roman"/>
          <w:bCs/>
          <w:color w:val="000000" w:themeColor="text1"/>
          <w:kern w:val="0"/>
          <w:sz w:val="24"/>
          <w:szCs w:val="24"/>
          <w:lang w:val="en-US"/>
          <w14:ligatures w14:val="none"/>
        </w:rPr>
        <w:t>polio virus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neonatal tetanus-free status</w:t>
      </w:r>
      <w:r w:rsidRPr="00460EC6">
        <w:rPr>
          <w:rFonts w:ascii="Times New Roman" w:eastAsia="Calibri" w:hAnsi="Times New Roman" w:cs="Times New Roman"/>
          <w:color w:val="000000" w:themeColor="text1"/>
          <w:kern w:val="0"/>
          <w:sz w:val="24"/>
          <w:szCs w:val="24"/>
          <w:lang w:val="en-US"/>
          <w14:ligatures w14:val="none"/>
        </w:rPr>
        <w:t xml:space="preserve"> since 2017.</w:t>
      </w:r>
    </w:p>
    <w:p w14:paraId="20840E3B" w14:textId="77777777" w:rsidR="00526D16"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further strengthen immunization services, particularly in low-performing and conflict-affected areas, </w:t>
      </w:r>
      <w:r w:rsidRPr="00460EC6">
        <w:rPr>
          <w:rFonts w:ascii="Times New Roman" w:eastAsia="Calibri" w:hAnsi="Times New Roman" w:cs="Times New Roman"/>
          <w:bCs/>
          <w:color w:val="000000" w:themeColor="text1"/>
          <w:kern w:val="0"/>
          <w:sz w:val="24"/>
          <w:szCs w:val="24"/>
          <w:lang w:val="en-US"/>
          <w14:ligatures w14:val="none"/>
        </w:rPr>
        <w:t>catch-up vaccination programs</w:t>
      </w:r>
      <w:r w:rsidRPr="00460EC6">
        <w:rPr>
          <w:rFonts w:ascii="Times New Roman" w:eastAsia="Calibri" w:hAnsi="Times New Roman" w:cs="Times New Roman"/>
          <w:color w:val="000000" w:themeColor="text1"/>
          <w:kern w:val="0"/>
          <w:sz w:val="24"/>
          <w:szCs w:val="24"/>
          <w:lang w:val="en-US"/>
          <w14:ligatures w14:val="none"/>
        </w:rPr>
        <w:t xml:space="preserve"> are being implemented. As a result, routine immunization efforts have been significantly enhanced, leading to substantial increases in coverage. By 2023/24, coverage rates for </w:t>
      </w:r>
      <w:r w:rsidRPr="00460EC6">
        <w:rPr>
          <w:rFonts w:ascii="Times New Roman" w:eastAsia="Calibri" w:hAnsi="Times New Roman" w:cs="Times New Roman"/>
          <w:bCs/>
          <w:color w:val="000000" w:themeColor="text1"/>
          <w:kern w:val="0"/>
          <w:sz w:val="24"/>
          <w:szCs w:val="24"/>
          <w:lang w:val="en-US"/>
          <w14:ligatures w14:val="none"/>
        </w:rPr>
        <w:t>pentavalent</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measles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full immunization</w:t>
      </w:r>
      <w:r w:rsidRPr="00460EC6">
        <w:rPr>
          <w:rFonts w:ascii="Times New Roman" w:eastAsia="Calibri" w:hAnsi="Times New Roman" w:cs="Times New Roman"/>
          <w:color w:val="000000" w:themeColor="text1"/>
          <w:kern w:val="0"/>
          <w:sz w:val="24"/>
          <w:szCs w:val="24"/>
          <w:lang w:val="en-US"/>
          <w14:ligatures w14:val="none"/>
        </w:rPr>
        <w:t xml:space="preserve"> reached </w:t>
      </w:r>
      <w:r w:rsidRPr="00460EC6">
        <w:rPr>
          <w:rFonts w:ascii="Times New Roman" w:eastAsia="Calibri" w:hAnsi="Times New Roman" w:cs="Times New Roman"/>
          <w:bCs/>
          <w:color w:val="000000" w:themeColor="text1"/>
          <w:kern w:val="0"/>
          <w:sz w:val="24"/>
          <w:szCs w:val="24"/>
          <w:lang w:val="en-US"/>
          <w14:ligatures w14:val="none"/>
        </w:rPr>
        <w:t>100%</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99%</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95%</w:t>
      </w:r>
      <w:r w:rsidRPr="00460EC6">
        <w:rPr>
          <w:rFonts w:ascii="Times New Roman" w:eastAsia="Calibri" w:hAnsi="Times New Roman" w:cs="Times New Roman"/>
          <w:color w:val="000000" w:themeColor="text1"/>
          <w:kern w:val="0"/>
          <w:sz w:val="24"/>
          <w:szCs w:val="24"/>
          <w:lang w:val="en-US"/>
          <w14:ligatures w14:val="none"/>
        </w:rPr>
        <w:t>, respectively.</w:t>
      </w:r>
    </w:p>
    <w:p w14:paraId="0522B512" w14:textId="57BCE68B"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Over the past two decades, nutrition programs in Ethiopia have been integrated into public health service delivery.</w:t>
      </w:r>
      <w:r w:rsidRPr="00460EC6">
        <w:rPr>
          <w:rFonts w:ascii="Times New Roman" w:eastAsia="Calibri" w:hAnsi="Times New Roman" w:cs="Times New Roman"/>
          <w:color w:val="000000" w:themeColor="text1"/>
          <w:kern w:val="0"/>
          <w:sz w:val="24"/>
          <w:szCs w:val="24"/>
          <w:lang w:val="en-US"/>
          <w14:ligatures w14:val="none"/>
        </w:rPr>
        <w:t xml:space="preserve"> Key activities include reducing malnutrition, improving child feeding practices, scaling up </w:t>
      </w:r>
      <w:r w:rsidRPr="00460EC6">
        <w:rPr>
          <w:rFonts w:ascii="Times New Roman" w:hAnsi="Times New Roman" w:cs="Times New Roman"/>
          <w:color w:val="000000" w:themeColor="text1"/>
          <w:sz w:val="24"/>
          <w:szCs w:val="24"/>
        </w:rPr>
        <w:t>C</w:t>
      </w:r>
      <w:r w:rsidR="00292106" w:rsidRPr="00460EC6">
        <w:rPr>
          <w:rFonts w:ascii="Times New Roman" w:hAnsi="Times New Roman" w:cs="Times New Roman"/>
          <w:bCs/>
          <w:color w:val="000000" w:themeColor="text1"/>
          <w:sz w:val="24"/>
          <w:szCs w:val="24"/>
          <w:lang w:val="en-US"/>
        </w:rPr>
        <w:t>community</w:t>
      </w:r>
      <w:r w:rsidRPr="00460EC6">
        <w:rPr>
          <w:rFonts w:ascii="Times New Roman" w:hAnsi="Times New Roman" w:cs="Times New Roman"/>
          <w:bCs/>
          <w:color w:val="000000" w:themeColor="text1"/>
          <w:sz w:val="24"/>
          <w:szCs w:val="24"/>
          <w:lang w:val="en-US"/>
        </w:rPr>
        <w:t>-</w:t>
      </w:r>
      <w:r w:rsidR="00292106" w:rsidRPr="00460EC6">
        <w:rPr>
          <w:rFonts w:ascii="Times New Roman" w:hAnsi="Times New Roman" w:cs="Times New Roman"/>
          <w:bCs/>
          <w:color w:val="000000" w:themeColor="text1"/>
          <w:sz w:val="24"/>
          <w:szCs w:val="24"/>
          <w:lang w:val="en-US"/>
        </w:rPr>
        <w:t>B</w:t>
      </w:r>
      <w:r w:rsidRPr="00460EC6">
        <w:rPr>
          <w:rFonts w:ascii="Times New Roman" w:hAnsi="Times New Roman" w:cs="Times New Roman"/>
          <w:bCs/>
          <w:color w:val="000000" w:themeColor="text1"/>
          <w:sz w:val="24"/>
          <w:szCs w:val="24"/>
          <w:lang w:val="en-US"/>
        </w:rPr>
        <w:t>ased Nutrition</w:t>
      </w:r>
      <w:r w:rsidRPr="00460EC6">
        <w:rPr>
          <w:rFonts w:ascii="Times New Roman" w:eastAsia="Calibri" w:hAnsi="Times New Roman" w:cs="Times New Roman"/>
          <w:color w:val="000000" w:themeColor="text1"/>
          <w:kern w:val="0"/>
          <w:sz w:val="24"/>
          <w:szCs w:val="24"/>
          <w:lang w:val="en-US"/>
          <w14:ligatures w14:val="none"/>
        </w:rPr>
        <w:t xml:space="preserve"> (CBN), and implementing </w:t>
      </w:r>
      <w:r w:rsidRPr="00460EC6">
        <w:rPr>
          <w:rFonts w:ascii="Times New Roman" w:eastAsia="Calibri" w:hAnsi="Times New Roman" w:cs="Times New Roman"/>
          <w:bCs/>
          <w:color w:val="000000" w:themeColor="text1"/>
          <w:kern w:val="0"/>
          <w:sz w:val="24"/>
          <w:szCs w:val="24"/>
          <w:lang w:val="en-US"/>
          <w14:ligatures w14:val="none"/>
        </w:rPr>
        <w:t>Vitamin A supplementation</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 xml:space="preserve">deworming, </w:t>
      </w:r>
      <w:r w:rsidRPr="00460EC6">
        <w:rPr>
          <w:rFonts w:ascii="Times New Roman" w:eastAsia="Calibri" w:hAnsi="Times New Roman" w:cs="Times New Roman"/>
          <w:color w:val="000000" w:themeColor="text1"/>
          <w:kern w:val="0"/>
          <w:sz w:val="24"/>
          <w:szCs w:val="24"/>
          <w:lang w:val="en-US"/>
          <w14:ligatures w14:val="none"/>
        </w:rPr>
        <w:t>integrating these interventions into routine health services.</w:t>
      </w:r>
    </w:p>
    <w:p w14:paraId="1F891988"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lastRenderedPageBreak/>
        <w:t xml:space="preserve">The </w:t>
      </w:r>
      <w:r w:rsidRPr="00460EC6">
        <w:rPr>
          <w:rFonts w:ascii="Times New Roman" w:eastAsia="Calibri" w:hAnsi="Times New Roman" w:cs="Times New Roman"/>
          <w:bCs/>
          <w:color w:val="000000" w:themeColor="text1"/>
          <w:kern w:val="0"/>
          <w:sz w:val="24"/>
          <w:szCs w:val="24"/>
          <w:lang w:val="en-US"/>
          <w14:ligatures w14:val="none"/>
        </w:rPr>
        <w:t>CBN</w:t>
      </w:r>
      <w:r w:rsidRPr="00460EC6">
        <w:rPr>
          <w:rFonts w:ascii="Times New Roman" w:eastAsia="Calibri" w:hAnsi="Times New Roman" w:cs="Times New Roman"/>
          <w:color w:val="000000" w:themeColor="text1"/>
          <w:kern w:val="0"/>
          <w:sz w:val="24"/>
          <w:szCs w:val="24"/>
          <w:lang w:val="en-US"/>
          <w14:ligatures w14:val="none"/>
        </w:rPr>
        <w:t xml:space="preserve"> has been a cornerstone of the NNP I, aiming to prevent malnutrition in children by engaging families and communities as the first line of protection. To further strengthen nutrition services,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developed and is implementing the </w:t>
      </w:r>
      <w:r w:rsidRPr="00460EC6">
        <w:rPr>
          <w:rFonts w:ascii="Times New Roman" w:eastAsia="Calibri" w:hAnsi="Times New Roman" w:cs="Times New Roman"/>
          <w:bCs/>
          <w:color w:val="000000" w:themeColor="text1"/>
          <w:kern w:val="0"/>
          <w:sz w:val="24"/>
          <w:szCs w:val="24"/>
          <w:lang w:val="en-US"/>
          <w14:ligatures w14:val="none"/>
        </w:rPr>
        <w:t>Adolescent, Maternal, Infant, and Young Child Nutrition guideline</w:t>
      </w:r>
      <w:r w:rsidRPr="00460EC6">
        <w:rPr>
          <w:rFonts w:ascii="Times New Roman" w:eastAsia="Calibri" w:hAnsi="Times New Roman" w:cs="Times New Roman"/>
          <w:color w:val="000000" w:themeColor="text1"/>
          <w:kern w:val="0"/>
          <w:sz w:val="24"/>
          <w:szCs w:val="24"/>
          <w:lang w:val="en-US"/>
          <w14:ligatures w14:val="none"/>
        </w:rPr>
        <w:t xml:space="preserve"> at all levels of the health system, aiming to improve the nutritional status of the population.</w:t>
      </w:r>
    </w:p>
    <w:p w14:paraId="69A52D67"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r w:rsidRPr="00460EC6">
        <w:rPr>
          <w:rFonts w:ascii="Times New Roman" w:eastAsia="Calibri" w:hAnsi="Times New Roman" w:cs="Times New Roman"/>
          <w:bCs/>
          <w:color w:val="000000" w:themeColor="text1"/>
          <w:kern w:val="0"/>
          <w:sz w:val="24"/>
          <w:szCs w:val="24"/>
          <w:lang w:val="en-US"/>
          <w14:ligatures w14:val="none"/>
        </w:rPr>
        <w:t>NNP II</w:t>
      </w:r>
      <w:r w:rsidRPr="00460EC6">
        <w:rPr>
          <w:rFonts w:ascii="Times New Roman" w:eastAsia="Calibri" w:hAnsi="Times New Roman" w:cs="Times New Roman"/>
          <w:color w:val="000000" w:themeColor="text1"/>
          <w:kern w:val="0"/>
          <w:sz w:val="24"/>
          <w:szCs w:val="24"/>
          <w:lang w:val="en-US"/>
          <w14:ligatures w14:val="none"/>
        </w:rPr>
        <w:t xml:space="preserve">, focused on interventions such as </w:t>
      </w:r>
      <w:r w:rsidRPr="00460EC6">
        <w:rPr>
          <w:rFonts w:ascii="Times New Roman" w:eastAsia="Calibri" w:hAnsi="Times New Roman" w:cs="Times New Roman"/>
          <w:bCs/>
          <w:color w:val="000000" w:themeColor="text1"/>
          <w:kern w:val="0"/>
          <w:sz w:val="24"/>
          <w:szCs w:val="24"/>
          <w:lang w:val="en-US"/>
          <w14:ligatures w14:val="none"/>
        </w:rPr>
        <w:t>optimal breastfeeding</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complementary feeding</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micronutrient deficiency prevention</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WASH</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deworming</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food fortification</w:t>
      </w:r>
      <w:r w:rsidRPr="00460EC6">
        <w:rPr>
          <w:rFonts w:ascii="Times New Roman" w:eastAsia="Calibri" w:hAnsi="Times New Roman" w:cs="Times New Roman"/>
          <w:color w:val="000000" w:themeColor="text1"/>
          <w:kern w:val="0"/>
          <w:sz w:val="24"/>
          <w:szCs w:val="24"/>
          <w:lang w:val="en-US"/>
          <w14:ligatures w14:val="none"/>
        </w:rPr>
        <w:t xml:space="preserve">, and the </w:t>
      </w:r>
      <w:r w:rsidRPr="00460EC6">
        <w:rPr>
          <w:rFonts w:ascii="Times New Roman" w:eastAsia="Calibri" w:hAnsi="Times New Roman" w:cs="Times New Roman"/>
          <w:bCs/>
          <w:color w:val="000000" w:themeColor="text1"/>
          <w:kern w:val="0"/>
          <w:sz w:val="24"/>
          <w:szCs w:val="24"/>
          <w:lang w:val="en-US"/>
          <w14:ligatures w14:val="none"/>
        </w:rPr>
        <w:t>management of acute malnutrition</w:t>
      </w:r>
      <w:r w:rsidRPr="00460EC6">
        <w:rPr>
          <w:rFonts w:ascii="Times New Roman" w:eastAsia="Calibri" w:hAnsi="Times New Roman" w:cs="Times New Roman"/>
          <w:color w:val="000000" w:themeColor="text1"/>
          <w:kern w:val="0"/>
          <w:sz w:val="24"/>
          <w:szCs w:val="24"/>
          <w:lang w:val="en-US"/>
          <w14:ligatures w14:val="none"/>
        </w:rPr>
        <w:t xml:space="preserve">. </w:t>
      </w:r>
    </w:p>
    <w:p w14:paraId="00CBAEB3"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In 2019/20, </w:t>
      </w:r>
      <w:r w:rsidRPr="00460EC6">
        <w:rPr>
          <w:rFonts w:ascii="Times New Roman" w:eastAsia="Calibri" w:hAnsi="Times New Roman" w:cs="Times New Roman"/>
          <w:bCs/>
          <w:color w:val="000000" w:themeColor="text1"/>
          <w:kern w:val="0"/>
          <w:sz w:val="24"/>
          <w:szCs w:val="24"/>
          <w:lang w:val="en-US"/>
          <w14:ligatures w14:val="none"/>
        </w:rPr>
        <w:t>79%</w:t>
      </w:r>
      <w:r w:rsidRPr="00460EC6">
        <w:rPr>
          <w:rFonts w:ascii="Times New Roman" w:eastAsia="Calibri" w:hAnsi="Times New Roman" w:cs="Times New Roman"/>
          <w:color w:val="000000" w:themeColor="text1"/>
          <w:kern w:val="0"/>
          <w:sz w:val="24"/>
          <w:szCs w:val="24"/>
          <w:lang w:val="en-US"/>
          <w14:ligatures w14:val="none"/>
        </w:rPr>
        <w:t xml:space="preserve"> of children aged 6–59 months received two doses of Vitamin A, and </w:t>
      </w:r>
      <w:r w:rsidRPr="00460EC6">
        <w:rPr>
          <w:rFonts w:ascii="Times New Roman" w:eastAsia="Calibri" w:hAnsi="Times New Roman" w:cs="Times New Roman"/>
          <w:bCs/>
          <w:color w:val="000000" w:themeColor="text1"/>
          <w:kern w:val="0"/>
          <w:sz w:val="24"/>
          <w:szCs w:val="24"/>
          <w:lang w:val="en-US"/>
          <w14:ligatures w14:val="none"/>
        </w:rPr>
        <w:t>74%</w:t>
      </w:r>
      <w:r w:rsidRPr="00460EC6">
        <w:rPr>
          <w:rFonts w:ascii="Times New Roman" w:eastAsia="Calibri" w:hAnsi="Times New Roman" w:cs="Times New Roman"/>
          <w:color w:val="000000" w:themeColor="text1"/>
          <w:kern w:val="0"/>
          <w:sz w:val="24"/>
          <w:szCs w:val="24"/>
          <w:lang w:val="en-US"/>
          <w14:ligatures w14:val="none"/>
        </w:rPr>
        <w:t xml:space="preserve"> of children aged 24–59 months received biannual deworming services. These figures increased significantly by 2023/24, reaching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92%</w:t>
      </w:r>
      <w:r w:rsidRPr="00460EC6">
        <w:rPr>
          <w:rFonts w:ascii="Times New Roman" w:eastAsia="Calibri" w:hAnsi="Times New Roman" w:cs="Times New Roman"/>
          <w:color w:val="000000" w:themeColor="text1"/>
          <w:kern w:val="0"/>
          <w:sz w:val="24"/>
          <w:szCs w:val="24"/>
          <w:lang w:val="en-US"/>
          <w14:ligatures w14:val="none"/>
        </w:rPr>
        <w:t>, respectively.</w:t>
      </w:r>
    </w:p>
    <w:p w14:paraId="20F9BA2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been implementing </w:t>
      </w:r>
      <w:r w:rsidRPr="00460EC6">
        <w:rPr>
          <w:rFonts w:ascii="Times New Roman" w:eastAsia="Calibri" w:hAnsi="Times New Roman" w:cs="Times New Roman"/>
          <w:bCs/>
          <w:color w:val="000000" w:themeColor="text1"/>
          <w:kern w:val="0"/>
          <w:sz w:val="24"/>
          <w:szCs w:val="24"/>
          <w:lang w:val="en-US"/>
          <w14:ligatures w14:val="none"/>
        </w:rPr>
        <w:t>policies and strategies to address the country’s high burden of malnutrition</w:t>
      </w:r>
      <w:r w:rsidRPr="00460EC6">
        <w:rPr>
          <w:rFonts w:ascii="Times New Roman" w:eastAsia="Calibri" w:hAnsi="Times New Roman" w:cs="Times New Roman"/>
          <w:color w:val="000000" w:themeColor="text1"/>
          <w:kern w:val="0"/>
          <w:sz w:val="24"/>
          <w:szCs w:val="24"/>
          <w:lang w:val="en-US"/>
          <w14:ligatures w14:val="none"/>
        </w:rPr>
        <w:t xml:space="preserve">, particularly among children under the age of five. As a result, </w:t>
      </w:r>
      <w:r w:rsidRPr="00460EC6">
        <w:rPr>
          <w:rFonts w:ascii="Times New Roman" w:eastAsia="Calibri" w:hAnsi="Times New Roman" w:cs="Times New Roman"/>
          <w:bCs/>
          <w:color w:val="000000" w:themeColor="text1"/>
          <w:kern w:val="0"/>
          <w:sz w:val="24"/>
          <w:szCs w:val="24"/>
          <w:lang w:val="en-US"/>
          <w14:ligatures w14:val="none"/>
        </w:rPr>
        <w:t>the prevalence of stunting, wasting, and underweight</w:t>
      </w:r>
      <w:r w:rsidRPr="00460EC6">
        <w:rPr>
          <w:rFonts w:ascii="Times New Roman" w:eastAsia="Calibri" w:hAnsi="Times New Roman" w:cs="Times New Roman"/>
          <w:color w:val="000000" w:themeColor="text1"/>
          <w:kern w:val="0"/>
          <w:sz w:val="24"/>
          <w:szCs w:val="24"/>
          <w:lang w:val="en-US"/>
          <w14:ligatures w14:val="none"/>
        </w:rPr>
        <w:t xml:space="preserve"> among children under five </w:t>
      </w:r>
      <w:r w:rsidRPr="00460EC6">
        <w:rPr>
          <w:rFonts w:ascii="Times New Roman" w:eastAsia="Calibri" w:hAnsi="Times New Roman" w:cs="Times New Roman"/>
          <w:bCs/>
          <w:color w:val="000000" w:themeColor="text1"/>
          <w:kern w:val="0"/>
          <w:sz w:val="24"/>
          <w:szCs w:val="24"/>
          <w:lang w:val="en-US"/>
          <w14:ligatures w14:val="none"/>
        </w:rPr>
        <w:t>declined</w:t>
      </w:r>
      <w:r w:rsidRPr="00460EC6">
        <w:rPr>
          <w:rFonts w:ascii="Times New Roman" w:eastAsia="Calibri" w:hAnsi="Times New Roman" w:cs="Times New Roman"/>
          <w:color w:val="000000" w:themeColor="text1"/>
          <w:kern w:val="0"/>
          <w:sz w:val="24"/>
          <w:szCs w:val="24"/>
          <w:lang w:val="en-US"/>
          <w14:ligatures w14:val="none"/>
        </w:rPr>
        <w:t xml:space="preserve"> respectively</w:t>
      </w:r>
      <w:r w:rsidRPr="00460EC6">
        <w:rPr>
          <w:rFonts w:ascii="Times New Roman" w:eastAsia="Calibri" w:hAnsi="Times New Roman" w:cs="Times New Roman"/>
          <w:bCs/>
          <w:color w:val="000000" w:themeColor="text1"/>
          <w:kern w:val="0"/>
          <w:sz w:val="24"/>
          <w:szCs w:val="24"/>
          <w:lang w:val="en-US"/>
          <w14:ligatures w14:val="none"/>
        </w:rPr>
        <w:t xml:space="preserve"> from 44%, 29%, and 10% in 2010/11 to 37%, 21%, and 7% in 2018/19</w:t>
      </w:r>
      <w:r w:rsidRPr="00460EC6">
        <w:rPr>
          <w:rFonts w:ascii="Times New Roman" w:eastAsia="Calibri" w:hAnsi="Times New Roman" w:cs="Times New Roman"/>
          <w:color w:val="000000" w:themeColor="text1"/>
          <w:kern w:val="0"/>
          <w:sz w:val="24"/>
          <w:szCs w:val="24"/>
          <w:lang w:val="en-US"/>
          <w14:ligatures w14:val="none"/>
        </w:rPr>
        <w:t>.</w:t>
      </w:r>
    </w:p>
    <w:p w14:paraId="2768568C" w14:textId="696AFF5C"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A key intervention contributing to this progress is </w:t>
      </w:r>
      <w:r w:rsidRPr="00460EC6">
        <w:rPr>
          <w:rFonts w:ascii="Times New Roman" w:hAnsi="Times New Roman" w:cs="Times New Roman"/>
          <w:bCs/>
          <w:color w:val="000000" w:themeColor="text1"/>
          <w:sz w:val="24"/>
          <w:szCs w:val="24"/>
          <w:lang w:val="en-US"/>
        </w:rPr>
        <w:t>Growth Monitoring and Promotion</w:t>
      </w:r>
      <w:r w:rsidRPr="00460EC6">
        <w:rPr>
          <w:rFonts w:ascii="Times New Roman" w:eastAsia="Calibri" w:hAnsi="Times New Roman" w:cs="Times New Roman"/>
          <w:bCs/>
          <w:color w:val="000000" w:themeColor="text1"/>
          <w:kern w:val="0"/>
          <w:sz w:val="24"/>
          <w:szCs w:val="24"/>
          <w:lang w:val="en-US"/>
          <w14:ligatures w14:val="none"/>
        </w:rPr>
        <w:t xml:space="preserve"> (GMP), </w:t>
      </w:r>
      <w:r w:rsidRPr="00460EC6">
        <w:rPr>
          <w:rFonts w:ascii="Times New Roman" w:eastAsia="Calibri" w:hAnsi="Times New Roman" w:cs="Times New Roman"/>
          <w:color w:val="000000" w:themeColor="text1"/>
          <w:kern w:val="0"/>
          <w:sz w:val="24"/>
          <w:szCs w:val="24"/>
          <w:lang w:val="en-US"/>
          <w14:ligatures w14:val="none"/>
        </w:rPr>
        <w:t xml:space="preserve">a vital Strategy targeting improved child nutrition during the critical first two years of life. It combines </w:t>
      </w:r>
      <w:r w:rsidRPr="00460EC6">
        <w:rPr>
          <w:rFonts w:ascii="Times New Roman" w:eastAsia="Calibri" w:hAnsi="Times New Roman" w:cs="Times New Roman"/>
          <w:bCs/>
          <w:color w:val="000000" w:themeColor="text1"/>
          <w:kern w:val="0"/>
          <w:sz w:val="24"/>
          <w:szCs w:val="24"/>
          <w:lang w:val="en-US"/>
          <w14:ligatures w14:val="none"/>
        </w:rPr>
        <w:t>regular nutritional assessments with targeted counseling</w:t>
      </w:r>
      <w:r w:rsidRPr="00460EC6">
        <w:rPr>
          <w:rFonts w:ascii="Times New Roman" w:eastAsia="Calibri" w:hAnsi="Times New Roman" w:cs="Times New Roman"/>
          <w:color w:val="000000" w:themeColor="text1"/>
          <w:kern w:val="0"/>
          <w:sz w:val="24"/>
          <w:szCs w:val="24"/>
          <w:lang w:val="en-US"/>
          <w14:ligatures w14:val="none"/>
        </w:rPr>
        <w:t xml:space="preserve"> and </w:t>
      </w:r>
      <w:proofErr w:type="spellStart"/>
      <w:r w:rsidR="00292106" w:rsidRPr="00460EC6">
        <w:rPr>
          <w:rFonts w:ascii="Times New Roman" w:eastAsia="Calibri" w:hAnsi="Times New Roman" w:cs="Times New Roman"/>
          <w:color w:val="000000" w:themeColor="text1"/>
          <w:kern w:val="0"/>
          <w:sz w:val="24"/>
          <w:szCs w:val="24"/>
          <w:lang w:val="en-US"/>
          <w14:ligatures w14:val="none"/>
        </w:rPr>
        <w:t>behaviour</w:t>
      </w:r>
      <w:proofErr w:type="spellEnd"/>
      <w:r w:rsidRPr="00460EC6">
        <w:rPr>
          <w:rFonts w:ascii="Times New Roman" w:eastAsia="Calibri" w:hAnsi="Times New Roman" w:cs="Times New Roman"/>
          <w:color w:val="000000" w:themeColor="text1"/>
          <w:kern w:val="0"/>
          <w:sz w:val="24"/>
          <w:szCs w:val="24"/>
          <w:lang w:val="en-US"/>
          <w14:ligatures w14:val="none"/>
        </w:rPr>
        <w:t xml:space="preserve"> change communication. It engages </w:t>
      </w:r>
      <w:r w:rsidRPr="00460EC6">
        <w:rPr>
          <w:rFonts w:ascii="Times New Roman" w:eastAsia="Calibri" w:hAnsi="Times New Roman" w:cs="Times New Roman"/>
          <w:bCs/>
          <w:color w:val="000000" w:themeColor="text1"/>
          <w:kern w:val="0"/>
          <w:sz w:val="24"/>
          <w:szCs w:val="24"/>
          <w:lang w:val="en-US"/>
          <w14:ligatures w14:val="none"/>
        </w:rPr>
        <w:t>parents, healthcare workers, and community leaders</w:t>
      </w:r>
      <w:r w:rsidRPr="00460EC6">
        <w:rPr>
          <w:rFonts w:ascii="Times New Roman" w:eastAsia="Calibri" w:hAnsi="Times New Roman" w:cs="Times New Roman"/>
          <w:color w:val="000000" w:themeColor="text1"/>
          <w:kern w:val="0"/>
          <w:sz w:val="24"/>
          <w:szCs w:val="24"/>
          <w:lang w:val="en-US"/>
          <w14:ligatures w14:val="none"/>
        </w:rPr>
        <w:t xml:space="preserve"> in a collaborative process to identify nutritional challenges, recognize growth faltering early, address underlying causes, and develop actionable, family-centered plans to support optimal child growth. By 2023/24, </w:t>
      </w:r>
      <w:r w:rsidRPr="00460EC6">
        <w:rPr>
          <w:rFonts w:ascii="Times New Roman" w:eastAsia="Calibri" w:hAnsi="Times New Roman" w:cs="Times New Roman"/>
          <w:bCs/>
          <w:color w:val="000000" w:themeColor="text1"/>
          <w:kern w:val="0"/>
          <w:sz w:val="24"/>
          <w:szCs w:val="24"/>
          <w:lang w:val="en-US"/>
          <w14:ligatures w14:val="none"/>
        </w:rPr>
        <w:t>66% of children under the age of two</w:t>
      </w:r>
      <w:r w:rsidRPr="00460EC6">
        <w:rPr>
          <w:rFonts w:ascii="Times New Roman" w:eastAsia="Calibri" w:hAnsi="Times New Roman" w:cs="Times New Roman"/>
          <w:color w:val="000000" w:themeColor="text1"/>
          <w:kern w:val="0"/>
          <w:sz w:val="24"/>
          <w:szCs w:val="24"/>
          <w:lang w:val="en-US"/>
          <w14:ligatures w14:val="none"/>
        </w:rPr>
        <w:t xml:space="preserve"> had received </w:t>
      </w:r>
      <w:r w:rsidRPr="00460EC6">
        <w:rPr>
          <w:rFonts w:ascii="Times New Roman" w:eastAsia="Calibri" w:hAnsi="Times New Roman" w:cs="Times New Roman"/>
          <w:bCs/>
          <w:color w:val="000000" w:themeColor="text1"/>
          <w:kern w:val="0"/>
          <w:sz w:val="24"/>
          <w:szCs w:val="24"/>
          <w:lang w:val="en-US"/>
          <w14:ligatures w14:val="none"/>
        </w:rPr>
        <w:t>GMP services</w:t>
      </w:r>
      <w:r w:rsidRPr="00460EC6">
        <w:rPr>
          <w:rFonts w:ascii="Times New Roman" w:eastAsia="Calibri" w:hAnsi="Times New Roman" w:cs="Times New Roman"/>
          <w:color w:val="000000" w:themeColor="text1"/>
          <w:kern w:val="0"/>
          <w:sz w:val="24"/>
          <w:szCs w:val="24"/>
          <w:lang w:val="en-US"/>
          <w14:ligatures w14:val="none"/>
        </w:rPr>
        <w:t xml:space="preserve">. </w:t>
      </w:r>
    </w:p>
    <w:p w14:paraId="68CD040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As a result of the above interventions, both the </w:t>
      </w:r>
      <w:r w:rsidRPr="00460EC6">
        <w:rPr>
          <w:rFonts w:ascii="Times New Roman" w:eastAsia="Calibri" w:hAnsi="Times New Roman" w:cs="Times New Roman"/>
          <w:bCs/>
          <w:color w:val="000000" w:themeColor="text1"/>
          <w:kern w:val="0"/>
          <w:sz w:val="24"/>
          <w:szCs w:val="24"/>
          <w:lang w:val="en-US"/>
          <w14:ligatures w14:val="none"/>
        </w:rPr>
        <w:t>under-five mortality rate</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infant mortality rate</w:t>
      </w:r>
      <w:r w:rsidRPr="00460EC6">
        <w:rPr>
          <w:rFonts w:ascii="Times New Roman" w:eastAsia="Calibri" w:hAnsi="Times New Roman" w:cs="Times New Roman"/>
          <w:color w:val="000000" w:themeColor="text1"/>
          <w:kern w:val="0"/>
          <w:sz w:val="24"/>
          <w:szCs w:val="24"/>
          <w:lang w:val="en-US"/>
          <w14:ligatures w14:val="none"/>
        </w:rPr>
        <w:t xml:space="preserve"> have shown a consistent decline from </w:t>
      </w:r>
      <w:r w:rsidRPr="00460EC6">
        <w:rPr>
          <w:rFonts w:ascii="Times New Roman" w:eastAsia="Calibri" w:hAnsi="Times New Roman" w:cs="Times New Roman"/>
          <w:bCs/>
          <w:color w:val="000000" w:themeColor="text1"/>
          <w:kern w:val="0"/>
          <w:sz w:val="24"/>
          <w:szCs w:val="24"/>
          <w:lang w:val="en-US"/>
          <w14:ligatures w14:val="none"/>
        </w:rPr>
        <w:t>63.1 and 43.6 per 1,000 live births in 2015/16</w:t>
      </w:r>
      <w:r w:rsidRPr="00460EC6">
        <w:rPr>
          <w:rFonts w:ascii="Times New Roman" w:eastAsia="Calibri" w:hAnsi="Times New Roman" w:cs="Times New Roman"/>
          <w:color w:val="000000" w:themeColor="text1"/>
          <w:kern w:val="0"/>
          <w:sz w:val="24"/>
          <w:szCs w:val="24"/>
          <w:lang w:val="en-US"/>
          <w14:ligatures w14:val="none"/>
        </w:rPr>
        <w:t xml:space="preserve">, to </w:t>
      </w:r>
      <w:r w:rsidRPr="00460EC6">
        <w:rPr>
          <w:rFonts w:ascii="Times New Roman" w:eastAsia="Calibri" w:hAnsi="Times New Roman" w:cs="Times New Roman"/>
          <w:bCs/>
          <w:color w:val="000000" w:themeColor="text1"/>
          <w:kern w:val="0"/>
          <w:sz w:val="24"/>
          <w:szCs w:val="24"/>
          <w:lang w:val="en-US"/>
          <w14:ligatures w14:val="none"/>
        </w:rPr>
        <w:t>49.9 and 36 in 2019/20</w:t>
      </w:r>
      <w:r w:rsidRPr="00460EC6">
        <w:rPr>
          <w:rFonts w:ascii="Times New Roman" w:eastAsia="Calibri" w:hAnsi="Times New Roman" w:cs="Times New Roman"/>
          <w:color w:val="000000" w:themeColor="text1"/>
          <w:kern w:val="0"/>
          <w:sz w:val="24"/>
          <w:szCs w:val="24"/>
          <w:lang w:val="en-US"/>
          <w14:ligatures w14:val="none"/>
        </w:rPr>
        <w:t xml:space="preserve">, and further to </w:t>
      </w:r>
      <w:r w:rsidRPr="00460EC6">
        <w:rPr>
          <w:rFonts w:ascii="Times New Roman" w:eastAsia="Calibri" w:hAnsi="Times New Roman" w:cs="Times New Roman"/>
          <w:bCs/>
          <w:color w:val="000000" w:themeColor="text1"/>
          <w:kern w:val="0"/>
          <w:sz w:val="24"/>
          <w:szCs w:val="24"/>
          <w:lang w:val="en-US"/>
          <w14:ligatures w14:val="none"/>
        </w:rPr>
        <w:t>46.2 and 22.9 in 2021/22</w:t>
      </w:r>
      <w:r w:rsidRPr="00460EC6">
        <w:rPr>
          <w:rFonts w:ascii="Times New Roman" w:eastAsia="Calibri" w:hAnsi="Times New Roman" w:cs="Times New Roman"/>
          <w:color w:val="000000" w:themeColor="text1"/>
          <w:kern w:val="0"/>
          <w:sz w:val="24"/>
          <w:szCs w:val="24"/>
          <w:lang w:val="en-US"/>
          <w14:ligatures w14:val="none"/>
        </w:rPr>
        <w:t>, respectively.</w:t>
      </w:r>
    </w:p>
    <w:p w14:paraId="1C2137F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sz w:val="24"/>
          <w:szCs w:val="24"/>
          <w:lang w:val="en-US"/>
        </w:rPr>
        <w:t>Ethiopia has shown development in improving maternal and reproductive health, guided by national and global commitments such as the Millennium Development Goal -5, aiming to reduce maternal mortality by 75% and achieve universal access to reproductive health by 2015.</w:t>
      </w:r>
      <w:r w:rsidRPr="00460EC6">
        <w:rPr>
          <w:rFonts w:ascii="Times New Roman" w:eastAsia="Calibri" w:hAnsi="Times New Roman" w:cs="Times New Roman"/>
          <w:color w:val="000000" w:themeColor="text1"/>
          <w:sz w:val="24"/>
          <w:szCs w:val="24"/>
          <w:lang w:val="en-US"/>
        </w:rPr>
        <w:t xml:space="preserve"> </w:t>
      </w:r>
    </w:p>
    <w:p w14:paraId="416D84D4"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To meet this target, multiple interventions were implemented, including the distribution of essential drugs, medical supplies, and equipment, alongside the deployment of an adequate </w:t>
      </w:r>
      <w:r w:rsidRPr="00460EC6">
        <w:rPr>
          <w:rFonts w:ascii="Times New Roman" w:eastAsia="Calibri" w:hAnsi="Times New Roman" w:cs="Times New Roman"/>
          <w:color w:val="000000" w:themeColor="text1"/>
          <w:sz w:val="24"/>
          <w:szCs w:val="24"/>
          <w:lang w:val="en-US"/>
        </w:rPr>
        <w:lastRenderedPageBreak/>
        <w:t>number of trained health professionals. These efforts aimed to address the delays in seeking appropriate care, reaching emergency obstetric and neonatal care facilities, and receiving timely and adequate care upon arrival.</w:t>
      </w:r>
    </w:p>
    <w:p w14:paraId="218DA165"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A key community-level intervention was the </w:t>
      </w:r>
      <w:r w:rsidRPr="00460EC6">
        <w:rPr>
          <w:rFonts w:ascii="Times New Roman" w:eastAsia="Calibri" w:hAnsi="Times New Roman" w:cs="Times New Roman"/>
          <w:bCs/>
          <w:color w:val="000000" w:themeColor="text1"/>
          <w:sz w:val="24"/>
          <w:szCs w:val="24"/>
          <w:lang w:val="en-US"/>
        </w:rPr>
        <w:t>Health Development Army</w:t>
      </w:r>
      <w:r w:rsidRPr="00460EC6">
        <w:rPr>
          <w:rFonts w:ascii="Times New Roman" w:eastAsia="Calibri" w:hAnsi="Times New Roman" w:cs="Times New Roman"/>
          <w:color w:val="000000" w:themeColor="text1"/>
          <w:sz w:val="24"/>
          <w:szCs w:val="24"/>
          <w:lang w:val="en-US"/>
        </w:rPr>
        <w:t>, a volunteer-based, community mobilization movement working in tandem with the HEP to promote behavioral change and ensure the implementation of all health extension packages, especially those related to maternal and child health.</w:t>
      </w:r>
    </w:p>
    <w:p w14:paraId="51755424"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sz w:val="24"/>
          <w:szCs w:val="24"/>
        </w:rPr>
        <w:t>As a result of the above interventions, significant improvements in maternal health service utilization were observed by 2014/15.</w:t>
      </w:r>
      <w:r w:rsidRPr="00460EC6">
        <w:rPr>
          <w:rFonts w:ascii="Times New Roman" w:eastAsia="Calibri" w:hAnsi="Times New Roman" w:cs="Times New Roman"/>
          <w:color w:val="000000" w:themeColor="text1"/>
          <w:sz w:val="24"/>
          <w:szCs w:val="24"/>
        </w:rPr>
        <w:t xml:space="preserve"> The proportion of pregnant women receiving at least four antenatal care (ANC) visits reached </w:t>
      </w:r>
      <w:r w:rsidRPr="00460EC6">
        <w:rPr>
          <w:rFonts w:ascii="Times New Roman" w:eastAsia="Calibri" w:hAnsi="Times New Roman" w:cs="Times New Roman"/>
          <w:bCs/>
          <w:color w:val="000000" w:themeColor="text1"/>
          <w:sz w:val="24"/>
          <w:szCs w:val="24"/>
        </w:rPr>
        <w:t>67.9%</w:t>
      </w:r>
      <w:r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bCs/>
          <w:color w:val="000000" w:themeColor="text1"/>
          <w:sz w:val="24"/>
          <w:szCs w:val="24"/>
        </w:rPr>
        <w:t>Skilled birth attendance</w:t>
      </w:r>
      <w:r w:rsidRPr="00460EC6">
        <w:rPr>
          <w:rFonts w:ascii="Times New Roman" w:eastAsia="Calibri" w:hAnsi="Times New Roman" w:cs="Times New Roman"/>
          <w:color w:val="000000" w:themeColor="text1"/>
          <w:sz w:val="24"/>
          <w:szCs w:val="24"/>
        </w:rPr>
        <w:t xml:space="preserve"> rose from </w:t>
      </w:r>
      <w:r w:rsidRPr="00460EC6">
        <w:rPr>
          <w:rFonts w:ascii="Times New Roman" w:eastAsia="Calibri" w:hAnsi="Times New Roman" w:cs="Times New Roman"/>
          <w:bCs/>
          <w:color w:val="000000" w:themeColor="text1"/>
          <w:sz w:val="24"/>
          <w:szCs w:val="24"/>
        </w:rPr>
        <w:t>20.45% in 2011/12</w:t>
      </w:r>
      <w:r w:rsidRPr="00460EC6">
        <w:rPr>
          <w:rFonts w:ascii="Times New Roman" w:eastAsia="Calibri" w:hAnsi="Times New Roman" w:cs="Times New Roman"/>
          <w:color w:val="000000" w:themeColor="text1"/>
          <w:sz w:val="24"/>
          <w:szCs w:val="24"/>
        </w:rPr>
        <w:t xml:space="preserve"> to </w:t>
      </w:r>
      <w:r w:rsidRPr="00460EC6">
        <w:rPr>
          <w:rFonts w:ascii="Times New Roman" w:eastAsia="Calibri" w:hAnsi="Times New Roman" w:cs="Times New Roman"/>
          <w:bCs/>
          <w:color w:val="000000" w:themeColor="text1"/>
          <w:sz w:val="24"/>
          <w:szCs w:val="24"/>
        </w:rPr>
        <w:t>60.7% in 2014/15,</w:t>
      </w:r>
      <w:r w:rsidRPr="00460EC6">
        <w:rPr>
          <w:rFonts w:ascii="Times New Roman" w:eastAsia="Calibri" w:hAnsi="Times New Roman" w:cs="Times New Roman"/>
          <w:color w:val="000000" w:themeColor="text1"/>
          <w:sz w:val="24"/>
          <w:szCs w:val="24"/>
        </w:rPr>
        <w:t xml:space="preserve"> while postnatal care (PNC) </w:t>
      </w:r>
      <w:r w:rsidRPr="00460EC6">
        <w:rPr>
          <w:rFonts w:ascii="Times New Roman" w:eastAsia="Calibri" w:hAnsi="Times New Roman" w:cs="Times New Roman"/>
          <w:bCs/>
          <w:color w:val="000000" w:themeColor="text1"/>
          <w:sz w:val="24"/>
          <w:szCs w:val="24"/>
        </w:rPr>
        <w:t>coverage</w:t>
      </w:r>
      <w:r w:rsidRPr="00460EC6">
        <w:rPr>
          <w:rFonts w:ascii="Times New Roman" w:eastAsia="Calibri" w:hAnsi="Times New Roman" w:cs="Times New Roman"/>
          <w:color w:val="000000" w:themeColor="text1"/>
          <w:sz w:val="24"/>
          <w:szCs w:val="24"/>
        </w:rPr>
        <w:t xml:space="preserve"> improved from </w:t>
      </w:r>
      <w:r w:rsidRPr="00460EC6">
        <w:rPr>
          <w:rFonts w:ascii="Times New Roman" w:eastAsia="Calibri" w:hAnsi="Times New Roman" w:cs="Times New Roman"/>
          <w:bCs/>
          <w:color w:val="000000" w:themeColor="text1"/>
          <w:sz w:val="24"/>
          <w:szCs w:val="24"/>
        </w:rPr>
        <w:t>44.5% in 2011/12</w:t>
      </w:r>
      <w:r w:rsidRPr="00460EC6">
        <w:rPr>
          <w:rFonts w:ascii="Times New Roman" w:eastAsia="Calibri" w:hAnsi="Times New Roman" w:cs="Times New Roman"/>
          <w:color w:val="000000" w:themeColor="text1"/>
          <w:sz w:val="24"/>
          <w:szCs w:val="24"/>
        </w:rPr>
        <w:t xml:space="preserve"> to </w:t>
      </w:r>
      <w:r w:rsidRPr="00460EC6">
        <w:rPr>
          <w:rFonts w:ascii="Times New Roman" w:eastAsia="Calibri" w:hAnsi="Times New Roman" w:cs="Times New Roman"/>
          <w:bCs/>
          <w:color w:val="000000" w:themeColor="text1"/>
          <w:sz w:val="24"/>
          <w:szCs w:val="24"/>
        </w:rPr>
        <w:t>90% over the same period. Consequently,</w:t>
      </w:r>
      <w:r w:rsidRPr="00460EC6">
        <w:rPr>
          <w:rFonts w:ascii="Times New Roman" w:eastAsia="Calibri" w:hAnsi="Times New Roman" w:cs="Times New Roman"/>
          <w:color w:val="000000" w:themeColor="text1"/>
          <w:sz w:val="24"/>
          <w:szCs w:val="24"/>
        </w:rPr>
        <w:t xml:space="preserve"> </w:t>
      </w:r>
      <w:r w:rsidRPr="00460EC6">
        <w:rPr>
          <w:rFonts w:ascii="Times New Roman" w:eastAsia="Calibri" w:hAnsi="Times New Roman" w:cs="Times New Roman"/>
          <w:color w:val="000000" w:themeColor="text1"/>
          <w:sz w:val="24"/>
          <w:szCs w:val="24"/>
          <w:lang w:val="en-US"/>
        </w:rPr>
        <w:t>M</w:t>
      </w:r>
      <w:proofErr w:type="spellStart"/>
      <w:r w:rsidRPr="00460EC6">
        <w:rPr>
          <w:rFonts w:ascii="Times New Roman" w:eastAsia="Calibri" w:hAnsi="Times New Roman" w:cs="Times New Roman"/>
          <w:bCs/>
          <w:color w:val="000000" w:themeColor="text1"/>
          <w:sz w:val="24"/>
          <w:szCs w:val="24"/>
        </w:rPr>
        <w:t>aternal</w:t>
      </w:r>
      <w:proofErr w:type="spellEnd"/>
      <w:r w:rsidRPr="00460EC6">
        <w:rPr>
          <w:rFonts w:ascii="Times New Roman" w:eastAsia="Calibri" w:hAnsi="Times New Roman" w:cs="Times New Roman"/>
          <w:bCs/>
          <w:color w:val="000000" w:themeColor="text1"/>
          <w:sz w:val="24"/>
          <w:szCs w:val="24"/>
        </w:rPr>
        <w:t xml:space="preserve"> Mortality Ratio</w:t>
      </w:r>
      <w:r w:rsidRPr="00460EC6">
        <w:rPr>
          <w:rFonts w:ascii="Times New Roman" w:eastAsia="Calibri" w:hAnsi="Times New Roman" w:cs="Times New Roman"/>
          <w:color w:val="000000" w:themeColor="text1"/>
          <w:sz w:val="24"/>
          <w:szCs w:val="24"/>
        </w:rPr>
        <w:t xml:space="preserve"> (MMR) declined, from </w:t>
      </w:r>
      <w:r w:rsidRPr="00460EC6">
        <w:rPr>
          <w:rFonts w:ascii="Times New Roman" w:eastAsia="Calibri" w:hAnsi="Times New Roman" w:cs="Times New Roman"/>
          <w:bCs/>
          <w:color w:val="000000" w:themeColor="text1"/>
          <w:sz w:val="24"/>
          <w:szCs w:val="24"/>
        </w:rPr>
        <w:t>676 deaths per 100,000 live births in 2010/11</w:t>
      </w:r>
      <w:r w:rsidRPr="00460EC6">
        <w:rPr>
          <w:rFonts w:ascii="Times New Roman" w:eastAsia="Calibri" w:hAnsi="Times New Roman" w:cs="Times New Roman"/>
          <w:color w:val="000000" w:themeColor="text1"/>
          <w:sz w:val="24"/>
          <w:szCs w:val="24"/>
        </w:rPr>
        <w:t xml:space="preserve"> to </w:t>
      </w:r>
      <w:r w:rsidRPr="00460EC6">
        <w:rPr>
          <w:rFonts w:ascii="Times New Roman" w:eastAsia="Calibri" w:hAnsi="Times New Roman" w:cs="Times New Roman"/>
          <w:bCs/>
          <w:color w:val="000000" w:themeColor="text1"/>
          <w:sz w:val="24"/>
          <w:szCs w:val="24"/>
        </w:rPr>
        <w:t>353 in 2014/15.</w:t>
      </w:r>
    </w:p>
    <w:p w14:paraId="1D29C89D"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To build on the progress above, the </w:t>
      </w:r>
      <w:r w:rsidRPr="00460EC6">
        <w:rPr>
          <w:rFonts w:ascii="Times New Roman" w:eastAsia="Calibri" w:hAnsi="Times New Roman" w:cs="Times New Roman"/>
          <w:bCs/>
          <w:color w:val="000000" w:themeColor="text1"/>
          <w:sz w:val="24"/>
          <w:szCs w:val="24"/>
          <w:lang w:val="en-US"/>
        </w:rPr>
        <w:t>Second Reproductive Health Strategy (2015/16–2019/20)</w:t>
      </w:r>
      <w:r w:rsidRPr="00460EC6">
        <w:rPr>
          <w:rFonts w:ascii="Times New Roman" w:eastAsia="Calibri" w:hAnsi="Times New Roman" w:cs="Times New Roman"/>
          <w:color w:val="000000" w:themeColor="text1"/>
          <w:sz w:val="24"/>
          <w:szCs w:val="24"/>
          <w:lang w:val="en-US"/>
        </w:rPr>
        <w:t xml:space="preserve"> and the </w:t>
      </w:r>
      <w:r w:rsidRPr="00460EC6">
        <w:rPr>
          <w:rFonts w:ascii="Times New Roman" w:eastAsia="Calibri" w:hAnsi="Times New Roman" w:cs="Times New Roman"/>
          <w:bCs/>
          <w:color w:val="000000" w:themeColor="text1"/>
          <w:sz w:val="24"/>
          <w:szCs w:val="24"/>
          <w:lang w:val="en-US"/>
        </w:rPr>
        <w:t>Third Reproductive Health Strategy (2020/21–2024/25)</w:t>
      </w:r>
      <w:r w:rsidRPr="00460EC6">
        <w:rPr>
          <w:rFonts w:ascii="Times New Roman" w:eastAsia="Calibri" w:hAnsi="Times New Roman" w:cs="Times New Roman"/>
          <w:color w:val="000000" w:themeColor="text1"/>
          <w:sz w:val="24"/>
          <w:szCs w:val="24"/>
          <w:lang w:val="en-US"/>
        </w:rPr>
        <w:t xml:space="preserve"> were implemented, focusing on improving demand, access, and utilization of quality services for family planning, maternal and newborn health, adolescent and youth reproductive health, and the prevention and management of reproductive health problems. </w:t>
      </w:r>
    </w:p>
    <w:p w14:paraId="6701F936"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rPr>
        <w:t xml:space="preserve">By 2023/24, </w:t>
      </w:r>
      <w:r w:rsidRPr="00460EC6">
        <w:rPr>
          <w:rFonts w:ascii="Times New Roman" w:eastAsia="Calibri" w:hAnsi="Times New Roman" w:cs="Times New Roman"/>
          <w:bCs/>
          <w:color w:val="000000" w:themeColor="text1"/>
          <w:sz w:val="24"/>
          <w:szCs w:val="24"/>
        </w:rPr>
        <w:t>78%</w:t>
      </w:r>
      <w:r w:rsidRPr="00460EC6">
        <w:rPr>
          <w:rFonts w:ascii="Times New Roman" w:eastAsia="Calibri" w:hAnsi="Times New Roman" w:cs="Times New Roman"/>
          <w:color w:val="000000" w:themeColor="text1"/>
          <w:sz w:val="24"/>
          <w:szCs w:val="24"/>
        </w:rPr>
        <w:t xml:space="preserve"> of pregnant women attended </w:t>
      </w:r>
      <w:r w:rsidRPr="00460EC6">
        <w:rPr>
          <w:rFonts w:ascii="Times New Roman" w:eastAsia="Calibri" w:hAnsi="Times New Roman" w:cs="Times New Roman"/>
          <w:bCs/>
          <w:color w:val="000000" w:themeColor="text1"/>
          <w:sz w:val="24"/>
          <w:szCs w:val="24"/>
        </w:rPr>
        <w:t>four or more ANC visits</w:t>
      </w:r>
      <w:r w:rsidRPr="00460EC6">
        <w:rPr>
          <w:rFonts w:ascii="Times New Roman" w:eastAsia="Calibri" w:hAnsi="Times New Roman" w:cs="Times New Roman"/>
          <w:color w:val="000000" w:themeColor="text1"/>
          <w:sz w:val="24"/>
          <w:szCs w:val="24"/>
        </w:rPr>
        <w:t xml:space="preserve">, while </w:t>
      </w:r>
      <w:r w:rsidRPr="00460EC6">
        <w:rPr>
          <w:rFonts w:ascii="Times New Roman" w:eastAsia="Calibri" w:hAnsi="Times New Roman" w:cs="Times New Roman"/>
          <w:bCs/>
          <w:color w:val="000000" w:themeColor="text1"/>
          <w:sz w:val="24"/>
          <w:szCs w:val="24"/>
        </w:rPr>
        <w:t>27%</w:t>
      </w:r>
      <w:r w:rsidRPr="00460EC6">
        <w:rPr>
          <w:rFonts w:ascii="Times New Roman" w:eastAsia="Calibri" w:hAnsi="Times New Roman" w:cs="Times New Roman"/>
          <w:color w:val="000000" w:themeColor="text1"/>
          <w:sz w:val="24"/>
          <w:szCs w:val="24"/>
        </w:rPr>
        <w:t xml:space="preserve"> completed </w:t>
      </w:r>
      <w:r w:rsidRPr="00460EC6">
        <w:rPr>
          <w:rFonts w:ascii="Times New Roman" w:eastAsia="Calibri" w:hAnsi="Times New Roman" w:cs="Times New Roman"/>
          <w:bCs/>
          <w:color w:val="000000" w:themeColor="text1"/>
          <w:sz w:val="24"/>
          <w:szCs w:val="24"/>
        </w:rPr>
        <w:t>eight or more</w:t>
      </w:r>
      <w:r w:rsidRPr="00460EC6">
        <w:rPr>
          <w:rFonts w:ascii="Times New Roman" w:eastAsia="Calibri" w:hAnsi="Times New Roman" w:cs="Times New Roman"/>
          <w:color w:val="000000" w:themeColor="text1"/>
          <w:sz w:val="24"/>
          <w:szCs w:val="24"/>
        </w:rPr>
        <w:t xml:space="preserve">. Additionally, the proportion of </w:t>
      </w:r>
      <w:r w:rsidRPr="00460EC6">
        <w:rPr>
          <w:rFonts w:ascii="Times New Roman" w:eastAsia="Calibri" w:hAnsi="Times New Roman" w:cs="Times New Roman"/>
          <w:bCs/>
          <w:color w:val="000000" w:themeColor="text1"/>
          <w:sz w:val="24"/>
          <w:szCs w:val="24"/>
        </w:rPr>
        <w:t>deliveries assisted by skilled health personnel</w:t>
      </w:r>
      <w:r w:rsidRPr="00460EC6">
        <w:rPr>
          <w:rFonts w:ascii="Times New Roman" w:eastAsia="Calibri" w:hAnsi="Times New Roman" w:cs="Times New Roman"/>
          <w:color w:val="000000" w:themeColor="text1"/>
          <w:sz w:val="24"/>
          <w:szCs w:val="24"/>
        </w:rPr>
        <w:t xml:space="preserve"> increased from </w:t>
      </w:r>
      <w:r w:rsidRPr="00460EC6">
        <w:rPr>
          <w:rFonts w:ascii="Times New Roman" w:eastAsia="Calibri" w:hAnsi="Times New Roman" w:cs="Times New Roman"/>
          <w:bCs/>
          <w:color w:val="000000" w:themeColor="text1"/>
          <w:sz w:val="24"/>
          <w:szCs w:val="24"/>
        </w:rPr>
        <w:t>63% in 2019/20</w:t>
      </w:r>
      <w:r w:rsidRPr="00460EC6">
        <w:rPr>
          <w:rFonts w:ascii="Times New Roman" w:eastAsia="Calibri" w:hAnsi="Times New Roman" w:cs="Times New Roman"/>
          <w:color w:val="000000" w:themeColor="text1"/>
          <w:sz w:val="24"/>
          <w:szCs w:val="24"/>
        </w:rPr>
        <w:t xml:space="preserve"> to </w:t>
      </w:r>
      <w:r w:rsidRPr="00460EC6">
        <w:rPr>
          <w:rFonts w:ascii="Times New Roman" w:eastAsia="Calibri" w:hAnsi="Times New Roman" w:cs="Times New Roman"/>
          <w:bCs/>
          <w:color w:val="000000" w:themeColor="text1"/>
          <w:sz w:val="24"/>
          <w:szCs w:val="24"/>
        </w:rPr>
        <w:t>74% in 2023/24</w:t>
      </w:r>
      <w:r w:rsidRPr="00460EC6">
        <w:rPr>
          <w:rFonts w:ascii="Times New Roman" w:eastAsia="Calibri" w:hAnsi="Times New Roman" w:cs="Times New Roman"/>
          <w:color w:val="000000" w:themeColor="text1"/>
          <w:sz w:val="24"/>
          <w:szCs w:val="24"/>
        </w:rPr>
        <w:t xml:space="preserve">, while </w:t>
      </w:r>
      <w:r w:rsidRPr="00460EC6">
        <w:rPr>
          <w:rFonts w:ascii="Times New Roman" w:eastAsia="Calibri" w:hAnsi="Times New Roman" w:cs="Times New Roman"/>
          <w:bCs/>
          <w:color w:val="000000" w:themeColor="text1"/>
          <w:sz w:val="24"/>
          <w:szCs w:val="24"/>
        </w:rPr>
        <w:t>PNC coverage</w:t>
      </w:r>
      <w:r w:rsidRPr="00460EC6">
        <w:rPr>
          <w:rFonts w:ascii="Times New Roman" w:eastAsia="Calibri" w:hAnsi="Times New Roman" w:cs="Times New Roman"/>
          <w:color w:val="000000" w:themeColor="text1"/>
          <w:sz w:val="24"/>
          <w:szCs w:val="24"/>
        </w:rPr>
        <w:t xml:space="preserve"> rose from </w:t>
      </w:r>
      <w:r w:rsidRPr="00460EC6">
        <w:rPr>
          <w:rFonts w:ascii="Times New Roman" w:eastAsia="Calibri" w:hAnsi="Times New Roman" w:cs="Times New Roman"/>
          <w:bCs/>
          <w:color w:val="000000" w:themeColor="text1"/>
          <w:sz w:val="24"/>
          <w:szCs w:val="24"/>
        </w:rPr>
        <w:t>83% to 89%</w:t>
      </w:r>
      <w:r w:rsidRPr="00460EC6">
        <w:rPr>
          <w:rFonts w:ascii="Times New Roman" w:eastAsia="Calibri" w:hAnsi="Times New Roman" w:cs="Times New Roman"/>
          <w:color w:val="000000" w:themeColor="text1"/>
          <w:sz w:val="24"/>
          <w:szCs w:val="24"/>
        </w:rPr>
        <w:t xml:space="preserve"> over the same period. As a result, </w:t>
      </w:r>
      <w:r w:rsidRPr="00460EC6">
        <w:rPr>
          <w:rFonts w:ascii="Times New Roman" w:eastAsia="Calibri" w:hAnsi="Times New Roman" w:cs="Times New Roman"/>
          <w:bCs/>
          <w:color w:val="000000" w:themeColor="text1"/>
          <w:sz w:val="24"/>
          <w:szCs w:val="24"/>
        </w:rPr>
        <w:t>MMR</w:t>
      </w:r>
      <w:r w:rsidRPr="00460EC6">
        <w:rPr>
          <w:rFonts w:ascii="Times New Roman" w:eastAsia="Calibri" w:hAnsi="Times New Roman" w:cs="Times New Roman"/>
          <w:color w:val="000000" w:themeColor="text1"/>
          <w:sz w:val="24"/>
          <w:szCs w:val="24"/>
        </w:rPr>
        <w:t xml:space="preserve"> declined further from </w:t>
      </w:r>
      <w:r w:rsidRPr="00460EC6">
        <w:rPr>
          <w:rFonts w:ascii="Times New Roman" w:eastAsia="Calibri" w:hAnsi="Times New Roman" w:cs="Times New Roman"/>
          <w:bCs/>
          <w:color w:val="000000" w:themeColor="text1"/>
          <w:sz w:val="24"/>
          <w:szCs w:val="24"/>
        </w:rPr>
        <w:t>267 deaths per 100,000 live births in 2019/20</w:t>
      </w:r>
      <w:r w:rsidRPr="00460EC6">
        <w:rPr>
          <w:rFonts w:ascii="Times New Roman" w:eastAsia="Calibri" w:hAnsi="Times New Roman" w:cs="Times New Roman"/>
          <w:color w:val="000000" w:themeColor="text1"/>
          <w:sz w:val="24"/>
          <w:szCs w:val="24"/>
        </w:rPr>
        <w:t xml:space="preserve"> to </w:t>
      </w:r>
      <w:r w:rsidRPr="00460EC6">
        <w:rPr>
          <w:rFonts w:ascii="Times New Roman" w:eastAsia="Calibri" w:hAnsi="Times New Roman" w:cs="Times New Roman"/>
          <w:bCs/>
          <w:color w:val="000000" w:themeColor="text1"/>
          <w:sz w:val="24"/>
          <w:szCs w:val="24"/>
        </w:rPr>
        <w:t>195 in 2022/23.</w:t>
      </w:r>
    </w:p>
    <w:p w14:paraId="51C28613"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sz w:val="24"/>
          <w:szCs w:val="24"/>
          <w:lang w:val="en-US"/>
        </w:rPr>
        <w:t>Family planning services</w:t>
      </w:r>
      <w:r w:rsidRPr="00460EC6">
        <w:rPr>
          <w:rFonts w:ascii="Times New Roman" w:eastAsia="Calibri" w:hAnsi="Times New Roman" w:cs="Times New Roman"/>
          <w:color w:val="000000" w:themeColor="text1"/>
          <w:sz w:val="24"/>
          <w:szCs w:val="24"/>
          <w:lang w:val="en-US"/>
        </w:rPr>
        <w:t xml:space="preserve"> are now available in nearly all public health facilities, </w:t>
      </w:r>
      <w:r w:rsidRPr="00460EC6">
        <w:rPr>
          <w:rFonts w:ascii="Times New Roman" w:eastAsia="Calibri" w:hAnsi="Times New Roman" w:cs="Times New Roman"/>
          <w:bCs/>
          <w:color w:val="000000" w:themeColor="text1"/>
          <w:sz w:val="24"/>
          <w:szCs w:val="24"/>
          <w:lang w:val="en-US"/>
        </w:rPr>
        <w:t>99% of health centers</w:t>
      </w:r>
      <w:r w:rsidRPr="00460EC6">
        <w:rPr>
          <w:rFonts w:ascii="Times New Roman" w:eastAsia="Calibri" w:hAnsi="Times New Roman" w:cs="Times New Roman"/>
          <w:color w:val="000000" w:themeColor="text1"/>
          <w:sz w:val="24"/>
          <w:szCs w:val="24"/>
          <w:lang w:val="en-US"/>
        </w:rPr>
        <w:t xml:space="preserve"> and </w:t>
      </w:r>
      <w:r w:rsidRPr="00460EC6">
        <w:rPr>
          <w:rFonts w:ascii="Times New Roman" w:eastAsia="Calibri" w:hAnsi="Times New Roman" w:cs="Times New Roman"/>
          <w:bCs/>
          <w:color w:val="000000" w:themeColor="text1"/>
          <w:sz w:val="24"/>
          <w:szCs w:val="24"/>
          <w:lang w:val="en-US"/>
        </w:rPr>
        <w:t>over 93% of general and referral hospitals</w:t>
      </w:r>
      <w:r w:rsidRPr="00460EC6">
        <w:rPr>
          <w:rFonts w:ascii="Times New Roman" w:eastAsia="Calibri" w:hAnsi="Times New Roman" w:cs="Times New Roman"/>
          <w:color w:val="000000" w:themeColor="text1"/>
          <w:sz w:val="24"/>
          <w:szCs w:val="24"/>
          <w:lang w:val="en-US"/>
        </w:rPr>
        <w:t xml:space="preserve">. A </w:t>
      </w:r>
      <w:r w:rsidRPr="00460EC6">
        <w:rPr>
          <w:rFonts w:ascii="Times New Roman" w:eastAsia="Calibri" w:hAnsi="Times New Roman" w:cs="Times New Roman"/>
          <w:bCs/>
          <w:color w:val="000000" w:themeColor="text1"/>
          <w:sz w:val="24"/>
          <w:szCs w:val="24"/>
          <w:lang w:val="en-US"/>
        </w:rPr>
        <w:t>Family Planning Service Integration Guideline</w:t>
      </w:r>
      <w:r w:rsidRPr="00460EC6">
        <w:rPr>
          <w:rFonts w:ascii="Times New Roman" w:eastAsia="Calibri" w:hAnsi="Times New Roman" w:cs="Times New Roman"/>
          <w:color w:val="000000" w:themeColor="text1"/>
          <w:sz w:val="24"/>
          <w:szCs w:val="24"/>
          <w:lang w:val="en-US"/>
        </w:rPr>
        <w:t xml:space="preserve"> was developed to link family planning with other reproductive health services. In 2023/24, the </w:t>
      </w:r>
      <w:r w:rsidRPr="00460EC6">
        <w:rPr>
          <w:rFonts w:ascii="Times New Roman" w:eastAsia="Calibri" w:hAnsi="Times New Roman" w:cs="Times New Roman"/>
          <w:bCs/>
          <w:color w:val="000000" w:themeColor="text1"/>
          <w:sz w:val="24"/>
          <w:szCs w:val="24"/>
          <w:lang w:val="en-US"/>
        </w:rPr>
        <w:t>contraceptive acceptance rate</w:t>
      </w:r>
      <w:r w:rsidRPr="00460EC6">
        <w:rPr>
          <w:rFonts w:ascii="Times New Roman" w:eastAsia="Calibri" w:hAnsi="Times New Roman" w:cs="Times New Roman"/>
          <w:color w:val="000000" w:themeColor="text1"/>
          <w:sz w:val="24"/>
          <w:szCs w:val="24"/>
          <w:lang w:val="en-US"/>
        </w:rPr>
        <w:t xml:space="preserve"> increased to </w:t>
      </w:r>
      <w:r w:rsidRPr="00460EC6">
        <w:rPr>
          <w:rFonts w:ascii="Times New Roman" w:eastAsia="Calibri" w:hAnsi="Times New Roman" w:cs="Times New Roman"/>
          <w:bCs/>
          <w:color w:val="000000" w:themeColor="text1"/>
          <w:sz w:val="24"/>
          <w:szCs w:val="24"/>
          <w:lang w:val="en-US"/>
        </w:rPr>
        <w:t>75%, up from 69% in 2019/20</w:t>
      </w:r>
      <w:r w:rsidRPr="00460EC6">
        <w:rPr>
          <w:rFonts w:ascii="Times New Roman" w:eastAsia="Calibri" w:hAnsi="Times New Roman" w:cs="Times New Roman"/>
          <w:color w:val="000000" w:themeColor="text1"/>
          <w:sz w:val="24"/>
          <w:szCs w:val="24"/>
          <w:lang w:val="en-US"/>
        </w:rPr>
        <w:t>.</w:t>
      </w:r>
    </w:p>
    <w:p w14:paraId="2E9E719A"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sz w:val="24"/>
          <w:szCs w:val="24"/>
          <w:lang w:val="en-US"/>
        </w:rPr>
        <w:t>Access to comprehensive abortion care services</w:t>
      </w:r>
      <w:r w:rsidRPr="00460EC6">
        <w:rPr>
          <w:rFonts w:ascii="Times New Roman" w:eastAsia="Calibri" w:hAnsi="Times New Roman" w:cs="Times New Roman"/>
          <w:color w:val="000000" w:themeColor="text1"/>
          <w:sz w:val="24"/>
          <w:szCs w:val="24"/>
          <w:lang w:val="en-US"/>
        </w:rPr>
        <w:t xml:space="preserve"> has also expanded, contributing to a reduction in maternal mortality from unsafe abortions. Interventions included task shifting to mid-level providers, expansion of service availability at nearby health facilities, and </w:t>
      </w:r>
      <w:r w:rsidRPr="00460EC6">
        <w:rPr>
          <w:rFonts w:ascii="Times New Roman" w:eastAsia="Calibri" w:hAnsi="Times New Roman" w:cs="Times New Roman"/>
          <w:color w:val="000000" w:themeColor="text1"/>
          <w:sz w:val="24"/>
          <w:szCs w:val="24"/>
          <w:lang w:val="en-US"/>
        </w:rPr>
        <w:lastRenderedPageBreak/>
        <w:t xml:space="preserve">reforms to the national abortion law. In 2023/24, </w:t>
      </w:r>
      <w:r w:rsidRPr="00460EC6">
        <w:rPr>
          <w:rFonts w:ascii="Times New Roman" w:eastAsia="Calibri" w:hAnsi="Times New Roman" w:cs="Times New Roman"/>
          <w:bCs/>
          <w:color w:val="000000" w:themeColor="text1"/>
          <w:sz w:val="24"/>
          <w:szCs w:val="24"/>
          <w:lang w:val="en-US"/>
        </w:rPr>
        <w:t>270,340 women received comprehensive abortion care</w:t>
      </w:r>
      <w:r w:rsidRPr="00460EC6">
        <w:rPr>
          <w:rFonts w:ascii="Times New Roman" w:eastAsia="Calibri" w:hAnsi="Times New Roman" w:cs="Times New Roman"/>
          <w:color w:val="000000" w:themeColor="text1"/>
          <w:sz w:val="24"/>
          <w:szCs w:val="24"/>
          <w:lang w:val="en-US"/>
        </w:rPr>
        <w:t xml:space="preserve">, with </w:t>
      </w:r>
      <w:r w:rsidRPr="00460EC6">
        <w:rPr>
          <w:rFonts w:ascii="Times New Roman" w:eastAsia="Calibri" w:hAnsi="Times New Roman" w:cs="Times New Roman"/>
          <w:bCs/>
          <w:color w:val="000000" w:themeColor="text1"/>
          <w:sz w:val="24"/>
          <w:szCs w:val="24"/>
          <w:lang w:val="en-US"/>
        </w:rPr>
        <w:t>53% receiving safe abortion services</w:t>
      </w:r>
      <w:r w:rsidRPr="00460EC6">
        <w:rPr>
          <w:rFonts w:ascii="Times New Roman" w:eastAsia="Calibri" w:hAnsi="Times New Roman" w:cs="Times New Roman"/>
          <w:color w:val="000000" w:themeColor="text1"/>
          <w:sz w:val="24"/>
          <w:szCs w:val="24"/>
          <w:lang w:val="en-US"/>
        </w:rPr>
        <w:t xml:space="preserve"> and </w:t>
      </w:r>
      <w:r w:rsidRPr="00460EC6">
        <w:rPr>
          <w:rFonts w:ascii="Times New Roman" w:eastAsia="Calibri" w:hAnsi="Times New Roman" w:cs="Times New Roman"/>
          <w:bCs/>
          <w:color w:val="000000" w:themeColor="text1"/>
          <w:sz w:val="24"/>
          <w:szCs w:val="24"/>
          <w:lang w:val="en-US"/>
        </w:rPr>
        <w:t>47% receiving post-abortion emergency care</w:t>
      </w:r>
      <w:r w:rsidRPr="00460EC6">
        <w:rPr>
          <w:rFonts w:ascii="Times New Roman" w:eastAsia="Calibri" w:hAnsi="Times New Roman" w:cs="Times New Roman"/>
          <w:color w:val="000000" w:themeColor="text1"/>
          <w:sz w:val="24"/>
          <w:szCs w:val="24"/>
          <w:lang w:val="en-US"/>
        </w:rPr>
        <w:t>.</w:t>
      </w:r>
    </w:p>
    <w:p w14:paraId="0F78ED9A"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To prevent vertical transmission of communicable diseases, the </w:t>
      </w:r>
      <w:proofErr w:type="spellStart"/>
      <w:r w:rsidRPr="00460EC6">
        <w:rPr>
          <w:rFonts w:ascii="Times New Roman" w:eastAsia="Calibri" w:hAnsi="Times New Roman" w:cs="Times New Roman"/>
          <w:color w:val="000000" w:themeColor="text1"/>
          <w:sz w:val="24"/>
          <w:szCs w:val="24"/>
          <w:lang w:val="en-US"/>
        </w:rPr>
        <w:t>GoE</w:t>
      </w:r>
      <w:proofErr w:type="spellEnd"/>
      <w:r w:rsidRPr="00460EC6">
        <w:rPr>
          <w:rFonts w:ascii="Times New Roman" w:eastAsia="Calibri" w:hAnsi="Times New Roman" w:cs="Times New Roman"/>
          <w:color w:val="000000" w:themeColor="text1"/>
          <w:sz w:val="24"/>
          <w:szCs w:val="24"/>
          <w:lang w:val="en-US"/>
        </w:rPr>
        <w:t xml:space="preserve"> implemented a </w:t>
      </w:r>
      <w:r w:rsidRPr="00460EC6">
        <w:rPr>
          <w:rFonts w:ascii="Times New Roman" w:eastAsia="Calibri" w:hAnsi="Times New Roman" w:cs="Times New Roman"/>
          <w:bCs/>
          <w:color w:val="000000" w:themeColor="text1"/>
          <w:sz w:val="24"/>
          <w:szCs w:val="24"/>
          <w:lang w:val="en-US"/>
        </w:rPr>
        <w:t>Triple Elimination Initiative</w:t>
      </w:r>
      <w:r w:rsidRPr="00460EC6">
        <w:rPr>
          <w:rFonts w:ascii="Times New Roman" w:eastAsia="Calibri" w:hAnsi="Times New Roman" w:cs="Times New Roman"/>
          <w:color w:val="000000" w:themeColor="text1"/>
          <w:sz w:val="24"/>
          <w:szCs w:val="24"/>
          <w:lang w:val="en-US"/>
        </w:rPr>
        <w:t xml:space="preserve"> targeting </w:t>
      </w:r>
      <w:r w:rsidRPr="00460EC6">
        <w:rPr>
          <w:rFonts w:ascii="Times New Roman" w:eastAsia="Calibri" w:hAnsi="Times New Roman" w:cs="Times New Roman"/>
          <w:bCs/>
          <w:color w:val="000000" w:themeColor="text1"/>
          <w:sz w:val="24"/>
          <w:szCs w:val="24"/>
          <w:lang w:val="en-US"/>
        </w:rPr>
        <w:t>HIV, syphilis, and hepatitis B</w:t>
      </w:r>
      <w:r w:rsidRPr="00460EC6">
        <w:rPr>
          <w:rFonts w:ascii="Times New Roman" w:eastAsia="Calibri" w:hAnsi="Times New Roman" w:cs="Times New Roman"/>
          <w:color w:val="000000" w:themeColor="text1"/>
          <w:sz w:val="24"/>
          <w:szCs w:val="24"/>
          <w:lang w:val="en-US"/>
        </w:rPr>
        <w:t xml:space="preserve"> among pregnant and lactating women. This includes routine testing and targeted treatment to prevent mother-to-child transmission. </w:t>
      </w:r>
    </w:p>
    <w:p w14:paraId="2D3FD974" w14:textId="31ECCCEC"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In 2023/24, 84% of HIV positive pregnant and lactating women received ART raising form 62% in 2015/16</w:t>
      </w:r>
      <w:r w:rsidR="00292106" w:rsidRPr="00460EC6">
        <w:rPr>
          <w:rFonts w:ascii="Times New Roman" w:eastAsia="Calibri" w:hAnsi="Times New Roman" w:cs="Times New Roman"/>
          <w:color w:val="000000" w:themeColor="text1"/>
          <w:sz w:val="24"/>
          <w:szCs w:val="24"/>
          <w:lang w:val="en-US"/>
        </w:rPr>
        <w:t>,</w:t>
      </w:r>
      <w:r w:rsidRPr="00460EC6">
        <w:rPr>
          <w:rFonts w:ascii="Times New Roman" w:eastAsia="Calibri" w:hAnsi="Times New Roman" w:cs="Times New Roman"/>
          <w:color w:val="000000" w:themeColor="text1"/>
          <w:sz w:val="24"/>
          <w:szCs w:val="24"/>
          <w:lang w:val="en-US"/>
        </w:rPr>
        <w:t xml:space="preserve"> and 65% of HIV exposed infants received ARV prophylaxis for 12 weeks to reduce the risk of vertical transmission of HIV.  </w:t>
      </w:r>
    </w:p>
    <w:p w14:paraId="05860CF0"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r w:rsidRPr="00460EC6">
        <w:rPr>
          <w:rFonts w:ascii="Times New Roman" w:eastAsia="Calibri" w:hAnsi="Times New Roman" w:cs="Times New Roman"/>
          <w:bCs/>
          <w:color w:val="000000" w:themeColor="text1"/>
          <w:kern w:val="0"/>
          <w:sz w:val="24"/>
          <w:szCs w:val="24"/>
          <w:lang w:val="en-US"/>
          <w14:ligatures w14:val="none"/>
        </w:rPr>
        <w:t>One WASH National Program</w:t>
      </w:r>
      <w:r w:rsidRPr="00460EC6">
        <w:rPr>
          <w:rFonts w:ascii="Times New Roman" w:eastAsia="Calibri" w:hAnsi="Times New Roman" w:cs="Times New Roman"/>
          <w:color w:val="000000" w:themeColor="text1"/>
          <w:kern w:val="0"/>
          <w:sz w:val="24"/>
          <w:szCs w:val="24"/>
          <w:lang w:val="en-US"/>
          <w14:ligatures w14:val="none"/>
        </w:rPr>
        <w:t xml:space="preserve">, a comprehensive inter-sectoral initiative launched in 2013, aimed at improving the health and well-being of communities in both rural and urban areas focusing on increasing equitable and sustainable access to </w:t>
      </w:r>
      <w:r w:rsidRPr="00460EC6">
        <w:rPr>
          <w:rFonts w:ascii="Times New Roman" w:eastAsia="Calibri" w:hAnsi="Times New Roman" w:cs="Times New Roman"/>
          <w:bCs/>
          <w:color w:val="000000" w:themeColor="text1"/>
          <w:kern w:val="0"/>
          <w:sz w:val="24"/>
          <w:szCs w:val="24"/>
          <w:lang w:val="en-US"/>
          <w14:ligatures w14:val="none"/>
        </w:rPr>
        <w:t>water supply</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sanitation</w:t>
      </w:r>
      <w:r w:rsidRPr="00460EC6">
        <w:rPr>
          <w:rFonts w:ascii="Times New Roman" w:eastAsia="Calibri" w:hAnsi="Times New Roman" w:cs="Times New Roman"/>
          <w:color w:val="000000" w:themeColor="text1"/>
          <w:kern w:val="0"/>
          <w:sz w:val="24"/>
          <w:szCs w:val="24"/>
          <w:lang w:val="en-US"/>
          <w14:ligatures w14:val="none"/>
        </w:rPr>
        <w:t xml:space="preserve">, and the </w:t>
      </w:r>
      <w:r w:rsidRPr="00460EC6">
        <w:rPr>
          <w:rFonts w:ascii="Times New Roman" w:eastAsia="Calibri" w:hAnsi="Times New Roman" w:cs="Times New Roman"/>
          <w:bCs/>
          <w:color w:val="000000" w:themeColor="text1"/>
          <w:kern w:val="0"/>
          <w:sz w:val="24"/>
          <w:szCs w:val="24"/>
          <w:lang w:val="en-US"/>
          <w14:ligatures w14:val="none"/>
        </w:rPr>
        <w:t>adoption of good hygiene practices</w:t>
      </w:r>
      <w:r w:rsidRPr="00460EC6">
        <w:rPr>
          <w:rFonts w:ascii="Times New Roman" w:eastAsia="Calibri" w:hAnsi="Times New Roman" w:cs="Times New Roman"/>
          <w:color w:val="000000" w:themeColor="text1"/>
          <w:kern w:val="0"/>
          <w:sz w:val="24"/>
          <w:szCs w:val="24"/>
          <w:lang w:val="en-US"/>
          <w14:ligatures w14:val="none"/>
        </w:rPr>
        <w:t>.</w:t>
      </w:r>
    </w:p>
    <w:p w14:paraId="02AB05D8"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14:ligatures w14:val="none"/>
        </w:rPr>
        <w:t>During Phase I of the program (2012/13–2018/19),</w:t>
      </w:r>
      <w:r w:rsidRPr="00460EC6">
        <w:rPr>
          <w:rFonts w:ascii="Times New Roman" w:eastAsia="Calibri" w:hAnsi="Times New Roman" w:cs="Times New Roman"/>
          <w:color w:val="000000" w:themeColor="text1"/>
          <w:kern w:val="0"/>
          <w:sz w:val="24"/>
          <w:szCs w:val="24"/>
          <w14:ligatures w14:val="none"/>
        </w:rPr>
        <w:t xml:space="preserve"> </w:t>
      </w:r>
      <w:r w:rsidRPr="00460EC6">
        <w:rPr>
          <w:rFonts w:ascii="Times New Roman" w:eastAsia="Calibri" w:hAnsi="Times New Roman" w:cs="Times New Roman"/>
          <w:bCs/>
          <w:color w:val="000000" w:themeColor="text1"/>
          <w:kern w:val="0"/>
          <w:sz w:val="24"/>
          <w:szCs w:val="24"/>
          <w14:ligatures w14:val="none"/>
        </w:rPr>
        <w:t>34%</w:t>
      </w:r>
      <w:r w:rsidRPr="00460EC6">
        <w:rPr>
          <w:rFonts w:ascii="Times New Roman" w:eastAsia="Calibri" w:hAnsi="Times New Roman" w:cs="Times New Roman"/>
          <w:color w:val="000000" w:themeColor="text1"/>
          <w:kern w:val="0"/>
          <w:sz w:val="24"/>
          <w:szCs w:val="24"/>
          <w14:ligatures w14:val="none"/>
        </w:rPr>
        <w:t xml:space="preserve"> of health facilities gained access to an </w:t>
      </w:r>
      <w:r w:rsidRPr="00460EC6">
        <w:rPr>
          <w:rFonts w:ascii="Times New Roman" w:eastAsia="Calibri" w:hAnsi="Times New Roman" w:cs="Times New Roman"/>
          <w:bCs/>
          <w:color w:val="000000" w:themeColor="text1"/>
          <w:kern w:val="0"/>
          <w:sz w:val="24"/>
          <w:szCs w:val="24"/>
          <w14:ligatures w14:val="none"/>
        </w:rPr>
        <w:t>improved water source</w:t>
      </w:r>
      <w:r w:rsidRPr="00460EC6">
        <w:rPr>
          <w:rFonts w:ascii="Times New Roman" w:eastAsia="Calibri" w:hAnsi="Times New Roman" w:cs="Times New Roman"/>
          <w:color w:val="000000" w:themeColor="text1"/>
          <w:kern w:val="0"/>
          <w:sz w:val="24"/>
          <w:szCs w:val="24"/>
          <w14:ligatures w14:val="none"/>
        </w:rPr>
        <w:t xml:space="preserve">, </w:t>
      </w:r>
      <w:r w:rsidRPr="00460EC6">
        <w:rPr>
          <w:rFonts w:ascii="Times New Roman" w:eastAsia="Calibri" w:hAnsi="Times New Roman" w:cs="Times New Roman"/>
          <w:bCs/>
          <w:color w:val="000000" w:themeColor="text1"/>
          <w:kern w:val="0"/>
          <w:sz w:val="24"/>
          <w:szCs w:val="24"/>
          <w14:ligatures w14:val="none"/>
        </w:rPr>
        <w:t>61%</w:t>
      </w:r>
      <w:r w:rsidRPr="00460EC6">
        <w:rPr>
          <w:rFonts w:ascii="Times New Roman" w:eastAsia="Calibri" w:hAnsi="Times New Roman" w:cs="Times New Roman"/>
          <w:color w:val="000000" w:themeColor="text1"/>
          <w:kern w:val="0"/>
          <w:sz w:val="24"/>
          <w:szCs w:val="24"/>
          <w14:ligatures w14:val="none"/>
        </w:rPr>
        <w:t xml:space="preserve"> had </w:t>
      </w:r>
      <w:r w:rsidRPr="00460EC6">
        <w:rPr>
          <w:rFonts w:ascii="Times New Roman" w:eastAsia="Calibri" w:hAnsi="Times New Roman" w:cs="Times New Roman"/>
          <w:bCs/>
          <w:color w:val="000000" w:themeColor="text1"/>
          <w:kern w:val="0"/>
          <w:sz w:val="24"/>
          <w:szCs w:val="24"/>
          <w14:ligatures w14:val="none"/>
        </w:rPr>
        <w:t>improved sanitation facilities</w:t>
      </w:r>
      <w:r w:rsidRPr="00460EC6">
        <w:rPr>
          <w:rFonts w:ascii="Times New Roman" w:eastAsia="Calibri" w:hAnsi="Times New Roman" w:cs="Times New Roman"/>
          <w:color w:val="000000" w:themeColor="text1"/>
          <w:kern w:val="0"/>
          <w:sz w:val="24"/>
          <w:szCs w:val="24"/>
          <w14:ligatures w14:val="none"/>
        </w:rPr>
        <w:t xml:space="preserve">, and </w:t>
      </w:r>
      <w:r w:rsidRPr="00460EC6">
        <w:rPr>
          <w:rFonts w:ascii="Times New Roman" w:eastAsia="Calibri" w:hAnsi="Times New Roman" w:cs="Times New Roman"/>
          <w:bCs/>
          <w:color w:val="000000" w:themeColor="text1"/>
          <w:kern w:val="0"/>
          <w:sz w:val="24"/>
          <w:szCs w:val="24"/>
          <w14:ligatures w14:val="none"/>
        </w:rPr>
        <w:t>52%</w:t>
      </w:r>
      <w:r w:rsidRPr="00460EC6">
        <w:rPr>
          <w:rFonts w:ascii="Times New Roman" w:eastAsia="Calibri" w:hAnsi="Times New Roman" w:cs="Times New Roman"/>
          <w:color w:val="000000" w:themeColor="text1"/>
          <w:kern w:val="0"/>
          <w:sz w:val="24"/>
          <w:szCs w:val="24"/>
          <w14:ligatures w14:val="none"/>
        </w:rPr>
        <w:t xml:space="preserve"> had established systems for a </w:t>
      </w:r>
      <w:r w:rsidRPr="00460EC6">
        <w:rPr>
          <w:rFonts w:ascii="Times New Roman" w:eastAsia="Calibri" w:hAnsi="Times New Roman" w:cs="Times New Roman"/>
          <w:bCs/>
          <w:color w:val="000000" w:themeColor="text1"/>
          <w:kern w:val="0"/>
          <w:sz w:val="24"/>
          <w:szCs w:val="24"/>
          <w14:ligatures w14:val="none"/>
        </w:rPr>
        <w:t>safe disposal of infectious waste</w:t>
      </w:r>
      <w:r w:rsidRPr="00460EC6">
        <w:rPr>
          <w:rFonts w:ascii="Times New Roman" w:eastAsia="Calibri" w:hAnsi="Times New Roman" w:cs="Times New Roman"/>
          <w:color w:val="000000" w:themeColor="text1"/>
          <w:kern w:val="0"/>
          <w:sz w:val="24"/>
          <w:szCs w:val="24"/>
          <w14:ligatures w14:val="none"/>
        </w:rPr>
        <w:t>.</w:t>
      </w:r>
    </w:p>
    <w:p w14:paraId="760BDAD9"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By the end of </w:t>
      </w:r>
      <w:r w:rsidRPr="00460EC6">
        <w:rPr>
          <w:rFonts w:ascii="Times New Roman" w:eastAsia="Calibri" w:hAnsi="Times New Roman" w:cs="Times New Roman"/>
          <w:bCs/>
          <w:color w:val="000000" w:themeColor="text1"/>
          <w:kern w:val="0"/>
          <w:sz w:val="24"/>
          <w:szCs w:val="24"/>
          <w:lang w:val="en-US"/>
          <w14:ligatures w14:val="none"/>
        </w:rPr>
        <w:t>Phase II</w:t>
      </w:r>
      <w:r w:rsidRPr="00460EC6">
        <w:rPr>
          <w:rFonts w:ascii="Times New Roman" w:eastAsia="Calibri" w:hAnsi="Times New Roman" w:cs="Times New Roman"/>
          <w:color w:val="000000" w:themeColor="text1"/>
          <w:kern w:val="0"/>
          <w:sz w:val="24"/>
          <w:szCs w:val="24"/>
          <w:lang w:val="en-US"/>
          <w14:ligatures w14:val="none"/>
        </w:rPr>
        <w:t xml:space="preserve"> in </w:t>
      </w:r>
      <w:r w:rsidRPr="00460EC6">
        <w:rPr>
          <w:rFonts w:ascii="Times New Roman" w:eastAsia="Calibri" w:hAnsi="Times New Roman" w:cs="Times New Roman"/>
          <w:bCs/>
          <w:color w:val="000000" w:themeColor="text1"/>
          <w:kern w:val="0"/>
          <w:sz w:val="24"/>
          <w:szCs w:val="24"/>
          <w:lang w:val="en-US"/>
          <w14:ligatures w14:val="none"/>
        </w:rPr>
        <w:t>2023/24</w:t>
      </w:r>
      <w:r w:rsidRPr="00460EC6">
        <w:rPr>
          <w:rFonts w:ascii="Times New Roman" w:eastAsia="Calibri" w:hAnsi="Times New Roman" w:cs="Times New Roman"/>
          <w:color w:val="000000" w:themeColor="text1"/>
          <w:kern w:val="0"/>
          <w:sz w:val="24"/>
          <w:szCs w:val="24"/>
          <w:lang w:val="en-US"/>
          <w14:ligatures w14:val="none"/>
        </w:rPr>
        <w:t xml:space="preserve">, the proportion of </w:t>
      </w:r>
      <w:r w:rsidRPr="00460EC6">
        <w:rPr>
          <w:rFonts w:ascii="Times New Roman" w:eastAsia="Calibri" w:hAnsi="Times New Roman" w:cs="Times New Roman"/>
          <w:bCs/>
          <w:color w:val="000000" w:themeColor="text1"/>
          <w:kern w:val="0"/>
          <w:sz w:val="24"/>
          <w:szCs w:val="24"/>
          <w:lang w:val="en-US"/>
          <w14:ligatures w14:val="none"/>
        </w:rPr>
        <w:t>households with access to basic hand-washing services</w:t>
      </w:r>
      <w:r w:rsidRPr="00460EC6">
        <w:rPr>
          <w:rFonts w:ascii="Times New Roman" w:eastAsia="Calibri" w:hAnsi="Times New Roman" w:cs="Times New Roman"/>
          <w:color w:val="000000" w:themeColor="text1"/>
          <w:kern w:val="0"/>
          <w:sz w:val="24"/>
          <w:szCs w:val="24"/>
          <w:lang w:val="en-US"/>
          <w14:ligatures w14:val="none"/>
        </w:rPr>
        <w:t xml:space="preserve"> increased to </w:t>
      </w:r>
      <w:r w:rsidRPr="00460EC6">
        <w:rPr>
          <w:rFonts w:ascii="Times New Roman" w:eastAsia="Calibri" w:hAnsi="Times New Roman" w:cs="Times New Roman"/>
          <w:bCs/>
          <w:color w:val="000000" w:themeColor="text1"/>
          <w:kern w:val="0"/>
          <w:sz w:val="24"/>
          <w:szCs w:val="24"/>
          <w:lang w:val="en-US"/>
          <w14:ligatures w14:val="none"/>
        </w:rPr>
        <w:t>49.2%</w:t>
      </w:r>
      <w:r w:rsidRPr="00460EC6">
        <w:rPr>
          <w:rFonts w:ascii="Times New Roman" w:eastAsia="Calibri" w:hAnsi="Times New Roman" w:cs="Times New Roman"/>
          <w:color w:val="000000" w:themeColor="text1"/>
          <w:kern w:val="0"/>
          <w:sz w:val="24"/>
          <w:szCs w:val="24"/>
          <w:lang w:val="en-US"/>
          <w14:ligatures w14:val="none"/>
        </w:rPr>
        <w:t>, m</w:t>
      </w:r>
      <w:r w:rsidRPr="00460EC6">
        <w:rPr>
          <w:rFonts w:ascii="Times New Roman" w:eastAsia="Calibri" w:hAnsi="Times New Roman" w:cs="Times New Roman"/>
          <w:bCs/>
          <w:color w:val="000000" w:themeColor="text1"/>
          <w:kern w:val="0"/>
          <w:sz w:val="24"/>
          <w:szCs w:val="24"/>
          <w:lang w:val="en-US"/>
          <w14:ligatures w14:val="none"/>
        </w:rPr>
        <w:t>enstrual hygiene management services</w:t>
      </w:r>
      <w:r w:rsidRPr="00460EC6">
        <w:rPr>
          <w:rFonts w:ascii="Times New Roman" w:eastAsia="Calibri" w:hAnsi="Times New Roman" w:cs="Times New Roman"/>
          <w:color w:val="000000" w:themeColor="text1"/>
          <w:kern w:val="0"/>
          <w:sz w:val="24"/>
          <w:szCs w:val="24"/>
          <w:lang w:val="en-US"/>
          <w14:ligatures w14:val="none"/>
        </w:rPr>
        <w:t xml:space="preserve"> were established in </w:t>
      </w:r>
      <w:r w:rsidRPr="00460EC6">
        <w:rPr>
          <w:rFonts w:ascii="Times New Roman" w:eastAsia="Calibri" w:hAnsi="Times New Roman" w:cs="Times New Roman"/>
          <w:bCs/>
          <w:color w:val="000000" w:themeColor="text1"/>
          <w:kern w:val="0"/>
          <w:sz w:val="24"/>
          <w:szCs w:val="24"/>
          <w:lang w:val="en-US"/>
          <w14:ligatures w14:val="none"/>
        </w:rPr>
        <w:t>2,024 schools</w:t>
      </w:r>
      <w:r w:rsidRPr="00460EC6">
        <w:rPr>
          <w:rFonts w:ascii="Times New Roman" w:eastAsia="Calibri" w:hAnsi="Times New Roman" w:cs="Times New Roman"/>
          <w:color w:val="000000" w:themeColor="text1"/>
          <w:kern w:val="0"/>
          <w:sz w:val="24"/>
          <w:szCs w:val="24"/>
          <w:lang w:val="en-US"/>
          <w14:ligatures w14:val="none"/>
        </w:rPr>
        <w:t xml:space="preserve"> and the percentage of </w:t>
      </w:r>
      <w:r w:rsidRPr="00460EC6">
        <w:rPr>
          <w:rFonts w:ascii="Times New Roman" w:eastAsia="Calibri" w:hAnsi="Times New Roman" w:cs="Times New Roman"/>
          <w:bCs/>
          <w:color w:val="000000" w:themeColor="text1"/>
          <w:kern w:val="0"/>
          <w:sz w:val="24"/>
          <w:szCs w:val="24"/>
          <w:lang w:val="en-US"/>
          <w14:ligatures w14:val="none"/>
        </w:rPr>
        <w:t>open defecation free kebeles</w:t>
      </w:r>
      <w:r w:rsidRPr="00460EC6">
        <w:rPr>
          <w:rFonts w:ascii="Times New Roman" w:eastAsia="Calibri" w:hAnsi="Times New Roman" w:cs="Times New Roman"/>
          <w:color w:val="000000" w:themeColor="text1"/>
          <w:kern w:val="0"/>
          <w:sz w:val="24"/>
          <w:szCs w:val="24"/>
          <w:lang w:val="en-US"/>
          <w14:ligatures w14:val="none"/>
        </w:rPr>
        <w:t xml:space="preserve"> reached </w:t>
      </w:r>
      <w:r w:rsidRPr="00460EC6">
        <w:rPr>
          <w:rFonts w:ascii="Times New Roman" w:eastAsia="Calibri" w:hAnsi="Times New Roman" w:cs="Times New Roman"/>
          <w:bCs/>
          <w:color w:val="000000" w:themeColor="text1"/>
          <w:kern w:val="0"/>
          <w:sz w:val="24"/>
          <w:szCs w:val="24"/>
          <w:lang w:val="en-US"/>
          <w14:ligatures w14:val="none"/>
        </w:rPr>
        <w:t>42%</w:t>
      </w:r>
      <w:r w:rsidRPr="00460EC6">
        <w:rPr>
          <w:rFonts w:ascii="Times New Roman" w:eastAsia="Calibri" w:hAnsi="Times New Roman" w:cs="Times New Roman"/>
          <w:color w:val="000000" w:themeColor="text1"/>
          <w:kern w:val="0"/>
          <w:sz w:val="24"/>
          <w:szCs w:val="24"/>
          <w:lang w:val="en-US"/>
          <w14:ligatures w14:val="none"/>
        </w:rPr>
        <w:t xml:space="preserve">. In health facilities, </w:t>
      </w:r>
      <w:r w:rsidRPr="00460EC6">
        <w:rPr>
          <w:rFonts w:ascii="Times New Roman" w:eastAsia="Calibri" w:hAnsi="Times New Roman" w:cs="Times New Roman"/>
          <w:bCs/>
          <w:color w:val="000000" w:themeColor="text1"/>
          <w:kern w:val="0"/>
          <w:sz w:val="24"/>
          <w:szCs w:val="24"/>
          <w:lang w:val="en-US"/>
          <w14:ligatures w14:val="none"/>
        </w:rPr>
        <w:t>35%</w:t>
      </w:r>
      <w:r w:rsidRPr="00460EC6">
        <w:rPr>
          <w:rFonts w:ascii="Times New Roman" w:eastAsia="Calibri" w:hAnsi="Times New Roman" w:cs="Times New Roman"/>
          <w:color w:val="000000" w:themeColor="text1"/>
          <w:kern w:val="0"/>
          <w:sz w:val="24"/>
          <w:szCs w:val="24"/>
          <w:lang w:val="en-US"/>
          <w14:ligatures w14:val="none"/>
        </w:rPr>
        <w:t xml:space="preserve"> had access to </w:t>
      </w:r>
      <w:r w:rsidRPr="00460EC6">
        <w:rPr>
          <w:rFonts w:ascii="Times New Roman" w:eastAsia="Calibri" w:hAnsi="Times New Roman" w:cs="Times New Roman"/>
          <w:bCs/>
          <w:color w:val="000000" w:themeColor="text1"/>
          <w:kern w:val="0"/>
          <w:sz w:val="24"/>
          <w:szCs w:val="24"/>
          <w:lang w:val="en-US"/>
          <w14:ligatures w14:val="none"/>
        </w:rPr>
        <w:t>basic water supply</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77%</w:t>
      </w:r>
      <w:r w:rsidRPr="00460EC6">
        <w:rPr>
          <w:rFonts w:ascii="Times New Roman" w:eastAsia="Calibri" w:hAnsi="Times New Roman" w:cs="Times New Roman"/>
          <w:color w:val="000000" w:themeColor="text1"/>
          <w:kern w:val="0"/>
          <w:sz w:val="24"/>
          <w:szCs w:val="24"/>
          <w:lang w:val="en-US"/>
          <w14:ligatures w14:val="none"/>
        </w:rPr>
        <w:t xml:space="preserve"> to </w:t>
      </w:r>
      <w:r w:rsidRPr="00460EC6">
        <w:rPr>
          <w:rFonts w:ascii="Times New Roman" w:eastAsia="Calibri" w:hAnsi="Times New Roman" w:cs="Times New Roman"/>
          <w:bCs/>
          <w:color w:val="000000" w:themeColor="text1"/>
          <w:kern w:val="0"/>
          <w:sz w:val="24"/>
          <w:szCs w:val="24"/>
          <w:lang w:val="en-US"/>
          <w14:ligatures w14:val="none"/>
        </w:rPr>
        <w:t>basic sanitation facilities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67%</w:t>
      </w:r>
      <w:r w:rsidRPr="00460EC6">
        <w:rPr>
          <w:rFonts w:ascii="Times New Roman" w:eastAsia="Calibri" w:hAnsi="Times New Roman" w:cs="Times New Roman"/>
          <w:color w:val="000000" w:themeColor="text1"/>
          <w:kern w:val="0"/>
          <w:sz w:val="24"/>
          <w:szCs w:val="24"/>
          <w:lang w:val="en-US"/>
          <w14:ligatures w14:val="none"/>
        </w:rPr>
        <w:t xml:space="preserve"> to </w:t>
      </w:r>
      <w:r w:rsidRPr="00460EC6">
        <w:rPr>
          <w:rFonts w:ascii="Times New Roman" w:eastAsia="Calibri" w:hAnsi="Times New Roman" w:cs="Times New Roman"/>
          <w:bCs/>
          <w:color w:val="000000" w:themeColor="text1"/>
          <w:kern w:val="0"/>
          <w:sz w:val="24"/>
          <w:szCs w:val="24"/>
          <w:lang w:val="en-US"/>
          <w14:ligatures w14:val="none"/>
        </w:rPr>
        <w:t>basic health care waste management services.</w:t>
      </w:r>
    </w:p>
    <w:p w14:paraId="3FD7BD8E"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initiated its </w:t>
      </w:r>
      <w:r w:rsidRPr="00460EC6">
        <w:rPr>
          <w:rFonts w:ascii="Times New Roman" w:eastAsia="Calibri" w:hAnsi="Times New Roman" w:cs="Times New Roman"/>
          <w:bCs/>
          <w:color w:val="000000" w:themeColor="text1"/>
          <w:kern w:val="0"/>
          <w:sz w:val="24"/>
          <w:szCs w:val="24"/>
          <w:lang w:val="en-US"/>
          <w14:ligatures w14:val="none"/>
        </w:rPr>
        <w:t>preparedness and response to the COVID-19 pandemic</w:t>
      </w:r>
      <w:r w:rsidRPr="00460EC6">
        <w:rPr>
          <w:rFonts w:ascii="Times New Roman" w:eastAsia="Calibri" w:hAnsi="Times New Roman" w:cs="Times New Roman"/>
          <w:color w:val="000000" w:themeColor="text1"/>
          <w:kern w:val="0"/>
          <w:sz w:val="24"/>
          <w:szCs w:val="24"/>
          <w:lang w:val="en-US"/>
          <w14:ligatures w14:val="none"/>
        </w:rPr>
        <w:t xml:space="preserve"> by establishing a </w:t>
      </w:r>
      <w:r w:rsidRPr="00460EC6">
        <w:rPr>
          <w:rFonts w:ascii="Times New Roman" w:eastAsia="Calibri" w:hAnsi="Times New Roman" w:cs="Times New Roman"/>
          <w:bCs/>
          <w:color w:val="000000" w:themeColor="text1"/>
          <w:kern w:val="0"/>
          <w:sz w:val="24"/>
          <w:szCs w:val="24"/>
          <w:lang w:val="en-US"/>
          <w14:ligatures w14:val="none"/>
        </w:rPr>
        <w:t>public health emergency operations center</w:t>
      </w:r>
      <w:r w:rsidRPr="00460EC6">
        <w:rPr>
          <w:rFonts w:ascii="Times New Roman" w:eastAsia="Calibri" w:hAnsi="Times New Roman" w:cs="Times New Roman"/>
          <w:color w:val="000000" w:themeColor="text1"/>
          <w:kern w:val="0"/>
          <w:sz w:val="24"/>
          <w:szCs w:val="24"/>
          <w:lang w:val="en-US"/>
          <w14:ligatures w14:val="none"/>
        </w:rPr>
        <w:t xml:space="preserve">. Ethiopia confirmed its </w:t>
      </w:r>
      <w:r w:rsidRPr="00460EC6">
        <w:rPr>
          <w:rFonts w:ascii="Times New Roman" w:eastAsia="Calibri" w:hAnsi="Times New Roman" w:cs="Times New Roman"/>
          <w:bCs/>
          <w:color w:val="000000" w:themeColor="text1"/>
          <w:kern w:val="0"/>
          <w:sz w:val="24"/>
          <w:szCs w:val="24"/>
          <w:lang w:val="en-US"/>
          <w14:ligatures w14:val="none"/>
        </w:rPr>
        <w:t>first COVID-19 case in mid-March 2020</w:t>
      </w:r>
      <w:r w:rsidRPr="00460EC6">
        <w:rPr>
          <w:rFonts w:ascii="Times New Roman" w:eastAsia="Calibri" w:hAnsi="Times New Roman" w:cs="Times New Roman"/>
          <w:color w:val="000000" w:themeColor="text1"/>
          <w:kern w:val="0"/>
          <w:sz w:val="24"/>
          <w:szCs w:val="24"/>
          <w:lang w:val="en-US"/>
          <w14:ligatures w14:val="none"/>
        </w:rPr>
        <w:t xml:space="preserve">, prompting the immediate activation of the </w:t>
      </w:r>
      <w:r w:rsidRPr="00460EC6">
        <w:rPr>
          <w:rFonts w:ascii="Times New Roman" w:eastAsia="Calibri" w:hAnsi="Times New Roman" w:cs="Times New Roman"/>
          <w:bCs/>
          <w:color w:val="000000" w:themeColor="text1"/>
          <w:kern w:val="0"/>
          <w:sz w:val="24"/>
          <w:szCs w:val="24"/>
          <w:lang w:val="en-US"/>
          <w14:ligatures w14:val="none"/>
        </w:rPr>
        <w:t>incident management system</w:t>
      </w:r>
      <w:r w:rsidRPr="00460EC6">
        <w:rPr>
          <w:rFonts w:ascii="Times New Roman" w:eastAsia="Calibri" w:hAnsi="Times New Roman" w:cs="Times New Roman"/>
          <w:color w:val="000000" w:themeColor="text1"/>
          <w:kern w:val="0"/>
          <w:sz w:val="24"/>
          <w:szCs w:val="24"/>
          <w:lang w:val="en-US"/>
          <w14:ligatures w14:val="none"/>
        </w:rPr>
        <w:t xml:space="preserve"> at a national level.</w:t>
      </w:r>
    </w:p>
    <w:p w14:paraId="528FD1C4"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declared a </w:t>
      </w:r>
      <w:r w:rsidRPr="00460EC6">
        <w:rPr>
          <w:rFonts w:ascii="Times New Roman" w:eastAsia="Calibri" w:hAnsi="Times New Roman" w:cs="Times New Roman"/>
          <w:bCs/>
          <w:color w:val="000000" w:themeColor="text1"/>
          <w:kern w:val="0"/>
          <w:sz w:val="24"/>
          <w:szCs w:val="24"/>
          <w:lang w:val="en-US"/>
          <w14:ligatures w14:val="none"/>
        </w:rPr>
        <w:t>state of emergency</w:t>
      </w:r>
      <w:r w:rsidRPr="00460EC6">
        <w:rPr>
          <w:rFonts w:ascii="Times New Roman" w:eastAsia="Calibri" w:hAnsi="Times New Roman" w:cs="Times New Roman"/>
          <w:color w:val="000000" w:themeColor="text1"/>
          <w:kern w:val="0"/>
          <w:sz w:val="24"/>
          <w:szCs w:val="24"/>
          <w:lang w:val="en-US"/>
          <w14:ligatures w14:val="none"/>
        </w:rPr>
        <w:t xml:space="preserve"> and implemented </w:t>
      </w:r>
      <w:r w:rsidRPr="00460EC6">
        <w:rPr>
          <w:rFonts w:ascii="Times New Roman" w:eastAsia="Calibri" w:hAnsi="Times New Roman" w:cs="Times New Roman"/>
          <w:bCs/>
          <w:color w:val="000000" w:themeColor="text1"/>
          <w:kern w:val="0"/>
          <w:sz w:val="24"/>
          <w:szCs w:val="24"/>
          <w:lang w:val="en-US"/>
          <w14:ligatures w14:val="none"/>
        </w:rPr>
        <w:t>contact tracing, quarantining, and testing</w:t>
      </w:r>
      <w:r w:rsidRPr="00460EC6">
        <w:rPr>
          <w:rFonts w:ascii="Times New Roman" w:eastAsia="Calibri" w:hAnsi="Times New Roman" w:cs="Times New Roman"/>
          <w:color w:val="000000" w:themeColor="text1"/>
          <w:kern w:val="0"/>
          <w:sz w:val="24"/>
          <w:szCs w:val="24"/>
          <w:lang w:val="en-US"/>
          <w14:ligatures w14:val="none"/>
        </w:rPr>
        <w:t xml:space="preserve">. At the onset of the outbreak, Ethiopia lacked domestic </w:t>
      </w:r>
      <w:r w:rsidRPr="00460EC6">
        <w:rPr>
          <w:rFonts w:ascii="Times New Roman" w:eastAsia="Calibri" w:hAnsi="Times New Roman" w:cs="Times New Roman"/>
          <w:bCs/>
          <w:color w:val="000000" w:themeColor="text1"/>
          <w:kern w:val="0"/>
          <w:sz w:val="24"/>
          <w:szCs w:val="24"/>
          <w:lang w:val="en-US"/>
          <w14:ligatures w14:val="none"/>
        </w:rPr>
        <w:t>laboratory testing capacity</w:t>
      </w:r>
      <w:r w:rsidRPr="00460EC6">
        <w:rPr>
          <w:rFonts w:ascii="Times New Roman" w:eastAsia="Calibri" w:hAnsi="Times New Roman" w:cs="Times New Roman"/>
          <w:color w:val="000000" w:themeColor="text1"/>
          <w:kern w:val="0"/>
          <w:sz w:val="24"/>
          <w:szCs w:val="24"/>
          <w:lang w:val="en-US"/>
          <w14:ligatures w14:val="none"/>
        </w:rPr>
        <w:t xml:space="preserve"> and initially sent samples abroad to South Africa. However,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made investments to rapidly </w:t>
      </w:r>
      <w:r w:rsidRPr="00460EC6">
        <w:rPr>
          <w:rFonts w:ascii="Times New Roman" w:eastAsia="Calibri" w:hAnsi="Times New Roman" w:cs="Times New Roman"/>
          <w:bCs/>
          <w:color w:val="000000" w:themeColor="text1"/>
          <w:kern w:val="0"/>
          <w:sz w:val="24"/>
          <w:szCs w:val="24"/>
          <w:lang w:val="en-US"/>
          <w14:ligatures w14:val="none"/>
        </w:rPr>
        <w:t>scale up laboratory infrastructure</w:t>
      </w:r>
      <w:r w:rsidRPr="00460EC6">
        <w:rPr>
          <w:rFonts w:ascii="Times New Roman" w:eastAsia="Calibri" w:hAnsi="Times New Roman" w:cs="Times New Roman"/>
          <w:color w:val="000000" w:themeColor="text1"/>
          <w:kern w:val="0"/>
          <w:sz w:val="24"/>
          <w:szCs w:val="24"/>
          <w:lang w:val="en-US"/>
          <w14:ligatures w14:val="none"/>
        </w:rPr>
        <w:t xml:space="preserve"> nationwide conducting the test in the country.</w:t>
      </w:r>
    </w:p>
    <w:p w14:paraId="726F3C98"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lastRenderedPageBreak/>
        <w:t>The COVID-19 pandemic posed a significant threat to ongoing health reforms. Despite these challenges, Ethiopia has made notable progress by responding to the pandemic in a coordinated manner, employing a “whole-of-government” approach.</w:t>
      </w:r>
    </w:p>
    <w:p w14:paraId="30747EBE"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By the end of 2020, </w:t>
      </w:r>
      <w:r w:rsidRPr="00460EC6">
        <w:rPr>
          <w:rFonts w:ascii="Times New Roman" w:eastAsia="Calibri" w:hAnsi="Times New Roman" w:cs="Times New Roman"/>
          <w:bCs/>
          <w:color w:val="000000" w:themeColor="text1"/>
          <w:kern w:val="0"/>
          <w:sz w:val="24"/>
          <w:szCs w:val="24"/>
          <w:lang w:val="en-US"/>
          <w14:ligatures w14:val="none"/>
        </w:rPr>
        <w:t>136 treatment centers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333 isolation facilities</w:t>
      </w:r>
      <w:r w:rsidRPr="00460EC6">
        <w:rPr>
          <w:rFonts w:ascii="Times New Roman" w:eastAsia="Calibri" w:hAnsi="Times New Roman" w:cs="Times New Roman"/>
          <w:color w:val="000000" w:themeColor="text1"/>
          <w:kern w:val="0"/>
          <w:sz w:val="24"/>
          <w:szCs w:val="24"/>
          <w:lang w:val="en-US"/>
          <w14:ligatures w14:val="none"/>
        </w:rPr>
        <w:t xml:space="preserve"> were established and designated for use as </w:t>
      </w:r>
      <w:r w:rsidRPr="00460EC6">
        <w:rPr>
          <w:rFonts w:ascii="Times New Roman" w:eastAsia="Calibri" w:hAnsi="Times New Roman" w:cs="Times New Roman"/>
          <w:bCs/>
          <w:color w:val="000000" w:themeColor="text1"/>
          <w:kern w:val="0"/>
          <w:sz w:val="24"/>
          <w:szCs w:val="24"/>
          <w:lang w:val="en-US"/>
          <w14:ligatures w14:val="none"/>
        </w:rPr>
        <w:t>quarantine or treatment sites</w:t>
      </w:r>
      <w:r w:rsidRPr="00460EC6">
        <w:rPr>
          <w:rFonts w:ascii="Times New Roman" w:eastAsia="Calibri" w:hAnsi="Times New Roman" w:cs="Times New Roman"/>
          <w:color w:val="000000" w:themeColor="text1"/>
          <w:kern w:val="0"/>
          <w:sz w:val="24"/>
          <w:szCs w:val="24"/>
          <w:lang w:val="en-US"/>
          <w14:ligatures w14:val="none"/>
        </w:rPr>
        <w:t xml:space="preserve">. The government also launched a </w:t>
      </w:r>
      <w:r w:rsidRPr="00460EC6">
        <w:rPr>
          <w:rFonts w:ascii="Times New Roman" w:eastAsia="Calibri" w:hAnsi="Times New Roman" w:cs="Times New Roman"/>
          <w:bCs/>
          <w:color w:val="000000" w:themeColor="text1"/>
          <w:kern w:val="0"/>
          <w:sz w:val="24"/>
          <w:szCs w:val="24"/>
          <w:lang w:val="en-US"/>
          <w14:ligatures w14:val="none"/>
        </w:rPr>
        <w:t>national COVID-19 vaccination campaign</w:t>
      </w:r>
      <w:r w:rsidRPr="00460EC6">
        <w:rPr>
          <w:rFonts w:ascii="Times New Roman" w:eastAsia="Calibri" w:hAnsi="Times New Roman" w:cs="Times New Roman"/>
          <w:color w:val="000000" w:themeColor="text1"/>
          <w:kern w:val="0"/>
          <w:sz w:val="24"/>
          <w:szCs w:val="24"/>
          <w:lang w:val="en-US"/>
          <w14:ligatures w14:val="none"/>
        </w:rPr>
        <w:t xml:space="preserve"> in collaboration with partners to improve </w:t>
      </w:r>
      <w:r w:rsidRPr="00460EC6">
        <w:rPr>
          <w:rFonts w:ascii="Times New Roman" w:eastAsia="Calibri" w:hAnsi="Times New Roman" w:cs="Times New Roman"/>
          <w:bCs/>
          <w:color w:val="000000" w:themeColor="text1"/>
          <w:kern w:val="0"/>
          <w:sz w:val="24"/>
          <w:szCs w:val="24"/>
          <w:lang w:val="en-US"/>
          <w14:ligatures w14:val="none"/>
        </w:rPr>
        <w:t>vaccine access and coverage</w:t>
      </w:r>
      <w:r w:rsidRPr="00460EC6">
        <w:rPr>
          <w:rFonts w:ascii="Times New Roman" w:eastAsia="Calibri" w:hAnsi="Times New Roman" w:cs="Times New Roman"/>
          <w:color w:val="000000" w:themeColor="text1"/>
          <w:kern w:val="0"/>
          <w:sz w:val="24"/>
          <w:szCs w:val="24"/>
          <w:lang w:val="en-US"/>
          <w14:ligatures w14:val="none"/>
        </w:rPr>
        <w:t>.</w:t>
      </w:r>
    </w:p>
    <w:p w14:paraId="002F0BAE"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In addition to clinical care, </w:t>
      </w:r>
      <w:r w:rsidRPr="00460EC6">
        <w:rPr>
          <w:rFonts w:ascii="Times New Roman" w:eastAsia="Calibri" w:hAnsi="Times New Roman" w:cs="Times New Roman"/>
          <w:bCs/>
          <w:color w:val="000000" w:themeColor="text1"/>
          <w:kern w:val="0"/>
          <w:sz w:val="24"/>
          <w:szCs w:val="24"/>
          <w:lang w:val="en-US"/>
          <w14:ligatures w14:val="none"/>
        </w:rPr>
        <w:t>mental health and psychosocial support</w:t>
      </w:r>
      <w:r w:rsidRPr="00460EC6">
        <w:rPr>
          <w:rFonts w:ascii="Times New Roman" w:eastAsia="Calibri" w:hAnsi="Times New Roman" w:cs="Times New Roman"/>
          <w:color w:val="000000" w:themeColor="text1"/>
          <w:kern w:val="0"/>
          <w:sz w:val="24"/>
          <w:szCs w:val="24"/>
          <w:lang w:val="en-US"/>
          <w14:ligatures w14:val="none"/>
        </w:rPr>
        <w:t xml:space="preserve"> received attention, with services integrated into treatment centers to address the psychological impact of the pandemic on patients and healthcare workers.</w:t>
      </w:r>
    </w:p>
    <w:p w14:paraId="27DFBEB8"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14:ligatures w14:val="none"/>
        </w:rPr>
        <w:t>Ethiopia has made progress in expanding access to HIV prevention and treatment services for pregnant women living with HIV, contributing to a reduction in new HIV infections among children.</w:t>
      </w:r>
      <w:r w:rsidRPr="00460EC6">
        <w:rPr>
          <w:rFonts w:ascii="Times New Roman" w:eastAsia="Calibri" w:hAnsi="Times New Roman" w:cs="Times New Roman"/>
          <w:color w:val="000000" w:themeColor="text1"/>
          <w:kern w:val="0"/>
          <w:sz w:val="24"/>
          <w:szCs w:val="24"/>
          <w14:ligatures w14:val="none"/>
        </w:rPr>
        <w:t xml:space="preserve"> The number of health facilities offering </w:t>
      </w:r>
      <w:r w:rsidRPr="00460EC6">
        <w:rPr>
          <w:rFonts w:ascii="Times New Roman" w:eastAsia="Calibri" w:hAnsi="Times New Roman" w:cs="Times New Roman"/>
          <w:bCs/>
          <w:color w:val="000000" w:themeColor="text1"/>
          <w:kern w:val="0"/>
          <w:sz w:val="24"/>
          <w:szCs w:val="24"/>
          <w14:ligatures w14:val="none"/>
        </w:rPr>
        <w:t>HIV counselling and testing</w:t>
      </w:r>
      <w:r w:rsidRPr="00460EC6">
        <w:rPr>
          <w:rFonts w:ascii="Times New Roman" w:eastAsia="Calibri" w:hAnsi="Times New Roman" w:cs="Times New Roman"/>
          <w:color w:val="000000" w:themeColor="text1"/>
          <w:kern w:val="0"/>
          <w:sz w:val="24"/>
          <w:szCs w:val="24"/>
          <w14:ligatures w14:val="none"/>
        </w:rPr>
        <w:t xml:space="preserve">, </w:t>
      </w:r>
      <w:r w:rsidRPr="00460EC6">
        <w:rPr>
          <w:rFonts w:ascii="Times New Roman" w:eastAsia="Calibri" w:hAnsi="Times New Roman" w:cs="Times New Roman"/>
          <w:bCs/>
          <w:color w:val="000000" w:themeColor="text1"/>
          <w:kern w:val="0"/>
          <w:sz w:val="24"/>
          <w:szCs w:val="24"/>
          <w14:ligatures w14:val="none"/>
        </w:rPr>
        <w:t>prevention of mother-to-child transmission</w:t>
      </w:r>
      <w:r w:rsidRPr="00460EC6">
        <w:rPr>
          <w:rFonts w:ascii="Times New Roman" w:eastAsia="Calibri" w:hAnsi="Times New Roman" w:cs="Times New Roman"/>
          <w:color w:val="000000" w:themeColor="text1"/>
          <w:kern w:val="0"/>
          <w:sz w:val="24"/>
          <w:szCs w:val="24"/>
          <w14:ligatures w14:val="none"/>
        </w:rPr>
        <w:t xml:space="preserve">, and </w:t>
      </w:r>
      <w:r w:rsidRPr="00460EC6">
        <w:rPr>
          <w:rFonts w:ascii="Times New Roman" w:eastAsia="Calibri" w:hAnsi="Times New Roman" w:cs="Times New Roman"/>
          <w:bCs/>
          <w:color w:val="000000" w:themeColor="text1"/>
          <w:kern w:val="0"/>
          <w:sz w:val="24"/>
          <w:szCs w:val="24"/>
          <w14:ligatures w14:val="none"/>
        </w:rPr>
        <w:t>ART</w:t>
      </w:r>
      <w:r w:rsidRPr="00460EC6">
        <w:rPr>
          <w:rFonts w:ascii="Times New Roman" w:eastAsia="Calibri" w:hAnsi="Times New Roman" w:cs="Times New Roman"/>
          <w:color w:val="000000" w:themeColor="text1"/>
          <w:kern w:val="0"/>
          <w:sz w:val="24"/>
          <w:szCs w:val="24"/>
          <w14:ligatures w14:val="none"/>
        </w:rPr>
        <w:t xml:space="preserve"> has increased along with a corresponding rise in the number of individuals receiving these services.</w:t>
      </w:r>
    </w:p>
    <w:p w14:paraId="4DA46EA3" w14:textId="1FA6F136"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Ethiopia adopted the global 90-90-90 HIV/AIDS targets in 2015/16</w:t>
      </w:r>
      <w:r w:rsidRPr="00460EC6">
        <w:rPr>
          <w:rFonts w:ascii="Times New Roman" w:eastAsia="Calibri" w:hAnsi="Times New Roman" w:cs="Times New Roman"/>
          <w:color w:val="000000" w:themeColor="text1"/>
          <w:kern w:val="0"/>
          <w:sz w:val="24"/>
          <w:szCs w:val="24"/>
          <w:lang w:val="en-US"/>
          <w14:ligatures w14:val="none"/>
        </w:rPr>
        <w:t xml:space="preserve"> to accelerate progress toward ending the epidemic. These targets aimed for: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of all people living with HIV to know their status,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of those diagnosed to receive ART, and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of those on ART to achieve viral suppression. By </w:t>
      </w:r>
      <w:r w:rsidRPr="00460EC6">
        <w:rPr>
          <w:rFonts w:ascii="Times New Roman" w:eastAsia="Calibri" w:hAnsi="Times New Roman" w:cs="Times New Roman"/>
          <w:bCs/>
          <w:color w:val="000000" w:themeColor="text1"/>
          <w:kern w:val="0"/>
          <w:sz w:val="24"/>
          <w:szCs w:val="24"/>
          <w:lang w:val="en-US"/>
          <w14:ligatures w14:val="none"/>
        </w:rPr>
        <w:t>2019/20</w:t>
      </w:r>
      <w:r w:rsidRPr="00460EC6">
        <w:rPr>
          <w:rFonts w:ascii="Times New Roman" w:eastAsia="Calibri" w:hAnsi="Times New Roman" w:cs="Times New Roman"/>
          <w:color w:val="000000" w:themeColor="text1"/>
          <w:kern w:val="0"/>
          <w:sz w:val="24"/>
          <w:szCs w:val="24"/>
          <w:lang w:val="en-US"/>
          <w14:ligatures w14:val="none"/>
        </w:rPr>
        <w:t xml:space="preserve">, Ethiopia had made progress toward these goals, reaching </w:t>
      </w:r>
      <w:r w:rsidRPr="00460EC6">
        <w:rPr>
          <w:rFonts w:ascii="Times New Roman" w:eastAsia="Calibri" w:hAnsi="Times New Roman" w:cs="Times New Roman"/>
          <w:bCs/>
          <w:color w:val="000000" w:themeColor="text1"/>
          <w:kern w:val="0"/>
          <w:sz w:val="24"/>
          <w:szCs w:val="24"/>
          <w:lang w:val="en-US"/>
          <w14:ligatures w14:val="none"/>
        </w:rPr>
        <w:t>78.9%</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91.3%</w:t>
      </w:r>
      <w:r w:rsidRPr="00460EC6">
        <w:rPr>
          <w:rFonts w:ascii="Times New Roman" w:eastAsia="Calibri" w:hAnsi="Times New Roman" w:cs="Times New Roman"/>
          <w:color w:val="000000" w:themeColor="text1"/>
          <w:kern w:val="0"/>
          <w:sz w:val="24"/>
          <w:szCs w:val="24"/>
          <w:lang w:val="en-US"/>
          <w14:ligatures w14:val="none"/>
        </w:rPr>
        <w:t>, respectively</w:t>
      </w:r>
      <w:r w:rsidR="005A6DA6" w:rsidRPr="00460EC6">
        <w:rPr>
          <w:rFonts w:ascii="Times New Roman" w:eastAsia="Calibri" w:hAnsi="Times New Roman" w:cs="Times New Roman"/>
          <w:color w:val="000000" w:themeColor="text1"/>
          <w:kern w:val="0"/>
          <w:sz w:val="24"/>
          <w:szCs w:val="24"/>
          <w:lang w:val="en-US"/>
          <w14:ligatures w14:val="none"/>
        </w:rPr>
        <w:t>.</w:t>
      </w:r>
    </w:p>
    <w:p w14:paraId="38354A9E" w14:textId="1B10DFFC"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sustain the above progress, the country launched the </w:t>
      </w:r>
      <w:r w:rsidRPr="00460EC6">
        <w:rPr>
          <w:rFonts w:ascii="Times New Roman" w:eastAsia="Calibri" w:hAnsi="Times New Roman" w:cs="Times New Roman"/>
          <w:bCs/>
          <w:color w:val="000000" w:themeColor="text1"/>
          <w:kern w:val="0"/>
          <w:sz w:val="24"/>
          <w:szCs w:val="24"/>
          <w:lang w:val="en-US"/>
          <w14:ligatures w14:val="none"/>
        </w:rPr>
        <w:t>HIV/AIDS National Strategic Plan (2020/21–2024/25)</w:t>
      </w:r>
      <w:r w:rsidRPr="00460EC6">
        <w:rPr>
          <w:rFonts w:ascii="Times New Roman" w:eastAsia="Calibri" w:hAnsi="Times New Roman" w:cs="Times New Roman"/>
          <w:color w:val="000000" w:themeColor="text1"/>
          <w:kern w:val="0"/>
          <w:sz w:val="24"/>
          <w:szCs w:val="24"/>
          <w:lang w:val="en-US"/>
          <w14:ligatures w14:val="none"/>
        </w:rPr>
        <w:t xml:space="preserve">. This </w:t>
      </w:r>
      <w:r w:rsidR="00292106" w:rsidRPr="00460EC6">
        <w:rPr>
          <w:rFonts w:ascii="Times New Roman" w:eastAsia="Calibri" w:hAnsi="Times New Roman" w:cs="Times New Roman"/>
          <w:color w:val="000000" w:themeColor="text1"/>
          <w:kern w:val="0"/>
          <w:sz w:val="24"/>
          <w:szCs w:val="24"/>
          <w:lang w:val="en-US"/>
          <w14:ligatures w14:val="none"/>
        </w:rPr>
        <w:t>Strategy</w:t>
      </w:r>
      <w:r w:rsidRPr="00460EC6">
        <w:rPr>
          <w:rFonts w:ascii="Times New Roman" w:eastAsia="Calibri" w:hAnsi="Times New Roman" w:cs="Times New Roman"/>
          <w:color w:val="000000" w:themeColor="text1"/>
          <w:kern w:val="0"/>
          <w:sz w:val="24"/>
          <w:szCs w:val="24"/>
          <w:lang w:val="en-US"/>
          <w14:ligatures w14:val="none"/>
        </w:rPr>
        <w:t xml:space="preserve"> aims to achieve </w:t>
      </w:r>
      <w:r w:rsidRPr="00460EC6">
        <w:rPr>
          <w:rFonts w:ascii="Times New Roman" w:eastAsia="Calibri" w:hAnsi="Times New Roman" w:cs="Times New Roman"/>
          <w:bCs/>
          <w:color w:val="000000" w:themeColor="text1"/>
          <w:kern w:val="0"/>
          <w:sz w:val="24"/>
          <w:szCs w:val="24"/>
          <w:lang w:val="en-US"/>
          <w14:ligatures w14:val="none"/>
        </w:rPr>
        <w:t>epidemic control</w:t>
      </w:r>
      <w:r w:rsidRPr="00460EC6">
        <w:rPr>
          <w:rFonts w:ascii="Times New Roman" w:eastAsia="Calibri" w:hAnsi="Times New Roman" w:cs="Times New Roman"/>
          <w:color w:val="000000" w:themeColor="text1"/>
          <w:kern w:val="0"/>
          <w:sz w:val="24"/>
          <w:szCs w:val="24"/>
          <w:lang w:val="en-US"/>
          <w14:ligatures w14:val="none"/>
        </w:rPr>
        <w:t xml:space="preserve">, reduce </w:t>
      </w:r>
      <w:r w:rsidRPr="00460EC6">
        <w:rPr>
          <w:rFonts w:ascii="Times New Roman" w:eastAsia="Calibri" w:hAnsi="Times New Roman" w:cs="Times New Roman"/>
          <w:bCs/>
          <w:color w:val="000000" w:themeColor="text1"/>
          <w:kern w:val="0"/>
          <w:sz w:val="24"/>
          <w:szCs w:val="24"/>
          <w:lang w:val="en-US"/>
          <w14:ligatures w14:val="none"/>
        </w:rPr>
        <w:t>new HIV infections</w:t>
      </w:r>
      <w:r w:rsidRPr="00460EC6">
        <w:rPr>
          <w:rFonts w:ascii="Times New Roman" w:eastAsia="Calibri" w:hAnsi="Times New Roman" w:cs="Times New Roman"/>
          <w:color w:val="000000" w:themeColor="text1"/>
          <w:kern w:val="0"/>
          <w:sz w:val="24"/>
          <w:szCs w:val="24"/>
          <w:lang w:val="en-US"/>
          <w14:ligatures w14:val="none"/>
        </w:rPr>
        <w:t xml:space="preserve">, and decrease </w:t>
      </w:r>
      <w:r w:rsidRPr="00460EC6">
        <w:rPr>
          <w:rFonts w:ascii="Times New Roman" w:eastAsia="Calibri" w:hAnsi="Times New Roman" w:cs="Times New Roman"/>
          <w:bCs/>
          <w:color w:val="000000" w:themeColor="text1"/>
          <w:kern w:val="0"/>
          <w:sz w:val="24"/>
          <w:szCs w:val="24"/>
          <w:lang w:val="en-US"/>
          <w14:ligatures w14:val="none"/>
        </w:rPr>
        <w:t>AIDS-related mortality</w:t>
      </w:r>
      <w:r w:rsidRPr="00460EC6">
        <w:rPr>
          <w:rFonts w:ascii="Times New Roman" w:eastAsia="Calibri" w:hAnsi="Times New Roman" w:cs="Times New Roman"/>
          <w:color w:val="000000" w:themeColor="text1"/>
          <w:kern w:val="0"/>
          <w:sz w:val="24"/>
          <w:szCs w:val="24"/>
          <w:lang w:val="en-US"/>
          <w14:ligatures w14:val="none"/>
        </w:rPr>
        <w:t xml:space="preserve">, in alignment with the updated global </w:t>
      </w:r>
      <w:r w:rsidRPr="00460EC6">
        <w:rPr>
          <w:rFonts w:ascii="Times New Roman" w:eastAsia="Calibri" w:hAnsi="Times New Roman" w:cs="Times New Roman"/>
          <w:bCs/>
          <w:color w:val="000000" w:themeColor="text1"/>
          <w:kern w:val="0"/>
          <w:sz w:val="24"/>
          <w:szCs w:val="24"/>
          <w:lang w:val="en-US"/>
          <w14:ligatures w14:val="none"/>
        </w:rPr>
        <w:t>95-95-95 targets</w:t>
      </w:r>
      <w:r w:rsidRPr="00460EC6">
        <w:rPr>
          <w:rFonts w:ascii="Times New Roman" w:eastAsia="Calibri" w:hAnsi="Times New Roman" w:cs="Times New Roman"/>
          <w:color w:val="000000" w:themeColor="text1"/>
          <w:kern w:val="0"/>
          <w:sz w:val="24"/>
          <w:szCs w:val="24"/>
          <w:lang w:val="en-US"/>
          <w14:ligatures w14:val="none"/>
        </w:rPr>
        <w:t xml:space="preserve"> for 2025. As of </w:t>
      </w:r>
      <w:r w:rsidRPr="00460EC6">
        <w:rPr>
          <w:rFonts w:ascii="Times New Roman" w:eastAsia="Calibri" w:hAnsi="Times New Roman" w:cs="Times New Roman"/>
          <w:bCs/>
          <w:color w:val="000000" w:themeColor="text1"/>
          <w:kern w:val="0"/>
          <w:sz w:val="24"/>
          <w:szCs w:val="24"/>
          <w:lang w:val="en-US"/>
          <w14:ligatures w14:val="none"/>
        </w:rPr>
        <w:t>2023/24</w:t>
      </w:r>
      <w:r w:rsidRPr="00460EC6">
        <w:rPr>
          <w:rFonts w:ascii="Times New Roman" w:eastAsia="Calibri" w:hAnsi="Times New Roman" w:cs="Times New Roman"/>
          <w:color w:val="000000" w:themeColor="text1"/>
          <w:kern w:val="0"/>
          <w:sz w:val="24"/>
          <w:szCs w:val="24"/>
          <w:lang w:val="en-US"/>
          <w14:ligatures w14:val="none"/>
        </w:rPr>
        <w:t xml:space="preserve">, Ethiopia has achieved: </w:t>
      </w:r>
      <w:r w:rsidRPr="00460EC6">
        <w:rPr>
          <w:rFonts w:ascii="Times New Roman" w:eastAsia="Calibri" w:hAnsi="Times New Roman" w:cs="Times New Roman"/>
          <w:bCs/>
          <w:color w:val="000000" w:themeColor="text1"/>
          <w:kern w:val="0"/>
          <w:sz w:val="24"/>
          <w:szCs w:val="24"/>
          <w:lang w:val="en-US"/>
          <w14:ligatures w14:val="none"/>
        </w:rPr>
        <w:t>90%</w:t>
      </w:r>
      <w:r w:rsidRPr="00460EC6">
        <w:rPr>
          <w:rFonts w:ascii="Times New Roman" w:eastAsia="Calibri" w:hAnsi="Times New Roman" w:cs="Times New Roman"/>
          <w:color w:val="000000" w:themeColor="text1"/>
          <w:kern w:val="0"/>
          <w:sz w:val="24"/>
          <w:szCs w:val="24"/>
          <w:lang w:val="en-US"/>
          <w14:ligatures w14:val="none"/>
        </w:rPr>
        <w:t xml:space="preserve"> of people living with HIV knowing their status, 9</w:t>
      </w:r>
      <w:r w:rsidRPr="00460EC6">
        <w:rPr>
          <w:rFonts w:ascii="Times New Roman" w:eastAsia="Calibri" w:hAnsi="Times New Roman" w:cs="Times New Roman"/>
          <w:bCs/>
          <w:color w:val="000000" w:themeColor="text1"/>
          <w:kern w:val="0"/>
          <w:sz w:val="24"/>
          <w:szCs w:val="24"/>
          <w:lang w:val="en-US"/>
          <w14:ligatures w14:val="none"/>
        </w:rPr>
        <w:t>4%</w:t>
      </w:r>
      <w:r w:rsidRPr="00460EC6">
        <w:rPr>
          <w:rFonts w:ascii="Times New Roman" w:eastAsia="Calibri" w:hAnsi="Times New Roman" w:cs="Times New Roman"/>
          <w:color w:val="000000" w:themeColor="text1"/>
          <w:kern w:val="0"/>
          <w:sz w:val="24"/>
          <w:szCs w:val="24"/>
          <w:lang w:val="en-US"/>
          <w14:ligatures w14:val="none"/>
        </w:rPr>
        <w:t xml:space="preserve"> of those diagnosed receiving sustained ART, and </w:t>
      </w:r>
      <w:r w:rsidRPr="00460EC6">
        <w:rPr>
          <w:rFonts w:ascii="Times New Roman" w:eastAsia="Calibri" w:hAnsi="Times New Roman" w:cs="Times New Roman"/>
          <w:bCs/>
          <w:color w:val="000000" w:themeColor="text1"/>
          <w:kern w:val="0"/>
          <w:sz w:val="24"/>
          <w:szCs w:val="24"/>
          <w:lang w:val="en-US"/>
          <w14:ligatures w14:val="none"/>
        </w:rPr>
        <w:t>97%</w:t>
      </w:r>
      <w:r w:rsidRPr="00460EC6">
        <w:rPr>
          <w:rFonts w:ascii="Times New Roman" w:eastAsia="Calibri" w:hAnsi="Times New Roman" w:cs="Times New Roman"/>
          <w:color w:val="000000" w:themeColor="text1"/>
          <w:kern w:val="0"/>
          <w:sz w:val="24"/>
          <w:szCs w:val="24"/>
          <w:lang w:val="en-US"/>
          <w14:ligatures w14:val="none"/>
        </w:rPr>
        <w:t xml:space="preserve"> of those on ART achieving viral suppression.</w:t>
      </w:r>
    </w:p>
    <w:p w14:paraId="6F7C5C59"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These successes were driven by a comprehensive set of strategies, including: </w:t>
      </w:r>
      <w:r w:rsidRPr="00460EC6">
        <w:rPr>
          <w:rFonts w:ascii="Times New Roman" w:eastAsia="Calibri" w:hAnsi="Times New Roman" w:cs="Times New Roman"/>
          <w:bCs/>
          <w:color w:val="000000" w:themeColor="text1"/>
          <w:kern w:val="0"/>
          <w:sz w:val="24"/>
          <w:szCs w:val="24"/>
          <w:lang w:val="en-US"/>
          <w14:ligatures w14:val="none"/>
        </w:rPr>
        <w:t>Targeted HIV testing</w:t>
      </w:r>
      <w:r w:rsidRPr="00460EC6">
        <w:rPr>
          <w:rFonts w:ascii="Times New Roman" w:eastAsia="Calibri" w:hAnsi="Times New Roman" w:cs="Times New Roman"/>
          <w:color w:val="000000" w:themeColor="text1"/>
          <w:kern w:val="0"/>
          <w:sz w:val="24"/>
          <w:szCs w:val="24"/>
          <w:lang w:val="en-US"/>
          <w14:ligatures w14:val="none"/>
        </w:rPr>
        <w:t xml:space="preserve"> among high-risk populations to enhance case detection, expansion and strengthening of HIV testing services, and the introduction of </w:t>
      </w:r>
      <w:r w:rsidRPr="00460EC6">
        <w:rPr>
          <w:rFonts w:ascii="Times New Roman" w:eastAsia="Calibri" w:hAnsi="Times New Roman" w:cs="Times New Roman"/>
          <w:bCs/>
          <w:color w:val="000000" w:themeColor="text1"/>
          <w:kern w:val="0"/>
          <w:sz w:val="24"/>
          <w:szCs w:val="24"/>
          <w:lang w:val="en-US"/>
          <w14:ligatures w14:val="none"/>
        </w:rPr>
        <w:t>HIV self-testing</w:t>
      </w:r>
      <w:r w:rsidRPr="00460EC6">
        <w:rPr>
          <w:rFonts w:ascii="Times New Roman" w:eastAsia="Calibri" w:hAnsi="Times New Roman" w:cs="Times New Roman"/>
          <w:color w:val="000000" w:themeColor="text1"/>
          <w:kern w:val="0"/>
          <w:sz w:val="24"/>
          <w:szCs w:val="24"/>
          <w:lang w:val="en-US"/>
          <w14:ligatures w14:val="none"/>
        </w:rPr>
        <w:t xml:space="preserve">; Implementation of a </w:t>
      </w:r>
      <w:r w:rsidRPr="00460EC6">
        <w:rPr>
          <w:rFonts w:ascii="Times New Roman" w:eastAsia="Calibri" w:hAnsi="Times New Roman" w:cs="Times New Roman"/>
          <w:bCs/>
          <w:color w:val="000000" w:themeColor="text1"/>
          <w:kern w:val="0"/>
          <w:sz w:val="24"/>
          <w:szCs w:val="24"/>
          <w:lang w:val="en-US"/>
          <w14:ligatures w14:val="none"/>
        </w:rPr>
        <w:t>"test and treat" approach</w:t>
      </w:r>
      <w:r w:rsidRPr="00460EC6">
        <w:rPr>
          <w:rFonts w:ascii="Times New Roman" w:eastAsia="Calibri" w:hAnsi="Times New Roman" w:cs="Times New Roman"/>
          <w:color w:val="000000" w:themeColor="text1"/>
          <w:kern w:val="0"/>
          <w:sz w:val="24"/>
          <w:szCs w:val="24"/>
          <w:lang w:val="en-US"/>
          <w14:ligatures w14:val="none"/>
        </w:rPr>
        <w:t xml:space="preserve">, early initiation of ART (including same-day treatment), improvements in ART procurement and distribution systems, and the </w:t>
      </w:r>
      <w:r w:rsidRPr="00460EC6">
        <w:rPr>
          <w:rFonts w:ascii="Times New Roman" w:eastAsia="Calibri" w:hAnsi="Times New Roman" w:cs="Times New Roman"/>
          <w:bCs/>
          <w:color w:val="000000" w:themeColor="text1"/>
          <w:kern w:val="0"/>
          <w:sz w:val="24"/>
          <w:szCs w:val="24"/>
          <w:lang w:val="en-US"/>
          <w14:ligatures w14:val="none"/>
        </w:rPr>
        <w:t>appointment spacing model</w:t>
      </w:r>
      <w:r w:rsidRPr="00460EC6">
        <w:rPr>
          <w:rFonts w:ascii="Times New Roman" w:eastAsia="Calibri" w:hAnsi="Times New Roman" w:cs="Times New Roman"/>
          <w:color w:val="000000" w:themeColor="text1"/>
          <w:kern w:val="0"/>
          <w:sz w:val="24"/>
          <w:szCs w:val="24"/>
          <w:lang w:val="en-US"/>
          <w14:ligatures w14:val="none"/>
        </w:rPr>
        <w:t xml:space="preserve">, adapted </w:t>
      </w:r>
      <w:r w:rsidRPr="00460EC6">
        <w:rPr>
          <w:rFonts w:ascii="Times New Roman" w:eastAsia="Calibri" w:hAnsi="Times New Roman" w:cs="Times New Roman"/>
          <w:color w:val="000000" w:themeColor="text1"/>
          <w:kern w:val="0"/>
          <w:sz w:val="24"/>
          <w:szCs w:val="24"/>
          <w:lang w:val="en-US"/>
          <w14:ligatures w14:val="none"/>
        </w:rPr>
        <w:lastRenderedPageBreak/>
        <w:t xml:space="preserve">to address socio-cultural barriers, stigma, and resource constraints; </w:t>
      </w:r>
      <w:r w:rsidRPr="00460EC6">
        <w:rPr>
          <w:rFonts w:ascii="Times New Roman" w:eastAsia="Calibri" w:hAnsi="Times New Roman" w:cs="Times New Roman"/>
          <w:bCs/>
          <w:color w:val="000000" w:themeColor="text1"/>
          <w:kern w:val="0"/>
          <w:sz w:val="24"/>
          <w:szCs w:val="24"/>
          <w:lang w:val="en-US"/>
          <w14:ligatures w14:val="none"/>
        </w:rPr>
        <w:t>Strengthening of regional laboratory capacity</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expansion of viral load testing</w:t>
      </w:r>
      <w:r w:rsidRPr="00460EC6">
        <w:rPr>
          <w:rFonts w:ascii="Times New Roman" w:eastAsia="Calibri" w:hAnsi="Times New Roman" w:cs="Times New Roman"/>
          <w:color w:val="000000" w:themeColor="text1"/>
          <w:kern w:val="0"/>
          <w:sz w:val="24"/>
          <w:szCs w:val="24"/>
          <w:lang w:val="en-US"/>
          <w14:ligatures w14:val="none"/>
        </w:rPr>
        <w:t xml:space="preserve">, with </w:t>
      </w:r>
      <w:r w:rsidRPr="00460EC6">
        <w:rPr>
          <w:rFonts w:ascii="Times New Roman" w:eastAsia="Calibri" w:hAnsi="Times New Roman" w:cs="Times New Roman"/>
          <w:bCs/>
          <w:color w:val="000000" w:themeColor="text1"/>
          <w:kern w:val="0"/>
          <w:sz w:val="24"/>
          <w:szCs w:val="24"/>
          <w:lang w:val="en-US"/>
          <w14:ligatures w14:val="none"/>
        </w:rPr>
        <w:t>20 laboratories</w:t>
      </w:r>
      <w:r w:rsidRPr="00460EC6">
        <w:rPr>
          <w:rFonts w:ascii="Times New Roman" w:eastAsia="Calibri" w:hAnsi="Times New Roman" w:cs="Times New Roman"/>
          <w:color w:val="000000" w:themeColor="text1"/>
          <w:kern w:val="0"/>
          <w:sz w:val="24"/>
          <w:szCs w:val="24"/>
          <w:lang w:val="en-US"/>
          <w14:ligatures w14:val="none"/>
        </w:rPr>
        <w:t xml:space="preserve"> now operational nationwide to support treatment monitoring and improve care quality.</w:t>
      </w:r>
    </w:p>
    <w:p w14:paraId="10EFB114"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focused on </w:t>
      </w:r>
      <w:r w:rsidRPr="00460EC6">
        <w:rPr>
          <w:rFonts w:ascii="Times New Roman" w:eastAsia="Calibri" w:hAnsi="Times New Roman" w:cs="Times New Roman"/>
          <w:bCs/>
          <w:color w:val="000000" w:themeColor="text1"/>
          <w:kern w:val="0"/>
          <w:sz w:val="24"/>
          <w:szCs w:val="24"/>
          <w:lang w:val="en-US"/>
          <w14:ligatures w14:val="none"/>
        </w:rPr>
        <w:t>enhancing the involvement of HIV-positive adolescents, youth, and young adults</w:t>
      </w:r>
      <w:r w:rsidRPr="00460EC6">
        <w:rPr>
          <w:rFonts w:ascii="Times New Roman" w:eastAsia="Calibri" w:hAnsi="Times New Roman" w:cs="Times New Roman"/>
          <w:color w:val="000000" w:themeColor="text1"/>
          <w:kern w:val="0"/>
          <w:sz w:val="24"/>
          <w:szCs w:val="24"/>
          <w:lang w:val="en-US"/>
          <w14:ligatures w14:val="none"/>
        </w:rPr>
        <w:t xml:space="preserve"> through </w:t>
      </w:r>
      <w:r w:rsidRPr="00460EC6">
        <w:rPr>
          <w:rFonts w:ascii="Times New Roman" w:eastAsia="Calibri" w:hAnsi="Times New Roman" w:cs="Times New Roman"/>
          <w:bCs/>
          <w:color w:val="000000" w:themeColor="text1"/>
          <w:kern w:val="0"/>
          <w:sz w:val="24"/>
          <w:szCs w:val="24"/>
          <w:lang w:val="en-US"/>
          <w14:ligatures w14:val="none"/>
        </w:rPr>
        <w:t>capacity-building trainings</w:t>
      </w:r>
      <w:r w:rsidRPr="00460EC6">
        <w:rPr>
          <w:rFonts w:ascii="Times New Roman" w:eastAsia="Calibri" w:hAnsi="Times New Roman" w:cs="Times New Roman"/>
          <w:color w:val="000000" w:themeColor="text1"/>
          <w:kern w:val="0"/>
          <w:sz w:val="24"/>
          <w:szCs w:val="24"/>
          <w:lang w:val="en-US"/>
          <w14:ligatures w14:val="none"/>
        </w:rPr>
        <w:t xml:space="preserve">. It aims to improve knowledge and leadership skills among HIV-positive youth, enable their </w:t>
      </w:r>
      <w:r w:rsidRPr="00460EC6">
        <w:rPr>
          <w:rFonts w:ascii="Times New Roman" w:eastAsia="Calibri" w:hAnsi="Times New Roman" w:cs="Times New Roman"/>
          <w:bCs/>
          <w:color w:val="000000" w:themeColor="text1"/>
          <w:kern w:val="0"/>
          <w:sz w:val="24"/>
          <w:szCs w:val="24"/>
          <w:lang w:val="en-US"/>
          <w14:ligatures w14:val="none"/>
        </w:rPr>
        <w:t>active participation</w:t>
      </w:r>
      <w:r w:rsidRPr="00460EC6">
        <w:rPr>
          <w:rFonts w:ascii="Times New Roman" w:eastAsia="Calibri" w:hAnsi="Times New Roman" w:cs="Times New Roman"/>
          <w:color w:val="000000" w:themeColor="text1"/>
          <w:kern w:val="0"/>
          <w:sz w:val="24"/>
          <w:szCs w:val="24"/>
          <w:lang w:val="en-US"/>
          <w14:ligatures w14:val="none"/>
        </w:rPr>
        <w:t xml:space="preserve"> in awareness and prevention programs, promote </w:t>
      </w:r>
      <w:r w:rsidRPr="00460EC6">
        <w:rPr>
          <w:rFonts w:ascii="Times New Roman" w:eastAsia="Calibri" w:hAnsi="Times New Roman" w:cs="Times New Roman"/>
          <w:bCs/>
          <w:color w:val="000000" w:themeColor="text1"/>
          <w:kern w:val="0"/>
          <w:sz w:val="24"/>
          <w:szCs w:val="24"/>
          <w:lang w:val="en-US"/>
          <w14:ligatures w14:val="none"/>
        </w:rPr>
        <w:t>peer-led support initiatives</w:t>
      </w:r>
      <w:r w:rsidRPr="00460EC6">
        <w:rPr>
          <w:rFonts w:ascii="Times New Roman" w:eastAsia="Calibri" w:hAnsi="Times New Roman" w:cs="Times New Roman"/>
          <w:color w:val="000000" w:themeColor="text1"/>
          <w:kern w:val="0"/>
          <w:sz w:val="24"/>
          <w:szCs w:val="24"/>
          <w:lang w:val="en-US"/>
          <w14:ligatures w14:val="none"/>
        </w:rPr>
        <w:t>, and foster their engagement in advocacy and decision-making platforms. These efforts contribute to a more inclusive and youth-responsive HIV/AIDS prevention and control strategy.</w:t>
      </w:r>
    </w:p>
    <w:p w14:paraId="17D9CEA9" w14:textId="6B3E569F"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The</w:t>
      </w:r>
      <w:r w:rsidRPr="00460EC6">
        <w:rPr>
          <w:rFonts w:ascii="Times New Roman" w:eastAsia="Calibri" w:hAnsi="Times New Roman" w:cs="Times New Roman"/>
          <w:color w:val="000000" w:themeColor="text1"/>
          <w:kern w:val="0"/>
          <w:sz w:val="24"/>
          <w:szCs w:val="24"/>
          <w:lang w:val="en-US"/>
          <w14:ligatures w14:val="none"/>
        </w:rPr>
        <w:t xml:space="preserv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committed to </w:t>
      </w:r>
      <w:r w:rsidRPr="00460EC6">
        <w:rPr>
          <w:rFonts w:ascii="Times New Roman" w:eastAsia="Calibri" w:hAnsi="Times New Roman" w:cs="Times New Roman"/>
          <w:bCs/>
          <w:color w:val="000000" w:themeColor="text1"/>
          <w:kern w:val="0"/>
          <w:sz w:val="24"/>
          <w:szCs w:val="24"/>
          <w:lang w:val="en-US"/>
          <w14:ligatures w14:val="none"/>
        </w:rPr>
        <w:t>eliminating malaria by 2030</w:t>
      </w:r>
      <w:r w:rsidRPr="00460EC6">
        <w:rPr>
          <w:rFonts w:ascii="Times New Roman" w:eastAsia="Calibri" w:hAnsi="Times New Roman" w:cs="Times New Roman"/>
          <w:color w:val="000000" w:themeColor="text1"/>
          <w:kern w:val="0"/>
          <w:sz w:val="24"/>
          <w:szCs w:val="24"/>
          <w:lang w:val="en-US"/>
          <w14:ligatures w14:val="none"/>
        </w:rPr>
        <w:t xml:space="preserve"> through a </w:t>
      </w:r>
      <w:r w:rsidRPr="00460EC6">
        <w:rPr>
          <w:rFonts w:ascii="Times New Roman" w:eastAsia="Calibri" w:hAnsi="Times New Roman" w:cs="Times New Roman"/>
          <w:bCs/>
          <w:color w:val="000000" w:themeColor="text1"/>
          <w:kern w:val="0"/>
          <w:sz w:val="24"/>
          <w:szCs w:val="24"/>
          <w:lang w:val="en-US"/>
          <w14:ligatures w14:val="none"/>
        </w:rPr>
        <w:t>phased approach</w:t>
      </w:r>
      <w:r w:rsidRPr="00460EC6">
        <w:rPr>
          <w:rFonts w:ascii="Times New Roman" w:eastAsia="Calibri" w:hAnsi="Times New Roman" w:cs="Times New Roman"/>
          <w:color w:val="000000" w:themeColor="text1"/>
          <w:kern w:val="0"/>
          <w:sz w:val="24"/>
          <w:szCs w:val="24"/>
          <w:lang w:val="en-US"/>
          <w14:ligatures w14:val="none"/>
        </w:rPr>
        <w:t xml:space="preserve"> that prioritizes </w:t>
      </w:r>
      <w:r w:rsidRPr="00460EC6">
        <w:rPr>
          <w:rFonts w:ascii="Times New Roman" w:eastAsia="Calibri" w:hAnsi="Times New Roman" w:cs="Times New Roman"/>
          <w:bCs/>
          <w:color w:val="000000" w:themeColor="text1"/>
          <w:kern w:val="0"/>
          <w:sz w:val="24"/>
          <w:szCs w:val="24"/>
          <w:lang w:val="en-US"/>
          <w14:ligatures w14:val="none"/>
        </w:rPr>
        <w:t>surveillance, vector control</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strengthening case detection and treatment</w:t>
      </w:r>
      <w:r w:rsidRPr="00460EC6">
        <w:rPr>
          <w:rFonts w:ascii="Times New Roman" w:eastAsia="Calibri" w:hAnsi="Times New Roman" w:cs="Times New Roman"/>
          <w:color w:val="000000" w:themeColor="text1"/>
          <w:kern w:val="0"/>
          <w:sz w:val="24"/>
          <w:szCs w:val="24"/>
          <w:lang w:val="en-US"/>
          <w14:ligatures w14:val="none"/>
        </w:rPr>
        <w:t>.</w:t>
      </w:r>
      <w:r w:rsidR="00292106"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color w:val="000000" w:themeColor="text1"/>
          <w:kern w:val="0"/>
          <w:sz w:val="24"/>
          <w:szCs w:val="24"/>
          <w:lang w:val="en-US"/>
          <w14:ligatures w14:val="none"/>
        </w:rPr>
        <w:t xml:space="preserve">Key vector control strategies include </w:t>
      </w:r>
      <w:r w:rsidRPr="00460EC6">
        <w:rPr>
          <w:rFonts w:ascii="Times New Roman" w:eastAsia="Calibri" w:hAnsi="Times New Roman" w:cs="Times New Roman"/>
          <w:bCs/>
          <w:color w:val="000000" w:themeColor="text1"/>
          <w:kern w:val="0"/>
          <w:sz w:val="24"/>
          <w:szCs w:val="24"/>
          <w:lang w:val="en-US"/>
          <w14:ligatures w14:val="none"/>
        </w:rPr>
        <w:t>distribution of long-lasting insecticide-treated nets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 xml:space="preserve">indoor residual spraying </w:t>
      </w:r>
      <w:r w:rsidRPr="00460EC6">
        <w:rPr>
          <w:rFonts w:ascii="Times New Roman" w:eastAsia="Calibri" w:hAnsi="Times New Roman" w:cs="Times New Roman"/>
          <w:color w:val="000000" w:themeColor="text1"/>
          <w:kern w:val="0"/>
          <w:sz w:val="24"/>
          <w:szCs w:val="24"/>
          <w:lang w:val="en-US"/>
          <w14:ligatures w14:val="none"/>
        </w:rPr>
        <w:t xml:space="preserve">of households with insecticides, while continuing to strengthen </w:t>
      </w:r>
      <w:r w:rsidRPr="00460EC6">
        <w:rPr>
          <w:rFonts w:ascii="Times New Roman" w:eastAsia="Calibri" w:hAnsi="Times New Roman" w:cs="Times New Roman"/>
          <w:bCs/>
          <w:color w:val="000000" w:themeColor="text1"/>
          <w:kern w:val="0"/>
          <w:sz w:val="24"/>
          <w:szCs w:val="24"/>
          <w:lang w:val="en-US"/>
          <w14:ligatures w14:val="none"/>
        </w:rPr>
        <w:t>access to effective malaria diagnosis and treatment</w:t>
      </w:r>
      <w:r w:rsidRPr="00460EC6">
        <w:rPr>
          <w:rFonts w:ascii="Times New Roman" w:eastAsia="Calibri" w:hAnsi="Times New Roman" w:cs="Times New Roman"/>
          <w:color w:val="000000" w:themeColor="text1"/>
          <w:kern w:val="0"/>
          <w:sz w:val="24"/>
          <w:szCs w:val="24"/>
          <w:lang w:val="en-US"/>
          <w14:ligatures w14:val="none"/>
        </w:rPr>
        <w:t xml:space="preserve"> at all levels of the health system to ensure all malaria patients receive </w:t>
      </w:r>
      <w:r w:rsidRPr="00460EC6">
        <w:rPr>
          <w:rFonts w:ascii="Times New Roman" w:eastAsia="Calibri" w:hAnsi="Times New Roman" w:cs="Times New Roman"/>
          <w:bCs/>
          <w:color w:val="000000" w:themeColor="text1"/>
          <w:kern w:val="0"/>
          <w:sz w:val="24"/>
          <w:szCs w:val="24"/>
          <w:lang w:val="en-US"/>
          <w14:ligatures w14:val="none"/>
        </w:rPr>
        <w:t>timely and appropriate care</w:t>
      </w:r>
      <w:r w:rsidRPr="00460EC6">
        <w:rPr>
          <w:rFonts w:ascii="Times New Roman" w:eastAsia="Calibri" w:hAnsi="Times New Roman" w:cs="Times New Roman"/>
          <w:color w:val="000000" w:themeColor="text1"/>
          <w:kern w:val="0"/>
          <w:sz w:val="24"/>
          <w:szCs w:val="24"/>
          <w:lang w:val="en-US"/>
          <w14:ligatures w14:val="none"/>
        </w:rPr>
        <w:t xml:space="preserve">. </w:t>
      </w:r>
    </w:p>
    <w:p w14:paraId="19D9E4D1"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In response to a rise</w:t>
      </w:r>
      <w:r w:rsidRPr="00460EC6">
        <w:rPr>
          <w:rFonts w:ascii="Times New Roman" w:eastAsia="Calibri" w:hAnsi="Times New Roman" w:cs="Times New Roman"/>
          <w:bCs/>
          <w:color w:val="000000" w:themeColor="text1"/>
          <w:kern w:val="0"/>
          <w:sz w:val="24"/>
          <w:szCs w:val="24"/>
          <w:lang w:val="en-US"/>
          <w14:ligatures w14:val="none"/>
        </w:rPr>
        <w:t xml:space="preserve"> in malaria cases</w:t>
      </w:r>
      <w:r w:rsidRPr="00460EC6">
        <w:rPr>
          <w:rFonts w:ascii="Times New Roman" w:eastAsia="Calibri" w:hAnsi="Times New Roman" w:cs="Times New Roman"/>
          <w:color w:val="000000" w:themeColor="text1"/>
          <w:kern w:val="0"/>
          <w:sz w:val="24"/>
          <w:szCs w:val="24"/>
          <w:lang w:val="en-US"/>
          <w14:ligatures w14:val="none"/>
        </w:rPr>
        <w:t xml:space="preserve"> over the past five years,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identified and prioritized </w:t>
      </w:r>
      <w:r w:rsidRPr="00460EC6">
        <w:rPr>
          <w:rFonts w:ascii="Times New Roman" w:eastAsia="Calibri" w:hAnsi="Times New Roman" w:cs="Times New Roman"/>
          <w:bCs/>
          <w:color w:val="000000" w:themeColor="text1"/>
          <w:kern w:val="0"/>
          <w:sz w:val="24"/>
          <w:szCs w:val="24"/>
          <w:lang w:val="en-US"/>
          <w14:ligatures w14:val="none"/>
        </w:rPr>
        <w:t>222 districts</w:t>
      </w:r>
      <w:r w:rsidRPr="00460EC6">
        <w:rPr>
          <w:rFonts w:ascii="Times New Roman" w:eastAsia="Calibri" w:hAnsi="Times New Roman" w:cs="Times New Roman"/>
          <w:color w:val="000000" w:themeColor="text1"/>
          <w:kern w:val="0"/>
          <w:sz w:val="24"/>
          <w:szCs w:val="24"/>
          <w:lang w:val="en-US"/>
          <w14:ligatures w14:val="none"/>
        </w:rPr>
        <w:t xml:space="preserve"> as </w:t>
      </w:r>
      <w:r w:rsidRPr="00460EC6">
        <w:rPr>
          <w:rFonts w:ascii="Times New Roman" w:eastAsia="Calibri" w:hAnsi="Times New Roman" w:cs="Times New Roman"/>
          <w:bCs/>
          <w:color w:val="000000" w:themeColor="text1"/>
          <w:kern w:val="0"/>
          <w:sz w:val="24"/>
          <w:szCs w:val="24"/>
          <w:lang w:val="en-US"/>
          <w14:ligatures w14:val="none"/>
        </w:rPr>
        <w:t>high-burden areas</w:t>
      </w:r>
      <w:r w:rsidRPr="00460EC6">
        <w:rPr>
          <w:rFonts w:ascii="Times New Roman" w:eastAsia="Calibri" w:hAnsi="Times New Roman" w:cs="Times New Roman"/>
          <w:color w:val="000000" w:themeColor="text1"/>
          <w:kern w:val="0"/>
          <w:sz w:val="24"/>
          <w:szCs w:val="24"/>
          <w:lang w:val="en-US"/>
          <w14:ligatures w14:val="none"/>
        </w:rPr>
        <w:t xml:space="preserve">. Resources have been mobilized, and rapid response teams have been deployed in coordination with </w:t>
      </w:r>
      <w:r w:rsidRPr="00460EC6">
        <w:rPr>
          <w:rFonts w:ascii="Times New Roman" w:eastAsia="Calibri" w:hAnsi="Times New Roman" w:cs="Times New Roman"/>
          <w:bCs/>
          <w:color w:val="000000" w:themeColor="text1"/>
          <w:kern w:val="0"/>
          <w:sz w:val="24"/>
          <w:szCs w:val="24"/>
          <w:lang w:val="en-US"/>
          <w14:ligatures w14:val="none"/>
        </w:rPr>
        <w:t>implementing partners</w:t>
      </w:r>
      <w:r w:rsidRPr="00460EC6">
        <w:rPr>
          <w:rFonts w:ascii="Times New Roman" w:eastAsia="Calibri" w:hAnsi="Times New Roman" w:cs="Times New Roman"/>
          <w:color w:val="000000" w:themeColor="text1"/>
          <w:kern w:val="0"/>
          <w:sz w:val="24"/>
          <w:szCs w:val="24"/>
          <w:lang w:val="en-US"/>
          <w14:ligatures w14:val="none"/>
        </w:rPr>
        <w:t xml:space="preserve"> to intensify interventions in these districts.</w:t>
      </w:r>
    </w:p>
    <w:p w14:paraId="572BDAF9"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bCs/>
          <w:color w:val="000000" w:themeColor="text1"/>
          <w:kern w:val="0"/>
          <w:sz w:val="24"/>
          <w:szCs w:val="24"/>
          <w:lang w:val="en-US"/>
          <w14:ligatures w14:val="none"/>
        </w:rPr>
        <w:t>GoE</w:t>
      </w:r>
      <w:proofErr w:type="spellEnd"/>
      <w:r w:rsidRPr="00460EC6">
        <w:rPr>
          <w:rFonts w:ascii="Times New Roman" w:eastAsia="Calibri" w:hAnsi="Times New Roman" w:cs="Times New Roman"/>
          <w:bCs/>
          <w:color w:val="000000" w:themeColor="text1"/>
          <w:kern w:val="0"/>
          <w:sz w:val="24"/>
          <w:szCs w:val="24"/>
          <w:lang w:val="en-US"/>
          <w14:ligatures w14:val="none"/>
        </w:rPr>
        <w:t xml:space="preserve"> has expressed its commitment to end the TB epidemic by 2035 and eliminating leprosy by 2030</w:t>
      </w:r>
      <w:r w:rsidRPr="00460EC6">
        <w:rPr>
          <w:rFonts w:ascii="Times New Roman" w:eastAsia="Calibri" w:hAnsi="Times New Roman" w:cs="Times New Roman"/>
          <w:color w:val="000000" w:themeColor="text1"/>
          <w:kern w:val="0"/>
          <w:sz w:val="24"/>
          <w:szCs w:val="24"/>
          <w:lang w:val="en-US"/>
          <w14:ligatures w14:val="none"/>
        </w:rPr>
        <w:t xml:space="preserve">, in line with global targets with </w:t>
      </w:r>
      <w:r w:rsidRPr="00460EC6">
        <w:rPr>
          <w:rFonts w:ascii="Times New Roman" w:eastAsia="Calibri" w:hAnsi="Times New Roman" w:cs="Times New Roman"/>
          <w:bCs/>
          <w:color w:val="000000" w:themeColor="text1"/>
          <w:kern w:val="0"/>
          <w:sz w:val="24"/>
          <w:szCs w:val="24"/>
          <w:lang w:val="en-US"/>
          <w14:ligatures w14:val="none"/>
        </w:rPr>
        <w:t>TB incidence decreased by 34%</w:t>
      </w:r>
      <w:r w:rsidRPr="00460EC6">
        <w:rPr>
          <w:rFonts w:ascii="Times New Roman" w:eastAsia="Calibri" w:hAnsi="Times New Roman" w:cs="Times New Roman"/>
          <w:color w:val="000000" w:themeColor="text1"/>
          <w:kern w:val="0"/>
          <w:sz w:val="24"/>
          <w:szCs w:val="24"/>
          <w:lang w:val="en-US"/>
          <w14:ligatures w14:val="none"/>
        </w:rPr>
        <w:t xml:space="preserve">, from </w:t>
      </w:r>
      <w:r w:rsidRPr="00460EC6">
        <w:rPr>
          <w:rFonts w:ascii="Times New Roman" w:eastAsia="Calibri" w:hAnsi="Times New Roman" w:cs="Times New Roman"/>
          <w:bCs/>
          <w:color w:val="000000" w:themeColor="text1"/>
          <w:kern w:val="0"/>
          <w:sz w:val="24"/>
          <w:szCs w:val="24"/>
          <w:lang w:val="en-US"/>
          <w14:ligatures w14:val="none"/>
        </w:rPr>
        <w:t>192 cases per 100,000 population in 2015</w:t>
      </w:r>
      <w:r w:rsidRPr="00460EC6">
        <w:rPr>
          <w:rFonts w:ascii="Times New Roman" w:eastAsia="Calibri" w:hAnsi="Times New Roman" w:cs="Times New Roman"/>
          <w:color w:val="000000" w:themeColor="text1"/>
          <w:kern w:val="0"/>
          <w:sz w:val="24"/>
          <w:szCs w:val="24"/>
          <w:lang w:val="en-US"/>
          <w14:ligatures w14:val="none"/>
        </w:rPr>
        <w:t xml:space="preserve"> to </w:t>
      </w:r>
      <w:r w:rsidRPr="00460EC6">
        <w:rPr>
          <w:rFonts w:ascii="Times New Roman" w:eastAsia="Calibri" w:hAnsi="Times New Roman" w:cs="Times New Roman"/>
          <w:bCs/>
          <w:color w:val="000000" w:themeColor="text1"/>
          <w:kern w:val="0"/>
          <w:sz w:val="24"/>
          <w:szCs w:val="24"/>
          <w:lang w:val="en-US"/>
          <w14:ligatures w14:val="none"/>
        </w:rPr>
        <w:t xml:space="preserve">126 cases per 100,000 in 2022. </w:t>
      </w:r>
    </w:p>
    <w:p w14:paraId="487C7360"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In 2022, Ethiopia was removed from the World Health Organization’s (WHO) list of high-burden countries for Multi-</w:t>
      </w:r>
      <w:proofErr w:type="gramStart"/>
      <w:r w:rsidRPr="00460EC6">
        <w:rPr>
          <w:rFonts w:ascii="Times New Roman" w:eastAsia="Calibri" w:hAnsi="Times New Roman" w:cs="Times New Roman"/>
          <w:bCs/>
          <w:color w:val="000000" w:themeColor="text1"/>
          <w:kern w:val="0"/>
          <w:sz w:val="24"/>
          <w:szCs w:val="24"/>
          <w:lang w:val="en-US"/>
          <w14:ligatures w14:val="none"/>
        </w:rPr>
        <w:t>Drug Resistant</w:t>
      </w:r>
      <w:proofErr w:type="gramEnd"/>
      <w:r w:rsidRPr="00460EC6">
        <w:rPr>
          <w:rFonts w:ascii="Times New Roman" w:eastAsia="Calibri" w:hAnsi="Times New Roman" w:cs="Times New Roman"/>
          <w:bCs/>
          <w:color w:val="000000" w:themeColor="text1"/>
          <w:kern w:val="0"/>
          <w:sz w:val="24"/>
          <w:szCs w:val="24"/>
          <w:lang w:val="en-US"/>
          <w14:ligatures w14:val="none"/>
        </w:rPr>
        <w:t xml:space="preserve"> Tuberculosis (MDR-TB). Between 2019/20 and 2023/24, TB treatment coverage rose dramatically from 71% to 100%, ensuring that all newly diagnosed TB cases received treatment in accordance with national protocols. As a result, by 2024, the country achieved a TB treatment success rate of 94.5% and a cure rate of 85.6%, reflecting improvements in both diagnosis and case management.</w:t>
      </w:r>
    </w:p>
    <w:p w14:paraId="6962F972"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In </w:t>
      </w:r>
      <w:r w:rsidRPr="00460EC6">
        <w:rPr>
          <w:rFonts w:ascii="Times New Roman" w:eastAsia="Calibri" w:hAnsi="Times New Roman" w:cs="Times New Roman"/>
          <w:bCs/>
          <w:color w:val="000000" w:themeColor="text1"/>
          <w:kern w:val="0"/>
          <w:sz w:val="24"/>
          <w:szCs w:val="24"/>
          <w:lang w:val="en-US"/>
          <w14:ligatures w14:val="none"/>
        </w:rPr>
        <w:t>2023/24</w:t>
      </w:r>
      <w:r w:rsidRPr="00460EC6">
        <w:rPr>
          <w:rFonts w:ascii="Times New Roman" w:eastAsia="Calibri" w:hAnsi="Times New Roman" w:cs="Times New Roman"/>
          <w:color w:val="000000" w:themeColor="text1"/>
          <w:kern w:val="0"/>
          <w:sz w:val="24"/>
          <w:szCs w:val="24"/>
          <w:lang w:val="en-US"/>
          <w14:ligatures w14:val="none"/>
        </w:rPr>
        <w:t xml:space="preserve">, Ethiopia reported </w:t>
      </w:r>
      <w:r w:rsidRPr="00460EC6">
        <w:rPr>
          <w:rFonts w:ascii="Times New Roman" w:eastAsia="Calibri" w:hAnsi="Times New Roman" w:cs="Times New Roman"/>
          <w:bCs/>
          <w:color w:val="000000" w:themeColor="text1"/>
          <w:kern w:val="0"/>
          <w:sz w:val="24"/>
          <w:szCs w:val="24"/>
          <w:lang w:val="en-US"/>
          <w14:ligatures w14:val="none"/>
        </w:rPr>
        <w:t>2,519 new leprosy cases</w:t>
      </w:r>
      <w:r w:rsidRPr="00460EC6">
        <w:rPr>
          <w:rFonts w:ascii="Times New Roman" w:eastAsia="Calibri" w:hAnsi="Times New Roman" w:cs="Times New Roman"/>
          <w:color w:val="000000" w:themeColor="text1"/>
          <w:kern w:val="0"/>
          <w:sz w:val="24"/>
          <w:szCs w:val="24"/>
          <w:lang w:val="en-US"/>
          <w14:ligatures w14:val="none"/>
        </w:rPr>
        <w:t xml:space="preserve">, with a national incidence of </w:t>
      </w:r>
      <w:r w:rsidRPr="00460EC6">
        <w:rPr>
          <w:rFonts w:ascii="Times New Roman" w:eastAsia="Calibri" w:hAnsi="Times New Roman" w:cs="Times New Roman"/>
          <w:bCs/>
          <w:color w:val="000000" w:themeColor="text1"/>
          <w:kern w:val="0"/>
          <w:sz w:val="24"/>
          <w:szCs w:val="24"/>
          <w:lang w:val="en-US"/>
          <w14:ligatures w14:val="none"/>
        </w:rPr>
        <w:t>0.23 per 10,000 populations</w:t>
      </w:r>
      <w:r w:rsidRPr="00460EC6">
        <w:rPr>
          <w:rFonts w:ascii="Times New Roman" w:eastAsia="Calibri" w:hAnsi="Times New Roman" w:cs="Times New Roman"/>
          <w:color w:val="000000" w:themeColor="text1"/>
          <w:kern w:val="0"/>
          <w:sz w:val="24"/>
          <w:szCs w:val="24"/>
          <w:lang w:val="en-US"/>
          <w14:ligatures w14:val="none"/>
        </w:rPr>
        <w:t xml:space="preserve">. Treatment outcomes remained strong, with a </w:t>
      </w:r>
      <w:r w:rsidRPr="00460EC6">
        <w:rPr>
          <w:rFonts w:ascii="Times New Roman" w:eastAsia="Calibri" w:hAnsi="Times New Roman" w:cs="Times New Roman"/>
          <w:bCs/>
          <w:color w:val="000000" w:themeColor="text1"/>
          <w:kern w:val="0"/>
          <w:sz w:val="24"/>
          <w:szCs w:val="24"/>
          <w:lang w:val="en-US"/>
          <w14:ligatures w14:val="none"/>
        </w:rPr>
        <w:t>completion rate of 93.4% for Pauci-Bacillary cases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 xml:space="preserve">89.8% for </w:t>
      </w:r>
      <w:proofErr w:type="gramStart"/>
      <w:r w:rsidRPr="00460EC6">
        <w:rPr>
          <w:rFonts w:ascii="Times New Roman" w:eastAsia="Calibri" w:hAnsi="Times New Roman" w:cs="Times New Roman"/>
          <w:bCs/>
          <w:color w:val="000000" w:themeColor="text1"/>
          <w:kern w:val="0"/>
          <w:sz w:val="24"/>
          <w:szCs w:val="24"/>
          <w:lang w:val="en-US"/>
          <w14:ligatures w14:val="none"/>
        </w:rPr>
        <w:t>Multi-Bacillary</w:t>
      </w:r>
      <w:proofErr w:type="gramEnd"/>
      <w:r w:rsidRPr="00460EC6">
        <w:rPr>
          <w:rFonts w:ascii="Times New Roman" w:eastAsia="Calibri" w:hAnsi="Times New Roman" w:cs="Times New Roman"/>
          <w:bCs/>
          <w:color w:val="000000" w:themeColor="text1"/>
          <w:kern w:val="0"/>
          <w:sz w:val="24"/>
          <w:szCs w:val="24"/>
          <w:lang w:val="en-US"/>
          <w14:ligatures w14:val="none"/>
        </w:rPr>
        <w:t xml:space="preserve"> cases</w:t>
      </w:r>
      <w:r w:rsidRPr="00460EC6">
        <w:rPr>
          <w:rFonts w:ascii="Times New Roman" w:eastAsia="Calibri" w:hAnsi="Times New Roman" w:cs="Times New Roman"/>
          <w:color w:val="000000" w:themeColor="text1"/>
          <w:kern w:val="0"/>
          <w:sz w:val="24"/>
          <w:szCs w:val="24"/>
          <w:lang w:val="en-US"/>
          <w14:ligatures w14:val="none"/>
        </w:rPr>
        <w:t>.</w:t>
      </w:r>
    </w:p>
    <w:p w14:paraId="150886D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lastRenderedPageBreak/>
        <w:t>Recognizing the increasing burden of NCDs</w:t>
      </w:r>
      <w:r w:rsidRPr="00460EC6">
        <w:rPr>
          <w:rFonts w:ascii="Times New Roman" w:eastAsia="Calibri" w:hAnsi="Times New Roman" w:cs="Times New Roman"/>
          <w:color w:val="000000" w:themeColor="text1"/>
          <w:kern w:val="0"/>
          <w:sz w:val="24"/>
          <w:szCs w:val="24"/>
          <w:lang w:val="en-US"/>
          <w14:ligatures w14:val="none"/>
        </w:rPr>
        <w:t xml:space="preserve">,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developed a </w:t>
      </w:r>
      <w:r w:rsidRPr="00460EC6">
        <w:rPr>
          <w:rFonts w:ascii="Times New Roman" w:eastAsia="Calibri" w:hAnsi="Times New Roman" w:cs="Times New Roman"/>
          <w:bCs/>
          <w:color w:val="000000" w:themeColor="text1"/>
          <w:kern w:val="0"/>
          <w:sz w:val="24"/>
          <w:szCs w:val="24"/>
          <w:lang w:val="en-US"/>
          <w14:ligatures w14:val="none"/>
        </w:rPr>
        <w:t>comprehensive strategic plan</w:t>
      </w:r>
      <w:r w:rsidRPr="00460EC6">
        <w:rPr>
          <w:rFonts w:ascii="Times New Roman" w:eastAsia="Calibri" w:hAnsi="Times New Roman" w:cs="Times New Roman"/>
          <w:color w:val="000000" w:themeColor="text1"/>
          <w:kern w:val="0"/>
          <w:sz w:val="24"/>
          <w:szCs w:val="24"/>
          <w:lang w:val="en-US"/>
          <w14:ligatures w14:val="none"/>
        </w:rPr>
        <w:t xml:space="preserve"> for the </w:t>
      </w:r>
      <w:r w:rsidRPr="00460EC6">
        <w:rPr>
          <w:rFonts w:ascii="Times New Roman" w:eastAsia="Calibri" w:hAnsi="Times New Roman" w:cs="Times New Roman"/>
          <w:bCs/>
          <w:color w:val="000000" w:themeColor="text1"/>
          <w:kern w:val="0"/>
          <w:sz w:val="24"/>
          <w:szCs w:val="24"/>
          <w:lang w:val="en-US"/>
          <w14:ligatures w14:val="none"/>
        </w:rPr>
        <w:t>prevention and control of NCDs and their associated risk factors</w:t>
      </w:r>
      <w:r w:rsidRPr="00460EC6">
        <w:rPr>
          <w:rFonts w:ascii="Times New Roman" w:eastAsia="Calibri" w:hAnsi="Times New Roman" w:cs="Times New Roman"/>
          <w:color w:val="000000" w:themeColor="text1"/>
          <w:kern w:val="0"/>
          <w:sz w:val="24"/>
          <w:szCs w:val="24"/>
          <w:lang w:val="en-US"/>
          <w14:ligatures w14:val="none"/>
        </w:rPr>
        <w:t xml:space="preserve">. It prioritizes the </w:t>
      </w:r>
      <w:r w:rsidRPr="00460EC6">
        <w:rPr>
          <w:rFonts w:ascii="Times New Roman" w:eastAsia="Calibri" w:hAnsi="Times New Roman" w:cs="Times New Roman"/>
          <w:bCs/>
          <w:color w:val="000000" w:themeColor="text1"/>
          <w:kern w:val="0"/>
          <w:sz w:val="24"/>
          <w:szCs w:val="24"/>
          <w:lang w:val="en-US"/>
          <w14:ligatures w14:val="none"/>
        </w:rPr>
        <w:t>reduction of modifiable risk behaviors</w:t>
      </w:r>
      <w:r w:rsidRPr="00460EC6">
        <w:rPr>
          <w:rFonts w:ascii="Times New Roman" w:eastAsia="Calibri" w:hAnsi="Times New Roman" w:cs="Times New Roman"/>
          <w:color w:val="000000" w:themeColor="text1"/>
          <w:kern w:val="0"/>
          <w:sz w:val="24"/>
          <w:szCs w:val="24"/>
          <w:lang w:val="en-US"/>
          <w14:ligatures w14:val="none"/>
        </w:rPr>
        <w:t xml:space="preserve"> such as unhealthy diet, physical inactivity, tobacco use, and harmful use of alcohol and the </w:t>
      </w:r>
      <w:r w:rsidRPr="00460EC6">
        <w:rPr>
          <w:rFonts w:ascii="Times New Roman" w:eastAsia="Calibri" w:hAnsi="Times New Roman" w:cs="Times New Roman"/>
          <w:bCs/>
          <w:color w:val="000000" w:themeColor="text1"/>
          <w:kern w:val="0"/>
          <w:sz w:val="24"/>
          <w:szCs w:val="24"/>
          <w:lang w:val="en-US"/>
          <w14:ligatures w14:val="none"/>
        </w:rPr>
        <w:t>integration of NCD prevention, diagnosis, and treatment</w:t>
      </w:r>
      <w:r w:rsidRPr="00460EC6">
        <w:rPr>
          <w:rFonts w:ascii="Times New Roman" w:eastAsia="Calibri" w:hAnsi="Times New Roman" w:cs="Times New Roman"/>
          <w:color w:val="000000" w:themeColor="text1"/>
          <w:kern w:val="0"/>
          <w:sz w:val="24"/>
          <w:szCs w:val="24"/>
          <w:lang w:val="en-US"/>
          <w14:ligatures w14:val="none"/>
        </w:rPr>
        <w:t xml:space="preserve"> into the broader health system.</w:t>
      </w:r>
    </w:p>
    <w:p w14:paraId="032AE78A"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14:ligatures w14:val="none"/>
        </w:rPr>
        <w:t>Awareness-raising efforts have been actively undertaken to control the spread of NCDs.</w:t>
      </w:r>
      <w:r w:rsidRPr="00460EC6">
        <w:rPr>
          <w:rFonts w:ascii="Times New Roman" w:eastAsia="Calibri" w:hAnsi="Times New Roman" w:cs="Times New Roman"/>
          <w:color w:val="000000" w:themeColor="text1"/>
          <w:kern w:val="0"/>
          <w:sz w:val="24"/>
          <w:szCs w:val="24"/>
          <w14:ligatures w14:val="none"/>
        </w:rPr>
        <w:t xml:space="preserve"> To this end, </w:t>
      </w:r>
      <w:r w:rsidRPr="00460EC6">
        <w:rPr>
          <w:rFonts w:ascii="Times New Roman" w:eastAsia="Calibri" w:hAnsi="Times New Roman" w:cs="Times New Roman"/>
          <w:bCs/>
          <w:color w:val="000000" w:themeColor="text1"/>
          <w:kern w:val="0"/>
          <w:sz w:val="24"/>
          <w:szCs w:val="24"/>
          <w14:ligatures w14:val="none"/>
        </w:rPr>
        <w:t>various public health messages</w:t>
      </w:r>
      <w:r w:rsidRPr="00460EC6">
        <w:rPr>
          <w:rFonts w:ascii="Times New Roman" w:eastAsia="Calibri" w:hAnsi="Times New Roman" w:cs="Times New Roman"/>
          <w:color w:val="000000" w:themeColor="text1"/>
          <w:kern w:val="0"/>
          <w:sz w:val="24"/>
          <w:szCs w:val="24"/>
          <w14:ligatures w14:val="none"/>
        </w:rPr>
        <w:t xml:space="preserve"> have been disseminated through multiple platforms to </w:t>
      </w:r>
      <w:r w:rsidRPr="00460EC6">
        <w:rPr>
          <w:rFonts w:ascii="Times New Roman" w:eastAsia="Calibri" w:hAnsi="Times New Roman" w:cs="Times New Roman"/>
          <w:bCs/>
          <w:color w:val="000000" w:themeColor="text1"/>
          <w:kern w:val="0"/>
          <w:sz w:val="24"/>
          <w:szCs w:val="24"/>
          <w14:ligatures w14:val="none"/>
        </w:rPr>
        <w:t>educate and inform the public about prevention and control strategies</w:t>
      </w:r>
      <w:r w:rsidRPr="00460EC6">
        <w:rPr>
          <w:rFonts w:ascii="Times New Roman" w:eastAsia="Calibri" w:hAnsi="Times New Roman" w:cs="Times New Roman"/>
          <w:color w:val="000000" w:themeColor="text1"/>
          <w:kern w:val="0"/>
          <w:sz w:val="24"/>
          <w:szCs w:val="24"/>
          <w14:ligatures w14:val="none"/>
        </w:rPr>
        <w:t>, including healthy lifestyle practices, early detection, and treatment adherence.</w:t>
      </w:r>
    </w:p>
    <w:p w14:paraId="20015A66"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Since 2019, Ethiopia has implemented a nationwide "Car-Free Day" initiative on a monthly basis.</w:t>
      </w:r>
      <w:r w:rsidRPr="00460EC6">
        <w:rPr>
          <w:rFonts w:ascii="Times New Roman" w:eastAsia="Calibri" w:hAnsi="Times New Roman" w:cs="Times New Roman"/>
          <w:color w:val="000000" w:themeColor="text1"/>
          <w:kern w:val="0"/>
          <w:sz w:val="24"/>
          <w:szCs w:val="24"/>
          <w:lang w:val="en-US"/>
          <w14:ligatures w14:val="none"/>
        </w:rPr>
        <w:t xml:space="preserve"> The initiative promotes </w:t>
      </w:r>
      <w:r w:rsidRPr="00460EC6">
        <w:rPr>
          <w:rFonts w:ascii="Times New Roman" w:eastAsia="Calibri" w:hAnsi="Times New Roman" w:cs="Times New Roman"/>
          <w:bCs/>
          <w:color w:val="000000" w:themeColor="text1"/>
          <w:kern w:val="0"/>
          <w:sz w:val="24"/>
          <w:szCs w:val="24"/>
          <w:lang w:val="en-US"/>
          <w14:ligatures w14:val="none"/>
        </w:rPr>
        <w:t>public awareness on healthy lifestyles</w:t>
      </w:r>
      <w:r w:rsidRPr="00460EC6">
        <w:rPr>
          <w:rFonts w:ascii="Times New Roman" w:eastAsia="Calibri" w:hAnsi="Times New Roman" w:cs="Times New Roman"/>
          <w:color w:val="000000" w:themeColor="text1"/>
          <w:kern w:val="0"/>
          <w:sz w:val="24"/>
          <w:szCs w:val="24"/>
          <w:lang w:val="en-US"/>
          <w14:ligatures w14:val="none"/>
        </w:rPr>
        <w:t xml:space="preserve"> by encouraging </w:t>
      </w:r>
      <w:r w:rsidRPr="00460EC6">
        <w:rPr>
          <w:rFonts w:ascii="Times New Roman" w:eastAsia="Calibri" w:hAnsi="Times New Roman" w:cs="Times New Roman"/>
          <w:bCs/>
          <w:color w:val="000000" w:themeColor="text1"/>
          <w:kern w:val="0"/>
          <w:sz w:val="24"/>
          <w:szCs w:val="24"/>
          <w:lang w:val="en-US"/>
          <w14:ligatures w14:val="none"/>
        </w:rPr>
        <w:t>physical activity</w:t>
      </w:r>
      <w:r w:rsidRPr="00460EC6">
        <w:rPr>
          <w:rFonts w:ascii="Times New Roman" w:eastAsia="Calibri" w:hAnsi="Times New Roman" w:cs="Times New Roman"/>
          <w:color w:val="000000" w:themeColor="text1"/>
          <w:kern w:val="0"/>
          <w:sz w:val="24"/>
          <w:szCs w:val="24"/>
          <w:lang w:val="en-US"/>
          <w14:ligatures w14:val="none"/>
        </w:rPr>
        <w:t xml:space="preserve">, providing </w:t>
      </w:r>
      <w:r w:rsidRPr="00460EC6">
        <w:rPr>
          <w:rFonts w:ascii="Times New Roman" w:eastAsia="Calibri" w:hAnsi="Times New Roman" w:cs="Times New Roman"/>
          <w:bCs/>
          <w:color w:val="000000" w:themeColor="text1"/>
          <w:kern w:val="0"/>
          <w:sz w:val="24"/>
          <w:szCs w:val="24"/>
          <w:lang w:val="en-US"/>
          <w14:ligatures w14:val="none"/>
        </w:rPr>
        <w:t>free health check-ups</w:t>
      </w:r>
      <w:r w:rsidRPr="00460EC6">
        <w:rPr>
          <w:rFonts w:ascii="Times New Roman" w:eastAsia="Calibri" w:hAnsi="Times New Roman" w:cs="Times New Roman"/>
          <w:color w:val="000000" w:themeColor="text1"/>
          <w:kern w:val="0"/>
          <w:sz w:val="24"/>
          <w:szCs w:val="24"/>
          <w:lang w:val="en-US"/>
          <w14:ligatures w14:val="none"/>
        </w:rPr>
        <w:t xml:space="preserve">, and creating platforms for </w:t>
      </w:r>
      <w:r w:rsidRPr="00460EC6">
        <w:rPr>
          <w:rFonts w:ascii="Times New Roman" w:eastAsia="Calibri" w:hAnsi="Times New Roman" w:cs="Times New Roman"/>
          <w:bCs/>
          <w:color w:val="000000" w:themeColor="text1"/>
          <w:kern w:val="0"/>
          <w:sz w:val="24"/>
          <w:szCs w:val="24"/>
          <w:lang w:val="en-US"/>
          <w14:ligatures w14:val="none"/>
        </w:rPr>
        <w:t>health education and community engagement</w:t>
      </w:r>
      <w:r w:rsidRPr="00460EC6">
        <w:rPr>
          <w:rFonts w:ascii="Times New Roman" w:eastAsia="Calibri" w:hAnsi="Times New Roman" w:cs="Times New Roman"/>
          <w:color w:val="000000" w:themeColor="text1"/>
          <w:kern w:val="0"/>
          <w:sz w:val="24"/>
          <w:szCs w:val="24"/>
          <w:lang w:val="en-US"/>
          <w14:ligatures w14:val="none"/>
        </w:rPr>
        <w:t>. It has become a key tool in raising awareness about the prevention and control of NCDs and promoting overall well-being.</w:t>
      </w:r>
    </w:p>
    <w:p w14:paraId="6EF5B68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By </w:t>
      </w:r>
      <w:r w:rsidRPr="00460EC6">
        <w:rPr>
          <w:rFonts w:ascii="Times New Roman" w:eastAsia="Calibri" w:hAnsi="Times New Roman" w:cs="Times New Roman"/>
          <w:bCs/>
          <w:color w:val="000000" w:themeColor="text1"/>
          <w:kern w:val="0"/>
          <w:sz w:val="24"/>
          <w:szCs w:val="24"/>
          <w:lang w:val="en-US"/>
          <w14:ligatures w14:val="none"/>
        </w:rPr>
        <w:t>2022</w:t>
      </w:r>
      <w:r w:rsidRPr="00460EC6">
        <w:rPr>
          <w:rFonts w:ascii="Times New Roman" w:eastAsia="Calibri" w:hAnsi="Times New Roman" w:cs="Times New Roman"/>
          <w:color w:val="000000" w:themeColor="text1"/>
          <w:kern w:val="0"/>
          <w:sz w:val="24"/>
          <w:szCs w:val="24"/>
          <w:lang w:val="en-US"/>
          <w14:ligatures w14:val="none"/>
        </w:rPr>
        <w:t xml:space="preserve">, significant progress had been made, with </w:t>
      </w:r>
      <w:r w:rsidRPr="00460EC6">
        <w:rPr>
          <w:rFonts w:ascii="Times New Roman" w:eastAsia="Calibri" w:hAnsi="Times New Roman" w:cs="Times New Roman"/>
          <w:bCs/>
          <w:color w:val="000000" w:themeColor="text1"/>
          <w:kern w:val="0"/>
          <w:sz w:val="24"/>
          <w:szCs w:val="24"/>
          <w:lang w:val="en-US"/>
          <w14:ligatures w14:val="none"/>
        </w:rPr>
        <w:t>80% of health facilities across the country</w:t>
      </w:r>
      <w:r w:rsidRPr="00460EC6">
        <w:rPr>
          <w:rFonts w:ascii="Times New Roman" w:eastAsia="Calibri" w:hAnsi="Times New Roman" w:cs="Times New Roman"/>
          <w:color w:val="000000" w:themeColor="text1"/>
          <w:kern w:val="0"/>
          <w:sz w:val="24"/>
          <w:szCs w:val="24"/>
          <w:lang w:val="en-US"/>
          <w14:ligatures w14:val="none"/>
        </w:rPr>
        <w:t xml:space="preserve"> providing services for the </w:t>
      </w:r>
      <w:r w:rsidRPr="00460EC6">
        <w:rPr>
          <w:rFonts w:ascii="Times New Roman" w:eastAsia="Calibri" w:hAnsi="Times New Roman" w:cs="Times New Roman"/>
          <w:bCs/>
          <w:color w:val="000000" w:themeColor="text1"/>
          <w:kern w:val="0"/>
          <w:sz w:val="24"/>
          <w:szCs w:val="24"/>
          <w:lang w:val="en-US"/>
          <w14:ligatures w14:val="none"/>
        </w:rPr>
        <w:t>diagnosis, treatment, and management of major NCDs</w:t>
      </w:r>
      <w:r w:rsidRPr="00460EC6">
        <w:rPr>
          <w:rFonts w:ascii="Times New Roman" w:eastAsia="Calibri" w:hAnsi="Times New Roman" w:cs="Times New Roman"/>
          <w:color w:val="000000" w:themeColor="text1"/>
          <w:kern w:val="0"/>
          <w:sz w:val="24"/>
          <w:szCs w:val="24"/>
          <w:lang w:val="en-US"/>
          <w14:ligatures w14:val="none"/>
        </w:rPr>
        <w:t>, including cardiovascular diseases, diabetes, chronic respiratory diseases, and cancer.</w:t>
      </w:r>
    </w:p>
    <w:p w14:paraId="6369123E"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w:t>
      </w:r>
      <w:r w:rsidRPr="00460EC6">
        <w:rPr>
          <w:rFonts w:ascii="Times New Roman" w:eastAsia="Calibri" w:hAnsi="Times New Roman" w:cs="Times New Roman"/>
          <w:bCs/>
          <w:color w:val="000000" w:themeColor="text1"/>
          <w:kern w:val="0"/>
          <w:sz w:val="24"/>
          <w:szCs w:val="24"/>
          <w:lang w:val="en-US"/>
          <w14:ligatures w14:val="none"/>
        </w:rPr>
        <w:t>safeguard public health</w:t>
      </w:r>
      <w:r w:rsidRPr="00460EC6">
        <w:rPr>
          <w:rFonts w:ascii="Times New Roman" w:eastAsia="Calibri" w:hAnsi="Times New Roman" w:cs="Times New Roman"/>
          <w:color w:val="000000" w:themeColor="text1"/>
          <w:kern w:val="0"/>
          <w:sz w:val="24"/>
          <w:szCs w:val="24"/>
          <w:lang w:val="en-US"/>
          <w14:ligatures w14:val="none"/>
        </w:rPr>
        <w:t xml:space="preserve"> from the risks associated with </w:t>
      </w:r>
      <w:r w:rsidRPr="00460EC6">
        <w:rPr>
          <w:rFonts w:ascii="Times New Roman" w:eastAsia="Calibri" w:hAnsi="Times New Roman" w:cs="Times New Roman"/>
          <w:bCs/>
          <w:color w:val="000000" w:themeColor="text1"/>
          <w:kern w:val="0"/>
          <w:sz w:val="24"/>
          <w:szCs w:val="24"/>
          <w:lang w:val="en-US"/>
          <w14:ligatures w14:val="none"/>
        </w:rPr>
        <w:t>unsafe, substandard, and poor-quality medicines, medical devices, and food products</w:t>
      </w:r>
      <w:r w:rsidRPr="00460EC6">
        <w:rPr>
          <w:rFonts w:ascii="Times New Roman" w:eastAsia="Calibri" w:hAnsi="Times New Roman" w:cs="Times New Roman"/>
          <w:color w:val="000000" w:themeColor="text1"/>
          <w:kern w:val="0"/>
          <w:sz w:val="24"/>
          <w:szCs w:val="24"/>
          <w:lang w:val="en-US"/>
          <w14:ligatures w14:val="none"/>
        </w:rPr>
        <w:t xml:space="preserve">, Ethiopia enacted </w:t>
      </w:r>
      <w:r w:rsidRPr="00460EC6">
        <w:rPr>
          <w:rFonts w:ascii="Times New Roman" w:eastAsia="Calibri" w:hAnsi="Times New Roman" w:cs="Times New Roman"/>
          <w:bCs/>
          <w:color w:val="000000" w:themeColor="text1"/>
          <w:kern w:val="0"/>
          <w:sz w:val="24"/>
          <w:szCs w:val="24"/>
          <w:lang w:val="en-US"/>
          <w14:ligatures w14:val="none"/>
        </w:rPr>
        <w:t>Proclamation No. 1112/2019</w:t>
      </w:r>
      <w:r w:rsidRPr="00460EC6">
        <w:rPr>
          <w:rFonts w:ascii="Times New Roman" w:eastAsia="Calibri" w:hAnsi="Times New Roman" w:cs="Times New Roman"/>
          <w:color w:val="000000" w:themeColor="text1"/>
          <w:kern w:val="0"/>
          <w:sz w:val="24"/>
          <w:szCs w:val="24"/>
          <w:lang w:val="en-US"/>
          <w14:ligatures w14:val="none"/>
        </w:rPr>
        <w:t xml:space="preserve">. The legislation regulates the </w:t>
      </w:r>
      <w:r w:rsidRPr="00460EC6">
        <w:rPr>
          <w:rFonts w:ascii="Times New Roman" w:eastAsia="Calibri" w:hAnsi="Times New Roman" w:cs="Times New Roman"/>
          <w:bCs/>
          <w:color w:val="000000" w:themeColor="text1"/>
          <w:kern w:val="0"/>
          <w:sz w:val="24"/>
          <w:szCs w:val="24"/>
          <w:lang w:val="en-US"/>
          <w14:ligatures w14:val="none"/>
        </w:rPr>
        <w:t>safety, quality, and standards</w:t>
      </w:r>
      <w:r w:rsidRPr="00460EC6">
        <w:rPr>
          <w:rFonts w:ascii="Times New Roman" w:eastAsia="Calibri" w:hAnsi="Times New Roman" w:cs="Times New Roman"/>
          <w:color w:val="000000" w:themeColor="text1"/>
          <w:kern w:val="0"/>
          <w:sz w:val="24"/>
          <w:szCs w:val="24"/>
          <w:lang w:val="en-US"/>
          <w14:ligatures w14:val="none"/>
        </w:rPr>
        <w:t xml:space="preserve"> of food (including </w:t>
      </w:r>
      <w:r w:rsidRPr="00460EC6">
        <w:rPr>
          <w:rFonts w:ascii="Times New Roman" w:eastAsia="Calibri" w:hAnsi="Times New Roman" w:cs="Times New Roman"/>
          <w:bCs/>
          <w:color w:val="000000" w:themeColor="text1"/>
          <w:kern w:val="0"/>
          <w:sz w:val="24"/>
          <w:szCs w:val="24"/>
          <w:lang w:val="en-US"/>
          <w14:ligatures w14:val="none"/>
        </w:rPr>
        <w:t>infant formula and follow-up formula</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medicines</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medical devices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cosmetics</w:t>
      </w:r>
      <w:r w:rsidRPr="00460EC6">
        <w:rPr>
          <w:rFonts w:ascii="Times New Roman" w:eastAsia="Calibri" w:hAnsi="Times New Roman" w:cs="Times New Roman"/>
          <w:color w:val="000000" w:themeColor="text1"/>
          <w:kern w:val="0"/>
          <w:sz w:val="24"/>
          <w:szCs w:val="24"/>
          <w:lang w:val="en-US"/>
          <w14:ligatures w14:val="none"/>
        </w:rPr>
        <w:t>.</w:t>
      </w:r>
    </w:p>
    <w:p w14:paraId="50EDB841" w14:textId="77777777" w:rsidR="00EB017D" w:rsidRPr="00460EC6" w:rsidRDefault="00EB017D"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The P</w:t>
      </w:r>
      <w:r w:rsidR="005E60DC" w:rsidRPr="00460EC6">
        <w:rPr>
          <w:rFonts w:ascii="Times New Roman" w:eastAsia="Calibri" w:hAnsi="Times New Roman" w:cs="Times New Roman"/>
          <w:color w:val="000000" w:themeColor="text1"/>
          <w:kern w:val="0"/>
          <w:sz w:val="24"/>
          <w:szCs w:val="24"/>
          <w:lang w:val="en-US"/>
          <w14:ligatures w14:val="none"/>
        </w:rPr>
        <w:t xml:space="preserve">roclamation also includes measures to control </w:t>
      </w:r>
      <w:r w:rsidR="005E60DC" w:rsidRPr="00460EC6">
        <w:rPr>
          <w:rFonts w:ascii="Times New Roman" w:eastAsia="Calibri" w:hAnsi="Times New Roman" w:cs="Times New Roman"/>
          <w:bCs/>
          <w:color w:val="000000" w:themeColor="text1"/>
          <w:kern w:val="0"/>
          <w:sz w:val="24"/>
          <w:szCs w:val="24"/>
          <w:lang w:val="en-US"/>
          <w14:ligatures w14:val="none"/>
        </w:rPr>
        <w:t>tobacco and alcohol</w:t>
      </w:r>
      <w:r w:rsidR="005E60DC" w:rsidRPr="00460EC6">
        <w:rPr>
          <w:rFonts w:ascii="Times New Roman" w:eastAsia="Calibri" w:hAnsi="Times New Roman" w:cs="Times New Roman"/>
          <w:color w:val="000000" w:themeColor="text1"/>
          <w:kern w:val="0"/>
          <w:sz w:val="24"/>
          <w:szCs w:val="24"/>
          <w:lang w:val="en-US"/>
          <w14:ligatures w14:val="none"/>
        </w:rPr>
        <w:t xml:space="preserve"> use. It </w:t>
      </w:r>
      <w:r w:rsidR="005E60DC" w:rsidRPr="00460EC6">
        <w:rPr>
          <w:rFonts w:ascii="Times New Roman" w:eastAsia="Calibri" w:hAnsi="Times New Roman" w:cs="Times New Roman"/>
          <w:bCs/>
          <w:color w:val="000000" w:themeColor="text1"/>
          <w:kern w:val="0"/>
          <w:sz w:val="24"/>
          <w:szCs w:val="24"/>
          <w:lang w:val="en-US"/>
          <w14:ligatures w14:val="none"/>
        </w:rPr>
        <w:t>prohibits the manufacture, import, distribution, or sale of tobacco products</w:t>
      </w:r>
      <w:r w:rsidR="005E60DC" w:rsidRPr="00460EC6">
        <w:rPr>
          <w:rFonts w:ascii="Times New Roman" w:eastAsia="Calibri" w:hAnsi="Times New Roman" w:cs="Times New Roman"/>
          <w:color w:val="000000" w:themeColor="text1"/>
          <w:kern w:val="0"/>
          <w:sz w:val="24"/>
          <w:szCs w:val="24"/>
          <w:lang w:val="en-US"/>
          <w14:ligatures w14:val="none"/>
        </w:rPr>
        <w:t xml:space="preserve"> unless packages carry </w:t>
      </w:r>
      <w:r w:rsidR="005E60DC" w:rsidRPr="00460EC6">
        <w:rPr>
          <w:rFonts w:ascii="Times New Roman" w:eastAsia="Calibri" w:hAnsi="Times New Roman" w:cs="Times New Roman"/>
          <w:bCs/>
          <w:color w:val="000000" w:themeColor="text1"/>
          <w:kern w:val="0"/>
          <w:sz w:val="24"/>
          <w:szCs w:val="24"/>
          <w:lang w:val="en-US"/>
          <w14:ligatures w14:val="none"/>
        </w:rPr>
        <w:t>mandatory health warnings</w:t>
      </w:r>
      <w:r w:rsidR="005E60DC" w:rsidRPr="00460EC6">
        <w:rPr>
          <w:rFonts w:ascii="Times New Roman" w:eastAsia="Calibri" w:hAnsi="Times New Roman" w:cs="Times New Roman"/>
          <w:color w:val="000000" w:themeColor="text1"/>
          <w:kern w:val="0"/>
          <w:sz w:val="24"/>
          <w:szCs w:val="24"/>
          <w:lang w:val="en-US"/>
          <w14:ligatures w14:val="none"/>
        </w:rPr>
        <w:t xml:space="preserve">. Furthermore, it </w:t>
      </w:r>
      <w:r w:rsidR="005E60DC" w:rsidRPr="00460EC6">
        <w:rPr>
          <w:rFonts w:ascii="Times New Roman" w:eastAsia="Calibri" w:hAnsi="Times New Roman" w:cs="Times New Roman"/>
          <w:bCs/>
          <w:color w:val="000000" w:themeColor="text1"/>
          <w:kern w:val="0"/>
          <w:sz w:val="24"/>
          <w:szCs w:val="24"/>
          <w:lang w:val="en-US"/>
          <w14:ligatures w14:val="none"/>
        </w:rPr>
        <w:t>bans the advertisement, promotion, and sponsorship of tobacco products and the tobacco industry</w:t>
      </w:r>
      <w:r w:rsidR="005E60DC" w:rsidRPr="00460EC6">
        <w:rPr>
          <w:rFonts w:ascii="Times New Roman" w:eastAsia="Calibri" w:hAnsi="Times New Roman" w:cs="Times New Roman"/>
          <w:color w:val="000000" w:themeColor="text1"/>
          <w:kern w:val="0"/>
          <w:sz w:val="24"/>
          <w:szCs w:val="24"/>
          <w:lang w:val="en-US"/>
          <w14:ligatures w14:val="none"/>
        </w:rPr>
        <w:t xml:space="preserve">, and </w:t>
      </w:r>
      <w:r w:rsidR="005E60DC" w:rsidRPr="00460EC6">
        <w:rPr>
          <w:rFonts w:ascii="Times New Roman" w:eastAsia="Calibri" w:hAnsi="Times New Roman" w:cs="Times New Roman"/>
          <w:bCs/>
          <w:color w:val="000000" w:themeColor="text1"/>
          <w:kern w:val="0"/>
          <w:sz w:val="24"/>
          <w:szCs w:val="24"/>
          <w:lang w:val="en-US"/>
          <w14:ligatures w14:val="none"/>
        </w:rPr>
        <w:t>prohibits smoking in public and workplace settings</w:t>
      </w:r>
      <w:r w:rsidR="005E60DC" w:rsidRPr="00460EC6">
        <w:rPr>
          <w:rFonts w:ascii="Times New Roman" w:eastAsia="Calibri" w:hAnsi="Times New Roman" w:cs="Times New Roman"/>
          <w:color w:val="000000" w:themeColor="text1"/>
          <w:kern w:val="0"/>
          <w:sz w:val="24"/>
          <w:szCs w:val="24"/>
          <w:lang w:val="en-US"/>
          <w14:ligatures w14:val="none"/>
        </w:rPr>
        <w:t xml:space="preserve">, as well as the </w:t>
      </w:r>
      <w:r w:rsidR="005E60DC" w:rsidRPr="00460EC6">
        <w:rPr>
          <w:rFonts w:ascii="Times New Roman" w:eastAsia="Calibri" w:hAnsi="Times New Roman" w:cs="Times New Roman"/>
          <w:bCs/>
          <w:color w:val="000000" w:themeColor="text1"/>
          <w:kern w:val="0"/>
          <w:sz w:val="24"/>
          <w:szCs w:val="24"/>
          <w:lang w:val="en-US"/>
          <w14:ligatures w14:val="none"/>
        </w:rPr>
        <w:t>sale of tobacco products to and by individuals under the age of 21</w:t>
      </w:r>
      <w:r w:rsidR="005E60DC" w:rsidRPr="00460EC6">
        <w:rPr>
          <w:rFonts w:ascii="Times New Roman" w:eastAsia="Calibri" w:hAnsi="Times New Roman" w:cs="Times New Roman"/>
          <w:color w:val="000000" w:themeColor="text1"/>
          <w:kern w:val="0"/>
          <w:sz w:val="24"/>
          <w:szCs w:val="24"/>
          <w:lang w:val="en-US"/>
          <w14:ligatures w14:val="none"/>
        </w:rPr>
        <w:t>.</w:t>
      </w:r>
    </w:p>
    <w:p w14:paraId="4AC26663"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14:ligatures w14:val="none"/>
        </w:rPr>
        <w:t xml:space="preserve">In addition, the law </w:t>
      </w:r>
      <w:r w:rsidRPr="00460EC6">
        <w:rPr>
          <w:rFonts w:ascii="Times New Roman" w:eastAsia="Calibri" w:hAnsi="Times New Roman" w:cs="Times New Roman"/>
          <w:bCs/>
          <w:color w:val="000000" w:themeColor="text1"/>
          <w:kern w:val="0"/>
          <w:sz w:val="24"/>
          <w:szCs w:val="24"/>
          <w14:ligatures w14:val="none"/>
        </w:rPr>
        <w:t>bans advertising and promotion of alcoholic beverages in mainstream media</w:t>
      </w:r>
      <w:r w:rsidRPr="00460EC6">
        <w:rPr>
          <w:rFonts w:ascii="Times New Roman" w:eastAsia="Calibri" w:hAnsi="Times New Roman" w:cs="Times New Roman"/>
          <w:color w:val="000000" w:themeColor="text1"/>
          <w:kern w:val="0"/>
          <w:sz w:val="24"/>
          <w:szCs w:val="24"/>
          <w14:ligatures w14:val="none"/>
        </w:rPr>
        <w:t>, as part of a broader effort to address behavioural risk factors contributing to NCDs and protect vulnerable populations, particularly youth.</w:t>
      </w:r>
    </w:p>
    <w:p w14:paraId="1EDEB677"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lastRenderedPageBreak/>
        <w:t xml:space="preserve">To address the country’s growing need for </w:t>
      </w:r>
      <w:r w:rsidRPr="00460EC6">
        <w:rPr>
          <w:rFonts w:ascii="Times New Roman" w:eastAsia="Calibri" w:hAnsi="Times New Roman" w:cs="Times New Roman"/>
          <w:bCs/>
          <w:color w:val="000000" w:themeColor="text1"/>
          <w:kern w:val="0"/>
          <w:sz w:val="24"/>
          <w:szCs w:val="24"/>
          <w:lang w:val="en-US"/>
          <w14:ligatures w14:val="none"/>
        </w:rPr>
        <w:t>accessible, effective, sustainable, and affordable mental health services</w:t>
      </w:r>
      <w:r w:rsidRPr="00460EC6">
        <w:rPr>
          <w:rFonts w:ascii="Times New Roman" w:eastAsia="Calibri" w:hAnsi="Times New Roman" w:cs="Times New Roman"/>
          <w:color w:val="000000" w:themeColor="text1"/>
          <w:kern w:val="0"/>
          <w:sz w:val="24"/>
          <w:szCs w:val="24"/>
          <w:lang w:val="en-US"/>
          <w14:ligatures w14:val="none"/>
        </w:rPr>
        <w:t xml:space="preserve">,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implemented </w:t>
      </w:r>
      <w:r w:rsidRPr="00460EC6">
        <w:rPr>
          <w:rFonts w:ascii="Times New Roman" w:eastAsia="Calibri" w:hAnsi="Times New Roman" w:cs="Times New Roman"/>
          <w:bCs/>
          <w:color w:val="000000" w:themeColor="text1"/>
          <w:kern w:val="0"/>
          <w:sz w:val="24"/>
          <w:szCs w:val="24"/>
          <w:lang w:val="en-US"/>
          <w14:ligatures w14:val="none"/>
        </w:rPr>
        <w:t>National Mental Health Strategies</w:t>
      </w:r>
      <w:r w:rsidRPr="00460EC6">
        <w:rPr>
          <w:rFonts w:ascii="Times New Roman" w:eastAsia="Calibri" w:hAnsi="Times New Roman" w:cs="Times New Roman"/>
          <w:color w:val="000000" w:themeColor="text1"/>
          <w:kern w:val="0"/>
          <w:sz w:val="24"/>
          <w:szCs w:val="24"/>
          <w:lang w:val="en-US"/>
          <w14:ligatures w14:val="none"/>
        </w:rPr>
        <w:t xml:space="preserve"> aimed at strengthening efforts to meet the prevailing mental health needs and address </w:t>
      </w:r>
      <w:r w:rsidRPr="00460EC6">
        <w:rPr>
          <w:rFonts w:ascii="Times New Roman" w:eastAsia="Calibri" w:hAnsi="Times New Roman" w:cs="Times New Roman"/>
          <w:bCs/>
          <w:color w:val="000000" w:themeColor="text1"/>
          <w:kern w:val="0"/>
          <w:sz w:val="24"/>
          <w:szCs w:val="24"/>
          <w:lang w:val="en-US"/>
          <w14:ligatures w14:val="none"/>
        </w:rPr>
        <w:t>mental, neurological, substance use, and psychosocial disabilities</w:t>
      </w:r>
      <w:r w:rsidRPr="00460EC6">
        <w:rPr>
          <w:rFonts w:ascii="Times New Roman" w:eastAsia="Calibri" w:hAnsi="Times New Roman" w:cs="Times New Roman"/>
          <w:color w:val="000000" w:themeColor="text1"/>
          <w:kern w:val="0"/>
          <w:sz w:val="24"/>
          <w:szCs w:val="24"/>
          <w:lang w:val="en-US"/>
          <w14:ligatures w14:val="none"/>
        </w:rPr>
        <w:t>.</w:t>
      </w:r>
    </w:p>
    <w:p w14:paraId="610AA62E"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As part of this effort, Ethiopia has been </w:t>
      </w:r>
      <w:r w:rsidRPr="00460EC6">
        <w:rPr>
          <w:rFonts w:ascii="Times New Roman" w:eastAsia="Calibri" w:hAnsi="Times New Roman" w:cs="Times New Roman"/>
          <w:bCs/>
          <w:color w:val="000000" w:themeColor="text1"/>
          <w:kern w:val="0"/>
          <w:sz w:val="24"/>
          <w:szCs w:val="24"/>
          <w:lang w:val="en-US"/>
          <w14:ligatures w14:val="none"/>
        </w:rPr>
        <w:t>integrating mental health services into primary health care</w:t>
      </w:r>
      <w:r w:rsidRPr="00460EC6">
        <w:rPr>
          <w:rFonts w:ascii="Times New Roman" w:eastAsia="Calibri" w:hAnsi="Times New Roman" w:cs="Times New Roman"/>
          <w:color w:val="000000" w:themeColor="text1"/>
          <w:kern w:val="0"/>
          <w:sz w:val="24"/>
          <w:szCs w:val="24"/>
          <w:lang w:val="en-US"/>
          <w14:ligatures w14:val="none"/>
        </w:rPr>
        <w:t xml:space="preserve">. This approach enables the diagnosis and management of </w:t>
      </w:r>
      <w:r w:rsidRPr="00460EC6">
        <w:rPr>
          <w:rFonts w:ascii="Times New Roman" w:eastAsia="Calibri" w:hAnsi="Times New Roman" w:cs="Times New Roman"/>
          <w:bCs/>
          <w:color w:val="000000" w:themeColor="text1"/>
          <w:kern w:val="0"/>
          <w:sz w:val="24"/>
          <w:szCs w:val="24"/>
          <w:lang w:val="en-US"/>
          <w14:ligatures w14:val="none"/>
        </w:rPr>
        <w:t>common mental health conditions</w:t>
      </w:r>
      <w:r w:rsidRPr="00460EC6">
        <w:rPr>
          <w:rFonts w:ascii="Times New Roman" w:eastAsia="Calibri" w:hAnsi="Times New Roman" w:cs="Times New Roman"/>
          <w:color w:val="000000" w:themeColor="text1"/>
          <w:kern w:val="0"/>
          <w:sz w:val="24"/>
          <w:szCs w:val="24"/>
          <w:lang w:val="en-US"/>
          <w14:ligatures w14:val="none"/>
        </w:rPr>
        <w:t xml:space="preserve"> at the community level, contributing to more equitable and decentralized access to care. In addition, </w:t>
      </w:r>
      <w:r w:rsidRPr="00460EC6">
        <w:rPr>
          <w:rFonts w:ascii="Times New Roman" w:eastAsia="Calibri" w:hAnsi="Times New Roman" w:cs="Times New Roman"/>
          <w:bCs/>
          <w:color w:val="000000" w:themeColor="text1"/>
          <w:kern w:val="0"/>
          <w:sz w:val="24"/>
          <w:szCs w:val="24"/>
          <w:lang w:val="en-US"/>
          <w14:ligatures w14:val="none"/>
        </w:rPr>
        <w:t>mental health services have been incorporated into health insurance schemes</w:t>
      </w:r>
      <w:r w:rsidRPr="00460EC6">
        <w:rPr>
          <w:rFonts w:ascii="Times New Roman" w:eastAsia="Calibri" w:hAnsi="Times New Roman" w:cs="Times New Roman"/>
          <w:color w:val="000000" w:themeColor="text1"/>
          <w:kern w:val="0"/>
          <w:sz w:val="24"/>
          <w:szCs w:val="24"/>
          <w:lang w:val="en-US"/>
          <w14:ligatures w14:val="none"/>
        </w:rPr>
        <w:t>, ensuring financial protection for individuals seeking care.</w:t>
      </w:r>
    </w:p>
    <w:p w14:paraId="70962054"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improve accountability and service quality, the </w:t>
      </w:r>
      <w:r w:rsidRPr="00460EC6">
        <w:rPr>
          <w:rFonts w:ascii="Times New Roman" w:eastAsia="Calibri" w:hAnsi="Times New Roman" w:cs="Times New Roman"/>
          <w:bCs/>
          <w:color w:val="000000" w:themeColor="text1"/>
          <w:kern w:val="0"/>
          <w:sz w:val="24"/>
          <w:szCs w:val="24"/>
          <w:lang w:val="en-US"/>
          <w14:ligatures w14:val="none"/>
        </w:rPr>
        <w:t>provision of mental, neurological, and substance use disorder services is monitored on a monthly basis</w:t>
      </w:r>
      <w:r w:rsidRPr="00460EC6">
        <w:rPr>
          <w:rFonts w:ascii="Times New Roman" w:eastAsia="Calibri" w:hAnsi="Times New Roman" w:cs="Times New Roman"/>
          <w:color w:val="000000" w:themeColor="text1"/>
          <w:kern w:val="0"/>
          <w:sz w:val="24"/>
          <w:szCs w:val="24"/>
          <w:lang w:val="en-US"/>
          <w14:ligatures w14:val="none"/>
        </w:rPr>
        <w:t>, allowing for continuous assessment and system improvement.</w:t>
      </w:r>
    </w:p>
    <w:p w14:paraId="4A632CC1"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improve the quality of </w:t>
      </w:r>
      <w:r w:rsidRPr="00460EC6">
        <w:rPr>
          <w:rFonts w:ascii="Times New Roman" w:eastAsia="Calibri" w:hAnsi="Times New Roman" w:cs="Times New Roman"/>
          <w:bCs/>
          <w:color w:val="000000" w:themeColor="text1"/>
          <w:kern w:val="0"/>
          <w:sz w:val="24"/>
          <w:szCs w:val="24"/>
          <w:lang w:val="en-US"/>
          <w14:ligatures w14:val="none"/>
        </w:rPr>
        <w:t>pharmaceutical services</w:t>
      </w:r>
      <w:r w:rsidRPr="00460EC6">
        <w:rPr>
          <w:rFonts w:ascii="Times New Roman" w:eastAsia="Calibri" w:hAnsi="Times New Roman" w:cs="Times New Roman"/>
          <w:color w:val="000000" w:themeColor="text1"/>
          <w:kern w:val="0"/>
          <w:sz w:val="24"/>
          <w:szCs w:val="24"/>
          <w:lang w:val="en-US"/>
          <w14:ligatures w14:val="none"/>
        </w:rPr>
        <w:t xml:space="preserve"> and ensure the availability of </w:t>
      </w:r>
      <w:r w:rsidRPr="00460EC6">
        <w:rPr>
          <w:rFonts w:ascii="Times New Roman" w:eastAsia="Calibri" w:hAnsi="Times New Roman" w:cs="Times New Roman"/>
          <w:bCs/>
          <w:color w:val="000000" w:themeColor="text1"/>
          <w:kern w:val="0"/>
          <w:sz w:val="24"/>
          <w:szCs w:val="24"/>
          <w:lang w:val="en-US"/>
          <w14:ligatures w14:val="none"/>
        </w:rPr>
        <w:t>essential and specialty medicines</w:t>
      </w:r>
      <w:r w:rsidRPr="00460EC6">
        <w:rPr>
          <w:rFonts w:ascii="Times New Roman" w:eastAsia="Calibri" w:hAnsi="Times New Roman" w:cs="Times New Roman"/>
          <w:color w:val="000000" w:themeColor="text1"/>
          <w:kern w:val="0"/>
          <w:sz w:val="24"/>
          <w:szCs w:val="24"/>
          <w:lang w:val="en-US"/>
          <w14:ligatures w14:val="none"/>
        </w:rPr>
        <w:t xml:space="preserve">, the </w:t>
      </w:r>
      <w:r w:rsidRPr="00460EC6">
        <w:rPr>
          <w:rFonts w:ascii="Times New Roman" w:eastAsia="Calibri" w:hAnsi="Times New Roman" w:cs="Times New Roman"/>
          <w:bCs/>
          <w:color w:val="000000" w:themeColor="text1"/>
          <w:kern w:val="0"/>
          <w:sz w:val="24"/>
          <w:szCs w:val="24"/>
          <w:lang w:val="en-US"/>
          <w14:ligatures w14:val="none"/>
        </w:rPr>
        <w:t xml:space="preserve">Auditable Pharmacy Transactions and Services </w:t>
      </w:r>
      <w:r w:rsidRPr="00460EC6">
        <w:rPr>
          <w:rFonts w:ascii="Times New Roman" w:eastAsia="Calibri" w:hAnsi="Times New Roman" w:cs="Times New Roman"/>
          <w:color w:val="000000" w:themeColor="text1"/>
          <w:kern w:val="0"/>
          <w:sz w:val="24"/>
          <w:szCs w:val="24"/>
          <w:lang w:val="en-US"/>
          <w14:ligatures w14:val="none"/>
        </w:rPr>
        <w:t xml:space="preserve">initiative has been rolled out nationwide. This initiative has led to the establishment of </w:t>
      </w:r>
      <w:r w:rsidRPr="00460EC6">
        <w:rPr>
          <w:rFonts w:ascii="Times New Roman" w:eastAsia="Calibri" w:hAnsi="Times New Roman" w:cs="Times New Roman"/>
          <w:bCs/>
          <w:color w:val="000000" w:themeColor="text1"/>
          <w:kern w:val="0"/>
          <w:sz w:val="24"/>
          <w:szCs w:val="24"/>
          <w:lang w:val="en-US"/>
          <w14:ligatures w14:val="none"/>
        </w:rPr>
        <w:t>transparent, accountable, and evidence-based pharmaceutical services</w:t>
      </w:r>
      <w:r w:rsidRPr="00460EC6">
        <w:rPr>
          <w:rFonts w:ascii="Times New Roman" w:eastAsia="Calibri" w:hAnsi="Times New Roman" w:cs="Times New Roman"/>
          <w:color w:val="000000" w:themeColor="text1"/>
          <w:kern w:val="0"/>
          <w:sz w:val="24"/>
          <w:szCs w:val="24"/>
          <w:lang w:val="en-US"/>
          <w14:ligatures w14:val="none"/>
        </w:rPr>
        <w:t xml:space="preserve"> in hospitals, significantly reducing medicine wastage and expiry rates, while improving the overall </w:t>
      </w:r>
      <w:r w:rsidRPr="00460EC6">
        <w:rPr>
          <w:rFonts w:ascii="Times New Roman" w:eastAsia="Calibri" w:hAnsi="Times New Roman" w:cs="Times New Roman"/>
          <w:bCs/>
          <w:color w:val="000000" w:themeColor="text1"/>
          <w:kern w:val="0"/>
          <w:sz w:val="24"/>
          <w:szCs w:val="24"/>
          <w:lang w:val="en-US"/>
          <w14:ligatures w14:val="none"/>
        </w:rPr>
        <w:t>quality of pharmaceutical care</w:t>
      </w:r>
      <w:r w:rsidRPr="00460EC6">
        <w:rPr>
          <w:rFonts w:ascii="Times New Roman" w:eastAsia="Calibri" w:hAnsi="Times New Roman" w:cs="Times New Roman"/>
          <w:color w:val="000000" w:themeColor="text1"/>
          <w:kern w:val="0"/>
          <w:sz w:val="24"/>
          <w:szCs w:val="24"/>
          <w:lang w:val="en-US"/>
          <w14:ligatures w14:val="none"/>
        </w:rPr>
        <w:t>. The auditable nature of the system has also enhanced financial accountability.</w:t>
      </w:r>
    </w:p>
    <w:p w14:paraId="59B8B3DD"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Additionally, the </w:t>
      </w:r>
      <w:r w:rsidRPr="00460EC6">
        <w:rPr>
          <w:rFonts w:ascii="Times New Roman" w:eastAsia="Calibri" w:hAnsi="Times New Roman" w:cs="Times New Roman"/>
          <w:bCs/>
          <w:color w:val="000000" w:themeColor="text1"/>
          <w:kern w:val="0"/>
          <w:sz w:val="24"/>
          <w:szCs w:val="24"/>
          <w:lang w:val="en-US"/>
          <w14:ligatures w14:val="none"/>
        </w:rPr>
        <w:t xml:space="preserve">Saving Lives through Safe Surgery </w:t>
      </w:r>
      <w:r w:rsidRPr="00460EC6">
        <w:rPr>
          <w:rFonts w:ascii="Times New Roman" w:eastAsia="Calibri" w:hAnsi="Times New Roman" w:cs="Times New Roman"/>
          <w:color w:val="000000" w:themeColor="text1"/>
          <w:kern w:val="0"/>
          <w:sz w:val="24"/>
          <w:szCs w:val="24"/>
          <w:lang w:val="en-US"/>
          <w14:ligatures w14:val="none"/>
        </w:rPr>
        <w:t xml:space="preserve">initiative, launched in 2016, aimed to address the </w:t>
      </w:r>
      <w:r w:rsidRPr="00460EC6">
        <w:rPr>
          <w:rFonts w:ascii="Times New Roman" w:eastAsia="Calibri" w:hAnsi="Times New Roman" w:cs="Times New Roman"/>
          <w:bCs/>
          <w:color w:val="000000" w:themeColor="text1"/>
          <w:kern w:val="0"/>
          <w:sz w:val="24"/>
          <w:szCs w:val="24"/>
          <w:lang w:val="en-US"/>
          <w14:ligatures w14:val="none"/>
        </w:rPr>
        <w:t>long waiting times for surgical procedures</w:t>
      </w:r>
      <w:r w:rsidRPr="00460EC6">
        <w:rPr>
          <w:rFonts w:ascii="Times New Roman" w:eastAsia="Calibri" w:hAnsi="Times New Roman" w:cs="Times New Roman"/>
          <w:color w:val="000000" w:themeColor="text1"/>
          <w:kern w:val="0"/>
          <w:sz w:val="24"/>
          <w:szCs w:val="24"/>
          <w:lang w:val="en-US"/>
          <w14:ligatures w14:val="none"/>
        </w:rPr>
        <w:t xml:space="preserve"> by scaling up </w:t>
      </w:r>
      <w:r w:rsidRPr="00460EC6">
        <w:rPr>
          <w:rFonts w:ascii="Times New Roman" w:eastAsia="Calibri" w:hAnsi="Times New Roman" w:cs="Times New Roman"/>
          <w:bCs/>
          <w:color w:val="000000" w:themeColor="text1"/>
          <w:kern w:val="0"/>
          <w:sz w:val="24"/>
          <w:szCs w:val="24"/>
          <w:lang w:val="en-US"/>
          <w14:ligatures w14:val="none"/>
        </w:rPr>
        <w:t>basic and emergency surgical services</w:t>
      </w:r>
      <w:r w:rsidRPr="00460EC6">
        <w:rPr>
          <w:rFonts w:ascii="Times New Roman" w:eastAsia="Calibri" w:hAnsi="Times New Roman" w:cs="Times New Roman"/>
          <w:color w:val="000000" w:themeColor="text1"/>
          <w:kern w:val="0"/>
          <w:sz w:val="24"/>
          <w:szCs w:val="24"/>
          <w:lang w:val="en-US"/>
          <w14:ligatures w14:val="none"/>
        </w:rPr>
        <w:t xml:space="preserve"> across all hospitals. The initiative incorporates </w:t>
      </w:r>
      <w:r w:rsidRPr="00460EC6">
        <w:rPr>
          <w:rFonts w:ascii="Times New Roman" w:eastAsia="Calibri" w:hAnsi="Times New Roman" w:cs="Times New Roman"/>
          <w:bCs/>
          <w:color w:val="000000" w:themeColor="text1"/>
          <w:kern w:val="0"/>
          <w:sz w:val="24"/>
          <w:szCs w:val="24"/>
          <w:lang w:val="en-US"/>
          <w14:ligatures w14:val="none"/>
        </w:rPr>
        <w:t>task-shifting to mid-level healthcare professionals</w:t>
      </w:r>
      <w:r w:rsidRPr="00460EC6">
        <w:rPr>
          <w:rFonts w:ascii="Times New Roman" w:eastAsia="Calibri" w:hAnsi="Times New Roman" w:cs="Times New Roman"/>
          <w:color w:val="000000" w:themeColor="text1"/>
          <w:kern w:val="0"/>
          <w:sz w:val="24"/>
          <w:szCs w:val="24"/>
          <w:lang w:val="en-US"/>
          <w14:ligatures w14:val="none"/>
        </w:rPr>
        <w:t xml:space="preserve">, supported by </w:t>
      </w:r>
      <w:r w:rsidRPr="00460EC6">
        <w:rPr>
          <w:rFonts w:ascii="Times New Roman" w:eastAsia="Calibri" w:hAnsi="Times New Roman" w:cs="Times New Roman"/>
          <w:bCs/>
          <w:color w:val="000000" w:themeColor="text1"/>
          <w:kern w:val="0"/>
          <w:sz w:val="24"/>
          <w:szCs w:val="24"/>
          <w:lang w:val="en-US"/>
          <w14:ligatures w14:val="none"/>
        </w:rPr>
        <w:t>short- and medium-term competency-based training programs</w:t>
      </w:r>
      <w:r w:rsidRPr="00460EC6">
        <w:rPr>
          <w:rFonts w:ascii="Times New Roman" w:eastAsia="Calibri" w:hAnsi="Times New Roman" w:cs="Times New Roman"/>
          <w:color w:val="000000" w:themeColor="text1"/>
          <w:kern w:val="0"/>
          <w:sz w:val="24"/>
          <w:szCs w:val="24"/>
          <w:lang w:val="en-US"/>
          <w14:ligatures w14:val="none"/>
        </w:rPr>
        <w:t>, thereby expanding surgical capacity at all levels.</w:t>
      </w:r>
    </w:p>
    <w:p w14:paraId="1DD917A1"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Health Service Administration and Regulation Proclamation No. 1362/2025 was enacted to establish an accountable, high-quality and accessible health service delivery system. The proclamation aims to set national standards for health services by creating a system that addresses the public’s health needs and modernizes the provision of health services across the country. </w:t>
      </w:r>
    </w:p>
    <w:p w14:paraId="2C6C3602"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hAnsi="Times New Roman" w:cs="Times New Roman"/>
          <w:color w:val="000000" w:themeColor="text1"/>
          <w:kern w:val="0"/>
          <w:sz w:val="24"/>
          <w:szCs w:val="24"/>
          <w14:ligatures w14:val="none"/>
        </w:rPr>
        <w:t xml:space="preserve">The </w:t>
      </w:r>
      <w:r w:rsidR="00EB017D" w:rsidRPr="00460EC6">
        <w:rPr>
          <w:rFonts w:ascii="Times New Roman" w:hAnsi="Times New Roman" w:cs="Times New Roman"/>
          <w:color w:val="000000" w:themeColor="text1"/>
          <w:kern w:val="0"/>
          <w:sz w:val="24"/>
          <w:szCs w:val="24"/>
          <w14:ligatures w14:val="none"/>
        </w:rPr>
        <w:t>P</w:t>
      </w:r>
      <w:r w:rsidRPr="00460EC6">
        <w:rPr>
          <w:rFonts w:ascii="Times New Roman" w:hAnsi="Times New Roman" w:cs="Times New Roman"/>
          <w:color w:val="000000" w:themeColor="text1"/>
          <w:kern w:val="0"/>
          <w:sz w:val="24"/>
          <w:szCs w:val="24"/>
          <w14:ligatures w14:val="none"/>
        </w:rPr>
        <w:t xml:space="preserve">roclamation regulates emerging health services in the country, including traditional, complementary and alternative medical services; blood, cell, tissue and organ donation and transplantation and technology assisted reproductive health service. </w:t>
      </w:r>
    </w:p>
    <w:p w14:paraId="4E60BF3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lastRenderedPageBreak/>
        <w:t xml:space="preserve">To reduce </w:t>
      </w:r>
      <w:r w:rsidRPr="00460EC6">
        <w:rPr>
          <w:rFonts w:ascii="Times New Roman" w:eastAsia="Calibri" w:hAnsi="Times New Roman" w:cs="Times New Roman"/>
          <w:bCs/>
          <w:color w:val="000000" w:themeColor="text1"/>
          <w:sz w:val="24"/>
          <w:szCs w:val="24"/>
          <w:lang w:val="en-US"/>
        </w:rPr>
        <w:t>maternal mortality</w:t>
      </w:r>
      <w:r w:rsidRPr="00460EC6">
        <w:rPr>
          <w:rFonts w:ascii="Times New Roman" w:eastAsia="Calibri" w:hAnsi="Times New Roman" w:cs="Times New Roman"/>
          <w:color w:val="000000" w:themeColor="text1"/>
          <w:sz w:val="24"/>
          <w:szCs w:val="24"/>
          <w:lang w:val="en-US"/>
        </w:rPr>
        <w:t xml:space="preserve"> related to pregnancy and childbirth, the </w:t>
      </w:r>
      <w:proofErr w:type="spellStart"/>
      <w:r w:rsidRPr="00460EC6">
        <w:rPr>
          <w:rFonts w:ascii="Times New Roman" w:eastAsia="Calibri" w:hAnsi="Times New Roman" w:cs="Times New Roman"/>
          <w:color w:val="000000" w:themeColor="text1"/>
          <w:sz w:val="24"/>
          <w:szCs w:val="24"/>
          <w:lang w:val="en-US"/>
        </w:rPr>
        <w:t>GoE</w:t>
      </w:r>
      <w:proofErr w:type="spellEnd"/>
      <w:r w:rsidRPr="00460EC6">
        <w:rPr>
          <w:rFonts w:ascii="Times New Roman" w:eastAsia="Calibri" w:hAnsi="Times New Roman" w:cs="Times New Roman"/>
          <w:color w:val="000000" w:themeColor="text1"/>
          <w:sz w:val="24"/>
          <w:szCs w:val="24"/>
          <w:lang w:val="en-US"/>
        </w:rPr>
        <w:t xml:space="preserve"> introduced the </w:t>
      </w:r>
      <w:r w:rsidRPr="00460EC6">
        <w:rPr>
          <w:rFonts w:ascii="Times New Roman" w:eastAsia="Calibri" w:hAnsi="Times New Roman" w:cs="Times New Roman"/>
          <w:bCs/>
          <w:color w:val="000000" w:themeColor="text1"/>
          <w:sz w:val="24"/>
          <w:szCs w:val="24"/>
          <w:lang w:val="en-US"/>
        </w:rPr>
        <w:t>Integrated Emergency Surgery and Obstetrics</w:t>
      </w:r>
      <w:r w:rsidRPr="00460EC6">
        <w:rPr>
          <w:rFonts w:ascii="Times New Roman" w:eastAsia="Calibri" w:hAnsi="Times New Roman" w:cs="Times New Roman"/>
          <w:color w:val="000000" w:themeColor="text1"/>
          <w:sz w:val="24"/>
          <w:szCs w:val="24"/>
          <w:lang w:val="en-US"/>
        </w:rPr>
        <w:t xml:space="preserve"> training program. This initiative significantly expanded the provision of </w:t>
      </w:r>
      <w:r w:rsidRPr="00460EC6">
        <w:rPr>
          <w:rFonts w:ascii="Times New Roman" w:eastAsia="Calibri" w:hAnsi="Times New Roman" w:cs="Times New Roman"/>
          <w:bCs/>
          <w:color w:val="000000" w:themeColor="text1"/>
          <w:sz w:val="24"/>
          <w:szCs w:val="24"/>
          <w:lang w:val="en-US"/>
        </w:rPr>
        <w:t>emergency obstetric and surgical services</w:t>
      </w:r>
      <w:r w:rsidRPr="00460EC6">
        <w:rPr>
          <w:rFonts w:ascii="Times New Roman" w:eastAsia="Calibri" w:hAnsi="Times New Roman" w:cs="Times New Roman"/>
          <w:color w:val="000000" w:themeColor="text1"/>
          <w:sz w:val="24"/>
          <w:szCs w:val="24"/>
          <w:lang w:val="en-US"/>
        </w:rPr>
        <w:t xml:space="preserve"> at the </w:t>
      </w:r>
      <w:r w:rsidRPr="00460EC6">
        <w:rPr>
          <w:rFonts w:ascii="Times New Roman" w:eastAsia="Calibri" w:hAnsi="Times New Roman" w:cs="Times New Roman"/>
          <w:bCs/>
          <w:color w:val="000000" w:themeColor="text1"/>
          <w:sz w:val="24"/>
          <w:szCs w:val="24"/>
          <w:lang w:val="en-US"/>
        </w:rPr>
        <w:t>primary hospital level</w:t>
      </w:r>
      <w:r w:rsidRPr="00460EC6">
        <w:rPr>
          <w:rFonts w:ascii="Times New Roman" w:eastAsia="Calibri" w:hAnsi="Times New Roman" w:cs="Times New Roman"/>
          <w:color w:val="000000" w:themeColor="text1"/>
          <w:sz w:val="24"/>
          <w:szCs w:val="24"/>
          <w:lang w:val="en-US"/>
        </w:rPr>
        <w:t xml:space="preserve">, especially in facilities lacking specialists such as gynecologists or surgeons. Additionally, an </w:t>
      </w:r>
      <w:r w:rsidRPr="00460EC6">
        <w:rPr>
          <w:rFonts w:ascii="Times New Roman" w:eastAsia="Calibri" w:hAnsi="Times New Roman" w:cs="Times New Roman"/>
          <w:bCs/>
          <w:color w:val="000000" w:themeColor="text1"/>
          <w:sz w:val="24"/>
          <w:szCs w:val="24"/>
          <w:lang w:val="en-US"/>
        </w:rPr>
        <w:t>accelerated midwifery training program</w:t>
      </w:r>
      <w:r w:rsidRPr="00460EC6">
        <w:rPr>
          <w:rFonts w:ascii="Times New Roman" w:eastAsia="Calibri" w:hAnsi="Times New Roman" w:cs="Times New Roman"/>
          <w:color w:val="000000" w:themeColor="text1"/>
          <w:sz w:val="24"/>
          <w:szCs w:val="24"/>
          <w:lang w:val="en-US"/>
        </w:rPr>
        <w:t xml:space="preserve"> was implemented to ensure that </w:t>
      </w:r>
      <w:r w:rsidRPr="00460EC6">
        <w:rPr>
          <w:rFonts w:ascii="Times New Roman" w:eastAsia="Calibri" w:hAnsi="Times New Roman" w:cs="Times New Roman"/>
          <w:bCs/>
          <w:color w:val="000000" w:themeColor="text1"/>
          <w:sz w:val="24"/>
          <w:szCs w:val="24"/>
          <w:lang w:val="en-US"/>
        </w:rPr>
        <w:t>every health center is staffed with at least two midwives</w:t>
      </w:r>
      <w:r w:rsidRPr="00460EC6">
        <w:rPr>
          <w:rFonts w:ascii="Times New Roman" w:eastAsia="Calibri" w:hAnsi="Times New Roman" w:cs="Times New Roman"/>
          <w:color w:val="000000" w:themeColor="text1"/>
          <w:sz w:val="24"/>
          <w:szCs w:val="24"/>
          <w:lang w:val="en-US"/>
        </w:rPr>
        <w:t>, enhancing maternal and newborn care services.</w:t>
      </w:r>
    </w:p>
    <w:p w14:paraId="7095A987"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Recognizing the need for a skilled and sustainable health workforce, the </w:t>
      </w:r>
      <w:proofErr w:type="spellStart"/>
      <w:r w:rsidRPr="00460EC6">
        <w:rPr>
          <w:rFonts w:ascii="Times New Roman" w:eastAsia="Calibri" w:hAnsi="Times New Roman" w:cs="Times New Roman"/>
          <w:color w:val="000000" w:themeColor="text1"/>
          <w:sz w:val="24"/>
          <w:szCs w:val="24"/>
          <w:lang w:val="en-US"/>
        </w:rPr>
        <w:t>GoE</w:t>
      </w:r>
      <w:proofErr w:type="spellEnd"/>
      <w:r w:rsidRPr="00460EC6">
        <w:rPr>
          <w:rFonts w:ascii="Times New Roman" w:eastAsia="Calibri" w:hAnsi="Times New Roman" w:cs="Times New Roman"/>
          <w:color w:val="000000" w:themeColor="text1"/>
          <w:sz w:val="24"/>
          <w:szCs w:val="24"/>
          <w:lang w:val="en-US"/>
        </w:rPr>
        <w:t xml:space="preserve"> introduced </w:t>
      </w:r>
      <w:r w:rsidRPr="00460EC6">
        <w:rPr>
          <w:rFonts w:ascii="Times New Roman" w:eastAsia="Calibri" w:hAnsi="Times New Roman" w:cs="Times New Roman"/>
          <w:bCs/>
          <w:color w:val="000000" w:themeColor="text1"/>
          <w:sz w:val="24"/>
          <w:szCs w:val="24"/>
          <w:lang w:val="en-US"/>
        </w:rPr>
        <w:t>need-based in-service training</w:t>
      </w:r>
      <w:r w:rsidRPr="00460EC6">
        <w:rPr>
          <w:rFonts w:ascii="Times New Roman" w:eastAsia="Calibri" w:hAnsi="Times New Roman" w:cs="Times New Roman"/>
          <w:color w:val="000000" w:themeColor="text1"/>
          <w:sz w:val="24"/>
          <w:szCs w:val="24"/>
          <w:lang w:val="en-US"/>
        </w:rPr>
        <w:t xml:space="preserve"> in 2015, which later evolved into </w:t>
      </w:r>
      <w:r w:rsidRPr="00460EC6">
        <w:rPr>
          <w:rFonts w:ascii="Times New Roman" w:hAnsi="Times New Roman" w:cs="Times New Roman"/>
          <w:bCs/>
          <w:color w:val="000000" w:themeColor="text1"/>
          <w:sz w:val="24"/>
          <w:szCs w:val="24"/>
          <w:lang w:val="en-US"/>
        </w:rPr>
        <w:t>Continuous Professional Development</w:t>
      </w:r>
      <w:r w:rsidRPr="00460EC6">
        <w:rPr>
          <w:rFonts w:ascii="Times New Roman" w:eastAsia="Calibri" w:hAnsi="Times New Roman" w:cs="Times New Roman"/>
          <w:color w:val="000000" w:themeColor="text1"/>
          <w:sz w:val="24"/>
          <w:szCs w:val="24"/>
          <w:lang w:val="en-US"/>
        </w:rPr>
        <w:t xml:space="preserve"> framework. It has since become a </w:t>
      </w:r>
      <w:r w:rsidRPr="00460EC6">
        <w:rPr>
          <w:rFonts w:ascii="Times New Roman" w:eastAsia="Calibri" w:hAnsi="Times New Roman" w:cs="Times New Roman"/>
          <w:bCs/>
          <w:color w:val="000000" w:themeColor="text1"/>
          <w:sz w:val="24"/>
          <w:szCs w:val="24"/>
          <w:lang w:val="en-US"/>
        </w:rPr>
        <w:t>national priority</w:t>
      </w:r>
      <w:r w:rsidRPr="00460EC6">
        <w:rPr>
          <w:rFonts w:ascii="Times New Roman" w:eastAsia="Calibri" w:hAnsi="Times New Roman" w:cs="Times New Roman"/>
          <w:color w:val="000000" w:themeColor="text1"/>
          <w:sz w:val="24"/>
          <w:szCs w:val="24"/>
          <w:lang w:val="en-US"/>
        </w:rPr>
        <w:t xml:space="preserve"> aimed at standardizing, institutionalizing, and maintaining the quality of training to optimize the competencies of health professionals.</w:t>
      </w:r>
    </w:p>
    <w:p w14:paraId="3895917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In the same year, the </w:t>
      </w:r>
      <w:r w:rsidRPr="00460EC6">
        <w:rPr>
          <w:rFonts w:ascii="Times New Roman" w:eastAsia="Calibri" w:hAnsi="Times New Roman" w:cs="Times New Roman"/>
          <w:bCs/>
          <w:color w:val="000000" w:themeColor="text1"/>
          <w:sz w:val="24"/>
          <w:szCs w:val="24"/>
          <w:lang w:val="en-US"/>
        </w:rPr>
        <w:t>National Licensing Examination</w:t>
      </w:r>
      <w:r w:rsidRPr="00460EC6">
        <w:rPr>
          <w:rFonts w:ascii="Times New Roman" w:eastAsia="Calibri" w:hAnsi="Times New Roman" w:cs="Times New Roman"/>
          <w:color w:val="000000" w:themeColor="text1"/>
          <w:sz w:val="24"/>
          <w:szCs w:val="24"/>
          <w:lang w:val="en-US"/>
        </w:rPr>
        <w:t xml:space="preserve"> was launched to ensure a uniform and standardized assessment for health professional graduates, helping safeguard the </w:t>
      </w:r>
      <w:r w:rsidRPr="00460EC6">
        <w:rPr>
          <w:rFonts w:ascii="Times New Roman" w:eastAsia="Calibri" w:hAnsi="Times New Roman" w:cs="Times New Roman"/>
          <w:bCs/>
          <w:color w:val="000000" w:themeColor="text1"/>
          <w:sz w:val="24"/>
          <w:szCs w:val="24"/>
          <w:lang w:val="en-US"/>
        </w:rPr>
        <w:t>quality and performance</w:t>
      </w:r>
      <w:r w:rsidRPr="00460EC6">
        <w:rPr>
          <w:rFonts w:ascii="Times New Roman" w:eastAsia="Calibri" w:hAnsi="Times New Roman" w:cs="Times New Roman"/>
          <w:color w:val="000000" w:themeColor="text1"/>
          <w:sz w:val="24"/>
          <w:szCs w:val="24"/>
          <w:lang w:val="en-US"/>
        </w:rPr>
        <w:t xml:space="preserve"> of healthcare providers nationwide.</w:t>
      </w:r>
    </w:p>
    <w:p w14:paraId="5CFB1C2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To address the </w:t>
      </w:r>
      <w:r w:rsidRPr="00460EC6">
        <w:rPr>
          <w:rFonts w:ascii="Times New Roman" w:eastAsia="Calibri" w:hAnsi="Times New Roman" w:cs="Times New Roman"/>
          <w:bCs/>
          <w:color w:val="000000" w:themeColor="text1"/>
          <w:sz w:val="24"/>
          <w:szCs w:val="24"/>
          <w:lang w:val="en-US"/>
        </w:rPr>
        <w:t>shortage of medical specialists</w:t>
      </w:r>
      <w:r w:rsidRPr="00460EC6">
        <w:rPr>
          <w:rFonts w:ascii="Times New Roman" w:eastAsia="Calibri" w:hAnsi="Times New Roman" w:cs="Times New Roman"/>
          <w:color w:val="000000" w:themeColor="text1"/>
          <w:sz w:val="24"/>
          <w:szCs w:val="24"/>
          <w:lang w:val="en-US"/>
        </w:rPr>
        <w:t xml:space="preserve">, a </w:t>
      </w:r>
      <w:r w:rsidRPr="00460EC6">
        <w:rPr>
          <w:rFonts w:ascii="Times New Roman" w:eastAsia="Calibri" w:hAnsi="Times New Roman" w:cs="Times New Roman"/>
          <w:bCs/>
          <w:color w:val="000000" w:themeColor="text1"/>
          <w:sz w:val="24"/>
          <w:szCs w:val="24"/>
          <w:lang w:val="en-US"/>
        </w:rPr>
        <w:t>residency training initiative</w:t>
      </w:r>
      <w:r w:rsidRPr="00460EC6">
        <w:rPr>
          <w:rFonts w:ascii="Times New Roman" w:eastAsia="Calibri" w:hAnsi="Times New Roman" w:cs="Times New Roman"/>
          <w:color w:val="000000" w:themeColor="text1"/>
          <w:sz w:val="24"/>
          <w:szCs w:val="24"/>
          <w:lang w:val="en-US"/>
        </w:rPr>
        <w:t xml:space="preserve"> was introduced in 2015, starting with </w:t>
      </w:r>
      <w:r w:rsidRPr="00460EC6">
        <w:rPr>
          <w:rFonts w:ascii="Times New Roman" w:eastAsia="Calibri" w:hAnsi="Times New Roman" w:cs="Times New Roman"/>
          <w:bCs/>
          <w:color w:val="000000" w:themeColor="text1"/>
          <w:sz w:val="24"/>
          <w:szCs w:val="24"/>
          <w:lang w:val="en-US"/>
        </w:rPr>
        <w:t>Surgery and Obstetrics &amp; Gynecology</w:t>
      </w:r>
      <w:r w:rsidRPr="00460EC6">
        <w:rPr>
          <w:rFonts w:ascii="Times New Roman" w:eastAsia="Calibri" w:hAnsi="Times New Roman" w:cs="Times New Roman"/>
          <w:color w:val="000000" w:themeColor="text1"/>
          <w:sz w:val="24"/>
          <w:szCs w:val="24"/>
          <w:lang w:val="en-US"/>
        </w:rPr>
        <w:t xml:space="preserve">, and has since expanded to cover </w:t>
      </w:r>
      <w:r w:rsidRPr="00460EC6">
        <w:rPr>
          <w:rFonts w:ascii="Times New Roman" w:eastAsia="Calibri" w:hAnsi="Times New Roman" w:cs="Times New Roman"/>
          <w:bCs/>
          <w:color w:val="000000" w:themeColor="text1"/>
          <w:sz w:val="24"/>
          <w:szCs w:val="24"/>
          <w:lang w:val="en-US"/>
        </w:rPr>
        <w:t>22 medical specialties</w:t>
      </w:r>
      <w:r w:rsidRPr="00460EC6">
        <w:rPr>
          <w:rFonts w:ascii="Times New Roman" w:eastAsia="Calibri" w:hAnsi="Times New Roman" w:cs="Times New Roman"/>
          <w:color w:val="000000" w:themeColor="text1"/>
          <w:sz w:val="24"/>
          <w:szCs w:val="24"/>
          <w:lang w:val="en-US"/>
        </w:rPr>
        <w:t xml:space="preserve">. These efforts have contributed to an improvement in health workforce density, with the </w:t>
      </w:r>
      <w:r w:rsidRPr="00460EC6">
        <w:rPr>
          <w:rFonts w:ascii="Times New Roman" w:eastAsia="Calibri" w:hAnsi="Times New Roman" w:cs="Times New Roman"/>
          <w:bCs/>
          <w:color w:val="000000" w:themeColor="text1"/>
          <w:sz w:val="24"/>
          <w:szCs w:val="24"/>
          <w:lang w:val="en-US"/>
        </w:rPr>
        <w:t>physician-to-population ratio</w:t>
      </w:r>
      <w:r w:rsidRPr="00460EC6">
        <w:rPr>
          <w:rFonts w:ascii="Times New Roman" w:eastAsia="Calibri" w:hAnsi="Times New Roman" w:cs="Times New Roman"/>
          <w:color w:val="000000" w:themeColor="text1"/>
          <w:sz w:val="24"/>
          <w:szCs w:val="24"/>
          <w:lang w:val="en-US"/>
        </w:rPr>
        <w:t xml:space="preserve"> increasing from </w:t>
      </w:r>
      <w:r w:rsidRPr="00460EC6">
        <w:rPr>
          <w:rFonts w:ascii="Times New Roman" w:eastAsia="Calibri" w:hAnsi="Times New Roman" w:cs="Times New Roman"/>
          <w:bCs/>
          <w:color w:val="000000" w:themeColor="text1"/>
          <w:sz w:val="24"/>
          <w:szCs w:val="24"/>
          <w:lang w:val="en-US"/>
        </w:rPr>
        <w:t>1:36,158 in 2011/12</w:t>
      </w:r>
      <w:r w:rsidRPr="00460EC6">
        <w:rPr>
          <w:rFonts w:ascii="Times New Roman" w:eastAsia="Calibri" w:hAnsi="Times New Roman" w:cs="Times New Roman"/>
          <w:color w:val="000000" w:themeColor="text1"/>
          <w:sz w:val="24"/>
          <w:szCs w:val="24"/>
          <w:lang w:val="en-US"/>
        </w:rPr>
        <w:t xml:space="preserve"> to </w:t>
      </w:r>
      <w:r w:rsidRPr="00460EC6">
        <w:rPr>
          <w:rFonts w:ascii="Times New Roman" w:eastAsia="Calibri" w:hAnsi="Times New Roman" w:cs="Times New Roman"/>
          <w:bCs/>
          <w:color w:val="000000" w:themeColor="text1"/>
          <w:sz w:val="24"/>
          <w:szCs w:val="24"/>
          <w:lang w:val="en-US"/>
        </w:rPr>
        <w:t>1:14,045 in 2015/16</w:t>
      </w:r>
      <w:r w:rsidRPr="00460EC6">
        <w:rPr>
          <w:rFonts w:ascii="Times New Roman" w:eastAsia="Calibri" w:hAnsi="Times New Roman" w:cs="Times New Roman"/>
          <w:color w:val="000000" w:themeColor="text1"/>
          <w:sz w:val="24"/>
          <w:szCs w:val="24"/>
          <w:lang w:val="en-US"/>
        </w:rPr>
        <w:t xml:space="preserve">, </w:t>
      </w:r>
      <w:r w:rsidRPr="00460EC6">
        <w:rPr>
          <w:rFonts w:ascii="Times New Roman" w:eastAsia="Calibri" w:hAnsi="Times New Roman" w:cs="Times New Roman"/>
          <w:bCs/>
          <w:color w:val="000000" w:themeColor="text1"/>
          <w:sz w:val="24"/>
          <w:szCs w:val="24"/>
          <w:lang w:val="en-US"/>
        </w:rPr>
        <w:t>1:10,734 in 2018/19</w:t>
      </w:r>
      <w:r w:rsidRPr="00460EC6">
        <w:rPr>
          <w:rFonts w:ascii="Times New Roman" w:eastAsia="Calibri" w:hAnsi="Times New Roman" w:cs="Times New Roman"/>
          <w:color w:val="000000" w:themeColor="text1"/>
          <w:sz w:val="24"/>
          <w:szCs w:val="24"/>
          <w:lang w:val="en-US"/>
        </w:rPr>
        <w:t xml:space="preserve">, and </w:t>
      </w:r>
      <w:r w:rsidRPr="00460EC6">
        <w:rPr>
          <w:rFonts w:ascii="Times New Roman" w:eastAsia="Calibri" w:hAnsi="Times New Roman" w:cs="Times New Roman"/>
          <w:bCs/>
          <w:color w:val="000000" w:themeColor="text1"/>
          <w:sz w:val="24"/>
          <w:szCs w:val="24"/>
          <w:lang w:val="en-US"/>
        </w:rPr>
        <w:t>1:5,843 by 2023/24</w:t>
      </w:r>
      <w:r w:rsidRPr="00460EC6">
        <w:rPr>
          <w:rFonts w:ascii="Times New Roman" w:eastAsia="Calibri" w:hAnsi="Times New Roman" w:cs="Times New Roman"/>
          <w:color w:val="000000" w:themeColor="text1"/>
          <w:sz w:val="24"/>
          <w:szCs w:val="24"/>
          <w:lang w:val="en-US"/>
        </w:rPr>
        <w:t>.</w:t>
      </w:r>
    </w:p>
    <w:p w14:paraId="2875249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ensure the </w:t>
      </w:r>
      <w:r w:rsidRPr="00460EC6">
        <w:rPr>
          <w:rFonts w:ascii="Times New Roman" w:eastAsia="Calibri" w:hAnsi="Times New Roman" w:cs="Times New Roman"/>
          <w:bCs/>
          <w:color w:val="000000" w:themeColor="text1"/>
          <w:kern w:val="0"/>
          <w:sz w:val="24"/>
          <w:szCs w:val="24"/>
          <w:lang w:val="en-US"/>
          <w14:ligatures w14:val="none"/>
        </w:rPr>
        <w:t>adequate availability of essential pharmaceuticals</w:t>
      </w:r>
      <w:r w:rsidRPr="00460EC6">
        <w:rPr>
          <w:rFonts w:ascii="Times New Roman" w:eastAsia="Calibri" w:hAnsi="Times New Roman" w:cs="Times New Roman"/>
          <w:color w:val="000000" w:themeColor="text1"/>
          <w:kern w:val="0"/>
          <w:sz w:val="24"/>
          <w:szCs w:val="24"/>
          <w:lang w:val="en-US"/>
          <w14:ligatures w14:val="none"/>
        </w:rPr>
        <w:t xml:space="preserve">,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been actively working to improve access to </w:t>
      </w:r>
      <w:r w:rsidRPr="00460EC6">
        <w:rPr>
          <w:rFonts w:ascii="Times New Roman" w:eastAsia="Calibri" w:hAnsi="Times New Roman" w:cs="Times New Roman"/>
          <w:bCs/>
          <w:color w:val="000000" w:themeColor="text1"/>
          <w:kern w:val="0"/>
          <w:sz w:val="24"/>
          <w:szCs w:val="24"/>
          <w:lang w:val="en-US"/>
          <w14:ligatures w14:val="none"/>
        </w:rPr>
        <w:t>quality-assured, safe, effective, and affordable medicines</w:t>
      </w:r>
      <w:r w:rsidRPr="00460EC6">
        <w:rPr>
          <w:rFonts w:ascii="Times New Roman" w:eastAsia="Calibri" w:hAnsi="Times New Roman" w:cs="Times New Roman"/>
          <w:color w:val="000000" w:themeColor="text1"/>
          <w:kern w:val="0"/>
          <w:sz w:val="24"/>
          <w:szCs w:val="24"/>
          <w:lang w:val="en-US"/>
          <w14:ligatures w14:val="none"/>
        </w:rPr>
        <w:t xml:space="preserve">. Key areas of focus include reducing </w:t>
      </w:r>
      <w:r w:rsidRPr="00460EC6">
        <w:rPr>
          <w:rFonts w:ascii="Times New Roman" w:eastAsia="Calibri" w:hAnsi="Times New Roman" w:cs="Times New Roman"/>
          <w:bCs/>
          <w:color w:val="000000" w:themeColor="text1"/>
          <w:kern w:val="0"/>
          <w:sz w:val="24"/>
          <w:szCs w:val="24"/>
          <w:lang w:val="en-US"/>
          <w14:ligatures w14:val="none"/>
        </w:rPr>
        <w:t>pharmaceutical wastage</w:t>
      </w:r>
      <w:r w:rsidRPr="00460EC6">
        <w:rPr>
          <w:rFonts w:ascii="Times New Roman" w:eastAsia="Calibri" w:hAnsi="Times New Roman" w:cs="Times New Roman"/>
          <w:color w:val="000000" w:themeColor="text1"/>
          <w:kern w:val="0"/>
          <w:sz w:val="24"/>
          <w:szCs w:val="24"/>
          <w:lang w:val="en-US"/>
          <w14:ligatures w14:val="none"/>
        </w:rPr>
        <w:t xml:space="preserve">, promoting </w:t>
      </w:r>
      <w:r w:rsidRPr="00460EC6">
        <w:rPr>
          <w:rFonts w:ascii="Times New Roman" w:eastAsia="Calibri" w:hAnsi="Times New Roman" w:cs="Times New Roman"/>
          <w:bCs/>
          <w:color w:val="000000" w:themeColor="text1"/>
          <w:kern w:val="0"/>
          <w:sz w:val="24"/>
          <w:szCs w:val="24"/>
          <w:lang w:val="en-US"/>
          <w14:ligatures w14:val="none"/>
        </w:rPr>
        <w:t>rational drug use</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strengthening the national pharmaceutical supply chain system</w:t>
      </w:r>
      <w:r w:rsidRPr="00460EC6">
        <w:rPr>
          <w:rFonts w:ascii="Times New Roman" w:eastAsia="Calibri" w:hAnsi="Times New Roman" w:cs="Times New Roman"/>
          <w:color w:val="000000" w:themeColor="text1"/>
          <w:kern w:val="0"/>
          <w:sz w:val="24"/>
          <w:szCs w:val="24"/>
          <w:lang w:val="en-US"/>
          <w14:ligatures w14:val="none"/>
        </w:rPr>
        <w:t>.</w:t>
      </w:r>
    </w:p>
    <w:p w14:paraId="310AB0AB"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To support the growth and sustainability of </w:t>
      </w:r>
      <w:r w:rsidRPr="00460EC6">
        <w:rPr>
          <w:rFonts w:ascii="Times New Roman" w:eastAsia="Calibri" w:hAnsi="Times New Roman" w:cs="Times New Roman"/>
          <w:bCs/>
          <w:color w:val="000000" w:themeColor="text1"/>
          <w:kern w:val="0"/>
          <w:sz w:val="24"/>
          <w:szCs w:val="24"/>
          <w:lang w:val="en-US"/>
          <w14:ligatures w14:val="none"/>
        </w:rPr>
        <w:t>local pharmaceutical and medical equipment manufacturers</w:t>
      </w:r>
      <w:r w:rsidRPr="00460EC6">
        <w:rPr>
          <w:rFonts w:ascii="Times New Roman" w:eastAsia="Calibri" w:hAnsi="Times New Roman" w:cs="Times New Roman"/>
          <w:color w:val="000000" w:themeColor="text1"/>
          <w:kern w:val="0"/>
          <w:sz w:val="24"/>
          <w:szCs w:val="24"/>
          <w:lang w:val="en-US"/>
          <w14:ligatures w14:val="none"/>
        </w:rPr>
        <w:t xml:space="preserve">,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introduced several enabling strategies like a </w:t>
      </w:r>
      <w:r w:rsidRPr="00460EC6">
        <w:rPr>
          <w:rFonts w:ascii="Times New Roman" w:eastAsia="Calibri" w:hAnsi="Times New Roman" w:cs="Times New Roman"/>
          <w:bCs/>
          <w:color w:val="000000" w:themeColor="text1"/>
          <w:kern w:val="0"/>
          <w:sz w:val="24"/>
          <w:szCs w:val="24"/>
          <w:lang w:val="en-US"/>
          <w14:ligatures w14:val="none"/>
        </w:rPr>
        <w:t>30% local preference margin</w:t>
      </w:r>
      <w:r w:rsidRPr="00460EC6">
        <w:rPr>
          <w:rFonts w:ascii="Times New Roman" w:eastAsia="Calibri" w:hAnsi="Times New Roman" w:cs="Times New Roman"/>
          <w:color w:val="000000" w:themeColor="text1"/>
          <w:kern w:val="0"/>
          <w:sz w:val="24"/>
          <w:szCs w:val="24"/>
          <w:lang w:val="en-US"/>
          <w14:ligatures w14:val="none"/>
        </w:rPr>
        <w:t xml:space="preserve"> for procurement bids to promote local production; </w:t>
      </w:r>
      <w:r w:rsidRPr="00460EC6">
        <w:rPr>
          <w:rFonts w:ascii="Times New Roman" w:eastAsia="Calibri" w:hAnsi="Times New Roman" w:cs="Times New Roman"/>
          <w:bCs/>
          <w:color w:val="000000" w:themeColor="text1"/>
          <w:kern w:val="0"/>
          <w:sz w:val="24"/>
          <w:szCs w:val="24"/>
          <w:lang w:val="en-US"/>
          <w14:ligatures w14:val="none"/>
        </w:rPr>
        <w:t>25% protection rights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30% advance payments</w:t>
      </w:r>
      <w:r w:rsidRPr="00460EC6">
        <w:rPr>
          <w:rFonts w:ascii="Times New Roman" w:eastAsia="Calibri" w:hAnsi="Times New Roman" w:cs="Times New Roman"/>
          <w:color w:val="000000" w:themeColor="text1"/>
          <w:kern w:val="0"/>
          <w:sz w:val="24"/>
          <w:szCs w:val="24"/>
          <w:lang w:val="en-US"/>
          <w14:ligatures w14:val="none"/>
        </w:rPr>
        <w:t xml:space="preserve"> for international procurement involving local suppliers; and </w:t>
      </w:r>
      <w:r w:rsidRPr="00460EC6">
        <w:rPr>
          <w:rFonts w:ascii="Times New Roman" w:eastAsia="Calibri" w:hAnsi="Times New Roman" w:cs="Times New Roman"/>
          <w:bCs/>
          <w:color w:val="000000" w:themeColor="text1"/>
          <w:kern w:val="0"/>
          <w:sz w:val="24"/>
          <w:szCs w:val="24"/>
          <w:lang w:val="en-US"/>
          <w14:ligatures w14:val="none"/>
        </w:rPr>
        <w:t>tripartite agreements</w:t>
      </w:r>
      <w:r w:rsidRPr="00460EC6">
        <w:rPr>
          <w:rFonts w:ascii="Times New Roman" w:eastAsia="Calibri" w:hAnsi="Times New Roman" w:cs="Times New Roman"/>
          <w:color w:val="000000" w:themeColor="text1"/>
          <w:kern w:val="0"/>
          <w:sz w:val="24"/>
          <w:szCs w:val="24"/>
          <w:lang w:val="en-US"/>
          <w14:ligatures w14:val="none"/>
        </w:rPr>
        <w:t xml:space="preserve"> involving the government, the Development Bank of Ethiopia, and local manufacturers, enabling access to loans covering </w:t>
      </w:r>
      <w:r w:rsidRPr="00460EC6">
        <w:rPr>
          <w:rFonts w:ascii="Times New Roman" w:eastAsia="Calibri" w:hAnsi="Times New Roman" w:cs="Times New Roman"/>
          <w:bCs/>
          <w:color w:val="000000" w:themeColor="text1"/>
          <w:kern w:val="0"/>
          <w:sz w:val="24"/>
          <w:szCs w:val="24"/>
          <w:lang w:val="en-US"/>
          <w14:ligatures w14:val="none"/>
        </w:rPr>
        <w:t>up to 70% of production costs</w:t>
      </w:r>
      <w:r w:rsidRPr="00460EC6">
        <w:rPr>
          <w:rFonts w:ascii="Times New Roman" w:eastAsia="Calibri" w:hAnsi="Times New Roman" w:cs="Times New Roman"/>
          <w:color w:val="000000" w:themeColor="text1"/>
          <w:kern w:val="0"/>
          <w:sz w:val="24"/>
          <w:szCs w:val="24"/>
          <w:lang w:val="en-US"/>
          <w14:ligatures w14:val="none"/>
        </w:rPr>
        <w:t>.</w:t>
      </w:r>
    </w:p>
    <w:p w14:paraId="02285FD9"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lastRenderedPageBreak/>
        <w:t xml:space="preserve">There has been a </w:t>
      </w:r>
      <w:r w:rsidRPr="00460EC6">
        <w:rPr>
          <w:rFonts w:ascii="Times New Roman" w:eastAsia="Calibri" w:hAnsi="Times New Roman" w:cs="Times New Roman"/>
          <w:bCs/>
          <w:color w:val="000000" w:themeColor="text1"/>
          <w:kern w:val="0"/>
          <w:sz w:val="24"/>
          <w:szCs w:val="24"/>
          <w:lang w:val="en-US"/>
          <w14:ligatures w14:val="none"/>
        </w:rPr>
        <w:t>substantial increase</w:t>
      </w:r>
      <w:r w:rsidRPr="00460EC6">
        <w:rPr>
          <w:rFonts w:ascii="Times New Roman" w:eastAsia="Calibri" w:hAnsi="Times New Roman" w:cs="Times New Roman"/>
          <w:color w:val="000000" w:themeColor="text1"/>
          <w:kern w:val="0"/>
          <w:sz w:val="24"/>
          <w:szCs w:val="24"/>
          <w:lang w:val="en-US"/>
          <w14:ligatures w14:val="none"/>
        </w:rPr>
        <w:t xml:space="preserve"> in the </w:t>
      </w:r>
      <w:r w:rsidRPr="00460EC6">
        <w:rPr>
          <w:rFonts w:ascii="Times New Roman" w:eastAsia="Calibri" w:hAnsi="Times New Roman" w:cs="Times New Roman"/>
          <w:bCs/>
          <w:color w:val="000000" w:themeColor="text1"/>
          <w:kern w:val="0"/>
          <w:sz w:val="24"/>
          <w:szCs w:val="24"/>
          <w:lang w:val="en-US"/>
          <w14:ligatures w14:val="none"/>
        </w:rPr>
        <w:t>procurement and distribution of pharmaceuticals and medical equipment</w:t>
      </w:r>
      <w:r w:rsidRPr="00460EC6">
        <w:rPr>
          <w:rFonts w:ascii="Times New Roman" w:eastAsia="Calibri" w:hAnsi="Times New Roman" w:cs="Times New Roman"/>
          <w:color w:val="000000" w:themeColor="text1"/>
          <w:kern w:val="0"/>
          <w:sz w:val="24"/>
          <w:szCs w:val="24"/>
          <w:lang w:val="en-US"/>
          <w14:ligatures w14:val="none"/>
        </w:rPr>
        <w:t xml:space="preserve"> rising from </w:t>
      </w:r>
      <w:r w:rsidRPr="00460EC6">
        <w:rPr>
          <w:rFonts w:ascii="Times New Roman" w:eastAsia="Calibri" w:hAnsi="Times New Roman" w:cs="Times New Roman"/>
          <w:bCs/>
          <w:color w:val="000000" w:themeColor="text1"/>
          <w:kern w:val="0"/>
          <w:sz w:val="24"/>
          <w:szCs w:val="24"/>
          <w:lang w:val="en-US"/>
          <w14:ligatures w14:val="none"/>
        </w:rPr>
        <w:t>4.97 billion ETB and 6.6 billion ETB in 2011/12</w:t>
      </w:r>
      <w:r w:rsidRPr="00460EC6">
        <w:rPr>
          <w:rFonts w:ascii="Times New Roman" w:eastAsia="Calibri" w:hAnsi="Times New Roman" w:cs="Times New Roman"/>
          <w:color w:val="000000" w:themeColor="text1"/>
          <w:kern w:val="0"/>
          <w:sz w:val="24"/>
          <w:szCs w:val="24"/>
          <w:lang w:val="en-US"/>
          <w14:ligatures w14:val="none"/>
        </w:rPr>
        <w:t xml:space="preserve"> to </w:t>
      </w:r>
      <w:r w:rsidRPr="00460EC6">
        <w:rPr>
          <w:rFonts w:ascii="Times New Roman" w:eastAsia="Calibri" w:hAnsi="Times New Roman" w:cs="Times New Roman"/>
          <w:bCs/>
          <w:color w:val="000000" w:themeColor="text1"/>
          <w:kern w:val="0"/>
          <w:sz w:val="24"/>
          <w:szCs w:val="24"/>
          <w:lang w:val="en-US"/>
          <w14:ligatures w14:val="none"/>
        </w:rPr>
        <w:t>6.84 billion ETB and 13.56 billion ETB in 2016/17</w:t>
      </w:r>
      <w:r w:rsidRPr="00460EC6">
        <w:rPr>
          <w:rFonts w:ascii="Times New Roman" w:eastAsia="Calibri" w:hAnsi="Times New Roman" w:cs="Times New Roman"/>
          <w:color w:val="000000" w:themeColor="text1"/>
          <w:kern w:val="0"/>
          <w:sz w:val="24"/>
          <w:szCs w:val="24"/>
          <w:lang w:val="en-US"/>
          <w14:ligatures w14:val="none"/>
        </w:rPr>
        <w:t xml:space="preserve">, and further increasing to </w:t>
      </w:r>
      <w:r w:rsidRPr="00460EC6">
        <w:rPr>
          <w:rFonts w:ascii="Times New Roman" w:eastAsia="Calibri" w:hAnsi="Times New Roman" w:cs="Times New Roman"/>
          <w:bCs/>
          <w:color w:val="000000" w:themeColor="text1"/>
          <w:kern w:val="0"/>
          <w:sz w:val="24"/>
          <w:szCs w:val="24"/>
          <w:lang w:val="en-US"/>
          <w14:ligatures w14:val="none"/>
        </w:rPr>
        <w:t>44.9 billion ETB and 42.9 billion ETB in 2021/22</w:t>
      </w:r>
      <w:r w:rsidRPr="00460EC6">
        <w:rPr>
          <w:rFonts w:ascii="Times New Roman" w:eastAsia="Calibri" w:hAnsi="Times New Roman" w:cs="Times New Roman"/>
          <w:color w:val="000000" w:themeColor="text1"/>
          <w:kern w:val="0"/>
          <w:sz w:val="24"/>
          <w:szCs w:val="24"/>
          <w:lang w:val="en-US"/>
          <w14:ligatures w14:val="none"/>
        </w:rPr>
        <w:t>, respectively.</w:t>
      </w:r>
    </w:p>
    <w:p w14:paraId="61F1C57F"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The </w:t>
      </w:r>
      <w:r w:rsidRPr="00460EC6">
        <w:rPr>
          <w:rFonts w:ascii="Times New Roman" w:eastAsia="Calibri" w:hAnsi="Times New Roman" w:cs="Times New Roman"/>
          <w:bCs/>
          <w:color w:val="000000" w:themeColor="text1"/>
          <w:sz w:val="24"/>
          <w:szCs w:val="24"/>
          <w:lang w:val="en-US"/>
        </w:rPr>
        <w:t>expansion of health centers and health posts</w:t>
      </w:r>
      <w:r w:rsidRPr="00460EC6">
        <w:rPr>
          <w:rFonts w:ascii="Times New Roman" w:eastAsia="Calibri" w:hAnsi="Times New Roman" w:cs="Times New Roman"/>
          <w:color w:val="000000" w:themeColor="text1"/>
          <w:sz w:val="24"/>
          <w:szCs w:val="24"/>
          <w:lang w:val="en-US"/>
        </w:rPr>
        <w:t xml:space="preserve"> is a critical driver in Ethiopia’s pursuit of </w:t>
      </w:r>
      <w:r w:rsidRPr="00460EC6">
        <w:rPr>
          <w:rFonts w:ascii="Times New Roman" w:eastAsia="Calibri" w:hAnsi="Times New Roman" w:cs="Times New Roman"/>
          <w:bCs/>
          <w:color w:val="000000" w:themeColor="text1"/>
          <w:sz w:val="24"/>
          <w:szCs w:val="24"/>
          <w:lang w:val="en-US"/>
        </w:rPr>
        <w:t>universal primary health care coverage</w:t>
      </w:r>
      <w:r w:rsidRPr="00460EC6">
        <w:rPr>
          <w:rFonts w:ascii="Times New Roman" w:eastAsia="Calibri" w:hAnsi="Times New Roman" w:cs="Times New Roman"/>
          <w:color w:val="000000" w:themeColor="text1"/>
          <w:sz w:val="24"/>
          <w:szCs w:val="24"/>
          <w:lang w:val="en-US"/>
        </w:rPr>
        <w:t xml:space="preserve">. Recognizing this, the </w:t>
      </w:r>
      <w:proofErr w:type="spellStart"/>
      <w:r w:rsidRPr="00460EC6">
        <w:rPr>
          <w:rFonts w:ascii="Times New Roman" w:eastAsia="Calibri" w:hAnsi="Times New Roman" w:cs="Times New Roman"/>
          <w:color w:val="000000" w:themeColor="text1"/>
          <w:sz w:val="24"/>
          <w:szCs w:val="24"/>
          <w:lang w:val="en-US"/>
        </w:rPr>
        <w:t>GoE</w:t>
      </w:r>
      <w:proofErr w:type="spellEnd"/>
      <w:r w:rsidRPr="00460EC6">
        <w:rPr>
          <w:rFonts w:ascii="Times New Roman" w:eastAsia="Calibri" w:hAnsi="Times New Roman" w:cs="Times New Roman"/>
          <w:color w:val="000000" w:themeColor="text1"/>
          <w:sz w:val="24"/>
          <w:szCs w:val="24"/>
          <w:lang w:val="en-US"/>
        </w:rPr>
        <w:t xml:space="preserve"> has prioritized the </w:t>
      </w:r>
      <w:r w:rsidRPr="00460EC6">
        <w:rPr>
          <w:rFonts w:ascii="Times New Roman" w:eastAsia="Calibri" w:hAnsi="Times New Roman" w:cs="Times New Roman"/>
          <w:bCs/>
          <w:color w:val="000000" w:themeColor="text1"/>
          <w:sz w:val="24"/>
          <w:szCs w:val="24"/>
          <w:lang w:val="en-US"/>
        </w:rPr>
        <w:t>construction, equipping, furnishing, maintenance, and effective management</w:t>
      </w:r>
      <w:r w:rsidRPr="00460EC6">
        <w:rPr>
          <w:rFonts w:ascii="Times New Roman" w:eastAsia="Calibri" w:hAnsi="Times New Roman" w:cs="Times New Roman"/>
          <w:color w:val="000000" w:themeColor="text1"/>
          <w:sz w:val="24"/>
          <w:szCs w:val="24"/>
          <w:lang w:val="en-US"/>
        </w:rPr>
        <w:t xml:space="preserve"> of health facilities as a cornerstone of its health sector development strategy.</w:t>
      </w:r>
    </w:p>
    <w:p w14:paraId="133285CA"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To accelerate the construction of health centers, the </w:t>
      </w:r>
      <w:r w:rsidRPr="00460EC6">
        <w:rPr>
          <w:rFonts w:ascii="Times New Roman" w:eastAsia="Calibri" w:hAnsi="Times New Roman" w:cs="Times New Roman"/>
          <w:bCs/>
          <w:color w:val="000000" w:themeColor="text1"/>
          <w:sz w:val="24"/>
          <w:szCs w:val="24"/>
          <w:lang w:val="en-US"/>
        </w:rPr>
        <w:t>federal government established a matching scheme</w:t>
      </w:r>
      <w:r w:rsidRPr="00460EC6">
        <w:rPr>
          <w:rFonts w:ascii="Times New Roman" w:eastAsia="Calibri" w:hAnsi="Times New Roman" w:cs="Times New Roman"/>
          <w:color w:val="000000" w:themeColor="text1"/>
          <w:sz w:val="24"/>
          <w:szCs w:val="24"/>
          <w:lang w:val="en-US"/>
        </w:rPr>
        <w:t xml:space="preserve"> with regional governments where, for every health center built by a regional government, the federal government committed to constructing one additional health center in </w:t>
      </w:r>
      <w:r w:rsidRPr="00460EC6">
        <w:rPr>
          <w:rFonts w:ascii="Times New Roman" w:eastAsia="Calibri" w:hAnsi="Times New Roman" w:cs="Times New Roman"/>
          <w:bCs/>
          <w:color w:val="000000" w:themeColor="text1"/>
          <w:sz w:val="24"/>
          <w:szCs w:val="24"/>
          <w:lang w:val="en-US"/>
        </w:rPr>
        <w:t>agrarian regions</w:t>
      </w:r>
      <w:r w:rsidRPr="00460EC6">
        <w:rPr>
          <w:rFonts w:ascii="Times New Roman" w:eastAsia="Calibri" w:hAnsi="Times New Roman" w:cs="Times New Roman"/>
          <w:color w:val="000000" w:themeColor="text1"/>
          <w:sz w:val="24"/>
          <w:szCs w:val="24"/>
          <w:lang w:val="en-US"/>
        </w:rPr>
        <w:t xml:space="preserve"> and </w:t>
      </w:r>
      <w:r w:rsidRPr="00460EC6">
        <w:rPr>
          <w:rFonts w:ascii="Times New Roman" w:eastAsia="Calibri" w:hAnsi="Times New Roman" w:cs="Times New Roman"/>
          <w:bCs/>
          <w:color w:val="000000" w:themeColor="text1"/>
          <w:sz w:val="24"/>
          <w:szCs w:val="24"/>
          <w:lang w:val="en-US"/>
        </w:rPr>
        <w:t>more than one</w:t>
      </w:r>
      <w:r w:rsidRPr="00460EC6">
        <w:rPr>
          <w:rFonts w:ascii="Times New Roman" w:eastAsia="Calibri" w:hAnsi="Times New Roman" w:cs="Times New Roman"/>
          <w:color w:val="000000" w:themeColor="text1"/>
          <w:sz w:val="24"/>
          <w:szCs w:val="24"/>
          <w:lang w:val="en-US"/>
        </w:rPr>
        <w:t xml:space="preserve"> in </w:t>
      </w:r>
      <w:r w:rsidRPr="00460EC6">
        <w:rPr>
          <w:rFonts w:ascii="Times New Roman" w:eastAsia="Calibri" w:hAnsi="Times New Roman" w:cs="Times New Roman"/>
          <w:bCs/>
          <w:color w:val="000000" w:themeColor="text1"/>
          <w:sz w:val="24"/>
          <w:szCs w:val="24"/>
          <w:lang w:val="en-US"/>
        </w:rPr>
        <w:t>pastoralist regions</w:t>
      </w:r>
      <w:r w:rsidRPr="00460EC6">
        <w:rPr>
          <w:rFonts w:ascii="Times New Roman" w:eastAsia="Calibri" w:hAnsi="Times New Roman" w:cs="Times New Roman"/>
          <w:color w:val="000000" w:themeColor="text1"/>
          <w:sz w:val="24"/>
          <w:szCs w:val="24"/>
          <w:lang w:val="en-US"/>
        </w:rPr>
        <w:t>, where access is limited.</w:t>
      </w:r>
    </w:p>
    <w:p w14:paraId="1443490A"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sz w:val="24"/>
          <w:szCs w:val="24"/>
          <w:lang w:val="en-US"/>
        </w:rPr>
        <w:t xml:space="preserve">As a result of these coordinated efforts, the number of </w:t>
      </w:r>
      <w:r w:rsidRPr="00460EC6">
        <w:rPr>
          <w:rFonts w:ascii="Times New Roman" w:eastAsia="Calibri" w:hAnsi="Times New Roman" w:cs="Times New Roman"/>
          <w:bCs/>
          <w:color w:val="000000" w:themeColor="text1"/>
          <w:sz w:val="24"/>
          <w:szCs w:val="24"/>
          <w:lang w:val="en-US"/>
        </w:rPr>
        <w:t>functional public health facilities</w:t>
      </w:r>
      <w:r w:rsidRPr="00460EC6">
        <w:rPr>
          <w:rFonts w:ascii="Times New Roman" w:eastAsia="Calibri" w:hAnsi="Times New Roman" w:cs="Times New Roman"/>
          <w:color w:val="000000" w:themeColor="text1"/>
          <w:sz w:val="24"/>
          <w:szCs w:val="24"/>
          <w:lang w:val="en-US"/>
        </w:rPr>
        <w:t xml:space="preserve"> including </w:t>
      </w:r>
      <w:r w:rsidRPr="00460EC6">
        <w:rPr>
          <w:rFonts w:ascii="Times New Roman" w:eastAsia="Calibri" w:hAnsi="Times New Roman" w:cs="Times New Roman"/>
          <w:bCs/>
          <w:color w:val="000000" w:themeColor="text1"/>
          <w:sz w:val="24"/>
          <w:szCs w:val="24"/>
          <w:lang w:val="en-US"/>
        </w:rPr>
        <w:t>health posts, health centers, and hospitals</w:t>
      </w:r>
      <w:r w:rsidRPr="00460EC6">
        <w:rPr>
          <w:rFonts w:ascii="Times New Roman" w:eastAsia="Calibri" w:hAnsi="Times New Roman" w:cs="Times New Roman"/>
          <w:color w:val="000000" w:themeColor="text1"/>
          <w:sz w:val="24"/>
          <w:szCs w:val="24"/>
          <w:lang w:val="en-US"/>
        </w:rPr>
        <w:t xml:space="preserve"> increased from </w:t>
      </w:r>
      <w:r w:rsidRPr="00460EC6">
        <w:rPr>
          <w:rFonts w:ascii="Times New Roman" w:eastAsia="Calibri" w:hAnsi="Times New Roman" w:cs="Times New Roman"/>
          <w:bCs/>
          <w:color w:val="000000" w:themeColor="text1"/>
          <w:sz w:val="24"/>
          <w:szCs w:val="24"/>
          <w:lang w:val="en-US"/>
        </w:rPr>
        <w:t>19,420 in 2012/13</w:t>
      </w:r>
      <w:r w:rsidRPr="00460EC6">
        <w:rPr>
          <w:rFonts w:ascii="Times New Roman" w:eastAsia="Calibri" w:hAnsi="Times New Roman" w:cs="Times New Roman"/>
          <w:color w:val="000000" w:themeColor="text1"/>
          <w:sz w:val="24"/>
          <w:szCs w:val="24"/>
          <w:lang w:val="en-US"/>
        </w:rPr>
        <w:t xml:space="preserve">, to </w:t>
      </w:r>
      <w:r w:rsidRPr="00460EC6">
        <w:rPr>
          <w:rFonts w:ascii="Times New Roman" w:eastAsia="Calibri" w:hAnsi="Times New Roman" w:cs="Times New Roman"/>
          <w:bCs/>
          <w:color w:val="000000" w:themeColor="text1"/>
          <w:sz w:val="24"/>
          <w:szCs w:val="24"/>
          <w:lang w:val="en-US"/>
        </w:rPr>
        <w:t>20,479 in 2017/18</w:t>
      </w:r>
      <w:r w:rsidRPr="00460EC6">
        <w:rPr>
          <w:rFonts w:ascii="Times New Roman" w:eastAsia="Calibri" w:hAnsi="Times New Roman" w:cs="Times New Roman"/>
          <w:color w:val="000000" w:themeColor="text1"/>
          <w:sz w:val="24"/>
          <w:szCs w:val="24"/>
          <w:lang w:val="en-US"/>
        </w:rPr>
        <w:t xml:space="preserve">, and further to </w:t>
      </w:r>
      <w:r w:rsidRPr="00460EC6">
        <w:rPr>
          <w:rFonts w:ascii="Times New Roman" w:eastAsia="Calibri" w:hAnsi="Times New Roman" w:cs="Times New Roman"/>
          <w:bCs/>
          <w:color w:val="000000" w:themeColor="text1"/>
          <w:sz w:val="24"/>
          <w:szCs w:val="24"/>
          <w:lang w:val="en-US"/>
        </w:rPr>
        <w:t>21,890 in 2023/24</w:t>
      </w:r>
      <w:r w:rsidRPr="00460EC6">
        <w:rPr>
          <w:rFonts w:ascii="Times New Roman" w:eastAsia="Calibri" w:hAnsi="Times New Roman" w:cs="Times New Roman"/>
          <w:color w:val="000000" w:themeColor="text1"/>
          <w:sz w:val="24"/>
          <w:szCs w:val="24"/>
          <w:lang w:val="en-US"/>
        </w:rPr>
        <w:t>.</w:t>
      </w:r>
    </w:p>
    <w:p w14:paraId="164E69D0" w14:textId="53E959A6"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Ethiopia’s HEP</w:t>
      </w:r>
      <w:r w:rsidRPr="00460EC6">
        <w:rPr>
          <w:rFonts w:ascii="Times New Roman" w:eastAsia="Calibri" w:hAnsi="Times New Roman" w:cs="Times New Roman"/>
          <w:color w:val="000000" w:themeColor="text1"/>
          <w:kern w:val="0"/>
          <w:sz w:val="24"/>
          <w:szCs w:val="24"/>
          <w:lang w:val="en-US"/>
          <w14:ligatures w14:val="none"/>
        </w:rPr>
        <w:t xml:space="preserve"> is a flagship, institutionalized </w:t>
      </w:r>
      <w:r w:rsidRPr="00460EC6">
        <w:rPr>
          <w:rFonts w:ascii="Times New Roman" w:eastAsia="Calibri" w:hAnsi="Times New Roman" w:cs="Times New Roman"/>
          <w:bCs/>
          <w:color w:val="000000" w:themeColor="text1"/>
          <w:kern w:val="0"/>
          <w:sz w:val="24"/>
          <w:szCs w:val="24"/>
          <w:lang w:val="en-US"/>
          <w14:ligatures w14:val="none"/>
        </w:rPr>
        <w:t>community-based health system</w:t>
      </w:r>
      <w:r w:rsidRPr="00460EC6">
        <w:rPr>
          <w:rFonts w:ascii="Times New Roman" w:eastAsia="Calibri" w:hAnsi="Times New Roman" w:cs="Times New Roman"/>
          <w:color w:val="000000" w:themeColor="text1"/>
          <w:kern w:val="0"/>
          <w:sz w:val="24"/>
          <w:szCs w:val="24"/>
          <w:lang w:val="en-US"/>
          <w14:ligatures w14:val="none"/>
        </w:rPr>
        <w:t xml:space="preserve"> aimed at achieving </w:t>
      </w:r>
      <w:r w:rsidRPr="00460EC6">
        <w:rPr>
          <w:rFonts w:ascii="Times New Roman" w:eastAsia="Calibri" w:hAnsi="Times New Roman" w:cs="Times New Roman"/>
          <w:bCs/>
          <w:color w:val="000000" w:themeColor="text1"/>
          <w:kern w:val="0"/>
          <w:sz w:val="24"/>
          <w:szCs w:val="24"/>
          <w:lang w:val="en-US"/>
          <w14:ligatures w14:val="none"/>
        </w:rPr>
        <w:t>UHC</w:t>
      </w:r>
      <w:r w:rsidRPr="00460EC6">
        <w:rPr>
          <w:rFonts w:ascii="Times New Roman" w:eastAsia="Calibri" w:hAnsi="Times New Roman" w:cs="Times New Roman"/>
          <w:color w:val="000000" w:themeColor="text1"/>
          <w:kern w:val="0"/>
          <w:sz w:val="24"/>
          <w:szCs w:val="24"/>
          <w:lang w:val="en-US"/>
          <w14:ligatures w14:val="none"/>
        </w:rPr>
        <w:t xml:space="preserve">, particularly among </w:t>
      </w:r>
      <w:r w:rsidRPr="00460EC6">
        <w:rPr>
          <w:rFonts w:ascii="Times New Roman" w:eastAsia="Calibri" w:hAnsi="Times New Roman" w:cs="Times New Roman"/>
          <w:bCs/>
          <w:color w:val="000000" w:themeColor="text1"/>
          <w:kern w:val="0"/>
          <w:sz w:val="24"/>
          <w:szCs w:val="24"/>
          <w:lang w:val="en-US"/>
          <w14:ligatures w14:val="none"/>
        </w:rPr>
        <w:t>rural and underserved populations</w:t>
      </w:r>
      <w:r w:rsidRPr="00460EC6">
        <w:rPr>
          <w:rFonts w:ascii="Times New Roman" w:eastAsia="Calibri" w:hAnsi="Times New Roman" w:cs="Times New Roman"/>
          <w:color w:val="000000" w:themeColor="text1"/>
          <w:kern w:val="0"/>
          <w:sz w:val="24"/>
          <w:szCs w:val="24"/>
          <w:lang w:val="en-US"/>
          <w14:ligatures w14:val="none"/>
        </w:rPr>
        <w:t xml:space="preserve">. Building on the success of the </w:t>
      </w:r>
      <w:r w:rsidRPr="00460EC6">
        <w:rPr>
          <w:rFonts w:ascii="Times New Roman" w:eastAsia="Calibri" w:hAnsi="Times New Roman" w:cs="Times New Roman"/>
          <w:bCs/>
          <w:color w:val="000000" w:themeColor="text1"/>
          <w:kern w:val="0"/>
          <w:sz w:val="24"/>
          <w:szCs w:val="24"/>
          <w:lang w:val="en-US"/>
          <w14:ligatures w14:val="none"/>
        </w:rPr>
        <w:t>agrarian HEP launched in 2012</w:t>
      </w:r>
      <w:r w:rsidRPr="00460EC6">
        <w:rPr>
          <w:rFonts w:ascii="Times New Roman" w:eastAsia="Calibri" w:hAnsi="Times New Roman" w:cs="Times New Roman"/>
          <w:color w:val="000000" w:themeColor="text1"/>
          <w:kern w:val="0"/>
          <w:sz w:val="24"/>
          <w:szCs w:val="24"/>
          <w:lang w:val="en-US"/>
          <w14:ligatures w14:val="none"/>
        </w:rPr>
        <w:t xml:space="preserve">, the HEP was expanded in 2019 to cover </w:t>
      </w:r>
      <w:r w:rsidRPr="00460EC6">
        <w:rPr>
          <w:rFonts w:ascii="Times New Roman" w:eastAsia="Calibri" w:hAnsi="Times New Roman" w:cs="Times New Roman"/>
          <w:bCs/>
          <w:color w:val="000000" w:themeColor="text1"/>
          <w:kern w:val="0"/>
          <w:sz w:val="24"/>
          <w:szCs w:val="24"/>
          <w:lang w:val="en-US"/>
          <w14:ligatures w14:val="none"/>
        </w:rPr>
        <w:t>urban and pastoral areas</w:t>
      </w:r>
      <w:r w:rsidRPr="00460EC6">
        <w:rPr>
          <w:rFonts w:ascii="Times New Roman" w:eastAsia="Calibri" w:hAnsi="Times New Roman" w:cs="Times New Roman"/>
          <w:color w:val="000000" w:themeColor="text1"/>
          <w:kern w:val="0"/>
          <w:sz w:val="24"/>
          <w:szCs w:val="24"/>
          <w:lang w:val="en-US"/>
          <w14:ligatures w14:val="none"/>
        </w:rPr>
        <w:t xml:space="preserve"> serving as a mechanism to deliver </w:t>
      </w:r>
      <w:r w:rsidRPr="00460EC6">
        <w:rPr>
          <w:rFonts w:ascii="Times New Roman" w:eastAsia="Calibri" w:hAnsi="Times New Roman" w:cs="Times New Roman"/>
          <w:bCs/>
          <w:color w:val="000000" w:themeColor="text1"/>
          <w:kern w:val="0"/>
          <w:sz w:val="24"/>
          <w:szCs w:val="24"/>
          <w:lang w:val="en-US"/>
          <w14:ligatures w14:val="none"/>
        </w:rPr>
        <w:t>equitable health services free of charge</w:t>
      </w:r>
      <w:r w:rsidRPr="00460EC6">
        <w:rPr>
          <w:rFonts w:ascii="Times New Roman" w:eastAsia="Calibri" w:hAnsi="Times New Roman" w:cs="Times New Roman"/>
          <w:color w:val="000000" w:themeColor="text1"/>
          <w:kern w:val="0"/>
          <w:sz w:val="24"/>
          <w:szCs w:val="24"/>
          <w:lang w:val="en-US"/>
          <w14:ligatures w14:val="none"/>
        </w:rPr>
        <w:t xml:space="preserve">, primarily through the deployment of </w:t>
      </w:r>
      <w:r w:rsidRPr="00460EC6">
        <w:rPr>
          <w:rFonts w:ascii="Times New Roman" w:eastAsia="Calibri" w:hAnsi="Times New Roman" w:cs="Times New Roman"/>
          <w:bCs/>
          <w:color w:val="000000" w:themeColor="text1"/>
          <w:kern w:val="0"/>
          <w:sz w:val="24"/>
          <w:szCs w:val="24"/>
          <w:lang w:val="en-US"/>
          <w14:ligatures w14:val="none"/>
        </w:rPr>
        <w:t>HEWs</w:t>
      </w:r>
      <w:r w:rsidRPr="00460EC6">
        <w:rPr>
          <w:rFonts w:ascii="Times New Roman" w:eastAsia="Calibri" w:hAnsi="Times New Roman" w:cs="Times New Roman"/>
          <w:color w:val="000000" w:themeColor="text1"/>
          <w:kern w:val="0"/>
          <w:sz w:val="24"/>
          <w:szCs w:val="24"/>
          <w:lang w:val="en-US"/>
          <w14:ligatures w14:val="none"/>
        </w:rPr>
        <w:t xml:space="preserve"> at the grassroots level where by 2024, close to 40,000 HEWs were deployed in the country.</w:t>
      </w:r>
    </w:p>
    <w:p w14:paraId="593E1AD1"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r w:rsidRPr="00460EC6">
        <w:rPr>
          <w:rFonts w:ascii="Times New Roman" w:eastAsia="Calibri" w:hAnsi="Times New Roman" w:cs="Times New Roman"/>
          <w:bCs/>
          <w:color w:val="000000" w:themeColor="text1"/>
          <w:kern w:val="0"/>
          <w:sz w:val="24"/>
          <w:szCs w:val="24"/>
          <w:lang w:val="en-US"/>
          <w14:ligatures w14:val="none"/>
        </w:rPr>
        <w:t>Health Center–Health Post linkage system</w:t>
      </w:r>
      <w:r w:rsidRPr="00460EC6">
        <w:rPr>
          <w:rFonts w:ascii="Times New Roman" w:eastAsia="Calibri" w:hAnsi="Times New Roman" w:cs="Times New Roman"/>
          <w:color w:val="000000" w:themeColor="text1"/>
          <w:kern w:val="0"/>
          <w:sz w:val="24"/>
          <w:szCs w:val="24"/>
          <w:lang w:val="en-US"/>
          <w14:ligatures w14:val="none"/>
        </w:rPr>
        <w:t xml:space="preserve">, which assigns health professionals from health centers to regularly support health posts and HEWs has been implemented, which has helped </w:t>
      </w:r>
      <w:r w:rsidRPr="00460EC6">
        <w:rPr>
          <w:rFonts w:ascii="Times New Roman" w:eastAsia="Calibri" w:hAnsi="Times New Roman" w:cs="Times New Roman"/>
          <w:bCs/>
          <w:color w:val="000000" w:themeColor="text1"/>
          <w:kern w:val="0"/>
          <w:sz w:val="24"/>
          <w:szCs w:val="24"/>
          <w:lang w:val="en-US"/>
          <w14:ligatures w14:val="none"/>
        </w:rPr>
        <w:t xml:space="preserve">address challenges in technical skills and logistics, </w:t>
      </w:r>
      <w:r w:rsidRPr="00460EC6">
        <w:rPr>
          <w:rFonts w:ascii="Times New Roman" w:eastAsia="Calibri" w:hAnsi="Times New Roman" w:cs="Times New Roman"/>
          <w:color w:val="000000" w:themeColor="text1"/>
          <w:kern w:val="0"/>
          <w:sz w:val="24"/>
          <w:szCs w:val="24"/>
          <w:lang w:val="en-US"/>
          <w14:ligatures w14:val="none"/>
        </w:rPr>
        <w:t>improving the effectiveness and quality of service delivery at the community level.</w:t>
      </w:r>
    </w:p>
    <w:p w14:paraId="3E979DFD"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In </w:t>
      </w:r>
      <w:r w:rsidRPr="00460EC6">
        <w:rPr>
          <w:rFonts w:ascii="Times New Roman" w:eastAsia="Calibri" w:hAnsi="Times New Roman" w:cs="Times New Roman"/>
          <w:bCs/>
          <w:color w:val="000000" w:themeColor="text1"/>
          <w:kern w:val="0"/>
          <w:sz w:val="24"/>
          <w:szCs w:val="24"/>
          <w:lang w:val="en-US"/>
          <w14:ligatures w14:val="none"/>
        </w:rPr>
        <w:t>2017</w:t>
      </w:r>
      <w:r w:rsidRPr="00460EC6">
        <w:rPr>
          <w:rFonts w:ascii="Times New Roman" w:eastAsia="Calibri" w:hAnsi="Times New Roman" w:cs="Times New Roman"/>
          <w:color w:val="000000" w:themeColor="text1"/>
          <w:kern w:val="0"/>
          <w:sz w:val="24"/>
          <w:szCs w:val="24"/>
          <w:lang w:val="en-US"/>
          <w14:ligatures w14:val="none"/>
        </w:rPr>
        <w:t xml:space="preserve">, the </w:t>
      </w:r>
      <w:proofErr w:type="spellStart"/>
      <w:r w:rsidRPr="00460EC6">
        <w:rPr>
          <w:rFonts w:ascii="Times New Roman" w:eastAsia="Calibri" w:hAnsi="Times New Roman" w:cs="Times New Roman"/>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developed a </w:t>
      </w:r>
      <w:r w:rsidRPr="00460EC6">
        <w:rPr>
          <w:rFonts w:ascii="Times New Roman" w:eastAsia="Calibri" w:hAnsi="Times New Roman" w:cs="Times New Roman"/>
          <w:bCs/>
          <w:color w:val="000000" w:themeColor="text1"/>
          <w:kern w:val="0"/>
          <w:sz w:val="24"/>
          <w:szCs w:val="24"/>
          <w:lang w:val="en-US"/>
          <w14:ligatures w14:val="none"/>
        </w:rPr>
        <w:t>Disability Mainstreaming Manual</w:t>
      </w:r>
      <w:r w:rsidRPr="00460EC6">
        <w:rPr>
          <w:rFonts w:ascii="Times New Roman" w:eastAsia="Calibri" w:hAnsi="Times New Roman" w:cs="Times New Roman"/>
          <w:color w:val="000000" w:themeColor="text1"/>
          <w:kern w:val="0"/>
          <w:sz w:val="24"/>
          <w:szCs w:val="24"/>
          <w:lang w:val="en-US"/>
          <w14:ligatures w14:val="none"/>
        </w:rPr>
        <w:t xml:space="preserve"> to enhance inclusivity within the health system. To promote </w:t>
      </w:r>
      <w:r w:rsidRPr="00460EC6">
        <w:rPr>
          <w:rFonts w:ascii="Times New Roman" w:eastAsia="Calibri" w:hAnsi="Times New Roman" w:cs="Times New Roman"/>
          <w:bCs/>
          <w:color w:val="000000" w:themeColor="text1"/>
          <w:kern w:val="0"/>
          <w:sz w:val="24"/>
          <w:szCs w:val="24"/>
          <w:lang w:val="en-US"/>
          <w14:ligatures w14:val="none"/>
        </w:rPr>
        <w:t>equitable access to health information and services</w:t>
      </w:r>
      <w:r w:rsidRPr="00460EC6">
        <w:rPr>
          <w:rFonts w:ascii="Times New Roman" w:eastAsia="Calibri" w:hAnsi="Times New Roman" w:cs="Times New Roman"/>
          <w:color w:val="000000" w:themeColor="text1"/>
          <w:kern w:val="0"/>
          <w:sz w:val="24"/>
          <w:szCs w:val="24"/>
          <w:lang w:val="en-US"/>
          <w14:ligatures w14:val="none"/>
        </w:rPr>
        <w:t xml:space="preserve"> for PWDs, health-related messages are being disseminated using </w:t>
      </w:r>
      <w:r w:rsidRPr="00460EC6">
        <w:rPr>
          <w:rFonts w:ascii="Times New Roman" w:eastAsia="Calibri" w:hAnsi="Times New Roman" w:cs="Times New Roman"/>
          <w:bCs/>
          <w:color w:val="000000" w:themeColor="text1"/>
          <w:kern w:val="0"/>
          <w:sz w:val="24"/>
          <w:szCs w:val="24"/>
          <w:lang w:val="en-US"/>
          <w14:ligatures w14:val="none"/>
        </w:rPr>
        <w:t>sign language</w:t>
      </w:r>
      <w:r w:rsidRPr="00460EC6">
        <w:rPr>
          <w:rFonts w:ascii="Times New Roman" w:eastAsia="Calibri" w:hAnsi="Times New Roman" w:cs="Times New Roman"/>
          <w:color w:val="000000" w:themeColor="text1"/>
          <w:kern w:val="0"/>
          <w:sz w:val="24"/>
          <w:szCs w:val="24"/>
          <w:lang w:val="en-US"/>
          <w14:ligatures w14:val="none"/>
        </w:rPr>
        <w:t xml:space="preserve">, and a </w:t>
      </w:r>
      <w:r w:rsidRPr="00460EC6">
        <w:rPr>
          <w:rFonts w:ascii="Times New Roman" w:eastAsia="Calibri" w:hAnsi="Times New Roman" w:cs="Times New Roman"/>
          <w:bCs/>
          <w:color w:val="000000" w:themeColor="text1"/>
          <w:kern w:val="0"/>
          <w:sz w:val="24"/>
          <w:szCs w:val="24"/>
          <w:lang w:val="en-US"/>
          <w14:ligatures w14:val="none"/>
        </w:rPr>
        <w:t>training manual on disability inclusion</w:t>
      </w:r>
      <w:r w:rsidRPr="00460EC6">
        <w:rPr>
          <w:rFonts w:ascii="Times New Roman" w:eastAsia="Calibri" w:hAnsi="Times New Roman" w:cs="Times New Roman"/>
          <w:color w:val="000000" w:themeColor="text1"/>
          <w:kern w:val="0"/>
          <w:sz w:val="24"/>
          <w:szCs w:val="24"/>
          <w:lang w:val="en-US"/>
          <w14:ligatures w14:val="none"/>
        </w:rPr>
        <w:t xml:space="preserve"> was prepared. In addition, </w:t>
      </w:r>
      <w:r w:rsidRPr="00460EC6">
        <w:rPr>
          <w:rFonts w:ascii="Times New Roman" w:eastAsia="Calibri" w:hAnsi="Times New Roman" w:cs="Times New Roman"/>
          <w:bCs/>
          <w:color w:val="000000" w:themeColor="text1"/>
          <w:kern w:val="0"/>
          <w:sz w:val="24"/>
          <w:szCs w:val="24"/>
          <w:lang w:val="en-US"/>
          <w14:ligatures w14:val="none"/>
        </w:rPr>
        <w:t>basic sign language training</w:t>
      </w:r>
      <w:r w:rsidRPr="00460EC6">
        <w:rPr>
          <w:rFonts w:ascii="Times New Roman" w:eastAsia="Calibri" w:hAnsi="Times New Roman" w:cs="Times New Roman"/>
          <w:color w:val="000000" w:themeColor="text1"/>
          <w:kern w:val="0"/>
          <w:sz w:val="24"/>
          <w:szCs w:val="24"/>
          <w:lang w:val="en-US"/>
          <w14:ligatures w14:val="none"/>
        </w:rPr>
        <w:t xml:space="preserve"> has </w:t>
      </w:r>
      <w:r w:rsidRPr="00460EC6">
        <w:rPr>
          <w:rFonts w:ascii="Times New Roman" w:eastAsia="Calibri" w:hAnsi="Times New Roman" w:cs="Times New Roman"/>
          <w:color w:val="000000" w:themeColor="text1"/>
          <w:kern w:val="0"/>
          <w:sz w:val="24"/>
          <w:szCs w:val="24"/>
          <w:lang w:val="en-US"/>
          <w14:ligatures w14:val="none"/>
        </w:rPr>
        <w:lastRenderedPageBreak/>
        <w:t xml:space="preserve">been provided to </w:t>
      </w:r>
      <w:r w:rsidRPr="00460EC6">
        <w:rPr>
          <w:rFonts w:ascii="Times New Roman" w:eastAsia="Calibri" w:hAnsi="Times New Roman" w:cs="Times New Roman"/>
          <w:bCs/>
          <w:color w:val="000000" w:themeColor="text1"/>
          <w:kern w:val="0"/>
          <w:sz w:val="24"/>
          <w:szCs w:val="24"/>
          <w:lang w:val="en-US"/>
          <w14:ligatures w14:val="none"/>
        </w:rPr>
        <w:t>health care workers</w:t>
      </w:r>
      <w:r w:rsidRPr="00460EC6">
        <w:rPr>
          <w:rFonts w:ascii="Times New Roman" w:eastAsia="Calibri" w:hAnsi="Times New Roman" w:cs="Times New Roman"/>
          <w:color w:val="000000" w:themeColor="text1"/>
          <w:kern w:val="0"/>
          <w:sz w:val="24"/>
          <w:szCs w:val="24"/>
          <w:lang w:val="en-US"/>
          <w14:ligatures w14:val="none"/>
        </w:rPr>
        <w:t>, helping to improve communication and service delivery for individuals with hearing impairments.</w:t>
      </w:r>
    </w:p>
    <w:p w14:paraId="5994D97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Exempted health services</w:t>
      </w:r>
      <w:r w:rsidRPr="00460EC6">
        <w:rPr>
          <w:rFonts w:ascii="Times New Roman" w:eastAsia="Calibri" w:hAnsi="Times New Roman" w:cs="Times New Roman"/>
          <w:color w:val="000000" w:themeColor="text1"/>
          <w:kern w:val="0"/>
          <w:sz w:val="24"/>
          <w:szCs w:val="24"/>
          <w:lang w:val="en-US"/>
          <w14:ligatures w14:val="none"/>
        </w:rPr>
        <w:t xml:space="preserve"> are being delivered to all individuals regardless of income as a core component of Ethiopia’s public health strategy. These services are considered essential due to their </w:t>
      </w:r>
      <w:r w:rsidRPr="00460EC6">
        <w:rPr>
          <w:rFonts w:ascii="Times New Roman" w:eastAsia="Calibri" w:hAnsi="Times New Roman" w:cs="Times New Roman"/>
          <w:bCs/>
          <w:color w:val="000000" w:themeColor="text1"/>
          <w:kern w:val="0"/>
          <w:sz w:val="24"/>
          <w:szCs w:val="24"/>
          <w:lang w:val="en-US"/>
          <w14:ligatures w14:val="none"/>
        </w:rPr>
        <w:t>broad public health impact</w:t>
      </w:r>
      <w:r w:rsidRPr="00460EC6">
        <w:rPr>
          <w:rFonts w:ascii="Times New Roman" w:eastAsia="Calibri" w:hAnsi="Times New Roman" w:cs="Times New Roman"/>
          <w:color w:val="000000" w:themeColor="text1"/>
          <w:kern w:val="0"/>
          <w:sz w:val="24"/>
          <w:szCs w:val="24"/>
          <w:lang w:val="en-US"/>
          <w14:ligatures w14:val="none"/>
        </w:rPr>
        <w:t xml:space="preserve"> and their role in encouraging </w:t>
      </w:r>
      <w:r w:rsidRPr="00460EC6">
        <w:rPr>
          <w:rFonts w:ascii="Times New Roman" w:eastAsia="Calibri" w:hAnsi="Times New Roman" w:cs="Times New Roman"/>
          <w:bCs/>
          <w:color w:val="000000" w:themeColor="text1"/>
          <w:kern w:val="0"/>
          <w:sz w:val="24"/>
          <w:szCs w:val="24"/>
          <w:lang w:val="en-US"/>
          <w14:ligatures w14:val="none"/>
        </w:rPr>
        <w:t>health-seeking behavior</w:t>
      </w:r>
      <w:r w:rsidRPr="00460EC6">
        <w:rPr>
          <w:rFonts w:ascii="Times New Roman" w:eastAsia="Calibri" w:hAnsi="Times New Roman" w:cs="Times New Roman"/>
          <w:color w:val="000000" w:themeColor="text1"/>
          <w:kern w:val="0"/>
          <w:sz w:val="24"/>
          <w:szCs w:val="24"/>
          <w:lang w:val="en-US"/>
          <w14:ligatures w14:val="none"/>
        </w:rPr>
        <w:t>. The services include d</w:t>
      </w:r>
      <w:r w:rsidRPr="00460EC6">
        <w:rPr>
          <w:rFonts w:ascii="Times New Roman" w:eastAsia="Calibri" w:hAnsi="Times New Roman" w:cs="Times New Roman"/>
          <w:bCs/>
          <w:color w:val="000000" w:themeColor="text1"/>
          <w:kern w:val="0"/>
          <w:sz w:val="24"/>
          <w:szCs w:val="24"/>
          <w:lang w:val="en-US"/>
          <w14:ligatures w14:val="none"/>
        </w:rPr>
        <w:t>iagnosis, treatment, and follow-up</w:t>
      </w:r>
      <w:r w:rsidRPr="00460EC6">
        <w:rPr>
          <w:rFonts w:ascii="Times New Roman" w:eastAsia="Calibri" w:hAnsi="Times New Roman" w:cs="Times New Roman"/>
          <w:color w:val="000000" w:themeColor="text1"/>
          <w:kern w:val="0"/>
          <w:sz w:val="24"/>
          <w:szCs w:val="24"/>
          <w:lang w:val="en-US"/>
          <w14:ligatures w14:val="none"/>
        </w:rPr>
        <w:t xml:space="preserve"> for </w:t>
      </w:r>
      <w:r w:rsidRPr="00460EC6">
        <w:rPr>
          <w:rFonts w:ascii="Times New Roman" w:eastAsia="Calibri" w:hAnsi="Times New Roman" w:cs="Times New Roman"/>
          <w:bCs/>
          <w:color w:val="000000" w:themeColor="text1"/>
          <w:kern w:val="0"/>
          <w:sz w:val="24"/>
          <w:szCs w:val="24"/>
          <w:lang w:val="en-US"/>
          <w14:ligatures w14:val="none"/>
        </w:rPr>
        <w:t>TB,</w:t>
      </w:r>
      <w:r w:rsidRPr="00460EC6">
        <w:rPr>
          <w:rFonts w:ascii="Times New Roman" w:eastAsia="Calibri" w:hAnsi="Times New Roman" w:cs="Times New Roman"/>
          <w:color w:val="000000" w:themeColor="text1"/>
          <w:kern w:val="0"/>
          <w:sz w:val="24"/>
          <w:szCs w:val="24"/>
          <w:lang w:val="en-US"/>
          <w14:ligatures w14:val="none"/>
        </w:rPr>
        <w:t xml:space="preserve"> </w:t>
      </w:r>
      <w:r w:rsidRPr="00460EC6">
        <w:rPr>
          <w:rFonts w:ascii="Times New Roman" w:eastAsia="Calibri" w:hAnsi="Times New Roman" w:cs="Times New Roman"/>
          <w:bCs/>
          <w:color w:val="000000" w:themeColor="text1"/>
          <w:kern w:val="0"/>
          <w:sz w:val="24"/>
          <w:szCs w:val="24"/>
          <w:lang w:val="en-US"/>
          <w14:ligatures w14:val="none"/>
        </w:rPr>
        <w:t>prenatal, delivery, and postnatal care</w:t>
      </w:r>
      <w:r w:rsidRPr="00460EC6">
        <w:rPr>
          <w:rFonts w:ascii="Times New Roman" w:eastAsia="Calibri" w:hAnsi="Times New Roman" w:cs="Times New Roman"/>
          <w:color w:val="000000" w:themeColor="text1"/>
          <w:kern w:val="0"/>
          <w:sz w:val="24"/>
          <w:szCs w:val="24"/>
          <w:lang w:val="en-US"/>
          <w14:ligatures w14:val="none"/>
        </w:rPr>
        <w:t>, i</w:t>
      </w:r>
      <w:r w:rsidRPr="00460EC6">
        <w:rPr>
          <w:rFonts w:ascii="Times New Roman" w:eastAsia="Calibri" w:hAnsi="Times New Roman" w:cs="Times New Roman"/>
          <w:bCs/>
          <w:color w:val="000000" w:themeColor="text1"/>
          <w:kern w:val="0"/>
          <w:sz w:val="24"/>
          <w:szCs w:val="24"/>
          <w:lang w:val="en-US"/>
          <w14:ligatures w14:val="none"/>
        </w:rPr>
        <w:t>mmunization</w:t>
      </w:r>
      <w:r w:rsidRPr="00460EC6">
        <w:rPr>
          <w:rFonts w:ascii="Times New Roman" w:eastAsia="Calibri" w:hAnsi="Times New Roman" w:cs="Times New Roman"/>
          <w:color w:val="000000" w:themeColor="text1"/>
          <w:kern w:val="0"/>
          <w:sz w:val="24"/>
          <w:szCs w:val="24"/>
          <w:lang w:val="en-US"/>
          <w14:ligatures w14:val="none"/>
        </w:rPr>
        <w:t>, v</w:t>
      </w:r>
      <w:r w:rsidRPr="00460EC6">
        <w:rPr>
          <w:rFonts w:ascii="Times New Roman" w:eastAsia="Calibri" w:hAnsi="Times New Roman" w:cs="Times New Roman"/>
          <w:bCs/>
          <w:color w:val="000000" w:themeColor="text1"/>
          <w:kern w:val="0"/>
          <w:sz w:val="24"/>
          <w:szCs w:val="24"/>
          <w:lang w:val="en-US"/>
          <w14:ligatures w14:val="none"/>
        </w:rPr>
        <w:t>oluntary counseling and testing for HIV</w:t>
      </w:r>
      <w:r w:rsidRPr="00460EC6">
        <w:rPr>
          <w:rFonts w:ascii="Times New Roman" w:eastAsia="Calibri" w:hAnsi="Times New Roman" w:cs="Times New Roman"/>
          <w:color w:val="000000" w:themeColor="text1"/>
          <w:kern w:val="0"/>
          <w:sz w:val="24"/>
          <w:szCs w:val="24"/>
          <w:lang w:val="en-US"/>
          <w14:ligatures w14:val="none"/>
        </w:rPr>
        <w:t>, p</w:t>
      </w:r>
      <w:r w:rsidRPr="00460EC6">
        <w:rPr>
          <w:rFonts w:ascii="Times New Roman" w:eastAsia="Calibri" w:hAnsi="Times New Roman" w:cs="Times New Roman"/>
          <w:bCs/>
          <w:color w:val="000000" w:themeColor="text1"/>
          <w:kern w:val="0"/>
          <w:sz w:val="24"/>
          <w:szCs w:val="24"/>
          <w:lang w:val="en-US"/>
          <w14:ligatures w14:val="none"/>
        </w:rPr>
        <w:t>revention of mother-to-child HIV transmission</w:t>
      </w:r>
      <w:r w:rsidRPr="00460EC6">
        <w:rPr>
          <w:rFonts w:ascii="Times New Roman" w:eastAsia="Calibri" w:hAnsi="Times New Roman" w:cs="Times New Roman"/>
          <w:color w:val="000000" w:themeColor="text1"/>
          <w:kern w:val="0"/>
          <w:sz w:val="24"/>
          <w:szCs w:val="24"/>
          <w:lang w:val="en-US"/>
          <w14:ligatures w14:val="none"/>
        </w:rPr>
        <w:t>, l</w:t>
      </w:r>
      <w:r w:rsidRPr="00460EC6">
        <w:rPr>
          <w:rFonts w:ascii="Times New Roman" w:eastAsia="Calibri" w:hAnsi="Times New Roman" w:cs="Times New Roman"/>
          <w:bCs/>
          <w:color w:val="000000" w:themeColor="text1"/>
          <w:kern w:val="0"/>
          <w:sz w:val="24"/>
          <w:szCs w:val="24"/>
          <w:lang w:val="en-US"/>
          <w14:ligatures w14:val="none"/>
        </w:rPr>
        <w:t>eprosy management</w:t>
      </w:r>
      <w:r w:rsidRPr="00460EC6">
        <w:rPr>
          <w:rFonts w:ascii="Times New Roman" w:eastAsia="Calibri" w:hAnsi="Times New Roman" w:cs="Times New Roman"/>
          <w:color w:val="000000" w:themeColor="text1"/>
          <w:kern w:val="0"/>
          <w:sz w:val="24"/>
          <w:szCs w:val="24"/>
          <w:lang w:val="en-US"/>
          <w14:ligatures w14:val="none"/>
        </w:rPr>
        <w:t>, e</w:t>
      </w:r>
      <w:r w:rsidRPr="00460EC6">
        <w:rPr>
          <w:rFonts w:ascii="Times New Roman" w:eastAsia="Calibri" w:hAnsi="Times New Roman" w:cs="Times New Roman"/>
          <w:bCs/>
          <w:color w:val="000000" w:themeColor="text1"/>
          <w:kern w:val="0"/>
          <w:sz w:val="24"/>
          <w:szCs w:val="24"/>
          <w:lang w:val="en-US"/>
          <w14:ligatures w14:val="none"/>
        </w:rPr>
        <w:t>pidemic surveillance and control</w:t>
      </w:r>
      <w:r w:rsidRPr="00460EC6">
        <w:rPr>
          <w:rFonts w:ascii="Times New Roman" w:eastAsia="Calibri" w:hAnsi="Times New Roman" w:cs="Times New Roman"/>
          <w:color w:val="000000" w:themeColor="text1"/>
          <w:kern w:val="0"/>
          <w:sz w:val="24"/>
          <w:szCs w:val="24"/>
          <w:lang w:val="en-US"/>
          <w14:ligatures w14:val="none"/>
        </w:rPr>
        <w:t>, f</w:t>
      </w:r>
      <w:r w:rsidRPr="00460EC6">
        <w:rPr>
          <w:rFonts w:ascii="Times New Roman" w:eastAsia="Calibri" w:hAnsi="Times New Roman" w:cs="Times New Roman"/>
          <w:bCs/>
          <w:color w:val="000000" w:themeColor="text1"/>
          <w:kern w:val="0"/>
          <w:sz w:val="24"/>
          <w:szCs w:val="24"/>
          <w:lang w:val="en-US"/>
          <w14:ligatures w14:val="none"/>
        </w:rPr>
        <w:t>istula management</w:t>
      </w:r>
      <w:r w:rsidRPr="00460EC6">
        <w:rPr>
          <w:rFonts w:ascii="Times New Roman" w:eastAsia="Calibri" w:hAnsi="Times New Roman" w:cs="Times New Roman"/>
          <w:color w:val="000000" w:themeColor="text1"/>
          <w:kern w:val="0"/>
          <w:sz w:val="24"/>
          <w:szCs w:val="24"/>
          <w:lang w:val="en-US"/>
          <w14:ligatures w14:val="none"/>
        </w:rPr>
        <w:t>, and m</w:t>
      </w:r>
      <w:r w:rsidRPr="00460EC6">
        <w:rPr>
          <w:rFonts w:ascii="Times New Roman" w:eastAsia="Calibri" w:hAnsi="Times New Roman" w:cs="Times New Roman"/>
          <w:bCs/>
          <w:color w:val="000000" w:themeColor="text1"/>
          <w:kern w:val="0"/>
          <w:sz w:val="24"/>
          <w:szCs w:val="24"/>
          <w:lang w:val="en-US"/>
          <w14:ligatures w14:val="none"/>
        </w:rPr>
        <w:t>alaria diagnosis and treatment.</w:t>
      </w:r>
    </w:p>
    <w:p w14:paraId="3E685D70"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bCs/>
          <w:color w:val="000000" w:themeColor="text1"/>
          <w:kern w:val="0"/>
          <w:sz w:val="24"/>
          <w:szCs w:val="24"/>
          <w:lang w:val="en-US"/>
          <w14:ligatures w14:val="none"/>
        </w:rPr>
        <w:t>CBHI</w:t>
      </w:r>
      <w:r w:rsidRPr="00460EC6">
        <w:rPr>
          <w:rFonts w:ascii="Times New Roman" w:eastAsia="Calibri" w:hAnsi="Times New Roman" w:cs="Times New Roman"/>
          <w:color w:val="000000" w:themeColor="text1"/>
          <w:kern w:val="0"/>
          <w:sz w:val="24"/>
          <w:szCs w:val="24"/>
          <w:lang w:val="en-US"/>
          <w14:ligatures w14:val="none"/>
        </w:rPr>
        <w:t xml:space="preserve"> was launched in Ethiopia in </w:t>
      </w:r>
      <w:r w:rsidRPr="00460EC6">
        <w:rPr>
          <w:rFonts w:ascii="Times New Roman" w:eastAsia="Calibri" w:hAnsi="Times New Roman" w:cs="Times New Roman"/>
          <w:bCs/>
          <w:color w:val="000000" w:themeColor="text1"/>
          <w:kern w:val="0"/>
          <w:sz w:val="24"/>
          <w:szCs w:val="24"/>
          <w:lang w:val="en-US"/>
          <w14:ligatures w14:val="none"/>
        </w:rPr>
        <w:t>2012</w:t>
      </w:r>
      <w:r w:rsidRPr="00460EC6">
        <w:rPr>
          <w:rFonts w:ascii="Times New Roman" w:eastAsia="Calibri" w:hAnsi="Times New Roman" w:cs="Times New Roman"/>
          <w:color w:val="000000" w:themeColor="text1"/>
          <w:kern w:val="0"/>
          <w:sz w:val="24"/>
          <w:szCs w:val="24"/>
          <w:lang w:val="en-US"/>
          <w14:ligatures w14:val="none"/>
        </w:rPr>
        <w:t xml:space="preserve"> to enhance financial protection and improve access to healthcare, particularly for populations in </w:t>
      </w:r>
      <w:r w:rsidRPr="00460EC6">
        <w:rPr>
          <w:rFonts w:ascii="Times New Roman" w:eastAsia="Calibri" w:hAnsi="Times New Roman" w:cs="Times New Roman"/>
          <w:bCs/>
          <w:color w:val="000000" w:themeColor="text1"/>
          <w:kern w:val="0"/>
          <w:sz w:val="24"/>
          <w:szCs w:val="24"/>
          <w:lang w:val="en-US"/>
          <w14:ligatures w14:val="none"/>
        </w:rPr>
        <w:t>underserved and rural areas</w:t>
      </w:r>
      <w:r w:rsidRPr="00460EC6">
        <w:rPr>
          <w:rFonts w:ascii="Times New Roman" w:eastAsia="Calibri" w:hAnsi="Times New Roman" w:cs="Times New Roman"/>
          <w:color w:val="000000" w:themeColor="text1"/>
          <w:kern w:val="0"/>
          <w:sz w:val="24"/>
          <w:szCs w:val="24"/>
          <w:lang w:val="en-US"/>
          <w14:ligatures w14:val="none"/>
        </w:rPr>
        <w:t xml:space="preserve">. It pools community contributions to protect households from out-of-pocket spending at the point of care strengthening </w:t>
      </w:r>
      <w:r w:rsidRPr="00460EC6">
        <w:rPr>
          <w:rFonts w:ascii="Times New Roman" w:eastAsia="Calibri" w:hAnsi="Times New Roman" w:cs="Times New Roman"/>
          <w:bCs/>
          <w:color w:val="000000" w:themeColor="text1"/>
          <w:kern w:val="0"/>
          <w:sz w:val="24"/>
          <w:szCs w:val="24"/>
          <w:lang w:val="en-US"/>
          <w14:ligatures w14:val="none"/>
        </w:rPr>
        <w:t>health-seeking behavior</w:t>
      </w:r>
      <w:r w:rsidRPr="00460EC6">
        <w:rPr>
          <w:rFonts w:ascii="Times New Roman" w:eastAsia="Calibri" w:hAnsi="Times New Roman" w:cs="Times New Roman"/>
          <w:color w:val="000000" w:themeColor="text1"/>
          <w:kern w:val="0"/>
          <w:sz w:val="24"/>
          <w:szCs w:val="24"/>
          <w:lang w:val="en-US"/>
          <w14:ligatures w14:val="none"/>
        </w:rPr>
        <w:t xml:space="preserve"> among low-income populations.</w:t>
      </w:r>
    </w:p>
    <w:p w14:paraId="44D56109"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The </w:t>
      </w:r>
      <w:proofErr w:type="spellStart"/>
      <w:r w:rsidRPr="00460EC6">
        <w:rPr>
          <w:rFonts w:ascii="Times New Roman" w:eastAsia="Calibri" w:hAnsi="Times New Roman" w:cs="Times New Roman"/>
          <w:bCs/>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has been implementing the </w:t>
      </w:r>
      <w:r w:rsidRPr="00460EC6">
        <w:rPr>
          <w:rFonts w:ascii="Times New Roman" w:eastAsia="Calibri" w:hAnsi="Times New Roman" w:cs="Times New Roman"/>
          <w:bCs/>
          <w:color w:val="000000" w:themeColor="text1"/>
          <w:kern w:val="0"/>
          <w:sz w:val="24"/>
          <w:szCs w:val="24"/>
          <w:lang w:val="en-US"/>
          <w14:ligatures w14:val="none"/>
        </w:rPr>
        <w:t>National Health Equity Strategic Plan (2020/21–2024/25)</w:t>
      </w:r>
      <w:r w:rsidRPr="00460EC6">
        <w:rPr>
          <w:rFonts w:ascii="Times New Roman" w:eastAsia="Calibri" w:hAnsi="Times New Roman" w:cs="Times New Roman"/>
          <w:color w:val="000000" w:themeColor="text1"/>
          <w:kern w:val="0"/>
          <w:sz w:val="24"/>
          <w:szCs w:val="24"/>
          <w:lang w:val="en-US"/>
          <w14:ligatures w14:val="none"/>
        </w:rPr>
        <w:t xml:space="preserve"> to address persistent disparities in health outcomes and service access. The Strategy sets </w:t>
      </w:r>
      <w:r w:rsidRPr="00460EC6">
        <w:rPr>
          <w:rFonts w:ascii="Times New Roman" w:eastAsia="Calibri" w:hAnsi="Times New Roman" w:cs="Times New Roman"/>
          <w:bCs/>
          <w:color w:val="000000" w:themeColor="text1"/>
          <w:kern w:val="0"/>
          <w:sz w:val="24"/>
          <w:szCs w:val="24"/>
          <w:lang w:val="en-US"/>
          <w14:ligatures w14:val="none"/>
        </w:rPr>
        <w:t>goals</w:t>
      </w:r>
      <w:r w:rsidRPr="00460EC6">
        <w:rPr>
          <w:rFonts w:ascii="Times New Roman" w:eastAsia="Calibri" w:hAnsi="Times New Roman" w:cs="Times New Roman"/>
          <w:color w:val="000000" w:themeColor="text1"/>
          <w:kern w:val="0"/>
          <w:sz w:val="24"/>
          <w:szCs w:val="24"/>
          <w:lang w:val="en-US"/>
          <w14:ligatures w14:val="none"/>
        </w:rPr>
        <w:t xml:space="preserve"> to reduce health equity gaps. Key focus areas include increasing </w:t>
      </w:r>
      <w:r w:rsidRPr="00460EC6">
        <w:rPr>
          <w:rFonts w:ascii="Times New Roman" w:eastAsia="Calibri" w:hAnsi="Times New Roman" w:cs="Times New Roman"/>
          <w:bCs/>
          <w:color w:val="000000" w:themeColor="text1"/>
          <w:kern w:val="0"/>
          <w:sz w:val="24"/>
          <w:szCs w:val="24"/>
          <w:lang w:val="en-US"/>
          <w14:ligatures w14:val="none"/>
        </w:rPr>
        <w:t>coverage and utilization</w:t>
      </w:r>
      <w:r w:rsidRPr="00460EC6">
        <w:rPr>
          <w:rFonts w:ascii="Times New Roman" w:eastAsia="Calibri" w:hAnsi="Times New Roman" w:cs="Times New Roman"/>
          <w:color w:val="000000" w:themeColor="text1"/>
          <w:kern w:val="0"/>
          <w:sz w:val="24"/>
          <w:szCs w:val="24"/>
          <w:lang w:val="en-US"/>
          <w14:ligatures w14:val="none"/>
        </w:rPr>
        <w:t xml:space="preserve"> of essential health services, enhancing the </w:t>
      </w:r>
      <w:r w:rsidRPr="00460EC6">
        <w:rPr>
          <w:rFonts w:ascii="Times New Roman" w:eastAsia="Calibri" w:hAnsi="Times New Roman" w:cs="Times New Roman"/>
          <w:bCs/>
          <w:color w:val="000000" w:themeColor="text1"/>
          <w:kern w:val="0"/>
          <w:sz w:val="24"/>
          <w:szCs w:val="24"/>
          <w:lang w:val="en-US"/>
          <w14:ligatures w14:val="none"/>
        </w:rPr>
        <w:t>quality of healthcare services</w:t>
      </w:r>
      <w:r w:rsidRPr="00460EC6">
        <w:rPr>
          <w:rFonts w:ascii="Times New Roman" w:eastAsia="Calibri" w:hAnsi="Times New Roman" w:cs="Times New Roman"/>
          <w:color w:val="000000" w:themeColor="text1"/>
          <w:kern w:val="0"/>
          <w:sz w:val="24"/>
          <w:szCs w:val="24"/>
          <w:lang w:val="en-US"/>
          <w14:ligatures w14:val="none"/>
        </w:rPr>
        <w:t xml:space="preserve">, strengthening </w:t>
      </w:r>
      <w:r w:rsidRPr="00460EC6">
        <w:rPr>
          <w:rFonts w:ascii="Times New Roman" w:eastAsia="Calibri" w:hAnsi="Times New Roman" w:cs="Times New Roman"/>
          <w:bCs/>
          <w:color w:val="000000" w:themeColor="text1"/>
          <w:kern w:val="0"/>
          <w:sz w:val="24"/>
          <w:szCs w:val="24"/>
          <w:lang w:val="en-US"/>
          <w14:ligatures w14:val="none"/>
        </w:rPr>
        <w:t>emergency preparedness and response</w:t>
      </w:r>
      <w:r w:rsidRPr="00460EC6">
        <w:rPr>
          <w:rFonts w:ascii="Times New Roman" w:eastAsia="Calibri" w:hAnsi="Times New Roman" w:cs="Times New Roman"/>
          <w:color w:val="000000" w:themeColor="text1"/>
          <w:kern w:val="0"/>
          <w:sz w:val="24"/>
          <w:szCs w:val="24"/>
          <w:lang w:val="en-US"/>
          <w14:ligatures w14:val="none"/>
        </w:rPr>
        <w:t xml:space="preserve">, and building </w:t>
      </w:r>
      <w:r w:rsidRPr="00460EC6">
        <w:rPr>
          <w:rFonts w:ascii="Times New Roman" w:eastAsia="Calibri" w:hAnsi="Times New Roman" w:cs="Times New Roman"/>
          <w:bCs/>
          <w:color w:val="000000" w:themeColor="text1"/>
          <w:kern w:val="0"/>
          <w:sz w:val="24"/>
          <w:szCs w:val="24"/>
          <w:lang w:val="en-US"/>
          <w14:ligatures w14:val="none"/>
        </w:rPr>
        <w:t>implementation capacity</w:t>
      </w:r>
      <w:r w:rsidRPr="00460EC6">
        <w:rPr>
          <w:rFonts w:ascii="Times New Roman" w:eastAsia="Calibri" w:hAnsi="Times New Roman" w:cs="Times New Roman"/>
          <w:color w:val="000000" w:themeColor="text1"/>
          <w:kern w:val="0"/>
          <w:sz w:val="24"/>
          <w:szCs w:val="24"/>
          <w:lang w:val="en-US"/>
          <w14:ligatures w14:val="none"/>
        </w:rPr>
        <w:t xml:space="preserve"> at all levels of the health system.</w:t>
      </w:r>
    </w:p>
    <w:p w14:paraId="48F87DD2"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Since </w:t>
      </w:r>
      <w:r w:rsidRPr="00460EC6">
        <w:rPr>
          <w:rFonts w:ascii="Times New Roman" w:eastAsia="Calibri" w:hAnsi="Times New Roman" w:cs="Times New Roman"/>
          <w:bCs/>
          <w:color w:val="000000" w:themeColor="text1"/>
          <w:kern w:val="0"/>
          <w:sz w:val="24"/>
          <w:szCs w:val="24"/>
          <w:lang w:val="en-US"/>
          <w14:ligatures w14:val="none"/>
        </w:rPr>
        <w:t>2020</w:t>
      </w:r>
      <w:r w:rsidRPr="00460EC6">
        <w:rPr>
          <w:rFonts w:ascii="Times New Roman" w:eastAsia="Calibri" w:hAnsi="Times New Roman" w:cs="Times New Roman"/>
          <w:color w:val="000000" w:themeColor="text1"/>
          <w:kern w:val="0"/>
          <w:sz w:val="24"/>
          <w:szCs w:val="24"/>
          <w:lang w:val="en-US"/>
          <w14:ligatures w14:val="none"/>
        </w:rPr>
        <w:t xml:space="preserve">, Ethiopia’s health system has faced significant challenges due to conflicts in various parts of the country. These conflicts have exacerbated the </w:t>
      </w:r>
      <w:r w:rsidRPr="00460EC6">
        <w:rPr>
          <w:rFonts w:ascii="Times New Roman" w:eastAsia="Calibri" w:hAnsi="Times New Roman" w:cs="Times New Roman"/>
          <w:bCs/>
          <w:color w:val="000000" w:themeColor="text1"/>
          <w:kern w:val="0"/>
          <w:sz w:val="24"/>
          <w:szCs w:val="24"/>
          <w:lang w:val="en-US"/>
          <w14:ligatures w14:val="none"/>
        </w:rPr>
        <w:t>disease burden</w:t>
      </w:r>
      <w:r w:rsidRPr="00460EC6">
        <w:rPr>
          <w:rFonts w:ascii="Times New Roman" w:eastAsia="Calibri" w:hAnsi="Times New Roman" w:cs="Times New Roman"/>
          <w:color w:val="000000" w:themeColor="text1"/>
          <w:kern w:val="0"/>
          <w:sz w:val="24"/>
          <w:szCs w:val="24"/>
          <w:lang w:val="en-US"/>
          <w14:ligatures w14:val="none"/>
        </w:rPr>
        <w:t xml:space="preserve">, increased </w:t>
      </w:r>
      <w:r w:rsidRPr="00460EC6">
        <w:rPr>
          <w:rFonts w:ascii="Times New Roman" w:eastAsia="Calibri" w:hAnsi="Times New Roman" w:cs="Times New Roman"/>
          <w:bCs/>
          <w:color w:val="000000" w:themeColor="text1"/>
          <w:kern w:val="0"/>
          <w:sz w:val="24"/>
          <w:szCs w:val="24"/>
          <w:lang w:val="en-US"/>
          <w14:ligatures w14:val="none"/>
        </w:rPr>
        <w:t>mental health concerns</w:t>
      </w:r>
      <w:r w:rsidRPr="00460EC6">
        <w:rPr>
          <w:rFonts w:ascii="Times New Roman" w:eastAsia="Calibri" w:hAnsi="Times New Roman" w:cs="Times New Roman"/>
          <w:color w:val="000000" w:themeColor="text1"/>
          <w:kern w:val="0"/>
          <w:sz w:val="24"/>
          <w:szCs w:val="24"/>
          <w:lang w:val="en-US"/>
          <w14:ligatures w14:val="none"/>
        </w:rPr>
        <w:t xml:space="preserve">, triggered </w:t>
      </w:r>
      <w:r w:rsidRPr="00460EC6">
        <w:rPr>
          <w:rFonts w:ascii="Times New Roman" w:eastAsia="Calibri" w:hAnsi="Times New Roman" w:cs="Times New Roman"/>
          <w:bCs/>
          <w:color w:val="000000" w:themeColor="text1"/>
          <w:kern w:val="0"/>
          <w:sz w:val="24"/>
          <w:szCs w:val="24"/>
          <w:lang w:val="en-US"/>
          <w14:ligatures w14:val="none"/>
        </w:rPr>
        <w:t>infectious disease outbreaks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restricted access</w:t>
      </w:r>
      <w:r w:rsidRPr="00460EC6">
        <w:rPr>
          <w:rFonts w:ascii="Times New Roman" w:eastAsia="Calibri" w:hAnsi="Times New Roman" w:cs="Times New Roman"/>
          <w:color w:val="000000" w:themeColor="text1"/>
          <w:kern w:val="0"/>
          <w:sz w:val="24"/>
          <w:szCs w:val="24"/>
          <w:lang w:val="en-US"/>
          <w14:ligatures w14:val="none"/>
        </w:rPr>
        <w:t xml:space="preserve"> to essential healthcare services particularly in the most affected regions. </w:t>
      </w:r>
    </w:p>
    <w:p w14:paraId="7FFFBC2C" w14:textId="77777777" w:rsidR="00EB017D"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In response, the </w:t>
      </w:r>
      <w:proofErr w:type="spellStart"/>
      <w:r w:rsidRPr="00460EC6">
        <w:rPr>
          <w:rFonts w:ascii="Times New Roman" w:eastAsia="Calibri" w:hAnsi="Times New Roman" w:cs="Times New Roman"/>
          <w:bCs/>
          <w:color w:val="000000" w:themeColor="text1"/>
          <w:kern w:val="0"/>
          <w:sz w:val="24"/>
          <w:szCs w:val="24"/>
          <w:lang w:val="en-US"/>
          <w14:ligatures w14:val="none"/>
        </w:rPr>
        <w:t>GoE</w:t>
      </w:r>
      <w:proofErr w:type="spellEnd"/>
      <w:r w:rsidRPr="00460EC6">
        <w:rPr>
          <w:rFonts w:ascii="Times New Roman" w:eastAsia="Calibri" w:hAnsi="Times New Roman" w:cs="Times New Roman"/>
          <w:color w:val="000000" w:themeColor="text1"/>
          <w:kern w:val="0"/>
          <w:sz w:val="24"/>
          <w:szCs w:val="24"/>
          <w:lang w:val="en-US"/>
          <w14:ligatures w14:val="none"/>
        </w:rPr>
        <w:t xml:space="preserve">, in coordination with development partners, developed a </w:t>
      </w:r>
      <w:r w:rsidRPr="00460EC6">
        <w:rPr>
          <w:rFonts w:ascii="Times New Roman" w:eastAsia="Calibri" w:hAnsi="Times New Roman" w:cs="Times New Roman"/>
          <w:bCs/>
          <w:color w:val="000000" w:themeColor="text1"/>
          <w:kern w:val="0"/>
          <w:sz w:val="24"/>
          <w:szCs w:val="24"/>
          <w:lang w:val="en-US"/>
          <w14:ligatures w14:val="none"/>
        </w:rPr>
        <w:t>Health Sector Resilience, Recovery, and Reconstruction Plan</w:t>
      </w:r>
      <w:r w:rsidRPr="00460EC6">
        <w:rPr>
          <w:rFonts w:ascii="Times New Roman" w:eastAsia="Calibri" w:hAnsi="Times New Roman" w:cs="Times New Roman"/>
          <w:color w:val="000000" w:themeColor="text1"/>
          <w:kern w:val="0"/>
          <w:sz w:val="24"/>
          <w:szCs w:val="24"/>
          <w:lang w:val="en-US"/>
          <w14:ligatures w14:val="none"/>
        </w:rPr>
        <w:t xml:space="preserve"> allocating an estimated budget of </w:t>
      </w:r>
      <w:r w:rsidRPr="00460EC6">
        <w:rPr>
          <w:rFonts w:ascii="Times New Roman" w:eastAsia="Calibri" w:hAnsi="Times New Roman" w:cs="Times New Roman"/>
          <w:bCs/>
          <w:color w:val="000000" w:themeColor="text1"/>
          <w:kern w:val="0"/>
          <w:sz w:val="24"/>
          <w:szCs w:val="24"/>
          <w:lang w:val="en-US"/>
          <w14:ligatures w14:val="none"/>
        </w:rPr>
        <w:t>USD 1.42 billion</w:t>
      </w:r>
      <w:r w:rsidRPr="00460EC6">
        <w:rPr>
          <w:rFonts w:ascii="Times New Roman" w:eastAsia="Calibri" w:hAnsi="Times New Roman" w:cs="Times New Roman"/>
          <w:color w:val="000000" w:themeColor="text1"/>
          <w:kern w:val="0"/>
          <w:sz w:val="24"/>
          <w:szCs w:val="24"/>
          <w:lang w:val="en-US"/>
          <w14:ligatures w14:val="none"/>
        </w:rPr>
        <w:t xml:space="preserve"> for implementation over a </w:t>
      </w:r>
      <w:r w:rsidRPr="00460EC6">
        <w:rPr>
          <w:rFonts w:ascii="Times New Roman" w:eastAsia="Calibri" w:hAnsi="Times New Roman" w:cs="Times New Roman"/>
          <w:bCs/>
          <w:color w:val="000000" w:themeColor="text1"/>
          <w:kern w:val="0"/>
          <w:sz w:val="24"/>
          <w:szCs w:val="24"/>
          <w:lang w:val="en-US"/>
          <w14:ligatures w14:val="none"/>
        </w:rPr>
        <w:t>five-year period</w:t>
      </w:r>
      <w:r w:rsidRPr="00460EC6">
        <w:rPr>
          <w:rFonts w:ascii="Times New Roman" w:eastAsia="Calibri" w:hAnsi="Times New Roman" w:cs="Times New Roman"/>
          <w:color w:val="000000" w:themeColor="text1"/>
          <w:kern w:val="0"/>
          <w:sz w:val="24"/>
          <w:szCs w:val="24"/>
          <w:lang w:val="en-US"/>
          <w14:ligatures w14:val="none"/>
        </w:rPr>
        <w:t>.</w:t>
      </w:r>
    </w:p>
    <w:p w14:paraId="10E2F0DA" w14:textId="77777777" w:rsidR="005E60DC" w:rsidRPr="00460EC6" w:rsidRDefault="005E60D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sz w:val="24"/>
          <w:szCs w:val="24"/>
          <w:lang w:val="en-US"/>
        </w:rPr>
      </w:pPr>
      <w:r w:rsidRPr="00460EC6">
        <w:rPr>
          <w:rFonts w:ascii="Times New Roman" w:eastAsia="Calibri" w:hAnsi="Times New Roman" w:cs="Times New Roman"/>
          <w:color w:val="000000" w:themeColor="text1"/>
          <w:kern w:val="0"/>
          <w:sz w:val="24"/>
          <w:szCs w:val="24"/>
          <w:lang w:val="en-US"/>
          <w14:ligatures w14:val="none"/>
        </w:rPr>
        <w:t xml:space="preserve">By the </w:t>
      </w:r>
      <w:r w:rsidRPr="00460EC6">
        <w:rPr>
          <w:rFonts w:ascii="Times New Roman" w:eastAsia="Calibri" w:hAnsi="Times New Roman" w:cs="Times New Roman"/>
          <w:bCs/>
          <w:color w:val="000000" w:themeColor="text1"/>
          <w:kern w:val="0"/>
          <w:sz w:val="24"/>
          <w:szCs w:val="24"/>
          <w:lang w:val="en-US"/>
          <w14:ligatures w14:val="none"/>
        </w:rPr>
        <w:t>end of 2023</w:t>
      </w:r>
      <w:r w:rsidRPr="00460EC6">
        <w:rPr>
          <w:rFonts w:ascii="Times New Roman" w:eastAsia="Calibri" w:hAnsi="Times New Roman" w:cs="Times New Roman"/>
          <w:color w:val="000000" w:themeColor="text1"/>
          <w:kern w:val="0"/>
          <w:sz w:val="24"/>
          <w:szCs w:val="24"/>
          <w:lang w:val="en-US"/>
          <w14:ligatures w14:val="none"/>
        </w:rPr>
        <w:t xml:space="preserve">, significant progress was made in restoring damaged infrastructure with </w:t>
      </w:r>
      <w:r w:rsidRPr="00460EC6">
        <w:rPr>
          <w:rFonts w:ascii="Times New Roman" w:eastAsia="Calibri" w:hAnsi="Times New Roman" w:cs="Times New Roman"/>
          <w:bCs/>
          <w:color w:val="000000" w:themeColor="text1"/>
          <w:kern w:val="0"/>
          <w:sz w:val="24"/>
          <w:szCs w:val="24"/>
          <w:lang w:val="en-US"/>
          <w14:ligatures w14:val="none"/>
        </w:rPr>
        <w:t>450 health facilities</w:t>
      </w:r>
      <w:r w:rsidRPr="00460EC6">
        <w:rPr>
          <w:rFonts w:ascii="Times New Roman" w:eastAsia="Calibri" w:hAnsi="Times New Roman" w:cs="Times New Roman"/>
          <w:color w:val="000000" w:themeColor="text1"/>
          <w:kern w:val="0"/>
          <w:sz w:val="24"/>
          <w:szCs w:val="24"/>
          <w:lang w:val="en-US"/>
          <w14:ligatures w14:val="none"/>
        </w:rPr>
        <w:t xml:space="preserve"> rehabilitated in the </w:t>
      </w:r>
      <w:r w:rsidRPr="00460EC6">
        <w:rPr>
          <w:rFonts w:ascii="Times New Roman" w:eastAsia="Calibri" w:hAnsi="Times New Roman" w:cs="Times New Roman"/>
          <w:bCs/>
          <w:color w:val="000000" w:themeColor="text1"/>
          <w:kern w:val="0"/>
          <w:sz w:val="24"/>
          <w:szCs w:val="24"/>
          <w:lang w:val="en-US"/>
          <w14:ligatures w14:val="none"/>
        </w:rPr>
        <w:t>Amhara</w:t>
      </w:r>
      <w:r w:rsidRPr="00460EC6">
        <w:rPr>
          <w:rFonts w:ascii="Times New Roman" w:eastAsia="Calibri" w:hAnsi="Times New Roman" w:cs="Times New Roman"/>
          <w:color w:val="000000" w:themeColor="text1"/>
          <w:kern w:val="0"/>
          <w:sz w:val="24"/>
          <w:szCs w:val="24"/>
          <w:lang w:val="en-US"/>
          <w14:ligatures w14:val="none"/>
        </w:rPr>
        <w:t xml:space="preserve"> region, </w:t>
      </w:r>
      <w:r w:rsidRPr="00460EC6">
        <w:rPr>
          <w:rFonts w:ascii="Times New Roman" w:eastAsia="Calibri" w:hAnsi="Times New Roman" w:cs="Times New Roman"/>
          <w:bCs/>
          <w:color w:val="000000" w:themeColor="text1"/>
          <w:kern w:val="0"/>
          <w:sz w:val="24"/>
          <w:szCs w:val="24"/>
          <w:lang w:val="en-US"/>
          <w14:ligatures w14:val="none"/>
        </w:rPr>
        <w:t>43 health centers</w:t>
      </w:r>
      <w:r w:rsidRPr="00460EC6">
        <w:rPr>
          <w:rFonts w:ascii="Times New Roman" w:eastAsia="Calibri" w:hAnsi="Times New Roman" w:cs="Times New Roman"/>
          <w:color w:val="000000" w:themeColor="text1"/>
          <w:kern w:val="0"/>
          <w:sz w:val="24"/>
          <w:szCs w:val="24"/>
          <w:lang w:val="en-US"/>
          <w14:ligatures w14:val="none"/>
        </w:rPr>
        <w:t xml:space="preserve"> restored in the </w:t>
      </w:r>
      <w:r w:rsidRPr="00460EC6">
        <w:rPr>
          <w:rFonts w:ascii="Times New Roman" w:eastAsia="Calibri" w:hAnsi="Times New Roman" w:cs="Times New Roman"/>
          <w:bCs/>
          <w:color w:val="000000" w:themeColor="text1"/>
          <w:kern w:val="0"/>
          <w:sz w:val="24"/>
          <w:szCs w:val="24"/>
          <w:lang w:val="en-US"/>
          <w14:ligatures w14:val="none"/>
        </w:rPr>
        <w:t>Afar</w:t>
      </w:r>
      <w:r w:rsidRPr="00460EC6">
        <w:rPr>
          <w:rFonts w:ascii="Times New Roman" w:eastAsia="Calibri" w:hAnsi="Times New Roman" w:cs="Times New Roman"/>
          <w:color w:val="000000" w:themeColor="text1"/>
          <w:kern w:val="0"/>
          <w:sz w:val="24"/>
          <w:szCs w:val="24"/>
          <w:lang w:val="en-US"/>
          <w14:ligatures w14:val="none"/>
        </w:rPr>
        <w:t xml:space="preserve"> region, and n</w:t>
      </w:r>
      <w:r w:rsidRPr="00460EC6">
        <w:rPr>
          <w:rFonts w:ascii="Times New Roman" w:eastAsia="Calibri" w:hAnsi="Times New Roman" w:cs="Times New Roman"/>
          <w:bCs/>
          <w:color w:val="000000" w:themeColor="text1"/>
          <w:kern w:val="0"/>
          <w:sz w:val="24"/>
          <w:szCs w:val="24"/>
          <w:lang w:val="en-US"/>
          <w14:ligatures w14:val="none"/>
        </w:rPr>
        <w:t>early all hospitals, health centers</w:t>
      </w:r>
      <w:r w:rsidRPr="00460EC6">
        <w:rPr>
          <w:rFonts w:ascii="Times New Roman" w:eastAsia="Calibri" w:hAnsi="Times New Roman" w:cs="Times New Roman"/>
          <w:color w:val="000000" w:themeColor="text1"/>
          <w:kern w:val="0"/>
          <w:sz w:val="24"/>
          <w:szCs w:val="24"/>
          <w:lang w:val="en-US"/>
          <w14:ligatures w14:val="none"/>
        </w:rPr>
        <w:t xml:space="preserve">, and </w:t>
      </w:r>
      <w:r w:rsidRPr="00460EC6">
        <w:rPr>
          <w:rFonts w:ascii="Times New Roman" w:eastAsia="Calibri" w:hAnsi="Times New Roman" w:cs="Times New Roman"/>
          <w:bCs/>
          <w:color w:val="000000" w:themeColor="text1"/>
          <w:kern w:val="0"/>
          <w:sz w:val="24"/>
          <w:szCs w:val="24"/>
          <w:lang w:val="en-US"/>
          <w14:ligatures w14:val="none"/>
        </w:rPr>
        <w:t>over 90% of health posts restored</w:t>
      </w:r>
      <w:r w:rsidRPr="00460EC6">
        <w:rPr>
          <w:rFonts w:ascii="Times New Roman" w:eastAsia="Calibri" w:hAnsi="Times New Roman" w:cs="Times New Roman"/>
          <w:color w:val="000000" w:themeColor="text1"/>
          <w:kern w:val="0"/>
          <w:sz w:val="24"/>
          <w:szCs w:val="24"/>
          <w:lang w:val="en-US"/>
          <w14:ligatures w14:val="none"/>
        </w:rPr>
        <w:t xml:space="preserve"> in the </w:t>
      </w:r>
      <w:r w:rsidRPr="00460EC6">
        <w:rPr>
          <w:rFonts w:ascii="Times New Roman" w:eastAsia="Calibri" w:hAnsi="Times New Roman" w:cs="Times New Roman"/>
          <w:bCs/>
          <w:color w:val="000000" w:themeColor="text1"/>
          <w:kern w:val="0"/>
          <w:sz w:val="24"/>
          <w:szCs w:val="24"/>
          <w:lang w:val="en-US"/>
          <w14:ligatures w14:val="none"/>
        </w:rPr>
        <w:t>Tigray</w:t>
      </w:r>
      <w:r w:rsidRPr="00460EC6">
        <w:rPr>
          <w:rFonts w:ascii="Times New Roman" w:eastAsia="Calibri" w:hAnsi="Times New Roman" w:cs="Times New Roman"/>
          <w:color w:val="000000" w:themeColor="text1"/>
          <w:kern w:val="0"/>
          <w:sz w:val="24"/>
          <w:szCs w:val="24"/>
          <w:lang w:val="en-US"/>
          <w14:ligatures w14:val="none"/>
        </w:rPr>
        <w:t xml:space="preserve"> region. </w:t>
      </w:r>
    </w:p>
    <w:p w14:paraId="6D3EA140" w14:textId="2E52B616" w:rsidR="00A46ACC" w:rsidRPr="00460EC6" w:rsidRDefault="00A46ACC" w:rsidP="00526D16">
      <w:pPr>
        <w:spacing w:before="100" w:beforeAutospacing="1" w:after="100" w:afterAutospacing="1" w:line="360" w:lineRule="auto"/>
        <w:outlineLvl w:val="2"/>
        <w:rPr>
          <w:rFonts w:ascii="Times New Roman" w:eastAsia="Times New Roman" w:hAnsi="Times New Roman" w:cs="Times New Roman"/>
          <w:b/>
          <w:bCs/>
          <w:color w:val="000000" w:themeColor="text1"/>
          <w:kern w:val="0"/>
          <w:sz w:val="24"/>
          <w:szCs w:val="24"/>
          <w14:ligatures w14:val="none"/>
        </w:rPr>
      </w:pPr>
      <w:r w:rsidRPr="00460EC6">
        <w:rPr>
          <w:rFonts w:ascii="Times New Roman" w:eastAsia="Times New Roman" w:hAnsi="Times New Roman" w:cs="Times New Roman"/>
          <w:b/>
          <w:bCs/>
          <w:color w:val="000000" w:themeColor="text1"/>
          <w:kern w:val="0"/>
          <w:sz w:val="24"/>
          <w:szCs w:val="24"/>
          <w14:ligatures w14:val="none"/>
        </w:rPr>
        <w:lastRenderedPageBreak/>
        <w:t xml:space="preserve">Articles 13 and 14: </w:t>
      </w:r>
      <w:r w:rsidRPr="00460EC6">
        <w:rPr>
          <w:rFonts w:ascii="Times New Roman" w:eastAsia="Times New Roman" w:hAnsi="Times New Roman" w:cs="Times New Roman"/>
          <w:b/>
          <w:bCs/>
          <w:color w:val="000000" w:themeColor="text1"/>
          <w:kern w:val="0"/>
          <w:sz w:val="24"/>
          <w:szCs w:val="24"/>
          <w:u w:val="single"/>
          <w14:ligatures w14:val="none"/>
        </w:rPr>
        <w:t>The Right to Education</w:t>
      </w:r>
      <w:r w:rsidR="00283110" w:rsidRPr="00460EC6">
        <w:rPr>
          <w:rFonts w:ascii="Times New Roman" w:eastAsia="Times New Roman" w:hAnsi="Times New Roman" w:cs="Times New Roman"/>
          <w:b/>
          <w:bCs/>
          <w:color w:val="000000" w:themeColor="text1"/>
          <w:kern w:val="0"/>
          <w:sz w:val="24"/>
          <w:szCs w:val="24"/>
          <w14:ligatures w14:val="none"/>
        </w:rPr>
        <w:t>.</w:t>
      </w:r>
    </w:p>
    <w:p w14:paraId="16BD0E16" w14:textId="77777777" w:rsidR="00A46ACC" w:rsidRPr="00460EC6" w:rsidRDefault="00A46ACC" w:rsidP="00C32E5E">
      <w:pPr>
        <w:pStyle w:val="ListParagraph"/>
        <w:numPr>
          <w:ilvl w:val="0"/>
          <w:numId w:val="3"/>
        </w:numPr>
        <w:spacing w:line="360" w:lineRule="auto"/>
        <w:ind w:left="540" w:hanging="540"/>
        <w:jc w:val="both"/>
        <w:rPr>
          <w:rFonts w:ascii="Times New Roman" w:eastAsia="Calibri" w:hAnsi="Times New Roman" w:cs="Times New Roman"/>
          <w:color w:val="000000" w:themeColor="text1"/>
          <w:kern w:val="0"/>
          <w:sz w:val="24"/>
          <w:szCs w:val="24"/>
          <w:lang w:val="en-US"/>
          <w14:ligatures w14:val="none"/>
        </w:rPr>
      </w:pPr>
      <w:r w:rsidRPr="00460EC6">
        <w:rPr>
          <w:rFonts w:ascii="Times New Roman" w:eastAsia="Calibri" w:hAnsi="Times New Roman" w:cs="Times New Roman"/>
          <w:color w:val="000000" w:themeColor="text1"/>
          <w:kern w:val="0"/>
          <w:sz w:val="24"/>
          <w:szCs w:val="24"/>
          <w:lang w:val="en-US"/>
          <w14:ligatures w14:val="none"/>
        </w:rPr>
        <w:t>Through constitutional provisions and legislative measures, Ethiopia has integrated the right to education into its domestic legal framework. The Ethiopian Constitution recognizes education as a fundamental right, emphasizing the government's obligation to provide access to quality education. Several laws, including General Education Proclamation No. 1368/2025, have been approved to align domestic policies with international commitments, such as ICESCR.</w:t>
      </w:r>
    </w:p>
    <w:p w14:paraId="21407F26" w14:textId="17E27079" w:rsidR="00293037"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proofErr w:type="spellStart"/>
      <w:r w:rsidRPr="00460EC6">
        <w:rPr>
          <w:rFonts w:ascii="Times New Roman" w:eastAsia="Times New Roman" w:hAnsi="Times New Roman" w:cs="Times New Roman"/>
          <w:color w:val="000000" w:themeColor="text1"/>
          <w:kern w:val="0"/>
          <w:sz w:val="24"/>
          <w:szCs w:val="24"/>
          <w14:ligatures w14:val="none"/>
        </w:rPr>
        <w:t>MoE</w:t>
      </w:r>
      <w:proofErr w:type="spellEnd"/>
      <w:r w:rsidRPr="00460EC6">
        <w:rPr>
          <w:rFonts w:ascii="Times New Roman" w:eastAsia="Times New Roman" w:hAnsi="Times New Roman" w:cs="Times New Roman"/>
          <w:color w:val="000000" w:themeColor="text1"/>
          <w:kern w:val="0"/>
          <w:sz w:val="24"/>
          <w:szCs w:val="24"/>
          <w14:ligatures w14:val="none"/>
        </w:rPr>
        <w:t xml:space="preserve"> </w:t>
      </w:r>
      <w:r w:rsidR="00293037" w:rsidRPr="00460EC6">
        <w:rPr>
          <w:rFonts w:ascii="Times New Roman" w:eastAsia="Times New Roman" w:hAnsi="Times New Roman" w:cs="Times New Roman"/>
          <w:color w:val="000000" w:themeColor="text1"/>
          <w:kern w:val="0"/>
          <w:sz w:val="24"/>
          <w:szCs w:val="24"/>
          <w14:ligatures w14:val="none"/>
        </w:rPr>
        <w:t xml:space="preserve">and </w:t>
      </w:r>
      <w:r w:rsidR="00AF051D" w:rsidRPr="00460EC6">
        <w:rPr>
          <w:rFonts w:ascii="Times New Roman" w:hAnsi="Times New Roman" w:cs="Times New Roman"/>
          <w:color w:val="000000" w:themeColor="text1"/>
          <w:kern w:val="0"/>
          <w:sz w:val="24"/>
          <w:szCs w:val="24"/>
          <w:lang w:val="en-US"/>
        </w:rPr>
        <w:t>Ethiopian Human Rights Commission</w:t>
      </w:r>
      <w:r w:rsidR="00AF051D" w:rsidRPr="00460EC6">
        <w:rPr>
          <w:rFonts w:ascii="Times New Roman" w:eastAsia="Times New Roman" w:hAnsi="Times New Roman" w:cs="Times New Roman"/>
          <w:color w:val="000000" w:themeColor="text1"/>
          <w:kern w:val="0"/>
          <w:sz w:val="24"/>
          <w:szCs w:val="24"/>
          <w14:ligatures w14:val="none"/>
        </w:rPr>
        <w:t xml:space="preserve"> </w:t>
      </w:r>
      <w:r w:rsidR="00293037" w:rsidRPr="00460EC6">
        <w:rPr>
          <w:rFonts w:ascii="Times New Roman" w:eastAsia="Times New Roman" w:hAnsi="Times New Roman" w:cs="Times New Roman"/>
          <w:color w:val="000000" w:themeColor="text1"/>
          <w:kern w:val="0"/>
          <w:sz w:val="24"/>
          <w:szCs w:val="24"/>
          <w14:ligatures w14:val="none"/>
        </w:rPr>
        <w:t>signed</w:t>
      </w:r>
      <w:r w:rsidRPr="00460EC6">
        <w:rPr>
          <w:rFonts w:ascii="Times New Roman" w:eastAsia="Times New Roman" w:hAnsi="Times New Roman" w:cs="Times New Roman"/>
          <w:color w:val="000000" w:themeColor="text1"/>
          <w:kern w:val="0"/>
          <w:sz w:val="24"/>
          <w:szCs w:val="24"/>
          <w14:ligatures w14:val="none"/>
        </w:rPr>
        <w:t xml:space="preserve"> on February 03, 2023 a Memorandum of Understanding to promote human rights education. This partnership aims to integrate human rights values into the education system, fostering peace and awareness of rights among citizens. </w:t>
      </w:r>
    </w:p>
    <w:p w14:paraId="6DD222F4" w14:textId="3A210EC5"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Under</w:t>
      </w:r>
      <w:r w:rsidR="00724114" w:rsidRPr="00460EC6">
        <w:rPr>
          <w:rFonts w:ascii="Times New Roman" w:eastAsia="Times New Roman" w:hAnsi="Times New Roman" w:cs="Times New Roman"/>
          <w:color w:val="000000" w:themeColor="text1"/>
          <w:kern w:val="0"/>
          <w:sz w:val="24"/>
          <w:szCs w:val="24"/>
          <w14:ligatures w14:val="none"/>
        </w:rPr>
        <w:t xml:space="preserve"> Proclamation No. 1263/2014, </w:t>
      </w:r>
      <w:proofErr w:type="spellStart"/>
      <w:r w:rsidRPr="00460EC6">
        <w:rPr>
          <w:rFonts w:ascii="Times New Roman" w:eastAsia="Times New Roman" w:hAnsi="Times New Roman" w:cs="Times New Roman"/>
          <w:color w:val="000000" w:themeColor="text1"/>
          <w:kern w:val="0"/>
          <w:sz w:val="24"/>
          <w:szCs w:val="24"/>
          <w14:ligatures w14:val="none"/>
        </w:rPr>
        <w:t>MoE</w:t>
      </w:r>
      <w:proofErr w:type="spellEnd"/>
      <w:r w:rsidRPr="00460EC6">
        <w:rPr>
          <w:rFonts w:ascii="Times New Roman" w:eastAsia="Times New Roman" w:hAnsi="Times New Roman" w:cs="Times New Roman"/>
          <w:color w:val="000000" w:themeColor="text1"/>
          <w:kern w:val="0"/>
          <w:sz w:val="24"/>
          <w:szCs w:val="24"/>
          <w14:ligatures w14:val="none"/>
        </w:rPr>
        <w:t xml:space="preserve"> is tasked with developing policies, setting curricula, overseeing exams, and ensuring the quality of education. It is also responsible for aligning educational programs with national development goals and enforcing standards across institutions.</w:t>
      </w:r>
    </w:p>
    <w:p w14:paraId="3193D6FD" w14:textId="77777777"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Furthermore, Ethiopia has made commitments under various international agreements to uphold the right to education. The General Education Proclamation seeks to provide free and compulsory primary education and enhance educational access, particularly for marginalized groups. </w:t>
      </w:r>
    </w:p>
    <w:p w14:paraId="0FAB7491" w14:textId="2D2D90C8"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Ethiopia’s education sector has undergone substantial transformation over the past three decades, guided by a series of Education Sector Development Programs (ESDP-I to ESDP-VI) and key reform initiatives. The </w:t>
      </w:r>
      <w:r w:rsidR="00293037" w:rsidRPr="00460EC6">
        <w:rPr>
          <w:rFonts w:ascii="Times New Roman" w:eastAsia="Times New Roman" w:hAnsi="Times New Roman" w:cs="Times New Roman"/>
          <w:color w:val="000000" w:themeColor="text1"/>
          <w:kern w:val="0"/>
          <w:sz w:val="24"/>
          <w:szCs w:val="24"/>
          <w14:ligatures w14:val="none"/>
        </w:rPr>
        <w:t>6</w:t>
      </w:r>
      <w:r w:rsidR="00293037" w:rsidRPr="00460EC6">
        <w:rPr>
          <w:rFonts w:ascii="Times New Roman" w:eastAsia="Times New Roman" w:hAnsi="Times New Roman" w:cs="Times New Roman"/>
          <w:color w:val="000000" w:themeColor="text1"/>
          <w:kern w:val="0"/>
          <w:sz w:val="24"/>
          <w:szCs w:val="24"/>
          <w:vertAlign w:val="superscript"/>
          <w14:ligatures w14:val="none"/>
        </w:rPr>
        <w:t>th</w:t>
      </w:r>
      <w:r w:rsidR="00293037" w:rsidRPr="00460EC6">
        <w:rPr>
          <w:rFonts w:ascii="Times New Roman" w:eastAsia="Times New Roman" w:hAnsi="Times New Roman" w:cs="Times New Roman"/>
          <w:color w:val="000000" w:themeColor="text1"/>
          <w:kern w:val="0"/>
          <w:sz w:val="24"/>
          <w:szCs w:val="24"/>
          <w14:ligatures w14:val="none"/>
        </w:rPr>
        <w:t>.</w:t>
      </w:r>
      <w:r w:rsidRPr="00460EC6">
        <w:rPr>
          <w:rFonts w:ascii="Times New Roman" w:eastAsia="Times New Roman" w:hAnsi="Times New Roman" w:cs="Times New Roman"/>
          <w:color w:val="000000" w:themeColor="text1"/>
          <w:kern w:val="0"/>
          <w:sz w:val="24"/>
          <w:szCs w:val="24"/>
          <w14:ligatures w14:val="none"/>
        </w:rPr>
        <w:t xml:space="preserve"> Education Sector Development Program (ESDP VI, 2020/21–2024/25), aligned with the Ten-Year NDP, prioritizes system strengthening, equity, quality, and digital transformation, with a strong emphasis on decentralization and accountability at local levels. Efforts to improve education quality are further supported by the General Education Quality Improvement Package (GEQUIP) and the School Improvement Program (SIP). </w:t>
      </w:r>
    </w:p>
    <w:p w14:paraId="3FA38B2F" w14:textId="394B2DC5"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The Ethiopian Education Development Roadmap (2018–2030), that started full implementation fully implemented in 2022/23, introduced a 6-2-4 general education structure and two years of </w:t>
      </w:r>
      <w:r w:rsidR="00293037" w:rsidRPr="00460EC6">
        <w:rPr>
          <w:rFonts w:ascii="Times New Roman" w:eastAsia="Times New Roman" w:hAnsi="Times New Roman" w:cs="Times New Roman"/>
          <w:color w:val="000000" w:themeColor="text1"/>
          <w:kern w:val="0"/>
          <w:sz w:val="24"/>
          <w:szCs w:val="24"/>
          <w14:ligatures w14:val="none"/>
        </w:rPr>
        <w:t>pre-primary</w:t>
      </w:r>
      <w:r w:rsidRPr="00460EC6">
        <w:rPr>
          <w:rFonts w:ascii="Times New Roman" w:eastAsia="Times New Roman" w:hAnsi="Times New Roman" w:cs="Times New Roman"/>
          <w:color w:val="000000" w:themeColor="text1"/>
          <w:kern w:val="0"/>
          <w:sz w:val="24"/>
          <w:szCs w:val="24"/>
          <w14:ligatures w14:val="none"/>
        </w:rPr>
        <w:t xml:space="preserve"> education. </w:t>
      </w:r>
    </w:p>
    <w:p w14:paraId="001F5FDF" w14:textId="77777777"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lastRenderedPageBreak/>
        <w:t>Complementing these reforms, the national education budget has been increased every budget year. For instance, the budget for 2023/24 is 200.4 billion ETB while for 2022/23 180.2 billion ETB, which is an increase by 11 percent. This expansion has enabled broader access, stronger gender parity, and improved learning conditions through sustained government and community efforts. Out of the 26 education-related indicators with up-to-date data, 8 percent have been fully achieved, and 42 percent are progressing well.</w:t>
      </w:r>
    </w:p>
    <w:p w14:paraId="4EADA0AA" w14:textId="5DBB7835"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These gains reflect improvements such as the high level of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in primary level education and sustained gender parity across all levels. Notable advances in teaching capacity</w:t>
      </w:r>
      <w:r w:rsidR="00293037" w:rsidRPr="00460EC6">
        <w:rPr>
          <w:rFonts w:ascii="Times New Roman" w:eastAsia="Times New Roman" w:hAnsi="Times New Roman" w:cs="Times New Roman"/>
          <w:color w:val="000000" w:themeColor="text1"/>
          <w:kern w:val="0"/>
          <w:sz w:val="24"/>
          <w:szCs w:val="24"/>
          <w14:ligatures w14:val="none"/>
        </w:rPr>
        <w:t>,</w:t>
      </w:r>
      <w:r w:rsidRPr="00460EC6">
        <w:rPr>
          <w:rFonts w:ascii="Times New Roman" w:eastAsia="Times New Roman" w:hAnsi="Times New Roman" w:cs="Times New Roman"/>
          <w:color w:val="000000" w:themeColor="text1"/>
          <w:kern w:val="0"/>
          <w:sz w:val="24"/>
          <w:szCs w:val="24"/>
          <w14:ligatures w14:val="none"/>
        </w:rPr>
        <w:t xml:space="preserve"> evidenced by more than doubling the number of early childhood care and education (ECCE)-qualified </w:t>
      </w:r>
      <w:r w:rsidR="00293037" w:rsidRPr="00460EC6">
        <w:rPr>
          <w:rFonts w:ascii="Times New Roman" w:eastAsia="Times New Roman" w:hAnsi="Times New Roman" w:cs="Times New Roman"/>
          <w:color w:val="000000" w:themeColor="text1"/>
          <w:kern w:val="0"/>
          <w:sz w:val="24"/>
          <w:szCs w:val="24"/>
          <w14:ligatures w14:val="none"/>
        </w:rPr>
        <w:t>pre-primary</w:t>
      </w:r>
      <w:r w:rsidRPr="00460EC6">
        <w:rPr>
          <w:rFonts w:ascii="Times New Roman" w:eastAsia="Times New Roman" w:hAnsi="Times New Roman" w:cs="Times New Roman"/>
          <w:color w:val="000000" w:themeColor="text1"/>
          <w:kern w:val="0"/>
          <w:sz w:val="24"/>
          <w:szCs w:val="24"/>
          <w14:ligatures w14:val="none"/>
        </w:rPr>
        <w:t xml:space="preserve"> teachers</w:t>
      </w:r>
      <w:r w:rsidR="00293037" w:rsidRPr="00460EC6">
        <w:rPr>
          <w:rFonts w:ascii="Times New Roman" w:eastAsia="Times New Roman" w:hAnsi="Times New Roman" w:cs="Times New Roman"/>
          <w:color w:val="000000" w:themeColor="text1"/>
          <w:kern w:val="0"/>
          <w:sz w:val="24"/>
          <w:szCs w:val="24"/>
          <w14:ligatures w14:val="none"/>
        </w:rPr>
        <w:t>,</w:t>
      </w:r>
      <w:r w:rsidRPr="00460EC6">
        <w:rPr>
          <w:rFonts w:ascii="Times New Roman" w:eastAsia="Times New Roman" w:hAnsi="Times New Roman" w:cs="Times New Roman"/>
          <w:color w:val="000000" w:themeColor="text1"/>
          <w:kern w:val="0"/>
          <w:sz w:val="24"/>
          <w:szCs w:val="24"/>
          <w14:ligatures w14:val="none"/>
        </w:rPr>
        <w:t xml:space="preserve"> and initiatives like the Homegrown School Feeding program and digital learning platforms have further enhanced learning outcomes and equity. </w:t>
      </w:r>
    </w:p>
    <w:p w14:paraId="75F96B81" w14:textId="19026E84"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A key area of progress in Ethiopia’s education sector is the steady increase in school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across all levels</w:t>
      </w:r>
      <w:r w:rsidR="00293037" w:rsidRPr="00460EC6">
        <w:rPr>
          <w:rFonts w:ascii="Times New Roman" w:eastAsia="Times New Roman" w:hAnsi="Times New Roman" w:cs="Times New Roman"/>
          <w:color w:val="000000" w:themeColor="text1"/>
          <w:kern w:val="0"/>
          <w:sz w:val="24"/>
          <w:szCs w:val="24"/>
          <w14:ligatures w14:val="none"/>
        </w:rPr>
        <w:t>,</w:t>
      </w:r>
      <w:r w:rsidRPr="00460EC6">
        <w:rPr>
          <w:rFonts w:ascii="Times New Roman" w:eastAsia="Times New Roman" w:hAnsi="Times New Roman" w:cs="Times New Roman"/>
          <w:color w:val="000000" w:themeColor="text1"/>
          <w:kern w:val="0"/>
          <w:sz w:val="24"/>
          <w:szCs w:val="24"/>
          <w14:ligatures w14:val="none"/>
        </w:rPr>
        <w:t xml:space="preserve"> particularly after 2020/21. </w:t>
      </w:r>
      <w:r w:rsidR="00293037" w:rsidRPr="00460EC6">
        <w:rPr>
          <w:rFonts w:ascii="Times New Roman" w:eastAsia="Times New Roman" w:hAnsi="Times New Roman" w:cs="Times New Roman"/>
          <w:color w:val="000000" w:themeColor="text1"/>
          <w:kern w:val="0"/>
          <w:sz w:val="24"/>
          <w:szCs w:val="24"/>
          <w14:ligatures w14:val="none"/>
        </w:rPr>
        <w:t>Pre-primary</w:t>
      </w:r>
      <w:r w:rsidRPr="00460EC6">
        <w:rPr>
          <w:rFonts w:ascii="Times New Roman" w:eastAsia="Times New Roman" w:hAnsi="Times New Roman" w:cs="Times New Roman"/>
          <w:color w:val="000000" w:themeColor="text1"/>
          <w:kern w:val="0"/>
          <w:sz w:val="24"/>
          <w:szCs w:val="24"/>
          <w14:ligatures w14:val="none"/>
        </w:rPr>
        <w:t xml:space="preserve"> education has witnessed notable fluctuations, with the gross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rate at 50 percent in 2015/16, declining to 36.7 percent in 2020/21, before rebounding significantly to reach a record 57.8 percent in 2023/24. This significant improvement is largely attributed to the rapid expansion of kindergarten services over the past five years, the number of KG schools has more than tripled, and an additional 19,155 schools have introduced O-Class programs, substantially increasing access to early childhood education.</w:t>
      </w:r>
    </w:p>
    <w:p w14:paraId="7C9E229B" w14:textId="77777777"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At the primary education level, Ethiopia achieved an impressive gross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rate of 96.9 percent in 2023/24, reflecting the government’s strong commitment to universal education. This progress was supported by the construction of over 3,500 new primary and middle schools, significantly improving access across the country. In terms of learning outcomes, completion rates present a more subtle picture. In 2023, the national net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rate for Grades 1–8 stood at 88.4 percent, with boys at 90.9 percent and girls at 85.9 percent.</w:t>
      </w:r>
    </w:p>
    <w:p w14:paraId="59A28021" w14:textId="77777777" w:rsidR="00EB017D"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School feeding programs in Ethiopia play a crucial role in enhancing access to education and improving equity, especially in food-insecure areas. Initially launched in 1994 as a pilot program in 40 schools across Afar, Amhara, Oromia, and Tigray regions, the program has expanded significantly over the years. During the 2022-2023 school year, approximately 6.9 </w:t>
      </w:r>
      <w:r w:rsidRPr="00460EC6">
        <w:rPr>
          <w:rFonts w:ascii="Times New Roman" w:eastAsia="Times New Roman" w:hAnsi="Times New Roman" w:cs="Times New Roman"/>
          <w:color w:val="000000" w:themeColor="text1"/>
          <w:kern w:val="0"/>
          <w:sz w:val="24"/>
          <w:szCs w:val="24"/>
          <w14:ligatures w14:val="none"/>
        </w:rPr>
        <w:lastRenderedPageBreak/>
        <w:t>million students in pre-primary and primary schools benefited from the program across 13,462 schools.</w:t>
      </w:r>
    </w:p>
    <w:p w14:paraId="4A1A5A83" w14:textId="77777777" w:rsidR="00EB017D"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lang w:val="en-US"/>
          <w14:ligatures w14:val="none"/>
        </w:rPr>
        <w:t>The Homegrown School Feeding Program links nutrition, agriculture, and education by sourcing food locally, improving school enrollment, and creating stable markets for smallholder farmers.</w:t>
      </w:r>
    </w:p>
    <w:p w14:paraId="700F3C56" w14:textId="77777777" w:rsidR="00EB017D"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lang w:val="en-US"/>
          <w14:ligatures w14:val="none"/>
        </w:rPr>
        <w:t>As of 2024, the program serves over 800,000 students, with plans for universal coverage. A value-for-money assessment revealed that beneficiaries of school feeding programs in Ethiopia gain an additional 34 percent in years of schooling—equivalent to 2.3 more years of education—compared to non-beneficiaries. These educational gains translate into improved lifetime earnings and better job prospects. In health terms, a cohort of 1,000 children benefiting from the school feeding program would experience five additional years lived in good health, including reductions in anemia. For every USD 1 invested, the return is estimated at USD 4 in combined education, health, and economic benefits.</w:t>
      </w:r>
    </w:p>
    <w:p w14:paraId="138AACE6" w14:textId="0D567D32" w:rsidR="00EB017D"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hAnsi="Times New Roman" w:cs="Times New Roman"/>
          <w:color w:val="000000" w:themeColor="text1"/>
          <w:sz w:val="24"/>
          <w:szCs w:val="24"/>
        </w:rPr>
        <w:t xml:space="preserve">Primary education in Ethiopia spans </w:t>
      </w:r>
      <w:r w:rsidRPr="00460EC6">
        <w:rPr>
          <w:rFonts w:ascii="Times New Roman" w:hAnsi="Times New Roman" w:cs="Times New Roman"/>
          <w:bCs/>
          <w:color w:val="000000" w:themeColor="text1"/>
          <w:sz w:val="24"/>
          <w:szCs w:val="24"/>
        </w:rPr>
        <w:t>eight years</w:t>
      </w:r>
      <w:r w:rsidRPr="00460EC6">
        <w:rPr>
          <w:rFonts w:ascii="Times New Roman" w:hAnsi="Times New Roman" w:cs="Times New Roman"/>
          <w:color w:val="000000" w:themeColor="text1"/>
          <w:sz w:val="24"/>
          <w:szCs w:val="24"/>
        </w:rPr>
        <w:t xml:space="preserve">, divided into </w:t>
      </w:r>
      <w:r w:rsidRPr="00460EC6">
        <w:rPr>
          <w:rFonts w:ascii="Times New Roman" w:hAnsi="Times New Roman" w:cs="Times New Roman"/>
          <w:bCs/>
          <w:color w:val="000000" w:themeColor="text1"/>
          <w:sz w:val="24"/>
          <w:szCs w:val="24"/>
        </w:rPr>
        <w:t>two cycles</w:t>
      </w:r>
      <w:r w:rsidRPr="00460EC6">
        <w:rPr>
          <w:rFonts w:ascii="Times New Roman" w:hAnsi="Times New Roman" w:cs="Times New Roman"/>
          <w:color w:val="000000" w:themeColor="text1"/>
          <w:sz w:val="24"/>
          <w:szCs w:val="24"/>
        </w:rPr>
        <w:t xml:space="preserve">: </w:t>
      </w:r>
      <w:r w:rsidRPr="00460EC6">
        <w:rPr>
          <w:rFonts w:ascii="Times New Roman" w:hAnsi="Times New Roman" w:cs="Times New Roman"/>
          <w:bCs/>
          <w:color w:val="000000" w:themeColor="text1"/>
          <w:sz w:val="24"/>
          <w:szCs w:val="24"/>
        </w:rPr>
        <w:t>grades 1 to 4 (first cycle</w:t>
      </w:r>
      <w:r w:rsidRPr="00460EC6">
        <w:rPr>
          <w:rFonts w:ascii="Times New Roman" w:hAnsi="Times New Roman" w:cs="Times New Roman"/>
          <w:color w:val="000000" w:themeColor="text1"/>
          <w:sz w:val="24"/>
          <w:szCs w:val="24"/>
        </w:rPr>
        <w:t xml:space="preserve">) and grades 5 to 8 (second cycle). The official entry age is 7 years, and the system plays a critical role in national development, offering the highest public return on investment (SDG 4.1). According the </w:t>
      </w:r>
      <w:r w:rsidRPr="00460EC6">
        <w:rPr>
          <w:rStyle w:val="Emphasis"/>
          <w:rFonts w:ascii="Times New Roman" w:hAnsi="Times New Roman" w:cs="Times New Roman"/>
          <w:color w:val="000000" w:themeColor="text1"/>
          <w:sz w:val="24"/>
          <w:szCs w:val="24"/>
        </w:rPr>
        <w:t>General Education Proclamation No. 1368/2025</w:t>
      </w:r>
      <w:r w:rsidRPr="00460EC6">
        <w:rPr>
          <w:rFonts w:ascii="Times New Roman" w:hAnsi="Times New Roman" w:cs="Times New Roman"/>
          <w:i/>
          <w:color w:val="000000" w:themeColor="text1"/>
          <w:sz w:val="24"/>
          <w:szCs w:val="24"/>
        </w:rPr>
        <w:t xml:space="preserve">, </w:t>
      </w:r>
      <w:r w:rsidRPr="00460EC6">
        <w:rPr>
          <w:rFonts w:ascii="Times New Roman" w:hAnsi="Times New Roman" w:cs="Times New Roman"/>
          <w:color w:val="000000" w:themeColor="text1"/>
          <w:sz w:val="24"/>
          <w:szCs w:val="24"/>
        </w:rPr>
        <w:t>no child shall be denied admission to general education due to the absence of a birth certificate; schools are legally required to accept alternative evidence or declarations from parents or guardians, ensuring that lack of documentation does not hinder a child's constitutional and internationally recognized right to access education.</w:t>
      </w:r>
    </w:p>
    <w:p w14:paraId="4A17BE8F" w14:textId="77777777" w:rsidR="00EB017D"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Over the reporting years, pre-primary enrolment rates have exhibited fluctuations, ranging from 36.7% in 2017/18 to 50% in 2022/23. Gross Enrolment Ratios (GER) and Net Enrolment Ratios (NER) have shown progress, but disparities persist due to poverty, geographic location, and socio-cultural norms, impacting equitable access to education (SDG 10.2). The Gender Parity Index (GPI) has shown incremental improvements but has not yet reached the national targets set under the Education Sector Development Program VI (ESDP VI) (SDG 5.1).</w:t>
      </w:r>
    </w:p>
    <w:p w14:paraId="0BF646F9"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To address these challenges, the </w:t>
      </w:r>
      <w:proofErr w:type="spellStart"/>
      <w:r w:rsidRPr="00460EC6">
        <w:rPr>
          <w:rFonts w:ascii="Times New Roman" w:eastAsia="Times New Roman" w:hAnsi="Times New Roman" w:cs="Times New Roman"/>
          <w:color w:val="000000" w:themeColor="text1"/>
          <w:kern w:val="0"/>
          <w:sz w:val="24"/>
          <w:szCs w:val="24"/>
          <w14:ligatures w14:val="none"/>
        </w:rPr>
        <w:t>GoE</w:t>
      </w:r>
      <w:proofErr w:type="spellEnd"/>
      <w:r w:rsidRPr="00460EC6">
        <w:rPr>
          <w:rFonts w:ascii="Times New Roman" w:eastAsia="Times New Roman" w:hAnsi="Times New Roman" w:cs="Times New Roman"/>
          <w:color w:val="000000" w:themeColor="text1"/>
          <w:kern w:val="0"/>
          <w:sz w:val="24"/>
          <w:szCs w:val="24"/>
          <w14:ligatures w14:val="none"/>
        </w:rPr>
        <w:t xml:space="preserve"> enacted a General Education Law, providing free and compulsory primary and middle education. It prohibits tuition and registration fees but </w:t>
      </w:r>
      <w:r w:rsidRPr="00460EC6">
        <w:rPr>
          <w:rFonts w:ascii="Times New Roman" w:eastAsia="Times New Roman" w:hAnsi="Times New Roman" w:cs="Times New Roman"/>
          <w:color w:val="000000" w:themeColor="text1"/>
          <w:kern w:val="0"/>
          <w:sz w:val="24"/>
          <w:szCs w:val="24"/>
          <w14:ligatures w14:val="none"/>
        </w:rPr>
        <w:lastRenderedPageBreak/>
        <w:t>allows modest contributions for educational materials. However, indirect costs such as uniforms and transportation remain a challenge for low-income families.</w:t>
      </w:r>
    </w:p>
    <w:p w14:paraId="5A541E6C"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Secondary education covers students aged 15 to 18 and is concluded with the Ethiopian General Secondary Education Certificate Examination (EGSECE). Over the reporting period, GER for secondary education fluctuated between 42% and 46%, indicating low transition rates from primary and middle schools.</w:t>
      </w:r>
    </w:p>
    <w:p w14:paraId="68200E18"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Key challenges include limited access to learning materials, as reflected in textbook distribution data. The pupil-textbook ratio improved from 8.8 in 2019-2020 to 6.3 in 2021-2022).</w:t>
      </w:r>
    </w:p>
    <w:p w14:paraId="30C99F0A"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Despite these challenges, the number of secondary schools has steadily increased, rising from 3,481 in 2020-2021 to 3,636 in 2021-2022, with government-owned schools comprising nearly 90% of all institutions.</w:t>
      </w:r>
    </w:p>
    <w:p w14:paraId="41E700D3"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 xml:space="preserve">Colleges of Teachers' Education (CTEs) are vital in preparing future educators. These institutions offer flexible diploma programs lasting three or more years, employing both Linear and Cluster Modality approaches. </w:t>
      </w:r>
      <w:proofErr w:type="spellStart"/>
      <w:r w:rsidRPr="00460EC6">
        <w:rPr>
          <w:rFonts w:ascii="Times New Roman" w:eastAsia="Times New Roman" w:hAnsi="Times New Roman" w:cs="Times New Roman"/>
          <w:color w:val="000000" w:themeColor="text1"/>
          <w:kern w:val="0"/>
          <w:sz w:val="24"/>
          <w:szCs w:val="24"/>
          <w14:ligatures w14:val="none"/>
        </w:rPr>
        <w:t>Enrollment</w:t>
      </w:r>
      <w:proofErr w:type="spellEnd"/>
      <w:r w:rsidRPr="00460EC6">
        <w:rPr>
          <w:rFonts w:ascii="Times New Roman" w:eastAsia="Times New Roman" w:hAnsi="Times New Roman" w:cs="Times New Roman"/>
          <w:color w:val="000000" w:themeColor="text1"/>
          <w:kern w:val="0"/>
          <w:sz w:val="24"/>
          <w:szCs w:val="24"/>
          <w14:ligatures w14:val="none"/>
        </w:rPr>
        <w:t xml:space="preserve"> in Extension programs has consistently been higher than in regular an</w:t>
      </w:r>
      <w:r w:rsidR="00177E63" w:rsidRPr="00460EC6">
        <w:rPr>
          <w:rFonts w:ascii="Times New Roman" w:eastAsia="Times New Roman" w:hAnsi="Times New Roman" w:cs="Times New Roman"/>
          <w:color w:val="000000" w:themeColor="text1"/>
          <w:kern w:val="0"/>
          <w:sz w:val="24"/>
          <w:szCs w:val="24"/>
          <w14:ligatures w14:val="none"/>
        </w:rPr>
        <w:t>d summer programs.</w:t>
      </w:r>
    </w:p>
    <w:p w14:paraId="56176F59"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hAnsi="Times New Roman" w:cs="Times New Roman"/>
          <w:color w:val="000000" w:themeColor="text1"/>
          <w:sz w:val="24"/>
          <w:szCs w:val="24"/>
        </w:rPr>
        <w:t>Ethiopia’s Higher Education Institutions (HEIs) include 48 government universities and 59    accredited private universities and colleges. As part of efforts to strengthen the n</w:t>
      </w:r>
      <w:r w:rsidR="00724114" w:rsidRPr="00460EC6">
        <w:rPr>
          <w:rFonts w:ascii="Times New Roman" w:hAnsi="Times New Roman" w:cs="Times New Roman"/>
          <w:color w:val="000000" w:themeColor="text1"/>
          <w:sz w:val="24"/>
          <w:szCs w:val="24"/>
        </w:rPr>
        <w:t xml:space="preserve">ational education system, </w:t>
      </w:r>
      <w:proofErr w:type="spellStart"/>
      <w:r w:rsidR="00724114" w:rsidRPr="00460EC6">
        <w:rPr>
          <w:rFonts w:ascii="Times New Roman" w:hAnsi="Times New Roman" w:cs="Times New Roman"/>
          <w:color w:val="000000" w:themeColor="text1"/>
          <w:sz w:val="24"/>
          <w:szCs w:val="24"/>
        </w:rPr>
        <w:t>M</w:t>
      </w:r>
      <w:r w:rsidRPr="00460EC6">
        <w:rPr>
          <w:rFonts w:ascii="Times New Roman" w:hAnsi="Times New Roman" w:cs="Times New Roman"/>
          <w:color w:val="000000" w:themeColor="text1"/>
          <w:sz w:val="24"/>
          <w:szCs w:val="24"/>
        </w:rPr>
        <w:t>o</w:t>
      </w:r>
      <w:r w:rsidR="00724114" w:rsidRPr="00460EC6">
        <w:rPr>
          <w:rFonts w:ascii="Times New Roman" w:hAnsi="Times New Roman" w:cs="Times New Roman"/>
          <w:color w:val="000000" w:themeColor="text1"/>
          <w:sz w:val="24"/>
          <w:szCs w:val="24"/>
        </w:rPr>
        <w:t>E</w:t>
      </w:r>
      <w:proofErr w:type="spellEnd"/>
      <w:r w:rsidRPr="00460EC6">
        <w:rPr>
          <w:rFonts w:ascii="Times New Roman" w:hAnsi="Times New Roman" w:cs="Times New Roman"/>
          <w:color w:val="000000" w:themeColor="text1"/>
          <w:sz w:val="24"/>
          <w:szCs w:val="24"/>
        </w:rPr>
        <w:t xml:space="preserve"> has introduced two standardized online assessments: a national exit exam for undergraduate students and the National Graduate Admission Test (NGAT) for entry into master’s programs. These measures aim to ensure consistent academic standards, promote fairness, and enhance the quality of higher education across the Country.</w:t>
      </w:r>
    </w:p>
    <w:p w14:paraId="5C179B39"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lang w:val="en-US"/>
          <w14:ligatures w14:val="none"/>
        </w:rPr>
        <w:t xml:space="preserve">The MOE’s </w:t>
      </w:r>
      <w:r w:rsidRPr="00460EC6">
        <w:rPr>
          <w:rFonts w:ascii="Times New Roman" w:eastAsia="Times New Roman" w:hAnsi="Times New Roman" w:cs="Times New Roman"/>
          <w:bCs/>
          <w:color w:val="000000" w:themeColor="text1"/>
          <w:kern w:val="0"/>
          <w:sz w:val="24"/>
          <w:szCs w:val="24"/>
          <w:lang w:val="en-US"/>
          <w14:ligatures w14:val="none"/>
        </w:rPr>
        <w:t xml:space="preserve">Special Needs Education Master Plan (2016–2025) </w:t>
      </w:r>
      <w:r w:rsidRPr="00460EC6">
        <w:rPr>
          <w:rFonts w:ascii="Times New Roman" w:eastAsia="Times New Roman" w:hAnsi="Times New Roman" w:cs="Times New Roman"/>
          <w:color w:val="000000" w:themeColor="text1"/>
          <w:kern w:val="0"/>
          <w:sz w:val="24"/>
          <w:szCs w:val="24"/>
          <w:lang w:val="en-US"/>
          <w14:ligatures w14:val="none"/>
        </w:rPr>
        <w:t xml:space="preserve">aims to ensure inclusive, disability-sensitive education through accessible infrastructure, teacher training, and resource centers. Efforts include legal mandates under the Building Proclamation to construct disability-friendly facilities—ramps, adapted toilets, signage. The </w:t>
      </w:r>
      <w:proofErr w:type="spellStart"/>
      <w:r w:rsidRPr="00460EC6">
        <w:rPr>
          <w:rFonts w:ascii="Times New Roman" w:eastAsia="Times New Roman" w:hAnsi="Times New Roman" w:cs="Times New Roman"/>
          <w:color w:val="000000" w:themeColor="text1"/>
          <w:kern w:val="0"/>
          <w:sz w:val="24"/>
          <w:szCs w:val="24"/>
          <w:lang w:val="en-US"/>
          <w14:ligatures w14:val="none"/>
        </w:rPr>
        <w:t>MoE</w:t>
      </w:r>
      <w:proofErr w:type="spellEnd"/>
      <w:r w:rsidRPr="00460EC6">
        <w:rPr>
          <w:rFonts w:ascii="Times New Roman" w:eastAsia="Times New Roman" w:hAnsi="Times New Roman" w:cs="Times New Roman"/>
          <w:color w:val="000000" w:themeColor="text1"/>
          <w:kern w:val="0"/>
          <w:sz w:val="24"/>
          <w:szCs w:val="24"/>
          <w:lang w:val="en-US"/>
          <w14:ligatures w14:val="none"/>
        </w:rPr>
        <w:t xml:space="preserve">, in partnership with Early Childhood Development and Education (ECDD) and the TVET Agency, has built accessible pathways and public facilities, and implemented inclusive guidelines across 30+ TVET </w:t>
      </w:r>
      <w:proofErr w:type="spellStart"/>
      <w:r w:rsidRPr="00460EC6">
        <w:rPr>
          <w:rFonts w:ascii="Times New Roman" w:eastAsia="Times New Roman" w:hAnsi="Times New Roman" w:cs="Times New Roman"/>
          <w:color w:val="000000" w:themeColor="text1"/>
          <w:kern w:val="0"/>
          <w:sz w:val="24"/>
          <w:szCs w:val="24"/>
          <w:lang w:val="en-US"/>
          <w14:ligatures w14:val="none"/>
        </w:rPr>
        <w:t>centres</w:t>
      </w:r>
      <w:proofErr w:type="spellEnd"/>
      <w:r w:rsidRPr="00460EC6">
        <w:rPr>
          <w:rFonts w:ascii="Times New Roman" w:eastAsia="Times New Roman" w:hAnsi="Times New Roman" w:cs="Times New Roman"/>
          <w:color w:val="000000" w:themeColor="text1"/>
          <w:kern w:val="0"/>
          <w:sz w:val="24"/>
          <w:szCs w:val="24"/>
          <w:lang w:val="en-US"/>
          <w14:ligatures w14:val="none"/>
        </w:rPr>
        <w:t xml:space="preserve">. Curriculum and assessment adaptations, along with the deployment of trained special-needs educators in cluster schools, support differentiated instruction and equal opportunity. Monitoring and reporting systems—including the annual Education Statistics </w:t>
      </w:r>
      <w:r w:rsidRPr="00460EC6">
        <w:rPr>
          <w:rFonts w:ascii="Times New Roman" w:eastAsia="Times New Roman" w:hAnsi="Times New Roman" w:cs="Times New Roman"/>
          <w:color w:val="000000" w:themeColor="text1"/>
          <w:kern w:val="0"/>
          <w:sz w:val="24"/>
          <w:szCs w:val="24"/>
          <w:lang w:val="en-US"/>
          <w14:ligatures w14:val="none"/>
        </w:rPr>
        <w:lastRenderedPageBreak/>
        <w:t>Abstract—explicitly track enrolment and infrastructure upgrades for learners with disabilities, reinforcing legal compliance.</w:t>
      </w:r>
    </w:p>
    <w:p w14:paraId="10AAB725" w14:textId="77777777" w:rsidR="00177E63"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Conflict-affected regions in Ethiopia—most notably Tigray, Amhara, and Afar—have experienced severe disruptions in education due to the destruction of schools, displacement of communities, and loss of critical infrastructure such as water, electricity, and learning materials. In the 2021/22 school year, more than 2.2 million children were estimated to have dropped out or been displaced from school due to conflict, especially in Tigray and northern A</w:t>
      </w:r>
      <w:r w:rsidR="00724114" w:rsidRPr="00460EC6">
        <w:rPr>
          <w:rFonts w:ascii="Times New Roman" w:eastAsia="Times New Roman" w:hAnsi="Times New Roman" w:cs="Times New Roman"/>
          <w:color w:val="000000" w:themeColor="text1"/>
          <w:kern w:val="0"/>
          <w:sz w:val="24"/>
          <w:szCs w:val="24"/>
          <w14:ligatures w14:val="none"/>
        </w:rPr>
        <w:t xml:space="preserve">mhara. In response, </w:t>
      </w:r>
      <w:proofErr w:type="spellStart"/>
      <w:r w:rsidR="00724114" w:rsidRPr="00460EC6">
        <w:rPr>
          <w:rFonts w:ascii="Times New Roman" w:eastAsia="Times New Roman" w:hAnsi="Times New Roman" w:cs="Times New Roman"/>
          <w:color w:val="000000" w:themeColor="text1"/>
          <w:kern w:val="0"/>
          <w:sz w:val="24"/>
          <w:szCs w:val="24"/>
          <w14:ligatures w14:val="none"/>
        </w:rPr>
        <w:t>M</w:t>
      </w:r>
      <w:r w:rsidRPr="00460EC6">
        <w:rPr>
          <w:rFonts w:ascii="Times New Roman" w:eastAsia="Times New Roman" w:hAnsi="Times New Roman" w:cs="Times New Roman"/>
          <w:color w:val="000000" w:themeColor="text1"/>
          <w:kern w:val="0"/>
          <w:sz w:val="24"/>
          <w:szCs w:val="24"/>
          <w14:ligatures w14:val="none"/>
        </w:rPr>
        <w:t>oE</w:t>
      </w:r>
      <w:proofErr w:type="spellEnd"/>
      <w:r w:rsidRPr="00460EC6">
        <w:rPr>
          <w:rFonts w:ascii="Times New Roman" w:eastAsia="Times New Roman" w:hAnsi="Times New Roman" w:cs="Times New Roman"/>
          <w:color w:val="000000" w:themeColor="text1"/>
          <w:kern w:val="0"/>
          <w:sz w:val="24"/>
          <w:szCs w:val="24"/>
          <w14:ligatures w14:val="none"/>
        </w:rPr>
        <w:t>, in partnership with international agencies, has launched school rehabilitation programs, mobile education services, and emergency learning kits aimed at restoring access to education. Additionally, psychosocial support and catch-up classes are being implemented to help reintegrate affected students. Legal and policy frameworks are also being strengthened to safeguard educational services in fragile areas, laying the groundwork for resilience and recovery, and opening opportunities for international cooperation and targeted support.</w:t>
      </w:r>
    </w:p>
    <w:p w14:paraId="0040CD54" w14:textId="77777777" w:rsidR="00A46ACC" w:rsidRPr="00460EC6" w:rsidRDefault="00A46ACC" w:rsidP="00C32E5E">
      <w:pPr>
        <w:pStyle w:val="ListParagraph"/>
        <w:numPr>
          <w:ilvl w:val="0"/>
          <w:numId w:val="3"/>
        </w:numPr>
        <w:spacing w:before="100" w:beforeAutospacing="1" w:after="100" w:afterAutospacing="1" w:line="360" w:lineRule="auto"/>
        <w:ind w:left="540" w:hanging="540"/>
        <w:jc w:val="both"/>
        <w:outlineLvl w:val="2"/>
        <w:rPr>
          <w:rFonts w:ascii="Times New Roman" w:eastAsia="Times New Roman" w:hAnsi="Times New Roman" w:cs="Times New Roman"/>
          <w:color w:val="000000" w:themeColor="text1"/>
          <w:kern w:val="0"/>
          <w:sz w:val="24"/>
          <w:szCs w:val="24"/>
          <w14:ligatures w14:val="none"/>
        </w:rPr>
      </w:pPr>
      <w:r w:rsidRPr="00460EC6">
        <w:rPr>
          <w:rFonts w:ascii="Times New Roman" w:eastAsia="Times New Roman" w:hAnsi="Times New Roman" w:cs="Times New Roman"/>
          <w:color w:val="000000" w:themeColor="text1"/>
          <w:kern w:val="0"/>
          <w:sz w:val="24"/>
          <w:szCs w:val="24"/>
          <w14:ligatures w14:val="none"/>
        </w:rPr>
        <w:t>Efforts to rebuild educational infrastructure and reintegrate displaced students into schools are on-going. Government initiatives, supported by international partners, aim to restore access to education through school rehabilitation programs and emergency educational support.</w:t>
      </w:r>
    </w:p>
    <w:p w14:paraId="7F96A817" w14:textId="77777777" w:rsidR="00A46ACC" w:rsidRPr="00460EC6" w:rsidRDefault="00A46ACC" w:rsidP="00526D16">
      <w:pPr>
        <w:tabs>
          <w:tab w:val="left" w:pos="9360"/>
        </w:tabs>
        <w:spacing w:line="360" w:lineRule="auto"/>
        <w:jc w:val="both"/>
        <w:rPr>
          <w:rFonts w:ascii="Times New Roman" w:eastAsia="Calibri" w:hAnsi="Times New Roman" w:cs="Times New Roman"/>
          <w:b/>
          <w:color w:val="000000" w:themeColor="text1"/>
          <w:kern w:val="0"/>
          <w:sz w:val="24"/>
          <w:szCs w:val="24"/>
          <w:u w:val="single"/>
          <w:lang w:val="en-US"/>
          <w14:ligatures w14:val="none"/>
        </w:rPr>
      </w:pPr>
      <w:r w:rsidRPr="00460EC6">
        <w:rPr>
          <w:rFonts w:ascii="Times New Roman" w:eastAsia="Calibri" w:hAnsi="Times New Roman" w:cs="Times New Roman"/>
          <w:b/>
          <w:color w:val="000000" w:themeColor="text1"/>
          <w:kern w:val="0"/>
          <w:sz w:val="24"/>
          <w:szCs w:val="24"/>
          <w:lang w:val="en-US"/>
          <w14:ligatures w14:val="none"/>
        </w:rPr>
        <w:t xml:space="preserve">Article 15: </w:t>
      </w:r>
      <w:r w:rsidRPr="00460EC6">
        <w:rPr>
          <w:rFonts w:ascii="Times New Roman" w:eastAsia="Calibri" w:hAnsi="Times New Roman" w:cs="Times New Roman"/>
          <w:b/>
          <w:color w:val="000000" w:themeColor="text1"/>
          <w:kern w:val="0"/>
          <w:sz w:val="24"/>
          <w:szCs w:val="24"/>
          <w:u w:val="single"/>
          <w:lang w:val="en-US"/>
          <w14:ligatures w14:val="none"/>
        </w:rPr>
        <w:t>The Right to Culture and to Benefit from Scientific Progress</w:t>
      </w:r>
    </w:p>
    <w:p w14:paraId="51BB704B"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FDRE Constitution under Article 41(9) and Article 91(3) provides the government's duties and responsibilities to protect, preserve, and support cultural heritage and arts. All the nations, nationalities and peoples of Ethiopia have the right to express, develop, and promote their culture and preserve their history. In addition, the Constitution provides for the responsibility of the government to promote the equal development of customs and cultures in so far as they are not inconsistent with </w:t>
      </w:r>
      <w:r w:rsidRPr="00460EC6">
        <w:rPr>
          <w:rFonts w:ascii="Times New Roman" w:eastAsia="Calibri" w:hAnsi="Times New Roman" w:cs="Times New Roman"/>
          <w:iCs/>
          <w:color w:val="000000" w:themeColor="text1"/>
          <w:sz w:val="24"/>
          <w:szCs w:val="24"/>
        </w:rPr>
        <w:t>fundamental</w:t>
      </w:r>
      <w:r w:rsidRPr="00460EC6">
        <w:rPr>
          <w:rFonts w:ascii="Times New Roman" w:eastAsia="Calibri" w:hAnsi="Times New Roman" w:cs="Times New Roman"/>
          <w:color w:val="000000" w:themeColor="text1"/>
          <w:sz w:val="24"/>
          <w:szCs w:val="24"/>
        </w:rPr>
        <w:t xml:space="preserve"> rights, human dignity, democracy as well as the rights and freedoms of others. </w:t>
      </w:r>
    </w:p>
    <w:p w14:paraId="1ECFC37E"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w:t>
      </w:r>
      <w:proofErr w:type="spellStart"/>
      <w:r w:rsidRPr="00460EC6">
        <w:rPr>
          <w:rFonts w:ascii="Times New Roman" w:eastAsia="Calibri" w:hAnsi="Times New Roman" w:cs="Times New Roman"/>
          <w:color w:val="000000" w:themeColor="text1"/>
          <w:sz w:val="24"/>
          <w:szCs w:val="24"/>
        </w:rPr>
        <w:t>GoE</w:t>
      </w:r>
      <w:proofErr w:type="spellEnd"/>
      <w:r w:rsidRPr="00460EC6">
        <w:rPr>
          <w:rFonts w:ascii="Times New Roman" w:eastAsia="Calibri" w:hAnsi="Times New Roman" w:cs="Times New Roman"/>
          <w:color w:val="000000" w:themeColor="text1"/>
          <w:sz w:val="24"/>
          <w:szCs w:val="24"/>
        </w:rPr>
        <w:t xml:space="preserve"> is also committed to realizing the right of everyone to take part in cultural life. To this effect, the Government has undertaken specific activities to strengthen intercultural/religious dialogue, foster mutual understanding of the Country’s heritage and </w:t>
      </w:r>
      <w:r w:rsidRPr="00460EC6">
        <w:rPr>
          <w:rFonts w:ascii="Times New Roman" w:eastAsia="Calibri" w:hAnsi="Times New Roman" w:cs="Times New Roman"/>
          <w:color w:val="000000" w:themeColor="text1"/>
          <w:sz w:val="24"/>
          <w:szCs w:val="24"/>
        </w:rPr>
        <w:lastRenderedPageBreak/>
        <w:t>the sharing of common values with a view to contributing towards social progress and social cohesion.</w:t>
      </w:r>
    </w:p>
    <w:p w14:paraId="238B6EE0"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Government has taken numerous measures to respect, protect and promote cultural rights and to enrich national culture both at the federal and regional levels. The Ten-Year National Development Plan (2021-2030) has set out a framework and guiding principles to formulate and implement a cohesive development strategy, within which the development and enrichment of the Country’s traditional, natural heritages and values will contribute to its growth as well as to play a prominent role in the building of democratic order and good governance. </w:t>
      </w:r>
    </w:p>
    <w:p w14:paraId="37294065"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revised Cultural Policy of Ethiopia, adopted in 2016, aims to strengthen cultural values, utilize Ethiopia's cultural resources for economic benefit, and promote tolerance, mutual respect, and national unity by ensuring equal recognition and development opportunities for all cultures within the Country, while also addressing challenges posed by globalization. </w:t>
      </w:r>
    </w:p>
    <w:p w14:paraId="4498454C"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I</w:t>
      </w:r>
      <w:r w:rsidR="00A46ACC" w:rsidRPr="00460EC6">
        <w:rPr>
          <w:rFonts w:ascii="Times New Roman" w:eastAsia="Calibri" w:hAnsi="Times New Roman" w:cs="Times New Roman"/>
          <w:color w:val="000000" w:themeColor="text1"/>
          <w:sz w:val="24"/>
          <w:szCs w:val="24"/>
        </w:rPr>
        <w:t>n line with Ethiopia's Constitution, which acknowledges the right of all nationalities to protect and promote their cultures, the Policy recognizes the diverse cultures of Ethiopia's various nations, nationalities, and peoples, ensuring equal representation and development of their cultural elements like languages, arts, crafts, and traditions.  It aims to leverage cultural resources like arts, crafts, and heritage tourism to generate economic opportunities and promote job creation. </w:t>
      </w:r>
    </w:p>
    <w:p w14:paraId="20A74FF3"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The Policy emphasizes the importance of safeguarding cultural heritage sites, historical artefacts and intangible cultural practices; promotes cultural education programs to foster understanding and appreciation of Ethiopian cultural diversity; focuses on developing human resources within the cultural sector through training programs and supporting cultural institutions; encourages active participation of citizens in cultural activities and decision-making processes. </w:t>
      </w:r>
    </w:p>
    <w:p w14:paraId="4DB2E0DD"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proofErr w:type="spellStart"/>
      <w:r w:rsidR="00A46ACC" w:rsidRPr="00460EC6">
        <w:rPr>
          <w:rFonts w:ascii="Times New Roman" w:eastAsia="Calibri" w:hAnsi="Times New Roman" w:cs="Times New Roman"/>
          <w:color w:val="000000" w:themeColor="text1"/>
          <w:sz w:val="24"/>
          <w:szCs w:val="24"/>
        </w:rPr>
        <w:t>MoCS</w:t>
      </w:r>
      <w:proofErr w:type="spellEnd"/>
      <w:r w:rsidR="00A46ACC" w:rsidRPr="00460EC6">
        <w:rPr>
          <w:rFonts w:ascii="Times New Roman" w:eastAsia="Calibri" w:hAnsi="Times New Roman" w:cs="Times New Roman"/>
          <w:color w:val="000000" w:themeColor="text1"/>
          <w:sz w:val="24"/>
          <w:szCs w:val="24"/>
        </w:rPr>
        <w:t xml:space="preserve"> has been re-established by Proclamation No, 1263/2021 with the powers and duties to provide for the study and preservation of the history, cultural heritage and values of nations, nationalities and peoples of Ethiopia; to support the study of the languages of the nations, nationalities and peoples of Ethiopia and the advancement and promotion of their literatures; to undertake activities to bring about changes in those cultural attitudes, </w:t>
      </w:r>
      <w:r w:rsidR="00A46ACC" w:rsidRPr="00460EC6">
        <w:rPr>
          <w:rFonts w:ascii="Times New Roman" w:eastAsia="Calibri" w:hAnsi="Times New Roman" w:cs="Times New Roman"/>
          <w:color w:val="000000" w:themeColor="text1"/>
          <w:sz w:val="24"/>
          <w:szCs w:val="24"/>
        </w:rPr>
        <w:lastRenderedPageBreak/>
        <w:t>beliefs and practices that hinder social progress; to promote the contribution of culture to development; to expand cultural institutions; to institutionalize public participation in the development of culture and to promote creativity in artistic works and fine arts. It has been implementing policies and providing legal frameworks for the protection and safeguarding of Ethiopia’s natural resources, its tangible and</w:t>
      </w:r>
      <w:r w:rsidRPr="00460EC6">
        <w:rPr>
          <w:rFonts w:ascii="Times New Roman" w:eastAsia="Calibri" w:hAnsi="Times New Roman" w:cs="Times New Roman"/>
          <w:color w:val="000000" w:themeColor="text1"/>
          <w:sz w:val="24"/>
          <w:szCs w:val="24"/>
        </w:rPr>
        <w:t xml:space="preserve"> intangible cultural heritages.</w:t>
      </w:r>
    </w:p>
    <w:p w14:paraId="626951FA"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proofErr w:type="spellStart"/>
      <w:r w:rsidR="00A46ACC" w:rsidRPr="00460EC6">
        <w:rPr>
          <w:rFonts w:ascii="Times New Roman" w:eastAsia="Calibri" w:hAnsi="Times New Roman" w:cs="Times New Roman"/>
          <w:color w:val="000000" w:themeColor="text1"/>
          <w:sz w:val="24"/>
          <w:szCs w:val="24"/>
        </w:rPr>
        <w:t>MoCS</w:t>
      </w:r>
      <w:proofErr w:type="spellEnd"/>
      <w:r w:rsidR="00A46ACC" w:rsidRPr="00460EC6">
        <w:rPr>
          <w:rFonts w:ascii="Times New Roman" w:eastAsia="Calibri" w:hAnsi="Times New Roman" w:cs="Times New Roman"/>
          <w:color w:val="000000" w:themeColor="text1"/>
          <w:sz w:val="24"/>
          <w:szCs w:val="24"/>
        </w:rPr>
        <w:t>, together with its regional counterparts, is responsible for the realization of the Cultural Policy at the national level. The statutory powers and duties of the said Ministry include engaging in the study and preservation of history, cultural heritages and values of the nations, nationalities and peoples of Ethiopia; and expansion of cultural institutions to institutionalize public participation in the field of culture.</w:t>
      </w:r>
    </w:p>
    <w:p w14:paraId="7D7ADFE6"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Ministry, in accordance with its mandate, has been, in collaboration with regional organs, organizing cultural festivals representing the nations and nationalities with one of the declared objectives being “introducing the arts and crafts of the nations, nationalities and peoples of Ethiopia on equal basis thereby nurturing equality, tolerance and togetherness among them with a view to encouraging the building of a democratic system in Ethiopia.” The Regional Bureaus have also been organizing their similar festivals at the regional levels. </w:t>
      </w:r>
    </w:p>
    <w:p w14:paraId="6DEC72F6"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Ethiopia’s Film Policy (2017)</w:t>
      </w:r>
      <w:r w:rsidRPr="00460EC6">
        <w:rPr>
          <w:rFonts w:ascii="Times New Roman" w:eastAsia="Calibri" w:hAnsi="Times New Roman" w:cs="Times New Roman"/>
          <w:b/>
          <w:color w:val="000000" w:themeColor="text1"/>
          <w:sz w:val="24"/>
          <w:szCs w:val="24"/>
        </w:rPr>
        <w:t xml:space="preserve"> </w:t>
      </w:r>
      <w:r w:rsidRPr="00460EC6">
        <w:rPr>
          <w:rFonts w:ascii="Times New Roman" w:eastAsia="Calibri" w:hAnsi="Times New Roman" w:cs="Times New Roman"/>
          <w:color w:val="000000" w:themeColor="text1"/>
          <w:sz w:val="24"/>
          <w:szCs w:val="24"/>
        </w:rPr>
        <w:t>is the other development protecting the freedom of artistic creation and performance. The Policy has identified a range of key policy issues, covering human resources, infrastructure, production, distribution, and market development, copyright, financial support, and incentives. It also puts forth an implementation strategy, with institutional, legal, and regulatory frameworks to be established such as film development fund; arts council, national film institute; film library and museum; fiscal incentives; copyright protection; training; infrastructures for digital distribution; support for film clubs; health and work‐related insurance for film workers; etc. In addition, it reaffirms the importance of protecting freedom of creation, the right to creativity and the role of public, private, and civil society actors in implementing the Policy.</w:t>
      </w:r>
    </w:p>
    <w:p w14:paraId="230343AD"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The Education and Training Policy, that has been adopted in 2023 in its objectives also encourages patriotism, entrepreneurship, positive attitudes, human rights, culture, heritage, and appreciation of nature and the environment. </w:t>
      </w:r>
    </w:p>
    <w:p w14:paraId="4F480483"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lastRenderedPageBreak/>
        <w:t>The opening of the Master of Fine Arts (MFA) program in 2015 at Addis Ababa University (AAU) enhanced professional education in the field of culture and art. The primary mission of AAU’s program is to provide excellence to postgraduate teaching in the study of cinema and the practice of creating films on the principle that the study of cinema and the artistic production of moving images complement one another.</w:t>
      </w:r>
    </w:p>
    <w:p w14:paraId="18E1E611"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Moreover, during the reporting period, new degree programs in music, theatre, fine arts, film production, and literary arts have been established in more than 10 universities throughout the Country.</w:t>
      </w:r>
    </w:p>
    <w:p w14:paraId="2D43D0CD"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During the period under review, </w:t>
      </w:r>
      <w:proofErr w:type="spellStart"/>
      <w:r w:rsidRPr="00460EC6">
        <w:rPr>
          <w:rFonts w:ascii="Times New Roman" w:eastAsia="Calibri" w:hAnsi="Times New Roman" w:cs="Times New Roman"/>
          <w:color w:val="000000" w:themeColor="text1"/>
          <w:sz w:val="24"/>
          <w:szCs w:val="24"/>
        </w:rPr>
        <w:t>MoCS</w:t>
      </w:r>
      <w:proofErr w:type="spellEnd"/>
      <w:r w:rsidRPr="00460EC6">
        <w:rPr>
          <w:rFonts w:ascii="Times New Roman" w:eastAsia="Calibri" w:hAnsi="Times New Roman" w:cs="Times New Roman"/>
          <w:color w:val="000000" w:themeColor="text1"/>
          <w:sz w:val="24"/>
          <w:szCs w:val="24"/>
        </w:rPr>
        <w:t xml:space="preserve"> together with </w:t>
      </w:r>
      <w:proofErr w:type="spellStart"/>
      <w:r w:rsidRPr="00460EC6">
        <w:rPr>
          <w:rFonts w:ascii="Times New Roman" w:eastAsia="Calibri" w:hAnsi="Times New Roman" w:cs="Times New Roman"/>
          <w:color w:val="000000" w:themeColor="text1"/>
          <w:sz w:val="24"/>
          <w:szCs w:val="24"/>
        </w:rPr>
        <w:t>MoE</w:t>
      </w:r>
      <w:proofErr w:type="spellEnd"/>
      <w:r w:rsidRPr="00460EC6">
        <w:rPr>
          <w:rFonts w:ascii="Times New Roman" w:eastAsia="Calibri" w:hAnsi="Times New Roman" w:cs="Times New Roman"/>
          <w:color w:val="000000" w:themeColor="text1"/>
          <w:sz w:val="24"/>
          <w:szCs w:val="24"/>
        </w:rPr>
        <w:t xml:space="preserve"> has worked to create training opportunities for youth in the culture and creative</w:t>
      </w:r>
      <w:r w:rsidR="00177E63" w:rsidRPr="00460EC6">
        <w:rPr>
          <w:rFonts w:ascii="Times New Roman" w:eastAsia="Calibri" w:hAnsi="Times New Roman" w:cs="Times New Roman"/>
          <w:color w:val="000000" w:themeColor="text1"/>
          <w:sz w:val="24"/>
          <w:szCs w:val="24"/>
        </w:rPr>
        <w:t xml:space="preserve"> sector through </w:t>
      </w:r>
      <w:r w:rsidRPr="00460EC6">
        <w:rPr>
          <w:rFonts w:ascii="Times New Roman" w:eastAsia="Calibri" w:hAnsi="Times New Roman" w:cs="Times New Roman"/>
          <w:color w:val="000000" w:themeColor="text1"/>
          <w:sz w:val="24"/>
          <w:szCs w:val="24"/>
        </w:rPr>
        <w:t>TVET for youth and middle-level professionals. These played a great role in the production of skilled youth in the c</w:t>
      </w:r>
      <w:r w:rsidR="00177E63" w:rsidRPr="00460EC6">
        <w:rPr>
          <w:rFonts w:ascii="Times New Roman" w:eastAsia="Calibri" w:hAnsi="Times New Roman" w:cs="Times New Roman"/>
          <w:color w:val="000000" w:themeColor="text1"/>
          <w:sz w:val="24"/>
          <w:szCs w:val="24"/>
        </w:rPr>
        <w:t>ultural and creative industries.</w:t>
      </w:r>
    </w:p>
    <w:p w14:paraId="1DAE0BE9"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 xml:space="preserve">Short and long-term trainings at different levels have been provided for the protection and preservation of heritage and other related subjects as well as for awareness development and reinforcement schemes and systems. Besides, the annual nations, nationalities, and people’s day event, which is aimed at the promotion of cultural identity as a factor of mutual appreciation among nations, nationalities, and peoples of Ethiopia, the Cultural Festival for Persons with Disabilities has been held every year since 2014. The measure has aimed to increase the social inclusion of persons with disabilities by bringing various forms of cultural expression performed by disabled people to the stage. </w:t>
      </w:r>
    </w:p>
    <w:p w14:paraId="390BAF67"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Ethiopian National Cultural Centre, designed to showcase and preserve the Country's diverse culture, including traditional arts, music, crafts, and history, has been established to conserve and develop cultural values through research, technology application, training, literary and artistic criticism, memorial forums, and organizing events like culture week. Based on these mandates, the Centre is trying to create a platform for the implementation of policies to promote popular participation in culture.</w:t>
      </w:r>
    </w:p>
    <w:p w14:paraId="1054E062"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 xml:space="preserve">The Centre, in collaboration with other public sectors, is promoting, conserving, and developing culture and art. One of the achievements of the Centre is the support it provides for emerging regions. The Centre is supporting regions in various ways, for instance, by providing technical support for the cultural centres in the regions. </w:t>
      </w:r>
    </w:p>
    <w:p w14:paraId="2330BA8A"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lastRenderedPageBreak/>
        <w:t xml:space="preserve"> </w:t>
      </w:r>
      <w:r w:rsidR="00A46ACC" w:rsidRPr="00460EC6">
        <w:rPr>
          <w:rFonts w:ascii="Times New Roman" w:eastAsia="Calibri" w:hAnsi="Times New Roman" w:cs="Times New Roman"/>
          <w:color w:val="000000" w:themeColor="text1"/>
          <w:sz w:val="24"/>
          <w:szCs w:val="24"/>
        </w:rPr>
        <w:t>The culture week organized in each regional state, turn by turn, is a hub for other regional states and city administrations to participate and promote, conserve, and develop culture and artistic products, services, and activities. In each platform, all regional states are showcasing their cultural performances, cultural goods and services for all visitors.</w:t>
      </w:r>
    </w:p>
    <w:p w14:paraId="1F70F6AF"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The Science, Technology and Innovation Policy</w:t>
      </w:r>
      <w:r w:rsidR="00A46ACC" w:rsidRPr="00460EC6">
        <w:rPr>
          <w:rFonts w:ascii="Times New Roman" w:eastAsia="Calibri" w:hAnsi="Times New Roman" w:cs="Times New Roman"/>
          <w:b/>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 xml:space="preserve">that provides special attention to the development of domestic technology, innovation, and improving the technological capabilities of enterprises, as well as strengthening their linkages with productivity, was adopted in 2022. The Policy targets supporting agriculture and manufacturing, tourism, mining, and information communication technology (ICT) through technology and innovation as a basis for national prosperity and development. </w:t>
      </w:r>
    </w:p>
    <w:p w14:paraId="4BB4540A"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bCs/>
          <w:color w:val="000000" w:themeColor="text1"/>
          <w:sz w:val="24"/>
          <w:szCs w:val="24"/>
          <w:shd w:val="clear" w:color="auto" w:fill="FFFFFF"/>
        </w:rPr>
        <w:t>The Ethiopian Intellectual Property Authority facilitates the provision of adequate legal protection for and exploitation of intellectual property in the country and to collect, organize and disseminate technological information contained in patent documents and encourage its utilization. The national Intellectual Property Rights (IPR) regime creates a conducive environment for imitative learning and the protection of new knowledge and aims to foster the development of indigenous knowledge.</w:t>
      </w:r>
    </w:p>
    <w:p w14:paraId="6008F3E0" w14:textId="7353D8DC"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bCs/>
          <w:color w:val="000000" w:themeColor="text1"/>
          <w:sz w:val="24"/>
          <w:szCs w:val="24"/>
          <w:shd w:val="clear" w:color="auto" w:fill="FFFFFF"/>
        </w:rPr>
        <w:t xml:space="preserve"> </w:t>
      </w:r>
      <w:r w:rsidR="00A46ACC" w:rsidRPr="00460EC6">
        <w:rPr>
          <w:rFonts w:ascii="Times New Roman" w:eastAsia="Calibri" w:hAnsi="Times New Roman" w:cs="Times New Roman"/>
          <w:color w:val="000000" w:themeColor="text1"/>
          <w:sz w:val="24"/>
          <w:szCs w:val="24"/>
        </w:rPr>
        <w:t xml:space="preserve">The Government is involved in numerous actions to respect, protect and promote cultural rights and to enrich national culture at both federal and regional state levels. The </w:t>
      </w:r>
      <w:r w:rsidR="002A474C" w:rsidRPr="00460EC6">
        <w:rPr>
          <w:rFonts w:ascii="Times New Roman" w:eastAsia="Calibri" w:hAnsi="Times New Roman" w:cs="Times New Roman"/>
          <w:color w:val="000000" w:themeColor="text1"/>
          <w:sz w:val="24"/>
          <w:szCs w:val="24"/>
        </w:rPr>
        <w:t>Ten-Year</w:t>
      </w:r>
      <w:r w:rsidR="00A46ACC" w:rsidRPr="00460EC6">
        <w:rPr>
          <w:rFonts w:ascii="Times New Roman" w:eastAsia="Calibri" w:hAnsi="Times New Roman" w:cs="Times New Roman"/>
          <w:color w:val="000000" w:themeColor="text1"/>
          <w:sz w:val="24"/>
          <w:szCs w:val="24"/>
        </w:rPr>
        <w:t xml:space="preserve"> National Development Plan (2021-2030) has set out different targets, including to increase the awareness of the public to peaceful co-existence, pluralities of identities and cultures. </w:t>
      </w:r>
    </w:p>
    <w:p w14:paraId="5280B5F6"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 xml:space="preserve">The nations, nationalities and peoples’ day is an annual event during which the various peoples of the country exhibit their specific cultural heritage and traditional endowments. It is a day of celebration and a genuine exchange of customs and traditions. In addition to this annual occasion, these are also cultural festivals, literary discussions; painting, photography and sculpture exhibitions and competitions, traditional sports festivals, musical group competitions and demonstrations, religious and cultural festivals in various cities and regions throughout the Country. </w:t>
      </w:r>
    </w:p>
    <w:p w14:paraId="2ED17330"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sz w:val="24"/>
          <w:szCs w:val="24"/>
        </w:rPr>
        <w:t xml:space="preserve">Diverse cultural centres, theatres, cinemas, libraries and museums and other development and enrichment </w:t>
      </w:r>
      <w:proofErr w:type="spellStart"/>
      <w:r w:rsidR="00A46ACC" w:rsidRPr="00460EC6">
        <w:rPr>
          <w:rFonts w:ascii="Times New Roman" w:eastAsia="Calibri" w:hAnsi="Times New Roman" w:cs="Times New Roman"/>
          <w:color w:val="000000" w:themeColor="text1"/>
          <w:sz w:val="24"/>
          <w:szCs w:val="24"/>
        </w:rPr>
        <w:t>centers</w:t>
      </w:r>
      <w:proofErr w:type="spellEnd"/>
      <w:r w:rsidR="00A46ACC" w:rsidRPr="00460EC6">
        <w:rPr>
          <w:rFonts w:ascii="Times New Roman" w:eastAsia="Calibri" w:hAnsi="Times New Roman" w:cs="Times New Roman"/>
          <w:color w:val="000000" w:themeColor="text1"/>
          <w:sz w:val="24"/>
          <w:szCs w:val="24"/>
        </w:rPr>
        <w:t xml:space="preserve"> have been built. In particular, in consideration of the needs of the young, large numbers of youth </w:t>
      </w:r>
      <w:proofErr w:type="spellStart"/>
      <w:r w:rsidR="00A46ACC" w:rsidRPr="00460EC6">
        <w:rPr>
          <w:rFonts w:ascii="Times New Roman" w:eastAsia="Calibri" w:hAnsi="Times New Roman" w:cs="Times New Roman"/>
          <w:color w:val="000000" w:themeColor="text1"/>
          <w:sz w:val="24"/>
          <w:szCs w:val="24"/>
        </w:rPr>
        <w:t>centers</w:t>
      </w:r>
      <w:proofErr w:type="spellEnd"/>
      <w:r w:rsidR="00A46ACC" w:rsidRPr="00460EC6">
        <w:rPr>
          <w:rFonts w:ascii="Times New Roman" w:eastAsia="Calibri" w:hAnsi="Times New Roman" w:cs="Times New Roman"/>
          <w:color w:val="000000" w:themeColor="text1"/>
          <w:sz w:val="24"/>
          <w:szCs w:val="24"/>
        </w:rPr>
        <w:t xml:space="preserve"> have been built county-wide. These allow youngsters to serve the dual purpose of using their free time in a moral and physically </w:t>
      </w:r>
      <w:r w:rsidR="00A46ACC" w:rsidRPr="00460EC6">
        <w:rPr>
          <w:rFonts w:ascii="Times New Roman" w:eastAsia="Calibri" w:hAnsi="Times New Roman" w:cs="Times New Roman"/>
          <w:color w:val="000000" w:themeColor="text1"/>
          <w:sz w:val="24"/>
          <w:szCs w:val="24"/>
        </w:rPr>
        <w:lastRenderedPageBreak/>
        <w:t xml:space="preserve">healthy environment and of enriching knowledge and social experience. These youth </w:t>
      </w:r>
      <w:proofErr w:type="spellStart"/>
      <w:r w:rsidR="00A46ACC" w:rsidRPr="00460EC6">
        <w:rPr>
          <w:rFonts w:ascii="Times New Roman" w:eastAsia="Calibri" w:hAnsi="Times New Roman" w:cs="Times New Roman"/>
          <w:color w:val="000000" w:themeColor="text1"/>
          <w:sz w:val="24"/>
          <w:szCs w:val="24"/>
        </w:rPr>
        <w:t>centers</w:t>
      </w:r>
      <w:proofErr w:type="spellEnd"/>
      <w:r w:rsidR="00A46ACC" w:rsidRPr="00460EC6">
        <w:rPr>
          <w:rFonts w:ascii="Times New Roman" w:eastAsia="Calibri" w:hAnsi="Times New Roman" w:cs="Times New Roman"/>
          <w:color w:val="000000" w:themeColor="text1"/>
          <w:sz w:val="24"/>
          <w:szCs w:val="24"/>
        </w:rPr>
        <w:t xml:space="preserve"> have libraries, sports areas and other multi-purpose facilities. </w:t>
      </w:r>
    </w:p>
    <w:p w14:paraId="343CC397"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kern w:val="0"/>
          <w:sz w:val="24"/>
          <w:szCs w:val="24"/>
          <w:lang w:val="en-US"/>
          <w14:ligatures w14:val="none"/>
        </w:rPr>
        <w:t xml:space="preserve">A significant number of studies have been made on the cultures of the nations, nationalities and peoples, with the aim of educating and popularizing shared cultural practices. The collection and classification of diverse histories, folklore, grammars, parables, folk musical instruments and songs have been carried out. Short and long-term trainings at different levels have been provided for the protection and preservation of heritage and other related subjects as well as for awareness development and for reinforcement schemes and systems. The Government has also been undertaking activities in collaboration with different stakeholders to protect the culture, language and history of minority ethnic groups. </w:t>
      </w:r>
    </w:p>
    <w:p w14:paraId="1A2858D1"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hAnsi="Times New Roman" w:cs="Times New Roman"/>
          <w:color w:val="000000" w:themeColor="text1"/>
          <w:sz w:val="24"/>
          <w:szCs w:val="24"/>
        </w:rPr>
        <w:t xml:space="preserve">The FDRE Constitution has provided ways in which customary dispute-resolution mechanisms could be employed through the establishment of customary courts or recognition of </w:t>
      </w:r>
      <w:r w:rsidRPr="00460EC6">
        <w:rPr>
          <w:rFonts w:ascii="Times New Roman" w:hAnsi="Times New Roman" w:cs="Times New Roman"/>
          <w:color w:val="000000" w:themeColor="text1"/>
          <w:sz w:val="24"/>
          <w:szCs w:val="24"/>
        </w:rPr>
        <w:t>existing customary institutions.</w:t>
      </w:r>
    </w:p>
    <w:p w14:paraId="18E3FF0D"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w:t>
      </w:r>
      <w:r w:rsidR="00A46ACC" w:rsidRPr="00460EC6">
        <w:rPr>
          <w:rFonts w:ascii="Times New Roman" w:hAnsi="Times New Roman" w:cs="Times New Roman"/>
          <w:color w:val="000000" w:themeColor="text1"/>
          <w:sz w:val="24"/>
          <w:szCs w:val="24"/>
        </w:rPr>
        <w:t>Ethiopia has a wealth of customary dispute-resolution mechanisms to resolve disputes arising from personal, family, communal and inter- and intra-ethnic relationships. Each of the over eighty ethnic groups have its own customary dispute resolution mechanisms.</w:t>
      </w:r>
    </w:p>
    <w:p w14:paraId="7DBC673E" w14:textId="6006593E"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w:t>
      </w:r>
      <w:r w:rsidR="00A46ACC" w:rsidRPr="00460EC6">
        <w:rPr>
          <w:rFonts w:ascii="Times New Roman" w:hAnsi="Times New Roman" w:cs="Times New Roman"/>
          <w:color w:val="000000" w:themeColor="text1"/>
          <w:sz w:val="24"/>
          <w:szCs w:val="24"/>
        </w:rPr>
        <w:t xml:space="preserve">In a </w:t>
      </w:r>
      <w:r w:rsidR="002A474C" w:rsidRPr="00460EC6">
        <w:rPr>
          <w:rFonts w:ascii="Times New Roman" w:hAnsi="Times New Roman" w:cs="Times New Roman"/>
          <w:color w:val="000000" w:themeColor="text1"/>
          <w:sz w:val="24"/>
          <w:szCs w:val="24"/>
        </w:rPr>
        <w:t>J</w:t>
      </w:r>
      <w:r w:rsidR="00A46ACC" w:rsidRPr="00460EC6">
        <w:rPr>
          <w:rFonts w:ascii="Times New Roman" w:hAnsi="Times New Roman" w:cs="Times New Roman"/>
          <w:color w:val="000000" w:themeColor="text1"/>
          <w:sz w:val="24"/>
          <w:szCs w:val="24"/>
        </w:rPr>
        <w:t xml:space="preserve">ustice </w:t>
      </w:r>
      <w:r w:rsidR="002A474C" w:rsidRPr="00460EC6">
        <w:rPr>
          <w:rFonts w:ascii="Times New Roman" w:hAnsi="Times New Roman" w:cs="Times New Roman"/>
          <w:color w:val="000000" w:themeColor="text1"/>
          <w:sz w:val="24"/>
          <w:szCs w:val="24"/>
        </w:rPr>
        <w:t>N</w:t>
      </w:r>
      <w:r w:rsidR="00A46ACC" w:rsidRPr="00460EC6">
        <w:rPr>
          <w:rFonts w:ascii="Times New Roman" w:hAnsi="Times New Roman" w:cs="Times New Roman"/>
          <w:color w:val="000000" w:themeColor="text1"/>
          <w:sz w:val="24"/>
          <w:szCs w:val="24"/>
        </w:rPr>
        <w:t xml:space="preserve">eeds </w:t>
      </w:r>
      <w:r w:rsidR="002A474C" w:rsidRPr="00460EC6">
        <w:rPr>
          <w:rFonts w:ascii="Times New Roman" w:hAnsi="Times New Roman" w:cs="Times New Roman"/>
          <w:color w:val="000000" w:themeColor="text1"/>
          <w:sz w:val="24"/>
          <w:szCs w:val="24"/>
        </w:rPr>
        <w:t>S</w:t>
      </w:r>
      <w:r w:rsidR="00A46ACC" w:rsidRPr="00460EC6">
        <w:rPr>
          <w:rFonts w:ascii="Times New Roman" w:hAnsi="Times New Roman" w:cs="Times New Roman"/>
          <w:color w:val="000000" w:themeColor="text1"/>
          <w:sz w:val="24"/>
          <w:szCs w:val="24"/>
        </w:rPr>
        <w:t xml:space="preserve">atisfaction </w:t>
      </w:r>
      <w:r w:rsidR="002A474C" w:rsidRPr="00460EC6">
        <w:rPr>
          <w:rFonts w:ascii="Times New Roman" w:hAnsi="Times New Roman" w:cs="Times New Roman"/>
          <w:color w:val="000000" w:themeColor="text1"/>
          <w:sz w:val="24"/>
          <w:szCs w:val="24"/>
        </w:rPr>
        <w:t>S</w:t>
      </w:r>
      <w:r w:rsidR="00A46ACC" w:rsidRPr="00460EC6">
        <w:rPr>
          <w:rFonts w:ascii="Times New Roman" w:hAnsi="Times New Roman" w:cs="Times New Roman"/>
          <w:color w:val="000000" w:themeColor="text1"/>
          <w:sz w:val="24"/>
          <w:szCs w:val="24"/>
        </w:rPr>
        <w:t xml:space="preserve">urvey carried out in 2021, it was identified that 43% of legal disputes in Ethiopia go to customary dispute resolution mechanisms that involve local elders. This form of justice, which often seeks reconciliation through consensus, has been considered more effective at restoring relationship between the parties and communal harmony as compared to any other form of justice. The study concluded that Ethiopians are much more satisfied with the justice processes organized by village elders, which are procedurally fair, accessible, quick and trusted. </w:t>
      </w:r>
    </w:p>
    <w:p w14:paraId="3FD1A757"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w:t>
      </w:r>
      <w:r w:rsidR="00A46ACC" w:rsidRPr="00460EC6">
        <w:rPr>
          <w:rFonts w:ascii="Times New Roman" w:hAnsi="Times New Roman" w:cs="Times New Roman"/>
          <w:color w:val="000000" w:themeColor="text1"/>
          <w:sz w:val="24"/>
          <w:szCs w:val="24"/>
        </w:rPr>
        <w:t>Accordingly, a Model Law has been prepared which will serve as a legislative template that ensures consistency and conformity across Ethiopia's diverse regions. The Model Law would be instrumental in setting the standards for the establishment, operation and jurisdiction of customary courts, thereby fostering a cohesive legal ecosystem. The purpose of the Model Law is to cultivate a uniform approach to the integration process, providing the necessary legal infrastructure for the recognition and enforceability of decisions rendered by customary courts, both at regional levels a</w:t>
      </w:r>
      <w:r w:rsidRPr="00460EC6">
        <w:rPr>
          <w:rFonts w:ascii="Times New Roman" w:hAnsi="Times New Roman" w:cs="Times New Roman"/>
          <w:color w:val="000000" w:themeColor="text1"/>
          <w:sz w:val="24"/>
          <w:szCs w:val="24"/>
        </w:rPr>
        <w:t>nd within the federal judiciary.</w:t>
      </w:r>
    </w:p>
    <w:p w14:paraId="690D8B25"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lastRenderedPageBreak/>
        <w:t xml:space="preserve"> </w:t>
      </w:r>
      <w:r w:rsidR="00A46ACC" w:rsidRPr="00460EC6">
        <w:rPr>
          <w:rFonts w:ascii="Times New Roman" w:hAnsi="Times New Roman" w:cs="Times New Roman"/>
          <w:color w:val="000000" w:themeColor="text1"/>
          <w:sz w:val="24"/>
          <w:szCs w:val="24"/>
        </w:rPr>
        <w:t xml:space="preserve">In accordance with this, some regional states such as Amhara, Benshangul-Gumuz, </w:t>
      </w:r>
      <w:proofErr w:type="spellStart"/>
      <w:r w:rsidR="00A46ACC" w:rsidRPr="00460EC6">
        <w:rPr>
          <w:rFonts w:ascii="Times New Roman" w:hAnsi="Times New Roman" w:cs="Times New Roman"/>
          <w:color w:val="000000" w:themeColor="text1"/>
          <w:sz w:val="24"/>
          <w:szCs w:val="24"/>
        </w:rPr>
        <w:t>Sidama</w:t>
      </w:r>
      <w:proofErr w:type="spellEnd"/>
      <w:r w:rsidR="00A46ACC" w:rsidRPr="00460EC6">
        <w:rPr>
          <w:rFonts w:ascii="Times New Roman" w:hAnsi="Times New Roman" w:cs="Times New Roman"/>
          <w:color w:val="000000" w:themeColor="text1"/>
          <w:sz w:val="24"/>
          <w:szCs w:val="24"/>
        </w:rPr>
        <w:t xml:space="preserve"> and South West Ethiopia have enacted legislations to establish (recognize) the customary courts within their respective regions. They have enacted legislations tailored to their specific contexts, thereby laying the ground work for the establishment of customary courts that resonate with local traditions while conforming to national standards. </w:t>
      </w:r>
      <w:proofErr w:type="spellStart"/>
      <w:r w:rsidR="00A46ACC" w:rsidRPr="00460EC6">
        <w:rPr>
          <w:rFonts w:ascii="Times New Roman" w:hAnsi="Times New Roman" w:cs="Times New Roman"/>
          <w:color w:val="000000" w:themeColor="text1"/>
          <w:sz w:val="24"/>
          <w:szCs w:val="24"/>
        </w:rPr>
        <w:t>Oromiya</w:t>
      </w:r>
      <w:proofErr w:type="spellEnd"/>
      <w:r w:rsidR="00A46ACC" w:rsidRPr="00460EC6">
        <w:rPr>
          <w:rFonts w:ascii="Times New Roman" w:hAnsi="Times New Roman" w:cs="Times New Roman"/>
          <w:color w:val="000000" w:themeColor="text1"/>
          <w:sz w:val="24"/>
          <w:szCs w:val="24"/>
        </w:rPr>
        <w:t xml:space="preserve"> regional state, on the other hand, has established customary court</w:t>
      </w:r>
      <w:r w:rsidRPr="00460EC6">
        <w:rPr>
          <w:rFonts w:ascii="Times New Roman" w:hAnsi="Times New Roman" w:cs="Times New Roman"/>
          <w:color w:val="000000" w:themeColor="text1"/>
          <w:sz w:val="24"/>
          <w:szCs w:val="24"/>
        </w:rPr>
        <w:t>s by law ahead of the Model Law.</w:t>
      </w:r>
    </w:p>
    <w:p w14:paraId="47A002C7"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w:t>
      </w:r>
      <w:r w:rsidR="00A46ACC"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hAnsi="Times New Roman" w:cs="Times New Roman"/>
          <w:color w:val="000000" w:themeColor="text1"/>
          <w:sz w:val="24"/>
          <w:szCs w:val="24"/>
        </w:rPr>
        <w:t xml:space="preserve">In line with the Constitution of the FDRE, customary courts shall have jurisdiction over family and personal matters. Regarding criminal offences, customary courts may exercise jurisdiction over petty offences and crimes punishable only upon complaint and they may not have jurisdiction over offences punishable only by a term of imprisonment and over offences in which there is no direct individual victim or to which the prosecutor is a party. </w:t>
      </w:r>
    </w:p>
    <w:p w14:paraId="60975B31"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hAnsi="Times New Roman" w:cs="Times New Roman"/>
          <w:color w:val="000000" w:themeColor="text1"/>
          <w:sz w:val="24"/>
          <w:szCs w:val="24"/>
        </w:rPr>
        <w:t xml:space="preserve"> </w:t>
      </w:r>
      <w:r w:rsidR="00A46ACC" w:rsidRPr="00460EC6">
        <w:rPr>
          <w:rFonts w:ascii="Times New Roman" w:hAnsi="Times New Roman" w:cs="Times New Roman"/>
          <w:color w:val="000000" w:themeColor="text1"/>
          <w:sz w:val="24"/>
          <w:szCs w:val="24"/>
        </w:rPr>
        <w:t>Moreover, customary courts shall be established and designed to operate only as alternative avenues of dispute resolution mechanisms alongside the regular courts. No one shall be compelled to the jurisdiction of these courts. They are also required to respect the human rights of the parties and adjudicate cases without discrimination as regards persons, social conditions, race, nation, nationality, social origin, colour, sex, language, religion, political or other opinion, property, birth or other status.</w:t>
      </w:r>
    </w:p>
    <w:p w14:paraId="29924AE8" w14:textId="77777777" w:rsidR="00177E63" w:rsidRPr="00460EC6" w:rsidRDefault="00A46ACC"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The broadcasting service, which is overseen by the Ethiopian Media Authority, contributes to the development and promotion of the cultures and artistic values of the public. Community broadcasting, which, among other aspects, can promote and develop language, culture and the artistic values of the community, is encouraged by those interested in the promotion of cultures. In addition to the Proclamation, the Ethiopian Media Authority has endorsed a directive to guide broadcasting service programs and methods of operation. According to the directive, any broadcasting program should promote the culture of all nations, nationalities and peoples and tolerance among them. Furthermore, any program should be free from partiality and the language used should not offend any culture, nor should it offend morality. </w:t>
      </w:r>
    </w:p>
    <w:p w14:paraId="6C507388"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eastAsia="Calibri" w:hAnsi="Times New Roman" w:cs="Times New Roman"/>
          <w:color w:val="000000" w:themeColor="text1"/>
          <w:kern w:val="0"/>
          <w:sz w:val="24"/>
          <w:szCs w:val="24"/>
          <w:lang w:val="en-US"/>
          <w14:ligatures w14:val="none"/>
        </w:rPr>
        <w:t xml:space="preserve">The Radio and Television channels owned by the Federal and regional governments also have programs exclusively intended to promote and preserve the cultural, linguistic, historical and natural heritages of nations and nationalities. Every effort is being exerted to </w:t>
      </w:r>
      <w:r w:rsidR="00A46ACC" w:rsidRPr="00460EC6">
        <w:rPr>
          <w:rFonts w:ascii="Times New Roman" w:eastAsia="Calibri" w:hAnsi="Times New Roman" w:cs="Times New Roman"/>
          <w:color w:val="000000" w:themeColor="text1"/>
          <w:kern w:val="0"/>
          <w:sz w:val="24"/>
          <w:szCs w:val="24"/>
          <w:lang w:val="en-US"/>
          <w14:ligatures w14:val="none"/>
        </w:rPr>
        <w:lastRenderedPageBreak/>
        <w:t>make people aware of each other’s cultures and languages. Currently, such programs present and introduce to the public documentaries, practices of marriage, dressing, mourning, and other matters of nations and nationalities</w:t>
      </w:r>
      <w:r w:rsidRPr="00460EC6">
        <w:rPr>
          <w:rFonts w:ascii="Times New Roman" w:eastAsia="Calibri" w:hAnsi="Times New Roman" w:cs="Times New Roman"/>
          <w:color w:val="000000" w:themeColor="text1"/>
          <w:kern w:val="0"/>
          <w:sz w:val="24"/>
          <w:szCs w:val="24"/>
          <w:lang w:val="en-US"/>
          <w14:ligatures w14:val="none"/>
        </w:rPr>
        <w:t>.</w:t>
      </w:r>
    </w:p>
    <w:p w14:paraId="656D0CA9"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eastAsia="Calibri" w:hAnsi="Times New Roman" w:cs="Times New Roman"/>
          <w:color w:val="000000" w:themeColor="text1"/>
          <w:spacing w:val="-2"/>
          <w:kern w:val="0"/>
          <w:sz w:val="24"/>
          <w:szCs w:val="24"/>
          <w:lang w:val="en-US"/>
          <w14:ligatures w14:val="none"/>
        </w:rPr>
        <w:t xml:space="preserve">The Government has further established the Ethiopian Radiation Protection Agency, Ethiopian Scientific Equipment Center and Ethiopian Intellectual Property Office to realize the right of everyone to enjoy the benefits of </w:t>
      </w:r>
      <w:r w:rsidR="00A46ACC" w:rsidRPr="00460EC6">
        <w:rPr>
          <w:rFonts w:ascii="Times New Roman" w:eastAsia="Calibri" w:hAnsi="Times New Roman" w:cs="Times New Roman"/>
          <w:iCs/>
          <w:color w:val="000000" w:themeColor="text1"/>
          <w:spacing w:val="-2"/>
          <w:kern w:val="0"/>
          <w:sz w:val="24"/>
          <w:szCs w:val="24"/>
          <w:lang w:val="en-US"/>
          <w14:ligatures w14:val="none"/>
        </w:rPr>
        <w:t>scientific</w:t>
      </w:r>
      <w:r w:rsidR="00A46ACC" w:rsidRPr="00460EC6">
        <w:rPr>
          <w:rFonts w:ascii="Times New Roman" w:eastAsia="Calibri" w:hAnsi="Times New Roman" w:cs="Times New Roman"/>
          <w:color w:val="000000" w:themeColor="text1"/>
          <w:spacing w:val="-2"/>
          <w:kern w:val="0"/>
          <w:sz w:val="24"/>
          <w:szCs w:val="24"/>
          <w:lang w:val="en-US"/>
          <w14:ligatures w14:val="none"/>
        </w:rPr>
        <w:t xml:space="preserve"> progress and its applications. In particular, the benefits of scientific progress and its applications in agricultural, health and to some extent in industrial sectors have been attained. </w:t>
      </w:r>
    </w:p>
    <w:p w14:paraId="238B8ABC"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spacing w:val="-2"/>
          <w:kern w:val="0"/>
          <w:sz w:val="24"/>
          <w:szCs w:val="24"/>
          <w:lang w:val="en-US"/>
          <w14:ligatures w14:val="none"/>
        </w:rPr>
        <w:t xml:space="preserve"> </w:t>
      </w:r>
      <w:r w:rsidR="00A46ACC" w:rsidRPr="00460EC6">
        <w:rPr>
          <w:rFonts w:ascii="Times New Roman" w:eastAsia="Calibri" w:hAnsi="Times New Roman" w:cs="Times New Roman"/>
          <w:color w:val="000000" w:themeColor="text1"/>
          <w:kern w:val="0"/>
          <w:sz w:val="24"/>
          <w:szCs w:val="24"/>
          <w:lang w:val="en-US"/>
          <w14:ligatures w14:val="none"/>
        </w:rPr>
        <w:t xml:space="preserve">In connection with this development, a nationwide health research ethics evaluation directive has been issued to prevent the use of scientific and technical progress for purposes contrary to the enjoyment of all human and fundamental rights. A surveillance program has been set up to </w:t>
      </w:r>
      <w:r w:rsidR="00A46ACC" w:rsidRPr="00460EC6">
        <w:rPr>
          <w:rFonts w:ascii="Times New Roman" w:eastAsia="Calibri" w:hAnsi="Times New Roman" w:cs="Times New Roman"/>
          <w:iCs/>
          <w:color w:val="000000" w:themeColor="text1"/>
          <w:kern w:val="0"/>
          <w:sz w:val="24"/>
          <w:szCs w:val="24"/>
          <w:lang w:val="en-US"/>
          <w14:ligatures w14:val="none"/>
        </w:rPr>
        <w:t>minimize</w:t>
      </w:r>
      <w:r w:rsidR="00A46ACC" w:rsidRPr="00460EC6">
        <w:rPr>
          <w:rFonts w:ascii="Times New Roman" w:eastAsia="Calibri" w:hAnsi="Times New Roman" w:cs="Times New Roman"/>
          <w:color w:val="000000" w:themeColor="text1"/>
          <w:kern w:val="0"/>
          <w:sz w:val="24"/>
          <w:szCs w:val="24"/>
          <w:lang w:val="en-US"/>
          <w14:ligatures w14:val="none"/>
        </w:rPr>
        <w:t xml:space="preserve"> the damage caused by radiation technologies on human health and environmental safety. Moreover, training, advisory, and maintenance services have been rendered to the users of scientific equipment and facilities to raise their knowledge and efficient utilization</w:t>
      </w:r>
      <w:r w:rsidRPr="00460EC6">
        <w:rPr>
          <w:rFonts w:ascii="Times New Roman" w:eastAsia="Calibri" w:hAnsi="Times New Roman" w:cs="Times New Roman"/>
          <w:color w:val="000000" w:themeColor="text1"/>
          <w:kern w:val="0"/>
          <w:sz w:val="24"/>
          <w:szCs w:val="24"/>
          <w:lang w:val="en-US"/>
          <w14:ligatures w14:val="none"/>
        </w:rPr>
        <w:t>.</w:t>
      </w:r>
    </w:p>
    <w:p w14:paraId="3B5611E2"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eastAsia="Calibri" w:hAnsi="Times New Roman" w:cs="Times New Roman"/>
          <w:color w:val="000000" w:themeColor="text1"/>
          <w:kern w:val="0"/>
          <w:sz w:val="24"/>
          <w:szCs w:val="24"/>
          <w:lang w:val="en-US"/>
          <w14:ligatures w14:val="none"/>
        </w:rPr>
        <w:t>The Government has been taking a wide range of measures to encourage and develop international contacts and cooperation in the scientific and cultural fields. The Government has concluded numerous regional and international agreements in the scientific and cultural fields. The Ministry has also established cooperation with aid-providing countries and institutions such as UNESCO. Ethiopia has signed bilateral treaties on cultural cooperation with various countries, including the Republic of Italy, Poland, Spain, China, Kuwait, Malawi. This measure facilitates the exchange of cultural goods and services, which helps to share best experiences and information dissemination and enhances better understanding between the peoples of Ethiopia and other countries</w:t>
      </w:r>
      <w:r w:rsidRPr="00460EC6">
        <w:rPr>
          <w:rFonts w:ascii="Times New Roman" w:eastAsia="Calibri" w:hAnsi="Times New Roman" w:cs="Times New Roman"/>
          <w:color w:val="000000" w:themeColor="text1"/>
          <w:kern w:val="0"/>
          <w:sz w:val="24"/>
          <w:szCs w:val="24"/>
          <w:lang w:val="en-US"/>
          <w14:ligatures w14:val="none"/>
        </w:rPr>
        <w:t>.</w:t>
      </w:r>
    </w:p>
    <w:p w14:paraId="6FF8DECB" w14:textId="77777777" w:rsidR="00177E63"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eastAsia="Calibri" w:hAnsi="Times New Roman" w:cs="Times New Roman"/>
          <w:color w:val="000000" w:themeColor="text1"/>
          <w:kern w:val="0"/>
          <w:sz w:val="24"/>
          <w:szCs w:val="24"/>
          <w:lang w:val="en-US"/>
          <w14:ligatures w14:val="none"/>
        </w:rPr>
        <w:t xml:space="preserve">The Nile Basin countries' cultural cooperation initiative was launched in 2013. The project aims to deepen the common understanding and strengthen the relationship between the Nile basin countries, by demonstrating the creativity of their artists and the traditions of their people; to highlight a common heritage between the basin countries. The objective of the cooperation is to </w:t>
      </w:r>
      <w:r w:rsidR="00A46ACC" w:rsidRPr="00460EC6">
        <w:rPr>
          <w:rFonts w:ascii="Times New Roman" w:eastAsia="Calibri" w:hAnsi="Times New Roman" w:cs="Times New Roman"/>
          <w:color w:val="000000" w:themeColor="text1"/>
          <w:kern w:val="0"/>
          <w:sz w:val="24"/>
          <w:szCs w:val="24"/>
          <w:shd w:val="clear" w:color="auto" w:fill="FFFFFF"/>
          <w:lang w:val="en-US"/>
          <w14:ligatures w14:val="none"/>
        </w:rPr>
        <w:t xml:space="preserve">strengthen mutual ties among countries through cultural cooperation -enhancing the people-to-people knowledge, understanding and relations through cultural exchange, advancing common cultural heritages among nations, the </w:t>
      </w:r>
      <w:r w:rsidR="00A46ACC" w:rsidRPr="00460EC6">
        <w:rPr>
          <w:rFonts w:ascii="Times New Roman" w:eastAsia="Calibri" w:hAnsi="Times New Roman" w:cs="Times New Roman"/>
          <w:color w:val="000000" w:themeColor="text1"/>
          <w:kern w:val="0"/>
          <w:sz w:val="24"/>
          <w:szCs w:val="24"/>
          <w:shd w:val="clear" w:color="auto" w:fill="FFFFFF"/>
          <w:lang w:val="en-US"/>
          <w14:ligatures w14:val="none"/>
        </w:rPr>
        <w:lastRenderedPageBreak/>
        <w:t>triggering research, literary and art works of scholars and artists among the basin countries.</w:t>
      </w:r>
      <w:r w:rsidR="00A46ACC" w:rsidRPr="00460EC6">
        <w:rPr>
          <w:rFonts w:ascii="Times New Roman" w:eastAsia="Calibri" w:hAnsi="Times New Roman" w:cs="Times New Roman"/>
          <w:color w:val="000000" w:themeColor="text1"/>
          <w:kern w:val="0"/>
          <w:sz w:val="24"/>
          <w:szCs w:val="24"/>
          <w:lang w:val="en-US"/>
          <w14:ligatures w14:val="none"/>
        </w:rPr>
        <w:t xml:space="preserve"> It has also aimed to strengthen the relationship between basin countries through the promotion of cultural exchange. </w:t>
      </w:r>
    </w:p>
    <w:p w14:paraId="39880DD4" w14:textId="3D5D78E3" w:rsidR="00A46ACC" w:rsidRPr="00460EC6" w:rsidRDefault="00177E63" w:rsidP="00C32E5E">
      <w:pPr>
        <w:pStyle w:val="ListParagraph"/>
        <w:numPr>
          <w:ilvl w:val="0"/>
          <w:numId w:val="3"/>
        </w:numPr>
        <w:tabs>
          <w:tab w:val="left" w:pos="900"/>
          <w:tab w:val="left" w:pos="9360"/>
        </w:tabs>
        <w:spacing w:before="240" w:line="360" w:lineRule="auto"/>
        <w:jc w:val="both"/>
        <w:rPr>
          <w:rFonts w:ascii="Times New Roman" w:eastAsia="Calibri" w:hAnsi="Times New Roman" w:cs="Times New Roman"/>
          <w:color w:val="000000" w:themeColor="text1"/>
          <w:sz w:val="24"/>
          <w:szCs w:val="24"/>
        </w:rPr>
      </w:pPr>
      <w:r w:rsidRPr="00460EC6">
        <w:rPr>
          <w:rFonts w:ascii="Times New Roman" w:eastAsia="Calibri" w:hAnsi="Times New Roman" w:cs="Times New Roman"/>
          <w:color w:val="000000" w:themeColor="text1"/>
          <w:kern w:val="0"/>
          <w:sz w:val="24"/>
          <w:szCs w:val="24"/>
          <w:lang w:val="en-US"/>
          <w14:ligatures w14:val="none"/>
        </w:rPr>
        <w:t xml:space="preserve"> </w:t>
      </w:r>
      <w:r w:rsidR="00A46ACC" w:rsidRPr="00460EC6">
        <w:rPr>
          <w:rFonts w:ascii="Times New Roman" w:eastAsia="Calibri" w:hAnsi="Times New Roman" w:cs="Times New Roman"/>
          <w:color w:val="000000" w:themeColor="text1"/>
          <w:sz w:val="24"/>
          <w:szCs w:val="24"/>
          <w:lang w:val="en-US"/>
        </w:rPr>
        <w:t xml:space="preserve">In 2019, the Ethiopian government took significant step towards enhancing linguistic diversity within its federal structure by adopting the National Language Policy through the Council of Ministers. This policy resulted in the official recognition of four additional languages </w:t>
      </w:r>
      <w:r w:rsidR="002A474C" w:rsidRPr="00460EC6">
        <w:rPr>
          <w:rFonts w:ascii="Times New Roman" w:eastAsia="Calibri" w:hAnsi="Times New Roman" w:cs="Times New Roman"/>
          <w:color w:val="000000" w:themeColor="text1"/>
          <w:sz w:val="24"/>
          <w:szCs w:val="24"/>
          <w:lang w:val="en-US"/>
        </w:rPr>
        <w:t>Afan Oromo</w:t>
      </w:r>
      <w:r w:rsidR="00A46ACC" w:rsidRPr="00460EC6">
        <w:rPr>
          <w:rFonts w:ascii="Times New Roman" w:eastAsia="Calibri" w:hAnsi="Times New Roman" w:cs="Times New Roman"/>
          <w:color w:val="000000" w:themeColor="text1"/>
          <w:sz w:val="24"/>
          <w:szCs w:val="24"/>
          <w:lang w:val="en-US"/>
        </w:rPr>
        <w:t xml:space="preserve">, Tigrigna, Somali, and </w:t>
      </w:r>
      <w:proofErr w:type="spellStart"/>
      <w:r w:rsidR="00A46ACC" w:rsidRPr="00460EC6">
        <w:rPr>
          <w:rFonts w:ascii="Times New Roman" w:eastAsia="Calibri" w:hAnsi="Times New Roman" w:cs="Times New Roman"/>
          <w:color w:val="000000" w:themeColor="text1"/>
          <w:sz w:val="24"/>
          <w:szCs w:val="24"/>
          <w:lang w:val="en-US"/>
        </w:rPr>
        <w:t>Afarigna</w:t>
      </w:r>
      <w:proofErr w:type="spellEnd"/>
      <w:r w:rsidR="00A46ACC" w:rsidRPr="00460EC6">
        <w:rPr>
          <w:rFonts w:ascii="Times New Roman" w:eastAsia="Calibri" w:hAnsi="Times New Roman" w:cs="Times New Roman"/>
          <w:color w:val="000000" w:themeColor="text1"/>
          <w:sz w:val="24"/>
          <w:szCs w:val="24"/>
          <w:lang w:val="en-US"/>
        </w:rPr>
        <w:t>, as working languages of the federal government, alongside Amharic. This initiative reflects Ethiopia’s constitutional commitment to honoring the nation’s rich linguistic heritage and fostering the linguistic rights of all Ethiopians. The primary objective of the National Language Policy is to promote multilingualism to reinforce national unity and inclusivity, ensuring that various linguistic groups have improved access to government services and functions. By officially incorporating these languages, the government aims to not only enhance communication with citizens but also to promote cultural identity and heritage among the diverse communities that make up the nation. To facilitate the effective implementation of this policy, the responsibilities are delineated for both federal and regional governments. Educational institutions are encouraged to integrate these languages into their curricula, thereby promoting mother-tongue education. This approach is intended to enhance educational outcomes and enable citizens to access public services more effectively in their native tongues.</w:t>
      </w:r>
    </w:p>
    <w:p w14:paraId="33875010" w14:textId="77777777" w:rsidR="00A46ACC" w:rsidRPr="00460EC6" w:rsidRDefault="00A46ACC" w:rsidP="00526D16">
      <w:pPr>
        <w:spacing w:after="160" w:line="360" w:lineRule="auto"/>
        <w:ind w:left="720"/>
        <w:contextualSpacing/>
        <w:jc w:val="both"/>
        <w:rPr>
          <w:rFonts w:ascii="Times New Roman" w:eastAsia="Calibri" w:hAnsi="Times New Roman" w:cs="Times New Roman"/>
          <w:color w:val="000000" w:themeColor="text1"/>
          <w:sz w:val="24"/>
          <w:szCs w:val="24"/>
          <w:lang w:val="en-US"/>
        </w:rPr>
      </w:pPr>
    </w:p>
    <w:p w14:paraId="69174BAE" w14:textId="77777777" w:rsidR="00A46ACC" w:rsidRPr="00460EC6" w:rsidRDefault="00A46ACC" w:rsidP="00526D16">
      <w:pPr>
        <w:spacing w:after="160" w:line="360" w:lineRule="auto"/>
        <w:ind w:left="720"/>
        <w:contextualSpacing/>
        <w:jc w:val="both"/>
        <w:rPr>
          <w:rFonts w:ascii="Times New Roman" w:eastAsia="Calibri" w:hAnsi="Times New Roman" w:cs="Times New Roman"/>
          <w:color w:val="000000" w:themeColor="text1"/>
          <w:sz w:val="24"/>
          <w:szCs w:val="24"/>
          <w:lang w:val="en-US"/>
        </w:rPr>
      </w:pPr>
    </w:p>
    <w:p w14:paraId="3DBF3232" w14:textId="77777777" w:rsidR="00A46ACC" w:rsidRPr="00460EC6" w:rsidRDefault="00A46ACC" w:rsidP="00526D16">
      <w:pPr>
        <w:spacing w:line="360" w:lineRule="auto"/>
        <w:rPr>
          <w:rFonts w:ascii="Times New Roman" w:eastAsia="Calibri" w:hAnsi="Times New Roman" w:cs="Times New Roman"/>
          <w:color w:val="000000" w:themeColor="text1"/>
          <w:sz w:val="24"/>
          <w:szCs w:val="24"/>
          <w:lang w:val="en-US"/>
        </w:rPr>
      </w:pPr>
    </w:p>
    <w:p w14:paraId="6AF575CA" w14:textId="77777777" w:rsidR="00A46ACC" w:rsidRPr="00460EC6" w:rsidRDefault="00A46ACC" w:rsidP="00526D16">
      <w:pPr>
        <w:spacing w:line="360" w:lineRule="auto"/>
        <w:rPr>
          <w:rFonts w:ascii="Times New Roman" w:hAnsi="Times New Roman" w:cs="Times New Roman"/>
          <w:color w:val="000000" w:themeColor="text1"/>
          <w:sz w:val="24"/>
          <w:szCs w:val="24"/>
        </w:rPr>
      </w:pPr>
    </w:p>
    <w:p w14:paraId="65B4A71D" w14:textId="77777777" w:rsidR="006E2E5B" w:rsidRPr="00460EC6" w:rsidRDefault="006E2E5B" w:rsidP="00526D16">
      <w:pPr>
        <w:tabs>
          <w:tab w:val="left" w:pos="540"/>
          <w:tab w:val="left" w:pos="630"/>
          <w:tab w:val="left" w:pos="990"/>
        </w:tabs>
        <w:spacing w:after="0" w:line="360" w:lineRule="auto"/>
        <w:jc w:val="both"/>
        <w:rPr>
          <w:rFonts w:ascii="Times New Roman" w:hAnsi="Times New Roman" w:cs="Times New Roman"/>
          <w:color w:val="000000" w:themeColor="text1"/>
          <w:sz w:val="24"/>
          <w:szCs w:val="24"/>
        </w:rPr>
      </w:pPr>
    </w:p>
    <w:sectPr w:rsidR="006E2E5B" w:rsidRPr="00460EC6" w:rsidSect="000B1516">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A6F5A" w14:textId="77777777" w:rsidR="003B6720" w:rsidRDefault="003B6720" w:rsidP="0014314F">
      <w:pPr>
        <w:spacing w:after="0" w:line="240" w:lineRule="auto"/>
      </w:pPr>
      <w:r>
        <w:separator/>
      </w:r>
    </w:p>
  </w:endnote>
  <w:endnote w:type="continuationSeparator" w:id="0">
    <w:p w14:paraId="718C9F7A" w14:textId="77777777" w:rsidR="003B6720" w:rsidRDefault="003B6720" w:rsidP="00143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407194"/>
      <w:docPartObj>
        <w:docPartGallery w:val="Page Numbers (Bottom of Page)"/>
        <w:docPartUnique/>
      </w:docPartObj>
    </w:sdtPr>
    <w:sdtEndPr>
      <w:rPr>
        <w:color w:val="7F7F7F" w:themeColor="background1" w:themeShade="7F"/>
        <w:spacing w:val="60"/>
      </w:rPr>
    </w:sdtEndPr>
    <w:sdtContent>
      <w:p w14:paraId="0C5D070D" w14:textId="393FD2ED" w:rsidR="000B1516" w:rsidRDefault="000B151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F6E655" w14:textId="77777777" w:rsidR="00A70474" w:rsidRDefault="00A70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0946F" w14:textId="77777777" w:rsidR="003B6720" w:rsidRDefault="003B6720" w:rsidP="0014314F">
      <w:pPr>
        <w:spacing w:after="0" w:line="240" w:lineRule="auto"/>
      </w:pPr>
      <w:r>
        <w:separator/>
      </w:r>
    </w:p>
  </w:footnote>
  <w:footnote w:type="continuationSeparator" w:id="0">
    <w:p w14:paraId="7AC859C4" w14:textId="77777777" w:rsidR="003B6720" w:rsidRDefault="003B6720" w:rsidP="00143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188A926"/>
    <w:lvl w:ilvl="0">
      <w:start w:val="1"/>
      <w:numFmt w:val="decimal"/>
      <w:pStyle w:val="ListBullet"/>
      <w:lvlText w:val="%1."/>
      <w:lvlJc w:val="left"/>
      <w:pPr>
        <w:tabs>
          <w:tab w:val="num" w:pos="360"/>
        </w:tabs>
        <w:ind w:left="360" w:hanging="360"/>
      </w:pPr>
      <w:rPr>
        <w:rFonts w:asciiTheme="minorHAnsi" w:eastAsiaTheme="minorHAnsi" w:hAnsiTheme="minorHAnsi" w:cstheme="minorBidi"/>
      </w:rPr>
    </w:lvl>
  </w:abstractNum>
  <w:abstractNum w:abstractNumId="1" w15:restartNumberingAfterBreak="0">
    <w:nsid w:val="11924D78"/>
    <w:multiLevelType w:val="hybridMultilevel"/>
    <w:tmpl w:val="64045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1D5AEE"/>
    <w:multiLevelType w:val="hybridMultilevel"/>
    <w:tmpl w:val="E4FA1204"/>
    <w:lvl w:ilvl="0" w:tplc="9B94E5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B4BC8"/>
    <w:multiLevelType w:val="hybridMultilevel"/>
    <w:tmpl w:val="011C1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CB168C"/>
    <w:multiLevelType w:val="hybridMultilevel"/>
    <w:tmpl w:val="F1B40BC4"/>
    <w:lvl w:ilvl="0" w:tplc="929A97BE">
      <w:start w:val="117"/>
      <w:numFmt w:val="decimal"/>
      <w:lvlText w:val="%1."/>
      <w:lvlJc w:val="left"/>
      <w:pPr>
        <w:ind w:left="410" w:hanging="41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07E7E00"/>
    <w:multiLevelType w:val="hybridMultilevel"/>
    <w:tmpl w:val="97EA655C"/>
    <w:lvl w:ilvl="0" w:tplc="A68CB9E8">
      <w:start w:val="165"/>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F5010"/>
    <w:multiLevelType w:val="hybridMultilevel"/>
    <w:tmpl w:val="3B127DE0"/>
    <w:lvl w:ilvl="0" w:tplc="564C36E8">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AD640F"/>
    <w:multiLevelType w:val="hybridMultilevel"/>
    <w:tmpl w:val="624A3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9388B"/>
    <w:multiLevelType w:val="hybridMultilevel"/>
    <w:tmpl w:val="577E0494"/>
    <w:lvl w:ilvl="0" w:tplc="56A6AF9A">
      <w:start w:val="170"/>
      <w:numFmt w:val="decimal"/>
      <w:lvlText w:val="%1."/>
      <w:lvlJc w:val="left"/>
      <w:pPr>
        <w:ind w:left="42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FD5D09"/>
    <w:multiLevelType w:val="hybridMultilevel"/>
    <w:tmpl w:val="319801BA"/>
    <w:lvl w:ilvl="0" w:tplc="92486B86">
      <w:start w:val="118"/>
      <w:numFmt w:val="decimal"/>
      <w:lvlText w:val="%1."/>
      <w:lvlJc w:val="left"/>
      <w:pPr>
        <w:ind w:left="410" w:hanging="410"/>
      </w:pPr>
      <w:rPr>
        <w:lang w:val="en-G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27"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06274466">
    <w:abstractNumId w:val="9"/>
    <w:lvlOverride w:ilvl="0">
      <w:startOverride w:val="1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7506822">
    <w:abstractNumId w:val="4"/>
  </w:num>
  <w:num w:numId="3" w16cid:durableId="2038964350">
    <w:abstractNumId w:val="6"/>
  </w:num>
  <w:num w:numId="4" w16cid:durableId="1479150410">
    <w:abstractNumId w:val="7"/>
  </w:num>
  <w:num w:numId="5" w16cid:durableId="949360132">
    <w:abstractNumId w:val="0"/>
  </w:num>
  <w:num w:numId="6" w16cid:durableId="1755857472">
    <w:abstractNumId w:val="3"/>
  </w:num>
  <w:num w:numId="7" w16cid:durableId="1374386833">
    <w:abstractNumId w:val="2"/>
  </w:num>
  <w:num w:numId="8" w16cid:durableId="61103834">
    <w:abstractNumId w:val="8"/>
  </w:num>
  <w:num w:numId="9" w16cid:durableId="2043817758">
    <w:abstractNumId w:val="1"/>
  </w:num>
  <w:num w:numId="10" w16cid:durableId="784482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A4F"/>
    <w:rsid w:val="00070D70"/>
    <w:rsid w:val="000B1516"/>
    <w:rsid w:val="000D277A"/>
    <w:rsid w:val="000F542A"/>
    <w:rsid w:val="000F638D"/>
    <w:rsid w:val="000F6CEB"/>
    <w:rsid w:val="00102A76"/>
    <w:rsid w:val="0014314F"/>
    <w:rsid w:val="00155C14"/>
    <w:rsid w:val="00177E63"/>
    <w:rsid w:val="001A59F7"/>
    <w:rsid w:val="001C021F"/>
    <w:rsid w:val="001E7B97"/>
    <w:rsid w:val="0020413C"/>
    <w:rsid w:val="0022405C"/>
    <w:rsid w:val="0024341E"/>
    <w:rsid w:val="00245510"/>
    <w:rsid w:val="00254C9D"/>
    <w:rsid w:val="00262511"/>
    <w:rsid w:val="002815FB"/>
    <w:rsid w:val="00283110"/>
    <w:rsid w:val="00292106"/>
    <w:rsid w:val="00293037"/>
    <w:rsid w:val="002A2465"/>
    <w:rsid w:val="002A474C"/>
    <w:rsid w:val="002B0876"/>
    <w:rsid w:val="002B36D2"/>
    <w:rsid w:val="002C128B"/>
    <w:rsid w:val="002D0B9B"/>
    <w:rsid w:val="002D1FB7"/>
    <w:rsid w:val="002E0DBB"/>
    <w:rsid w:val="00315B1C"/>
    <w:rsid w:val="00326EBD"/>
    <w:rsid w:val="00353D5F"/>
    <w:rsid w:val="00354EBC"/>
    <w:rsid w:val="0038697B"/>
    <w:rsid w:val="003B3E2C"/>
    <w:rsid w:val="003B6720"/>
    <w:rsid w:val="003C55ED"/>
    <w:rsid w:val="003D1205"/>
    <w:rsid w:val="003D1668"/>
    <w:rsid w:val="00410535"/>
    <w:rsid w:val="00415E87"/>
    <w:rsid w:val="00422867"/>
    <w:rsid w:val="004336CB"/>
    <w:rsid w:val="0043591A"/>
    <w:rsid w:val="00436D3D"/>
    <w:rsid w:val="0045479D"/>
    <w:rsid w:val="00460EC6"/>
    <w:rsid w:val="0047042F"/>
    <w:rsid w:val="004865A3"/>
    <w:rsid w:val="004E4F4B"/>
    <w:rsid w:val="00505CED"/>
    <w:rsid w:val="00513A7F"/>
    <w:rsid w:val="00526D16"/>
    <w:rsid w:val="00536025"/>
    <w:rsid w:val="00543150"/>
    <w:rsid w:val="0055377E"/>
    <w:rsid w:val="00564AF5"/>
    <w:rsid w:val="0059643E"/>
    <w:rsid w:val="005A5982"/>
    <w:rsid w:val="005A6DA6"/>
    <w:rsid w:val="005B40B2"/>
    <w:rsid w:val="005B6293"/>
    <w:rsid w:val="005E2847"/>
    <w:rsid w:val="005E381A"/>
    <w:rsid w:val="005E60DC"/>
    <w:rsid w:val="005F5F61"/>
    <w:rsid w:val="0061078D"/>
    <w:rsid w:val="006245D9"/>
    <w:rsid w:val="00657288"/>
    <w:rsid w:val="006977FB"/>
    <w:rsid w:val="006A1E77"/>
    <w:rsid w:val="006A685D"/>
    <w:rsid w:val="006A6E69"/>
    <w:rsid w:val="006B0EE8"/>
    <w:rsid w:val="006B7B65"/>
    <w:rsid w:val="006C2CB1"/>
    <w:rsid w:val="006D3B4F"/>
    <w:rsid w:val="006E2E5B"/>
    <w:rsid w:val="006E4D5E"/>
    <w:rsid w:val="006F7629"/>
    <w:rsid w:val="00707617"/>
    <w:rsid w:val="00724114"/>
    <w:rsid w:val="0076718D"/>
    <w:rsid w:val="00797F7A"/>
    <w:rsid w:val="007B1B1A"/>
    <w:rsid w:val="007B7154"/>
    <w:rsid w:val="007C5FA9"/>
    <w:rsid w:val="00825F48"/>
    <w:rsid w:val="00835800"/>
    <w:rsid w:val="00853C08"/>
    <w:rsid w:val="00855AE5"/>
    <w:rsid w:val="008667AD"/>
    <w:rsid w:val="00876970"/>
    <w:rsid w:val="00884A4F"/>
    <w:rsid w:val="00890288"/>
    <w:rsid w:val="00895B4C"/>
    <w:rsid w:val="008A4A9B"/>
    <w:rsid w:val="008A4D5B"/>
    <w:rsid w:val="009063A6"/>
    <w:rsid w:val="00922BD9"/>
    <w:rsid w:val="0092461D"/>
    <w:rsid w:val="00925CDA"/>
    <w:rsid w:val="00934B8C"/>
    <w:rsid w:val="00935EB0"/>
    <w:rsid w:val="00936DF1"/>
    <w:rsid w:val="00945DA5"/>
    <w:rsid w:val="009B0B26"/>
    <w:rsid w:val="009B3630"/>
    <w:rsid w:val="009B594A"/>
    <w:rsid w:val="009C3A06"/>
    <w:rsid w:val="009D0E6D"/>
    <w:rsid w:val="00A12F8D"/>
    <w:rsid w:val="00A354ED"/>
    <w:rsid w:val="00A36987"/>
    <w:rsid w:val="00A46ACC"/>
    <w:rsid w:val="00A66300"/>
    <w:rsid w:val="00A70474"/>
    <w:rsid w:val="00A716D7"/>
    <w:rsid w:val="00AA002D"/>
    <w:rsid w:val="00AA780D"/>
    <w:rsid w:val="00AC672E"/>
    <w:rsid w:val="00AC7DD2"/>
    <w:rsid w:val="00AD54B9"/>
    <w:rsid w:val="00AF051D"/>
    <w:rsid w:val="00B00E32"/>
    <w:rsid w:val="00B10CB0"/>
    <w:rsid w:val="00B40103"/>
    <w:rsid w:val="00B426F1"/>
    <w:rsid w:val="00B51839"/>
    <w:rsid w:val="00B601C4"/>
    <w:rsid w:val="00B76B4B"/>
    <w:rsid w:val="00B82D49"/>
    <w:rsid w:val="00BB6C14"/>
    <w:rsid w:val="00BB6E11"/>
    <w:rsid w:val="00BC5F90"/>
    <w:rsid w:val="00BE47DD"/>
    <w:rsid w:val="00BE5A8D"/>
    <w:rsid w:val="00BF660E"/>
    <w:rsid w:val="00C077C7"/>
    <w:rsid w:val="00C10E35"/>
    <w:rsid w:val="00C13242"/>
    <w:rsid w:val="00C13283"/>
    <w:rsid w:val="00C2075A"/>
    <w:rsid w:val="00C32E5E"/>
    <w:rsid w:val="00C36811"/>
    <w:rsid w:val="00C368C2"/>
    <w:rsid w:val="00C7298E"/>
    <w:rsid w:val="00C750C4"/>
    <w:rsid w:val="00C87F70"/>
    <w:rsid w:val="00C97095"/>
    <w:rsid w:val="00CB0FED"/>
    <w:rsid w:val="00CE3260"/>
    <w:rsid w:val="00D13ADF"/>
    <w:rsid w:val="00D721CC"/>
    <w:rsid w:val="00D94933"/>
    <w:rsid w:val="00D95D61"/>
    <w:rsid w:val="00DC1094"/>
    <w:rsid w:val="00DD2ED8"/>
    <w:rsid w:val="00DE1049"/>
    <w:rsid w:val="00DE4F1C"/>
    <w:rsid w:val="00E145C3"/>
    <w:rsid w:val="00E26A4E"/>
    <w:rsid w:val="00E407D9"/>
    <w:rsid w:val="00E603DE"/>
    <w:rsid w:val="00E61AF7"/>
    <w:rsid w:val="00E677A0"/>
    <w:rsid w:val="00E72988"/>
    <w:rsid w:val="00EB017D"/>
    <w:rsid w:val="00ED1FB2"/>
    <w:rsid w:val="00EE7E1A"/>
    <w:rsid w:val="00F24BB7"/>
    <w:rsid w:val="00FA5EDF"/>
    <w:rsid w:val="00FC2276"/>
    <w:rsid w:val="00FC4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5226B"/>
  <w15:docId w15:val="{D2C89FA4-2BF0-4608-A3C7-5414DCBEE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A4F"/>
    <w:rPr>
      <w:kern w:val="2"/>
      <w:lang w:val="en-GB"/>
      <w14:ligatures w14:val="standardContextual"/>
    </w:rPr>
  </w:style>
  <w:style w:type="paragraph" w:styleId="Heading1">
    <w:name w:val="heading 1"/>
    <w:basedOn w:val="Normal"/>
    <w:next w:val="Normal"/>
    <w:link w:val="Heading1Char"/>
    <w:uiPriority w:val="9"/>
    <w:qFormat/>
    <w:rsid w:val="0089028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028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Bullets,Ha"/>
    <w:basedOn w:val="Normal"/>
    <w:link w:val="ListParagraphChar"/>
    <w:uiPriority w:val="34"/>
    <w:qFormat/>
    <w:rsid w:val="00884A4F"/>
    <w:pPr>
      <w:ind w:left="720"/>
      <w:contextualSpacing/>
    </w:pPr>
  </w:style>
  <w:style w:type="paragraph" w:styleId="CommentText">
    <w:name w:val="annotation text"/>
    <w:basedOn w:val="Normal"/>
    <w:link w:val="CommentTextChar"/>
    <w:uiPriority w:val="99"/>
    <w:unhideWhenUsed/>
    <w:rsid w:val="00884A4F"/>
    <w:pPr>
      <w:spacing w:line="240" w:lineRule="auto"/>
    </w:pPr>
    <w:rPr>
      <w:sz w:val="20"/>
      <w:szCs w:val="20"/>
    </w:rPr>
  </w:style>
  <w:style w:type="character" w:customStyle="1" w:styleId="CommentTextChar">
    <w:name w:val="Comment Text Char"/>
    <w:basedOn w:val="DefaultParagraphFont"/>
    <w:link w:val="CommentText"/>
    <w:uiPriority w:val="99"/>
    <w:rsid w:val="00884A4F"/>
    <w:rPr>
      <w:kern w:val="2"/>
      <w:sz w:val="20"/>
      <w:szCs w:val="20"/>
      <w:lang w:val="en-GB"/>
      <w14:ligatures w14:val="standardContextual"/>
    </w:rPr>
  </w:style>
  <w:style w:type="character" w:styleId="CommentReference">
    <w:name w:val="annotation reference"/>
    <w:basedOn w:val="DefaultParagraphFont"/>
    <w:uiPriority w:val="99"/>
    <w:semiHidden/>
    <w:unhideWhenUsed/>
    <w:rsid w:val="00884A4F"/>
    <w:rPr>
      <w:sz w:val="16"/>
      <w:szCs w:val="16"/>
    </w:r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link w:val="ListParagraph"/>
    <w:uiPriority w:val="34"/>
    <w:qFormat/>
    <w:locked/>
    <w:rsid w:val="00884A4F"/>
    <w:rPr>
      <w:kern w:val="2"/>
      <w:lang w:val="en-GB"/>
      <w14:ligatures w14:val="standardContextual"/>
    </w:rPr>
  </w:style>
  <w:style w:type="paragraph" w:styleId="NormalWeb">
    <w:name w:val="Normal (Web)"/>
    <w:basedOn w:val="Normal"/>
    <w:uiPriority w:val="99"/>
    <w:unhideWhenUsed/>
    <w:rsid w:val="00884A4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884A4F"/>
    <w:rPr>
      <w:b/>
      <w:bCs/>
    </w:rPr>
  </w:style>
  <w:style w:type="character" w:styleId="Hyperlink">
    <w:name w:val="Hyperlink"/>
    <w:basedOn w:val="DefaultParagraphFont"/>
    <w:uiPriority w:val="99"/>
    <w:unhideWhenUsed/>
    <w:rsid w:val="00884A4F"/>
    <w:rPr>
      <w:color w:val="0000FF" w:themeColor="hyperlink"/>
      <w:u w:val="single"/>
    </w:rPr>
  </w:style>
  <w:style w:type="paragraph" w:styleId="BalloonText">
    <w:name w:val="Balloon Text"/>
    <w:basedOn w:val="Normal"/>
    <w:link w:val="BalloonTextChar"/>
    <w:uiPriority w:val="99"/>
    <w:semiHidden/>
    <w:unhideWhenUsed/>
    <w:rsid w:val="00884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A4F"/>
    <w:rPr>
      <w:rFonts w:ascii="Tahoma" w:hAnsi="Tahoma" w:cs="Tahoma"/>
      <w:kern w:val="2"/>
      <w:sz w:val="16"/>
      <w:szCs w:val="16"/>
      <w:lang w:val="en-GB"/>
      <w14:ligatures w14:val="standardContextual"/>
    </w:rPr>
  </w:style>
  <w:style w:type="paragraph" w:styleId="FootnoteText">
    <w:name w:val="footnote text"/>
    <w:basedOn w:val="Normal"/>
    <w:link w:val="FootnoteTextChar"/>
    <w:uiPriority w:val="99"/>
    <w:semiHidden/>
    <w:unhideWhenUsed/>
    <w:rsid w:val="001431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314F"/>
    <w:rPr>
      <w:kern w:val="2"/>
      <w:sz w:val="20"/>
      <w:szCs w:val="20"/>
      <w:lang w:val="en-GB"/>
      <w14:ligatures w14:val="standardContextual"/>
    </w:rPr>
  </w:style>
  <w:style w:type="character" w:styleId="FootnoteReference">
    <w:name w:val="footnote reference"/>
    <w:basedOn w:val="DefaultParagraphFont"/>
    <w:uiPriority w:val="99"/>
    <w:semiHidden/>
    <w:unhideWhenUsed/>
    <w:rsid w:val="0014314F"/>
    <w:rPr>
      <w:vertAlign w:val="superscript"/>
    </w:rPr>
  </w:style>
  <w:style w:type="paragraph" w:styleId="Header">
    <w:name w:val="header"/>
    <w:basedOn w:val="Normal"/>
    <w:link w:val="HeaderChar"/>
    <w:uiPriority w:val="99"/>
    <w:unhideWhenUsed/>
    <w:rsid w:val="006C2C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CB1"/>
    <w:rPr>
      <w:kern w:val="2"/>
      <w:lang w:val="en-GB"/>
      <w14:ligatures w14:val="standardContextual"/>
    </w:rPr>
  </w:style>
  <w:style w:type="paragraph" w:styleId="Footer">
    <w:name w:val="footer"/>
    <w:basedOn w:val="Normal"/>
    <w:link w:val="FooterChar"/>
    <w:uiPriority w:val="99"/>
    <w:unhideWhenUsed/>
    <w:rsid w:val="006C2C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CB1"/>
    <w:rPr>
      <w:kern w:val="2"/>
      <w:lang w:val="en-GB"/>
      <w14:ligatures w14:val="standardContextual"/>
    </w:rPr>
  </w:style>
  <w:style w:type="character" w:customStyle="1" w:styleId="Heading1Char">
    <w:name w:val="Heading 1 Char"/>
    <w:basedOn w:val="DefaultParagraphFont"/>
    <w:link w:val="Heading1"/>
    <w:uiPriority w:val="9"/>
    <w:rsid w:val="00890288"/>
    <w:rPr>
      <w:rFonts w:asciiTheme="majorHAnsi" w:eastAsiaTheme="majorEastAsia" w:hAnsiTheme="majorHAnsi" w:cstheme="majorBidi"/>
      <w:color w:val="365F91" w:themeColor="accent1" w:themeShade="BF"/>
      <w:kern w:val="2"/>
      <w:sz w:val="40"/>
      <w:szCs w:val="40"/>
      <w:lang w:val="en-GB"/>
      <w14:ligatures w14:val="standardContextual"/>
    </w:rPr>
  </w:style>
  <w:style w:type="character" w:customStyle="1" w:styleId="Heading2Char">
    <w:name w:val="Heading 2 Char"/>
    <w:basedOn w:val="DefaultParagraphFont"/>
    <w:link w:val="Heading2"/>
    <w:uiPriority w:val="9"/>
    <w:semiHidden/>
    <w:rsid w:val="00890288"/>
    <w:rPr>
      <w:rFonts w:asciiTheme="majorHAnsi" w:eastAsiaTheme="majorEastAsia" w:hAnsiTheme="majorHAnsi" w:cstheme="majorBidi"/>
      <w:color w:val="365F91" w:themeColor="accent1" w:themeShade="BF"/>
      <w:kern w:val="2"/>
      <w:sz w:val="32"/>
      <w:szCs w:val="32"/>
      <w:lang w:val="en-GB"/>
      <w14:ligatures w14:val="standardContextual"/>
    </w:rPr>
  </w:style>
  <w:style w:type="paragraph" w:styleId="ListBullet">
    <w:name w:val="List Bullet"/>
    <w:basedOn w:val="Normal"/>
    <w:uiPriority w:val="99"/>
    <w:unhideWhenUsed/>
    <w:rsid w:val="00890288"/>
    <w:pPr>
      <w:numPr>
        <w:numId w:val="5"/>
      </w:numPr>
      <w:contextualSpacing/>
    </w:pPr>
    <w:rPr>
      <w:kern w:val="0"/>
      <w:lang w:val="en-US"/>
      <w14:ligatures w14:val="none"/>
    </w:rPr>
  </w:style>
  <w:style w:type="character" w:customStyle="1" w:styleId="cf01">
    <w:name w:val="cf01"/>
    <w:basedOn w:val="DefaultParagraphFont"/>
    <w:rsid w:val="00890288"/>
    <w:rPr>
      <w:rFonts w:ascii="Segoe UI" w:hAnsi="Segoe UI" w:cs="Segoe UI" w:hint="default"/>
      <w:sz w:val="18"/>
      <w:szCs w:val="18"/>
    </w:rPr>
  </w:style>
  <w:style w:type="paragraph" w:customStyle="1" w:styleId="HChG">
    <w:name w:val="_ H _Ch_G"/>
    <w:basedOn w:val="Normal"/>
    <w:next w:val="Normal"/>
    <w:rsid w:val="0045479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14:ligatures w14:val="none"/>
    </w:rPr>
  </w:style>
  <w:style w:type="paragraph" w:customStyle="1" w:styleId="SingleTxtG">
    <w:name w:val="_ Single Txt_G"/>
    <w:basedOn w:val="Normal"/>
    <w:link w:val="SingleTxtGChar"/>
    <w:rsid w:val="0045479D"/>
    <w:pPr>
      <w:suppressAutoHyphens/>
      <w:spacing w:after="120" w:line="240" w:lineRule="atLeast"/>
      <w:ind w:left="1134" w:right="1134"/>
      <w:jc w:val="both"/>
    </w:pPr>
    <w:rPr>
      <w:rFonts w:ascii="Times New Roman" w:eastAsia="Times New Roman" w:hAnsi="Times New Roman" w:cs="Times New Roman"/>
      <w:kern w:val="0"/>
      <w:sz w:val="20"/>
      <w:szCs w:val="20"/>
      <w14:ligatures w14:val="none"/>
    </w:rPr>
  </w:style>
  <w:style w:type="character" w:customStyle="1" w:styleId="SingleTxtGChar">
    <w:name w:val="_ Single Txt_G Char"/>
    <w:link w:val="SingleTxtG"/>
    <w:rsid w:val="0045479D"/>
    <w:rPr>
      <w:rFonts w:ascii="Times New Roman" w:eastAsia="Times New Roman" w:hAnsi="Times New Roman" w:cs="Times New Roman"/>
      <w:sz w:val="20"/>
      <w:szCs w:val="20"/>
      <w:lang w:val="en-GB"/>
    </w:rPr>
  </w:style>
  <w:style w:type="character" w:styleId="Emphasis">
    <w:name w:val="Emphasis"/>
    <w:basedOn w:val="DefaultParagraphFont"/>
    <w:uiPriority w:val="20"/>
    <w:qFormat/>
    <w:rsid w:val="00A46ACC"/>
    <w:rPr>
      <w:i/>
      <w:iCs/>
    </w:rPr>
  </w:style>
  <w:style w:type="paragraph" w:customStyle="1" w:styleId="HMG">
    <w:name w:val="_ H __M_G"/>
    <w:basedOn w:val="Normal"/>
    <w:next w:val="Normal"/>
    <w:rsid w:val="009B363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2025-08-27T13:37:20+00:00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7AC7911-5B39-4220-BAD4-5174CB46ADD9}">
  <ds:schemaRefs>
    <ds:schemaRef ds:uri="http://schemas.openxmlformats.org/officeDocument/2006/bibliography"/>
  </ds:schemaRefs>
</ds:datastoreItem>
</file>

<file path=customXml/itemProps2.xml><?xml version="1.0" encoding="utf-8"?>
<ds:datastoreItem xmlns:ds="http://schemas.openxmlformats.org/officeDocument/2006/customXml" ds:itemID="{298BC0F5-F56E-493E-96ED-16845F936008}"/>
</file>

<file path=customXml/itemProps3.xml><?xml version="1.0" encoding="utf-8"?>
<ds:datastoreItem xmlns:ds="http://schemas.openxmlformats.org/officeDocument/2006/customXml" ds:itemID="{80A9BCFD-31FD-49B3-B571-E37D6A290271}"/>
</file>

<file path=customXml/itemProps4.xml><?xml version="1.0" encoding="utf-8"?>
<ds:datastoreItem xmlns:ds="http://schemas.openxmlformats.org/officeDocument/2006/customXml" ds:itemID="{18F03220-B99A-47DD-9979-6C61D349B848}"/>
</file>

<file path=docProps/app.xml><?xml version="1.0" encoding="utf-8"?>
<Properties xmlns="http://schemas.openxmlformats.org/officeDocument/2006/extended-properties" xmlns:vt="http://schemas.openxmlformats.org/officeDocument/2006/docPropsVTypes">
  <Template>Normal.dotm</Template>
  <TotalTime>0</TotalTime>
  <Pages>66</Pages>
  <Words>23471</Words>
  <Characters>129091</Characters>
  <Application>Microsoft Office Word</Application>
  <DocSecurity>0</DocSecurity>
  <Lines>1075</Lines>
  <Paragraphs>304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Mekdelawit Alemayehu</dc:creator>
  <cp:lastModifiedBy>Mission d'Ethiopie</cp:lastModifiedBy>
  <cp:revision>2</cp:revision>
  <dcterms:created xsi:type="dcterms:W3CDTF">2025-08-27T09:56:00Z</dcterms:created>
  <dcterms:modified xsi:type="dcterms:W3CDTF">2025-08-27T09:56:00Z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fac7e860-407c-461d-8674-da2015a069a8</vt:lpwstr>
  </property>
  <property fmtid="{D5CDD505-2E9C-101B-9397-08002B2CF9AE}" pid="3" name="ContentTypeId">
    <vt:lpwstr>0x0101008BAEE822EC96B34D9E54BA1D59F1A75A</vt:lpwstr>
  </property>
</Properties>
</file>