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19D4C" w14:textId="3702C689" w:rsidR="008313C0" w:rsidRDefault="006F2B96" w:rsidP="006F2B96">
      <w:pPr>
        <w:rPr>
          <w:b/>
          <w:bCs/>
        </w:rPr>
      </w:pPr>
      <w:bookmarkStart w:id="0" w:name="_GoBack"/>
      <w:bookmarkEnd w:id="0"/>
      <w:r w:rsidRPr="008313C0">
        <w:rPr>
          <w:b/>
          <w:bCs/>
        </w:rPr>
        <w:t xml:space="preserve">United Kingdom’s 7th periodic report under </w:t>
      </w:r>
      <w:r w:rsidR="005D592B">
        <w:rPr>
          <w:b/>
          <w:bCs/>
        </w:rPr>
        <w:t xml:space="preserve">the </w:t>
      </w:r>
      <w:r w:rsidRPr="008313C0">
        <w:rPr>
          <w:b/>
          <w:bCs/>
        </w:rPr>
        <w:t>ICESCR</w:t>
      </w:r>
    </w:p>
    <w:p w14:paraId="4AFFC2FF" w14:textId="118451DE" w:rsidR="006F2B96" w:rsidRDefault="00523D18" w:rsidP="00871513">
      <w:pPr>
        <w:spacing w:after="0"/>
        <w:rPr>
          <w:b/>
          <w:bCs/>
        </w:rPr>
      </w:pPr>
      <w:r>
        <w:rPr>
          <w:b/>
          <w:bCs/>
        </w:rPr>
        <w:t>Parallel</w:t>
      </w:r>
      <w:r w:rsidR="006F2B96" w:rsidRPr="008313C0">
        <w:rPr>
          <w:b/>
          <w:bCs/>
        </w:rPr>
        <w:t xml:space="preserve"> report by</w:t>
      </w:r>
      <w:r w:rsidR="00827479">
        <w:rPr>
          <w:b/>
          <w:bCs/>
        </w:rPr>
        <w:t>:</w:t>
      </w:r>
      <w:r w:rsidR="006F2B96" w:rsidRPr="008313C0">
        <w:rPr>
          <w:b/>
          <w:bCs/>
        </w:rPr>
        <w:t xml:space="preserve"> </w:t>
      </w:r>
      <w:r w:rsidR="00AC7C8E">
        <w:rPr>
          <w:b/>
          <w:bCs/>
        </w:rPr>
        <w:t xml:space="preserve">Dr </w:t>
      </w:r>
      <w:r w:rsidR="006F2B96" w:rsidRPr="008313C0">
        <w:rPr>
          <w:b/>
          <w:bCs/>
        </w:rPr>
        <w:t>Ciara Fitzpatrick (Lecturer in Law, Ulster University)</w:t>
      </w:r>
      <w:r w:rsidR="00A218A7">
        <w:rPr>
          <w:b/>
          <w:bCs/>
        </w:rPr>
        <w:t xml:space="preserve">; </w:t>
      </w:r>
      <w:r w:rsidR="00AC7C8E">
        <w:rPr>
          <w:b/>
          <w:bCs/>
        </w:rPr>
        <w:t xml:space="preserve">Prof </w:t>
      </w:r>
      <w:r w:rsidR="006F2B96" w:rsidRPr="008313C0">
        <w:rPr>
          <w:b/>
          <w:bCs/>
        </w:rPr>
        <w:t>Gráinne McKeever (Professor of Law and Social Justice, Ulster University)</w:t>
      </w:r>
      <w:r w:rsidR="00A218A7">
        <w:rPr>
          <w:b/>
          <w:bCs/>
        </w:rPr>
        <w:t xml:space="preserve">; </w:t>
      </w:r>
      <w:r w:rsidR="00AC7C8E">
        <w:rPr>
          <w:b/>
          <w:bCs/>
        </w:rPr>
        <w:t xml:space="preserve">Dr </w:t>
      </w:r>
      <w:r w:rsidR="006F2B96" w:rsidRPr="008313C0">
        <w:rPr>
          <w:b/>
          <w:bCs/>
        </w:rPr>
        <w:t>Jed Meers (Lecturer in Law, York University)</w:t>
      </w:r>
      <w:r w:rsidR="00A218A7">
        <w:rPr>
          <w:b/>
          <w:bCs/>
        </w:rPr>
        <w:t xml:space="preserve">; </w:t>
      </w:r>
      <w:r w:rsidR="00AC7C8E">
        <w:rPr>
          <w:b/>
          <w:bCs/>
        </w:rPr>
        <w:t xml:space="preserve">Dr </w:t>
      </w:r>
      <w:r w:rsidR="006F2B96" w:rsidRPr="008313C0">
        <w:rPr>
          <w:b/>
          <w:bCs/>
        </w:rPr>
        <w:t>Mark Simpson (Senior Lecturer in Law, Ulster University)</w:t>
      </w:r>
    </w:p>
    <w:p w14:paraId="563B11D3" w14:textId="2FCD98AF" w:rsidR="00827479" w:rsidRPr="008313C0" w:rsidRDefault="00827479" w:rsidP="006F2B96">
      <w:pPr>
        <w:rPr>
          <w:b/>
          <w:bCs/>
        </w:rPr>
      </w:pPr>
      <w:r>
        <w:rPr>
          <w:b/>
          <w:bCs/>
        </w:rPr>
        <w:t xml:space="preserve">Correspondence: </w:t>
      </w:r>
      <w:hyperlink r:id="rId8" w:history="1">
        <w:r w:rsidRPr="004C5004">
          <w:rPr>
            <w:rStyle w:val="Hyperlink"/>
            <w:b/>
            <w:bCs/>
          </w:rPr>
          <w:t>m.simpson@ulster.ac.uk</w:t>
        </w:r>
      </w:hyperlink>
      <w:r>
        <w:rPr>
          <w:b/>
          <w:bCs/>
        </w:rPr>
        <w:t xml:space="preserve"> </w:t>
      </w:r>
    </w:p>
    <w:p w14:paraId="6398F792" w14:textId="55E3097D" w:rsidR="006F2B96" w:rsidRDefault="006F2B96" w:rsidP="007E48E7">
      <w:pPr>
        <w:pStyle w:val="Heading1"/>
      </w:pPr>
      <w:r>
        <w:t>About the authors</w:t>
      </w:r>
    </w:p>
    <w:p w14:paraId="01EFDC5A" w14:textId="5B822435" w:rsidR="006F2B96" w:rsidRDefault="006F2B96" w:rsidP="006F2B96">
      <w:r>
        <w:t xml:space="preserve">We are socio-legal researchers whose work largely focuses on the relationship between the law and poverty. The law can protect against or ameliorate negative effects of poverty, but can also produce vulnerability to, exacerbate or entrench poverty. </w:t>
      </w:r>
      <w:r w:rsidR="007E48E7">
        <w:t xml:space="preserve">At the same time, poverty can increase exposure to legal problems or make </w:t>
      </w:r>
      <w:r w:rsidR="00C43B4F">
        <w:t>them</w:t>
      </w:r>
      <w:r w:rsidR="007E48E7">
        <w:t xml:space="preserve"> harder to resolve. Our published output encompasses social security,</w:t>
      </w:r>
      <w:r w:rsidR="002D3D3F">
        <w:t xml:space="preserve"> dignity,</w:t>
      </w:r>
      <w:r w:rsidR="007E48E7">
        <w:t xml:space="preserve"> human rights, citizenship, multi-level governance and access to justice.</w:t>
      </w:r>
      <w:r w:rsidR="003B573E">
        <w:t xml:space="preserve"> </w:t>
      </w:r>
      <w:r w:rsidR="00447A74">
        <w:t xml:space="preserve">McKeever </w:t>
      </w:r>
      <w:r w:rsidR="00147CE1">
        <w:t>co-edits</w:t>
      </w:r>
      <w:r w:rsidR="00447A74">
        <w:t xml:space="preserve"> the Journal of Social Security Law, while Meers and Simpson are members of the editorial board. </w:t>
      </w:r>
      <w:r w:rsidR="00FA00EE">
        <w:t xml:space="preserve">McKeever and Simpson provide independent advice and scrutiny of social security law, policy and practice </w:t>
      </w:r>
      <w:r w:rsidR="00215999">
        <w:t>to government as members, respectively, of the Social Security Advisory Committee and Scottish Commission on Social Security.</w:t>
      </w:r>
      <w:r w:rsidR="00874D2E">
        <w:t xml:space="preserve"> Fitzpatrick is academic adviser to the Cliff Edge Coalition, which </w:t>
      </w:r>
      <w:hyperlink r:id="rId9" w:history="1">
        <w:r w:rsidR="00874D2E" w:rsidRPr="00B56A30">
          <w:rPr>
            <w:rStyle w:val="Hyperlink"/>
          </w:rPr>
          <w:t>campaigns</w:t>
        </w:r>
      </w:hyperlink>
      <w:r w:rsidR="00874D2E">
        <w:t xml:space="preserve"> on social security</w:t>
      </w:r>
      <w:r w:rsidR="00C54BA2">
        <w:t>-</w:t>
      </w:r>
      <w:r w:rsidR="00874D2E">
        <w:t xml:space="preserve">related issues in </w:t>
      </w:r>
      <w:r w:rsidR="001669E3">
        <w:t>Northern Ireland.</w:t>
      </w:r>
      <w:r w:rsidR="0051086A">
        <w:rPr>
          <w:color w:val="00B050"/>
        </w:rPr>
        <w:t xml:space="preserve"> </w:t>
      </w:r>
      <w:r w:rsidR="0051086A" w:rsidRPr="00836A1D">
        <w:t xml:space="preserve">Contributors recently </w:t>
      </w:r>
      <w:r w:rsidR="00351F60" w:rsidRPr="00836A1D">
        <w:t>served on independent reviews of social security in Northern Ireland – the review of discretionary support (McKeever as chair, Fitzpatrick and Simpson) and the review of welfare mitigations (Simpson)</w:t>
      </w:r>
      <w:r w:rsidR="00BF7F9D" w:rsidRPr="00836A1D">
        <w:t>.</w:t>
      </w:r>
      <w:r w:rsidR="001669E3" w:rsidRPr="00836A1D">
        <w:t xml:space="preserve"> </w:t>
      </w:r>
    </w:p>
    <w:p w14:paraId="1F062CF8" w14:textId="79C4AE69" w:rsidR="007E48E7" w:rsidRDefault="007E48E7" w:rsidP="007E48E7">
      <w:pPr>
        <w:pStyle w:val="Heading1"/>
      </w:pPr>
      <w:r>
        <w:t xml:space="preserve">The </w:t>
      </w:r>
      <w:r w:rsidR="00061470">
        <w:t>parallel</w:t>
      </w:r>
      <w:r>
        <w:t xml:space="preserve"> report</w:t>
      </w:r>
    </w:p>
    <w:p w14:paraId="5B87DFE9" w14:textId="0904E9D9" w:rsidR="007E48E7" w:rsidRDefault="007E48E7" w:rsidP="007E48E7">
      <w:r>
        <w:t xml:space="preserve">This report focuses mainly article 9 (the right to social security) and article 11 (the right to an adequate standard of living). Other articles will at times be relevant. </w:t>
      </w:r>
      <w:r w:rsidR="002D3D3F">
        <w:t>We will rebut certain points in the UK’s state party report and offer further observations drawing on our own research on destitution, dignity and discretionary elements of social security. Our submission is arranged into three sections, headed ‘Access to justice’, ‘Destitution’ and ‘Social security’.</w:t>
      </w:r>
      <w:r w:rsidR="0022079D">
        <w:t xml:space="preserve"> </w:t>
      </w:r>
      <w:r w:rsidR="00D97DAF">
        <w:t>V</w:t>
      </w:r>
      <w:r w:rsidR="0022079D">
        <w:t>iews expressed are the authors</w:t>
      </w:r>
      <w:r w:rsidR="00AA757E">
        <w:t>’ own</w:t>
      </w:r>
      <w:r w:rsidR="0022079D">
        <w:t xml:space="preserve"> and </w:t>
      </w:r>
      <w:r w:rsidR="00D97DAF">
        <w:t>do not represent</w:t>
      </w:r>
      <w:r w:rsidR="0022079D">
        <w:t xml:space="preserve"> the agreed position of any of the bodies mentioned above.</w:t>
      </w:r>
    </w:p>
    <w:p w14:paraId="522682FC" w14:textId="235DC62C" w:rsidR="002D3D3F" w:rsidRPr="007E48E7" w:rsidRDefault="002D3D3F" w:rsidP="002D3D3F">
      <w:pPr>
        <w:pStyle w:val="Heading1"/>
      </w:pPr>
      <w:r>
        <w:t>Access to justice</w:t>
      </w:r>
    </w:p>
    <w:p w14:paraId="4244DB39" w14:textId="194239C0" w:rsidR="002D3D3F" w:rsidRDefault="002D3D3F" w:rsidP="002D3D3F">
      <w:pPr>
        <w:rPr>
          <w:rFonts w:eastAsia="Times New Roman"/>
        </w:rPr>
      </w:pPr>
      <w:r>
        <w:rPr>
          <w:rFonts w:eastAsia="Times New Roman"/>
        </w:rPr>
        <w:t>In its state party report, the UK states without elaboration that it is ‘confident… that there are effective remedies for any breaches’ of its obligations under the ICESCR</w:t>
      </w:r>
      <w:r w:rsidR="00FF7FA6">
        <w:rPr>
          <w:rFonts w:eastAsia="Times New Roman"/>
        </w:rPr>
        <w:t xml:space="preserve"> (paragraph 2)</w:t>
      </w:r>
      <w:r>
        <w:rPr>
          <w:rFonts w:eastAsia="Times New Roman"/>
        </w:rPr>
        <w:t xml:space="preserve">. </w:t>
      </w:r>
      <w:r w:rsidR="00B22281">
        <w:rPr>
          <w:rFonts w:eastAsia="Times New Roman"/>
        </w:rPr>
        <w:t>I</w:t>
      </w:r>
      <w:r>
        <w:rPr>
          <w:rFonts w:eastAsia="Times New Roman"/>
        </w:rPr>
        <w:t xml:space="preserve">t is true that mechanisms exist that may be used by individuals to challenge the state’s determination of their social entitlements under UK law, </w:t>
      </w:r>
      <w:r w:rsidR="00FF7FA6">
        <w:rPr>
          <w:rFonts w:eastAsia="Times New Roman"/>
        </w:rPr>
        <w:t>but</w:t>
      </w:r>
      <w:r w:rsidR="00B22281">
        <w:rPr>
          <w:rFonts w:eastAsia="Times New Roman"/>
        </w:rPr>
        <w:t xml:space="preserve"> these are not without shortcomings. Nor</w:t>
      </w:r>
      <w:r>
        <w:rPr>
          <w:rFonts w:eastAsia="Times New Roman"/>
        </w:rPr>
        <w:t xml:space="preserve"> is </w:t>
      </w:r>
      <w:r w:rsidR="00B22281">
        <w:rPr>
          <w:rFonts w:eastAsia="Times New Roman"/>
        </w:rPr>
        <w:t>this</w:t>
      </w:r>
      <w:r>
        <w:rPr>
          <w:rFonts w:eastAsia="Times New Roman"/>
        </w:rPr>
        <w:t xml:space="preserve"> the same as </w:t>
      </w:r>
      <w:r w:rsidR="00B22281">
        <w:rPr>
          <w:rFonts w:eastAsia="Times New Roman"/>
        </w:rPr>
        <w:t>providing remedies for, or even an opportunity to challenge, claimed breaches of the Covenant.</w:t>
      </w:r>
      <w:r w:rsidR="00060E7A">
        <w:rPr>
          <w:rFonts w:eastAsia="Times New Roman"/>
        </w:rPr>
        <w:t xml:space="preserve"> T</w:t>
      </w:r>
      <w:r w:rsidR="00B22281">
        <w:rPr>
          <w:rFonts w:eastAsia="Times New Roman"/>
        </w:rPr>
        <w:t>he 2020s have seen a reversal of the progress made on this front during the previous decade.</w:t>
      </w:r>
    </w:p>
    <w:p w14:paraId="6F8B5471" w14:textId="7FFEE8E2" w:rsidR="00B22281" w:rsidRDefault="00B22281" w:rsidP="002D3D3F">
      <w:pPr>
        <w:rPr>
          <w:rFonts w:eastAsia="Times New Roman"/>
        </w:rPr>
      </w:pPr>
      <w:r>
        <w:rPr>
          <w:rFonts w:eastAsia="Times New Roman"/>
        </w:rPr>
        <w:t xml:space="preserve">Within the social security system, a notable trend has been the increased prevalence of </w:t>
      </w:r>
      <w:r w:rsidRPr="00C05F2E">
        <w:rPr>
          <w:rFonts w:eastAsia="Times New Roman"/>
        </w:rPr>
        <w:t>mandatory reconsideration</w:t>
      </w:r>
      <w:r>
        <w:rPr>
          <w:rFonts w:eastAsia="Times New Roman"/>
        </w:rPr>
        <w:t xml:space="preserve"> (or redetermination in the devolved Scottish system) when an individual seeks to challenge an adverse decision.</w:t>
      </w:r>
      <w:r w:rsidR="005B1C2B">
        <w:rPr>
          <w:rFonts w:eastAsia="Times New Roman"/>
        </w:rPr>
        <w:t xml:space="preserve"> T</w:t>
      </w:r>
      <w:r>
        <w:rPr>
          <w:rFonts w:eastAsia="Times New Roman"/>
        </w:rPr>
        <w:t>his is an internal review process that must be completed before the individual can appeal to a tribunal. The use of internal reviews is not in</w:t>
      </w:r>
      <w:r w:rsidR="00783D95">
        <w:rPr>
          <w:rFonts w:eastAsia="Times New Roman"/>
        </w:rPr>
        <w:t>herently</w:t>
      </w:r>
      <w:r>
        <w:rPr>
          <w:rFonts w:eastAsia="Times New Roman"/>
        </w:rPr>
        <w:t xml:space="preserve"> problematic and has potential to make challenging a decision more straightforward, faster and less stressful. However, this will only happen if a genuinely fresh look is taken at applications, with a real prospect of a different decision being arrived at. Research and inquiries to date suggest that this is not always the case</w:t>
      </w:r>
      <w:r w:rsidR="00FC4087">
        <w:rPr>
          <w:rFonts w:eastAsia="Times New Roman"/>
        </w:rPr>
        <w:t>.</w:t>
      </w:r>
      <w:r w:rsidRPr="00B96B5A">
        <w:rPr>
          <w:rStyle w:val="FootnoteReference"/>
          <w:rFonts w:eastAsia="Times New Roman"/>
        </w:rPr>
        <w:footnoteReference w:id="1"/>
      </w:r>
      <w:r w:rsidR="003C6FFA" w:rsidRPr="00B96B5A">
        <w:rPr>
          <w:rFonts w:eastAsia="Times New Roman"/>
        </w:rPr>
        <w:t xml:space="preserve"> </w:t>
      </w:r>
      <w:r w:rsidR="00FC4087">
        <w:rPr>
          <w:rFonts w:eastAsia="Times New Roman"/>
        </w:rPr>
        <w:t>I</w:t>
      </w:r>
      <w:r w:rsidR="003C6FFA" w:rsidRPr="00B96B5A">
        <w:rPr>
          <w:rFonts w:eastAsia="Times New Roman"/>
        </w:rPr>
        <w:t xml:space="preserve">n practice the process sometimes represents nothing more than an additional </w:t>
      </w:r>
      <w:r w:rsidR="004F6A8E" w:rsidRPr="00B96B5A">
        <w:rPr>
          <w:rFonts w:eastAsia="Times New Roman"/>
        </w:rPr>
        <w:t xml:space="preserve">hurdle before </w:t>
      </w:r>
      <w:r w:rsidR="004F6A8E" w:rsidRPr="00B96B5A">
        <w:rPr>
          <w:rFonts w:eastAsia="Times New Roman"/>
        </w:rPr>
        <w:lastRenderedPageBreak/>
        <w:t>the ‘real’ appeal can commence.</w:t>
      </w:r>
      <w:r w:rsidR="0031703D">
        <w:rPr>
          <w:rStyle w:val="FootnoteReference"/>
          <w:rFonts w:eastAsia="Times New Roman"/>
        </w:rPr>
        <w:footnoteReference w:id="2"/>
      </w:r>
      <w:r w:rsidR="00FC4087">
        <w:rPr>
          <w:rFonts w:eastAsia="Times New Roman"/>
        </w:rPr>
        <w:t xml:space="preserve"> D</w:t>
      </w:r>
      <w:r w:rsidR="00467B1A">
        <w:rPr>
          <w:rFonts w:eastAsia="Times New Roman"/>
        </w:rPr>
        <w:t xml:space="preserve">espite social security tribunals in principle providing a less formal, less ‘legal’ </w:t>
      </w:r>
      <w:r w:rsidR="007D3399">
        <w:rPr>
          <w:rFonts w:eastAsia="Times New Roman"/>
        </w:rPr>
        <w:t xml:space="preserve">arena than the courts for contesting a decision of a public authority, </w:t>
      </w:r>
      <w:r w:rsidR="00F25D8B">
        <w:rPr>
          <w:rFonts w:eastAsia="Times New Roman"/>
        </w:rPr>
        <w:t xml:space="preserve">claimants can be ill-equipped </w:t>
      </w:r>
      <w:r w:rsidR="006F7274">
        <w:rPr>
          <w:rFonts w:eastAsia="Times New Roman"/>
        </w:rPr>
        <w:t>to challenge, or even understand the reasons for, an adverse decision</w:t>
      </w:r>
      <w:r w:rsidR="00D554F6">
        <w:rPr>
          <w:rFonts w:eastAsia="Times New Roman"/>
        </w:rPr>
        <w:t xml:space="preserve"> and may</w:t>
      </w:r>
      <w:r w:rsidR="008267D0">
        <w:rPr>
          <w:rFonts w:eastAsia="Times New Roman"/>
        </w:rPr>
        <w:t xml:space="preserve"> almost automatically</w:t>
      </w:r>
      <w:r w:rsidR="00D554F6">
        <w:rPr>
          <w:rFonts w:eastAsia="Times New Roman"/>
        </w:rPr>
        <w:t xml:space="preserve"> regard appeal</w:t>
      </w:r>
      <w:r w:rsidR="00102F0D">
        <w:rPr>
          <w:rFonts w:eastAsia="Times New Roman"/>
        </w:rPr>
        <w:t>s</w:t>
      </w:r>
      <w:r w:rsidR="00D554F6">
        <w:rPr>
          <w:rFonts w:eastAsia="Times New Roman"/>
        </w:rPr>
        <w:t xml:space="preserve"> as futile.</w:t>
      </w:r>
      <w:r w:rsidR="00A13A94">
        <w:rPr>
          <w:rStyle w:val="FootnoteReference"/>
          <w:rFonts w:eastAsia="Times New Roman"/>
        </w:rPr>
        <w:footnoteReference w:id="3"/>
      </w:r>
      <w:r w:rsidR="00692E15">
        <w:rPr>
          <w:rFonts w:eastAsia="Times New Roman"/>
        </w:rPr>
        <w:t xml:space="preserve"> Expert advice </w:t>
      </w:r>
      <w:r w:rsidR="009E56B8">
        <w:rPr>
          <w:rFonts w:eastAsia="Times New Roman"/>
        </w:rPr>
        <w:t>can be</w:t>
      </w:r>
      <w:r w:rsidR="00692E15">
        <w:rPr>
          <w:rFonts w:eastAsia="Times New Roman"/>
        </w:rPr>
        <w:t xml:space="preserve"> critical </w:t>
      </w:r>
      <w:r w:rsidR="009E56B8">
        <w:rPr>
          <w:rFonts w:eastAsia="Times New Roman"/>
        </w:rPr>
        <w:t>to receiving one’s entitlements, but in England and Wales this has been subject to</w:t>
      </w:r>
      <w:r w:rsidR="00AA7DC3">
        <w:rPr>
          <w:rFonts w:eastAsia="Times New Roman"/>
        </w:rPr>
        <w:t xml:space="preserve"> severe</w:t>
      </w:r>
      <w:r w:rsidR="009E56B8">
        <w:rPr>
          <w:rFonts w:eastAsia="Times New Roman"/>
        </w:rPr>
        <w:t xml:space="preserve"> funding </w:t>
      </w:r>
      <w:r w:rsidR="00AA7DC3">
        <w:rPr>
          <w:rFonts w:eastAsia="Times New Roman"/>
        </w:rPr>
        <w:t>c</w:t>
      </w:r>
      <w:r w:rsidR="009E56B8">
        <w:rPr>
          <w:rFonts w:eastAsia="Times New Roman"/>
        </w:rPr>
        <w:t xml:space="preserve">uts </w:t>
      </w:r>
      <w:r w:rsidR="00AA7DC3">
        <w:rPr>
          <w:rFonts w:eastAsia="Times New Roman"/>
        </w:rPr>
        <w:t>since 2012.</w:t>
      </w:r>
      <w:r w:rsidR="007D5E99">
        <w:rPr>
          <w:rStyle w:val="FootnoteReference"/>
          <w:rFonts w:eastAsia="Times New Roman"/>
        </w:rPr>
        <w:footnoteReference w:id="4"/>
      </w:r>
      <w:r w:rsidR="002B6962">
        <w:rPr>
          <w:rFonts w:eastAsia="Times New Roman"/>
        </w:rPr>
        <w:t xml:space="preserve"> This has not applied to the same extent in Scotland and Northern Ireland, with the</w:t>
      </w:r>
      <w:r w:rsidR="00D6512C">
        <w:rPr>
          <w:rFonts w:eastAsia="Times New Roman"/>
        </w:rPr>
        <w:t xml:space="preserve"> </w:t>
      </w:r>
      <w:r w:rsidR="009B5387">
        <w:rPr>
          <w:rFonts w:eastAsia="Times New Roman"/>
        </w:rPr>
        <w:t>NI</w:t>
      </w:r>
      <w:r w:rsidR="00D6512C">
        <w:rPr>
          <w:rFonts w:eastAsia="Times New Roman"/>
        </w:rPr>
        <w:t xml:space="preserve"> Executive providing dedicated funding in support of an anticipated increase in demand </w:t>
      </w:r>
      <w:r w:rsidR="009B5387">
        <w:rPr>
          <w:rFonts w:eastAsia="Times New Roman"/>
        </w:rPr>
        <w:t>due to</w:t>
      </w:r>
      <w:r w:rsidR="00D6512C">
        <w:rPr>
          <w:rFonts w:eastAsia="Times New Roman"/>
        </w:rPr>
        <w:t xml:space="preserve"> post-2012 reforms.</w:t>
      </w:r>
      <w:r w:rsidR="000E2B4C">
        <w:rPr>
          <w:rStyle w:val="FootnoteReference"/>
          <w:rFonts w:eastAsia="Times New Roman"/>
        </w:rPr>
        <w:footnoteReference w:id="5"/>
      </w:r>
      <w:r w:rsidR="00D26787" w:rsidRPr="00B96B5A">
        <w:rPr>
          <w:rFonts w:eastAsia="Times New Roman"/>
        </w:rPr>
        <w:t xml:space="preserve"> </w:t>
      </w:r>
    </w:p>
    <w:p w14:paraId="3CA7010A" w14:textId="5CB7DBCE" w:rsidR="00C05F2E" w:rsidRDefault="00C05F2E" w:rsidP="002D3D3F">
      <w:pPr>
        <w:rPr>
          <w:rFonts w:eastAsia="Times New Roman"/>
        </w:rPr>
      </w:pPr>
      <w:r>
        <w:rPr>
          <w:rFonts w:eastAsia="Times New Roman"/>
        </w:rPr>
        <w:t>Moving from disputes under domestic law to the individual’s ability to uphold rights within the Covenant, it is well recognised that there is very limited scope to judicially enforce economic, social and cultural rights in the UK.</w:t>
      </w:r>
      <w:r w:rsidR="00692712">
        <w:rPr>
          <w:rStyle w:val="FootnoteReference"/>
          <w:rFonts w:eastAsia="Times New Roman"/>
        </w:rPr>
        <w:footnoteReference w:id="6"/>
      </w:r>
      <w:r>
        <w:rPr>
          <w:rFonts w:eastAsia="Times New Roman"/>
        </w:rPr>
        <w:t xml:space="preserve"> In the </w:t>
      </w:r>
      <w:r w:rsidR="00A0333F">
        <w:rPr>
          <w:rFonts w:eastAsia="Times New Roman"/>
        </w:rPr>
        <w:t>dualist</w:t>
      </w:r>
      <w:r>
        <w:rPr>
          <w:rFonts w:eastAsia="Times New Roman"/>
        </w:rPr>
        <w:t xml:space="preserve"> legal system, only those international agreements that have been specifically incorporated into domestic law become actionable before the courts – ratification alone is not enough. In general this only applies to the European Convention on Human Rights</w:t>
      </w:r>
      <w:r w:rsidR="00FA6BC6">
        <w:rPr>
          <w:rFonts w:eastAsia="Times New Roman"/>
        </w:rPr>
        <w:t xml:space="preserve"> (ECHR)</w:t>
      </w:r>
      <w:r>
        <w:rPr>
          <w:rFonts w:eastAsia="Times New Roman"/>
        </w:rPr>
        <w:t>.</w:t>
      </w:r>
      <w:r w:rsidR="00477EB0">
        <w:rPr>
          <w:rStyle w:val="FootnoteReference"/>
          <w:rFonts w:eastAsia="Times New Roman"/>
        </w:rPr>
        <w:footnoteReference w:id="7"/>
      </w:r>
      <w:r w:rsidR="005B5A6B">
        <w:rPr>
          <w:rFonts w:eastAsia="Times New Roman"/>
        </w:rPr>
        <w:t xml:space="preserve"> This is problematic in light of the statement in general comment 9 that </w:t>
      </w:r>
      <w:r w:rsidR="00067ED2">
        <w:rPr>
          <w:rFonts w:eastAsia="Times New Roman"/>
        </w:rPr>
        <w:t>‘</w:t>
      </w:r>
      <w:r w:rsidR="00DD7736">
        <w:t>i</w:t>
      </w:r>
      <w:r w:rsidR="00DD7736" w:rsidRPr="001D2E8E">
        <w:t>t will be difficult</w:t>
      </w:r>
      <w:r w:rsidR="00DD7736">
        <w:t xml:space="preserve"> [for state parties]</w:t>
      </w:r>
      <w:r w:rsidR="00DD7736" w:rsidRPr="001D2E8E">
        <w:t xml:space="preserve"> to show</w:t>
      </w:r>
      <w:r w:rsidR="00DD7736">
        <w:t>’ that domestic judicial remedies for violation of the ICESCR rights are ‘unnecessary’</w:t>
      </w:r>
      <w:r w:rsidR="00F12A11">
        <w:t xml:space="preserve"> under article 2(1).</w:t>
      </w:r>
      <w:r w:rsidR="00552843">
        <w:rPr>
          <w:rStyle w:val="FootnoteReference"/>
        </w:rPr>
        <w:footnoteReference w:id="8"/>
      </w:r>
      <w:r>
        <w:rPr>
          <w:rFonts w:eastAsia="Times New Roman"/>
        </w:rPr>
        <w:t xml:space="preserve"> In the 2010s, the UK Supreme Court showed willingness to test the limits of this restriction. </w:t>
      </w:r>
      <w:r w:rsidR="00446D7F">
        <w:rPr>
          <w:rFonts w:eastAsia="Times New Roman"/>
        </w:rPr>
        <w:t xml:space="preserve">Majorities were prepared to </w:t>
      </w:r>
      <w:r w:rsidR="000B1C56">
        <w:rPr>
          <w:rFonts w:eastAsia="Times New Roman"/>
        </w:rPr>
        <w:t xml:space="preserve">rule that </w:t>
      </w:r>
      <w:r w:rsidR="00016767">
        <w:rPr>
          <w:rFonts w:eastAsia="Times New Roman"/>
        </w:rPr>
        <w:t xml:space="preserve">social security </w:t>
      </w:r>
      <w:r w:rsidR="000B1C56">
        <w:rPr>
          <w:rFonts w:eastAsia="Times New Roman"/>
        </w:rPr>
        <w:t xml:space="preserve">Regulations made by the Executive </w:t>
      </w:r>
      <w:r w:rsidR="00D4290D">
        <w:rPr>
          <w:rFonts w:eastAsia="Times New Roman"/>
        </w:rPr>
        <w:t>were incompatible with the UNCRC, because the</w:t>
      </w:r>
      <w:r w:rsidR="00246DFD">
        <w:rPr>
          <w:rFonts w:eastAsia="Times New Roman"/>
        </w:rPr>
        <w:t>re was a failure to treat the best interests of affected children as a primary consideration</w:t>
      </w:r>
      <w:r w:rsidR="00DB4E6E">
        <w:rPr>
          <w:rFonts w:eastAsia="Times New Roman"/>
        </w:rPr>
        <w:t xml:space="preserve">, even if only one Justice </w:t>
      </w:r>
      <w:r w:rsidR="006C477C">
        <w:rPr>
          <w:rFonts w:eastAsia="Times New Roman"/>
        </w:rPr>
        <w:t>was willing to consider the constitutionally innovative possibility that this incompatibility might render the Regulations unlawful.</w:t>
      </w:r>
      <w:r w:rsidR="008D6594">
        <w:rPr>
          <w:rStyle w:val="FootnoteReference"/>
          <w:rFonts w:eastAsia="Times New Roman"/>
        </w:rPr>
        <w:footnoteReference w:id="9"/>
      </w:r>
      <w:r w:rsidR="00246DFD">
        <w:rPr>
          <w:rFonts w:eastAsia="Times New Roman"/>
        </w:rPr>
        <w:t xml:space="preserve"> </w:t>
      </w:r>
      <w:r w:rsidR="003A22D0">
        <w:rPr>
          <w:rFonts w:eastAsia="Times New Roman"/>
        </w:rPr>
        <w:t>The ICESCR has never received equivalent judicial consideration</w:t>
      </w:r>
      <w:r w:rsidR="00FB2735">
        <w:rPr>
          <w:rFonts w:eastAsia="Times New Roman"/>
        </w:rPr>
        <w:t>, but for a time these UNCRC judgments held out some prospect of this happening.</w:t>
      </w:r>
    </w:p>
    <w:p w14:paraId="4750EBCA" w14:textId="00BCF6EA" w:rsidR="00FA240E" w:rsidRDefault="00CC00F6" w:rsidP="00AB102A">
      <w:r>
        <w:rPr>
          <w:rFonts w:eastAsia="Times New Roman"/>
        </w:rPr>
        <w:t xml:space="preserve">Progress on this front </w:t>
      </w:r>
      <w:r w:rsidR="00010FA6">
        <w:rPr>
          <w:rFonts w:eastAsia="Times New Roman"/>
        </w:rPr>
        <w:t xml:space="preserve">has come to a grinding halt with the unanimous Supreme Court decision, in a more recent social security case, that </w:t>
      </w:r>
      <w:r w:rsidR="00034B61">
        <w:rPr>
          <w:rFonts w:eastAsia="Times New Roman"/>
        </w:rPr>
        <w:t xml:space="preserve">the UK courts </w:t>
      </w:r>
      <w:r w:rsidR="00034B61">
        <w:t xml:space="preserve">‘cannot determine whether this country has violated its obligations under unincorporated international treaties’ and ‘cannot entertain’ </w:t>
      </w:r>
      <w:r w:rsidR="00034B61">
        <w:lastRenderedPageBreak/>
        <w:t>arguments concerning whether it has.</w:t>
      </w:r>
      <w:r w:rsidR="00B671BE">
        <w:rPr>
          <w:rStyle w:val="FootnoteReference"/>
        </w:rPr>
        <w:footnoteReference w:id="10"/>
      </w:r>
      <w:r w:rsidR="00717905">
        <w:t xml:space="preserve"> </w:t>
      </w:r>
      <w:r w:rsidR="004B33B0">
        <w:t>The inescapable conclusion is that</w:t>
      </w:r>
      <w:r w:rsidR="00C7272E">
        <w:t xml:space="preserve"> </w:t>
      </w:r>
      <w:r w:rsidR="00D44702">
        <w:t>th</w:t>
      </w:r>
      <w:r w:rsidR="00C7272E">
        <w:t>e</w:t>
      </w:r>
      <w:r w:rsidR="00D44702">
        <w:t xml:space="preserve"> Supreme Court justices </w:t>
      </w:r>
      <w:r w:rsidR="007A3C2F">
        <w:t>have adopted the position that</w:t>
      </w:r>
      <w:r w:rsidR="00C7272E">
        <w:t xml:space="preserve"> UK courts should not ‘</w:t>
      </w:r>
      <w:r w:rsidR="00C7272E" w:rsidRPr="00C7272E">
        <w:t>take account of Covenant rights where this is necessary to ensure that the State's conduct is consistent with its obligations under the Covenant</w:t>
      </w:r>
      <w:r w:rsidR="007A3C2F">
        <w:t>,</w:t>
      </w:r>
      <w:r w:rsidR="00772B7B">
        <w:t>’</w:t>
      </w:r>
      <w:r w:rsidR="007A3C2F">
        <w:t xml:space="preserve"> identified as a requirement in general comment 9.</w:t>
      </w:r>
      <w:r w:rsidR="007A3C2F">
        <w:rPr>
          <w:rStyle w:val="FootnoteReference"/>
        </w:rPr>
        <w:footnoteReference w:id="11"/>
      </w:r>
      <w:r w:rsidR="00C7272E">
        <w:t xml:space="preserve"> </w:t>
      </w:r>
      <w:r w:rsidR="00717905">
        <w:t xml:space="preserve">Now, more than ever, litigants seeking to challenge </w:t>
      </w:r>
      <w:r w:rsidR="009F2DC7">
        <w:t xml:space="preserve">retrogression in social rights on human rights grounds must shoehorn their claims into </w:t>
      </w:r>
      <w:r w:rsidR="00FA6BC6">
        <w:t>the provisions of the ECHR, whose primary purpose is the protection of civil and political rights.</w:t>
      </w:r>
      <w:r w:rsidR="00FF6BC6">
        <w:t xml:space="preserve"> </w:t>
      </w:r>
      <w:r w:rsidR="004A1720">
        <w:t xml:space="preserve">Although the Supreme Court </w:t>
      </w:r>
      <w:r w:rsidR="002C211C">
        <w:t xml:space="preserve">has stated that </w:t>
      </w:r>
      <w:r w:rsidR="00AB102A">
        <w:t xml:space="preserve">the door remains open for the best interests of the child to be taken into account when considering compliance or discriminatory interference with the right to respect </w:t>
      </w:r>
      <w:r w:rsidR="005C4F78">
        <w:t xml:space="preserve">for </w:t>
      </w:r>
      <w:r w:rsidR="00AB102A">
        <w:t>family life</w:t>
      </w:r>
      <w:r w:rsidR="005C4F78">
        <w:t xml:space="preserve"> (article 8 ECHR)</w:t>
      </w:r>
      <w:r w:rsidR="00FA240E">
        <w:t>,</w:t>
      </w:r>
      <w:r w:rsidR="00FA240E">
        <w:rPr>
          <w:rStyle w:val="FootnoteReference"/>
        </w:rPr>
        <w:footnoteReference w:id="12"/>
      </w:r>
      <w:r w:rsidR="00FA240E">
        <w:t xml:space="preserve"> the courts </w:t>
      </w:r>
      <w:r w:rsidR="00E35D34">
        <w:t>must struggle</w:t>
      </w:r>
      <w:r w:rsidR="00FA240E">
        <w:t xml:space="preserve"> to do so if they cannot decide, or even hear arguments on, whether the best interests of affected children have been properly considered.</w:t>
      </w:r>
      <w:r w:rsidR="00E35D34">
        <w:rPr>
          <w:rStyle w:val="FootnoteReference"/>
        </w:rPr>
        <w:footnoteReference w:id="13"/>
      </w:r>
      <w:r w:rsidR="001D2E8E">
        <w:t xml:space="preserve"> </w:t>
      </w:r>
    </w:p>
    <w:p w14:paraId="1F5C4550" w14:textId="31062837" w:rsidR="00AB102A" w:rsidRDefault="004121B8" w:rsidP="00AB102A">
      <w:r>
        <w:t xml:space="preserve">Litigants bringing social security-related judicial reviews </w:t>
      </w:r>
      <w:r w:rsidR="00F077F3">
        <w:t xml:space="preserve">under the ECHR </w:t>
      </w:r>
      <w:r>
        <w:t xml:space="preserve">typically rely on </w:t>
      </w:r>
      <w:r w:rsidR="00B62769">
        <w:t xml:space="preserve">article 8 (the right to respect for family life) or protocol 1, article 1 (the right to peaceful enjoyment of one’s possessions), normally in </w:t>
      </w:r>
      <w:r w:rsidR="00C410CB">
        <w:t xml:space="preserve">conjunction with article 14 (prohibition of discrimination in the enjoyment of the ECHR rights). </w:t>
      </w:r>
      <w:r w:rsidR="00925822">
        <w:t>To be successful,</w:t>
      </w:r>
      <w:r w:rsidR="007D6F80">
        <w:t xml:space="preserve"> the court must be persuaded that </w:t>
      </w:r>
      <w:r w:rsidR="00575C51">
        <w:t xml:space="preserve">unequal treatment within the social security system is </w:t>
      </w:r>
      <w:r w:rsidR="00F40DD4">
        <w:t xml:space="preserve">manifestly without reasonable foundation. </w:t>
      </w:r>
      <w:r w:rsidR="00925822" w:rsidRPr="003567C3">
        <w:rPr>
          <w:rFonts w:ascii="Calibri" w:hAnsi="Calibri" w:cs="Calibri"/>
          <w:lang w:val="en-US"/>
        </w:rPr>
        <w:t>The test is a high – and in the vast majority of cases, insurmountable – bar for claimants to pass.</w:t>
      </w:r>
      <w:r w:rsidR="00925822" w:rsidRPr="003567C3">
        <w:rPr>
          <w:rStyle w:val="FootnoteReference"/>
          <w:rFonts w:ascii="Calibri" w:hAnsi="Calibri" w:cs="Calibri"/>
          <w:lang w:val="en-US"/>
        </w:rPr>
        <w:footnoteReference w:id="14"/>
      </w:r>
      <w:r w:rsidR="00925822" w:rsidRPr="003567C3">
        <w:rPr>
          <w:rFonts w:ascii="Calibri" w:hAnsi="Calibri" w:cs="Calibri"/>
          <w:lang w:val="en-US"/>
        </w:rPr>
        <w:t xml:space="preserve"> The trend in judicial interpretation of the test has led </w:t>
      </w:r>
      <w:r w:rsidR="00AF2A49">
        <w:rPr>
          <w:rFonts w:ascii="Calibri" w:hAnsi="Calibri" w:cs="Calibri"/>
          <w:lang w:val="en-US"/>
        </w:rPr>
        <w:t>‘</w:t>
      </w:r>
      <w:r w:rsidR="00925822" w:rsidRPr="003567C3">
        <w:rPr>
          <w:rFonts w:ascii="Calibri" w:hAnsi="Calibri" w:cs="Calibri"/>
          <w:lang w:val="en-US"/>
        </w:rPr>
        <w:t>deference to predominate to an increasingly extreme degree</w:t>
      </w:r>
      <w:r w:rsidR="00AF2A49">
        <w:rPr>
          <w:rFonts w:ascii="Calibri" w:hAnsi="Calibri" w:cs="Calibri"/>
          <w:lang w:val="en-US"/>
        </w:rPr>
        <w:t>’</w:t>
      </w:r>
      <w:r w:rsidR="00925822" w:rsidRPr="003567C3">
        <w:rPr>
          <w:rFonts w:ascii="Calibri" w:hAnsi="Calibri" w:cs="Calibri"/>
          <w:lang w:val="en-US"/>
        </w:rPr>
        <w:t>,</w:t>
      </w:r>
      <w:r w:rsidR="00925822" w:rsidRPr="003567C3">
        <w:rPr>
          <w:rStyle w:val="FootnoteReference"/>
          <w:rFonts w:ascii="Calibri" w:hAnsi="Calibri" w:cs="Calibri"/>
          <w:lang w:val="en-US"/>
        </w:rPr>
        <w:footnoteReference w:id="15"/>
      </w:r>
      <w:r w:rsidR="00925822" w:rsidRPr="003567C3">
        <w:rPr>
          <w:rFonts w:ascii="Calibri" w:hAnsi="Calibri" w:cs="Calibri"/>
          <w:lang w:val="en-US"/>
        </w:rPr>
        <w:t xml:space="preserve"> reflected in the UKSC’s dismissal of an Article 14 challenge (taken with Article 8) to sex discrimination in the two-child limit for Child Tax Credit/Universal Credit, in part as sex discrimination </w:t>
      </w:r>
      <w:r w:rsidR="00AF2A49">
        <w:rPr>
          <w:rFonts w:ascii="Calibri" w:hAnsi="Calibri" w:cs="Calibri"/>
          <w:lang w:val="en-US"/>
        </w:rPr>
        <w:t>‘</w:t>
      </w:r>
      <w:r w:rsidR="00925822" w:rsidRPr="003567C3">
        <w:rPr>
          <w:rFonts w:ascii="Calibri" w:hAnsi="Calibri" w:cs="Calibri"/>
          <w:lang w:val="en-US"/>
        </w:rPr>
        <w:t>is inherent in any general measure which limits expenditure on child- related benefits</w:t>
      </w:r>
      <w:r w:rsidR="00AF2A49">
        <w:rPr>
          <w:rFonts w:ascii="Calibri" w:hAnsi="Calibri" w:cs="Calibri"/>
          <w:lang w:val="en-US"/>
        </w:rPr>
        <w:t>’</w:t>
      </w:r>
      <w:r w:rsidR="00925822" w:rsidRPr="003567C3">
        <w:rPr>
          <w:rFonts w:ascii="Calibri" w:hAnsi="Calibri" w:cs="Calibri"/>
          <w:lang w:val="en-US"/>
        </w:rPr>
        <w:t xml:space="preserve"> as </w:t>
      </w:r>
      <w:r w:rsidR="00AF2A49">
        <w:rPr>
          <w:rFonts w:ascii="Calibri" w:hAnsi="Calibri" w:cs="Calibri"/>
          <w:lang w:val="en-US"/>
        </w:rPr>
        <w:t>‘</w:t>
      </w:r>
      <w:r w:rsidR="00925822" w:rsidRPr="003567C3">
        <w:rPr>
          <w:rFonts w:ascii="Calibri" w:hAnsi="Calibri" w:cs="Calibri"/>
          <w:lang w:val="en-US"/>
        </w:rPr>
        <w:t>more women than men are bringing up children</w:t>
      </w:r>
      <w:r w:rsidR="00AF2A49">
        <w:rPr>
          <w:rFonts w:ascii="Calibri" w:hAnsi="Calibri" w:cs="Calibri"/>
          <w:lang w:val="en-US"/>
        </w:rPr>
        <w:t>’</w:t>
      </w:r>
      <w:r w:rsidR="00925822" w:rsidRPr="003567C3">
        <w:rPr>
          <w:rFonts w:ascii="Calibri" w:hAnsi="Calibri" w:cs="Calibri"/>
          <w:lang w:val="en-US"/>
        </w:rPr>
        <w:t>.</w:t>
      </w:r>
      <w:r w:rsidR="00925822" w:rsidRPr="003567C3">
        <w:rPr>
          <w:rStyle w:val="FootnoteReference"/>
          <w:rFonts w:ascii="Calibri" w:hAnsi="Calibri" w:cs="Calibri"/>
          <w:lang w:val="en-US"/>
        </w:rPr>
        <w:footnoteReference w:id="16"/>
      </w:r>
      <w:r w:rsidR="00925822">
        <w:rPr>
          <w:rFonts w:ascii="Calibri" w:hAnsi="Calibri" w:cs="Calibri"/>
          <w:lang w:val="en-US"/>
        </w:rPr>
        <w:t xml:space="preserve"> </w:t>
      </w:r>
      <w:r w:rsidR="004E1044">
        <w:t xml:space="preserve"> </w:t>
      </w:r>
    </w:p>
    <w:p w14:paraId="042A8DCA" w14:textId="19067B78" w:rsidR="00FB224A" w:rsidRDefault="006E35D9" w:rsidP="006E35D9">
      <w:pPr>
        <w:pStyle w:val="Heading1"/>
      </w:pPr>
      <w:r>
        <w:t>Destitution</w:t>
      </w:r>
    </w:p>
    <w:p w14:paraId="28BB6125" w14:textId="7D6B6850" w:rsidR="006E35D9" w:rsidRDefault="006E35D9" w:rsidP="006E35D9">
      <w:r>
        <w:t>Destitution is by definition a failure of social rights protection.</w:t>
      </w:r>
      <w:r w:rsidR="00BE09D1">
        <w:t xml:space="preserve"> The </w:t>
      </w:r>
      <w:r w:rsidR="00DF7737">
        <w:t xml:space="preserve">most prominent </w:t>
      </w:r>
      <w:r w:rsidR="006A58F3">
        <w:t>definition</w:t>
      </w:r>
      <w:r w:rsidR="00DF7737">
        <w:t xml:space="preserve"> of destitution in UK law</w:t>
      </w:r>
      <w:r w:rsidR="006A58F3">
        <w:t xml:space="preserve"> states that an individual is destitute if he or she </w:t>
      </w:r>
      <w:r w:rsidR="006A688C">
        <w:t>does not have ‘adequate accommodation’</w:t>
      </w:r>
      <w:r w:rsidR="00B55A45">
        <w:t xml:space="preserve"> and </w:t>
      </w:r>
      <w:r w:rsidR="006A688C">
        <w:t xml:space="preserve">has no means of obtaining adequate accommodation, or is unable to </w:t>
      </w:r>
      <w:r w:rsidR="00292048">
        <w:t>meet his or her other ‘essential living needs’.</w:t>
      </w:r>
      <w:r w:rsidR="00292048">
        <w:rPr>
          <w:rStyle w:val="FootnoteReference"/>
        </w:rPr>
        <w:footnoteReference w:id="17"/>
      </w:r>
      <w:r w:rsidR="00292048">
        <w:t xml:space="preserve"> </w:t>
      </w:r>
      <w:r w:rsidR="003A71A0">
        <w:t xml:space="preserve">In the leading social sciences definition, </w:t>
      </w:r>
      <w:r w:rsidR="005C3159">
        <w:t xml:space="preserve">developed for the Joseph Rowntree Foundation (JRF), </w:t>
      </w:r>
      <w:r w:rsidR="00FF7DE0">
        <w:t xml:space="preserve">the destitute individual ‘suffer[s] an enforced lack of the following minimum material necessities: shelter, food, heating, lighting, clothing and basic toiletries or </w:t>
      </w:r>
      <w:r w:rsidR="00341C74">
        <w:t>[has]</w:t>
      </w:r>
      <w:r w:rsidR="00FF7DE0">
        <w:t xml:space="preserve"> an income level so low that they are unable to provide these minimum material necessities for themselves</w:t>
      </w:r>
      <w:r w:rsidR="00341C74">
        <w:t>’.</w:t>
      </w:r>
      <w:r w:rsidR="00341C74">
        <w:rPr>
          <w:rStyle w:val="FootnoteReference"/>
        </w:rPr>
        <w:footnoteReference w:id="18"/>
      </w:r>
      <w:r w:rsidR="00B04EB4">
        <w:t xml:space="preserve"> The latter definition </w:t>
      </w:r>
      <w:r w:rsidR="0022164C">
        <w:t xml:space="preserve">overlaps to a considerable extent with the minimum core </w:t>
      </w:r>
      <w:r w:rsidR="0022164C">
        <w:lastRenderedPageBreak/>
        <w:t>obligations under article 9 ICESCR</w:t>
      </w:r>
      <w:r w:rsidR="00967C9F">
        <w:t xml:space="preserve">. These are that </w:t>
      </w:r>
      <w:r w:rsidR="00967C9F" w:rsidRPr="00967C9F">
        <w:t xml:space="preserve">people are able to access </w:t>
      </w:r>
      <w:r w:rsidR="00967C9F">
        <w:t xml:space="preserve">their </w:t>
      </w:r>
      <w:r w:rsidR="00967C9F" w:rsidRPr="00967C9F">
        <w:t xml:space="preserve">subsistence needs, </w:t>
      </w:r>
      <w:r w:rsidR="00967C9F">
        <w:t>specifically</w:t>
      </w:r>
      <w:r w:rsidR="00967C9F" w:rsidRPr="00967C9F">
        <w:t xml:space="preserve"> ‘essential health care, basic shelter and housing, water and sanitation, foodstuffs, and</w:t>
      </w:r>
      <w:r w:rsidR="005F3EAD">
        <w:t xml:space="preserve"> </w:t>
      </w:r>
      <w:r w:rsidR="00967C9F" w:rsidRPr="00967C9F">
        <w:t>the most basic forms of education.</w:t>
      </w:r>
      <w:r w:rsidR="005F3EAD">
        <w:t>’</w:t>
      </w:r>
      <w:r w:rsidR="000C3760">
        <w:rPr>
          <w:rStyle w:val="FootnoteReference"/>
        </w:rPr>
        <w:footnoteReference w:id="19"/>
      </w:r>
      <w:r w:rsidR="0043635B">
        <w:t xml:space="preserve"> </w:t>
      </w:r>
      <w:r w:rsidR="00D71155">
        <w:t>A</w:t>
      </w:r>
      <w:r w:rsidR="00B76968">
        <w:t xml:space="preserve">nyone who is destitute </w:t>
      </w:r>
      <w:r w:rsidR="00D71155">
        <w:t>according to the JRF definition, and probably the legal definition, is not enjoying even the bare minimum of rights conferred by article 9, still less those conferred by article 11.</w:t>
      </w:r>
      <w:r w:rsidR="00924E12">
        <w:t xml:space="preserve"> If the state fails to offer legal protection against destitution to</w:t>
      </w:r>
      <w:r w:rsidR="00BD6A8E">
        <w:t xml:space="preserve"> those </w:t>
      </w:r>
      <w:r w:rsidR="00924E12">
        <w:t>lawful</w:t>
      </w:r>
      <w:r w:rsidR="00BD6A8E">
        <w:t>ly within its territory</w:t>
      </w:r>
      <w:r w:rsidR="00924E12">
        <w:t xml:space="preserve">, it </w:t>
      </w:r>
      <w:r w:rsidR="00586C60">
        <w:t>is unlikely to comply with its obligations under article 9.</w:t>
      </w:r>
      <w:r w:rsidR="00A82C74">
        <w:rPr>
          <w:rStyle w:val="FootnoteReference"/>
        </w:rPr>
        <w:footnoteReference w:id="20"/>
      </w:r>
    </w:p>
    <w:p w14:paraId="17429016" w14:textId="2B82E899" w:rsidR="00BD2471" w:rsidRDefault="00BD2471" w:rsidP="006E35D9">
      <w:r>
        <w:t xml:space="preserve">The UK falls short on both of these measures. The most recent empirical findings on destitution </w:t>
      </w:r>
      <w:r w:rsidR="00B926D2">
        <w:t xml:space="preserve">from JRF show that </w:t>
      </w:r>
      <w:r w:rsidR="007047BA" w:rsidRPr="007047BA">
        <w:t>2.4 million people were destitute and in contact</w:t>
      </w:r>
      <w:r w:rsidR="00A82C74">
        <w:t xml:space="preserve"> </w:t>
      </w:r>
      <w:r w:rsidR="007047BA" w:rsidRPr="007047BA">
        <w:t>with crisis services at some point during 2019 – others may have been destitute but not in contact with any crisis service.</w:t>
      </w:r>
      <w:r w:rsidR="00DB63A8">
        <w:rPr>
          <w:rStyle w:val="FootnoteReference"/>
        </w:rPr>
        <w:footnoteReference w:id="21"/>
      </w:r>
      <w:r w:rsidR="00FB62C9">
        <w:t xml:space="preserve"> </w:t>
      </w:r>
      <w:r w:rsidR="000D74B6">
        <w:t xml:space="preserve">At least 2.4 million people, therefore, were not enjoying the </w:t>
      </w:r>
      <w:r w:rsidR="00FE2A49">
        <w:t xml:space="preserve">standard of living that articles 9 and 11 are supposed to guarantee. </w:t>
      </w:r>
      <w:r w:rsidR="00D85E6D">
        <w:t>Legal analysis reveals that, while a range of</w:t>
      </w:r>
      <w:r w:rsidR="005C0B49">
        <w:t xml:space="preserve"> relevant</w:t>
      </w:r>
      <w:r w:rsidR="00D85E6D">
        <w:t xml:space="preserve"> sectoral legislation exists </w:t>
      </w:r>
      <w:r w:rsidR="005C0B49">
        <w:t xml:space="preserve">and establishes services (social security, asylum support and </w:t>
      </w:r>
      <w:r w:rsidR="00F332CF">
        <w:t xml:space="preserve">local government </w:t>
      </w:r>
      <w:r w:rsidR="005C0B49">
        <w:t xml:space="preserve">welfare functions) that can, and to a large extent </w:t>
      </w:r>
      <w:r w:rsidR="00515A77">
        <w:t>d</w:t>
      </w:r>
      <w:r w:rsidR="005C0B49">
        <w:t xml:space="preserve">o, protect against destitution, </w:t>
      </w:r>
      <w:r w:rsidR="0098176C">
        <w:t>there is probably no overarching, enforceable legal duty on the state to do so.</w:t>
      </w:r>
      <w:r w:rsidR="00E33EAC">
        <w:t xml:space="preserve"> Consequently, there is little </w:t>
      </w:r>
      <w:r w:rsidR="00B5106F">
        <w:t xml:space="preserve">obstacle to a Government with a parliamentary majority cutting </w:t>
      </w:r>
      <w:r w:rsidR="00A86CBF">
        <w:t xml:space="preserve">or withdrawing forms of support, excluding categories of people from support or </w:t>
      </w:r>
      <w:r w:rsidR="00A34592">
        <w:t>imposing</w:t>
      </w:r>
      <w:r w:rsidR="00F54EF1">
        <w:t xml:space="preserve"> condition</w:t>
      </w:r>
      <w:r w:rsidR="00A34592">
        <w:t>s</w:t>
      </w:r>
      <w:r w:rsidR="00F54EF1">
        <w:t xml:space="preserve"> that inevitably render some destitute.</w:t>
      </w:r>
      <w:r w:rsidR="00E63EB4">
        <w:rPr>
          <w:rStyle w:val="FootnoteReference"/>
        </w:rPr>
        <w:footnoteReference w:id="22"/>
      </w:r>
    </w:p>
    <w:p w14:paraId="626F2EAB" w14:textId="637740FE" w:rsidR="000A1D04" w:rsidRDefault="00DB527B" w:rsidP="006E35D9">
      <w:r>
        <w:t xml:space="preserve">In the most extreme cases, article 3 ECHR (the prohibition of inhuman or degrading treatment, article 8 ECHR (the </w:t>
      </w:r>
      <w:r w:rsidR="009048BD">
        <w:t xml:space="preserve">right to respect for private and family life and the home) and the common law of humanity </w:t>
      </w:r>
      <w:r w:rsidR="00863978">
        <w:t>can offer a measure of protection against street homelessness and starvation</w:t>
      </w:r>
      <w:r w:rsidR="00C84EDF">
        <w:t xml:space="preserve">. However, the standard of living they guarantee </w:t>
      </w:r>
      <w:r w:rsidR="00360D57">
        <w:t xml:space="preserve">remains lower than the destitution threshold and </w:t>
      </w:r>
      <w:r w:rsidR="00844C0E">
        <w:t xml:space="preserve">their scope in this context is not necessarily universal. </w:t>
      </w:r>
      <w:r w:rsidR="00FA0852">
        <w:t xml:space="preserve">For example, destitution is only one of three components of the test </w:t>
      </w:r>
      <w:r w:rsidR="00E37CAD">
        <w:t>by which the courts determine whether extreme poverty results in breach of article 3 ECHR</w:t>
      </w:r>
      <w:r w:rsidR="00AE423F">
        <w:t>.</w:t>
      </w:r>
      <w:r w:rsidR="00E37CAD">
        <w:rPr>
          <w:rStyle w:val="FootnoteReference"/>
        </w:rPr>
        <w:footnoteReference w:id="23"/>
      </w:r>
      <w:r w:rsidR="00AE423F">
        <w:t xml:space="preserve"> The three tests are:</w:t>
      </w:r>
    </w:p>
    <w:p w14:paraId="21868994" w14:textId="3D727336" w:rsidR="00E37CAD" w:rsidRDefault="00C4069C" w:rsidP="00E37CAD">
      <w:pPr>
        <w:pStyle w:val="ListParagraph"/>
        <w:numPr>
          <w:ilvl w:val="0"/>
          <w:numId w:val="3"/>
        </w:numPr>
      </w:pPr>
      <w:r>
        <w:t xml:space="preserve">The individual must be unable to access ‘the most basic needs </w:t>
      </w:r>
      <w:r w:rsidR="00B0565E">
        <w:t>of a human being</w:t>
      </w:r>
      <w:r w:rsidR="001B70FF">
        <w:t>’</w:t>
      </w:r>
      <w:r w:rsidR="005F0214">
        <w:t xml:space="preserve">, </w:t>
      </w:r>
      <w:r w:rsidR="00B66560">
        <w:t>by essentially any lawful means</w:t>
      </w:r>
    </w:p>
    <w:p w14:paraId="2FCBD101" w14:textId="1E621A97" w:rsidR="005F0214" w:rsidRDefault="005F0214" w:rsidP="00E37CAD">
      <w:pPr>
        <w:pStyle w:val="ListParagraph"/>
        <w:numPr>
          <w:ilvl w:val="0"/>
          <w:numId w:val="3"/>
        </w:numPr>
      </w:pPr>
      <w:r>
        <w:t>These basic needs must be denied ‘to a seriously detrimental extent’</w:t>
      </w:r>
      <w:r w:rsidR="003C5925">
        <w:t xml:space="preserve">, so that the individual </w:t>
      </w:r>
      <w:r w:rsidR="00291137">
        <w:t>experiences degradation</w:t>
      </w:r>
      <w:r w:rsidR="00A226E8">
        <w:t xml:space="preserve"> or humiliation</w:t>
      </w:r>
    </w:p>
    <w:p w14:paraId="34A2E521" w14:textId="30F1F19C" w:rsidR="00A226E8" w:rsidRDefault="00AD2F1E" w:rsidP="00280263">
      <w:pPr>
        <w:pStyle w:val="ListParagraph"/>
        <w:numPr>
          <w:ilvl w:val="0"/>
          <w:numId w:val="3"/>
        </w:numPr>
        <w:spacing w:after="240"/>
      </w:pPr>
      <w:r>
        <w:t>This deprivation must result from treatment by the state, not from the individual’s own action, inaction or misfortune.</w:t>
      </w:r>
    </w:p>
    <w:p w14:paraId="0404E6A2" w14:textId="39F266AD" w:rsidR="00E37CAD" w:rsidRDefault="00EC5472" w:rsidP="006E35D9">
      <w:r>
        <w:t xml:space="preserve">This appears to imply that </w:t>
      </w:r>
      <w:r w:rsidR="00280263">
        <w:t xml:space="preserve">there is no positive obligation under article 3 to support an individual </w:t>
      </w:r>
      <w:r w:rsidR="00FA5D51">
        <w:t xml:space="preserve">who could access charitable support, who does not experience degradation (which the courts do not accept is an inevitable consequence of destitution, even of street homelessness) </w:t>
      </w:r>
      <w:r w:rsidR="004F451C">
        <w:t xml:space="preserve">or who is in any way responsible for his or her own plight, </w:t>
      </w:r>
      <w:r w:rsidR="005B6678">
        <w:t xml:space="preserve">for example because of failure to </w:t>
      </w:r>
      <w:r w:rsidR="001E2CD8">
        <w:t xml:space="preserve">seek or </w:t>
      </w:r>
      <w:r w:rsidR="005B6678">
        <w:t>obtain employment or promptly register an asylum claim.</w:t>
      </w:r>
      <w:r w:rsidR="00034795">
        <w:rPr>
          <w:rStyle w:val="FootnoteReference"/>
        </w:rPr>
        <w:footnoteReference w:id="24"/>
      </w:r>
      <w:r w:rsidR="00336C1C">
        <w:t xml:space="preserve"> There </w:t>
      </w:r>
      <w:r w:rsidR="00153A00">
        <w:t xml:space="preserve">are hints in the case law that the courts </w:t>
      </w:r>
      <w:r w:rsidR="00153A00">
        <w:lastRenderedPageBreak/>
        <w:t>are toying with acceptance that</w:t>
      </w:r>
      <w:r w:rsidR="009627A5">
        <w:t xml:space="preserve"> state-enforced</w:t>
      </w:r>
      <w:r w:rsidR="00153A00">
        <w:t xml:space="preserve"> destitution</w:t>
      </w:r>
      <w:r w:rsidR="009627A5">
        <w:t xml:space="preserve"> always</w:t>
      </w:r>
      <w:r w:rsidR="00153A00">
        <w:t xml:space="preserve"> </w:t>
      </w:r>
      <w:r w:rsidR="00142EFF">
        <w:t>equates to inhuman or degrading treatment, but this has yet to be endorsed by the Supreme Court.</w:t>
      </w:r>
      <w:r w:rsidR="00142EFF">
        <w:rPr>
          <w:rStyle w:val="FootnoteReference"/>
        </w:rPr>
        <w:footnoteReference w:id="25"/>
      </w:r>
      <w:r w:rsidR="006028D5">
        <w:t xml:space="preserve"> </w:t>
      </w:r>
      <w:r w:rsidR="00FE4AA5">
        <w:t>I</w:t>
      </w:r>
      <w:r w:rsidR="006028D5">
        <w:t xml:space="preserve">f this were to happen, </w:t>
      </w:r>
      <w:r w:rsidR="00FE4AA5">
        <w:t>it would clearly represent a step forward in the extent of legal protection against destitutio</w:t>
      </w:r>
      <w:r w:rsidR="00C32ECD">
        <w:t xml:space="preserve">n, but would not necessarily mean </w:t>
      </w:r>
      <w:r w:rsidR="00DF7BAD">
        <w:t xml:space="preserve">the minimum core obligations of article 9 were sufficiently guaranteed. </w:t>
      </w:r>
      <w:r w:rsidR="00146F65">
        <w:t>The</w:t>
      </w:r>
      <w:r w:rsidR="00AE423F">
        <w:t xml:space="preserve"> High Court</w:t>
      </w:r>
      <w:r w:rsidR="00146F65">
        <w:t xml:space="preserve"> </w:t>
      </w:r>
      <w:r w:rsidR="008B4CB1">
        <w:t>case</w:t>
      </w:r>
      <w:r w:rsidR="00AE423F">
        <w:t xml:space="preserve"> which may lead to change</w:t>
      </w:r>
      <w:r w:rsidR="008B4CB1">
        <w:t xml:space="preserve"> conc</w:t>
      </w:r>
      <w:r w:rsidR="00CC656C">
        <w:t xml:space="preserve">erned the position of certain non-UK nationals </w:t>
      </w:r>
      <w:r w:rsidR="00E12F71">
        <w:t xml:space="preserve">with </w:t>
      </w:r>
      <w:r w:rsidR="006E02C0">
        <w:t>leave to remain but no recourse to public funds</w:t>
      </w:r>
      <w:r w:rsidR="00EE4DF1">
        <w:t xml:space="preserve"> (NRPF) and its practical implications are potentially limited to requiring the lifting </w:t>
      </w:r>
      <w:r w:rsidR="00067A71">
        <w:t xml:space="preserve">of NRPF status when an affected individual faces imminent destitution, as opposed to when an individual </w:t>
      </w:r>
      <w:r w:rsidR="00067A71" w:rsidRPr="00067A71">
        <w:rPr>
          <w:i/>
          <w:iCs/>
        </w:rPr>
        <w:t>becomes</w:t>
      </w:r>
      <w:r w:rsidR="00067A71">
        <w:t xml:space="preserve"> destitute in line with the previous practice.</w:t>
      </w:r>
    </w:p>
    <w:p w14:paraId="12191F42" w14:textId="4274B1FE" w:rsidR="00B96CC1" w:rsidRDefault="006A1019" w:rsidP="006E35D9">
      <w:r>
        <w:t xml:space="preserve">Article 8 ECHR </w:t>
      </w:r>
      <w:r w:rsidR="0065359A">
        <w:t xml:space="preserve">does not often impose </w:t>
      </w:r>
      <w:r w:rsidR="00E920ED">
        <w:t>a</w:t>
      </w:r>
      <w:r w:rsidR="0065359A">
        <w:t xml:space="preserve"> positive obligation to provide material support, but can do so </w:t>
      </w:r>
      <w:r w:rsidR="00CE612A">
        <w:t>when necessary to enable family life to continue and secure the welfare of children.</w:t>
      </w:r>
      <w:r w:rsidR="00E472B1">
        <w:rPr>
          <w:rStyle w:val="FootnoteReference"/>
        </w:rPr>
        <w:footnoteReference w:id="26"/>
      </w:r>
      <w:r w:rsidR="00E472B1">
        <w:t xml:space="preserve"> This duty, though, can be a very limited one in practice</w:t>
      </w:r>
      <w:r w:rsidR="001025A2">
        <w:t>.</w:t>
      </w:r>
      <w:r w:rsidR="008D5302">
        <w:t xml:space="preserve"> The courts have found that the </w:t>
      </w:r>
      <w:r w:rsidR="001A012D">
        <w:t xml:space="preserve">state had discharged its obligation to ensure the necessary respect for family life even in circumstances that unequivocally fall short of the </w:t>
      </w:r>
      <w:r w:rsidR="00A55C32">
        <w:t>standards of article 11 ICESCR, the right to an adequate standard of living</w:t>
      </w:r>
      <w:r w:rsidR="00155817">
        <w:t xml:space="preserve">, and probably </w:t>
      </w:r>
      <w:r w:rsidR="0020074B">
        <w:t xml:space="preserve">fail to meet even the minimum core requirements of article 9. Considering the case of a destitute family housed by a local authority in an overcrowded and </w:t>
      </w:r>
      <w:r w:rsidR="00C010DC">
        <w:t>rodent-infested propert</w:t>
      </w:r>
      <w:r w:rsidR="00212D43">
        <w:t xml:space="preserve">y, without support for pregnancy-related needs, toiletries, snacks or </w:t>
      </w:r>
      <w:r w:rsidR="008C7791">
        <w:t>children’s travel costs during school holidays, the High Court found that the support provided was ‘regrettable’ but not unlawful.</w:t>
      </w:r>
      <w:r w:rsidR="00BD7943">
        <w:rPr>
          <w:rStyle w:val="FootnoteReference"/>
        </w:rPr>
        <w:footnoteReference w:id="27"/>
      </w:r>
    </w:p>
    <w:p w14:paraId="5C3E6A43" w14:textId="332696C1" w:rsidR="00142EFF" w:rsidRDefault="007B5E92" w:rsidP="006E35D9">
      <w:r>
        <w:t xml:space="preserve">UK courts have at times acknowledged the existence of a common law of humanity </w:t>
      </w:r>
      <w:r w:rsidR="00DE3F46">
        <w:t xml:space="preserve">that offers a degree of protection against the most extreme forms of poverty. </w:t>
      </w:r>
      <w:r w:rsidR="00803739">
        <w:t xml:space="preserve">Lord Ellenborough proposed in </w:t>
      </w:r>
      <w:r w:rsidR="00F8569F">
        <w:t>1803 that ‘the law of humanity, which is anterior to all positive laws, obliges us to afford [people] relief, to save them from starving.’</w:t>
      </w:r>
      <w:r w:rsidR="00D91178">
        <w:rPr>
          <w:rStyle w:val="FootnoteReference"/>
        </w:rPr>
        <w:footnoteReference w:id="28"/>
      </w:r>
      <w:r w:rsidR="007304CC">
        <w:t xml:space="preserve"> This principle has been invoked on a number of occasions from 1997 onward</w:t>
      </w:r>
      <w:r w:rsidR="00E806BF">
        <w:t xml:space="preserve">, usually in judgments </w:t>
      </w:r>
      <w:r w:rsidR="00856582">
        <w:t xml:space="preserve">that the state had acted unlawfully in withholding any financial support from </w:t>
      </w:r>
      <w:r w:rsidR="00A012A2">
        <w:t>certain non-nationals.</w:t>
      </w:r>
      <w:r w:rsidR="00A012A2">
        <w:rPr>
          <w:rStyle w:val="FootnoteReference"/>
        </w:rPr>
        <w:footnoteReference w:id="29"/>
      </w:r>
      <w:r w:rsidR="00A012A2">
        <w:t xml:space="preserve"> </w:t>
      </w:r>
      <w:r w:rsidR="00DD50C3">
        <w:t xml:space="preserve">However, it is not clear that the protection provided is any greater than that under article 3 ECHR and, like any common law rule, </w:t>
      </w:r>
      <w:r w:rsidR="004C425A">
        <w:t>the law of humanity can be overridden by</w:t>
      </w:r>
      <w:r w:rsidR="00D56CAA">
        <w:t xml:space="preserve"> an</w:t>
      </w:r>
      <w:r w:rsidR="004C425A">
        <w:t xml:space="preserve"> Act of Parliament</w:t>
      </w:r>
      <w:r w:rsidR="00D56CAA">
        <w:t xml:space="preserve"> that </w:t>
      </w:r>
      <w:r w:rsidR="00D81C52">
        <w:t>imposes destitution on a particular group</w:t>
      </w:r>
      <w:r w:rsidR="004C425A">
        <w:t>.</w:t>
      </w:r>
      <w:r w:rsidR="00D81C52">
        <w:rPr>
          <w:rStyle w:val="FootnoteReference"/>
        </w:rPr>
        <w:footnoteReference w:id="30"/>
      </w:r>
    </w:p>
    <w:p w14:paraId="6A724500" w14:textId="677BF2B2" w:rsidR="00443E73" w:rsidRDefault="00443E73" w:rsidP="00443E73">
      <w:pPr>
        <w:pStyle w:val="Heading1"/>
      </w:pPr>
      <w:r>
        <w:t>Social security</w:t>
      </w:r>
    </w:p>
    <w:p w14:paraId="06BB126E" w14:textId="28939EC5" w:rsidR="007B7972" w:rsidRDefault="00A30106" w:rsidP="00D35B09">
      <w:r w:rsidRPr="00664A23">
        <w:t xml:space="preserve">The decade from 2010 to 2020 was a period of unprecedented retrenchment for working age social security in the UK. </w:t>
      </w:r>
      <w:r w:rsidR="00777C42" w:rsidRPr="00664A23">
        <w:t xml:space="preserve">In part this was because of the identification of social security as </w:t>
      </w:r>
      <w:r w:rsidR="00EC09DD" w:rsidRPr="00664A23">
        <w:t xml:space="preserve">a prime area for spending cuts by governments seeking to reduce the public deficit, but </w:t>
      </w:r>
      <w:r w:rsidR="009A6288" w:rsidRPr="00664A23">
        <w:t xml:space="preserve">an ideological preference for individual self-reliance and the pursuit of (a highly political interpretation of) ‘fairness’ in the system </w:t>
      </w:r>
      <w:r w:rsidR="00F84493" w:rsidRPr="00664A23">
        <w:t>were equally important drivers.</w:t>
      </w:r>
      <w:r w:rsidR="00F0621C">
        <w:t xml:space="preserve"> Examples </w:t>
      </w:r>
      <w:r w:rsidR="005162B0">
        <w:t>i</w:t>
      </w:r>
      <w:r w:rsidR="00F0621C">
        <w:t xml:space="preserve">nclude </w:t>
      </w:r>
      <w:r w:rsidR="005162B0">
        <w:t>a lower ceiling on housing benefit awards to private tenants, to cover at most the cheapest 30% of properties in an area, the reduction of housing benefit awards to under-occupying social tenants</w:t>
      </w:r>
      <w:r w:rsidR="007727B3">
        <w:t xml:space="preserve">, introduction of </w:t>
      </w:r>
      <w:r w:rsidR="005162B0">
        <w:t>a cap on household benefit entitlement</w:t>
      </w:r>
      <w:r w:rsidR="007727B3">
        <w:t>, initially</w:t>
      </w:r>
      <w:r w:rsidR="005162B0">
        <w:t xml:space="preserve"> set with reference to average earnings</w:t>
      </w:r>
      <w:r w:rsidR="007727B3">
        <w:t xml:space="preserve"> and subsequently lowered, </w:t>
      </w:r>
      <w:r w:rsidR="0096692C">
        <w:t xml:space="preserve">freezing of a </w:t>
      </w:r>
      <w:r w:rsidR="0096692C">
        <w:lastRenderedPageBreak/>
        <w:t>range of social assistance awards for four years</w:t>
      </w:r>
      <w:r w:rsidR="00DE29E5">
        <w:t xml:space="preserve"> from 2016 and</w:t>
      </w:r>
      <w:r w:rsidR="00415A1E">
        <w:t xml:space="preserve"> phased</w:t>
      </w:r>
      <w:r w:rsidR="00DE29E5">
        <w:t xml:space="preserve"> limitation of </w:t>
      </w:r>
      <w:r w:rsidR="00415A1E">
        <w:t>child-related awards to two children per household.</w:t>
      </w:r>
      <w:r w:rsidR="00173FE0">
        <w:rPr>
          <w:rStyle w:val="FootnoteReference"/>
        </w:rPr>
        <w:footnoteReference w:id="31"/>
      </w:r>
    </w:p>
    <w:p w14:paraId="7A54A54E" w14:textId="67DCCCC3" w:rsidR="002559C9" w:rsidRPr="00664A23" w:rsidRDefault="002A332D" w:rsidP="00D35B09">
      <w:r w:rsidRPr="00664A23">
        <w:t>There can be no doubt that retrogression</w:t>
      </w:r>
      <w:r w:rsidR="00C0052E" w:rsidRPr="00664A23">
        <w:t xml:space="preserve"> in the right to social security occurred</w:t>
      </w:r>
      <w:r w:rsidR="008167C9">
        <w:t xml:space="preserve">, </w:t>
      </w:r>
      <w:r w:rsidR="00382F1E">
        <w:t>including</w:t>
      </w:r>
      <w:r w:rsidR="000A5989">
        <w:t xml:space="preserve"> in Northern Ireland and Scotland </w:t>
      </w:r>
      <w:r w:rsidR="00382F1E">
        <w:t>despite devolved administrations’ introduction of</w:t>
      </w:r>
      <w:r w:rsidR="000A5989">
        <w:t xml:space="preserve"> additional payments to shield claimants from certain cuts</w:t>
      </w:r>
      <w:r w:rsidR="008A54AF">
        <w:t xml:space="preserve"> or in pursuit of Scotland’s statutory targets for child poverty reduction</w:t>
      </w:r>
      <w:r w:rsidR="00C0052E" w:rsidRPr="00664A23">
        <w:t>.</w:t>
      </w:r>
      <w:r w:rsidR="005F3F1A">
        <w:rPr>
          <w:rStyle w:val="FootnoteReference"/>
        </w:rPr>
        <w:footnoteReference w:id="32"/>
      </w:r>
      <w:r w:rsidR="00361372">
        <w:t xml:space="preserve"> </w:t>
      </w:r>
      <w:r w:rsidR="00C0052E" w:rsidRPr="00664A23">
        <w:t xml:space="preserve">In considering the UK’s compliance with its obligations under the ICESCR, the key question is whether this retrogression was </w:t>
      </w:r>
      <w:r w:rsidR="00326A74" w:rsidRPr="00664A23">
        <w:t>‘fully justified’</w:t>
      </w:r>
      <w:r w:rsidR="00D35B09" w:rsidRPr="00664A23">
        <w:t xml:space="preserve"> in the context of continued deployment of the maximum available resources in pursuit of the realisation of the ‘totality’ of the rights conferred</w:t>
      </w:r>
      <w:r w:rsidR="00D428D9" w:rsidRPr="00664A23">
        <w:t>.</w:t>
      </w:r>
      <w:r w:rsidR="00D428D9" w:rsidRPr="00664A23">
        <w:rPr>
          <w:rStyle w:val="FootnoteReference"/>
        </w:rPr>
        <w:footnoteReference w:id="33"/>
      </w:r>
      <w:r w:rsidR="00376BDA">
        <w:t xml:space="preserve"> </w:t>
      </w:r>
      <w:r w:rsidR="002D1F30" w:rsidRPr="00664A23">
        <w:t xml:space="preserve">Defending judicial reviews of </w:t>
      </w:r>
      <w:r w:rsidR="00392449" w:rsidRPr="00664A23">
        <w:t xml:space="preserve">various social security </w:t>
      </w:r>
      <w:r w:rsidR="00655002" w:rsidRPr="00664A23">
        <w:t>reforms</w:t>
      </w:r>
      <w:r w:rsidR="00392449" w:rsidRPr="00664A23">
        <w:t xml:space="preserve"> in this period, the UK Government has typically argued that its policy choices have been justified </w:t>
      </w:r>
      <w:r w:rsidR="00C7369C">
        <w:t>on four grounds</w:t>
      </w:r>
      <w:r w:rsidR="00A6415F">
        <w:t>. W</w:t>
      </w:r>
      <w:r w:rsidR="00C7369C">
        <w:t>e now consider</w:t>
      </w:r>
      <w:r w:rsidR="00A6415F">
        <w:t xml:space="preserve"> these</w:t>
      </w:r>
      <w:r w:rsidR="00C7369C">
        <w:t xml:space="preserve"> in turn</w:t>
      </w:r>
      <w:r w:rsidR="00A6415F">
        <w:t>, followed by</w:t>
      </w:r>
      <w:r w:rsidR="003B410C">
        <w:t xml:space="preserve"> recent developments including</w:t>
      </w:r>
      <w:r w:rsidR="00A6415F">
        <w:t xml:space="preserve"> the </w:t>
      </w:r>
      <w:r w:rsidR="00151050">
        <w:t xml:space="preserve">‘cost of living’ payments made in response to inflationary pressures on </w:t>
      </w:r>
      <w:r w:rsidR="000D3374">
        <w:t>low-income</w:t>
      </w:r>
      <w:r w:rsidR="00151050">
        <w:t xml:space="preserve"> households’ budgets</w:t>
      </w:r>
      <w:r w:rsidR="00C7369C">
        <w:t>.</w:t>
      </w:r>
    </w:p>
    <w:p w14:paraId="19103993" w14:textId="6DDEB14C" w:rsidR="003F31B7" w:rsidRDefault="00C7369C" w:rsidP="00C7369C">
      <w:pPr>
        <w:pStyle w:val="Heading2"/>
      </w:pPr>
      <w:r>
        <w:t>Deficit reduction</w:t>
      </w:r>
    </w:p>
    <w:p w14:paraId="7B4B936D" w14:textId="0A0CE3DC" w:rsidR="00C524F2" w:rsidRDefault="00C524F2" w:rsidP="002D1F30">
      <w:r w:rsidRPr="00664A23">
        <w:t xml:space="preserve">Others have </w:t>
      </w:r>
      <w:r w:rsidR="007E7430" w:rsidRPr="00664A23">
        <w:t>noted</w:t>
      </w:r>
      <w:r w:rsidRPr="00664A23">
        <w:t xml:space="preserve"> that </w:t>
      </w:r>
      <w:r w:rsidR="0020150A" w:rsidRPr="00664A23">
        <w:t xml:space="preserve">the existence of a degree of political consensus around the need to reduce the </w:t>
      </w:r>
      <w:r w:rsidR="00F53845">
        <w:t xml:space="preserve">public </w:t>
      </w:r>
      <w:r w:rsidR="0020150A" w:rsidRPr="00664A23">
        <w:t xml:space="preserve">deficit after 2010 does not </w:t>
      </w:r>
      <w:r w:rsidR="007E7430" w:rsidRPr="00664A23">
        <w:t xml:space="preserve">change the fact that a preference for spending cuts over tax increases, and for </w:t>
      </w:r>
      <w:r w:rsidR="004629C2" w:rsidRPr="00664A23">
        <w:t>social security cuts over cuts to other areas of public spending, was an ideological choice</w:t>
      </w:r>
      <w:r w:rsidR="00C66158" w:rsidRPr="00664A23">
        <w:t xml:space="preserve"> and not an inevitable consequence of the 20</w:t>
      </w:r>
      <w:r w:rsidR="00F97D0A" w:rsidRPr="00664A23">
        <w:t>07-</w:t>
      </w:r>
      <w:r w:rsidR="00C66158" w:rsidRPr="00664A23">
        <w:t xml:space="preserve">08 </w:t>
      </w:r>
      <w:r w:rsidR="00F97D0A" w:rsidRPr="00664A23">
        <w:t>financial crisis.</w:t>
      </w:r>
      <w:r w:rsidR="00F97D0A" w:rsidRPr="00664A23">
        <w:rPr>
          <w:rStyle w:val="FootnoteReference"/>
        </w:rPr>
        <w:footnoteReference w:id="34"/>
      </w:r>
      <w:r w:rsidR="002F0C8D">
        <w:t xml:space="preserve"> The UK courts have repeatedly acknowledged that </w:t>
      </w:r>
      <w:r w:rsidR="00156BCA">
        <w:t xml:space="preserve">social security reforms have </w:t>
      </w:r>
      <w:r w:rsidR="00683C20">
        <w:t>resulted in greater financial losses to women and men.</w:t>
      </w:r>
      <w:r w:rsidR="00AC06D3">
        <w:rPr>
          <w:rStyle w:val="FootnoteReference"/>
        </w:rPr>
        <w:footnoteReference w:id="35"/>
      </w:r>
      <w:r w:rsidR="00683C20">
        <w:t xml:space="preserve"> Although they have normally accepted that </w:t>
      </w:r>
      <w:r w:rsidR="00446ED9">
        <w:t>the</w:t>
      </w:r>
      <w:r w:rsidR="00683C20">
        <w:t xml:space="preserve"> unequal treatment was justified</w:t>
      </w:r>
      <w:r w:rsidR="006E5DE9">
        <w:t xml:space="preserve"> for the purposes of article 14 ECHR</w:t>
      </w:r>
      <w:r w:rsidR="00683C20">
        <w:t xml:space="preserve">, this </w:t>
      </w:r>
      <w:r w:rsidR="00446ED9">
        <w:t>effect</w:t>
      </w:r>
      <w:r w:rsidR="00683C20">
        <w:t xml:space="preserve"> of reform should be taken into account when considering compliance with </w:t>
      </w:r>
      <w:r w:rsidR="00AC06D3">
        <w:t>articles 2(2) and 3 ICESCR.</w:t>
      </w:r>
    </w:p>
    <w:p w14:paraId="2EEA7B06" w14:textId="27BA930D" w:rsidR="00C7369C" w:rsidRDefault="00C7369C" w:rsidP="00C7369C">
      <w:pPr>
        <w:pStyle w:val="Heading2"/>
      </w:pPr>
      <w:r>
        <w:t>Incentivisation of paid employment</w:t>
      </w:r>
    </w:p>
    <w:p w14:paraId="14B287CE" w14:textId="3B2318E1" w:rsidR="00A05C8B" w:rsidRDefault="002D1F30" w:rsidP="002D1F30">
      <w:r w:rsidRPr="00664A23">
        <w:t>Successive UK Governments have identified ‘work’ (by which they mean paid employment) as the ‘best route out of poverty’.</w:t>
      </w:r>
      <w:r w:rsidR="00D63886">
        <w:t xml:space="preserve"> </w:t>
      </w:r>
      <w:r w:rsidR="00D63886" w:rsidRPr="00664A23">
        <w:t>It is not disputed that entry into and progression in paid work is likely to increase income compared to reliance on social security as one’s main source of income. In part the mantra that work is the best route out of poverty is a self-fulfilling prophecy when benefit rates are low. To this extent, measures to promote employment can make a positive contribution to the realisation of the right to an adequate standard of living.</w:t>
      </w:r>
      <w:r w:rsidR="00B465D7">
        <w:t xml:space="preserve"> However, </w:t>
      </w:r>
      <w:r w:rsidR="00F77AB1">
        <w:t xml:space="preserve">the specific measures adopted to this end in the UK </w:t>
      </w:r>
      <w:r w:rsidR="00C84FD4">
        <w:t>also have the effect of undermining individuals’ rights under articles 9 and 11 ICESCR</w:t>
      </w:r>
      <w:r w:rsidR="00C651D0">
        <w:t>, without always having the intended effect on employment outcomes</w:t>
      </w:r>
      <w:r w:rsidR="0058478D">
        <w:t xml:space="preserve"> or poverty rates</w:t>
      </w:r>
      <w:r w:rsidR="00C651D0">
        <w:t>.</w:t>
      </w:r>
      <w:r w:rsidR="00D618C2">
        <w:t xml:space="preserve"> </w:t>
      </w:r>
      <w:r w:rsidR="0058478D">
        <w:t>D</w:t>
      </w:r>
      <w:r w:rsidR="007B1A7D">
        <w:t xml:space="preserve">espite the consistent political emphasis on employment as the solution to poverty, </w:t>
      </w:r>
      <w:r w:rsidR="00D618C2">
        <w:t>during the New Labour era (1997 to 2010) ‘the years in which [social security] entitlements … rose relative to the poverty line coincide almost perfectly with the years in which child poverty fell</w:t>
      </w:r>
      <w:r w:rsidR="007B1A7D">
        <w:t>.’</w:t>
      </w:r>
      <w:r w:rsidR="00F342CB">
        <w:rPr>
          <w:rStyle w:val="FootnoteReference"/>
        </w:rPr>
        <w:footnoteReference w:id="36"/>
      </w:r>
    </w:p>
    <w:p w14:paraId="67DE466A" w14:textId="6B095908" w:rsidR="002D1F30" w:rsidRDefault="003E480D" w:rsidP="002D1F30">
      <w:r>
        <w:t xml:space="preserve">Promoting employment is often cited as a general justification for </w:t>
      </w:r>
      <w:r w:rsidR="00615653">
        <w:t xml:space="preserve">various curbs to the </w:t>
      </w:r>
      <w:r w:rsidR="00185CD6">
        <w:t>adequacy</w:t>
      </w:r>
      <w:r w:rsidR="00615653">
        <w:t xml:space="preserve"> of social security since 2010. </w:t>
      </w:r>
      <w:r w:rsidR="00A05C8B">
        <w:t>Additional</w:t>
      </w:r>
      <w:r w:rsidR="002D1F30" w:rsidRPr="00664A23">
        <w:t xml:space="preserve"> measures have been adopted </w:t>
      </w:r>
      <w:r w:rsidR="00A05C8B">
        <w:t>with the sole purpose of</w:t>
      </w:r>
      <w:r w:rsidR="002D1F30" w:rsidRPr="00664A23">
        <w:t xml:space="preserve"> </w:t>
      </w:r>
      <w:r w:rsidR="002D1F30" w:rsidRPr="00664A23">
        <w:lastRenderedPageBreak/>
        <w:t>encourag</w:t>
      </w:r>
      <w:r w:rsidR="00A05C8B">
        <w:t>ing</w:t>
      </w:r>
      <w:r w:rsidR="002D1F30" w:rsidRPr="00664A23">
        <w:t xml:space="preserve"> or enforc</w:t>
      </w:r>
      <w:r w:rsidR="00A05C8B">
        <w:t>ing</w:t>
      </w:r>
      <w:r w:rsidR="002D1F30" w:rsidRPr="00664A23">
        <w:t xml:space="preserve"> transitions from out-of-work and low-income social security benefits to employment, and subsequently to better paid employment. Some of these have involved increases to in-work benefits or, as with the introduction of universal credit from 2013 onward, the reduction of the rate at which benefit payments are withdrawn in response to increases in earned income. Others</w:t>
      </w:r>
      <w:r w:rsidR="00096F5C" w:rsidRPr="00664A23">
        <w:t>, as paragraph 84 of the state party report notes,</w:t>
      </w:r>
      <w:r w:rsidR="002D1F30" w:rsidRPr="00664A23">
        <w:t xml:space="preserve"> have involved increases in the range and intensity of jobseeking or employability-related activities claimants are obliged to undertake, widening of the pool of claimants to which these obligations apply (for example, to include primary carers of children over one year old),</w:t>
      </w:r>
      <w:r w:rsidR="002D1F30" w:rsidRPr="00664A23">
        <w:rPr>
          <w:rStyle w:val="FootnoteReference"/>
        </w:rPr>
        <w:footnoteReference w:id="37"/>
      </w:r>
      <w:r w:rsidR="002D1F30" w:rsidRPr="00664A23">
        <w:t xml:space="preserve"> further reducing the scope for ‘choosiness’ in the type of jobs applied for</w:t>
      </w:r>
      <w:r w:rsidR="004F0710" w:rsidRPr="00664A23">
        <w:rPr>
          <w:rStyle w:val="FootnoteReference"/>
        </w:rPr>
        <w:footnoteReference w:id="38"/>
      </w:r>
      <w:r w:rsidR="002D1F30" w:rsidRPr="00664A23">
        <w:t xml:space="preserve"> and increasing the severity of financial sanctions for non-compliance.</w:t>
      </w:r>
      <w:r w:rsidR="00EA6F1E" w:rsidRPr="00664A23">
        <w:rPr>
          <w:rStyle w:val="FootnoteReference"/>
        </w:rPr>
        <w:footnoteReference w:id="39"/>
      </w:r>
      <w:r w:rsidR="002D1F30" w:rsidRPr="00664A23">
        <w:t xml:space="preserve"> </w:t>
      </w:r>
      <w:r w:rsidR="00E1474E">
        <w:t xml:space="preserve">While some measure of coercion is an accepted part of </w:t>
      </w:r>
      <w:r w:rsidR="00F769E1">
        <w:t>active labour market policies internationally</w:t>
      </w:r>
      <w:r w:rsidR="002D1F30" w:rsidRPr="00664A23">
        <w:t>, when jobseeking ‘incentives’ include sanctions that can reduce a childless claimant’s income after housing costs to zero (or even less), for up to 18 months in some scenarios, there is no plausible way of arguing that this conditionality regime complies with the right to social security or to an adequate standard of living</w:t>
      </w:r>
      <w:r w:rsidR="00AA2A3C">
        <w:t>, or protects human dignity.</w:t>
      </w:r>
      <w:r w:rsidR="00A57C5E" w:rsidRPr="00664A23">
        <w:rPr>
          <w:rStyle w:val="FootnoteReference"/>
        </w:rPr>
        <w:footnoteReference w:id="40"/>
      </w:r>
      <w:r w:rsidR="00D833CA" w:rsidRPr="00664A23">
        <w:t xml:space="preserve"> Furthermore, there is strong evidence that</w:t>
      </w:r>
      <w:r w:rsidR="00BD7649" w:rsidRPr="00664A23">
        <w:t xml:space="preserve">, in some cases at least, </w:t>
      </w:r>
      <w:r w:rsidR="00D04576" w:rsidRPr="00664A23">
        <w:t xml:space="preserve">this highly disciplinary approach to claimant activation </w:t>
      </w:r>
      <w:r w:rsidR="00376516" w:rsidRPr="00664A23">
        <w:t>can be</w:t>
      </w:r>
      <w:r w:rsidR="0070359E">
        <w:t xml:space="preserve"> ineffective, as c</w:t>
      </w:r>
      <w:r w:rsidR="00926D79">
        <w:t>aring responsibilities continue to act as a formidable barrier to employment,</w:t>
      </w:r>
      <w:r w:rsidR="00D87669">
        <w:rPr>
          <w:rStyle w:val="FootnoteReference"/>
        </w:rPr>
        <w:footnoteReference w:id="41"/>
      </w:r>
      <w:r w:rsidR="00926D79">
        <w:t xml:space="preserve"> or even</w:t>
      </w:r>
      <w:r w:rsidR="00376516" w:rsidRPr="00664A23">
        <w:t xml:space="preserve"> self-defeating</w:t>
      </w:r>
      <w:r w:rsidR="00CD3BF0">
        <w:t>,</w:t>
      </w:r>
      <w:r w:rsidR="00376516" w:rsidRPr="00664A23">
        <w:t xml:space="preserve"> </w:t>
      </w:r>
      <w:r w:rsidR="00791F48">
        <w:t xml:space="preserve">as the impact of </w:t>
      </w:r>
      <w:r w:rsidR="008318B4">
        <w:t xml:space="preserve">a sanction and the resulting destitution on mental and physical health </w:t>
      </w:r>
      <w:r w:rsidR="00CD3BF0">
        <w:t>prevent effective</w:t>
      </w:r>
      <w:r w:rsidR="008318B4">
        <w:t xml:space="preserve"> jobseeking</w:t>
      </w:r>
      <w:r w:rsidR="00DF1260">
        <w:t>.</w:t>
      </w:r>
      <w:r w:rsidR="00DF1260">
        <w:rPr>
          <w:rStyle w:val="FootnoteReference"/>
        </w:rPr>
        <w:footnoteReference w:id="42"/>
      </w:r>
    </w:p>
    <w:p w14:paraId="230B830B" w14:textId="3E4B865D" w:rsidR="008D65AB" w:rsidRPr="00664A23" w:rsidRDefault="008D65AB" w:rsidP="008D65AB">
      <w:pPr>
        <w:pStyle w:val="Heading2"/>
        <w:rPr>
          <w:color w:val="auto"/>
        </w:rPr>
      </w:pPr>
      <w:r>
        <w:t>Increasing ‘fairness’ in social security</w:t>
      </w:r>
    </w:p>
    <w:p w14:paraId="0E254818" w14:textId="01FE3455" w:rsidR="002E316F" w:rsidRDefault="003A71A6" w:rsidP="002E316F">
      <w:r>
        <w:t xml:space="preserve">Reductions in benefit levels and increases in conditionality during the 2010s reflected </w:t>
      </w:r>
      <w:r w:rsidR="00AC3C8C">
        <w:t>not only an assumption that lack of employment was the dominant cause of material poverty, but a strong narrative that it (often) reflected a moral poverty.</w:t>
      </w:r>
      <w:r w:rsidR="00134BE0">
        <w:t xml:space="preserve"> Accordingly, ‘those who take a full-time job’ must be rewarded financially in absolute terms and relative to those who do not, and who </w:t>
      </w:r>
      <w:r w:rsidR="00AA0DBC">
        <w:t>the narrative often implies choose not to.</w:t>
      </w:r>
      <w:r w:rsidR="00AA0DBC">
        <w:rPr>
          <w:rStyle w:val="FootnoteReference"/>
        </w:rPr>
        <w:footnoteReference w:id="43"/>
      </w:r>
      <w:r w:rsidR="002E316F" w:rsidRPr="002E316F">
        <w:t xml:space="preserve"> </w:t>
      </w:r>
      <w:r w:rsidR="002E316F">
        <w:t>The measures described in paragraphs 80 to 81 of the state party report as having been introduced to increase f</w:t>
      </w:r>
      <w:r w:rsidR="002E316F" w:rsidRPr="00294F76">
        <w:t>airness</w:t>
      </w:r>
      <w:r w:rsidR="002E316F">
        <w:t xml:space="preserve"> in the social security system all reduce the adequacy of benefit awards. </w:t>
      </w:r>
      <w:r w:rsidR="00196023">
        <w:t>That these are ‘fair’</w:t>
      </w:r>
      <w:r w:rsidR="00626215">
        <w:t xml:space="preserve"> is a subjective and political </w:t>
      </w:r>
      <w:r w:rsidR="004F6FD5">
        <w:t xml:space="preserve">judgement with which we disagree. </w:t>
      </w:r>
      <w:r w:rsidR="00292B2B">
        <w:t>What can be more objectively stated is that</w:t>
      </w:r>
      <w:r w:rsidR="004F6FD5">
        <w:t xml:space="preserve"> the benefit cap and two-child limit</w:t>
      </w:r>
      <w:r w:rsidR="00292B2B">
        <w:t xml:space="preserve"> (measures highlighted in paragraphs 80 and 81)</w:t>
      </w:r>
      <w:r w:rsidR="004F6FD5">
        <w:t xml:space="preserve"> break the longstanding</w:t>
      </w:r>
      <w:r w:rsidR="009F0A29">
        <w:t>, Beveridgean</w:t>
      </w:r>
      <w:r w:rsidR="004F6FD5">
        <w:t xml:space="preserve"> link between benefit awards and need, measured according to family size and housing cost</w:t>
      </w:r>
      <w:r w:rsidR="006C728A">
        <w:t>s,</w:t>
      </w:r>
      <w:r w:rsidR="009F0A29">
        <w:rPr>
          <w:rStyle w:val="FootnoteReference"/>
        </w:rPr>
        <w:footnoteReference w:id="44"/>
      </w:r>
      <w:r w:rsidR="006C728A">
        <w:t xml:space="preserve"> in favour of a reassertion of the Poor Law principle of ‘less eligibility’ for those dependent on </w:t>
      </w:r>
      <w:r w:rsidR="001D2682">
        <w:t>state support.</w:t>
      </w:r>
      <w:r w:rsidR="002D4D26">
        <w:t xml:space="preserve"> </w:t>
      </w:r>
    </w:p>
    <w:p w14:paraId="30A1EC96" w14:textId="29E2AD51" w:rsidR="00CF1D57" w:rsidRDefault="00A00F77" w:rsidP="00443E73">
      <w:r>
        <w:t xml:space="preserve">The courts have been </w:t>
      </w:r>
      <w:r w:rsidR="0000383C">
        <w:t xml:space="preserve">extremely deferential to the Executive when faced with the question of whether this approach is ‘fair’ and </w:t>
      </w:r>
      <w:r w:rsidR="00DF7FEF">
        <w:t xml:space="preserve">whether the policies adopted in the name of ‘fairness’ are likely to achieve their stated aims. </w:t>
      </w:r>
      <w:r w:rsidR="00954B8C">
        <w:t xml:space="preserve">Lady Hale’s dissenting judgment on the lawfulness of the household benefit cap provides a rare example of </w:t>
      </w:r>
      <w:r w:rsidR="00B52D03">
        <w:t>an alternative approach</w:t>
      </w:r>
      <w:r w:rsidR="00E00407">
        <w:t xml:space="preserve"> – not disputing that ‘fairness’ is a </w:t>
      </w:r>
      <w:r w:rsidR="00E00407">
        <w:lastRenderedPageBreak/>
        <w:t>political construct</w:t>
      </w:r>
      <w:r w:rsidR="00610719">
        <w:t>, but observing that ‘f</w:t>
      </w:r>
      <w:r w:rsidR="00B52D03">
        <w:t>amilies in work are already better off than those on benefits and so the cap is not necessary in order to achieve fairness between them.</w:t>
      </w:r>
      <w:r w:rsidR="00FE6544">
        <w:t>’</w:t>
      </w:r>
      <w:r w:rsidR="007B1273">
        <w:rPr>
          <w:rStyle w:val="FootnoteReference"/>
        </w:rPr>
        <w:footnoteReference w:id="45"/>
      </w:r>
      <w:r w:rsidR="00FE6544">
        <w:t xml:space="preserve"> </w:t>
      </w:r>
      <w:r w:rsidR="00DF7510">
        <w:t xml:space="preserve">Whereas the ECHR </w:t>
      </w:r>
      <w:r w:rsidR="00936201">
        <w:t xml:space="preserve">provides little in the way of minimum standards for social protection (beyond that necessary to avoid inhuman or degrading treatment) and </w:t>
      </w:r>
      <w:r w:rsidR="00922B0A">
        <w:t xml:space="preserve">factors in a wide margin of appreciation to national executives and legislatures on matters of social and economic policy, a more interrogative approach </w:t>
      </w:r>
      <w:r w:rsidR="00B85BC8">
        <w:t>is</w:t>
      </w:r>
      <w:r w:rsidR="00922B0A">
        <w:t xml:space="preserve"> appropriate when assessing compliance with the ICESCR. </w:t>
      </w:r>
      <w:r w:rsidR="00F14D8A">
        <w:t>The onu</w:t>
      </w:r>
      <w:r w:rsidR="000D4E3A">
        <w:t>s here is on the state to demonstrate that any retrogression is justified</w:t>
      </w:r>
      <w:r w:rsidR="0075159A">
        <w:t xml:space="preserve"> – assertions of fairness should not simply be taken at face value – and that in any event the </w:t>
      </w:r>
      <w:r w:rsidR="00845C5E">
        <w:t>minimum core obligations are being respected</w:t>
      </w:r>
      <w:r w:rsidR="00BE31CC">
        <w:t>.</w:t>
      </w:r>
    </w:p>
    <w:p w14:paraId="0D3BA5BC" w14:textId="17A644C4" w:rsidR="008D65AB" w:rsidRDefault="008D65AB" w:rsidP="008D65AB">
      <w:pPr>
        <w:pStyle w:val="Heading2"/>
      </w:pPr>
      <w:r>
        <w:t>Discretionary payments protect the most vulnerable</w:t>
      </w:r>
    </w:p>
    <w:p w14:paraId="4C376345" w14:textId="0BEDC403" w:rsidR="00A96211" w:rsidRPr="003567C3" w:rsidRDefault="00A96211" w:rsidP="002E3404">
      <w:pPr>
        <w:rPr>
          <w:rFonts w:cstheme="minorHAnsi"/>
          <w:lang w:val="en-US"/>
        </w:rPr>
      </w:pPr>
      <w:r w:rsidRPr="003567C3">
        <w:rPr>
          <w:rFonts w:cstheme="minorHAnsi"/>
          <w:lang w:val="en-US"/>
        </w:rPr>
        <w:t xml:space="preserve">Paragraph 82 of the </w:t>
      </w:r>
      <w:r w:rsidR="003F31B7">
        <w:rPr>
          <w:rFonts w:cstheme="minorHAnsi"/>
          <w:lang w:val="en-US"/>
        </w:rPr>
        <w:t xml:space="preserve">state party </w:t>
      </w:r>
      <w:r w:rsidRPr="003567C3">
        <w:rPr>
          <w:rFonts w:cstheme="minorHAnsi"/>
          <w:lang w:val="en-US"/>
        </w:rPr>
        <w:t xml:space="preserve">report notes the availability of additional financial support for those unable to meet a shortfall between benefit entitlement and rent through the Discretionary Housing Payment Scheme (DHPs). The report refers to over £1billion of DHP funds since 2011. </w:t>
      </w:r>
      <w:r w:rsidR="00151434">
        <w:rPr>
          <w:rFonts w:cstheme="minorHAnsi"/>
          <w:lang w:val="en-US"/>
        </w:rPr>
        <w:t xml:space="preserve">The availability of DHPs </w:t>
      </w:r>
      <w:r w:rsidR="00FC35C6">
        <w:rPr>
          <w:rFonts w:cstheme="minorHAnsi"/>
          <w:lang w:val="en-US"/>
        </w:rPr>
        <w:t>has been cited in defence of various cuts to housing-related benefits.</w:t>
      </w:r>
      <w:r w:rsidR="00B83269">
        <w:rPr>
          <w:rStyle w:val="FootnoteReference"/>
          <w:rFonts w:cstheme="minorHAnsi"/>
          <w:lang w:val="en-US"/>
        </w:rPr>
        <w:footnoteReference w:id="46"/>
      </w:r>
      <w:r w:rsidR="00FC35C6">
        <w:rPr>
          <w:rFonts w:cstheme="minorHAnsi"/>
          <w:lang w:val="en-US"/>
        </w:rPr>
        <w:t xml:space="preserve"> </w:t>
      </w:r>
      <w:r w:rsidRPr="003567C3">
        <w:rPr>
          <w:rFonts w:cstheme="minorHAnsi"/>
          <w:lang w:val="en-US"/>
        </w:rPr>
        <w:t>However, DHPs are unable to adequately mitigate the cuts to housing benefit provision because:</w:t>
      </w:r>
    </w:p>
    <w:p w14:paraId="03E82942" w14:textId="1F92E28C" w:rsidR="00A96211" w:rsidRPr="003567C3" w:rsidRDefault="00A96211" w:rsidP="002E3404">
      <w:pPr>
        <w:pStyle w:val="ListParagraph"/>
        <w:numPr>
          <w:ilvl w:val="0"/>
          <w:numId w:val="4"/>
        </w:numPr>
        <w:spacing w:after="160" w:line="259" w:lineRule="auto"/>
        <w:contextualSpacing/>
        <w:rPr>
          <w:rFonts w:asciiTheme="minorHAnsi" w:hAnsiTheme="minorHAnsi" w:cstheme="minorHAnsi"/>
          <w:lang w:val="en-US"/>
        </w:rPr>
      </w:pPr>
      <w:r w:rsidRPr="003567C3">
        <w:rPr>
          <w:rFonts w:asciiTheme="minorHAnsi" w:hAnsiTheme="minorHAnsi" w:cstheme="minorHAnsi"/>
          <w:lang w:val="en-US"/>
        </w:rPr>
        <w:t xml:space="preserve">Available DHP funds </w:t>
      </w:r>
      <w:r w:rsidRPr="003567C3">
        <w:rPr>
          <w:rFonts w:asciiTheme="minorHAnsi" w:hAnsiTheme="minorHAnsi" w:cstheme="minorHAnsi"/>
          <w:b/>
          <w:bCs/>
          <w:u w:val="single"/>
          <w:lang w:val="en-US"/>
        </w:rPr>
        <w:t>pale in comparison to total deductions</w:t>
      </w:r>
      <w:r w:rsidRPr="003567C3">
        <w:rPr>
          <w:rFonts w:asciiTheme="minorHAnsi" w:hAnsiTheme="minorHAnsi" w:cstheme="minorHAnsi"/>
          <w:lang w:val="en-US"/>
        </w:rPr>
        <w:t xml:space="preserve">. Even at its peak, </w:t>
      </w:r>
      <w:r w:rsidR="00676A39">
        <w:rPr>
          <w:rFonts w:asciiTheme="minorHAnsi" w:hAnsiTheme="minorHAnsi" w:cstheme="minorHAnsi"/>
          <w:lang w:val="en-US"/>
        </w:rPr>
        <w:t>these</w:t>
      </w:r>
      <w:r w:rsidRPr="003567C3">
        <w:rPr>
          <w:rFonts w:asciiTheme="minorHAnsi" w:hAnsiTheme="minorHAnsi" w:cstheme="minorHAnsi"/>
          <w:lang w:val="en-US"/>
        </w:rPr>
        <w:t xml:space="preserve"> only accounted for 6% of total cuts to housing support.</w:t>
      </w:r>
      <w:r w:rsidRPr="003567C3">
        <w:rPr>
          <w:rStyle w:val="FootnoteReference"/>
          <w:rFonts w:asciiTheme="minorHAnsi" w:hAnsiTheme="minorHAnsi" w:cstheme="minorHAnsi"/>
          <w:lang w:val="en-US"/>
        </w:rPr>
        <w:footnoteReference w:id="47"/>
      </w:r>
      <w:r w:rsidRPr="003567C3">
        <w:rPr>
          <w:rFonts w:asciiTheme="minorHAnsi" w:hAnsiTheme="minorHAnsi" w:cstheme="minorHAnsi"/>
          <w:lang w:val="en-US"/>
        </w:rPr>
        <w:t xml:space="preserve"> </w:t>
      </w:r>
      <w:r w:rsidR="00F20830">
        <w:rPr>
          <w:rFonts w:asciiTheme="minorHAnsi" w:hAnsiTheme="minorHAnsi" w:cstheme="minorHAnsi"/>
          <w:lang w:val="en-US"/>
        </w:rPr>
        <w:t>T</w:t>
      </w:r>
      <w:r w:rsidRPr="003567C3">
        <w:rPr>
          <w:rFonts w:asciiTheme="minorHAnsi" w:hAnsiTheme="minorHAnsi" w:cstheme="minorHAnsi"/>
          <w:lang w:val="en-US"/>
        </w:rPr>
        <w:t xml:space="preserve">he Government cut DHP funding in 2022-23 by 29% compared to 2021-22: a £40 million </w:t>
      </w:r>
      <w:r w:rsidR="00A81422" w:rsidRPr="003567C3">
        <w:rPr>
          <w:rFonts w:asciiTheme="minorHAnsi" w:hAnsiTheme="minorHAnsi" w:cstheme="minorHAnsi"/>
          <w:lang w:val="en-US"/>
        </w:rPr>
        <w:t xml:space="preserve">reduction </w:t>
      </w:r>
      <w:r w:rsidRPr="003567C3">
        <w:rPr>
          <w:rFonts w:asciiTheme="minorHAnsi" w:hAnsiTheme="minorHAnsi" w:cstheme="minorHAnsi"/>
          <w:lang w:val="en-US"/>
        </w:rPr>
        <w:t>in England and Wales.</w:t>
      </w:r>
    </w:p>
    <w:p w14:paraId="7C837E9F" w14:textId="47362B13" w:rsidR="00A96211" w:rsidRPr="003567C3" w:rsidRDefault="00A96211" w:rsidP="002E3404">
      <w:pPr>
        <w:pStyle w:val="ListParagraph"/>
        <w:numPr>
          <w:ilvl w:val="0"/>
          <w:numId w:val="4"/>
        </w:numPr>
        <w:spacing w:after="160" w:line="259" w:lineRule="auto"/>
        <w:contextualSpacing/>
        <w:rPr>
          <w:rFonts w:asciiTheme="minorHAnsi" w:hAnsiTheme="minorHAnsi" w:cstheme="minorHAnsi"/>
          <w:lang w:val="en-US"/>
        </w:rPr>
      </w:pPr>
      <w:r w:rsidRPr="003567C3">
        <w:rPr>
          <w:rFonts w:asciiTheme="minorHAnsi" w:hAnsiTheme="minorHAnsi" w:cstheme="minorHAnsi"/>
          <w:lang w:val="en-US"/>
        </w:rPr>
        <w:t xml:space="preserve">There is </w:t>
      </w:r>
      <w:r w:rsidRPr="003567C3">
        <w:rPr>
          <w:rFonts w:asciiTheme="minorHAnsi" w:hAnsiTheme="minorHAnsi" w:cstheme="minorHAnsi"/>
          <w:b/>
          <w:bCs/>
          <w:u w:val="single"/>
          <w:lang w:val="en-US"/>
        </w:rPr>
        <w:t>significant variation between Local Authorities</w:t>
      </w:r>
      <w:r w:rsidRPr="003567C3">
        <w:rPr>
          <w:rFonts w:asciiTheme="minorHAnsi" w:hAnsiTheme="minorHAnsi" w:cstheme="minorHAnsi"/>
          <w:lang w:val="en-US"/>
        </w:rPr>
        <w:t xml:space="preserve"> </w:t>
      </w:r>
      <w:r w:rsidR="007D66AD">
        <w:rPr>
          <w:rFonts w:asciiTheme="minorHAnsi" w:hAnsiTheme="minorHAnsi" w:cstheme="minorHAnsi"/>
          <w:lang w:val="en-US"/>
        </w:rPr>
        <w:t>i</w:t>
      </w:r>
      <w:r w:rsidRPr="003567C3">
        <w:rPr>
          <w:rFonts w:asciiTheme="minorHAnsi" w:hAnsiTheme="minorHAnsi" w:cstheme="minorHAnsi"/>
          <w:lang w:val="en-US"/>
        </w:rPr>
        <w:t>n how the scheme is administered. Application processes – such as the assessment of income/expenditure and the imposition of conditionality –</w:t>
      </w:r>
      <w:r w:rsidR="00D95940">
        <w:rPr>
          <w:rFonts w:asciiTheme="minorHAnsi" w:hAnsiTheme="minorHAnsi" w:cstheme="minorHAnsi"/>
          <w:lang w:val="en-US"/>
        </w:rPr>
        <w:t xml:space="preserve"> </w:t>
      </w:r>
      <w:r w:rsidRPr="003567C3">
        <w:rPr>
          <w:rFonts w:asciiTheme="minorHAnsi" w:hAnsiTheme="minorHAnsi" w:cstheme="minorHAnsi"/>
          <w:lang w:val="en-US"/>
        </w:rPr>
        <w:t>and the amount of money allocated for additional support varies both by the political make-up and funding constraints faced by individual authorities.</w:t>
      </w:r>
      <w:r w:rsidRPr="003567C3">
        <w:rPr>
          <w:rStyle w:val="FootnoteReference"/>
          <w:rFonts w:asciiTheme="minorHAnsi" w:hAnsiTheme="minorHAnsi" w:cstheme="minorHAnsi"/>
          <w:lang w:val="en-US"/>
        </w:rPr>
        <w:footnoteReference w:id="48"/>
      </w:r>
    </w:p>
    <w:p w14:paraId="5B9D9C10" w14:textId="782B1982" w:rsidR="00A96211" w:rsidRDefault="00A96211" w:rsidP="002E3404">
      <w:pPr>
        <w:pStyle w:val="ListParagraph"/>
        <w:numPr>
          <w:ilvl w:val="0"/>
          <w:numId w:val="4"/>
        </w:numPr>
        <w:spacing w:after="160" w:line="259" w:lineRule="auto"/>
        <w:contextualSpacing/>
        <w:rPr>
          <w:rFonts w:asciiTheme="minorHAnsi" w:hAnsiTheme="minorHAnsi" w:cstheme="minorHAnsi"/>
          <w:lang w:val="en-US"/>
        </w:rPr>
      </w:pPr>
      <w:r w:rsidRPr="003567C3">
        <w:rPr>
          <w:rFonts w:asciiTheme="minorHAnsi" w:hAnsiTheme="minorHAnsi" w:cstheme="minorHAnsi"/>
          <w:lang w:val="en-US"/>
        </w:rPr>
        <w:t xml:space="preserve">DHPs </w:t>
      </w:r>
      <w:r w:rsidRPr="003567C3">
        <w:rPr>
          <w:rFonts w:asciiTheme="minorHAnsi" w:hAnsiTheme="minorHAnsi" w:cstheme="minorHAnsi"/>
          <w:b/>
          <w:bCs/>
          <w:u w:val="single"/>
          <w:lang w:val="en-US"/>
        </w:rPr>
        <w:t>are not a permanent solution</w:t>
      </w:r>
      <w:r w:rsidRPr="003567C3">
        <w:rPr>
          <w:rFonts w:asciiTheme="minorHAnsi" w:hAnsiTheme="minorHAnsi" w:cstheme="minorHAnsi"/>
          <w:lang w:val="en-US"/>
        </w:rPr>
        <w:t xml:space="preserve"> to insufficient housing support. Particularly for disabled people affected by benefit reforms, DHPs are an insecure means </w:t>
      </w:r>
      <w:r w:rsidR="00A9228A">
        <w:rPr>
          <w:rFonts w:asciiTheme="minorHAnsi" w:hAnsiTheme="minorHAnsi" w:cstheme="minorHAnsi"/>
          <w:lang w:val="en-US"/>
        </w:rPr>
        <w:t>of addressing</w:t>
      </w:r>
      <w:r w:rsidRPr="003567C3">
        <w:rPr>
          <w:rFonts w:asciiTheme="minorHAnsi" w:hAnsiTheme="minorHAnsi" w:cstheme="minorHAnsi"/>
          <w:lang w:val="en-US"/>
        </w:rPr>
        <w:t xml:space="preserve"> a long-term problem. As the Work &amp; Pensions Committee noted, reliance on DHPs to mitigate the benefit cap means that “many families are not getting the consistent support they need”.</w:t>
      </w:r>
      <w:r w:rsidRPr="003567C3">
        <w:rPr>
          <w:rStyle w:val="FootnoteReference"/>
          <w:rFonts w:asciiTheme="minorHAnsi" w:hAnsiTheme="minorHAnsi" w:cstheme="minorHAnsi"/>
          <w:lang w:val="en-US"/>
        </w:rPr>
        <w:footnoteReference w:id="49"/>
      </w:r>
    </w:p>
    <w:p w14:paraId="005B59CF" w14:textId="510B5A19" w:rsidR="00A0483D" w:rsidRDefault="00A0483D" w:rsidP="008215F0">
      <w:pPr>
        <w:contextualSpacing/>
        <w:rPr>
          <w:rFonts w:cstheme="minorHAnsi"/>
          <w:lang w:val="en-US"/>
        </w:rPr>
      </w:pPr>
      <w:r>
        <w:rPr>
          <w:rFonts w:cstheme="minorHAnsi"/>
          <w:lang w:val="en-US"/>
        </w:rPr>
        <w:t>D</w:t>
      </w:r>
      <w:r w:rsidR="008215F0">
        <w:rPr>
          <w:rFonts w:cstheme="minorHAnsi"/>
          <w:lang w:val="en-US"/>
        </w:rPr>
        <w:t xml:space="preserve">iscretionary </w:t>
      </w:r>
      <w:r w:rsidR="00980A88">
        <w:rPr>
          <w:rFonts w:cstheme="minorHAnsi"/>
          <w:lang w:val="en-US"/>
        </w:rPr>
        <w:t>payments</w:t>
      </w:r>
      <w:r>
        <w:rPr>
          <w:rFonts w:cstheme="minorHAnsi"/>
          <w:lang w:val="en-US"/>
        </w:rPr>
        <w:t xml:space="preserve"> </w:t>
      </w:r>
      <w:r w:rsidR="008215F0" w:rsidRPr="008215F0">
        <w:rPr>
          <w:rFonts w:cstheme="minorHAnsi"/>
          <w:lang w:val="en-US"/>
        </w:rPr>
        <w:t>provid</w:t>
      </w:r>
      <w:r w:rsidR="00CB3A36">
        <w:rPr>
          <w:rFonts w:cstheme="minorHAnsi"/>
          <w:lang w:val="en-US"/>
        </w:rPr>
        <w:t>ing</w:t>
      </w:r>
      <w:r w:rsidR="008215F0" w:rsidRPr="008215F0">
        <w:rPr>
          <w:rFonts w:cstheme="minorHAnsi"/>
          <w:lang w:val="en-US"/>
        </w:rPr>
        <w:t xml:space="preserve"> support in a crisis </w:t>
      </w:r>
      <w:r>
        <w:rPr>
          <w:rFonts w:cstheme="minorHAnsi"/>
          <w:lang w:val="en-US"/>
        </w:rPr>
        <w:t>have become</w:t>
      </w:r>
      <w:r w:rsidR="008215F0" w:rsidRPr="008215F0">
        <w:rPr>
          <w:rFonts w:cstheme="minorHAnsi"/>
          <w:lang w:val="en-US"/>
        </w:rPr>
        <w:t xml:space="preserve"> the safety net of last resort for citizens who do not merely face poverty, but whose ability to meet the basic material requirements of a life in dignity is in question</w:t>
      </w:r>
      <w:r w:rsidR="008215F0">
        <w:rPr>
          <w:rFonts w:cstheme="minorHAnsi"/>
          <w:lang w:val="en-US"/>
        </w:rPr>
        <w:t>. The UK-wide system of discretionary support un</w:t>
      </w:r>
      <w:r>
        <w:rPr>
          <w:rFonts w:cstheme="minorHAnsi"/>
          <w:lang w:val="en-US"/>
        </w:rPr>
        <w:t>d</w:t>
      </w:r>
      <w:r w:rsidR="008215F0">
        <w:rPr>
          <w:rFonts w:cstheme="minorHAnsi"/>
          <w:lang w:val="en-US"/>
        </w:rPr>
        <w:t xml:space="preserve">er the statutory Social Fund has been replaced since 2012 with </w:t>
      </w:r>
      <w:r w:rsidR="00980A88">
        <w:rPr>
          <w:rFonts w:cstheme="minorHAnsi"/>
          <w:lang w:val="en-US"/>
        </w:rPr>
        <w:t xml:space="preserve">a mixture of local and national schemes. </w:t>
      </w:r>
      <w:r w:rsidR="00980A88" w:rsidRPr="00980A88">
        <w:rPr>
          <w:rFonts w:cstheme="minorHAnsi"/>
          <w:lang w:val="en-US"/>
        </w:rPr>
        <w:t>In England, discretionary support has been devolved to local authorities with little consistency between different schemes and even less protection for the funds</w:t>
      </w:r>
      <w:r w:rsidR="00FE39B8">
        <w:rPr>
          <w:rFonts w:cstheme="minorHAnsi"/>
          <w:lang w:val="en-US"/>
        </w:rPr>
        <w:t xml:space="preserve">. </w:t>
      </w:r>
      <w:r w:rsidR="00980A88" w:rsidRPr="00980A88">
        <w:rPr>
          <w:rFonts w:cstheme="minorHAnsi"/>
          <w:lang w:val="en-US"/>
        </w:rPr>
        <w:t>Scotland, Wales and Northern Ireland each provide distinct schemes of support on a more centralised but still limited discretionary basis.</w:t>
      </w:r>
      <w:r>
        <w:rPr>
          <w:rFonts w:cstheme="minorHAnsi"/>
          <w:lang w:val="en-US"/>
        </w:rPr>
        <w:t xml:space="preserve"> </w:t>
      </w:r>
    </w:p>
    <w:p w14:paraId="1778D2C4" w14:textId="77777777" w:rsidR="00A0483D" w:rsidRDefault="00A0483D" w:rsidP="008215F0">
      <w:pPr>
        <w:contextualSpacing/>
        <w:rPr>
          <w:rFonts w:cstheme="minorHAnsi"/>
          <w:lang w:val="en-US"/>
        </w:rPr>
      </w:pPr>
    </w:p>
    <w:p w14:paraId="7FDABB76" w14:textId="58F30C0E" w:rsidR="008215F0" w:rsidRPr="008215F0" w:rsidRDefault="00FE39B8" w:rsidP="008215F0">
      <w:pPr>
        <w:contextualSpacing/>
        <w:rPr>
          <w:rFonts w:cstheme="minorHAnsi"/>
          <w:lang w:val="en-US"/>
        </w:rPr>
      </w:pPr>
      <w:r>
        <w:t>Coverage ranges from</w:t>
      </w:r>
      <w:r w:rsidR="00A0483D">
        <w:t xml:space="preserve"> adequate to hopeless. The absence of any schemes in many </w:t>
      </w:r>
      <w:r w:rsidR="005664F7">
        <w:t>parts of</w:t>
      </w:r>
      <w:r w:rsidR="00A0483D">
        <w:t xml:space="preserve"> England, and the susceptibility of existing schemes to budgetary constraints, offers little in the way of dignity </w:t>
      </w:r>
      <w:r w:rsidR="00A0483D">
        <w:lastRenderedPageBreak/>
        <w:t>for those in need.</w:t>
      </w:r>
      <w:r w:rsidR="00922498">
        <w:rPr>
          <w:rStyle w:val="FootnoteReference"/>
        </w:rPr>
        <w:footnoteReference w:id="50"/>
      </w:r>
      <w:r w:rsidR="00A0483D">
        <w:t xml:space="preserve"> The lottery of access, the intrusive nature of </w:t>
      </w:r>
      <w:r w:rsidR="00E4018B">
        <w:t xml:space="preserve">some </w:t>
      </w:r>
      <w:r w:rsidR="00A0483D">
        <w:t>schemes, forced reliance on charity even for those able to access support and the lack of user insight into how schemes could be improved fail</w:t>
      </w:r>
      <w:r w:rsidR="00E4018B">
        <w:t>s</w:t>
      </w:r>
      <w:r w:rsidR="00A0483D">
        <w:t xml:space="preserve"> to meet basic principles of dignity. The </w:t>
      </w:r>
      <w:r w:rsidR="00BC5D8F">
        <w:t xml:space="preserve">nationalised approach of the </w:t>
      </w:r>
      <w:r w:rsidR="00A0483D">
        <w:t xml:space="preserve">Welsh scheme provides consistency, but a lack of </w:t>
      </w:r>
      <w:r w:rsidR="002E0000">
        <w:t xml:space="preserve">current </w:t>
      </w:r>
      <w:r w:rsidR="00A0483D">
        <w:t>data on its effectiveness means few firm conclusions can be drawn</w:t>
      </w:r>
      <w:r w:rsidR="002E0000">
        <w:t xml:space="preserve"> about its ability to meet income shortfalls</w:t>
      </w:r>
      <w:r w:rsidR="00A0483D">
        <w:t>.</w:t>
      </w:r>
      <w:r w:rsidR="002E0000">
        <w:rPr>
          <w:rStyle w:val="FootnoteReference"/>
        </w:rPr>
        <w:footnoteReference w:id="51"/>
      </w:r>
      <w:r w:rsidR="00A0483D">
        <w:t xml:space="preserve"> The Scottish scheme is embedded within a statutory commitment to dignity and respect, an important, albeit symbolic framework where the reality </w:t>
      </w:r>
      <w:r w:rsidR="00BC5D8F">
        <w:t>may not necessarily meet</w:t>
      </w:r>
      <w:r w:rsidR="00A0483D">
        <w:t xml:space="preserve"> the aspiration.</w:t>
      </w:r>
      <w:r w:rsidR="002E0000">
        <w:rPr>
          <w:rStyle w:val="FootnoteReference"/>
        </w:rPr>
        <w:footnoteReference w:id="52"/>
      </w:r>
      <w:r w:rsidR="00A0483D">
        <w:t xml:space="preserve"> </w:t>
      </w:r>
      <w:r w:rsidR="000513B6">
        <w:t>T</w:t>
      </w:r>
      <w:r w:rsidR="00A0483D">
        <w:t>he Scottish Parliament’s Social Security Committee cautions against replacing rights with discretionary payments.</w:t>
      </w:r>
      <w:r w:rsidR="00A0483D">
        <w:rPr>
          <w:rStyle w:val="FootnoteReference"/>
        </w:rPr>
        <w:footnoteReference w:id="53"/>
      </w:r>
      <w:r w:rsidR="00A0483D">
        <w:t xml:space="preserve"> Northern Ireland offers supplementary social security payments to mitigate against some of the impacts of UK-wide policy, but the </w:t>
      </w:r>
      <w:r w:rsidR="0083634A">
        <w:t>recent</w:t>
      </w:r>
      <w:r w:rsidR="00A0483D">
        <w:t xml:space="preserve"> independent review is clear that essential needs still remain unmet.</w:t>
      </w:r>
      <w:r w:rsidR="00922498">
        <w:rPr>
          <w:rStyle w:val="FootnoteReference"/>
        </w:rPr>
        <w:footnoteReference w:id="54"/>
      </w:r>
      <w:r w:rsidR="00A0483D">
        <w:t xml:space="preserve"> </w:t>
      </w:r>
      <w:r w:rsidR="00980A88" w:rsidRPr="00980A88">
        <w:rPr>
          <w:rFonts w:cstheme="minorHAnsi"/>
          <w:lang w:val="en-US"/>
        </w:rPr>
        <w:t xml:space="preserve"> </w:t>
      </w:r>
      <w:r w:rsidR="00980A88">
        <w:rPr>
          <w:rFonts w:cstheme="minorHAnsi"/>
          <w:lang w:val="en-US"/>
        </w:rPr>
        <w:t xml:space="preserve"> </w:t>
      </w:r>
    </w:p>
    <w:p w14:paraId="027C03A4" w14:textId="7B1E2777" w:rsidR="003B410C" w:rsidRDefault="003B410C" w:rsidP="002E3404">
      <w:pPr>
        <w:pStyle w:val="Heading2"/>
        <w:rPr>
          <w:lang w:val="en-US"/>
        </w:rPr>
      </w:pPr>
      <w:r>
        <w:rPr>
          <w:lang w:val="en-US"/>
        </w:rPr>
        <w:t>Recent developments</w:t>
      </w:r>
    </w:p>
    <w:p w14:paraId="56B38760" w14:textId="3C020D58" w:rsidR="00236CA8" w:rsidRDefault="00A24450" w:rsidP="00A24450">
      <w:r>
        <w:rPr>
          <w:lang w:val="en-US"/>
        </w:rPr>
        <w:t xml:space="preserve">The era of continual </w:t>
      </w:r>
      <w:r w:rsidR="000362F6">
        <w:rPr>
          <w:lang w:val="en-US"/>
        </w:rPr>
        <w:t xml:space="preserve">social security </w:t>
      </w:r>
      <w:r>
        <w:rPr>
          <w:lang w:val="en-US"/>
        </w:rPr>
        <w:t>cuts from 2010 to 20</w:t>
      </w:r>
      <w:r w:rsidR="000362F6">
        <w:rPr>
          <w:lang w:val="en-US"/>
        </w:rPr>
        <w:t xml:space="preserve">20 has come to an end. </w:t>
      </w:r>
      <w:r w:rsidR="009E0CD4">
        <w:rPr>
          <w:lang w:val="en-US"/>
        </w:rPr>
        <w:t>While t</w:t>
      </w:r>
      <w:r w:rsidR="000362F6">
        <w:rPr>
          <w:lang w:val="en-US"/>
        </w:rPr>
        <w:t xml:space="preserve">his is welcome, </w:t>
      </w:r>
      <w:r w:rsidR="009E0CD4">
        <w:rPr>
          <w:lang w:val="en-US"/>
        </w:rPr>
        <w:t xml:space="preserve">it must be stressed that </w:t>
      </w:r>
      <w:r w:rsidR="006C6735">
        <w:rPr>
          <w:lang w:val="en-US"/>
        </w:rPr>
        <w:t xml:space="preserve">the uprating highlighted in paragraph 78 of the state party report </w:t>
      </w:r>
      <w:r w:rsidR="00A2492A">
        <w:rPr>
          <w:lang w:val="en-US"/>
        </w:rPr>
        <w:t xml:space="preserve">(and the uprating of 10.1% planned for April 2023) </w:t>
      </w:r>
      <w:r w:rsidR="005A2F7A">
        <w:rPr>
          <w:lang w:val="en-US"/>
        </w:rPr>
        <w:t xml:space="preserve">only </w:t>
      </w:r>
      <w:r w:rsidR="006C6735">
        <w:rPr>
          <w:lang w:val="en-US"/>
        </w:rPr>
        <w:t xml:space="preserve">means </w:t>
      </w:r>
      <w:r w:rsidR="001E5C1A">
        <w:rPr>
          <w:lang w:val="en-US"/>
        </w:rPr>
        <w:t>working age</w:t>
      </w:r>
      <w:r w:rsidR="005A2F7A">
        <w:rPr>
          <w:lang w:val="en-US"/>
        </w:rPr>
        <w:t xml:space="preserve"> </w:t>
      </w:r>
      <w:r w:rsidR="009E0CD4">
        <w:rPr>
          <w:lang w:val="en-US"/>
        </w:rPr>
        <w:t xml:space="preserve">social protection is being maintained </w:t>
      </w:r>
      <w:r w:rsidR="007A2988">
        <w:rPr>
          <w:lang w:val="en-US"/>
        </w:rPr>
        <w:t xml:space="preserve">at the greatly diminished level of adequacy it had reached by the </w:t>
      </w:r>
      <w:r w:rsidR="00294C6E">
        <w:rPr>
          <w:lang w:val="en-US"/>
        </w:rPr>
        <w:t>late</w:t>
      </w:r>
      <w:r w:rsidR="007A2988">
        <w:rPr>
          <w:lang w:val="en-US"/>
        </w:rPr>
        <w:t xml:space="preserve"> 2010s</w:t>
      </w:r>
      <w:r w:rsidR="005A2F7A">
        <w:rPr>
          <w:lang w:val="en-US"/>
        </w:rPr>
        <w:t>. Benefits are not</w:t>
      </w:r>
      <w:r w:rsidR="00C047E4">
        <w:rPr>
          <w:lang w:val="en-US"/>
        </w:rPr>
        <w:t xml:space="preserve"> being restored to a level </w:t>
      </w:r>
      <w:r w:rsidR="00B377FF">
        <w:rPr>
          <w:lang w:val="en-US"/>
        </w:rPr>
        <w:t xml:space="preserve">that even </w:t>
      </w:r>
      <w:r w:rsidR="00C6512C">
        <w:rPr>
          <w:lang w:val="en-US"/>
        </w:rPr>
        <w:t>pre-</w:t>
      </w:r>
      <w:r w:rsidR="00B377FF">
        <w:rPr>
          <w:lang w:val="en-US"/>
        </w:rPr>
        <w:t xml:space="preserve">2010 </w:t>
      </w:r>
      <w:r w:rsidR="00763B69">
        <w:rPr>
          <w:lang w:val="en-US"/>
        </w:rPr>
        <w:t>the European Committee of Social Rights</w:t>
      </w:r>
      <w:r w:rsidR="00356FAA">
        <w:rPr>
          <w:lang w:val="en-US"/>
        </w:rPr>
        <w:t xml:space="preserve"> deemed ‘manifestly inadequate’ </w:t>
      </w:r>
      <w:r w:rsidR="00763B69">
        <w:rPr>
          <w:lang w:val="en-US"/>
        </w:rPr>
        <w:t>to comply with the right to social security.</w:t>
      </w:r>
      <w:r w:rsidR="00763B69">
        <w:rPr>
          <w:rStyle w:val="FootnoteReference"/>
          <w:lang w:val="en-US"/>
        </w:rPr>
        <w:footnoteReference w:id="55"/>
      </w:r>
      <w:r w:rsidR="00B06588" w:rsidRPr="00B06588">
        <w:t xml:space="preserve"> </w:t>
      </w:r>
    </w:p>
    <w:p w14:paraId="5560CD09" w14:textId="06D24287" w:rsidR="00514F35" w:rsidRDefault="001E5C1A" w:rsidP="00197D99">
      <w:r>
        <w:t>C</w:t>
      </w:r>
      <w:r w:rsidR="00B06588" w:rsidRPr="00A96211">
        <w:t xml:space="preserve">urrent </w:t>
      </w:r>
      <w:r>
        <w:t xml:space="preserve">benefit </w:t>
      </w:r>
      <w:r w:rsidR="00B06588" w:rsidRPr="00A96211">
        <w:t xml:space="preserve">levels can be considered at an </w:t>
      </w:r>
      <w:r w:rsidR="00A3794E">
        <w:t>‘</w:t>
      </w:r>
      <w:r w:rsidR="00B06588" w:rsidRPr="00A96211">
        <w:t>all time low</w:t>
      </w:r>
      <w:r w:rsidR="00A3794E">
        <w:t>’</w:t>
      </w:r>
      <w:r w:rsidR="00B06588" w:rsidRPr="00A96211">
        <w:t xml:space="preserve"> since their introduction in the National Assistance Act 1948. Then, unemployment benefit was equivalent to 20% of average weekly earnings; </w:t>
      </w:r>
      <w:r w:rsidR="00D51BE2">
        <w:t>today’s</w:t>
      </w:r>
      <w:r w:rsidR="00B06588" w:rsidRPr="00A96211">
        <w:t xml:space="preserve"> equivalent (</w:t>
      </w:r>
      <w:r w:rsidR="00B06588">
        <w:t>universal credit</w:t>
      </w:r>
      <w:r w:rsidR="00B06588" w:rsidRPr="00A96211">
        <w:t xml:space="preserve"> standard allowance) has fallen to 12.5%.</w:t>
      </w:r>
      <w:r w:rsidR="00B06588">
        <w:rPr>
          <w:rStyle w:val="FootnoteReference"/>
        </w:rPr>
        <w:footnoteReference w:id="56"/>
      </w:r>
      <w:r w:rsidR="00B06588">
        <w:t xml:space="preserve"> </w:t>
      </w:r>
      <w:r w:rsidR="00C91646">
        <w:t xml:space="preserve"> </w:t>
      </w:r>
      <w:r w:rsidR="00116D7B">
        <w:t>When real-terms increases in adequacy have occurred, these have been temporary uplifts, such as the £20 per week increase to the universal credit standard allowance during the COVID-19 pandemic</w:t>
      </w:r>
      <w:r w:rsidR="009019D2">
        <w:t xml:space="preserve"> (with no equivalent support for claimants on the ‘legacy’ social assistance benefits)</w:t>
      </w:r>
      <w:r w:rsidR="00E3606C">
        <w:t>.</w:t>
      </w:r>
      <w:r w:rsidR="00A528D6">
        <w:rPr>
          <w:rStyle w:val="FootnoteReference"/>
        </w:rPr>
        <w:footnoteReference w:id="57"/>
      </w:r>
      <w:r w:rsidR="00E3606C">
        <w:t xml:space="preserve"> </w:t>
      </w:r>
      <w:r w:rsidR="00E628AA">
        <w:t xml:space="preserve">Although the uplift was widely regarded as an acknowledgement that the level of social assistance was inadequate, </w:t>
      </w:r>
      <w:r w:rsidR="002059D0">
        <w:t xml:space="preserve">it was withdrawn in October 2021, </w:t>
      </w:r>
      <w:r w:rsidR="00845844">
        <w:t>with the only compensatory measure falling outside</w:t>
      </w:r>
      <w:r w:rsidR="00116D7B">
        <w:t xml:space="preserve"> the mainstream social security system,</w:t>
      </w:r>
      <w:r w:rsidR="00956187">
        <w:t xml:space="preserve"> </w:t>
      </w:r>
      <w:r w:rsidR="00845844">
        <w:t>in the form of</w:t>
      </w:r>
      <w:r w:rsidR="00116D7B">
        <w:t xml:space="preserve"> the</w:t>
      </w:r>
      <w:r w:rsidR="00DE561C">
        <w:t xml:space="preserve"> (England-only)</w:t>
      </w:r>
      <w:r w:rsidR="00116D7B">
        <w:t xml:space="preserve"> household support fund mentioned in paragraph 83 of the state party report.</w:t>
      </w:r>
      <w:r w:rsidR="00956187">
        <w:t xml:space="preserve"> While the latter is </w:t>
      </w:r>
      <w:r w:rsidR="00FB2DAC">
        <w:t xml:space="preserve">welcome, </w:t>
      </w:r>
      <w:r w:rsidR="00A96211" w:rsidRPr="003567C3">
        <w:rPr>
          <w:rFonts w:cstheme="minorHAnsi"/>
          <w:lang w:val="en-US"/>
        </w:rPr>
        <w:t>the fund suffers from similar limitations to DHPs</w:t>
      </w:r>
      <w:r w:rsidR="00A64CC2">
        <w:rPr>
          <w:rFonts w:cstheme="minorHAnsi"/>
          <w:lang w:val="en-US"/>
        </w:rPr>
        <w:t>. The £500million</w:t>
      </w:r>
      <w:r w:rsidR="00A96211" w:rsidRPr="003567C3">
        <w:rPr>
          <w:rFonts w:cstheme="minorHAnsi"/>
          <w:lang w:val="en-US"/>
        </w:rPr>
        <w:t xml:space="preserve"> allocated to </w:t>
      </w:r>
      <w:r w:rsidR="00A64CC2">
        <w:rPr>
          <w:rFonts w:cstheme="minorHAnsi"/>
          <w:lang w:val="en-US"/>
        </w:rPr>
        <w:t>it</w:t>
      </w:r>
      <w:r w:rsidR="00A96211" w:rsidRPr="003567C3">
        <w:rPr>
          <w:rFonts w:cstheme="minorHAnsi"/>
          <w:lang w:val="en-US"/>
        </w:rPr>
        <w:t xml:space="preserve"> falls well short of mitigating the removal of the £20 per week uplift to Universal Credit and</w:t>
      </w:r>
      <w:r w:rsidR="00FB2DAC">
        <w:rPr>
          <w:rFonts w:cstheme="minorHAnsi"/>
          <w:lang w:val="en-US"/>
        </w:rPr>
        <w:t xml:space="preserve"> has been calculated to be</w:t>
      </w:r>
      <w:r w:rsidR="00A96211" w:rsidRPr="003567C3">
        <w:rPr>
          <w:rFonts w:cstheme="minorHAnsi"/>
          <w:lang w:val="en-US"/>
        </w:rPr>
        <w:t xml:space="preserve"> insufficient to meet the needs of the 1.7 million households with severe food insecurity.</w:t>
      </w:r>
      <w:r w:rsidR="00A96211" w:rsidRPr="003567C3">
        <w:rPr>
          <w:rStyle w:val="FootnoteReference"/>
          <w:rFonts w:cstheme="minorHAnsi"/>
          <w:lang w:val="en-US"/>
        </w:rPr>
        <w:footnoteReference w:id="58"/>
      </w:r>
      <w:r w:rsidR="00E05716">
        <w:rPr>
          <w:rFonts w:cstheme="minorHAnsi"/>
          <w:lang w:val="en-US"/>
        </w:rPr>
        <w:t xml:space="preserve"> This trend of providing support outside the social security system</w:t>
      </w:r>
      <w:r w:rsidR="00F8000A">
        <w:rPr>
          <w:rFonts w:cstheme="minorHAnsi"/>
          <w:lang w:val="en-US"/>
        </w:rPr>
        <w:t>, through a series of one-off payments in receipt to claimants of social assistance benefits,</w:t>
      </w:r>
      <w:r w:rsidR="00E05716">
        <w:rPr>
          <w:rFonts w:cstheme="minorHAnsi"/>
          <w:lang w:val="en-US"/>
        </w:rPr>
        <w:t xml:space="preserve"> rather than increasing headline benefit rates continued </w:t>
      </w:r>
      <w:r w:rsidR="00197D99">
        <w:rPr>
          <w:rFonts w:cstheme="minorHAnsi"/>
          <w:lang w:val="en-US"/>
        </w:rPr>
        <w:t xml:space="preserve">as inflation rose rapidly </w:t>
      </w:r>
      <w:r w:rsidR="00197D99">
        <w:rPr>
          <w:rFonts w:cstheme="minorHAnsi"/>
          <w:lang w:val="en-US"/>
        </w:rPr>
        <w:lastRenderedPageBreak/>
        <w:t xml:space="preserve">in 2022. </w:t>
      </w:r>
      <w:r w:rsidR="00197D99">
        <w:t>These payments have provided some relief from immediate pressure</w:t>
      </w:r>
      <w:r w:rsidR="00F8000A">
        <w:t>s but provide no long term protection against poverty</w:t>
      </w:r>
      <w:r w:rsidR="00197D99">
        <w:t xml:space="preserve">. </w:t>
      </w:r>
      <w:r w:rsidR="00F8000A">
        <w:t xml:space="preserve">Individuals who do not receive the </w:t>
      </w:r>
      <w:r w:rsidR="00820798">
        <w:t>passporting benefit on the stipulated qualifying date do not receive additional support</w:t>
      </w:r>
      <w:r w:rsidR="00774412">
        <w:t xml:space="preserve">, tenants who use a pre-pay meter that is not registered in their name </w:t>
      </w:r>
      <w:r w:rsidR="008640A9">
        <w:t>risk missing out</w:t>
      </w:r>
      <w:r w:rsidR="00820798">
        <w:t xml:space="preserve"> and there have been problems with extending the payments to Northern Ireland due to the </w:t>
      </w:r>
      <w:r w:rsidR="00BA0C4B">
        <w:t>current absence of functioning devolved institutions.</w:t>
      </w:r>
      <w:r w:rsidR="00A3794E">
        <w:t xml:space="preserve"> </w:t>
      </w:r>
    </w:p>
    <w:p w14:paraId="6428109F" w14:textId="33F36D01" w:rsidR="002F5019" w:rsidRDefault="002F5019" w:rsidP="00443E73">
      <w:r>
        <w:t xml:space="preserve">The questionable adequacy of working age social security </w:t>
      </w:r>
      <w:r w:rsidR="00CE68EC">
        <w:t xml:space="preserve">creates a built-in vulnerability to destitution. </w:t>
      </w:r>
      <w:r w:rsidR="009757D2">
        <w:t>T</w:t>
      </w:r>
      <w:r w:rsidR="002E0097">
        <w:t xml:space="preserve">he </w:t>
      </w:r>
      <w:r w:rsidR="00051340">
        <w:t xml:space="preserve">weekly </w:t>
      </w:r>
      <w:r w:rsidR="001C0CDC">
        <w:t>level of social assistance benefits (excluding housing-related benefits)</w:t>
      </w:r>
      <w:r w:rsidR="009757D2">
        <w:t xml:space="preserve"> in 202</w:t>
      </w:r>
      <w:r w:rsidR="003E6DF9">
        <w:t>1</w:t>
      </w:r>
      <w:r w:rsidR="0074775C">
        <w:t xml:space="preserve">, following the ending of the £20 per week uplift to the universal credit standard allowance, </w:t>
      </w:r>
      <w:r w:rsidR="00A33120">
        <w:t xml:space="preserve">surpassed the </w:t>
      </w:r>
      <w:r w:rsidR="003E76AB">
        <w:t>JRF</w:t>
      </w:r>
      <w:r w:rsidR="00A33120">
        <w:t xml:space="preserve"> destitution threshold</w:t>
      </w:r>
      <w:r w:rsidR="00D30FAD">
        <w:t xml:space="preserve"> for 2020</w:t>
      </w:r>
      <w:r w:rsidR="00A33120">
        <w:t xml:space="preserve"> by </w:t>
      </w:r>
      <w:r w:rsidR="00BB419B">
        <w:t>about</w:t>
      </w:r>
      <w:r w:rsidR="00A33120">
        <w:t xml:space="preserve"> five pounds per week for a single adult, </w:t>
      </w:r>
      <w:r w:rsidR="00C25A54">
        <w:t xml:space="preserve">£13 for a couple and </w:t>
      </w:r>
      <w:r w:rsidR="00BB419B">
        <w:t xml:space="preserve">£35 for a lone parent with one child. </w:t>
      </w:r>
      <w:r w:rsidR="0022498B">
        <w:t>Particularly for childless claimant</w:t>
      </w:r>
      <w:r w:rsidR="005A3345">
        <w:t>s</w:t>
      </w:r>
      <w:r w:rsidR="0022498B">
        <w:t xml:space="preserve">, </w:t>
      </w:r>
      <w:r w:rsidR="00D30FAD">
        <w:t xml:space="preserve">almost </w:t>
      </w:r>
      <w:r w:rsidR="0022498B">
        <w:t>any delay in receiving payment, debt-related deduction, sanction</w:t>
      </w:r>
      <w:r w:rsidR="00D80EAC">
        <w:t xml:space="preserve">, or shortfall between </w:t>
      </w:r>
      <w:r w:rsidR="001154A4">
        <w:t>a</w:t>
      </w:r>
      <w:r w:rsidR="00D80EAC">
        <w:t xml:space="preserve"> housing costs award and actual rent </w:t>
      </w:r>
      <w:r w:rsidR="00D30FAD">
        <w:t>would inevitably result in destitution.</w:t>
      </w:r>
      <w:r w:rsidR="004841C5">
        <w:rPr>
          <w:rStyle w:val="FootnoteReference"/>
        </w:rPr>
        <w:footnoteReference w:id="59"/>
      </w:r>
      <w:r w:rsidR="0087685E">
        <w:t xml:space="preserve"> </w:t>
      </w:r>
      <w:r w:rsidR="004447C5">
        <w:t>Single</w:t>
      </w:r>
      <w:r w:rsidR="0087685E">
        <w:t xml:space="preserve"> claimants </w:t>
      </w:r>
      <w:r w:rsidR="004447C5">
        <w:t xml:space="preserve">under 25 </w:t>
      </w:r>
      <w:r w:rsidR="005A3345">
        <w:t>are entitled to</w:t>
      </w:r>
      <w:r w:rsidR="004447C5">
        <w:t xml:space="preserve"> a lower standard allowance and will be destitute </w:t>
      </w:r>
      <w:r w:rsidR="00121610">
        <w:t xml:space="preserve">even if they </w:t>
      </w:r>
      <w:r w:rsidR="003E76AB">
        <w:t>get</w:t>
      </w:r>
      <w:r w:rsidR="00121610">
        <w:t xml:space="preserve"> the full rate of benefit</w:t>
      </w:r>
      <w:r w:rsidR="005A3345">
        <w:t>.</w:t>
      </w:r>
    </w:p>
    <w:p w14:paraId="4E7EDDE3" w14:textId="2E5747CD" w:rsidR="009B228A" w:rsidRDefault="009B228A" w:rsidP="009B228A">
      <w:pPr>
        <w:pStyle w:val="Heading1"/>
      </w:pPr>
      <w:r>
        <w:t>Conclusion</w:t>
      </w:r>
    </w:p>
    <w:p w14:paraId="656A5285" w14:textId="60E2BE89" w:rsidR="009B228A" w:rsidRDefault="009A26C3" w:rsidP="009B228A">
      <w:r>
        <w:t xml:space="preserve">TH Marshall observed that the individual’s ‘right to welfare’ </w:t>
      </w:r>
      <w:r w:rsidR="00F825E8">
        <w:t>has</w:t>
      </w:r>
      <w:r w:rsidR="00281DAC">
        <w:t xml:space="preserve"> both legal and moral </w:t>
      </w:r>
      <w:r w:rsidR="00F825E8">
        <w:t>dimensions</w:t>
      </w:r>
      <w:r w:rsidR="00281DAC">
        <w:t>.</w:t>
      </w:r>
      <w:r w:rsidR="00F05F03">
        <w:rPr>
          <w:rStyle w:val="FootnoteReference"/>
        </w:rPr>
        <w:footnoteReference w:id="60"/>
      </w:r>
      <w:r w:rsidR="00281DAC">
        <w:t xml:space="preserve"> </w:t>
      </w:r>
      <w:r w:rsidR="00891BFD">
        <w:t xml:space="preserve">The 2010s </w:t>
      </w:r>
      <w:r w:rsidR="00BC7828">
        <w:t xml:space="preserve">saw a clear diminution of </w:t>
      </w:r>
      <w:r w:rsidR="00336AC6">
        <w:t>UK nationals’</w:t>
      </w:r>
      <w:r w:rsidR="00BC7828">
        <w:t xml:space="preserve"> legal right to welfare</w:t>
      </w:r>
      <w:r w:rsidR="004A23D6">
        <w:t xml:space="preserve"> (foreign nationals’ social rights having been greatly eroded </w:t>
      </w:r>
      <w:r w:rsidR="008776D0">
        <w:t>before then</w:t>
      </w:r>
      <w:r w:rsidR="004A23D6">
        <w:t>)</w:t>
      </w:r>
      <w:r w:rsidR="00BC7828">
        <w:t xml:space="preserve">, with rights-based social protection for working age households becoming </w:t>
      </w:r>
      <w:r w:rsidR="00094594">
        <w:t xml:space="preserve">less adequate and more conditional. </w:t>
      </w:r>
      <w:r w:rsidR="00336AC6">
        <w:t xml:space="preserve">Reliance on discretionary and charitable provision to fill the gap might in some circumstances enable </w:t>
      </w:r>
      <w:r w:rsidR="009F1140">
        <w:t>fulfilment of the</w:t>
      </w:r>
      <w:r w:rsidR="00336AC6">
        <w:t xml:space="preserve"> moral right to welfare</w:t>
      </w:r>
      <w:r w:rsidR="009F1140">
        <w:t xml:space="preserve">, but only </w:t>
      </w:r>
      <w:r w:rsidR="00E83F80">
        <w:t>if</w:t>
      </w:r>
      <w:r w:rsidR="009F1140">
        <w:t xml:space="preserve"> these services </w:t>
      </w:r>
      <w:r w:rsidR="00E83F80">
        <w:t>can offer consistent protection against poverty. Our research shows that</w:t>
      </w:r>
      <w:r w:rsidR="00A45DFD">
        <w:t xml:space="preserve"> the reality is that growing gaps in the mainstream safety net are not reliably filled by </w:t>
      </w:r>
      <w:r w:rsidR="008F23F9">
        <w:t xml:space="preserve">the </w:t>
      </w:r>
      <w:r w:rsidR="002D5F78">
        <w:t xml:space="preserve">patchwork of discretionary welfare services (whether provided by </w:t>
      </w:r>
      <w:r w:rsidR="00CA0DD9">
        <w:t>the state or the voluntary sector), characterised by inconsistency, underfunding, rationing</w:t>
      </w:r>
      <w:r w:rsidR="009D6B83">
        <w:t>, an absence of meaningful appeal rights and, often, high levels of stigma</w:t>
      </w:r>
      <w:r w:rsidR="00A008AC">
        <w:t xml:space="preserve"> or </w:t>
      </w:r>
      <w:r w:rsidR="00B62434">
        <w:t>judgements about deservingness</w:t>
      </w:r>
      <w:r w:rsidR="009D6B83">
        <w:t>.</w:t>
      </w:r>
    </w:p>
    <w:p w14:paraId="1D6325D9" w14:textId="5F10E485" w:rsidR="00947C53" w:rsidRDefault="00643A7A" w:rsidP="009B228A">
      <w:r>
        <w:t xml:space="preserve">Judicial deference </w:t>
      </w:r>
      <w:r w:rsidR="00720168">
        <w:t xml:space="preserve">to the Executive in the determination of what is ‘fair’ or economically necessary </w:t>
      </w:r>
      <w:r w:rsidR="0091673D">
        <w:t xml:space="preserve">means these developments have, when challenged, largely been found compatible with the ECHR. </w:t>
      </w:r>
      <w:r w:rsidR="00A771A4">
        <w:t xml:space="preserve">The standards of ICESCR must be higher. </w:t>
      </w:r>
      <w:r w:rsidR="008E72E4">
        <w:t xml:space="preserve">The non-retrogression principle </w:t>
      </w:r>
      <w:r w:rsidR="00A92CAA">
        <w:t xml:space="preserve">must place the onus on the state to show that the diminution of rights in the last decade was justified, </w:t>
      </w:r>
      <w:r w:rsidR="009E2995">
        <w:t xml:space="preserve">rather than requiring those arguing to the contrary to prove that it was manifestly without reasonable foundation. </w:t>
      </w:r>
      <w:r w:rsidR="0092741D">
        <w:t xml:space="preserve">We argue that the minimum core requirements of article 9 can only be delivered when all lawful residents </w:t>
      </w:r>
      <w:r w:rsidR="00EB505A">
        <w:t xml:space="preserve">have a right to protection against destitution, </w:t>
      </w:r>
      <w:r w:rsidR="004021BE">
        <w:t xml:space="preserve">in contrast to the current position in which </w:t>
      </w:r>
      <w:r w:rsidR="000613D8">
        <w:t>continual vulnerability to</w:t>
      </w:r>
      <w:r w:rsidR="00222A8B">
        <w:t xml:space="preserve"> destitution, </w:t>
      </w:r>
      <w:r w:rsidR="00BA0090">
        <w:t>reliance on</w:t>
      </w:r>
      <w:r w:rsidR="005408F7">
        <w:t xml:space="preserve"> non-rights based</w:t>
      </w:r>
      <w:r w:rsidR="00BA0090">
        <w:t xml:space="preserve"> discretionary or charitable </w:t>
      </w:r>
      <w:r w:rsidR="005408F7">
        <w:t xml:space="preserve">support </w:t>
      </w:r>
      <w:r w:rsidR="00222A8B">
        <w:t xml:space="preserve">and </w:t>
      </w:r>
      <w:r w:rsidR="000613D8">
        <w:t xml:space="preserve">sometimes </w:t>
      </w:r>
      <w:r w:rsidR="004021BE">
        <w:t xml:space="preserve">destitution </w:t>
      </w:r>
      <w:r w:rsidR="00222A8B">
        <w:t xml:space="preserve">itself, </w:t>
      </w:r>
      <w:r w:rsidR="004021BE">
        <w:t xml:space="preserve">is the inevitable consequence of </w:t>
      </w:r>
      <w:r w:rsidR="000613D8">
        <w:t xml:space="preserve">how social protection </w:t>
      </w:r>
      <w:r w:rsidR="00102E8E">
        <w:t>functions in the UK.</w:t>
      </w:r>
      <w:r w:rsidR="001872F9">
        <w:t xml:space="preserve"> </w:t>
      </w:r>
      <w:r w:rsidR="003F2DE3">
        <w:t>Explicitly p</w:t>
      </w:r>
      <w:r w:rsidR="00D17890">
        <w:t xml:space="preserve">lacing such a right </w:t>
      </w:r>
      <w:r w:rsidR="00936F4B">
        <w:t xml:space="preserve">on </w:t>
      </w:r>
      <w:r w:rsidR="00D17890">
        <w:t>a statutory footing is not the only way of achieving</w:t>
      </w:r>
      <w:r w:rsidR="00311BE5">
        <w:t>, and indeed would not in itself guarantee,</w:t>
      </w:r>
      <w:r w:rsidR="00D17890">
        <w:t xml:space="preserve"> compliance with article 9, but doing so </w:t>
      </w:r>
      <w:r w:rsidR="00311BE5">
        <w:t xml:space="preserve">has potential to act as a foundation stone for the improvements to social protection required to deliver the minimum core </w:t>
      </w:r>
      <w:r w:rsidR="002F6CC8">
        <w:t>obligations</w:t>
      </w:r>
      <w:r w:rsidR="00311BE5">
        <w:t xml:space="preserve">. </w:t>
      </w:r>
      <w:r w:rsidR="005408F7">
        <w:t xml:space="preserve">This in turn </w:t>
      </w:r>
      <w:r w:rsidR="007F0829">
        <w:t>c</w:t>
      </w:r>
      <w:r w:rsidR="005408F7">
        <w:t xml:space="preserve">ould </w:t>
      </w:r>
      <w:r w:rsidR="007F0829">
        <w:t>act as a first step towards the more ambitious goal of full realisation of the right to an adequate standard of living.</w:t>
      </w:r>
    </w:p>
    <w:sectPr w:rsidR="00947C53">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60C81" w14:textId="77777777" w:rsidR="000E6340" w:rsidRDefault="000E6340" w:rsidP="00B22281">
      <w:pPr>
        <w:spacing w:after="0" w:line="240" w:lineRule="auto"/>
      </w:pPr>
      <w:r>
        <w:separator/>
      </w:r>
    </w:p>
  </w:endnote>
  <w:endnote w:type="continuationSeparator" w:id="0">
    <w:p w14:paraId="0C41495F" w14:textId="77777777" w:rsidR="000E6340" w:rsidRDefault="000E6340" w:rsidP="00B22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532282"/>
      <w:docPartObj>
        <w:docPartGallery w:val="Page Numbers (Bottom of Page)"/>
        <w:docPartUnique/>
      </w:docPartObj>
    </w:sdtPr>
    <w:sdtEndPr>
      <w:rPr>
        <w:noProof/>
      </w:rPr>
    </w:sdtEndPr>
    <w:sdtContent>
      <w:p w14:paraId="5475B0F0" w14:textId="7A4DD7BE" w:rsidR="00666401" w:rsidRDefault="00666401">
        <w:pPr>
          <w:pStyle w:val="Footer"/>
          <w:jc w:val="center"/>
        </w:pPr>
        <w:r>
          <w:fldChar w:fldCharType="begin"/>
        </w:r>
        <w:r>
          <w:instrText xml:space="preserve"> PAGE   \* MERGEFORMAT </w:instrText>
        </w:r>
        <w:r>
          <w:fldChar w:fldCharType="separate"/>
        </w:r>
        <w:r w:rsidR="00B31098">
          <w:rPr>
            <w:noProof/>
          </w:rPr>
          <w:t>2</w:t>
        </w:r>
        <w:r>
          <w:rPr>
            <w:noProof/>
          </w:rPr>
          <w:fldChar w:fldCharType="end"/>
        </w:r>
      </w:p>
    </w:sdtContent>
  </w:sdt>
  <w:p w14:paraId="24CD9008" w14:textId="77777777" w:rsidR="00052FD6" w:rsidRDefault="00052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6FF08" w14:textId="77777777" w:rsidR="000E6340" w:rsidRDefault="000E6340" w:rsidP="00B22281">
      <w:pPr>
        <w:spacing w:after="0" w:line="240" w:lineRule="auto"/>
      </w:pPr>
      <w:r>
        <w:separator/>
      </w:r>
    </w:p>
  </w:footnote>
  <w:footnote w:type="continuationSeparator" w:id="0">
    <w:p w14:paraId="66E2E928" w14:textId="77777777" w:rsidR="000E6340" w:rsidRDefault="000E6340" w:rsidP="00B22281">
      <w:pPr>
        <w:spacing w:after="0" w:line="240" w:lineRule="auto"/>
      </w:pPr>
      <w:r>
        <w:continuationSeparator/>
      </w:r>
    </w:p>
  </w:footnote>
  <w:footnote w:id="1">
    <w:p w14:paraId="65C6200F" w14:textId="1D99C46B" w:rsidR="00B22281" w:rsidRPr="00B22281" w:rsidRDefault="00B22281">
      <w:pPr>
        <w:pStyle w:val="FootnoteText"/>
        <w:rPr>
          <w:lang w:val="en-US"/>
        </w:rPr>
      </w:pPr>
      <w:r>
        <w:rPr>
          <w:rStyle w:val="FootnoteReference"/>
        </w:rPr>
        <w:footnoteRef/>
      </w:r>
      <w:r>
        <w:t xml:space="preserve"> Work and Pensions Committee, </w:t>
      </w:r>
      <w:r w:rsidRPr="00B22281">
        <w:rPr>
          <w:i/>
          <w:iCs/>
        </w:rPr>
        <w:t>Decision making and appeals in the benefits system</w:t>
      </w:r>
      <w:r>
        <w:t xml:space="preserve"> (HC313, London: House of Commons, 2010); </w:t>
      </w:r>
      <w:r w:rsidR="00C05F2E">
        <w:t xml:space="preserve">Social Security Advisory Committee, </w:t>
      </w:r>
      <w:r w:rsidR="00C05F2E" w:rsidRPr="00C05F2E">
        <w:rPr>
          <w:i/>
          <w:iCs/>
        </w:rPr>
        <w:t xml:space="preserve">Decision making and mandatory reconsideration </w:t>
      </w:r>
      <w:r w:rsidR="00C05F2E">
        <w:t>(OP18, London: SSAC, 2016); D Cowan, A Dymond, S Halliday C and Hunter, ‘Reconsidering mandatory reconsideration’ (April 2017) Public Law 215</w:t>
      </w:r>
    </w:p>
  </w:footnote>
  <w:footnote w:id="2">
    <w:p w14:paraId="746B0425" w14:textId="2EAB7994" w:rsidR="0031703D" w:rsidRDefault="0031703D">
      <w:pPr>
        <w:pStyle w:val="FootnoteText"/>
      </w:pPr>
      <w:r>
        <w:rPr>
          <w:rStyle w:val="FootnoteReference"/>
        </w:rPr>
        <w:footnoteRef/>
      </w:r>
      <w:r>
        <w:t xml:space="preserve"> R Thomas and J Tomlinson, ‘</w:t>
      </w:r>
      <w:r w:rsidRPr="0031703D">
        <w:t>A Different Tale of Judicial Power: Administrative Review as a Problematic Response to the Judicialisation of Tribunals</w:t>
      </w:r>
      <w:r>
        <w:t>’ (2019) Public Law 537</w:t>
      </w:r>
    </w:p>
  </w:footnote>
  <w:footnote w:id="3">
    <w:p w14:paraId="60973662" w14:textId="4DE8DB49" w:rsidR="00A13A94" w:rsidRPr="00A13A94" w:rsidRDefault="00A13A94">
      <w:pPr>
        <w:pStyle w:val="FootnoteText"/>
        <w:rPr>
          <w:lang w:val="en-US"/>
        </w:rPr>
      </w:pPr>
      <w:r>
        <w:rPr>
          <w:rStyle w:val="FootnoteReference"/>
        </w:rPr>
        <w:footnoteRef/>
      </w:r>
      <w:r>
        <w:t xml:space="preserve"> </w:t>
      </w:r>
      <w:r w:rsidR="006F3A41" w:rsidRPr="006F3A41">
        <w:t xml:space="preserve">C Fitzpatrick, G McKeever and M Simpson, ‘Conditionality, discretion and TH Marshall’s “right to welfare”’ (2019) 41(4) </w:t>
      </w:r>
      <w:hyperlink r:id="rId1" w:history="1">
        <w:r w:rsidR="006F3A41" w:rsidRPr="00E9565F">
          <w:rPr>
            <w:rStyle w:val="Hyperlink"/>
          </w:rPr>
          <w:t>Journal of Social Welfare and Family Law</w:t>
        </w:r>
      </w:hyperlink>
      <w:r w:rsidR="006F3A41" w:rsidRPr="006F3A41">
        <w:t xml:space="preserve"> 445</w:t>
      </w:r>
      <w:r w:rsidR="00202E95">
        <w:t xml:space="preserve"> (open access version </w:t>
      </w:r>
      <w:hyperlink r:id="rId2" w:history="1">
        <w:r w:rsidR="00202E95" w:rsidRPr="00515588">
          <w:rPr>
            <w:rStyle w:val="Hyperlink"/>
          </w:rPr>
          <w:t>here</w:t>
        </w:r>
      </w:hyperlink>
      <w:r w:rsidR="00202E95">
        <w:t>)</w:t>
      </w:r>
      <w:r w:rsidR="00AC7C8E">
        <w:t xml:space="preserve">; G McKeever, ‘A ladder of legal participation for tribunal users’ (2013) Public Law </w:t>
      </w:r>
      <w:r w:rsidR="005F35F2">
        <w:t>575</w:t>
      </w:r>
      <w:r w:rsidR="00702B7D">
        <w:t xml:space="preserve"> (open access version </w:t>
      </w:r>
      <w:hyperlink r:id="rId3" w:history="1">
        <w:r w:rsidR="00702B7D" w:rsidRPr="001465E4">
          <w:rPr>
            <w:rStyle w:val="Hyperlink"/>
          </w:rPr>
          <w:t>here</w:t>
        </w:r>
      </w:hyperlink>
      <w:r w:rsidR="00702B7D">
        <w:t>)</w:t>
      </w:r>
    </w:p>
  </w:footnote>
  <w:footnote w:id="4">
    <w:p w14:paraId="350D3183" w14:textId="2A22C510" w:rsidR="007D5E99" w:rsidRPr="007D5E99" w:rsidRDefault="007D5E99">
      <w:pPr>
        <w:pStyle w:val="FootnoteText"/>
        <w:rPr>
          <w:lang w:val="en-US"/>
        </w:rPr>
      </w:pPr>
      <w:r>
        <w:rPr>
          <w:rStyle w:val="FootnoteReference"/>
        </w:rPr>
        <w:footnoteRef/>
      </w:r>
      <w:r>
        <w:t xml:space="preserve"> </w:t>
      </w:r>
      <w:r>
        <w:rPr>
          <w:lang w:val="en-US"/>
        </w:rPr>
        <w:t xml:space="preserve">See G McKeever, M Simpson and C Fitzpatrick, </w:t>
      </w:r>
      <w:r>
        <w:rPr>
          <w:i/>
          <w:iCs/>
          <w:lang w:val="en-US"/>
        </w:rPr>
        <w:t xml:space="preserve">Destitution and paths to justice </w:t>
      </w:r>
      <w:r>
        <w:t xml:space="preserve">(London: </w:t>
      </w:r>
      <w:hyperlink r:id="rId4" w:history="1">
        <w:r w:rsidRPr="003E5DB1">
          <w:rPr>
            <w:rStyle w:val="Hyperlink"/>
          </w:rPr>
          <w:t>Legal Education Fo</w:t>
        </w:r>
        <w:r w:rsidR="00A15595">
          <w:rPr>
            <w:rStyle w:val="Hyperlink"/>
          </w:rPr>
          <w:t>u</w:t>
        </w:r>
        <w:r w:rsidR="00C8503C">
          <w:rPr>
            <w:rStyle w:val="Hyperlink"/>
          </w:rPr>
          <w:t>n</w:t>
        </w:r>
        <w:r w:rsidR="005E51DD">
          <w:rPr>
            <w:rStyle w:val="Hyperlink"/>
          </w:rPr>
          <w:t>d</w:t>
        </w:r>
        <w:r w:rsidRPr="003E5DB1">
          <w:rPr>
            <w:rStyle w:val="Hyperlink"/>
          </w:rPr>
          <w:t>ation</w:t>
        </w:r>
      </w:hyperlink>
      <w:r>
        <w:t>/York: Joseph Rowntree Foundation, 20</w:t>
      </w:r>
      <w:r w:rsidR="002B6962">
        <w:t>18)</w:t>
      </w:r>
      <w:r w:rsidR="00202E95">
        <w:t xml:space="preserve"> (open access)</w:t>
      </w:r>
    </w:p>
  </w:footnote>
  <w:footnote w:id="5">
    <w:p w14:paraId="5714707E" w14:textId="7E0F0CE1" w:rsidR="000E2B4C" w:rsidRPr="00317999" w:rsidRDefault="000E2B4C">
      <w:pPr>
        <w:pStyle w:val="FootnoteText"/>
        <w:rPr>
          <w:lang w:val="en-US"/>
        </w:rPr>
      </w:pPr>
      <w:r>
        <w:rPr>
          <w:rStyle w:val="FootnoteReference"/>
        </w:rPr>
        <w:footnoteRef/>
      </w:r>
      <w:r>
        <w:t xml:space="preserve"> </w:t>
      </w:r>
      <w:r>
        <w:rPr>
          <w:lang w:val="en-US"/>
        </w:rPr>
        <w:t xml:space="preserve">In line with the recommendation in </w:t>
      </w:r>
      <w:r w:rsidR="00AE15D1">
        <w:t xml:space="preserve">Welfare Reform Mitigations Working Group, </w:t>
      </w:r>
      <w:r w:rsidR="00AE15D1" w:rsidRPr="00AE15D1">
        <w:rPr>
          <w:i/>
          <w:iCs/>
        </w:rPr>
        <w:t>Welfare Reform Mitigations Working Group report</w:t>
      </w:r>
      <w:r w:rsidR="00AE15D1">
        <w:t xml:space="preserve"> (Belfast: OFMDFM, 2016); see also </w:t>
      </w:r>
      <w:r w:rsidR="00BD5E83">
        <w:t xml:space="preserve">the current recommendation in Independent Advisory Panel, </w:t>
      </w:r>
      <w:r w:rsidR="00317999">
        <w:rPr>
          <w:i/>
          <w:iCs/>
        </w:rPr>
        <w:t>Welfare mitigations review</w:t>
      </w:r>
      <w:r w:rsidR="00317999">
        <w:t xml:space="preserve"> (Belfast: </w:t>
      </w:r>
      <w:hyperlink r:id="rId5" w:history="1">
        <w:r w:rsidR="00317999" w:rsidRPr="00BB20AC">
          <w:rPr>
            <w:rStyle w:val="Hyperlink"/>
          </w:rPr>
          <w:t>Department for Communities</w:t>
        </w:r>
      </w:hyperlink>
      <w:r w:rsidR="00317999">
        <w:t>, 2022)</w:t>
      </w:r>
      <w:r w:rsidR="006E294C">
        <w:t xml:space="preserve"> (open access)</w:t>
      </w:r>
    </w:p>
  </w:footnote>
  <w:footnote w:id="6">
    <w:p w14:paraId="7BAC0F8E" w14:textId="10E06CFC" w:rsidR="00692712" w:rsidRPr="00692712" w:rsidRDefault="00692712">
      <w:pPr>
        <w:pStyle w:val="FootnoteText"/>
        <w:rPr>
          <w:lang w:val="en-US"/>
        </w:rPr>
      </w:pPr>
      <w:r>
        <w:rPr>
          <w:rStyle w:val="FootnoteReference"/>
        </w:rPr>
        <w:footnoteRef/>
      </w:r>
      <w:r>
        <w:t xml:space="preserve"> </w:t>
      </w:r>
      <w:r w:rsidR="00ED0AD3">
        <w:t xml:space="preserve">K Boyle, </w:t>
      </w:r>
      <w:r w:rsidR="00ED0AD3" w:rsidRPr="00ED0AD3">
        <w:rPr>
          <w:i/>
          <w:iCs/>
        </w:rPr>
        <w:t>Economic and Social Rights Law: Incorporation, Justiciability and Principles of Adjudication</w:t>
      </w:r>
      <w:r w:rsidR="00ED0AD3">
        <w:t xml:space="preserve"> (Abingdon: Routledge, 2020)</w:t>
      </w:r>
    </w:p>
  </w:footnote>
  <w:footnote w:id="7">
    <w:p w14:paraId="72B8A961" w14:textId="5EC9E1C7" w:rsidR="00477EB0" w:rsidRPr="00641F7E" w:rsidRDefault="00477EB0">
      <w:pPr>
        <w:pStyle w:val="FootnoteText"/>
        <w:rPr>
          <w:lang w:val="en-US"/>
        </w:rPr>
      </w:pPr>
      <w:r>
        <w:rPr>
          <w:rStyle w:val="FootnoteReference"/>
        </w:rPr>
        <w:footnoteRef/>
      </w:r>
      <w:r>
        <w:t xml:space="preserve"> </w:t>
      </w:r>
      <w:r w:rsidR="00C00FCC">
        <w:rPr>
          <w:lang w:val="en-US"/>
        </w:rPr>
        <w:t>I</w:t>
      </w:r>
      <w:r>
        <w:rPr>
          <w:lang w:val="en-US"/>
        </w:rPr>
        <w:t xml:space="preserve">ncorporation of non-ECHR human rights treaties is currently proposed </w:t>
      </w:r>
      <w:r w:rsidR="0051426A">
        <w:rPr>
          <w:lang w:val="en-US"/>
        </w:rPr>
        <w:t xml:space="preserve">in Scotland, in line with the recommendations in </w:t>
      </w:r>
      <w:r w:rsidR="00641F7E">
        <w:rPr>
          <w:lang w:val="en-US"/>
        </w:rPr>
        <w:t xml:space="preserve">National Taskforce for Human Rights Leadership, </w:t>
      </w:r>
      <w:r w:rsidR="00641F7E">
        <w:rPr>
          <w:i/>
          <w:iCs/>
          <w:lang w:val="en-US"/>
        </w:rPr>
        <w:t>National Taskforce for Human Rights Leadership report</w:t>
      </w:r>
      <w:r w:rsidR="00641F7E">
        <w:rPr>
          <w:lang w:val="en-US"/>
        </w:rPr>
        <w:t xml:space="preserve"> (</w:t>
      </w:r>
      <w:r w:rsidR="008B05A5">
        <w:rPr>
          <w:lang w:val="en-US"/>
        </w:rPr>
        <w:t>Edinburgh: Scottish Government, 2021)</w:t>
      </w:r>
    </w:p>
  </w:footnote>
  <w:footnote w:id="8">
    <w:p w14:paraId="712F793B" w14:textId="5DEF7BD8" w:rsidR="00552843" w:rsidRPr="00552843" w:rsidRDefault="00552843">
      <w:pPr>
        <w:pStyle w:val="FootnoteText"/>
        <w:rPr>
          <w:lang w:val="en-US"/>
        </w:rPr>
      </w:pPr>
      <w:r>
        <w:rPr>
          <w:rStyle w:val="FootnoteReference"/>
        </w:rPr>
        <w:footnoteRef/>
      </w:r>
      <w:r>
        <w:t xml:space="preserve"> </w:t>
      </w:r>
      <w:r w:rsidR="00F11C63">
        <w:rPr>
          <w:lang w:val="en-US"/>
        </w:rPr>
        <w:t xml:space="preserve">Committee on Economic, Social and Cultural Rights, </w:t>
      </w:r>
      <w:r w:rsidR="00F44414">
        <w:rPr>
          <w:lang w:val="en-US"/>
        </w:rPr>
        <w:t>‘General comment no 9: the domestic application of the Covenant’ (</w:t>
      </w:r>
      <w:r w:rsidR="005D3997" w:rsidRPr="005D3997">
        <w:rPr>
          <w:lang w:val="en-US"/>
        </w:rPr>
        <w:t>E/C.12/1998/24</w:t>
      </w:r>
      <w:r w:rsidR="005D3997">
        <w:rPr>
          <w:lang w:val="en-US"/>
        </w:rPr>
        <w:t xml:space="preserve">, </w:t>
      </w:r>
      <w:r w:rsidR="009B16EB">
        <w:rPr>
          <w:lang w:val="en-US"/>
        </w:rPr>
        <w:t xml:space="preserve">Geneva: United Nations, </w:t>
      </w:r>
      <w:r w:rsidR="00D22FC8">
        <w:rPr>
          <w:lang w:val="en-US"/>
        </w:rPr>
        <w:t>1998)</w:t>
      </w:r>
      <w:r w:rsidR="00067ED2">
        <w:rPr>
          <w:lang w:val="en-US"/>
        </w:rPr>
        <w:t xml:space="preserve"> para 3</w:t>
      </w:r>
      <w:r w:rsidR="00D22FC8">
        <w:rPr>
          <w:lang w:val="en-US"/>
        </w:rPr>
        <w:t xml:space="preserve">; article 2(1) requires </w:t>
      </w:r>
      <w:r w:rsidR="00B66D6C">
        <w:rPr>
          <w:lang w:val="en-US"/>
        </w:rPr>
        <w:t>state parties to use ‘all appropriate means’ in pursuit of the progressive realisation of the ICESCR rights</w:t>
      </w:r>
    </w:p>
  </w:footnote>
  <w:footnote w:id="9">
    <w:p w14:paraId="4AD1786A" w14:textId="31649632" w:rsidR="008D6594" w:rsidRPr="008D6594" w:rsidRDefault="008D6594">
      <w:pPr>
        <w:pStyle w:val="FootnoteText"/>
        <w:rPr>
          <w:lang w:val="en-US"/>
        </w:rPr>
      </w:pPr>
      <w:r>
        <w:rPr>
          <w:rStyle w:val="FootnoteReference"/>
        </w:rPr>
        <w:footnoteRef/>
      </w:r>
      <w:r>
        <w:t xml:space="preserve"> </w:t>
      </w:r>
      <w:r w:rsidR="00AB417D">
        <w:t xml:space="preserve">Notably, </w:t>
      </w:r>
      <w:r w:rsidR="00062562" w:rsidRPr="00062562">
        <w:rPr>
          <w:i/>
          <w:iCs/>
        </w:rPr>
        <w:t>R (on the application of SG) v Secretary of State for Work and Pensions</w:t>
      </w:r>
      <w:r w:rsidR="00062562">
        <w:t xml:space="preserve"> [2015] UKSC 16; f</w:t>
      </w:r>
      <w:r w:rsidR="0010041C">
        <w:rPr>
          <w:lang w:val="en-US"/>
        </w:rPr>
        <w:t xml:space="preserve">or commentary, see </w:t>
      </w:r>
      <w:r w:rsidR="0010041C" w:rsidRPr="0010041C">
        <w:rPr>
          <w:lang w:val="en-US"/>
        </w:rPr>
        <w:t xml:space="preserve">M Simpson, ‘Social Rights, Child Rights, Discrimination and Devolution: Untangling the Web’ (2018) 40 </w:t>
      </w:r>
      <w:hyperlink r:id="rId6" w:history="1">
        <w:r w:rsidR="0010041C" w:rsidRPr="009274A4">
          <w:rPr>
            <w:rStyle w:val="Hyperlink"/>
            <w:lang w:val="en-US"/>
          </w:rPr>
          <w:t>Journal of Social Welfare and Family Law</w:t>
        </w:r>
      </w:hyperlink>
      <w:r w:rsidR="0010041C" w:rsidRPr="0010041C">
        <w:rPr>
          <w:lang w:val="en-US"/>
        </w:rPr>
        <w:t xml:space="preserve"> 3</w:t>
      </w:r>
      <w:r w:rsidR="006C477C">
        <w:rPr>
          <w:lang w:val="en-US"/>
        </w:rPr>
        <w:t xml:space="preserve"> </w:t>
      </w:r>
      <w:r w:rsidR="00891112">
        <w:rPr>
          <w:lang w:val="en-US"/>
        </w:rPr>
        <w:t xml:space="preserve">(open access version </w:t>
      </w:r>
      <w:hyperlink r:id="rId7" w:history="1">
        <w:r w:rsidR="00891112" w:rsidRPr="00FE1EE6">
          <w:rPr>
            <w:rStyle w:val="Hyperlink"/>
            <w:lang w:val="en-US"/>
          </w:rPr>
          <w:t>here</w:t>
        </w:r>
      </w:hyperlink>
      <w:r w:rsidR="00891112">
        <w:rPr>
          <w:lang w:val="en-US"/>
        </w:rPr>
        <w:t xml:space="preserve">) </w:t>
      </w:r>
      <w:r w:rsidR="006C477C">
        <w:rPr>
          <w:lang w:val="en-US"/>
        </w:rPr>
        <w:t xml:space="preserve">and </w:t>
      </w:r>
      <w:r w:rsidR="006E5B81">
        <w:t xml:space="preserve">G McKeever, ‘Scrutinising social security law and protecting social rights: Lord Kerr and the benefit cap’ in B Dickson and C McCormick (eds), </w:t>
      </w:r>
      <w:r w:rsidR="006E5B81" w:rsidRPr="00B65F58">
        <w:rPr>
          <w:i/>
          <w:iCs/>
        </w:rPr>
        <w:t>The Judicial Mind: A Festschrift for Lord Kerr of Tonaghmore</w:t>
      </w:r>
      <w:r w:rsidR="006E5B81">
        <w:t xml:space="preserve"> (Oxford: </w:t>
      </w:r>
      <w:hyperlink r:id="rId8" w:history="1">
        <w:r w:rsidR="006E5B81" w:rsidRPr="004C601E">
          <w:rPr>
            <w:rStyle w:val="Hyperlink"/>
          </w:rPr>
          <w:t>Hart</w:t>
        </w:r>
      </w:hyperlink>
      <w:r w:rsidR="006E5B81">
        <w:t xml:space="preserve"> , 2022)</w:t>
      </w:r>
    </w:p>
  </w:footnote>
  <w:footnote w:id="10">
    <w:p w14:paraId="164F0EA9" w14:textId="4EE43EF5" w:rsidR="00B671BE" w:rsidRPr="00EB3583" w:rsidRDefault="00B671BE">
      <w:pPr>
        <w:pStyle w:val="FootnoteText"/>
        <w:rPr>
          <w:lang w:val="en-US"/>
        </w:rPr>
      </w:pPr>
      <w:r>
        <w:rPr>
          <w:rStyle w:val="FootnoteReference"/>
        </w:rPr>
        <w:footnoteRef/>
      </w:r>
      <w:r>
        <w:t xml:space="preserve"> </w:t>
      </w:r>
      <w:r w:rsidRPr="00B671BE">
        <w:rPr>
          <w:i/>
          <w:iCs/>
        </w:rPr>
        <w:t>R (on the application of SC) v Secretary of State for Work and Pensions</w:t>
      </w:r>
      <w:r>
        <w:t xml:space="preserve"> [2021] UKSC 26 at [84] and [207] (Lord Reed)</w:t>
      </w:r>
    </w:p>
  </w:footnote>
  <w:footnote w:id="11">
    <w:p w14:paraId="21E3E3D1" w14:textId="03DF34A5" w:rsidR="007A3C2F" w:rsidRPr="007A3C2F" w:rsidRDefault="007A3C2F">
      <w:pPr>
        <w:pStyle w:val="FootnoteText"/>
        <w:rPr>
          <w:lang w:val="en-US"/>
        </w:rPr>
      </w:pPr>
      <w:r>
        <w:rPr>
          <w:rStyle w:val="FootnoteReference"/>
        </w:rPr>
        <w:footnoteRef/>
      </w:r>
      <w:r>
        <w:t xml:space="preserve"> </w:t>
      </w:r>
      <w:r>
        <w:rPr>
          <w:lang w:val="en-US"/>
        </w:rPr>
        <w:t>Committee on Economic, Social and Cultural Rights, ‘General comment no 9: the domestic application of the Covenant’ (</w:t>
      </w:r>
      <w:r w:rsidRPr="005D3997">
        <w:rPr>
          <w:lang w:val="en-US"/>
        </w:rPr>
        <w:t>E/C.12/1998/24</w:t>
      </w:r>
      <w:r>
        <w:rPr>
          <w:lang w:val="en-US"/>
        </w:rPr>
        <w:t>, Geneva: United Nations, 1998)</w:t>
      </w:r>
      <w:r>
        <w:t xml:space="preserve"> para 14</w:t>
      </w:r>
    </w:p>
  </w:footnote>
  <w:footnote w:id="12">
    <w:p w14:paraId="020FD520" w14:textId="51A72F4D" w:rsidR="00FA240E" w:rsidRPr="00FA240E" w:rsidRDefault="00FA240E">
      <w:pPr>
        <w:pStyle w:val="FootnoteText"/>
        <w:rPr>
          <w:lang w:val="en-US"/>
        </w:rPr>
      </w:pPr>
      <w:r>
        <w:rPr>
          <w:rStyle w:val="FootnoteReference"/>
        </w:rPr>
        <w:footnoteRef/>
      </w:r>
      <w:r>
        <w:t xml:space="preserve"> </w:t>
      </w:r>
      <w:r w:rsidR="00AC2332">
        <w:t>A</w:t>
      </w:r>
      <w:r w:rsidR="006247A3">
        <w:t xml:space="preserve"> future Supreme Court President argued in 2015 that this was a well-established approach at Strasbourg and not unheard of in the UK legal system – </w:t>
      </w:r>
      <w:r w:rsidR="00AC2332" w:rsidRPr="00AC2332">
        <w:rPr>
          <w:i/>
          <w:iCs/>
        </w:rPr>
        <w:t>R (on the application of SG) v Secretary of State for Work and Pensions</w:t>
      </w:r>
      <w:r w:rsidR="00AC2332">
        <w:t xml:space="preserve"> [2015] UKSC 16 at [211 – 224] (Lady Hale)</w:t>
      </w:r>
    </w:p>
  </w:footnote>
  <w:footnote w:id="13">
    <w:p w14:paraId="4E85C4F8" w14:textId="25EDF1C2" w:rsidR="00E35D34" w:rsidRPr="00E35D34" w:rsidRDefault="00E35D34">
      <w:pPr>
        <w:pStyle w:val="FootnoteText"/>
        <w:rPr>
          <w:lang w:val="en-US"/>
        </w:rPr>
      </w:pPr>
      <w:r>
        <w:rPr>
          <w:rStyle w:val="FootnoteReference"/>
        </w:rPr>
        <w:footnoteRef/>
      </w:r>
      <w:r>
        <w:t xml:space="preserve"> </w:t>
      </w:r>
      <w:r w:rsidR="009443A2">
        <w:t xml:space="preserve">See M Simpson, </w:t>
      </w:r>
      <w:r w:rsidR="009443A2">
        <w:rPr>
          <w:i/>
          <w:iCs/>
        </w:rPr>
        <w:t xml:space="preserve">Social citizenship in an age of welfare regionalism: the state of the social union </w:t>
      </w:r>
      <w:r w:rsidR="009443A2">
        <w:t xml:space="preserve">(Oxford: </w:t>
      </w:r>
      <w:hyperlink r:id="rId9" w:history="1">
        <w:r w:rsidR="009443A2" w:rsidRPr="00060A4E">
          <w:rPr>
            <w:rStyle w:val="Hyperlink"/>
          </w:rPr>
          <w:t>Hart</w:t>
        </w:r>
      </w:hyperlink>
      <w:r w:rsidR="009443A2">
        <w:t>, 2022)</w:t>
      </w:r>
    </w:p>
  </w:footnote>
  <w:footnote w:id="14">
    <w:p w14:paraId="024A3EA2" w14:textId="371F54E0" w:rsidR="00925822" w:rsidRPr="00B9599D" w:rsidRDefault="00925822" w:rsidP="00925822">
      <w:pPr>
        <w:pStyle w:val="FootnoteText"/>
        <w:rPr>
          <w:lang w:val="en-US"/>
        </w:rPr>
      </w:pPr>
      <w:r>
        <w:rPr>
          <w:rStyle w:val="FootnoteReference"/>
        </w:rPr>
        <w:footnoteRef/>
      </w:r>
      <w:r>
        <w:t xml:space="preserve"> </w:t>
      </w:r>
      <w:r>
        <w:rPr>
          <w:lang w:val="en-US"/>
        </w:rPr>
        <w:t>Jed Meers, ‘</w:t>
      </w:r>
      <w:r w:rsidRPr="00B9599D">
        <w:rPr>
          <w:lang w:val="en-US"/>
        </w:rPr>
        <w:t>Problems with the “manifestly without reasonable foundation” test</w:t>
      </w:r>
      <w:r>
        <w:rPr>
          <w:lang w:val="en-US"/>
        </w:rPr>
        <w:t xml:space="preserve">’ (2020) 27(1) </w:t>
      </w:r>
      <w:r>
        <w:rPr>
          <w:i/>
          <w:iCs/>
          <w:lang w:val="en-US"/>
        </w:rPr>
        <w:t xml:space="preserve">Journal of Social Security Law </w:t>
      </w:r>
      <w:r>
        <w:rPr>
          <w:lang w:val="en-US"/>
        </w:rPr>
        <w:t>12</w:t>
      </w:r>
      <w:r w:rsidR="00500451">
        <w:rPr>
          <w:lang w:val="en-US"/>
        </w:rPr>
        <w:t xml:space="preserve"> (open access version </w:t>
      </w:r>
      <w:hyperlink r:id="rId10" w:history="1">
        <w:r w:rsidR="00500451" w:rsidRPr="00500451">
          <w:rPr>
            <w:rStyle w:val="Hyperlink"/>
            <w:lang w:val="en-US"/>
          </w:rPr>
          <w:t>here</w:t>
        </w:r>
      </w:hyperlink>
      <w:r w:rsidR="00500451">
        <w:rPr>
          <w:lang w:val="en-US"/>
        </w:rPr>
        <w:t>)</w:t>
      </w:r>
    </w:p>
  </w:footnote>
  <w:footnote w:id="15">
    <w:p w14:paraId="75516CC5" w14:textId="77777777" w:rsidR="00925822" w:rsidRPr="00FA7722" w:rsidRDefault="00925822" w:rsidP="00925822">
      <w:pPr>
        <w:pStyle w:val="FootnoteText"/>
        <w:rPr>
          <w:lang w:val="en-US"/>
        </w:rPr>
      </w:pPr>
      <w:r>
        <w:rPr>
          <w:rStyle w:val="FootnoteReference"/>
        </w:rPr>
        <w:footnoteRef/>
      </w:r>
      <w:r>
        <w:t xml:space="preserve"> Tim Sayer, ‘</w:t>
      </w:r>
      <w:r w:rsidRPr="00F913B4">
        <w:t>Manifest Unreasonableness in the UK Supreme</w:t>
      </w:r>
      <w:r>
        <w:t xml:space="preserve"> </w:t>
      </w:r>
      <w:r w:rsidRPr="00F913B4">
        <w:t>Court: A Doctrine Working Itself Pure</w:t>
      </w:r>
      <w:r>
        <w:t xml:space="preserve">’ (2022) 33(1) </w:t>
      </w:r>
      <w:r>
        <w:rPr>
          <w:i/>
          <w:iCs/>
        </w:rPr>
        <w:t xml:space="preserve">Kings Law Journal </w:t>
      </w:r>
      <w:r>
        <w:t>122-145.</w:t>
      </w:r>
    </w:p>
  </w:footnote>
  <w:footnote w:id="16">
    <w:p w14:paraId="4FC6B851" w14:textId="77777777" w:rsidR="00925822" w:rsidRPr="00CE3125" w:rsidRDefault="00925822" w:rsidP="00925822">
      <w:pPr>
        <w:pStyle w:val="FootnoteText"/>
        <w:rPr>
          <w:lang w:val="en-US"/>
        </w:rPr>
      </w:pPr>
      <w:r>
        <w:rPr>
          <w:rStyle w:val="FootnoteReference"/>
        </w:rPr>
        <w:footnoteRef/>
      </w:r>
      <w:r>
        <w:t xml:space="preserve"> </w:t>
      </w:r>
      <w:r w:rsidRPr="00CE3125">
        <w:rPr>
          <w:i/>
          <w:iCs/>
        </w:rPr>
        <w:t>R (SC) v Secretary of State for Work and Pensions</w:t>
      </w:r>
      <w:r>
        <w:t xml:space="preserve"> </w:t>
      </w:r>
      <w:r w:rsidRPr="00CE3125">
        <w:t>[2021] UKSC 26</w:t>
      </w:r>
      <w:r>
        <w:t xml:space="preserve"> [197]-[199] (per Lord Reed).</w:t>
      </w:r>
    </w:p>
  </w:footnote>
  <w:footnote w:id="17">
    <w:p w14:paraId="33FE405D" w14:textId="75B7C61D" w:rsidR="00292048" w:rsidRPr="00292048" w:rsidRDefault="00292048">
      <w:pPr>
        <w:pStyle w:val="FootnoteText"/>
        <w:rPr>
          <w:lang w:val="en-US"/>
        </w:rPr>
      </w:pPr>
      <w:r>
        <w:rPr>
          <w:rStyle w:val="FootnoteReference"/>
        </w:rPr>
        <w:footnoteRef/>
      </w:r>
      <w:r>
        <w:t xml:space="preserve"> </w:t>
      </w:r>
      <w:r>
        <w:rPr>
          <w:lang w:val="en-US"/>
        </w:rPr>
        <w:t>Immigration and Asylum Act 1999 c</w:t>
      </w:r>
      <w:r w:rsidR="003A71A0">
        <w:rPr>
          <w:lang w:val="en-US"/>
        </w:rPr>
        <w:t>33 s95(3)</w:t>
      </w:r>
    </w:p>
  </w:footnote>
  <w:footnote w:id="18">
    <w:p w14:paraId="65059CEE" w14:textId="2598F537" w:rsidR="00341C74" w:rsidRPr="00341C74" w:rsidRDefault="00341C74">
      <w:pPr>
        <w:pStyle w:val="FootnoteText"/>
        <w:rPr>
          <w:lang w:val="en-US"/>
        </w:rPr>
      </w:pPr>
      <w:r>
        <w:rPr>
          <w:rStyle w:val="FootnoteReference"/>
        </w:rPr>
        <w:footnoteRef/>
      </w:r>
      <w:r>
        <w:t xml:space="preserve"> </w:t>
      </w:r>
      <w:r w:rsidR="00E360C8">
        <w:t xml:space="preserve">S Fitzpatrick, G Bramley, J Blenkinsopp, S Johnsen, M Littlewood, G Netto, F Sosenko and B Watts, </w:t>
      </w:r>
      <w:r w:rsidR="00E360C8">
        <w:rPr>
          <w:i/>
          <w:iCs/>
        </w:rPr>
        <w:t>Destitution in the UK: an interim report</w:t>
      </w:r>
      <w:r w:rsidR="00E360C8">
        <w:t xml:space="preserve"> (York: Joseph Rowntree Foundation, 2015</w:t>
      </w:r>
      <w:r w:rsidR="00B04EB4">
        <w:t>)</w:t>
      </w:r>
      <w:r w:rsidR="00E360C8">
        <w:t xml:space="preserve"> </w:t>
      </w:r>
      <w:r>
        <w:rPr>
          <w:lang w:val="en-US"/>
        </w:rPr>
        <w:t>5</w:t>
      </w:r>
    </w:p>
  </w:footnote>
  <w:footnote w:id="19">
    <w:p w14:paraId="4F85007C" w14:textId="5CF0CD7C" w:rsidR="000C3760" w:rsidRPr="000C3760" w:rsidRDefault="000C3760">
      <w:pPr>
        <w:pStyle w:val="FootnoteText"/>
        <w:rPr>
          <w:lang w:val="en-US"/>
        </w:rPr>
      </w:pPr>
      <w:r>
        <w:rPr>
          <w:rStyle w:val="FootnoteReference"/>
        </w:rPr>
        <w:footnoteRef/>
      </w:r>
      <w:r>
        <w:t xml:space="preserve"> </w:t>
      </w:r>
      <w:r w:rsidRPr="000C3760">
        <w:t>Committee on Economic, Social and Cultural Rights, ‘General Comment no 19: the Right to</w:t>
      </w:r>
      <w:r>
        <w:t xml:space="preserve"> </w:t>
      </w:r>
      <w:r w:rsidRPr="000C3760">
        <w:t>Social Security (art 9)’ (39</w:t>
      </w:r>
      <w:r w:rsidRPr="000C3760">
        <w:rPr>
          <w:vertAlign w:val="superscript"/>
        </w:rPr>
        <w:t>th</w:t>
      </w:r>
      <w:r>
        <w:t xml:space="preserve"> </w:t>
      </w:r>
      <w:r w:rsidRPr="000C3760">
        <w:t>session, 2007) (Geneva: United Nations, 2007</w:t>
      </w:r>
      <w:r>
        <w:t>)</w:t>
      </w:r>
    </w:p>
  </w:footnote>
  <w:footnote w:id="20">
    <w:p w14:paraId="15E63882" w14:textId="71FEB86C" w:rsidR="00A82C74" w:rsidRPr="00A82C74" w:rsidRDefault="00A82C74">
      <w:pPr>
        <w:pStyle w:val="FootnoteText"/>
        <w:rPr>
          <w:lang w:val="en-US"/>
        </w:rPr>
      </w:pPr>
      <w:r>
        <w:rPr>
          <w:rStyle w:val="FootnoteReference"/>
        </w:rPr>
        <w:footnoteRef/>
      </w:r>
      <w:r>
        <w:t xml:space="preserve"> </w:t>
      </w:r>
      <w:r>
        <w:rPr>
          <w:lang w:val="en-US"/>
        </w:rPr>
        <w:t xml:space="preserve">M Simpson, G McKeever and C Fitzpatrick, ‘Legal protection against destitution in the UK: the case for </w:t>
      </w:r>
      <w:r w:rsidR="00D92EF5">
        <w:rPr>
          <w:lang w:val="en-US"/>
        </w:rPr>
        <w:t xml:space="preserve">a right to a subsistence minimum’ (2022) </w:t>
      </w:r>
      <w:hyperlink r:id="rId11" w:history="1">
        <w:r w:rsidR="00D92EF5" w:rsidRPr="00817FC3">
          <w:rPr>
            <w:rStyle w:val="Hyperlink"/>
            <w:lang w:val="en-US"/>
          </w:rPr>
          <w:t>Modern Law Review</w:t>
        </w:r>
      </w:hyperlink>
      <w:r w:rsidR="00D92EF5">
        <w:rPr>
          <w:lang w:val="en-US"/>
        </w:rPr>
        <w:t xml:space="preserve"> – EarlyView article</w:t>
      </w:r>
      <w:r w:rsidR="00817FC3">
        <w:rPr>
          <w:lang w:val="en-US"/>
        </w:rPr>
        <w:t xml:space="preserve"> (open access) </w:t>
      </w:r>
    </w:p>
  </w:footnote>
  <w:footnote w:id="21">
    <w:p w14:paraId="132449E9" w14:textId="61176C27" w:rsidR="00DB63A8" w:rsidRPr="00DB63A8" w:rsidRDefault="00DB63A8">
      <w:pPr>
        <w:pStyle w:val="FootnoteText"/>
        <w:rPr>
          <w:lang w:val="en-US"/>
        </w:rPr>
      </w:pPr>
      <w:r>
        <w:rPr>
          <w:rStyle w:val="FootnoteReference"/>
        </w:rPr>
        <w:footnoteRef/>
      </w:r>
      <w:r>
        <w:t xml:space="preserve"> </w:t>
      </w:r>
      <w:r w:rsidR="00255FA5">
        <w:t>S</w:t>
      </w:r>
      <w:r w:rsidR="00255FA5" w:rsidRPr="00255FA5">
        <w:t xml:space="preserve"> Fitzpatrick, </w:t>
      </w:r>
      <w:r w:rsidR="00255FA5">
        <w:t>G</w:t>
      </w:r>
      <w:r w:rsidR="00255FA5" w:rsidRPr="00255FA5">
        <w:t xml:space="preserve"> Bramley, </w:t>
      </w:r>
      <w:r w:rsidR="00255FA5">
        <w:t>J</w:t>
      </w:r>
      <w:r w:rsidR="00255FA5" w:rsidRPr="00255FA5">
        <w:t xml:space="preserve"> Blenkinsopp, </w:t>
      </w:r>
      <w:r w:rsidR="00255FA5">
        <w:t>J</w:t>
      </w:r>
      <w:r w:rsidR="00255FA5" w:rsidRPr="00255FA5">
        <w:t xml:space="preserve"> Wood,</w:t>
      </w:r>
      <w:r w:rsidR="00255FA5">
        <w:t xml:space="preserve"> F</w:t>
      </w:r>
      <w:r w:rsidR="00255FA5" w:rsidRPr="00255FA5">
        <w:t xml:space="preserve"> Sosenko, </w:t>
      </w:r>
      <w:r w:rsidR="00255FA5">
        <w:t>M</w:t>
      </w:r>
      <w:r w:rsidR="00255FA5" w:rsidRPr="00255FA5">
        <w:t xml:space="preserve"> Littlewood, </w:t>
      </w:r>
      <w:r w:rsidR="00255FA5">
        <w:t>S</w:t>
      </w:r>
      <w:r w:rsidR="00255FA5" w:rsidRPr="00255FA5">
        <w:t xml:space="preserve"> Johnsen, </w:t>
      </w:r>
      <w:r w:rsidR="00255FA5">
        <w:t>B</w:t>
      </w:r>
      <w:r w:rsidR="00255FA5" w:rsidRPr="00255FA5">
        <w:t xml:space="preserve"> Watts, </w:t>
      </w:r>
      <w:r w:rsidR="00255FA5">
        <w:t>M</w:t>
      </w:r>
      <w:r w:rsidR="00255FA5" w:rsidRPr="00255FA5">
        <w:t xml:space="preserve"> Treanor and </w:t>
      </w:r>
      <w:r w:rsidR="00255FA5">
        <w:t>J</w:t>
      </w:r>
      <w:r w:rsidR="00255FA5" w:rsidRPr="00255FA5">
        <w:t xml:space="preserve"> McIntyre,</w:t>
      </w:r>
      <w:r w:rsidR="00255FA5">
        <w:t xml:space="preserve"> </w:t>
      </w:r>
      <w:r w:rsidR="00255FA5" w:rsidRPr="00255FA5">
        <w:rPr>
          <w:i/>
          <w:iCs/>
        </w:rPr>
        <w:t>Destitution in the UK 2020</w:t>
      </w:r>
      <w:r w:rsidR="00255FA5">
        <w:t xml:space="preserve"> </w:t>
      </w:r>
      <w:r w:rsidR="00255FA5" w:rsidRPr="00255FA5">
        <w:t>(York: Joseph Rowntree Foundation, 2020)</w:t>
      </w:r>
    </w:p>
  </w:footnote>
  <w:footnote w:id="22">
    <w:p w14:paraId="1776A694" w14:textId="3A11E46E" w:rsidR="00E63EB4" w:rsidRPr="00E63EB4" w:rsidRDefault="00E63EB4">
      <w:pPr>
        <w:pStyle w:val="FootnoteText"/>
        <w:rPr>
          <w:lang w:val="en-US"/>
        </w:rPr>
      </w:pPr>
      <w:r>
        <w:rPr>
          <w:rStyle w:val="FootnoteReference"/>
        </w:rPr>
        <w:footnoteRef/>
      </w:r>
      <w:r>
        <w:t xml:space="preserve"> </w:t>
      </w:r>
      <w:r>
        <w:rPr>
          <w:lang w:val="en-US"/>
        </w:rPr>
        <w:t xml:space="preserve">M Simpson, G McKeever and C Fitzpatrick, ‘Legal protection against destitution in the UK: the case for a right to a subsistence minimum’ (2022) Modern Law Review – EarlyView article </w:t>
      </w:r>
    </w:p>
  </w:footnote>
  <w:footnote w:id="23">
    <w:p w14:paraId="0A116F1D" w14:textId="100C5997" w:rsidR="00E37CAD" w:rsidRPr="00E37CAD" w:rsidRDefault="00E37CAD">
      <w:pPr>
        <w:pStyle w:val="FootnoteText"/>
        <w:rPr>
          <w:lang w:val="en-US"/>
        </w:rPr>
      </w:pPr>
      <w:r>
        <w:rPr>
          <w:rStyle w:val="FootnoteReference"/>
        </w:rPr>
        <w:footnoteRef/>
      </w:r>
      <w:r>
        <w:t xml:space="preserve"> </w:t>
      </w:r>
      <w:r>
        <w:rPr>
          <w:lang w:val="en-US"/>
        </w:rPr>
        <w:t xml:space="preserve">The test </w:t>
      </w:r>
      <w:r w:rsidR="00F6621B">
        <w:rPr>
          <w:lang w:val="en-US"/>
        </w:rPr>
        <w:t xml:space="preserve">was established in </w:t>
      </w:r>
      <w:r w:rsidR="00227405" w:rsidRPr="00227405">
        <w:rPr>
          <w:i/>
          <w:iCs/>
          <w:lang w:val="en-US"/>
        </w:rPr>
        <w:t>R (On the Application of Limbuela) v Secretary of State for the Home Department</w:t>
      </w:r>
      <w:r w:rsidR="00227405">
        <w:rPr>
          <w:lang w:val="en-US"/>
        </w:rPr>
        <w:t xml:space="preserve"> </w:t>
      </w:r>
      <w:r w:rsidR="00227405" w:rsidRPr="00227405">
        <w:rPr>
          <w:lang w:val="en-US"/>
        </w:rPr>
        <w:t>[2005] UKHL 66</w:t>
      </w:r>
      <w:r w:rsidR="00B0565E">
        <w:rPr>
          <w:lang w:val="en-US"/>
        </w:rPr>
        <w:t xml:space="preserve"> </w:t>
      </w:r>
      <w:r w:rsidR="00B0565E" w:rsidRPr="00B0565E">
        <w:rPr>
          <w:lang w:val="en-US"/>
        </w:rPr>
        <w:t>at [7] (Lord Bingham</w:t>
      </w:r>
      <w:r w:rsidR="00A05131">
        <w:rPr>
          <w:lang w:val="en-US"/>
        </w:rPr>
        <w:t>)</w:t>
      </w:r>
    </w:p>
  </w:footnote>
  <w:footnote w:id="24">
    <w:p w14:paraId="415A0DDA" w14:textId="31389121" w:rsidR="00034795" w:rsidRPr="00034795" w:rsidRDefault="00034795">
      <w:pPr>
        <w:pStyle w:val="FootnoteText"/>
        <w:rPr>
          <w:lang w:val="en-US"/>
        </w:rPr>
      </w:pPr>
      <w:r>
        <w:rPr>
          <w:rStyle w:val="FootnoteReference"/>
        </w:rPr>
        <w:footnoteRef/>
      </w:r>
      <w:r>
        <w:t xml:space="preserve"> </w:t>
      </w:r>
      <w:r>
        <w:rPr>
          <w:lang w:val="en-US"/>
        </w:rPr>
        <w:t xml:space="preserve">Findings and inferences from a review of case law for M Simpson, G McKeever and C Fitzpatrick, ‘Legal protection against destitution in the UK: the case for a right to a subsistence minimum’ (2022) Modern Law Review – EarlyView article </w:t>
      </w:r>
    </w:p>
  </w:footnote>
  <w:footnote w:id="25">
    <w:p w14:paraId="2DB75E64" w14:textId="1FCA6B59" w:rsidR="00142EFF" w:rsidRPr="00142EFF" w:rsidRDefault="00142EFF">
      <w:pPr>
        <w:pStyle w:val="FootnoteText"/>
        <w:rPr>
          <w:lang w:val="en-US"/>
        </w:rPr>
      </w:pPr>
      <w:r>
        <w:rPr>
          <w:rStyle w:val="FootnoteReference"/>
        </w:rPr>
        <w:footnoteRef/>
      </w:r>
      <w:r>
        <w:t xml:space="preserve"> </w:t>
      </w:r>
      <w:r w:rsidRPr="00142EFF">
        <w:rPr>
          <w:i/>
          <w:iCs/>
        </w:rPr>
        <w:t>R (on the application of W) v Secretary of State for the Home Department)</w:t>
      </w:r>
      <w:r>
        <w:t xml:space="preserve"> </w:t>
      </w:r>
      <w:r w:rsidRPr="00142EFF">
        <w:t>[2020] EWHC 1299</w:t>
      </w:r>
      <w:r w:rsidR="00DC2002">
        <w:t xml:space="preserve"> (admin)</w:t>
      </w:r>
    </w:p>
  </w:footnote>
  <w:footnote w:id="26">
    <w:p w14:paraId="2E610108" w14:textId="35DD193A" w:rsidR="00E472B1" w:rsidRPr="00E472B1" w:rsidRDefault="00E472B1">
      <w:pPr>
        <w:pStyle w:val="FootnoteText"/>
        <w:rPr>
          <w:lang w:val="en-US"/>
        </w:rPr>
      </w:pPr>
      <w:r>
        <w:rPr>
          <w:rStyle w:val="FootnoteReference"/>
        </w:rPr>
        <w:footnoteRef/>
      </w:r>
      <w:r>
        <w:t xml:space="preserve"> </w:t>
      </w:r>
      <w:r w:rsidRPr="00E472B1">
        <w:rPr>
          <w:i/>
          <w:iCs/>
        </w:rPr>
        <w:t>Anufrijeva v Southwark LBC</w:t>
      </w:r>
      <w:r>
        <w:t xml:space="preserve"> [2003] EWCA Civ 1406</w:t>
      </w:r>
    </w:p>
  </w:footnote>
  <w:footnote w:id="27">
    <w:p w14:paraId="6DC48DE6" w14:textId="0C617CF7" w:rsidR="00BD7943" w:rsidRPr="00BD7943" w:rsidRDefault="00BD7943">
      <w:pPr>
        <w:pStyle w:val="FootnoteText"/>
        <w:rPr>
          <w:lang w:val="en-US"/>
        </w:rPr>
      </w:pPr>
      <w:r>
        <w:rPr>
          <w:rStyle w:val="FootnoteReference"/>
        </w:rPr>
        <w:footnoteRef/>
      </w:r>
      <w:r>
        <w:t xml:space="preserve"> </w:t>
      </w:r>
      <w:r w:rsidRPr="00BD7943">
        <w:rPr>
          <w:i/>
          <w:iCs/>
        </w:rPr>
        <w:t>R on the application of C, T, M, U v Southwark LBC</w:t>
      </w:r>
      <w:r>
        <w:t xml:space="preserve"> [2014] EWHC 3983 (Admin); upheld by the Court of Appeal in </w:t>
      </w:r>
      <w:r w:rsidR="005B1B5A" w:rsidRPr="005B1B5A">
        <w:rPr>
          <w:i/>
          <w:iCs/>
        </w:rPr>
        <w:t xml:space="preserve">R (C and Others) v Southwark LBC </w:t>
      </w:r>
      <w:r w:rsidR="005B1B5A">
        <w:t>[2016] EWCA Civ 707</w:t>
      </w:r>
    </w:p>
  </w:footnote>
  <w:footnote w:id="28">
    <w:p w14:paraId="21C58222" w14:textId="4F2F6EAF" w:rsidR="00D91178" w:rsidRPr="00D91178" w:rsidRDefault="00D91178">
      <w:pPr>
        <w:pStyle w:val="FootnoteText"/>
        <w:rPr>
          <w:lang w:val="en-US"/>
        </w:rPr>
      </w:pPr>
      <w:r>
        <w:rPr>
          <w:rStyle w:val="FootnoteReference"/>
        </w:rPr>
        <w:footnoteRef/>
      </w:r>
      <w:r>
        <w:t xml:space="preserve"> </w:t>
      </w:r>
      <w:r w:rsidR="007304CC" w:rsidRPr="007304CC">
        <w:rPr>
          <w:i/>
          <w:iCs/>
        </w:rPr>
        <w:t>R v Inhabitants of Eastbourne</w:t>
      </w:r>
      <w:r w:rsidR="007304CC">
        <w:t xml:space="preserve"> (1803) 4 East 103</w:t>
      </w:r>
    </w:p>
  </w:footnote>
  <w:footnote w:id="29">
    <w:p w14:paraId="60AF2289" w14:textId="20AD3078" w:rsidR="00A012A2" w:rsidRPr="00A012A2" w:rsidRDefault="00A012A2">
      <w:pPr>
        <w:pStyle w:val="FootnoteText"/>
        <w:rPr>
          <w:lang w:val="en-US"/>
        </w:rPr>
      </w:pPr>
      <w:r>
        <w:rPr>
          <w:rStyle w:val="FootnoteReference"/>
        </w:rPr>
        <w:footnoteRef/>
      </w:r>
      <w:r>
        <w:t xml:space="preserve"> </w:t>
      </w:r>
      <w:r w:rsidRPr="00A012A2">
        <w:rPr>
          <w:i/>
          <w:iCs/>
        </w:rPr>
        <w:t>R v Secretary of State for Social Security, ex p Joint Council for the Welfare of Immigrants</w:t>
      </w:r>
      <w:r>
        <w:t xml:space="preserve"> [1997] 1 WLR 275;</w:t>
      </w:r>
      <w:r w:rsidR="005D71A0">
        <w:t xml:space="preserve"> </w:t>
      </w:r>
      <w:r w:rsidR="005D71A0" w:rsidRPr="005D71A0">
        <w:rPr>
          <w:i/>
          <w:iCs/>
        </w:rPr>
        <w:t>R on the Application of Othman v Secretary of State for Work and Pensions</w:t>
      </w:r>
      <w:r w:rsidR="005D71A0">
        <w:t xml:space="preserve"> [2001] EWHC Admin 1022; </w:t>
      </w:r>
      <w:r w:rsidR="00DD50C3" w:rsidRPr="00DD50C3">
        <w:rPr>
          <w:i/>
          <w:iCs/>
        </w:rPr>
        <w:t>R (on the application of W) v Secretary of State for the Home Department</w:t>
      </w:r>
      <w:r w:rsidR="00DD50C3">
        <w:t xml:space="preserve"> [2020] EWHC 1299 (admin)</w:t>
      </w:r>
    </w:p>
  </w:footnote>
  <w:footnote w:id="30">
    <w:p w14:paraId="43151D65" w14:textId="4671F80B" w:rsidR="00D81C52" w:rsidRPr="00D81C52" w:rsidRDefault="00D81C52">
      <w:pPr>
        <w:pStyle w:val="FootnoteText"/>
        <w:rPr>
          <w:lang w:val="en-US"/>
        </w:rPr>
      </w:pPr>
      <w:r>
        <w:rPr>
          <w:rStyle w:val="FootnoteReference"/>
        </w:rPr>
        <w:footnoteRef/>
      </w:r>
      <w:r>
        <w:t xml:space="preserve"> </w:t>
      </w:r>
      <w:r w:rsidR="00443E73">
        <w:rPr>
          <w:lang w:val="en-US"/>
        </w:rPr>
        <w:t xml:space="preserve">M Simpson, G McKeever and C Fitzpatrick, ‘Legal protection against destitution in the UK: the case for a right to a subsistence minimum’ (2022) Modern Law Review – EarlyView article </w:t>
      </w:r>
    </w:p>
  </w:footnote>
  <w:footnote w:id="31">
    <w:p w14:paraId="5A2561E8" w14:textId="7D325545" w:rsidR="00173FE0" w:rsidRPr="005162B0" w:rsidRDefault="00173FE0" w:rsidP="00173FE0">
      <w:pPr>
        <w:pStyle w:val="FootnoteText"/>
        <w:rPr>
          <w:lang w:val="en-US"/>
        </w:rPr>
      </w:pPr>
      <w:r>
        <w:rPr>
          <w:rStyle w:val="FootnoteReference"/>
        </w:rPr>
        <w:footnoteRef/>
      </w:r>
      <w:r>
        <w:t xml:space="preserve"> Rent Officers (Housing Benefit Functions) Amendment Order 2010 SI No 2836</w:t>
      </w:r>
      <w:r w:rsidR="008670FD">
        <w:t>; Welfare Reform Act 2012; Welfare Reform and Work Act 20</w:t>
      </w:r>
      <w:r w:rsidR="003029D5">
        <w:t>16</w:t>
      </w:r>
    </w:p>
  </w:footnote>
  <w:footnote w:id="32">
    <w:p w14:paraId="5FEEA1ED" w14:textId="2D85D414" w:rsidR="005F3F1A" w:rsidRPr="005F3F1A" w:rsidRDefault="005F3F1A">
      <w:pPr>
        <w:pStyle w:val="FootnoteText"/>
        <w:rPr>
          <w:lang w:val="en-US"/>
        </w:rPr>
      </w:pPr>
      <w:r>
        <w:rPr>
          <w:rStyle w:val="FootnoteReference"/>
        </w:rPr>
        <w:footnoteRef/>
      </w:r>
      <w:r>
        <w:t xml:space="preserve"> </w:t>
      </w:r>
      <w:r>
        <w:rPr>
          <w:lang w:val="en-US"/>
        </w:rPr>
        <w:t xml:space="preserve">See M Simpson, </w:t>
      </w:r>
      <w:r>
        <w:rPr>
          <w:i/>
          <w:iCs/>
          <w:lang w:val="en-US"/>
        </w:rPr>
        <w:t>Social citizenship in an age of welfare regionalism: the state of the social union</w:t>
      </w:r>
      <w:r>
        <w:rPr>
          <w:lang w:val="en-US"/>
        </w:rPr>
        <w:t xml:space="preserve"> (Oxford: Hart, 2022)</w:t>
      </w:r>
    </w:p>
  </w:footnote>
  <w:footnote w:id="33">
    <w:p w14:paraId="0F623144" w14:textId="510CC622" w:rsidR="00D428D9" w:rsidRPr="00D428D9" w:rsidRDefault="00D428D9">
      <w:pPr>
        <w:pStyle w:val="FootnoteText"/>
        <w:rPr>
          <w:lang w:val="en-US"/>
        </w:rPr>
      </w:pPr>
      <w:r>
        <w:rPr>
          <w:rStyle w:val="FootnoteReference"/>
        </w:rPr>
        <w:footnoteRef/>
      </w:r>
      <w:r>
        <w:t xml:space="preserve"> </w:t>
      </w:r>
      <w:r w:rsidR="00C43332">
        <w:t>Committee on Economic, Social and Cultural Rights, ‘General comment no 3: the nature of states parties’ obligations’ (E/1991/23, annex III, New York: United Nations, 1991) para 9</w:t>
      </w:r>
    </w:p>
  </w:footnote>
  <w:footnote w:id="34">
    <w:p w14:paraId="5BA215E9" w14:textId="66CE29FF" w:rsidR="00F97D0A" w:rsidRPr="00F97D0A" w:rsidRDefault="00F97D0A">
      <w:pPr>
        <w:pStyle w:val="FootnoteText"/>
        <w:rPr>
          <w:lang w:val="en-US"/>
        </w:rPr>
      </w:pPr>
      <w:r>
        <w:rPr>
          <w:rStyle w:val="FootnoteReference"/>
        </w:rPr>
        <w:footnoteRef/>
      </w:r>
      <w:r>
        <w:t xml:space="preserve"> </w:t>
      </w:r>
      <w:r>
        <w:rPr>
          <w:lang w:val="en-US"/>
        </w:rPr>
        <w:t>See</w:t>
      </w:r>
      <w:r w:rsidR="007737EE">
        <w:rPr>
          <w:lang w:val="en-US"/>
        </w:rPr>
        <w:t xml:space="preserve"> </w:t>
      </w:r>
      <w:r w:rsidR="007737EE">
        <w:t xml:space="preserve">N Ellison, ‘The coalition government, public spending and social policy’ in H Bochel and M Powell (eds), </w:t>
      </w:r>
      <w:r w:rsidR="007737EE" w:rsidRPr="007737EE">
        <w:rPr>
          <w:i/>
          <w:iCs/>
        </w:rPr>
        <w:t>The Coalition Government and Social Policy: Restructuring the Welfare State</w:t>
      </w:r>
      <w:r w:rsidR="007737EE">
        <w:t xml:space="preserve"> (Bristol: Policy Press, 2016)</w:t>
      </w:r>
    </w:p>
  </w:footnote>
  <w:footnote w:id="35">
    <w:p w14:paraId="4F69C2AB" w14:textId="7FAC4925" w:rsidR="00AC06D3" w:rsidRPr="00AC06D3" w:rsidRDefault="00AC06D3">
      <w:pPr>
        <w:pStyle w:val="FootnoteText"/>
        <w:rPr>
          <w:lang w:val="en-US"/>
        </w:rPr>
      </w:pPr>
      <w:r>
        <w:rPr>
          <w:rStyle w:val="FootnoteReference"/>
        </w:rPr>
        <w:footnoteRef/>
      </w:r>
      <w:r>
        <w:t xml:space="preserve"> </w:t>
      </w:r>
      <w:r>
        <w:rPr>
          <w:lang w:val="en-US"/>
        </w:rPr>
        <w:t xml:space="preserve">For example, </w:t>
      </w:r>
      <w:r w:rsidRPr="007B1273">
        <w:rPr>
          <w:i/>
          <w:iCs/>
          <w:lang w:val="en-US"/>
        </w:rPr>
        <w:t xml:space="preserve">R </w:t>
      </w:r>
      <w:r w:rsidRPr="007B1273">
        <w:rPr>
          <w:i/>
          <w:iCs/>
        </w:rPr>
        <w:t>(on the application of SG) v Secretary of State for Work and Pensions</w:t>
      </w:r>
      <w:r>
        <w:t xml:space="preserve"> [2015] UKSC 16 at [229] (Lady Hale)</w:t>
      </w:r>
    </w:p>
  </w:footnote>
  <w:footnote w:id="36">
    <w:p w14:paraId="35ED69C8" w14:textId="6FAEFFB8" w:rsidR="00F342CB" w:rsidRPr="00F342CB" w:rsidRDefault="00F342CB">
      <w:pPr>
        <w:pStyle w:val="FootnoteText"/>
        <w:rPr>
          <w:lang w:val="en-US"/>
        </w:rPr>
      </w:pPr>
      <w:r>
        <w:rPr>
          <w:rStyle w:val="FootnoteReference"/>
        </w:rPr>
        <w:footnoteRef/>
      </w:r>
      <w:r>
        <w:t xml:space="preserve"> R Joyce, </w:t>
      </w:r>
      <w:r w:rsidR="00A57C5E">
        <w:t>‘</w:t>
      </w:r>
      <w:r>
        <w:t>Child poverty in Britain: recent trends and future prospects ’ (W15/07, London: IFS, 2014) 10</w:t>
      </w:r>
    </w:p>
  </w:footnote>
  <w:footnote w:id="37">
    <w:p w14:paraId="1EA77054" w14:textId="672159C6" w:rsidR="002D1F30" w:rsidRPr="00404A3C" w:rsidRDefault="002D1F30" w:rsidP="002D1F30">
      <w:pPr>
        <w:pStyle w:val="FootnoteText"/>
        <w:rPr>
          <w:lang w:val="en-US"/>
        </w:rPr>
      </w:pPr>
      <w:r>
        <w:rPr>
          <w:rStyle w:val="FootnoteReference"/>
        </w:rPr>
        <w:footnoteRef/>
      </w:r>
      <w:r>
        <w:t xml:space="preserve"> </w:t>
      </w:r>
      <w:r w:rsidR="001F7C98">
        <w:t>Welfare Reform and Work Act 2016 c</w:t>
      </w:r>
      <w:r w:rsidR="004F0710">
        <w:t>7 s17</w:t>
      </w:r>
    </w:p>
  </w:footnote>
  <w:footnote w:id="38">
    <w:p w14:paraId="6FE70E84" w14:textId="5663828A" w:rsidR="004F0710" w:rsidRPr="004F0710" w:rsidRDefault="004F0710">
      <w:pPr>
        <w:pStyle w:val="FootnoteText"/>
        <w:rPr>
          <w:lang w:val="en-US"/>
        </w:rPr>
      </w:pPr>
      <w:r>
        <w:rPr>
          <w:rStyle w:val="FootnoteReference"/>
        </w:rPr>
        <w:footnoteRef/>
      </w:r>
      <w:r>
        <w:t xml:space="preserve"> </w:t>
      </w:r>
      <w:r w:rsidR="001F6F80" w:rsidRPr="001F6F80">
        <w:t>Universal Credit and Jobseeker’s Allowance (Work Search and Work Availability Requirements - limitations) (Amendment) Regulations 2022</w:t>
      </w:r>
      <w:r w:rsidR="001F6F80">
        <w:t xml:space="preserve"> SI No </w:t>
      </w:r>
      <w:r w:rsidR="00F5623B">
        <w:t>108</w:t>
      </w:r>
    </w:p>
  </w:footnote>
  <w:footnote w:id="39">
    <w:p w14:paraId="322E4390" w14:textId="4B8F2A92" w:rsidR="00EA6F1E" w:rsidRPr="00EA6F1E" w:rsidRDefault="00EA6F1E">
      <w:pPr>
        <w:pStyle w:val="FootnoteText"/>
        <w:rPr>
          <w:lang w:val="en-US"/>
        </w:rPr>
      </w:pPr>
      <w:r>
        <w:rPr>
          <w:rStyle w:val="FootnoteReference"/>
        </w:rPr>
        <w:footnoteRef/>
      </w:r>
      <w:r>
        <w:t xml:space="preserve"> Universal Credit Regulations 2013 SI No 376 regs 101 – 105.</w:t>
      </w:r>
    </w:p>
  </w:footnote>
  <w:footnote w:id="40">
    <w:p w14:paraId="11DDE2B8" w14:textId="7710B107" w:rsidR="00A57C5E" w:rsidRPr="00EA523D" w:rsidRDefault="00A57C5E" w:rsidP="00A57C5E">
      <w:pPr>
        <w:pStyle w:val="FootnoteText"/>
        <w:rPr>
          <w:lang w:val="en-US"/>
        </w:rPr>
      </w:pPr>
      <w:r>
        <w:rPr>
          <w:rStyle w:val="FootnoteReference"/>
        </w:rPr>
        <w:footnoteRef/>
      </w:r>
      <w:r>
        <w:t xml:space="preserve"> </w:t>
      </w:r>
      <w:r w:rsidRPr="00EA523D">
        <w:t>M Simpson, ‘“Designed to reduce people… to complete destitution”: human dignity in the active welfare state’ (2015) 1 European Human Rights Law Review 66</w:t>
      </w:r>
      <w:r w:rsidR="007415AA">
        <w:t xml:space="preserve"> (open access version </w:t>
      </w:r>
      <w:hyperlink r:id="rId12" w:history="1">
        <w:r w:rsidR="007415AA" w:rsidRPr="00823524">
          <w:rPr>
            <w:rStyle w:val="Hyperlink"/>
          </w:rPr>
          <w:t>here</w:t>
        </w:r>
      </w:hyperlink>
      <w:r w:rsidR="007415AA">
        <w:t>)</w:t>
      </w:r>
      <w:r w:rsidR="00E75A58">
        <w:t>; see also the judgment of the German constitutional court in BVerfG 1 BvL 7/16, Judgment of 5 November 2019</w:t>
      </w:r>
      <w:r w:rsidR="00C31438">
        <w:t>.</w:t>
      </w:r>
    </w:p>
  </w:footnote>
  <w:footnote w:id="41">
    <w:p w14:paraId="6E7BA8B0" w14:textId="1B6D2ED1" w:rsidR="00D87669" w:rsidRPr="00D87669" w:rsidRDefault="00D87669">
      <w:pPr>
        <w:pStyle w:val="FootnoteText"/>
        <w:rPr>
          <w:lang w:val="en-US"/>
        </w:rPr>
      </w:pPr>
      <w:r>
        <w:rPr>
          <w:rStyle w:val="FootnoteReference"/>
        </w:rPr>
        <w:footnoteRef/>
      </w:r>
      <w:r>
        <w:t xml:space="preserve"> </w:t>
      </w:r>
      <w:r w:rsidRPr="007B1273">
        <w:rPr>
          <w:i/>
          <w:iCs/>
          <w:lang w:val="en-US"/>
        </w:rPr>
        <w:t xml:space="preserve">R </w:t>
      </w:r>
      <w:r w:rsidRPr="007B1273">
        <w:rPr>
          <w:i/>
          <w:iCs/>
        </w:rPr>
        <w:t>(on the application of SG) v Secretary of State for Work and Pensions</w:t>
      </w:r>
      <w:r>
        <w:t xml:space="preserve"> [2015] UKSC 16 at [229] (Lady Hale)</w:t>
      </w:r>
    </w:p>
  </w:footnote>
  <w:footnote w:id="42">
    <w:p w14:paraId="40D569E2" w14:textId="0321DAE9" w:rsidR="00DF1260" w:rsidRPr="00DF1260" w:rsidRDefault="00DF1260">
      <w:pPr>
        <w:pStyle w:val="FootnoteText"/>
        <w:rPr>
          <w:lang w:val="en-US"/>
        </w:rPr>
      </w:pPr>
      <w:r>
        <w:rPr>
          <w:rStyle w:val="FootnoteReference"/>
        </w:rPr>
        <w:footnoteRef/>
      </w:r>
      <w:r>
        <w:t xml:space="preserve"> </w:t>
      </w:r>
      <w:r>
        <w:rPr>
          <w:lang w:val="en-US"/>
        </w:rPr>
        <w:t xml:space="preserve">G McKeever, M Simpson and C Fitzpatrick, </w:t>
      </w:r>
      <w:r>
        <w:rPr>
          <w:i/>
          <w:iCs/>
          <w:lang w:val="en-US"/>
        </w:rPr>
        <w:t xml:space="preserve">Destitution and paths to justice </w:t>
      </w:r>
      <w:r>
        <w:t>(London: Legal Education Foundation/York: Joseph Rowntree Foundation, 2018)</w:t>
      </w:r>
    </w:p>
  </w:footnote>
  <w:footnote w:id="43">
    <w:p w14:paraId="6C8DE94B" w14:textId="74F1CEA7" w:rsidR="00AA0DBC" w:rsidRPr="008D7D1C" w:rsidRDefault="00AA0DBC">
      <w:pPr>
        <w:pStyle w:val="FootnoteText"/>
        <w:rPr>
          <w:lang w:val="en-US"/>
        </w:rPr>
      </w:pPr>
      <w:r>
        <w:rPr>
          <w:rStyle w:val="FootnoteReference"/>
        </w:rPr>
        <w:footnoteRef/>
      </w:r>
      <w:r>
        <w:t xml:space="preserve"> </w:t>
      </w:r>
      <w:r w:rsidR="008D7D1C">
        <w:rPr>
          <w:lang w:val="en-US"/>
        </w:rPr>
        <w:t xml:space="preserve">See </w:t>
      </w:r>
      <w:r w:rsidR="008D7D1C">
        <w:t xml:space="preserve">HM Government, </w:t>
      </w:r>
      <w:r w:rsidR="008D7D1C" w:rsidRPr="008D7D1C">
        <w:rPr>
          <w:i/>
          <w:iCs/>
        </w:rPr>
        <w:t>A New Approach to Child Poverty: Tackling the Causes of Disadvantage and Transforming Families’ Lives</w:t>
      </w:r>
      <w:r w:rsidR="008D7D1C">
        <w:t xml:space="preserve"> (Cm 8061, London: DWP, 2011) 3 and commentary in M Simpson, </w:t>
      </w:r>
      <w:r w:rsidR="008D7D1C">
        <w:rPr>
          <w:i/>
          <w:iCs/>
        </w:rPr>
        <w:t xml:space="preserve">Social citizenship in an age of welfare regionalism: the state of the social union </w:t>
      </w:r>
      <w:r w:rsidR="008D7D1C">
        <w:t>(Oxford: Hart, 2022)</w:t>
      </w:r>
    </w:p>
  </w:footnote>
  <w:footnote w:id="44">
    <w:p w14:paraId="56E336A2" w14:textId="7A627163" w:rsidR="009F0A29" w:rsidRPr="009F0A29" w:rsidRDefault="009F0A29">
      <w:pPr>
        <w:pStyle w:val="FootnoteText"/>
        <w:rPr>
          <w:lang w:val="en-US"/>
        </w:rPr>
      </w:pPr>
      <w:r>
        <w:rPr>
          <w:rStyle w:val="FootnoteReference"/>
        </w:rPr>
        <w:footnoteRef/>
      </w:r>
      <w:r>
        <w:t xml:space="preserve"> </w:t>
      </w:r>
      <w:r>
        <w:rPr>
          <w:lang w:val="en-US"/>
        </w:rPr>
        <w:t xml:space="preserve">See W </w:t>
      </w:r>
      <w:r>
        <w:t xml:space="preserve">Beveridge, </w:t>
      </w:r>
      <w:r w:rsidRPr="009F0A29">
        <w:rPr>
          <w:i/>
          <w:iCs/>
        </w:rPr>
        <w:t>Social insurance and allied services</w:t>
      </w:r>
      <w:r>
        <w:t xml:space="preserve"> (Cmd 6404, London: HMSO, 1942)</w:t>
      </w:r>
    </w:p>
  </w:footnote>
  <w:footnote w:id="45">
    <w:p w14:paraId="5BF7652C" w14:textId="41219218" w:rsidR="007B1273" w:rsidRPr="007B1273" w:rsidRDefault="007B1273">
      <w:pPr>
        <w:pStyle w:val="FootnoteText"/>
        <w:rPr>
          <w:lang w:val="en-US"/>
        </w:rPr>
      </w:pPr>
      <w:r>
        <w:rPr>
          <w:rStyle w:val="FootnoteReference"/>
        </w:rPr>
        <w:footnoteRef/>
      </w:r>
      <w:r>
        <w:t xml:space="preserve"> </w:t>
      </w:r>
      <w:r w:rsidRPr="007B1273">
        <w:rPr>
          <w:i/>
          <w:iCs/>
          <w:lang w:val="en-US"/>
        </w:rPr>
        <w:t xml:space="preserve">R </w:t>
      </w:r>
      <w:r w:rsidRPr="007B1273">
        <w:rPr>
          <w:i/>
          <w:iCs/>
        </w:rPr>
        <w:t>(on the application of SG) v Secretary of State for Work and Pensions</w:t>
      </w:r>
      <w:r>
        <w:t xml:space="preserve"> [2015] UKSC 16 at [229] (Lady Hale)</w:t>
      </w:r>
    </w:p>
  </w:footnote>
  <w:footnote w:id="46">
    <w:p w14:paraId="0771490C" w14:textId="7956EB16" w:rsidR="00B83269" w:rsidRPr="00B83269" w:rsidRDefault="00B83269">
      <w:pPr>
        <w:pStyle w:val="FootnoteText"/>
        <w:rPr>
          <w:lang w:val="en-US"/>
        </w:rPr>
      </w:pPr>
      <w:r>
        <w:rPr>
          <w:rStyle w:val="FootnoteReference"/>
        </w:rPr>
        <w:footnoteRef/>
      </w:r>
      <w:r>
        <w:t xml:space="preserve"> J Meers, ‘Panacean payments: the role of discretionary housing payments in the welfare reform agenda’, (2015) 22(3) Journal of Social Security Law 115</w:t>
      </w:r>
      <w:r w:rsidR="00DA6903">
        <w:t xml:space="preserve"> (open access version </w:t>
      </w:r>
      <w:hyperlink r:id="rId13" w:history="1">
        <w:r w:rsidR="00DA6903" w:rsidRPr="00DA6903">
          <w:rPr>
            <w:rStyle w:val="Hyperlink"/>
          </w:rPr>
          <w:t>here</w:t>
        </w:r>
      </w:hyperlink>
      <w:r w:rsidR="00DA6903">
        <w:t>)</w:t>
      </w:r>
    </w:p>
  </w:footnote>
  <w:footnote w:id="47">
    <w:p w14:paraId="05BE64FF" w14:textId="77777777" w:rsidR="00A96211" w:rsidRPr="00085C00" w:rsidRDefault="00A96211" w:rsidP="00A96211">
      <w:pPr>
        <w:pStyle w:val="FootnoteText"/>
        <w:rPr>
          <w:lang w:val="en-US"/>
        </w:rPr>
      </w:pPr>
      <w:r>
        <w:rPr>
          <w:rStyle w:val="FootnoteReference"/>
        </w:rPr>
        <w:footnoteRef/>
      </w:r>
      <w:r>
        <w:t xml:space="preserve"> </w:t>
      </w:r>
      <w:r>
        <w:rPr>
          <w:lang w:val="en-US"/>
        </w:rPr>
        <w:t xml:space="preserve">National Audit Office, ‘Managing the impact of Housing Benefit reform’ (2012) Available at: </w:t>
      </w:r>
      <w:hyperlink r:id="rId14" w:history="1">
        <w:r w:rsidRPr="00F24C1A">
          <w:rPr>
            <w:rStyle w:val="Hyperlink"/>
            <w:lang w:val="en-US"/>
          </w:rPr>
          <w:t>https://www.nao.org.uk/reports/managing-the-impact-of-housing-benefit-reform/</w:t>
        </w:r>
      </w:hyperlink>
      <w:r>
        <w:rPr>
          <w:lang w:val="en-US"/>
        </w:rPr>
        <w:t xml:space="preserve"> </w:t>
      </w:r>
    </w:p>
  </w:footnote>
  <w:footnote w:id="48">
    <w:p w14:paraId="743540E2" w14:textId="11643382" w:rsidR="00A96211" w:rsidRPr="00B9599D" w:rsidRDefault="00A96211" w:rsidP="00A96211">
      <w:pPr>
        <w:pStyle w:val="FootnoteText"/>
        <w:rPr>
          <w:lang w:val="en-US"/>
        </w:rPr>
      </w:pPr>
      <w:r>
        <w:rPr>
          <w:rStyle w:val="FootnoteReference"/>
        </w:rPr>
        <w:footnoteRef/>
      </w:r>
      <w:r>
        <w:t xml:space="preserve"> See </w:t>
      </w:r>
      <w:r w:rsidR="00AA1F71">
        <w:t>R</w:t>
      </w:r>
      <w:r>
        <w:t xml:space="preserve"> </w:t>
      </w:r>
      <w:r>
        <w:rPr>
          <w:lang w:val="en-US"/>
        </w:rPr>
        <w:t>Hick, ‘</w:t>
      </w:r>
      <w:r w:rsidRPr="00B9599D">
        <w:rPr>
          <w:lang w:val="en-US"/>
        </w:rPr>
        <w:t>Austerity, Localism, and</w:t>
      </w:r>
      <w:r>
        <w:rPr>
          <w:lang w:val="en-US"/>
        </w:rPr>
        <w:t xml:space="preserve"> </w:t>
      </w:r>
      <w:r w:rsidRPr="00B9599D">
        <w:rPr>
          <w:lang w:val="en-US"/>
        </w:rPr>
        <w:t>the Possibility of Politics:</w:t>
      </w:r>
      <w:r>
        <w:rPr>
          <w:lang w:val="en-US"/>
        </w:rPr>
        <w:t xml:space="preserve"> </w:t>
      </w:r>
      <w:r w:rsidRPr="00B9599D">
        <w:rPr>
          <w:lang w:val="en-US"/>
        </w:rPr>
        <w:t>Explaining Variation in Three</w:t>
      </w:r>
      <w:r>
        <w:rPr>
          <w:lang w:val="en-US"/>
        </w:rPr>
        <w:t xml:space="preserve"> </w:t>
      </w:r>
      <w:r w:rsidRPr="00B9599D">
        <w:rPr>
          <w:lang w:val="en-US"/>
        </w:rPr>
        <w:t>Local Social</w:t>
      </w:r>
      <w:r>
        <w:rPr>
          <w:lang w:val="en-US"/>
        </w:rPr>
        <w:t xml:space="preserve"> </w:t>
      </w:r>
      <w:r w:rsidRPr="00B9599D">
        <w:rPr>
          <w:lang w:val="en-US"/>
        </w:rPr>
        <w:t>Security Schemes</w:t>
      </w:r>
      <w:r>
        <w:rPr>
          <w:lang w:val="en-US"/>
        </w:rPr>
        <w:t xml:space="preserve"> </w:t>
      </w:r>
      <w:r w:rsidRPr="00B9599D">
        <w:rPr>
          <w:lang w:val="en-US"/>
        </w:rPr>
        <w:t>Between Elected Councils in</w:t>
      </w:r>
      <w:r>
        <w:rPr>
          <w:lang w:val="en-US"/>
        </w:rPr>
        <w:t xml:space="preserve"> </w:t>
      </w:r>
      <w:r w:rsidRPr="00B9599D">
        <w:rPr>
          <w:lang w:val="en-US"/>
        </w:rPr>
        <w:t>England</w:t>
      </w:r>
      <w:r>
        <w:rPr>
          <w:lang w:val="en-US"/>
        </w:rPr>
        <w:t xml:space="preserve">’ (2022) 27(2) </w:t>
      </w:r>
      <w:r w:rsidRPr="00B9599D">
        <w:rPr>
          <w:i/>
          <w:iCs/>
          <w:lang w:val="en-US"/>
        </w:rPr>
        <w:t>Sociological Research Online</w:t>
      </w:r>
      <w:r>
        <w:rPr>
          <w:lang w:val="en-US"/>
        </w:rPr>
        <w:t xml:space="preserve"> </w:t>
      </w:r>
      <w:r w:rsidRPr="00B9599D">
        <w:rPr>
          <w:lang w:val="en-US"/>
        </w:rPr>
        <w:t>251–272</w:t>
      </w:r>
      <w:r>
        <w:rPr>
          <w:lang w:val="en-US"/>
        </w:rPr>
        <w:t xml:space="preserve"> and </w:t>
      </w:r>
      <w:r w:rsidR="00AA1F71">
        <w:rPr>
          <w:lang w:val="en-US"/>
        </w:rPr>
        <w:t>J</w:t>
      </w:r>
      <w:r>
        <w:rPr>
          <w:lang w:val="en-US"/>
        </w:rPr>
        <w:t xml:space="preserve"> Meers, ‘</w:t>
      </w:r>
      <w:r w:rsidRPr="00B9599D">
        <w:rPr>
          <w:lang w:val="en-US"/>
        </w:rPr>
        <w:t>Awarding Discretionary Housing Payments: Constraints of time, conditionality and the assessment of income/expenditure</w:t>
      </w:r>
      <w:r>
        <w:rPr>
          <w:lang w:val="en-US"/>
        </w:rPr>
        <w:t xml:space="preserve">’ (2018) 25(2) </w:t>
      </w:r>
      <w:r w:rsidRPr="00B9599D">
        <w:rPr>
          <w:i/>
          <w:iCs/>
          <w:lang w:val="en-US"/>
        </w:rPr>
        <w:t>Journal of Social Security Law</w:t>
      </w:r>
      <w:r>
        <w:rPr>
          <w:i/>
          <w:iCs/>
          <w:lang w:val="en-US"/>
        </w:rPr>
        <w:t xml:space="preserve"> </w:t>
      </w:r>
      <w:r w:rsidRPr="00B9599D">
        <w:rPr>
          <w:lang w:val="en-US"/>
        </w:rPr>
        <w:t>102</w:t>
      </w:r>
      <w:r w:rsidR="009D25EF">
        <w:rPr>
          <w:lang w:val="en-US"/>
        </w:rPr>
        <w:t xml:space="preserve"> (open access version </w:t>
      </w:r>
      <w:hyperlink r:id="rId15" w:history="1">
        <w:r w:rsidR="009D25EF" w:rsidRPr="009D25EF">
          <w:rPr>
            <w:rStyle w:val="Hyperlink"/>
            <w:lang w:val="en-US"/>
          </w:rPr>
          <w:t>here</w:t>
        </w:r>
      </w:hyperlink>
      <w:r w:rsidR="009D25EF">
        <w:rPr>
          <w:lang w:val="en-US"/>
        </w:rPr>
        <w:t>)</w:t>
      </w:r>
    </w:p>
  </w:footnote>
  <w:footnote w:id="49">
    <w:p w14:paraId="3A070B6C" w14:textId="77777777" w:rsidR="00A96211" w:rsidRPr="005446D9" w:rsidRDefault="00A96211" w:rsidP="00A96211">
      <w:pPr>
        <w:pStyle w:val="FootnoteText"/>
        <w:rPr>
          <w:lang w:val="en-US"/>
        </w:rPr>
      </w:pPr>
      <w:r>
        <w:rPr>
          <w:rStyle w:val="FootnoteReference"/>
        </w:rPr>
        <w:footnoteRef/>
      </w:r>
      <w:r>
        <w:t xml:space="preserve"> </w:t>
      </w:r>
      <w:r w:rsidRPr="00B9599D">
        <w:t>Work and Pensions Committee</w:t>
      </w:r>
      <w:r>
        <w:t>, ‘</w:t>
      </w:r>
      <w:r w:rsidRPr="00B9599D">
        <w:t>The benefit cap</w:t>
      </w:r>
      <w:r>
        <w:t xml:space="preserve"> - Twenty-Fourth Report of Session 2017–19’ (2019) Available at: </w:t>
      </w:r>
      <w:hyperlink r:id="rId16" w:history="1">
        <w:r w:rsidRPr="00097649">
          <w:rPr>
            <w:rStyle w:val="Hyperlink"/>
          </w:rPr>
          <w:t>https://publications.parliament.uk/pa/cm201719/cmselect/cmworpen/1477/1477.pdf</w:t>
        </w:r>
      </w:hyperlink>
      <w:r>
        <w:t xml:space="preserve"> </w:t>
      </w:r>
    </w:p>
  </w:footnote>
  <w:footnote w:id="50">
    <w:p w14:paraId="4B0BB070" w14:textId="5854B0A7" w:rsidR="00922498" w:rsidRPr="00922498" w:rsidRDefault="00922498">
      <w:pPr>
        <w:pStyle w:val="FootnoteText"/>
      </w:pPr>
      <w:r>
        <w:rPr>
          <w:rStyle w:val="FootnoteReference"/>
        </w:rPr>
        <w:footnoteRef/>
      </w:r>
      <w:r>
        <w:t xml:space="preserve"> Resolution Foundation, </w:t>
      </w:r>
      <w:hyperlink r:id="rId17" w:history="1">
        <w:r w:rsidRPr="00922498">
          <w:rPr>
            <w:rStyle w:val="Hyperlink"/>
            <w:i/>
            <w:iCs/>
          </w:rPr>
          <w:t>Sticking Plasters: An assessment of discretionary welfare support</w:t>
        </w:r>
      </w:hyperlink>
      <w:r>
        <w:rPr>
          <w:i/>
          <w:iCs/>
        </w:rPr>
        <w:t xml:space="preserve"> </w:t>
      </w:r>
      <w:r>
        <w:t>(2022)</w:t>
      </w:r>
    </w:p>
  </w:footnote>
  <w:footnote w:id="51">
    <w:p w14:paraId="24F2E19E" w14:textId="2391C7C1" w:rsidR="002E0000" w:rsidRDefault="002E0000" w:rsidP="002E0000">
      <w:pPr>
        <w:pStyle w:val="FootnoteText"/>
      </w:pPr>
      <w:r>
        <w:rPr>
          <w:rStyle w:val="FootnoteReference"/>
        </w:rPr>
        <w:footnoteRef/>
      </w:r>
      <w:r>
        <w:t xml:space="preserve"> Welsh Government, </w:t>
      </w:r>
      <w:r>
        <w:rPr>
          <w:i/>
          <w:iCs/>
        </w:rPr>
        <w:t>Evaluation of the Discretionary Assistance Fund</w:t>
      </w:r>
      <w:r>
        <w:t xml:space="preserve"> (2015)</w:t>
      </w:r>
    </w:p>
  </w:footnote>
  <w:footnote w:id="52">
    <w:p w14:paraId="669AC33B" w14:textId="38AA688A" w:rsidR="002E0000" w:rsidRDefault="002E0000">
      <w:pPr>
        <w:pStyle w:val="FootnoteText"/>
      </w:pPr>
      <w:r>
        <w:rPr>
          <w:rStyle w:val="FootnoteReference"/>
        </w:rPr>
        <w:footnoteRef/>
      </w:r>
      <w:r>
        <w:t xml:space="preserve"> See Scottish Government, </w:t>
      </w:r>
      <w:r>
        <w:rPr>
          <w:i/>
          <w:iCs/>
        </w:rPr>
        <w:t>Experiences of the Scottish Welfare Fund</w:t>
      </w:r>
      <w:r>
        <w:t xml:space="preserve"> (2019)</w:t>
      </w:r>
    </w:p>
  </w:footnote>
  <w:footnote w:id="53">
    <w:p w14:paraId="3B43428B" w14:textId="78FA62BA" w:rsidR="00A0483D" w:rsidRDefault="00A0483D" w:rsidP="00A0483D">
      <w:pPr>
        <w:pStyle w:val="FootnoteText"/>
      </w:pPr>
      <w:r>
        <w:rPr>
          <w:rStyle w:val="FootnoteReference"/>
        </w:rPr>
        <w:footnoteRef/>
      </w:r>
      <w:r>
        <w:t xml:space="preserve"> </w:t>
      </w:r>
      <w:r w:rsidR="002E0000">
        <w:t xml:space="preserve">Social Security Committee, </w:t>
      </w:r>
      <w:r w:rsidR="002E0000">
        <w:rPr>
          <w:i/>
          <w:iCs/>
        </w:rPr>
        <w:t>The Social Security Response to Covid-19</w:t>
      </w:r>
      <w:r w:rsidR="002E0000">
        <w:t xml:space="preserve"> (2021) SP Paper 992</w:t>
      </w:r>
      <w:r w:rsidR="00FD4443">
        <w:t xml:space="preserve"> </w:t>
      </w:r>
    </w:p>
  </w:footnote>
  <w:footnote w:id="54">
    <w:p w14:paraId="3AE801BD" w14:textId="4C63B7D4" w:rsidR="00922498" w:rsidRDefault="00922498" w:rsidP="00636D06">
      <w:pPr>
        <w:pStyle w:val="FootnoteText"/>
      </w:pPr>
      <w:r>
        <w:rPr>
          <w:rStyle w:val="FootnoteReference"/>
        </w:rPr>
        <w:footnoteRef/>
      </w:r>
      <w:r>
        <w:t xml:space="preserve"> G McKeever, </w:t>
      </w:r>
      <w:r w:rsidR="00636D06">
        <w:t>J Currie, C Fitzpatrick, K Higgins, G McConville, U O'Hare, M Simpson, ‘</w:t>
      </w:r>
      <w:hyperlink r:id="rId18" w:history="1">
        <w:r w:rsidR="00636D06" w:rsidRPr="00636D06">
          <w:rPr>
            <w:rStyle w:val="Hyperlink"/>
          </w:rPr>
          <w:t>Independent Review of Discretionary Support</w:t>
        </w:r>
      </w:hyperlink>
      <w:r w:rsidR="00636D06">
        <w:t>’ (</w:t>
      </w:r>
      <w:r w:rsidR="00607139">
        <w:t xml:space="preserve">Belfast: </w:t>
      </w:r>
      <w:hyperlink r:id="rId19" w:history="1">
        <w:r w:rsidR="00607139" w:rsidRPr="004703C5">
          <w:rPr>
            <w:rStyle w:val="Hyperlink"/>
          </w:rPr>
          <w:t>Department for Communities</w:t>
        </w:r>
      </w:hyperlink>
      <w:r w:rsidR="00607139">
        <w:t xml:space="preserve">, </w:t>
      </w:r>
      <w:r w:rsidR="00636D06">
        <w:t>2022)</w:t>
      </w:r>
      <w:r w:rsidR="004703C5">
        <w:t xml:space="preserve"> (open access)</w:t>
      </w:r>
    </w:p>
  </w:footnote>
  <w:footnote w:id="55">
    <w:p w14:paraId="7CD9105E" w14:textId="5500B144" w:rsidR="00763B69" w:rsidRPr="00763B69" w:rsidRDefault="00763B69">
      <w:pPr>
        <w:pStyle w:val="FootnoteText"/>
        <w:rPr>
          <w:lang w:val="en-US"/>
        </w:rPr>
      </w:pPr>
      <w:r>
        <w:rPr>
          <w:rStyle w:val="FootnoteReference"/>
        </w:rPr>
        <w:footnoteRef/>
      </w:r>
      <w:r>
        <w:t xml:space="preserve"> </w:t>
      </w:r>
      <w:r>
        <w:rPr>
          <w:lang w:val="en-US"/>
        </w:rPr>
        <w:t xml:space="preserve">See </w:t>
      </w:r>
      <w:r w:rsidR="008D479B" w:rsidRPr="008D479B">
        <w:rPr>
          <w:lang w:val="en-US"/>
        </w:rPr>
        <w:t xml:space="preserve">M Simpson, ‘Assessing the compliance of the UK social security system with the state’s obligations under the European Social Charter’ (2018) 18(4) </w:t>
      </w:r>
      <w:hyperlink r:id="rId20" w:history="1">
        <w:r w:rsidR="008D479B" w:rsidRPr="00AD61D3">
          <w:rPr>
            <w:rStyle w:val="Hyperlink"/>
            <w:lang w:val="en-US"/>
          </w:rPr>
          <w:t>Human Rights Law Review</w:t>
        </w:r>
      </w:hyperlink>
      <w:r w:rsidR="008D479B" w:rsidRPr="008D479B">
        <w:rPr>
          <w:lang w:val="en-US"/>
        </w:rPr>
        <w:t xml:space="preserve"> 745</w:t>
      </w:r>
      <w:r w:rsidR="00AD61D3">
        <w:rPr>
          <w:lang w:val="en-US"/>
        </w:rPr>
        <w:t xml:space="preserve"> (open access version </w:t>
      </w:r>
      <w:hyperlink r:id="rId21" w:history="1">
        <w:r w:rsidR="00AD61D3" w:rsidRPr="00777931">
          <w:rPr>
            <w:rStyle w:val="Hyperlink"/>
            <w:lang w:val="en-US"/>
          </w:rPr>
          <w:t>here</w:t>
        </w:r>
      </w:hyperlink>
      <w:r w:rsidR="00AD61D3">
        <w:rPr>
          <w:lang w:val="en-US"/>
        </w:rPr>
        <w:t>)</w:t>
      </w:r>
    </w:p>
  </w:footnote>
  <w:footnote w:id="56">
    <w:p w14:paraId="7BB9A926" w14:textId="5A5ADCE3" w:rsidR="00B06588" w:rsidRPr="00666401" w:rsidRDefault="00B06588" w:rsidP="00B06588">
      <w:pPr>
        <w:pStyle w:val="FootnoteText"/>
        <w:rPr>
          <w:lang w:val="en-US"/>
        </w:rPr>
      </w:pPr>
      <w:r>
        <w:rPr>
          <w:rStyle w:val="FootnoteReference"/>
        </w:rPr>
        <w:footnoteRef/>
      </w:r>
      <w:r>
        <w:t xml:space="preserve"> </w:t>
      </w:r>
      <w:r w:rsidR="006C4C42">
        <w:t>C McNeil, D Hochlaf, H Quilter-Pinner</w:t>
      </w:r>
      <w:r w:rsidRPr="00A96211">
        <w:t xml:space="preserve">, </w:t>
      </w:r>
      <w:r w:rsidRPr="00566D44">
        <w:rPr>
          <w:i/>
          <w:iCs/>
        </w:rPr>
        <w:t>Social (in)security: Reforming the UK’s social</w:t>
      </w:r>
      <w:r w:rsidR="00566D44" w:rsidRPr="00566D44">
        <w:rPr>
          <w:i/>
          <w:iCs/>
        </w:rPr>
        <w:t xml:space="preserve"> safety net</w:t>
      </w:r>
      <w:r w:rsidRPr="00A96211">
        <w:t xml:space="preserve"> (</w:t>
      </w:r>
      <w:r w:rsidR="00566D44">
        <w:t xml:space="preserve">IPPR, </w:t>
      </w:r>
      <w:r w:rsidRPr="00A96211">
        <w:t>2019)</w:t>
      </w:r>
      <w:r w:rsidR="00566D44">
        <w:t xml:space="preserve"> 2</w:t>
      </w:r>
    </w:p>
  </w:footnote>
  <w:footnote w:id="57">
    <w:p w14:paraId="254B6E3D" w14:textId="2B8E31B5" w:rsidR="00A528D6" w:rsidRPr="00A528D6" w:rsidRDefault="00A528D6">
      <w:pPr>
        <w:pStyle w:val="FootnoteText"/>
        <w:rPr>
          <w:lang w:val="en-US"/>
        </w:rPr>
      </w:pPr>
      <w:r>
        <w:rPr>
          <w:rStyle w:val="FootnoteReference"/>
        </w:rPr>
        <w:footnoteRef/>
      </w:r>
      <w:r>
        <w:t xml:space="preserve"> </w:t>
      </w:r>
      <w:r>
        <w:rPr>
          <w:lang w:val="en-US"/>
        </w:rPr>
        <w:t xml:space="preserve">For a recent challenge to this decision – currently under appeal – see </w:t>
      </w:r>
      <w:r w:rsidRPr="00992BA8">
        <w:rPr>
          <w:i/>
          <w:iCs/>
          <w:lang w:val="en-US"/>
        </w:rPr>
        <w:t>R (</w:t>
      </w:r>
      <w:r w:rsidR="00992BA8" w:rsidRPr="00992BA8">
        <w:rPr>
          <w:i/>
          <w:iCs/>
          <w:lang w:val="en-US"/>
        </w:rPr>
        <w:t>o</w:t>
      </w:r>
      <w:r w:rsidRPr="00992BA8">
        <w:rPr>
          <w:i/>
          <w:iCs/>
          <w:lang w:val="en-US"/>
        </w:rPr>
        <w:t xml:space="preserve">n the </w:t>
      </w:r>
      <w:r w:rsidR="00992BA8" w:rsidRPr="00992BA8">
        <w:rPr>
          <w:i/>
          <w:iCs/>
          <w:lang w:val="en-US"/>
        </w:rPr>
        <w:t>a</w:t>
      </w:r>
      <w:r w:rsidRPr="00992BA8">
        <w:rPr>
          <w:i/>
          <w:iCs/>
          <w:lang w:val="en-US"/>
        </w:rPr>
        <w:t xml:space="preserve">pplication </w:t>
      </w:r>
      <w:r w:rsidR="00992BA8" w:rsidRPr="00992BA8">
        <w:rPr>
          <w:i/>
          <w:iCs/>
          <w:lang w:val="en-US"/>
        </w:rPr>
        <w:t>o</w:t>
      </w:r>
      <w:r w:rsidRPr="00992BA8">
        <w:rPr>
          <w:i/>
          <w:iCs/>
          <w:lang w:val="en-US"/>
        </w:rPr>
        <w:t>f</w:t>
      </w:r>
      <w:r w:rsidR="00992BA8" w:rsidRPr="00992BA8">
        <w:rPr>
          <w:i/>
          <w:iCs/>
          <w:lang w:val="en-US"/>
        </w:rPr>
        <w:t xml:space="preserve"> T</w:t>
      </w:r>
      <w:r w:rsidRPr="00992BA8">
        <w:rPr>
          <w:i/>
          <w:iCs/>
          <w:lang w:val="en-US"/>
        </w:rPr>
        <w:t>) v Secretary of State for Work And Pensions</w:t>
      </w:r>
      <w:r w:rsidRPr="00925822">
        <w:rPr>
          <w:lang w:val="en-US"/>
        </w:rPr>
        <w:t xml:space="preserve"> [2022] EWHC 351 (Admin)</w:t>
      </w:r>
      <w:r>
        <w:rPr>
          <w:lang w:val="en-US"/>
        </w:rPr>
        <w:t xml:space="preserve">. For a critique, see </w:t>
      </w:r>
      <w:r w:rsidR="00992BA8">
        <w:rPr>
          <w:lang w:val="en-US"/>
        </w:rPr>
        <w:t>J</w:t>
      </w:r>
      <w:r>
        <w:rPr>
          <w:lang w:val="en-US"/>
        </w:rPr>
        <w:t xml:space="preserve"> Meers, ‘</w:t>
      </w:r>
      <w:r w:rsidRPr="00925822">
        <w:rPr>
          <w:lang w:val="en-US"/>
        </w:rPr>
        <w:t>Legacy benefits’ and the Universal Credit uplift: justified</w:t>
      </w:r>
      <w:r>
        <w:rPr>
          <w:lang w:val="en-US"/>
        </w:rPr>
        <w:t xml:space="preserve"> </w:t>
      </w:r>
      <w:r w:rsidRPr="00925822">
        <w:rPr>
          <w:lang w:val="en-US"/>
        </w:rPr>
        <w:t>discrimination in the COVID-19 social security response</w:t>
      </w:r>
      <w:r>
        <w:rPr>
          <w:lang w:val="en-US"/>
        </w:rPr>
        <w:t xml:space="preserve">’ (2022) 44(2) </w:t>
      </w:r>
      <w:hyperlink r:id="rId22" w:history="1">
        <w:r w:rsidRPr="00452B13">
          <w:rPr>
            <w:rStyle w:val="Hyperlink"/>
            <w:lang w:val="en-US"/>
          </w:rPr>
          <w:t>Journal of Social Welfare &amp; Family Law</w:t>
        </w:r>
      </w:hyperlink>
      <w:r>
        <w:rPr>
          <w:i/>
          <w:iCs/>
          <w:lang w:val="en-US"/>
        </w:rPr>
        <w:t xml:space="preserve"> </w:t>
      </w:r>
      <w:r w:rsidRPr="00666401">
        <w:rPr>
          <w:lang w:val="en-US"/>
        </w:rPr>
        <w:t>245</w:t>
      </w:r>
      <w:r w:rsidR="00DE5D13">
        <w:rPr>
          <w:lang w:val="en-US"/>
        </w:rPr>
        <w:t xml:space="preserve"> (open access)</w:t>
      </w:r>
    </w:p>
  </w:footnote>
  <w:footnote w:id="58">
    <w:p w14:paraId="3B4E08AC" w14:textId="72531586" w:rsidR="00A96211" w:rsidRPr="00174BA5" w:rsidRDefault="00A96211" w:rsidP="00A96211">
      <w:pPr>
        <w:pStyle w:val="FootnoteText"/>
        <w:rPr>
          <w:lang w:val="en-US"/>
        </w:rPr>
      </w:pPr>
      <w:r>
        <w:rPr>
          <w:rStyle w:val="FootnoteReference"/>
        </w:rPr>
        <w:footnoteRef/>
      </w:r>
      <w:r>
        <w:t xml:space="preserve"> B Geiger, D Edmiston, L Scullion, K Summers, R de Vries, J Ingold, D Robertshaw and D Young, ‘Hunger and the welfare state: Food insecurity among benefit claimants in the UK’ (2021) Available at: </w:t>
      </w:r>
      <w:hyperlink r:id="rId23" w:history="1">
        <w:r w:rsidRPr="00F24C1A">
          <w:rPr>
            <w:rStyle w:val="Hyperlink"/>
          </w:rPr>
          <w:t>https://kar.kent.ac.uk/91624/1/FoodInsecurityReport.pdf</w:t>
        </w:r>
      </w:hyperlink>
      <w:r>
        <w:t xml:space="preserve"> </w:t>
      </w:r>
    </w:p>
  </w:footnote>
  <w:footnote w:id="59">
    <w:p w14:paraId="6BB781FE" w14:textId="2D4B8335" w:rsidR="004841C5" w:rsidRPr="004841C5" w:rsidRDefault="004841C5">
      <w:pPr>
        <w:pStyle w:val="FootnoteText"/>
        <w:rPr>
          <w:lang w:val="en-US"/>
        </w:rPr>
      </w:pPr>
      <w:r>
        <w:rPr>
          <w:rStyle w:val="FootnoteReference"/>
        </w:rPr>
        <w:footnoteRef/>
      </w:r>
      <w:r>
        <w:t xml:space="preserve"> </w:t>
      </w:r>
      <w:r>
        <w:rPr>
          <w:lang w:val="en-US"/>
        </w:rPr>
        <w:t xml:space="preserve">See </w:t>
      </w:r>
      <w:r w:rsidRPr="006F3A41">
        <w:t>C Fitzpatrick, G McKeever and M Simpson, ‘Conditionality, discretion and TH Marshall’s “right to welfare”’ (2019) 41(4) Journal of Social Welfare and Family Law 445</w:t>
      </w:r>
      <w:r w:rsidR="008E1E52">
        <w:t>;</w:t>
      </w:r>
      <w:r>
        <w:t xml:space="preserve"> </w:t>
      </w:r>
      <w:r w:rsidR="008E1E52">
        <w:rPr>
          <w:lang w:val="en-US"/>
        </w:rPr>
        <w:t xml:space="preserve">G McKeever, M Simpson and C Fitzpatrick, </w:t>
      </w:r>
      <w:r w:rsidR="008E1E52">
        <w:rPr>
          <w:i/>
          <w:iCs/>
          <w:lang w:val="en-US"/>
        </w:rPr>
        <w:t xml:space="preserve">Destitution and paths to justice </w:t>
      </w:r>
      <w:r w:rsidR="008E1E52">
        <w:t>(London: Legal Education Foundation/York: Joseph Rowntree Foundation, 2018)</w:t>
      </w:r>
    </w:p>
  </w:footnote>
  <w:footnote w:id="60">
    <w:p w14:paraId="7412D620" w14:textId="0354C393" w:rsidR="00F05F03" w:rsidRPr="00F05F03" w:rsidRDefault="00F05F03">
      <w:pPr>
        <w:pStyle w:val="FootnoteText"/>
        <w:rPr>
          <w:lang w:val="en-US"/>
        </w:rPr>
      </w:pPr>
      <w:r>
        <w:rPr>
          <w:rStyle w:val="FootnoteReference"/>
        </w:rPr>
        <w:footnoteRef/>
      </w:r>
      <w:r>
        <w:t xml:space="preserve"> TH Marshall, ‘The right to welfare’ in </w:t>
      </w:r>
      <w:r w:rsidRPr="00F05F03">
        <w:rPr>
          <w:i/>
          <w:iCs/>
        </w:rPr>
        <w:t>The Right to Welfare and Other Essays</w:t>
      </w:r>
      <w:r>
        <w:t xml:space="preserve"> (London: Heinemann, 1981); </w:t>
      </w:r>
      <w:r w:rsidRPr="006F3A41">
        <w:t>C Fitzpatrick, G McKeever and M Simpson, ‘Conditionality, discretion and TH Marshall’s “right to welfare”’ (2019) 41(4) Journal of Social Welfare and Family Law 445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15D86" w14:textId="44A2377A" w:rsidR="00411589" w:rsidRPr="00411589" w:rsidRDefault="00411589" w:rsidP="00052FD6">
    <w:pPr>
      <w:pStyle w:val="Header"/>
      <w:jc w:val="center"/>
      <w:rPr>
        <w:i/>
        <w:iCs/>
        <w:lang w:val="en-US"/>
      </w:rPr>
    </w:pPr>
    <w:r>
      <w:rPr>
        <w:i/>
        <w:iCs/>
        <w:lang w:val="en-US"/>
      </w:rPr>
      <w:t>ICESCR parallel report on the UK – Fitzpatrick, McKeever, Meers and Simpson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33CE"/>
    <w:multiLevelType w:val="hybridMultilevel"/>
    <w:tmpl w:val="4D7E7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B0914"/>
    <w:multiLevelType w:val="hybridMultilevel"/>
    <w:tmpl w:val="FBF6B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5F02D5"/>
    <w:multiLevelType w:val="hybridMultilevel"/>
    <w:tmpl w:val="8C60C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8E12FFE"/>
    <w:multiLevelType w:val="hybridMultilevel"/>
    <w:tmpl w:val="5BBA5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B96"/>
    <w:rsid w:val="0000383C"/>
    <w:rsid w:val="00010FA6"/>
    <w:rsid w:val="00016767"/>
    <w:rsid w:val="00020CBD"/>
    <w:rsid w:val="00034795"/>
    <w:rsid w:val="00034B61"/>
    <w:rsid w:val="000362F6"/>
    <w:rsid w:val="00051340"/>
    <w:rsid w:val="000513B6"/>
    <w:rsid w:val="00052FD6"/>
    <w:rsid w:val="00060A4E"/>
    <w:rsid w:val="00060E7A"/>
    <w:rsid w:val="000613D8"/>
    <w:rsid w:val="00061470"/>
    <w:rsid w:val="00062562"/>
    <w:rsid w:val="00067A71"/>
    <w:rsid w:val="00067ED2"/>
    <w:rsid w:val="00094594"/>
    <w:rsid w:val="00096F5C"/>
    <w:rsid w:val="000A1D04"/>
    <w:rsid w:val="000A5989"/>
    <w:rsid w:val="000B1C56"/>
    <w:rsid w:val="000C3760"/>
    <w:rsid w:val="000C532E"/>
    <w:rsid w:val="000D3374"/>
    <w:rsid w:val="000D4E3A"/>
    <w:rsid w:val="000D6F40"/>
    <w:rsid w:val="000D74B6"/>
    <w:rsid w:val="000E2B4C"/>
    <w:rsid w:val="000E6340"/>
    <w:rsid w:val="0010041C"/>
    <w:rsid w:val="001025A2"/>
    <w:rsid w:val="00102E8E"/>
    <w:rsid w:val="00102F0D"/>
    <w:rsid w:val="00114317"/>
    <w:rsid w:val="001154A4"/>
    <w:rsid w:val="001169E9"/>
    <w:rsid w:val="00116D7B"/>
    <w:rsid w:val="00121610"/>
    <w:rsid w:val="00134BE0"/>
    <w:rsid w:val="001415CD"/>
    <w:rsid w:val="00142EFF"/>
    <w:rsid w:val="001465E4"/>
    <w:rsid w:val="00146F65"/>
    <w:rsid w:val="00147CE1"/>
    <w:rsid w:val="00151050"/>
    <w:rsid w:val="00151434"/>
    <w:rsid w:val="001518FC"/>
    <w:rsid w:val="00153A00"/>
    <w:rsid w:val="00155817"/>
    <w:rsid w:val="00156BCA"/>
    <w:rsid w:val="00162B0C"/>
    <w:rsid w:val="001669E3"/>
    <w:rsid w:val="00171B2B"/>
    <w:rsid w:val="00173FE0"/>
    <w:rsid w:val="00185CD6"/>
    <w:rsid w:val="001872F9"/>
    <w:rsid w:val="00196023"/>
    <w:rsid w:val="00197D99"/>
    <w:rsid w:val="001A012D"/>
    <w:rsid w:val="001A56B1"/>
    <w:rsid w:val="001B6E3E"/>
    <w:rsid w:val="001B70FF"/>
    <w:rsid w:val="001C0CDC"/>
    <w:rsid w:val="001C1BAA"/>
    <w:rsid w:val="001D2682"/>
    <w:rsid w:val="001D2E8E"/>
    <w:rsid w:val="001E2CD8"/>
    <w:rsid w:val="001E5C1A"/>
    <w:rsid w:val="001F6F80"/>
    <w:rsid w:val="001F7C98"/>
    <w:rsid w:val="0020074B"/>
    <w:rsid w:val="0020150A"/>
    <w:rsid w:val="00202E95"/>
    <w:rsid w:val="00203EA0"/>
    <w:rsid w:val="002059D0"/>
    <w:rsid w:val="00212D43"/>
    <w:rsid w:val="00215999"/>
    <w:rsid w:val="0022079D"/>
    <w:rsid w:val="0022164C"/>
    <w:rsid w:val="00222A8B"/>
    <w:rsid w:val="0022498B"/>
    <w:rsid w:val="00227405"/>
    <w:rsid w:val="00230FD8"/>
    <w:rsid w:val="00236CA8"/>
    <w:rsid w:val="00242485"/>
    <w:rsid w:val="00246DFD"/>
    <w:rsid w:val="00255773"/>
    <w:rsid w:val="002559C9"/>
    <w:rsid w:val="00255FA5"/>
    <w:rsid w:val="0026749F"/>
    <w:rsid w:val="00280263"/>
    <w:rsid w:val="00281DAC"/>
    <w:rsid w:val="00291137"/>
    <w:rsid w:val="00292048"/>
    <w:rsid w:val="00292B2B"/>
    <w:rsid w:val="00294C6E"/>
    <w:rsid w:val="00294F76"/>
    <w:rsid w:val="002A332D"/>
    <w:rsid w:val="002B6962"/>
    <w:rsid w:val="002C0549"/>
    <w:rsid w:val="002C211C"/>
    <w:rsid w:val="002C683A"/>
    <w:rsid w:val="002D1A06"/>
    <w:rsid w:val="002D1F30"/>
    <w:rsid w:val="002D24A1"/>
    <w:rsid w:val="002D3D3F"/>
    <w:rsid w:val="002D4D26"/>
    <w:rsid w:val="002D5F78"/>
    <w:rsid w:val="002D69ED"/>
    <w:rsid w:val="002E0000"/>
    <w:rsid w:val="002E0097"/>
    <w:rsid w:val="002E316F"/>
    <w:rsid w:val="002E3404"/>
    <w:rsid w:val="002F0C8D"/>
    <w:rsid w:val="002F10BF"/>
    <w:rsid w:val="002F5019"/>
    <w:rsid w:val="002F6CC8"/>
    <w:rsid w:val="003029D5"/>
    <w:rsid w:val="00305E40"/>
    <w:rsid w:val="00311BE5"/>
    <w:rsid w:val="003157F3"/>
    <w:rsid w:val="0031703D"/>
    <w:rsid w:val="00317999"/>
    <w:rsid w:val="00325D4C"/>
    <w:rsid w:val="00326A74"/>
    <w:rsid w:val="00336AC6"/>
    <w:rsid w:val="00336C1C"/>
    <w:rsid w:val="00341AE0"/>
    <w:rsid w:val="00341C74"/>
    <w:rsid w:val="0034424D"/>
    <w:rsid w:val="00345374"/>
    <w:rsid w:val="003457C3"/>
    <w:rsid w:val="00351F60"/>
    <w:rsid w:val="00356FAA"/>
    <w:rsid w:val="00357136"/>
    <w:rsid w:val="0036039F"/>
    <w:rsid w:val="00360D57"/>
    <w:rsid w:val="00361372"/>
    <w:rsid w:val="00367F25"/>
    <w:rsid w:val="00376516"/>
    <w:rsid w:val="00376BDA"/>
    <w:rsid w:val="00377C1B"/>
    <w:rsid w:val="00382F1E"/>
    <w:rsid w:val="00392449"/>
    <w:rsid w:val="00396568"/>
    <w:rsid w:val="003A22D0"/>
    <w:rsid w:val="003A2E6F"/>
    <w:rsid w:val="003A63BE"/>
    <w:rsid w:val="003A71A0"/>
    <w:rsid w:val="003A71A6"/>
    <w:rsid w:val="003B410C"/>
    <w:rsid w:val="003B573E"/>
    <w:rsid w:val="003C4DDF"/>
    <w:rsid w:val="003C5925"/>
    <w:rsid w:val="003C6FFA"/>
    <w:rsid w:val="003E480D"/>
    <w:rsid w:val="003E5DB1"/>
    <w:rsid w:val="003E6DF9"/>
    <w:rsid w:val="003E76AB"/>
    <w:rsid w:val="003F2DE3"/>
    <w:rsid w:val="003F31B7"/>
    <w:rsid w:val="003F4C6E"/>
    <w:rsid w:val="003F6185"/>
    <w:rsid w:val="003F6754"/>
    <w:rsid w:val="00400E20"/>
    <w:rsid w:val="004021BE"/>
    <w:rsid w:val="00411589"/>
    <w:rsid w:val="004121B8"/>
    <w:rsid w:val="00415A1E"/>
    <w:rsid w:val="00416363"/>
    <w:rsid w:val="00422B63"/>
    <w:rsid w:val="0043635B"/>
    <w:rsid w:val="00443E73"/>
    <w:rsid w:val="004447C5"/>
    <w:rsid w:val="00446D7F"/>
    <w:rsid w:val="00446ED9"/>
    <w:rsid w:val="00447A74"/>
    <w:rsid w:val="0045232B"/>
    <w:rsid w:val="004528AD"/>
    <w:rsid w:val="00452B13"/>
    <w:rsid w:val="004629C2"/>
    <w:rsid w:val="00467B1A"/>
    <w:rsid w:val="004703C5"/>
    <w:rsid w:val="0047547D"/>
    <w:rsid w:val="00477EB0"/>
    <w:rsid w:val="004841C5"/>
    <w:rsid w:val="00486C63"/>
    <w:rsid w:val="0049764C"/>
    <w:rsid w:val="004A1720"/>
    <w:rsid w:val="004A23D6"/>
    <w:rsid w:val="004B0B60"/>
    <w:rsid w:val="004B33B0"/>
    <w:rsid w:val="004C425A"/>
    <w:rsid w:val="004C601E"/>
    <w:rsid w:val="004E1044"/>
    <w:rsid w:val="004F0710"/>
    <w:rsid w:val="004F451C"/>
    <w:rsid w:val="004F6A8E"/>
    <w:rsid w:val="004F6FD5"/>
    <w:rsid w:val="00500451"/>
    <w:rsid w:val="005076B8"/>
    <w:rsid w:val="0051086A"/>
    <w:rsid w:val="0051426A"/>
    <w:rsid w:val="00514F35"/>
    <w:rsid w:val="00515588"/>
    <w:rsid w:val="00515A77"/>
    <w:rsid w:val="005162B0"/>
    <w:rsid w:val="00523D18"/>
    <w:rsid w:val="005408F7"/>
    <w:rsid w:val="00540C03"/>
    <w:rsid w:val="00541C32"/>
    <w:rsid w:val="00552843"/>
    <w:rsid w:val="0056539A"/>
    <w:rsid w:val="005664F7"/>
    <w:rsid w:val="00566D44"/>
    <w:rsid w:val="0056746C"/>
    <w:rsid w:val="00571744"/>
    <w:rsid w:val="00575C51"/>
    <w:rsid w:val="00576A2B"/>
    <w:rsid w:val="005841B0"/>
    <w:rsid w:val="0058478D"/>
    <w:rsid w:val="00586C60"/>
    <w:rsid w:val="005870D3"/>
    <w:rsid w:val="005A2F7A"/>
    <w:rsid w:val="005A3345"/>
    <w:rsid w:val="005B1B5A"/>
    <w:rsid w:val="005B1C2B"/>
    <w:rsid w:val="005B5A6B"/>
    <w:rsid w:val="005B5ABB"/>
    <w:rsid w:val="005B6678"/>
    <w:rsid w:val="005C0B49"/>
    <w:rsid w:val="005C3159"/>
    <w:rsid w:val="005C39CE"/>
    <w:rsid w:val="005C4F78"/>
    <w:rsid w:val="005D3997"/>
    <w:rsid w:val="005D592B"/>
    <w:rsid w:val="005D609F"/>
    <w:rsid w:val="005D71A0"/>
    <w:rsid w:val="005E4FAC"/>
    <w:rsid w:val="005E51DD"/>
    <w:rsid w:val="005F0214"/>
    <w:rsid w:val="005F02E0"/>
    <w:rsid w:val="005F02FA"/>
    <w:rsid w:val="005F35F2"/>
    <w:rsid w:val="005F3EAD"/>
    <w:rsid w:val="005F3F1A"/>
    <w:rsid w:val="006028D5"/>
    <w:rsid w:val="006055DC"/>
    <w:rsid w:val="00607139"/>
    <w:rsid w:val="00610719"/>
    <w:rsid w:val="00615653"/>
    <w:rsid w:val="006247A3"/>
    <w:rsid w:val="00626215"/>
    <w:rsid w:val="00636D06"/>
    <w:rsid w:val="00637CFE"/>
    <w:rsid w:val="00641F7E"/>
    <w:rsid w:val="00643A7A"/>
    <w:rsid w:val="0065359A"/>
    <w:rsid w:val="00655002"/>
    <w:rsid w:val="00664A23"/>
    <w:rsid w:val="00666401"/>
    <w:rsid w:val="00670076"/>
    <w:rsid w:val="00676A39"/>
    <w:rsid w:val="00683C20"/>
    <w:rsid w:val="0068791D"/>
    <w:rsid w:val="00692712"/>
    <w:rsid w:val="00692E15"/>
    <w:rsid w:val="006A1019"/>
    <w:rsid w:val="006A3621"/>
    <w:rsid w:val="006A58F3"/>
    <w:rsid w:val="006A688C"/>
    <w:rsid w:val="006C477C"/>
    <w:rsid w:val="006C4C42"/>
    <w:rsid w:val="006C6735"/>
    <w:rsid w:val="006C728A"/>
    <w:rsid w:val="006E02C0"/>
    <w:rsid w:val="006E294C"/>
    <w:rsid w:val="006E35D9"/>
    <w:rsid w:val="006E5B81"/>
    <w:rsid w:val="006E5DE9"/>
    <w:rsid w:val="006F2508"/>
    <w:rsid w:val="006F2B96"/>
    <w:rsid w:val="006F3A41"/>
    <w:rsid w:val="006F7274"/>
    <w:rsid w:val="006F7686"/>
    <w:rsid w:val="00701AD2"/>
    <w:rsid w:val="00702B7D"/>
    <w:rsid w:val="0070359E"/>
    <w:rsid w:val="007047BA"/>
    <w:rsid w:val="00717905"/>
    <w:rsid w:val="00720168"/>
    <w:rsid w:val="007304CC"/>
    <w:rsid w:val="00732DEC"/>
    <w:rsid w:val="007415AA"/>
    <w:rsid w:val="0074775C"/>
    <w:rsid w:val="0075159A"/>
    <w:rsid w:val="0075163F"/>
    <w:rsid w:val="00760CE8"/>
    <w:rsid w:val="00763B69"/>
    <w:rsid w:val="007727B3"/>
    <w:rsid w:val="00772B7B"/>
    <w:rsid w:val="007737EE"/>
    <w:rsid w:val="00774412"/>
    <w:rsid w:val="00777931"/>
    <w:rsid w:val="00777C42"/>
    <w:rsid w:val="00783D95"/>
    <w:rsid w:val="00787355"/>
    <w:rsid w:val="00791F48"/>
    <w:rsid w:val="00796D0D"/>
    <w:rsid w:val="007A2988"/>
    <w:rsid w:val="007A3C2F"/>
    <w:rsid w:val="007A4396"/>
    <w:rsid w:val="007B0B97"/>
    <w:rsid w:val="007B1273"/>
    <w:rsid w:val="007B1A7D"/>
    <w:rsid w:val="007B5E92"/>
    <w:rsid w:val="007B7070"/>
    <w:rsid w:val="007B7972"/>
    <w:rsid w:val="007D3399"/>
    <w:rsid w:val="007D3541"/>
    <w:rsid w:val="007D5C59"/>
    <w:rsid w:val="007D5E99"/>
    <w:rsid w:val="007D66AD"/>
    <w:rsid w:val="007D6F80"/>
    <w:rsid w:val="007E48E7"/>
    <w:rsid w:val="007E7430"/>
    <w:rsid w:val="007F0829"/>
    <w:rsid w:val="00803739"/>
    <w:rsid w:val="0080494D"/>
    <w:rsid w:val="008167C9"/>
    <w:rsid w:val="00817FC3"/>
    <w:rsid w:val="00820798"/>
    <w:rsid w:val="008215F0"/>
    <w:rsid w:val="00823524"/>
    <w:rsid w:val="00824DDE"/>
    <w:rsid w:val="008267D0"/>
    <w:rsid w:val="00827479"/>
    <w:rsid w:val="008313C0"/>
    <w:rsid w:val="008318B4"/>
    <w:rsid w:val="0083634A"/>
    <w:rsid w:val="00836A1D"/>
    <w:rsid w:val="00844C0E"/>
    <w:rsid w:val="00845844"/>
    <w:rsid w:val="00845C5E"/>
    <w:rsid w:val="00856582"/>
    <w:rsid w:val="00863978"/>
    <w:rsid w:val="008640A9"/>
    <w:rsid w:val="008670FD"/>
    <w:rsid w:val="0086742A"/>
    <w:rsid w:val="00871513"/>
    <w:rsid w:val="00874AD0"/>
    <w:rsid w:val="00874D2E"/>
    <w:rsid w:val="0087685E"/>
    <w:rsid w:val="008776D0"/>
    <w:rsid w:val="00891112"/>
    <w:rsid w:val="00891BFD"/>
    <w:rsid w:val="008A15C8"/>
    <w:rsid w:val="008A54AF"/>
    <w:rsid w:val="008B05A5"/>
    <w:rsid w:val="008B4CB1"/>
    <w:rsid w:val="008C7791"/>
    <w:rsid w:val="008D479B"/>
    <w:rsid w:val="008D5302"/>
    <w:rsid w:val="008D6594"/>
    <w:rsid w:val="008D65AB"/>
    <w:rsid w:val="008D7D1C"/>
    <w:rsid w:val="008E1E52"/>
    <w:rsid w:val="008E72E4"/>
    <w:rsid w:val="008F23F9"/>
    <w:rsid w:val="009019D2"/>
    <w:rsid w:val="009048BD"/>
    <w:rsid w:val="0091673D"/>
    <w:rsid w:val="00922498"/>
    <w:rsid w:val="00922B0A"/>
    <w:rsid w:val="00924E12"/>
    <w:rsid w:val="00925822"/>
    <w:rsid w:val="00926D79"/>
    <w:rsid w:val="0092741D"/>
    <w:rsid w:val="009274A4"/>
    <w:rsid w:val="00934C25"/>
    <w:rsid w:val="00936201"/>
    <w:rsid w:val="00936F4B"/>
    <w:rsid w:val="009443A2"/>
    <w:rsid w:val="00947C53"/>
    <w:rsid w:val="00954B8C"/>
    <w:rsid w:val="00956187"/>
    <w:rsid w:val="009627A5"/>
    <w:rsid w:val="009642B1"/>
    <w:rsid w:val="0096692C"/>
    <w:rsid w:val="00967C9F"/>
    <w:rsid w:val="009757D2"/>
    <w:rsid w:val="00980A88"/>
    <w:rsid w:val="0098176C"/>
    <w:rsid w:val="00992BA8"/>
    <w:rsid w:val="009A26C3"/>
    <w:rsid w:val="009A5A8F"/>
    <w:rsid w:val="009A6288"/>
    <w:rsid w:val="009B027A"/>
    <w:rsid w:val="009B16EB"/>
    <w:rsid w:val="009B228A"/>
    <w:rsid w:val="009B5387"/>
    <w:rsid w:val="009C2BC1"/>
    <w:rsid w:val="009D25EF"/>
    <w:rsid w:val="009D6B83"/>
    <w:rsid w:val="009E0CD4"/>
    <w:rsid w:val="009E2995"/>
    <w:rsid w:val="009E3AE7"/>
    <w:rsid w:val="009E56B8"/>
    <w:rsid w:val="009F0A29"/>
    <w:rsid w:val="009F1140"/>
    <w:rsid w:val="009F2DC7"/>
    <w:rsid w:val="009F3E9A"/>
    <w:rsid w:val="009F6235"/>
    <w:rsid w:val="009F66C7"/>
    <w:rsid w:val="00A008AC"/>
    <w:rsid w:val="00A00F77"/>
    <w:rsid w:val="00A012A2"/>
    <w:rsid w:val="00A0333F"/>
    <w:rsid w:val="00A0483D"/>
    <w:rsid w:val="00A05131"/>
    <w:rsid w:val="00A05C8B"/>
    <w:rsid w:val="00A13A94"/>
    <w:rsid w:val="00A15595"/>
    <w:rsid w:val="00A218A7"/>
    <w:rsid w:val="00A226E8"/>
    <w:rsid w:val="00A23A06"/>
    <w:rsid w:val="00A24450"/>
    <w:rsid w:val="00A2492A"/>
    <w:rsid w:val="00A30106"/>
    <w:rsid w:val="00A33120"/>
    <w:rsid w:val="00A34592"/>
    <w:rsid w:val="00A3794E"/>
    <w:rsid w:val="00A45B65"/>
    <w:rsid w:val="00A45DFD"/>
    <w:rsid w:val="00A528D6"/>
    <w:rsid w:val="00A55C32"/>
    <w:rsid w:val="00A57C5E"/>
    <w:rsid w:val="00A634BC"/>
    <w:rsid w:val="00A6415F"/>
    <w:rsid w:val="00A64CC2"/>
    <w:rsid w:val="00A65C44"/>
    <w:rsid w:val="00A771A4"/>
    <w:rsid w:val="00A81422"/>
    <w:rsid w:val="00A8176C"/>
    <w:rsid w:val="00A82C74"/>
    <w:rsid w:val="00A86489"/>
    <w:rsid w:val="00A86CBF"/>
    <w:rsid w:val="00A91B68"/>
    <w:rsid w:val="00A9228A"/>
    <w:rsid w:val="00A92CAA"/>
    <w:rsid w:val="00A96211"/>
    <w:rsid w:val="00AA0DBC"/>
    <w:rsid w:val="00AA1F71"/>
    <w:rsid w:val="00AA2A3C"/>
    <w:rsid w:val="00AA6B06"/>
    <w:rsid w:val="00AA757E"/>
    <w:rsid w:val="00AA7DC3"/>
    <w:rsid w:val="00AB102A"/>
    <w:rsid w:val="00AB417D"/>
    <w:rsid w:val="00AB5D55"/>
    <w:rsid w:val="00AC06D3"/>
    <w:rsid w:val="00AC2332"/>
    <w:rsid w:val="00AC3C8C"/>
    <w:rsid w:val="00AC7C8E"/>
    <w:rsid w:val="00AD2F1E"/>
    <w:rsid w:val="00AD61D3"/>
    <w:rsid w:val="00AE15D1"/>
    <w:rsid w:val="00AE423F"/>
    <w:rsid w:val="00AF2A49"/>
    <w:rsid w:val="00B04EB4"/>
    <w:rsid w:val="00B0565E"/>
    <w:rsid w:val="00B06588"/>
    <w:rsid w:val="00B10E15"/>
    <w:rsid w:val="00B22281"/>
    <w:rsid w:val="00B31098"/>
    <w:rsid w:val="00B377FF"/>
    <w:rsid w:val="00B465D7"/>
    <w:rsid w:val="00B5106F"/>
    <w:rsid w:val="00B52D03"/>
    <w:rsid w:val="00B55A45"/>
    <w:rsid w:val="00B564F6"/>
    <w:rsid w:val="00B56A30"/>
    <w:rsid w:val="00B62434"/>
    <w:rsid w:val="00B62769"/>
    <w:rsid w:val="00B65F58"/>
    <w:rsid w:val="00B66560"/>
    <w:rsid w:val="00B66D6C"/>
    <w:rsid w:val="00B671BE"/>
    <w:rsid w:val="00B76968"/>
    <w:rsid w:val="00B83269"/>
    <w:rsid w:val="00B85BC8"/>
    <w:rsid w:val="00B926D2"/>
    <w:rsid w:val="00B96B5A"/>
    <w:rsid w:val="00B96CC1"/>
    <w:rsid w:val="00B97724"/>
    <w:rsid w:val="00BA0090"/>
    <w:rsid w:val="00BA0C4B"/>
    <w:rsid w:val="00BA6715"/>
    <w:rsid w:val="00BB20AC"/>
    <w:rsid w:val="00BB419B"/>
    <w:rsid w:val="00BC42C5"/>
    <w:rsid w:val="00BC5D8F"/>
    <w:rsid w:val="00BC7828"/>
    <w:rsid w:val="00BD2471"/>
    <w:rsid w:val="00BD5E83"/>
    <w:rsid w:val="00BD67B8"/>
    <w:rsid w:val="00BD6A8E"/>
    <w:rsid w:val="00BD7649"/>
    <w:rsid w:val="00BD7943"/>
    <w:rsid w:val="00BE09D1"/>
    <w:rsid w:val="00BE15E3"/>
    <w:rsid w:val="00BE31CC"/>
    <w:rsid w:val="00BF7F9D"/>
    <w:rsid w:val="00C0052E"/>
    <w:rsid w:val="00C00FCC"/>
    <w:rsid w:val="00C010DC"/>
    <w:rsid w:val="00C047E4"/>
    <w:rsid w:val="00C05F2E"/>
    <w:rsid w:val="00C10C18"/>
    <w:rsid w:val="00C25A54"/>
    <w:rsid w:val="00C31438"/>
    <w:rsid w:val="00C32ECD"/>
    <w:rsid w:val="00C4069C"/>
    <w:rsid w:val="00C410CB"/>
    <w:rsid w:val="00C43332"/>
    <w:rsid w:val="00C43B4F"/>
    <w:rsid w:val="00C524F2"/>
    <w:rsid w:val="00C54BA2"/>
    <w:rsid w:val="00C6512C"/>
    <w:rsid w:val="00C651D0"/>
    <w:rsid w:val="00C66158"/>
    <w:rsid w:val="00C7272E"/>
    <w:rsid w:val="00C7369C"/>
    <w:rsid w:val="00C84EDF"/>
    <w:rsid w:val="00C84FD4"/>
    <w:rsid w:val="00C8503C"/>
    <w:rsid w:val="00C90D2E"/>
    <w:rsid w:val="00C91646"/>
    <w:rsid w:val="00CA0DD9"/>
    <w:rsid w:val="00CA4839"/>
    <w:rsid w:val="00CB3A36"/>
    <w:rsid w:val="00CC00F6"/>
    <w:rsid w:val="00CC3459"/>
    <w:rsid w:val="00CC656C"/>
    <w:rsid w:val="00CD3BF0"/>
    <w:rsid w:val="00CE612A"/>
    <w:rsid w:val="00CE68EC"/>
    <w:rsid w:val="00CE7E75"/>
    <w:rsid w:val="00CF1D57"/>
    <w:rsid w:val="00D009D0"/>
    <w:rsid w:val="00D04576"/>
    <w:rsid w:val="00D17890"/>
    <w:rsid w:val="00D22FC8"/>
    <w:rsid w:val="00D26787"/>
    <w:rsid w:val="00D30FAD"/>
    <w:rsid w:val="00D35B09"/>
    <w:rsid w:val="00D428D9"/>
    <w:rsid w:val="00D4290D"/>
    <w:rsid w:val="00D44702"/>
    <w:rsid w:val="00D51BE2"/>
    <w:rsid w:val="00D554F6"/>
    <w:rsid w:val="00D56CAA"/>
    <w:rsid w:val="00D605B0"/>
    <w:rsid w:val="00D618C2"/>
    <w:rsid w:val="00D63886"/>
    <w:rsid w:val="00D6512C"/>
    <w:rsid w:val="00D66FB7"/>
    <w:rsid w:val="00D71155"/>
    <w:rsid w:val="00D73EAA"/>
    <w:rsid w:val="00D7481D"/>
    <w:rsid w:val="00D80EAC"/>
    <w:rsid w:val="00D81C52"/>
    <w:rsid w:val="00D82B7C"/>
    <w:rsid w:val="00D833CA"/>
    <w:rsid w:val="00D85E6D"/>
    <w:rsid w:val="00D87669"/>
    <w:rsid w:val="00D91178"/>
    <w:rsid w:val="00D92EF5"/>
    <w:rsid w:val="00D95940"/>
    <w:rsid w:val="00D97DAF"/>
    <w:rsid w:val="00DA6903"/>
    <w:rsid w:val="00DB4E6E"/>
    <w:rsid w:val="00DB527B"/>
    <w:rsid w:val="00DB63A8"/>
    <w:rsid w:val="00DC0267"/>
    <w:rsid w:val="00DC2002"/>
    <w:rsid w:val="00DD50C3"/>
    <w:rsid w:val="00DD7736"/>
    <w:rsid w:val="00DE29E5"/>
    <w:rsid w:val="00DE3E2C"/>
    <w:rsid w:val="00DE3F46"/>
    <w:rsid w:val="00DE561C"/>
    <w:rsid w:val="00DE5D13"/>
    <w:rsid w:val="00DF1260"/>
    <w:rsid w:val="00DF5E57"/>
    <w:rsid w:val="00DF7510"/>
    <w:rsid w:val="00DF7737"/>
    <w:rsid w:val="00DF7BAD"/>
    <w:rsid w:val="00DF7FEF"/>
    <w:rsid w:val="00E00407"/>
    <w:rsid w:val="00E05716"/>
    <w:rsid w:val="00E12F71"/>
    <w:rsid w:val="00E1474E"/>
    <w:rsid w:val="00E33EAC"/>
    <w:rsid w:val="00E354A9"/>
    <w:rsid w:val="00E35D34"/>
    <w:rsid w:val="00E3606C"/>
    <w:rsid w:val="00E360C8"/>
    <w:rsid w:val="00E37CAD"/>
    <w:rsid w:val="00E4018B"/>
    <w:rsid w:val="00E426B8"/>
    <w:rsid w:val="00E472B1"/>
    <w:rsid w:val="00E53B0A"/>
    <w:rsid w:val="00E6146E"/>
    <w:rsid w:val="00E628AA"/>
    <w:rsid w:val="00E62A60"/>
    <w:rsid w:val="00E63EB4"/>
    <w:rsid w:val="00E645D6"/>
    <w:rsid w:val="00E669D9"/>
    <w:rsid w:val="00E75A58"/>
    <w:rsid w:val="00E806BF"/>
    <w:rsid w:val="00E83F80"/>
    <w:rsid w:val="00E920ED"/>
    <w:rsid w:val="00E9565F"/>
    <w:rsid w:val="00EA523D"/>
    <w:rsid w:val="00EA6F1E"/>
    <w:rsid w:val="00EB3583"/>
    <w:rsid w:val="00EB505A"/>
    <w:rsid w:val="00EC09DD"/>
    <w:rsid w:val="00EC5472"/>
    <w:rsid w:val="00EC56CB"/>
    <w:rsid w:val="00ED0AD3"/>
    <w:rsid w:val="00ED139A"/>
    <w:rsid w:val="00ED1FA9"/>
    <w:rsid w:val="00ED3267"/>
    <w:rsid w:val="00ED6473"/>
    <w:rsid w:val="00EE16A1"/>
    <w:rsid w:val="00EE4DF1"/>
    <w:rsid w:val="00EF6F23"/>
    <w:rsid w:val="00F007C8"/>
    <w:rsid w:val="00F05F03"/>
    <w:rsid w:val="00F0621C"/>
    <w:rsid w:val="00F077F3"/>
    <w:rsid w:val="00F11C63"/>
    <w:rsid w:val="00F12A11"/>
    <w:rsid w:val="00F14D8A"/>
    <w:rsid w:val="00F201F7"/>
    <w:rsid w:val="00F20830"/>
    <w:rsid w:val="00F24979"/>
    <w:rsid w:val="00F25D8B"/>
    <w:rsid w:val="00F2624B"/>
    <w:rsid w:val="00F332CF"/>
    <w:rsid w:val="00F342CB"/>
    <w:rsid w:val="00F40DD4"/>
    <w:rsid w:val="00F44414"/>
    <w:rsid w:val="00F501EA"/>
    <w:rsid w:val="00F53845"/>
    <w:rsid w:val="00F54EF1"/>
    <w:rsid w:val="00F5623B"/>
    <w:rsid w:val="00F64C9D"/>
    <w:rsid w:val="00F6621B"/>
    <w:rsid w:val="00F66E0A"/>
    <w:rsid w:val="00F70438"/>
    <w:rsid w:val="00F769E1"/>
    <w:rsid w:val="00F77594"/>
    <w:rsid w:val="00F77AB1"/>
    <w:rsid w:val="00F8000A"/>
    <w:rsid w:val="00F825E8"/>
    <w:rsid w:val="00F84493"/>
    <w:rsid w:val="00F8569F"/>
    <w:rsid w:val="00F97D0A"/>
    <w:rsid w:val="00FA00EE"/>
    <w:rsid w:val="00FA0852"/>
    <w:rsid w:val="00FA0FC9"/>
    <w:rsid w:val="00FA240E"/>
    <w:rsid w:val="00FA43A6"/>
    <w:rsid w:val="00FA5872"/>
    <w:rsid w:val="00FA5D51"/>
    <w:rsid w:val="00FA6BC6"/>
    <w:rsid w:val="00FB224A"/>
    <w:rsid w:val="00FB2735"/>
    <w:rsid w:val="00FB2DAC"/>
    <w:rsid w:val="00FB62C9"/>
    <w:rsid w:val="00FC1C84"/>
    <w:rsid w:val="00FC35C6"/>
    <w:rsid w:val="00FC4087"/>
    <w:rsid w:val="00FD4443"/>
    <w:rsid w:val="00FD787F"/>
    <w:rsid w:val="00FE1EE6"/>
    <w:rsid w:val="00FE2A49"/>
    <w:rsid w:val="00FE39B8"/>
    <w:rsid w:val="00FE4AA5"/>
    <w:rsid w:val="00FE6544"/>
    <w:rsid w:val="00FF6BC6"/>
    <w:rsid w:val="00FF7DE0"/>
    <w:rsid w:val="00FF7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905D4"/>
  <w15:chartTrackingRefBased/>
  <w15:docId w15:val="{66D56FC9-A545-473F-B6AF-C1C5C4017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48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36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170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B96"/>
    <w:pPr>
      <w:spacing w:after="0" w:line="240" w:lineRule="auto"/>
      <w:ind w:left="720"/>
    </w:pPr>
    <w:rPr>
      <w:rFonts w:ascii="Calibri" w:hAnsi="Calibri" w:cs="Calibri"/>
    </w:rPr>
  </w:style>
  <w:style w:type="character" w:customStyle="1" w:styleId="Heading1Char">
    <w:name w:val="Heading 1 Char"/>
    <w:basedOn w:val="DefaultParagraphFont"/>
    <w:link w:val="Heading1"/>
    <w:uiPriority w:val="9"/>
    <w:rsid w:val="007E48E7"/>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B22281"/>
    <w:pPr>
      <w:spacing w:after="0" w:line="240" w:lineRule="auto"/>
    </w:pPr>
    <w:rPr>
      <w:sz w:val="20"/>
      <w:szCs w:val="20"/>
    </w:rPr>
  </w:style>
  <w:style w:type="character" w:customStyle="1" w:styleId="FootnoteTextChar">
    <w:name w:val="Footnote Text Char"/>
    <w:basedOn w:val="DefaultParagraphFont"/>
    <w:link w:val="FootnoteText"/>
    <w:uiPriority w:val="99"/>
    <w:rsid w:val="00B22281"/>
    <w:rPr>
      <w:sz w:val="20"/>
      <w:szCs w:val="20"/>
    </w:rPr>
  </w:style>
  <w:style w:type="character" w:styleId="FootnoteReference">
    <w:name w:val="footnote reference"/>
    <w:aliases w:val="*Footnote Reference,Ref,de nota al pie,de nota al pie + (Asian) MS Mincho,11 pt,註腳內容,Footnote Reference1,Ref1,de nota al pie1,Footnotes refss"/>
    <w:basedOn w:val="DefaultParagraphFont"/>
    <w:uiPriority w:val="99"/>
    <w:unhideWhenUsed/>
    <w:qFormat/>
    <w:rsid w:val="00B22281"/>
    <w:rPr>
      <w:vertAlign w:val="superscript"/>
    </w:rPr>
  </w:style>
  <w:style w:type="character" w:styleId="Hyperlink">
    <w:name w:val="Hyperlink"/>
    <w:basedOn w:val="DefaultParagraphFont"/>
    <w:uiPriority w:val="99"/>
    <w:unhideWhenUsed/>
    <w:rsid w:val="00827479"/>
    <w:rPr>
      <w:color w:val="0563C1" w:themeColor="hyperlink"/>
      <w:u w:val="single"/>
    </w:rPr>
  </w:style>
  <w:style w:type="character" w:customStyle="1" w:styleId="UnresolvedMention">
    <w:name w:val="Unresolved Mention"/>
    <w:basedOn w:val="DefaultParagraphFont"/>
    <w:uiPriority w:val="99"/>
    <w:semiHidden/>
    <w:unhideWhenUsed/>
    <w:rsid w:val="00827479"/>
    <w:rPr>
      <w:color w:val="605E5C"/>
      <w:shd w:val="clear" w:color="auto" w:fill="E1DFDD"/>
    </w:rPr>
  </w:style>
  <w:style w:type="paragraph" w:styleId="Revision">
    <w:name w:val="Revision"/>
    <w:hidden/>
    <w:uiPriority w:val="99"/>
    <w:semiHidden/>
    <w:rsid w:val="00B56A30"/>
    <w:pPr>
      <w:spacing w:after="0" w:line="240" w:lineRule="auto"/>
    </w:pPr>
  </w:style>
  <w:style w:type="character" w:styleId="CommentReference">
    <w:name w:val="annotation reference"/>
    <w:basedOn w:val="DefaultParagraphFont"/>
    <w:uiPriority w:val="99"/>
    <w:semiHidden/>
    <w:unhideWhenUsed/>
    <w:rsid w:val="00B56A30"/>
    <w:rPr>
      <w:sz w:val="16"/>
      <w:szCs w:val="16"/>
    </w:rPr>
  </w:style>
  <w:style w:type="paragraph" w:styleId="CommentText">
    <w:name w:val="annotation text"/>
    <w:basedOn w:val="Normal"/>
    <w:link w:val="CommentTextChar"/>
    <w:uiPriority w:val="99"/>
    <w:unhideWhenUsed/>
    <w:rsid w:val="00B56A30"/>
    <w:pPr>
      <w:spacing w:line="240" w:lineRule="auto"/>
    </w:pPr>
    <w:rPr>
      <w:sz w:val="20"/>
      <w:szCs w:val="20"/>
    </w:rPr>
  </w:style>
  <w:style w:type="character" w:customStyle="1" w:styleId="CommentTextChar">
    <w:name w:val="Comment Text Char"/>
    <w:basedOn w:val="DefaultParagraphFont"/>
    <w:link w:val="CommentText"/>
    <w:uiPriority w:val="99"/>
    <w:rsid w:val="00B56A30"/>
    <w:rPr>
      <w:sz w:val="20"/>
      <w:szCs w:val="20"/>
    </w:rPr>
  </w:style>
  <w:style w:type="paragraph" w:styleId="CommentSubject">
    <w:name w:val="annotation subject"/>
    <w:basedOn w:val="CommentText"/>
    <w:next w:val="CommentText"/>
    <w:link w:val="CommentSubjectChar"/>
    <w:uiPriority w:val="99"/>
    <w:semiHidden/>
    <w:unhideWhenUsed/>
    <w:rsid w:val="00B56A30"/>
    <w:rPr>
      <w:b/>
      <w:bCs/>
    </w:rPr>
  </w:style>
  <w:style w:type="character" w:customStyle="1" w:styleId="CommentSubjectChar">
    <w:name w:val="Comment Subject Char"/>
    <w:basedOn w:val="CommentTextChar"/>
    <w:link w:val="CommentSubject"/>
    <w:uiPriority w:val="99"/>
    <w:semiHidden/>
    <w:rsid w:val="00B56A30"/>
    <w:rPr>
      <w:b/>
      <w:bCs/>
      <w:sz w:val="20"/>
      <w:szCs w:val="20"/>
    </w:rPr>
  </w:style>
  <w:style w:type="character" w:customStyle="1" w:styleId="Heading2Char">
    <w:name w:val="Heading 2 Char"/>
    <w:basedOn w:val="DefaultParagraphFont"/>
    <w:link w:val="Heading2"/>
    <w:uiPriority w:val="9"/>
    <w:rsid w:val="00C7369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115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589"/>
  </w:style>
  <w:style w:type="paragraph" w:styleId="Footer">
    <w:name w:val="footer"/>
    <w:basedOn w:val="Normal"/>
    <w:link w:val="FooterChar"/>
    <w:uiPriority w:val="99"/>
    <w:unhideWhenUsed/>
    <w:rsid w:val="004115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589"/>
  </w:style>
  <w:style w:type="character" w:customStyle="1" w:styleId="Heading3Char">
    <w:name w:val="Heading 3 Char"/>
    <w:basedOn w:val="DefaultParagraphFont"/>
    <w:link w:val="Heading3"/>
    <w:uiPriority w:val="9"/>
    <w:semiHidden/>
    <w:rsid w:val="0031703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074371">
      <w:bodyDiv w:val="1"/>
      <w:marLeft w:val="0"/>
      <w:marRight w:val="0"/>
      <w:marTop w:val="0"/>
      <w:marBottom w:val="0"/>
      <w:divBdr>
        <w:top w:val="none" w:sz="0" w:space="0" w:color="auto"/>
        <w:left w:val="none" w:sz="0" w:space="0" w:color="auto"/>
        <w:bottom w:val="none" w:sz="0" w:space="0" w:color="auto"/>
        <w:right w:val="none" w:sz="0" w:space="0" w:color="auto"/>
      </w:divBdr>
    </w:div>
    <w:div w:id="1411387557">
      <w:bodyDiv w:val="1"/>
      <w:marLeft w:val="0"/>
      <w:marRight w:val="0"/>
      <w:marTop w:val="0"/>
      <w:marBottom w:val="0"/>
      <w:divBdr>
        <w:top w:val="none" w:sz="0" w:space="0" w:color="auto"/>
        <w:left w:val="none" w:sz="0" w:space="0" w:color="auto"/>
        <w:bottom w:val="none" w:sz="0" w:space="0" w:color="auto"/>
        <w:right w:val="none" w:sz="0" w:space="0" w:color="auto"/>
      </w:divBdr>
    </w:div>
    <w:div w:id="205681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impson@ulster.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watch?v=Wj4ebOdzqDQ"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loomsbury.com/uk/judicial-mind-9781509944781/" TargetMode="External"/><Relationship Id="rId13" Type="http://schemas.openxmlformats.org/officeDocument/2006/relationships/hyperlink" Target="https://papers.ssrn.com/sol3/papers.cfm?abstract_id=2675092" TargetMode="External"/><Relationship Id="rId18" Type="http://schemas.openxmlformats.org/officeDocument/2006/relationships/hyperlink" Target="https://www.communities-ni.gov.uk/sites/default/files/publications/communities/dfc-independent-review-of-discretionary-support-22.pdf" TargetMode="External"/><Relationship Id="rId3" Type="http://schemas.openxmlformats.org/officeDocument/2006/relationships/hyperlink" Target="https://pure.ulster.ac.uk/en/publications/a-ladder-of-legal-participation-for-tribunal-users-3" TargetMode="External"/><Relationship Id="rId21" Type="http://schemas.openxmlformats.org/officeDocument/2006/relationships/hyperlink" Target="https://pure.ulster.ac.uk/en/publications/assessing-the-compliance-of-the-united-kingdoms-social-security-s" TargetMode="External"/><Relationship Id="rId7" Type="http://schemas.openxmlformats.org/officeDocument/2006/relationships/hyperlink" Target="https://pure.ulster.ac.uk/en/publications/social-rights-child-rights-discrimination-and-devolution-untangli" TargetMode="External"/><Relationship Id="rId12" Type="http://schemas.openxmlformats.org/officeDocument/2006/relationships/hyperlink" Target="https://pure.ulster.ac.uk/en/publications/designed-to-reduce-people-to-complete-destitution-human-dignity-i-3" TargetMode="External"/><Relationship Id="rId17" Type="http://schemas.openxmlformats.org/officeDocument/2006/relationships/hyperlink" Target="https://www.resolutionfoundation.org/app/uploads/2022/10/Sticking-plasters.pdf" TargetMode="External"/><Relationship Id="rId2" Type="http://schemas.openxmlformats.org/officeDocument/2006/relationships/hyperlink" Target="https://pure.ulster.ac.uk/en/publications/conditionality-discretion-and-th-marshalls-right-to-welfare" TargetMode="External"/><Relationship Id="rId16" Type="http://schemas.openxmlformats.org/officeDocument/2006/relationships/hyperlink" Target="https://publications.parliament.uk/pa/cm201719/cmselect/cmworpen/1477/1477.pdf" TargetMode="External"/><Relationship Id="rId20" Type="http://schemas.openxmlformats.org/officeDocument/2006/relationships/hyperlink" Target="https://academic.oup.com/hrlr/article/18/4/745/5164346" TargetMode="External"/><Relationship Id="rId1" Type="http://schemas.openxmlformats.org/officeDocument/2006/relationships/hyperlink" Target="https://www.tandfonline.com/doi/full/10.1080/09649069.2019.1663016" TargetMode="External"/><Relationship Id="rId6" Type="http://schemas.openxmlformats.org/officeDocument/2006/relationships/hyperlink" Target="https://www.tandfonline.com/doi/full/10.1080/09649069.2018.1414201" TargetMode="External"/><Relationship Id="rId11" Type="http://schemas.openxmlformats.org/officeDocument/2006/relationships/hyperlink" Target="https://onlinelibrary.wiley.com/doi/epdf/10.1111/1468-2230.12773" TargetMode="External"/><Relationship Id="rId5" Type="http://schemas.openxmlformats.org/officeDocument/2006/relationships/hyperlink" Target="https://www.communities-ni.gov.uk/publications/welfare-mitigations-review-independent-advisory-panel-report" TargetMode="External"/><Relationship Id="rId15" Type="http://schemas.openxmlformats.org/officeDocument/2006/relationships/hyperlink" Target="https://pure.york.ac.uk/portal/en/publications/awarding-discretionary-housing-payments-constraints-of-time-condi" TargetMode="External"/><Relationship Id="rId23" Type="http://schemas.openxmlformats.org/officeDocument/2006/relationships/hyperlink" Target="https://kar.kent.ac.uk/91624/1/FoodInsecurityReport.pdf" TargetMode="External"/><Relationship Id="rId10" Type="http://schemas.openxmlformats.org/officeDocument/2006/relationships/hyperlink" Target="https://papers.ssrn.com/sol3/papers.cfm?abstract_id=3677184" TargetMode="External"/><Relationship Id="rId19" Type="http://schemas.openxmlformats.org/officeDocument/2006/relationships/hyperlink" Target="https://www.communities-ni.gov.uk/publications/discretionary-support-independent-review" TargetMode="External"/><Relationship Id="rId4" Type="http://schemas.openxmlformats.org/officeDocument/2006/relationships/hyperlink" Target="https://research.thelegaleducationfoundation.org/research-learning/funded-research/executive-summary-destitution-and-paths-to-justice" TargetMode="External"/><Relationship Id="rId9" Type="http://schemas.openxmlformats.org/officeDocument/2006/relationships/hyperlink" Target="https://www.bloomsbury.com/uk/social-citizenship-in-an-age-of-welfare-regionalism-9781509946419/" TargetMode="External"/><Relationship Id="rId14" Type="http://schemas.openxmlformats.org/officeDocument/2006/relationships/hyperlink" Target="https://www.nao.org.uk/reports/managing-the-impact-of-housing-benefit-reform/" TargetMode="External"/><Relationship Id="rId22" Type="http://schemas.openxmlformats.org/officeDocument/2006/relationships/hyperlink" Target="https://www.tandfonline.com/doi/full/10.1080/09649069.2022.20676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1D618-E4C2-45B9-BD2F-51E3C71F3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4671</Words>
  <Characters>26627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Simpson, Mark</dc:creator>
  <cp:keywords/>
  <dc:description/>
  <cp:lastModifiedBy>Eduardo Jose Badilla Valdivia</cp:lastModifiedBy>
  <cp:revision>2</cp:revision>
  <dcterms:created xsi:type="dcterms:W3CDTF">2023-01-05T15:50:00Z</dcterms:created>
  <dcterms:modified xsi:type="dcterms:W3CDTF">2023-01-05T15:50:00Z</dcterms:modified>
</cp:coreProperties>
</file>