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30748D">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1E75C1">
        <w:rPr>
          <w:b/>
          <w:sz w:val="28"/>
          <w:szCs w:val="28"/>
          <w:u w:val="single"/>
        </w:rPr>
        <w:t>ESTONIA</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50</w:t>
      </w:r>
      <w:r w:rsidRPr="0033102F">
        <w:rPr>
          <w:b/>
          <w:sz w:val="28"/>
          <w:szCs w:val="28"/>
          <w:u w:val="single"/>
          <w:vertAlign w:val="superscript"/>
        </w:rPr>
        <w:t>th</w:t>
      </w:r>
      <w:r w:rsidRPr="0033102F">
        <w:rPr>
          <w:b/>
          <w:sz w:val="28"/>
          <w:szCs w:val="28"/>
          <w:u w:val="single"/>
        </w:rPr>
        <w:t xml:space="preserve"> session,</w:t>
      </w:r>
      <w:r w:rsidR="00DF26B7" w:rsidRPr="0033102F">
        <w:rPr>
          <w:b/>
          <w:sz w:val="28"/>
          <w:szCs w:val="28"/>
          <w:u w:val="single"/>
        </w:rPr>
        <w:t xml:space="preserve"> </w:t>
      </w:r>
      <w:r w:rsidR="00EE43F9" w:rsidRPr="0033102F">
        <w:rPr>
          <w:b/>
          <w:sz w:val="28"/>
          <w:szCs w:val="28"/>
          <w:u w:val="single"/>
        </w:rPr>
        <w:t>M</w:t>
      </w:r>
      <w:r w:rsidR="00EE43F9">
        <w:rPr>
          <w:b/>
          <w:sz w:val="28"/>
          <w:szCs w:val="28"/>
          <w:u w:val="single"/>
        </w:rPr>
        <w:t>ay 2013</w:t>
      </w:r>
    </w:p>
    <w:p w:rsidR="00DF26B7" w:rsidRPr="00FE1332" w:rsidRDefault="00DF26B7" w:rsidP="00FE1332">
      <w:pPr>
        <w:jc w:val="center"/>
        <w:rPr>
          <w:i/>
        </w:rPr>
      </w:pPr>
      <w:r w:rsidRPr="00FE1332">
        <w:rPr>
          <w:i/>
        </w:rPr>
        <w:t>From Peter Newell, Coordinator, Global Initiative</w:t>
      </w:r>
    </w:p>
    <w:p w:rsidR="00DF26B7" w:rsidRPr="00FE1332" w:rsidRDefault="007775E8" w:rsidP="00FE1332">
      <w:pPr>
        <w:jc w:val="center"/>
        <w:rPr>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3C6F4D" w:rsidRDefault="007775E8" w:rsidP="005142F8">
      <w:pPr>
        <w:spacing w:after="120"/>
        <w:jc w:val="center"/>
        <w:rPr>
          <w:b/>
          <w:u w:val="single"/>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B37391">
                    <w:rPr>
                      <w:b/>
                      <w:sz w:val="28"/>
                      <w:szCs w:val="28"/>
                    </w:rPr>
                    <w:t>Estonia</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Pr="009D77EF">
                    <w:rPr>
                      <w:b/>
                      <w:sz w:val="28"/>
                      <w:szCs w:val="28"/>
                    </w:rPr>
                    <w:t xml:space="preserve">the </w:t>
                  </w:r>
                  <w:r w:rsidR="0094530D">
                    <w:rPr>
                      <w:b/>
                      <w:sz w:val="28"/>
                      <w:szCs w:val="28"/>
                    </w:rPr>
                    <w:t xml:space="preserve"> </w:t>
                  </w:r>
                  <w:r w:rsidRPr="009D77EF">
                    <w:rPr>
                      <w:b/>
                      <w:sz w:val="28"/>
                      <w:szCs w:val="28"/>
                    </w:rPr>
                    <w:t xml:space="preserve">recommendations of </w:t>
                  </w:r>
                  <w:r w:rsidR="00B37391">
                    <w:rPr>
                      <w:b/>
                      <w:sz w:val="28"/>
                      <w:szCs w:val="28"/>
                    </w:rPr>
                    <w:t xml:space="preserve">treaty bodies </w:t>
                  </w:r>
                  <w:r w:rsidR="00067488" w:rsidRPr="009D77EF">
                    <w:rPr>
                      <w:b/>
                      <w:sz w:val="28"/>
                      <w:szCs w:val="28"/>
                    </w:rPr>
                    <w:t xml:space="preserve">and </w:t>
                  </w:r>
                  <w:r w:rsidR="00B5248E">
                    <w:rPr>
                      <w:b/>
                      <w:sz w:val="28"/>
                      <w:szCs w:val="28"/>
                    </w:rPr>
                    <w:t xml:space="preserve">during the Universal Periodic Review </w:t>
                  </w:r>
                  <w:r w:rsidR="0094530D">
                    <w:rPr>
                      <w:b/>
                      <w:sz w:val="28"/>
                      <w:szCs w:val="28"/>
                    </w:rPr>
                    <w:t>–</w:t>
                  </w:r>
                  <w:r w:rsidR="00B37391">
                    <w:rPr>
                      <w:b/>
                      <w:sz w:val="28"/>
                      <w:szCs w:val="28"/>
                    </w:rPr>
                    <w:t xml:space="preserve"> </w:t>
                  </w:r>
                  <w:r w:rsidR="0094530D">
                    <w:rPr>
                      <w:b/>
                      <w:sz w:val="28"/>
                      <w:szCs w:val="28"/>
                    </w:rPr>
                    <w:t xml:space="preserve">accepted by the Government –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B37391">
                    <w:rPr>
                      <w:b/>
                      <w:sz w:val="28"/>
                      <w:szCs w:val="28"/>
                    </w:rPr>
                    <w:t>Estonia</w:t>
                  </w:r>
                  <w:r w:rsidRPr="009D77EF">
                    <w:rPr>
                      <w:b/>
                      <w:sz w:val="28"/>
                      <w:szCs w:val="28"/>
                    </w:rPr>
                    <w:t xml:space="preserve">, in the concluding observations on the </w:t>
                  </w:r>
                  <w:r w:rsidR="0094530D">
                    <w:rPr>
                      <w:b/>
                      <w:sz w:val="28"/>
                      <w:szCs w:val="28"/>
                    </w:rPr>
                    <w:t xml:space="preserve">second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AD022F" w:rsidRDefault="00AD022F">
      <w:pPr>
        <w:spacing w:after="120"/>
        <w:rPr>
          <w:b/>
          <w:sz w:val="28"/>
          <w:szCs w:val="28"/>
        </w:rPr>
      </w:pPr>
    </w:p>
    <w:p w:rsidR="001F0A21" w:rsidRPr="00B37391" w:rsidRDefault="00F600EA" w:rsidP="00B37391">
      <w:pPr>
        <w:spacing w:after="120"/>
        <w:ind w:left="482" w:hanging="482"/>
        <w:rPr>
          <w:b/>
          <w:sz w:val="28"/>
          <w:szCs w:val="28"/>
        </w:rPr>
      </w:pPr>
      <w:r w:rsidRPr="00B37391">
        <w:rPr>
          <w:b/>
          <w:sz w:val="28"/>
          <w:szCs w:val="28"/>
        </w:rPr>
        <w:t xml:space="preserve">1 </w:t>
      </w:r>
      <w:r w:rsidR="001E75C1" w:rsidRPr="00B37391">
        <w:rPr>
          <w:b/>
          <w:sz w:val="28"/>
          <w:szCs w:val="28"/>
        </w:rPr>
        <w:t>Estonia</w:t>
      </w:r>
      <w:r w:rsidR="001F0A21" w:rsidRPr="00B37391">
        <w:rPr>
          <w:b/>
          <w:sz w:val="28"/>
          <w:szCs w:val="28"/>
        </w:rPr>
        <w:t xml:space="preserve">’s report to the Committee </w:t>
      </w:r>
      <w:r w:rsidRPr="00B37391">
        <w:rPr>
          <w:b/>
          <w:sz w:val="28"/>
          <w:szCs w:val="28"/>
        </w:rPr>
        <w:t>Against Torture</w:t>
      </w:r>
    </w:p>
    <w:p w:rsidR="001E75C1" w:rsidRPr="00B37391" w:rsidRDefault="00F600EA" w:rsidP="00B37391">
      <w:pPr>
        <w:pStyle w:val="Header"/>
        <w:spacing w:after="120"/>
        <w:ind w:left="482" w:hanging="482"/>
        <w:rPr>
          <w:sz w:val="26"/>
          <w:szCs w:val="26"/>
        </w:rPr>
      </w:pPr>
      <w:r w:rsidRPr="00B37391">
        <w:rPr>
          <w:sz w:val="26"/>
          <w:szCs w:val="26"/>
        </w:rPr>
        <w:t xml:space="preserve">1.1 The List of Issues Prior to Reporting </w:t>
      </w:r>
      <w:r w:rsidR="001E75C1" w:rsidRPr="00B37391">
        <w:rPr>
          <w:sz w:val="26"/>
          <w:szCs w:val="26"/>
        </w:rPr>
        <w:t>does not ask specifically about corporal punishment but it does ask what legislative and other measures have been taken with respect to domestic violence.</w:t>
      </w:r>
      <w:r w:rsidR="001E75C1" w:rsidRPr="00B37391">
        <w:rPr>
          <w:rStyle w:val="FootnoteReference"/>
          <w:sz w:val="26"/>
          <w:szCs w:val="26"/>
        </w:rPr>
        <w:footnoteReference w:id="1"/>
      </w:r>
      <w:r w:rsidR="001E75C1" w:rsidRPr="00B37391">
        <w:rPr>
          <w:sz w:val="26"/>
          <w:szCs w:val="26"/>
        </w:rPr>
        <w:t xml:space="preserve"> In reply, the Government explains that there is no specific law on domestic violence; rather, such crimes are legally classed as ordinary crimes (crimes against the person), including beating and abuse causing pain or injury.</w:t>
      </w:r>
      <w:r w:rsidR="001E75C1" w:rsidRPr="00B37391">
        <w:rPr>
          <w:rStyle w:val="FootnoteReference"/>
          <w:sz w:val="26"/>
          <w:szCs w:val="26"/>
        </w:rPr>
        <w:footnoteReference w:id="2"/>
      </w:r>
      <w:r w:rsidR="00FD46B3" w:rsidRPr="00B37391">
        <w:rPr>
          <w:sz w:val="26"/>
          <w:szCs w:val="26"/>
        </w:rPr>
        <w:t xml:space="preserve"> However, no reference is made to the infliction of punitive violence on children – even though the Government is publicly committed to explicitly prohibiting all corporal punishment and tentative steps have been taken towards law reform.</w:t>
      </w:r>
    </w:p>
    <w:p w:rsidR="001F0A21" w:rsidRPr="00B37391" w:rsidRDefault="001F0A21" w:rsidP="00B37391">
      <w:pPr>
        <w:spacing w:after="120"/>
        <w:ind w:left="482" w:hanging="482"/>
        <w:rPr>
          <w:b/>
          <w:sz w:val="26"/>
          <w:szCs w:val="26"/>
        </w:rPr>
      </w:pPr>
    </w:p>
    <w:p w:rsidR="00482727" w:rsidRDefault="00482727" w:rsidP="00B37391">
      <w:pPr>
        <w:spacing w:after="120"/>
        <w:ind w:left="482" w:hanging="482"/>
        <w:rPr>
          <w:b/>
          <w:sz w:val="28"/>
          <w:szCs w:val="28"/>
        </w:rPr>
      </w:pPr>
    </w:p>
    <w:p w:rsidR="001F0A21" w:rsidRPr="00B37391" w:rsidRDefault="0094530D" w:rsidP="00B37391">
      <w:pPr>
        <w:spacing w:after="120"/>
        <w:ind w:left="482" w:hanging="482"/>
        <w:rPr>
          <w:sz w:val="28"/>
          <w:szCs w:val="28"/>
        </w:rPr>
      </w:pPr>
      <w:r w:rsidRPr="00B37391">
        <w:rPr>
          <w:b/>
          <w:sz w:val="28"/>
          <w:szCs w:val="28"/>
        </w:rPr>
        <w:lastRenderedPageBreak/>
        <w:t xml:space="preserve">2 </w:t>
      </w:r>
      <w:r w:rsidR="001F0A21" w:rsidRPr="00B37391">
        <w:rPr>
          <w:b/>
          <w:sz w:val="28"/>
          <w:szCs w:val="28"/>
        </w:rPr>
        <w:t xml:space="preserve">Corporal punishment of children in </w:t>
      </w:r>
      <w:r w:rsidR="00FD46B3" w:rsidRPr="00B37391">
        <w:rPr>
          <w:b/>
          <w:sz w:val="28"/>
          <w:szCs w:val="28"/>
        </w:rPr>
        <w:t>Estonia</w:t>
      </w:r>
    </w:p>
    <w:p w:rsidR="00FD46B3" w:rsidRPr="00B37391" w:rsidRDefault="0094530D" w:rsidP="00B37391">
      <w:pPr>
        <w:spacing w:after="120"/>
        <w:ind w:left="482" w:hanging="482"/>
        <w:rPr>
          <w:sz w:val="26"/>
          <w:szCs w:val="26"/>
        </w:rPr>
      </w:pPr>
      <w:bookmarkStart w:id="0" w:name="OLE_LINK53"/>
      <w:bookmarkStart w:id="1" w:name="OLE_LINK52"/>
      <w:r w:rsidRPr="00B37391">
        <w:rPr>
          <w:sz w:val="26"/>
          <w:szCs w:val="26"/>
        </w:rPr>
        <w:t xml:space="preserve">2.1 </w:t>
      </w:r>
      <w:r w:rsidR="00FD46B3" w:rsidRPr="00B37391">
        <w:rPr>
          <w:sz w:val="26"/>
          <w:szCs w:val="26"/>
        </w:rPr>
        <w:t>In Estonia, corporal punishment is unlawful in schools and the penal system, but it is not prohibited in the home and in all alternative care settings.</w:t>
      </w:r>
    </w:p>
    <w:p w:rsidR="00FD46B3" w:rsidRPr="00B37391" w:rsidRDefault="0094530D" w:rsidP="00B37391">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B37391">
        <w:rPr>
          <w:sz w:val="26"/>
          <w:szCs w:val="26"/>
        </w:rPr>
        <w:t xml:space="preserve">2.2 </w:t>
      </w:r>
      <w:r w:rsidR="00050E03" w:rsidRPr="00B37391">
        <w:rPr>
          <w:i/>
          <w:sz w:val="26"/>
          <w:szCs w:val="26"/>
        </w:rPr>
        <w:t>Home (</w:t>
      </w:r>
      <w:r w:rsidR="00050E03" w:rsidRPr="00B37391">
        <w:rPr>
          <w:i/>
          <w:sz w:val="26"/>
          <w:szCs w:val="26"/>
          <w:u w:val="single"/>
        </w:rPr>
        <w:t>lawful</w:t>
      </w:r>
      <w:r w:rsidR="00050E03" w:rsidRPr="00B37391">
        <w:rPr>
          <w:i/>
          <w:sz w:val="26"/>
          <w:szCs w:val="26"/>
        </w:rPr>
        <w:t>):</w:t>
      </w:r>
      <w:r w:rsidR="00050E03" w:rsidRPr="00B37391">
        <w:rPr>
          <w:sz w:val="26"/>
          <w:szCs w:val="26"/>
        </w:rPr>
        <w:t xml:space="preserve"> </w:t>
      </w:r>
      <w:r w:rsidR="00FD46B3" w:rsidRPr="00B37391">
        <w:rPr>
          <w:sz w:val="26"/>
          <w:szCs w:val="26"/>
        </w:rPr>
        <w:t xml:space="preserve">There is no legal defence for the use of corporal punishment in childrearing, but it is widely socially and legally accepted. Article 31(1) of the Child Protection Act 1992 prohibits only corporal punishment which is considered to cause harm: “Every child shall at all times be treated as an individual with consideration for his or her character, age and sex. It is prohibited to humiliate, frighten or punish the child in any way which abuses the child, causes bodily harm or otherwise endangers his or her mental or physical health.” </w:t>
      </w:r>
      <w:r w:rsidR="00FD46B3" w:rsidRPr="00B37391">
        <w:rPr>
          <w:color w:val="000000"/>
          <w:sz w:val="26"/>
          <w:szCs w:val="26"/>
        </w:rPr>
        <w:t>P</w:t>
      </w:r>
      <w:r w:rsidR="00FD46B3" w:rsidRPr="00B37391">
        <w:rPr>
          <w:sz w:val="26"/>
          <w:szCs w:val="26"/>
        </w:rPr>
        <w:t>rovisions against violence and abuse in the Child Protection Act, the Code of Administrative Offences and the Penal Code 2002 are not interpreted as prohibiting all corporal punishment in childrearing.</w:t>
      </w:r>
    </w:p>
    <w:p w:rsidR="00FD46B3" w:rsidRPr="00B37391" w:rsidRDefault="00FD46B3" w:rsidP="00B37391">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B37391">
        <w:rPr>
          <w:sz w:val="26"/>
          <w:szCs w:val="26"/>
        </w:rPr>
        <w:t>2.3 The Government is committed to prohibition (2010). The Family Law Act 2010 states in article 113: “</w:t>
      </w:r>
      <w:r w:rsidRPr="00B37391">
        <w:rPr>
          <w:color w:val="000000"/>
          <w:sz w:val="26"/>
          <w:szCs w:val="26"/>
        </w:rPr>
        <w:t xml:space="preserve">A parent and a child are required to support and respect each other and take each other’s interests and rights into account.” Article 124(2) states: “Physical, mental and emotional abuse and application of other degrading educational measures with respect to a child is prohibited.” </w:t>
      </w:r>
      <w:r w:rsidRPr="00B37391">
        <w:rPr>
          <w:sz w:val="26"/>
          <w:szCs w:val="26"/>
        </w:rPr>
        <w:t xml:space="preserve">During the Universal Periodic Review of Estonia in 2011, the Government confirmed that the Family Law Act provides for the principle of non-violent parenting and reported </w:t>
      </w:r>
      <w:r w:rsidR="00B37391">
        <w:rPr>
          <w:sz w:val="26"/>
          <w:szCs w:val="26"/>
        </w:rPr>
        <w:t xml:space="preserve">that </w:t>
      </w:r>
      <w:r w:rsidRPr="00B37391">
        <w:rPr>
          <w:sz w:val="26"/>
          <w:szCs w:val="26"/>
        </w:rPr>
        <w:t>the Ministry of Social Affairs was in the process of amending the Child Protection Act to explicitly prohibit corporal punishment.</w:t>
      </w:r>
      <w:r w:rsidR="00B37391">
        <w:rPr>
          <w:rStyle w:val="FootnoteReference"/>
          <w:sz w:val="26"/>
          <w:szCs w:val="26"/>
        </w:rPr>
        <w:footnoteReference w:id="3"/>
      </w:r>
    </w:p>
    <w:p w:rsidR="00FD46B3" w:rsidRPr="00B37391" w:rsidRDefault="0094530D" w:rsidP="00B37391">
      <w:pPr>
        <w:spacing w:after="120"/>
        <w:ind w:left="482" w:hanging="482"/>
        <w:rPr>
          <w:sz w:val="26"/>
          <w:szCs w:val="26"/>
        </w:rPr>
      </w:pPr>
      <w:r w:rsidRPr="00B37391">
        <w:rPr>
          <w:sz w:val="26"/>
          <w:szCs w:val="26"/>
        </w:rPr>
        <w:t xml:space="preserve">2.4 </w:t>
      </w:r>
      <w:r w:rsidR="00483F09" w:rsidRPr="00B37391">
        <w:rPr>
          <w:i/>
          <w:sz w:val="26"/>
          <w:szCs w:val="26"/>
        </w:rPr>
        <w:t>Schools (</w:t>
      </w:r>
      <w:r w:rsidR="00FD46B3" w:rsidRPr="00B37391">
        <w:rPr>
          <w:i/>
          <w:sz w:val="26"/>
          <w:szCs w:val="26"/>
          <w:u w:val="single"/>
        </w:rPr>
        <w:t>unlawful</w:t>
      </w:r>
      <w:r w:rsidR="00483F09" w:rsidRPr="00B37391">
        <w:rPr>
          <w:i/>
          <w:sz w:val="26"/>
          <w:szCs w:val="26"/>
        </w:rPr>
        <w:t>):</w:t>
      </w:r>
      <w:r w:rsidR="00483F09" w:rsidRPr="00B37391">
        <w:rPr>
          <w:sz w:val="26"/>
          <w:szCs w:val="26"/>
        </w:rPr>
        <w:t xml:space="preserve"> </w:t>
      </w:r>
      <w:bookmarkStart w:id="2" w:name="OLE_LINK55"/>
      <w:bookmarkStart w:id="3" w:name="OLE_LINK54"/>
      <w:bookmarkEnd w:id="0"/>
      <w:bookmarkEnd w:id="1"/>
      <w:r w:rsidR="00FD46B3" w:rsidRPr="00B37391">
        <w:rPr>
          <w:sz w:val="26"/>
          <w:szCs w:val="26"/>
        </w:rPr>
        <w:t>Corporal punishment is unlawful, though it is not explicitly prohibited. According to the Primary and Secondary Schools Act 2010, the school must ensure the mental and physical safety and health protection of the student (article 44): the Government has stated that this includes prote</w:t>
      </w:r>
      <w:r w:rsidR="00B37391" w:rsidRPr="00B37391">
        <w:rPr>
          <w:sz w:val="26"/>
          <w:szCs w:val="26"/>
        </w:rPr>
        <w:t>ction from corporal punishment</w:t>
      </w:r>
      <w:r w:rsidR="00FD46B3" w:rsidRPr="00B37391">
        <w:rPr>
          <w:sz w:val="26"/>
          <w:szCs w:val="26"/>
        </w:rPr>
        <w:t>.</w:t>
      </w:r>
      <w:r w:rsidR="00B37391" w:rsidRPr="00B37391">
        <w:rPr>
          <w:rStyle w:val="FootnoteReference"/>
          <w:sz w:val="26"/>
          <w:szCs w:val="26"/>
        </w:rPr>
        <w:footnoteReference w:id="4"/>
      </w:r>
      <w:r w:rsidR="00FD46B3" w:rsidRPr="00B37391">
        <w:rPr>
          <w:sz w:val="26"/>
          <w:szCs w:val="26"/>
        </w:rPr>
        <w:t xml:space="preserve"> Article 40.1 of the Child Protection Act states: “Instruction shall not involve physical violence or mental abuse.”</w:t>
      </w:r>
    </w:p>
    <w:p w:rsidR="00483F09" w:rsidRPr="00B37391" w:rsidRDefault="00B37391" w:rsidP="00B37391">
      <w:pPr>
        <w:spacing w:after="120"/>
        <w:ind w:left="482" w:hanging="482"/>
        <w:rPr>
          <w:sz w:val="26"/>
          <w:szCs w:val="26"/>
        </w:rPr>
      </w:pPr>
      <w:r>
        <w:rPr>
          <w:sz w:val="26"/>
          <w:szCs w:val="26"/>
        </w:rPr>
        <w:t>2.5</w:t>
      </w:r>
      <w:r w:rsidR="0094530D" w:rsidRPr="00B37391">
        <w:rPr>
          <w:sz w:val="26"/>
          <w:szCs w:val="26"/>
        </w:rPr>
        <w:t xml:space="preserve"> </w:t>
      </w:r>
      <w:r w:rsidR="00483F09" w:rsidRPr="00B37391">
        <w:rPr>
          <w:i/>
          <w:sz w:val="26"/>
          <w:szCs w:val="26"/>
        </w:rPr>
        <w:t>Penal system – sentence for crime (</w:t>
      </w:r>
      <w:r w:rsidRPr="00B37391">
        <w:rPr>
          <w:i/>
          <w:sz w:val="26"/>
          <w:szCs w:val="26"/>
          <w:u w:val="single"/>
        </w:rPr>
        <w:t>unlawful</w:t>
      </w:r>
      <w:r w:rsidR="00483F09" w:rsidRPr="00B37391">
        <w:rPr>
          <w:i/>
          <w:sz w:val="26"/>
          <w:szCs w:val="26"/>
        </w:rPr>
        <w:t>):</w:t>
      </w:r>
      <w:r w:rsidR="00483F09" w:rsidRPr="00B37391">
        <w:rPr>
          <w:sz w:val="26"/>
          <w:szCs w:val="26"/>
        </w:rPr>
        <w:t xml:space="preserve"> There is no provision for judicial corporal punishment in criminal law.</w:t>
      </w:r>
    </w:p>
    <w:p w:rsidR="001F0A21" w:rsidRPr="00B37391" w:rsidRDefault="00B37391" w:rsidP="00B37391">
      <w:pPr>
        <w:spacing w:after="120"/>
        <w:ind w:left="482" w:hanging="482"/>
        <w:rPr>
          <w:sz w:val="26"/>
          <w:szCs w:val="26"/>
        </w:rPr>
      </w:pPr>
      <w:r>
        <w:rPr>
          <w:sz w:val="26"/>
          <w:szCs w:val="26"/>
        </w:rPr>
        <w:t>2.6</w:t>
      </w:r>
      <w:r w:rsidR="0094530D" w:rsidRPr="00B37391">
        <w:rPr>
          <w:sz w:val="26"/>
          <w:szCs w:val="26"/>
        </w:rPr>
        <w:t xml:space="preserve"> </w:t>
      </w:r>
      <w:r w:rsidR="00483F09" w:rsidRPr="00B37391">
        <w:rPr>
          <w:i/>
          <w:sz w:val="26"/>
          <w:szCs w:val="26"/>
        </w:rPr>
        <w:t>Penal system – disciplinary measure in penal institutions (</w:t>
      </w:r>
      <w:r w:rsidRPr="00B37391">
        <w:rPr>
          <w:i/>
          <w:sz w:val="26"/>
          <w:szCs w:val="26"/>
          <w:u w:val="single"/>
        </w:rPr>
        <w:t>un</w:t>
      </w:r>
      <w:r w:rsidR="00483F09" w:rsidRPr="00B37391">
        <w:rPr>
          <w:i/>
          <w:sz w:val="26"/>
          <w:szCs w:val="26"/>
          <w:u w:val="single"/>
        </w:rPr>
        <w:t>lawful</w:t>
      </w:r>
      <w:r w:rsidR="00483F09" w:rsidRPr="00B37391">
        <w:rPr>
          <w:i/>
          <w:sz w:val="26"/>
          <w:szCs w:val="26"/>
        </w:rPr>
        <w:t>):</w:t>
      </w:r>
      <w:r w:rsidR="00483F09" w:rsidRPr="00B37391">
        <w:rPr>
          <w:sz w:val="26"/>
          <w:szCs w:val="26"/>
        </w:rPr>
        <w:t xml:space="preserve"> </w:t>
      </w:r>
      <w:r>
        <w:rPr>
          <w:sz w:val="26"/>
          <w:szCs w:val="26"/>
        </w:rPr>
        <w:t xml:space="preserve">Corporal punishment </w:t>
      </w:r>
      <w:r w:rsidRPr="00B37391">
        <w:rPr>
          <w:sz w:val="26"/>
          <w:szCs w:val="26"/>
        </w:rPr>
        <w:t>is considered unlawful, though it is not explicitly prohibited. Article 37</w:t>
      </w:r>
      <w:r w:rsidR="00482727">
        <w:rPr>
          <w:sz w:val="26"/>
          <w:szCs w:val="26"/>
        </w:rPr>
        <w:t>(1)</w:t>
      </w:r>
      <w:r w:rsidRPr="00B37391">
        <w:rPr>
          <w:sz w:val="26"/>
          <w:szCs w:val="26"/>
        </w:rPr>
        <w:t xml:space="preserve"> of the Ch</w:t>
      </w:r>
      <w:r w:rsidR="00482727">
        <w:rPr>
          <w:sz w:val="26"/>
          <w:szCs w:val="26"/>
        </w:rPr>
        <w:t>ild Protection Act states: “</w:t>
      </w:r>
      <w:r w:rsidRPr="00B37391">
        <w:rPr>
          <w:sz w:val="26"/>
          <w:szCs w:val="26"/>
        </w:rPr>
        <w:t>A child whose liberty is restricted or who is detained shall be treated in a manner appropriate for a child, without harm to his or her dignity.” Other provisions protecting detainees’ dignity are found in the Police Act 1991 (article 4), the Penal Code (article 324), and the Code of Criminal Procedure 2004 (article 9(3)). The Imprisonment Act 2000 specifies permitted disciplinary sanctions (article 63): these do not include corporal punishment, though they do allow “commitment to a punishment cell” for young prisoners (article 63).</w:t>
      </w:r>
    </w:p>
    <w:p w:rsidR="00B37391" w:rsidRPr="00B37391" w:rsidRDefault="0094530D" w:rsidP="00B37391">
      <w:pPr>
        <w:spacing w:after="120"/>
        <w:ind w:left="482" w:hanging="482"/>
        <w:rPr>
          <w:sz w:val="26"/>
          <w:szCs w:val="26"/>
        </w:rPr>
      </w:pPr>
      <w:r w:rsidRPr="00B37391">
        <w:rPr>
          <w:sz w:val="26"/>
          <w:szCs w:val="26"/>
        </w:rPr>
        <w:t>2.</w:t>
      </w:r>
      <w:r w:rsidR="00B37391">
        <w:rPr>
          <w:sz w:val="26"/>
          <w:szCs w:val="26"/>
        </w:rPr>
        <w:t>7</w:t>
      </w:r>
      <w:r w:rsidRPr="00B37391">
        <w:rPr>
          <w:sz w:val="26"/>
          <w:szCs w:val="26"/>
        </w:rPr>
        <w:t xml:space="preserve"> </w:t>
      </w:r>
      <w:r w:rsidR="00483F09" w:rsidRPr="00B37391">
        <w:rPr>
          <w:i/>
          <w:sz w:val="26"/>
          <w:szCs w:val="26"/>
        </w:rPr>
        <w:t>Alternative care settings (</w:t>
      </w:r>
      <w:r w:rsidR="00483F09" w:rsidRPr="00B37391">
        <w:rPr>
          <w:i/>
          <w:sz w:val="26"/>
          <w:szCs w:val="26"/>
          <w:u w:val="single"/>
        </w:rPr>
        <w:t>lawful</w:t>
      </w:r>
      <w:r w:rsidR="00483F09" w:rsidRPr="00B37391">
        <w:rPr>
          <w:i/>
          <w:sz w:val="26"/>
          <w:szCs w:val="26"/>
        </w:rPr>
        <w:t>):</w:t>
      </w:r>
      <w:r w:rsidR="00483F09" w:rsidRPr="00B37391">
        <w:rPr>
          <w:sz w:val="26"/>
          <w:szCs w:val="26"/>
        </w:rPr>
        <w:t xml:space="preserve"> </w:t>
      </w:r>
      <w:r w:rsidR="00B37391" w:rsidRPr="00B37391">
        <w:rPr>
          <w:sz w:val="26"/>
          <w:szCs w:val="26"/>
        </w:rPr>
        <w:t>There is no explicit prohibition of corporal punishment in alternative care settings.</w:t>
      </w:r>
    </w:p>
    <w:bookmarkEnd w:id="2"/>
    <w:bookmarkEnd w:id="3"/>
    <w:p w:rsidR="001F0A21" w:rsidRPr="00B37391" w:rsidRDefault="001F0A21" w:rsidP="00B37391">
      <w:pPr>
        <w:spacing w:after="120"/>
        <w:ind w:left="482" w:hanging="482"/>
        <w:rPr>
          <w:sz w:val="26"/>
          <w:szCs w:val="26"/>
        </w:rPr>
      </w:pPr>
    </w:p>
    <w:p w:rsidR="00482727" w:rsidRDefault="00482727" w:rsidP="00B37391">
      <w:pPr>
        <w:spacing w:after="120"/>
        <w:ind w:left="482" w:hanging="482"/>
        <w:rPr>
          <w:b/>
          <w:sz w:val="28"/>
          <w:szCs w:val="28"/>
        </w:rPr>
      </w:pPr>
    </w:p>
    <w:p w:rsidR="00482727" w:rsidRDefault="00482727" w:rsidP="00B37391">
      <w:pPr>
        <w:spacing w:after="120"/>
        <w:ind w:left="482" w:hanging="482"/>
        <w:rPr>
          <w:b/>
          <w:sz w:val="28"/>
          <w:szCs w:val="28"/>
        </w:rPr>
      </w:pPr>
    </w:p>
    <w:p w:rsidR="001F0A21" w:rsidRPr="00B37391" w:rsidRDefault="0094530D" w:rsidP="00B37391">
      <w:pPr>
        <w:spacing w:after="120"/>
        <w:ind w:left="482" w:hanging="482"/>
        <w:rPr>
          <w:b/>
          <w:sz w:val="28"/>
          <w:szCs w:val="28"/>
        </w:rPr>
      </w:pPr>
      <w:r w:rsidRPr="00B37391">
        <w:rPr>
          <w:b/>
          <w:sz w:val="28"/>
          <w:szCs w:val="28"/>
        </w:rPr>
        <w:lastRenderedPageBreak/>
        <w:t xml:space="preserve">3 </w:t>
      </w:r>
      <w:r w:rsidR="001F0A21" w:rsidRPr="00B37391">
        <w:rPr>
          <w:b/>
          <w:sz w:val="28"/>
          <w:szCs w:val="28"/>
        </w:rPr>
        <w:t>Recommendations by human rights treaty bodies and during the UPR</w:t>
      </w:r>
    </w:p>
    <w:p w:rsidR="001F0A21" w:rsidRPr="00B37391" w:rsidRDefault="0094530D" w:rsidP="00B37391">
      <w:pPr>
        <w:spacing w:after="120"/>
        <w:ind w:left="482" w:hanging="482"/>
        <w:rPr>
          <w:bCs/>
          <w:sz w:val="26"/>
          <w:szCs w:val="26"/>
        </w:rPr>
      </w:pPr>
      <w:r w:rsidRPr="00B37391">
        <w:rPr>
          <w:bCs/>
          <w:sz w:val="26"/>
          <w:szCs w:val="26"/>
        </w:rPr>
        <w:t xml:space="preserve">3.1 </w:t>
      </w:r>
      <w:r w:rsidR="0096318D" w:rsidRPr="00B37391">
        <w:rPr>
          <w:bCs/>
          <w:i/>
          <w:sz w:val="26"/>
          <w:szCs w:val="26"/>
        </w:rPr>
        <w:t>CRC:</w:t>
      </w:r>
      <w:r w:rsidR="0096318D" w:rsidRPr="00B37391">
        <w:rPr>
          <w:bCs/>
          <w:sz w:val="26"/>
          <w:szCs w:val="26"/>
        </w:rPr>
        <w:t xml:space="preserve"> </w:t>
      </w:r>
      <w:r w:rsidR="00B37391" w:rsidRPr="00B37391">
        <w:rPr>
          <w:bCs/>
          <w:sz w:val="26"/>
          <w:szCs w:val="26"/>
        </w:rPr>
        <w:t>In 2003, the Committee on the Rights of the Child recommended that all corporal punishment be explicitly prohibited in Estonia.</w:t>
      </w:r>
      <w:r w:rsidR="00B37391" w:rsidRPr="00B37391">
        <w:rPr>
          <w:rStyle w:val="FootnoteReference"/>
          <w:bCs/>
          <w:sz w:val="26"/>
          <w:szCs w:val="26"/>
        </w:rPr>
        <w:footnoteReference w:id="5"/>
      </w:r>
    </w:p>
    <w:p w:rsidR="00B37391" w:rsidRPr="00B37391" w:rsidRDefault="00B37391" w:rsidP="00B37391">
      <w:pPr>
        <w:spacing w:after="120"/>
        <w:ind w:left="482" w:hanging="482"/>
        <w:rPr>
          <w:bCs/>
          <w:sz w:val="26"/>
          <w:szCs w:val="26"/>
        </w:rPr>
      </w:pPr>
      <w:r w:rsidRPr="00B37391">
        <w:rPr>
          <w:bCs/>
          <w:sz w:val="26"/>
          <w:szCs w:val="26"/>
        </w:rPr>
        <w:t xml:space="preserve">3.2 </w:t>
      </w:r>
      <w:r w:rsidRPr="00B37391">
        <w:rPr>
          <w:bCs/>
          <w:i/>
          <w:sz w:val="26"/>
          <w:szCs w:val="26"/>
        </w:rPr>
        <w:t>ECSR:</w:t>
      </w:r>
      <w:r w:rsidRPr="00B37391">
        <w:rPr>
          <w:bCs/>
          <w:sz w:val="26"/>
          <w:szCs w:val="26"/>
        </w:rPr>
        <w:t xml:space="preserve"> The European Committee of Social Rights has twice found the situation in Estonia to be not in conformity with the European Social Charter on the grounds that corporal punishment is not explicitly prohibited in the home – in 2005</w:t>
      </w:r>
      <w:r w:rsidRPr="00B37391">
        <w:rPr>
          <w:rStyle w:val="FootnoteReference"/>
          <w:bCs/>
          <w:sz w:val="26"/>
          <w:szCs w:val="26"/>
        </w:rPr>
        <w:footnoteReference w:id="6"/>
      </w:r>
      <w:r w:rsidRPr="00B37391">
        <w:rPr>
          <w:bCs/>
          <w:sz w:val="26"/>
          <w:szCs w:val="26"/>
        </w:rPr>
        <w:t xml:space="preserve"> and again in 2012.</w:t>
      </w:r>
      <w:r w:rsidRPr="00B37391">
        <w:rPr>
          <w:rStyle w:val="FootnoteReference"/>
          <w:bCs/>
          <w:sz w:val="26"/>
          <w:szCs w:val="26"/>
        </w:rPr>
        <w:footnoteReference w:id="7"/>
      </w:r>
    </w:p>
    <w:p w:rsidR="00B37391" w:rsidRPr="00B37391" w:rsidRDefault="00B37391" w:rsidP="00B37391">
      <w:pPr>
        <w:spacing w:after="120"/>
        <w:ind w:left="482" w:hanging="482"/>
        <w:rPr>
          <w:sz w:val="26"/>
          <w:szCs w:val="26"/>
        </w:rPr>
      </w:pPr>
      <w:r>
        <w:rPr>
          <w:sz w:val="26"/>
          <w:szCs w:val="26"/>
        </w:rPr>
        <w:t>3.3</w:t>
      </w:r>
      <w:r w:rsidR="0094530D" w:rsidRPr="00B37391">
        <w:rPr>
          <w:sz w:val="26"/>
          <w:szCs w:val="26"/>
        </w:rPr>
        <w:t xml:space="preserve"> </w:t>
      </w:r>
      <w:r w:rsidR="0096318D" w:rsidRPr="00B37391">
        <w:rPr>
          <w:i/>
          <w:sz w:val="26"/>
          <w:szCs w:val="26"/>
        </w:rPr>
        <w:t>UPR:</w:t>
      </w:r>
      <w:r w:rsidR="0096318D" w:rsidRPr="00B37391">
        <w:rPr>
          <w:sz w:val="26"/>
          <w:szCs w:val="26"/>
        </w:rPr>
        <w:t xml:space="preserve"> </w:t>
      </w:r>
      <w:r w:rsidRPr="00B37391">
        <w:rPr>
          <w:sz w:val="26"/>
          <w:szCs w:val="26"/>
        </w:rPr>
        <w:t>Estonia was examined in the first cycle of the Universal Periodic Review in 2011 (session 10). The Government accepted the recommendation to “adopt the necessary legislation, and prohibit any kind of violence against children, including corporal punishment”.</w:t>
      </w:r>
      <w:r w:rsidRPr="00B37391">
        <w:rPr>
          <w:rStyle w:val="FootnoteReference"/>
          <w:sz w:val="26"/>
          <w:szCs w:val="26"/>
        </w:rPr>
        <w:footnoteReference w:id="8"/>
      </w:r>
    </w:p>
    <w:p w:rsidR="001F0A21" w:rsidRPr="00B37391" w:rsidRDefault="001F0A21" w:rsidP="00B37391">
      <w:pPr>
        <w:spacing w:after="120"/>
        <w:ind w:left="482" w:hanging="482"/>
        <w:rPr>
          <w:bCs/>
          <w:sz w:val="26"/>
          <w:szCs w:val="26"/>
        </w:rPr>
      </w:pPr>
    </w:p>
    <w:p w:rsidR="001F0A21" w:rsidRPr="00B37391" w:rsidRDefault="0094421B" w:rsidP="00B37391">
      <w:pPr>
        <w:ind w:left="482" w:hanging="482"/>
        <w:rPr>
          <w:i/>
        </w:rPr>
      </w:pPr>
      <w:bookmarkStart w:id="4" w:name="OLE_LINK17"/>
      <w:bookmarkStart w:id="5" w:name="OLE_LINK16"/>
      <w:r>
        <w:rPr>
          <w:i/>
        </w:rPr>
        <w:t>B</w:t>
      </w:r>
      <w:r w:rsidR="001F0A21" w:rsidRPr="00B37391">
        <w:rPr>
          <w:i/>
        </w:rPr>
        <w:t>riefing prepared by the Global Initiative to End All Corporal Punishment of Children</w:t>
      </w:r>
    </w:p>
    <w:p w:rsidR="001F0A21" w:rsidRPr="00B37391" w:rsidRDefault="007775E8" w:rsidP="00B37391">
      <w:pPr>
        <w:ind w:left="482" w:hanging="482"/>
        <w:rPr>
          <w:i/>
        </w:rPr>
      </w:pPr>
      <w:hyperlink r:id="rId10" w:history="1">
        <w:r w:rsidR="001F0A21" w:rsidRPr="00B37391">
          <w:rPr>
            <w:rStyle w:val="Hyperlink"/>
            <w:i/>
          </w:rPr>
          <w:t>www.endcorporalpunishment.org</w:t>
        </w:r>
      </w:hyperlink>
      <w:r w:rsidR="001F0A21" w:rsidRPr="00B37391">
        <w:rPr>
          <w:i/>
        </w:rPr>
        <w:t xml:space="preserve">; </w:t>
      </w:r>
      <w:hyperlink r:id="rId11" w:history="1">
        <w:r w:rsidR="001F0A21" w:rsidRPr="00B37391">
          <w:rPr>
            <w:rStyle w:val="Hyperlink"/>
            <w:i/>
          </w:rPr>
          <w:t>info@endcorporalpunishment.org</w:t>
        </w:r>
      </w:hyperlink>
    </w:p>
    <w:bookmarkEnd w:id="4"/>
    <w:bookmarkEnd w:id="5"/>
    <w:p w:rsidR="001F0A21" w:rsidRPr="00B37391" w:rsidRDefault="0094421B" w:rsidP="00B37391">
      <w:pPr>
        <w:ind w:left="482" w:hanging="482"/>
        <w:rPr>
          <w:i/>
        </w:rPr>
      </w:pPr>
      <w:r>
        <w:rPr>
          <w:i/>
        </w:rPr>
        <w:t xml:space="preserve">April </w:t>
      </w:r>
      <w:bookmarkStart w:id="6" w:name="_GoBack"/>
      <w:bookmarkEnd w:id="6"/>
      <w:r w:rsidR="0094530D" w:rsidRPr="00B37391">
        <w:rPr>
          <w:i/>
        </w:rPr>
        <w:t>2013</w:t>
      </w:r>
    </w:p>
    <w:sectPr w:rsidR="001F0A21" w:rsidRPr="00B37391" w:rsidSect="00215B67">
      <w:headerReference w:type="default" r:id="rId12"/>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5E8" w:rsidRDefault="007775E8">
      <w:r>
        <w:separator/>
      </w:r>
    </w:p>
  </w:endnote>
  <w:endnote w:type="continuationSeparator" w:id="0">
    <w:p w:rsidR="007775E8" w:rsidRDefault="00777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94421B">
      <w:rPr>
        <w:rStyle w:val="PageNumber"/>
        <w:noProof/>
      </w:rPr>
      <w:t>1</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5E8" w:rsidRDefault="007775E8">
      <w:r>
        <w:separator/>
      </w:r>
    </w:p>
  </w:footnote>
  <w:footnote w:type="continuationSeparator" w:id="0">
    <w:p w:rsidR="007775E8" w:rsidRDefault="007775E8">
      <w:r>
        <w:continuationSeparator/>
      </w:r>
    </w:p>
  </w:footnote>
  <w:footnote w:id="1">
    <w:p w:rsidR="001E75C1" w:rsidRPr="00482727" w:rsidRDefault="001E75C1" w:rsidP="00B37391">
      <w:pPr>
        <w:pStyle w:val="FootnoteText"/>
        <w:rPr>
          <w:lang w:val="en-GB"/>
        </w:rPr>
      </w:pPr>
      <w:r w:rsidRPr="00482727">
        <w:rPr>
          <w:rStyle w:val="FootnoteReference"/>
        </w:rPr>
        <w:footnoteRef/>
      </w:r>
      <w:r w:rsidRPr="00482727">
        <w:rPr>
          <w:lang w:val="en-GB"/>
        </w:rPr>
        <w:t xml:space="preserve"> 20 January 2010, CAT/C/EST/Q/5 List of issues prior to reporting, Q25</w:t>
      </w:r>
    </w:p>
  </w:footnote>
  <w:footnote w:id="2">
    <w:p w:rsidR="001E75C1" w:rsidRPr="00482727" w:rsidRDefault="001E75C1" w:rsidP="00B37391">
      <w:pPr>
        <w:pStyle w:val="FootnoteText"/>
        <w:rPr>
          <w:lang w:val="en-GB"/>
        </w:rPr>
      </w:pPr>
      <w:r w:rsidRPr="00482727">
        <w:rPr>
          <w:rStyle w:val="FootnoteReference"/>
        </w:rPr>
        <w:footnoteRef/>
      </w:r>
      <w:r w:rsidRPr="00482727">
        <w:rPr>
          <w:lang w:val="en-GB"/>
        </w:rPr>
        <w:t xml:space="preserve"> </w:t>
      </w:r>
      <w:r w:rsidR="00FD46B3" w:rsidRPr="00482727">
        <w:rPr>
          <w:lang w:val="en-GB"/>
        </w:rPr>
        <w:t xml:space="preserve">5 April 2012, CAT/C/EST/5, Fifth state party report, </w:t>
      </w:r>
      <w:r w:rsidRPr="00482727">
        <w:rPr>
          <w:lang w:val="en-GB"/>
        </w:rPr>
        <w:t>para. 88</w:t>
      </w:r>
    </w:p>
  </w:footnote>
  <w:footnote w:id="3">
    <w:p w:rsidR="00B37391" w:rsidRPr="00482727" w:rsidRDefault="00B37391">
      <w:pPr>
        <w:pStyle w:val="FootnoteText"/>
        <w:rPr>
          <w:lang w:val="en-GB"/>
        </w:rPr>
      </w:pPr>
      <w:r w:rsidRPr="00482727">
        <w:rPr>
          <w:rStyle w:val="FootnoteReference"/>
        </w:rPr>
        <w:footnoteRef/>
      </w:r>
      <w:r w:rsidRPr="00482727">
        <w:rPr>
          <w:lang w:val="en-GB"/>
        </w:rPr>
        <w:t xml:space="preserve"> 28 March 2011, </w:t>
      </w:r>
      <w:r w:rsidRPr="00482727">
        <w:rPr>
          <w:rFonts w:eastAsia="Calibri"/>
          <w:lang w:val="en-GB" w:eastAsia="en-GB"/>
        </w:rPr>
        <w:t>A/HRC/17/17</w:t>
      </w:r>
      <w:r w:rsidRPr="00482727">
        <w:rPr>
          <w:rFonts w:eastAsia="Calibri"/>
          <w:lang w:val="en-GB"/>
        </w:rPr>
        <w:t xml:space="preserve">, </w:t>
      </w:r>
      <w:r w:rsidRPr="00482727">
        <w:rPr>
          <w:rFonts w:eastAsia="Calibri"/>
          <w:bCs/>
          <w:lang w:val="en-GB" w:eastAsia="en-GB"/>
        </w:rPr>
        <w:t>Report of the working group</w:t>
      </w:r>
      <w:r w:rsidRPr="00482727">
        <w:rPr>
          <w:rFonts w:eastAsia="Calibri"/>
          <w:bCs/>
          <w:lang w:val="en-GB"/>
        </w:rPr>
        <w:t xml:space="preserve">, para. </w:t>
      </w:r>
      <w:r w:rsidRPr="0094421B">
        <w:rPr>
          <w:rFonts w:eastAsia="Calibri"/>
          <w:bCs/>
          <w:lang w:val="en-GB"/>
        </w:rPr>
        <w:t>73</w:t>
      </w:r>
    </w:p>
  </w:footnote>
  <w:footnote w:id="4">
    <w:p w:rsidR="00B37391" w:rsidRPr="00482727" w:rsidRDefault="00B37391" w:rsidP="00B37391">
      <w:pPr>
        <w:pStyle w:val="FootnoteText"/>
        <w:rPr>
          <w:lang w:val="en-GB"/>
        </w:rPr>
      </w:pPr>
      <w:r w:rsidRPr="00482727">
        <w:rPr>
          <w:rStyle w:val="FootnoteReference"/>
        </w:rPr>
        <w:footnoteRef/>
      </w:r>
      <w:r w:rsidRPr="00482727">
        <w:rPr>
          <w:lang w:val="en-GB"/>
        </w:rPr>
        <w:t xml:space="preserve"> 14 March 2011, </w:t>
      </w:r>
      <w:r w:rsidRPr="00482727">
        <w:rPr>
          <w:rFonts w:eastAsia="Calibri"/>
          <w:lang w:val="en-GB" w:eastAsia="en-GB"/>
        </w:rPr>
        <w:t>RAP/</w:t>
      </w:r>
      <w:proofErr w:type="spellStart"/>
      <w:r w:rsidRPr="00482727">
        <w:rPr>
          <w:rFonts w:eastAsia="Calibri"/>
          <w:lang w:val="en-GB" w:eastAsia="en-GB"/>
        </w:rPr>
        <w:t>RCha</w:t>
      </w:r>
      <w:proofErr w:type="spellEnd"/>
      <w:r w:rsidRPr="00482727">
        <w:rPr>
          <w:rFonts w:eastAsia="Calibri"/>
          <w:lang w:val="en-GB" w:eastAsia="en-GB"/>
        </w:rPr>
        <w:t xml:space="preserve">/ES/VI(2011), </w:t>
      </w:r>
      <w:r w:rsidRPr="00482727">
        <w:rPr>
          <w:lang w:val="en-GB"/>
        </w:rPr>
        <w:t>National report to the European Committee of Social Rights, p. 93</w:t>
      </w:r>
    </w:p>
  </w:footnote>
  <w:footnote w:id="5">
    <w:p w:rsidR="00B37391" w:rsidRPr="00482727" w:rsidRDefault="00B37391" w:rsidP="00B37391">
      <w:pPr>
        <w:pStyle w:val="FootnoteText"/>
        <w:rPr>
          <w:lang w:val="en-GB"/>
        </w:rPr>
      </w:pPr>
      <w:r w:rsidRPr="00482727">
        <w:rPr>
          <w:rStyle w:val="FootnoteReference"/>
        </w:rPr>
        <w:footnoteRef/>
      </w:r>
      <w:r w:rsidRPr="00482727">
        <w:rPr>
          <w:lang w:val="en-GB"/>
        </w:rPr>
        <w:t xml:space="preserve"> </w:t>
      </w:r>
      <w:r w:rsidRPr="00482727">
        <w:rPr>
          <w:iCs/>
          <w:lang w:val="en-GB"/>
        </w:rPr>
        <w:t>17 March 2003, CRC/C/15/Add.196, Concluding observations on initial report, paras. 30 and 31</w:t>
      </w:r>
    </w:p>
  </w:footnote>
  <w:footnote w:id="6">
    <w:p w:rsidR="00B37391" w:rsidRPr="00482727" w:rsidRDefault="00B37391" w:rsidP="00B37391">
      <w:pPr>
        <w:pStyle w:val="FootnoteText"/>
        <w:rPr>
          <w:lang w:val="en-GB"/>
        </w:rPr>
      </w:pPr>
      <w:r w:rsidRPr="00482727">
        <w:rPr>
          <w:rStyle w:val="FootnoteReference"/>
        </w:rPr>
        <w:footnoteRef/>
      </w:r>
      <w:r w:rsidRPr="00482727">
        <w:rPr>
          <w:lang w:val="en-GB"/>
        </w:rPr>
        <w:t xml:space="preserve"> March 2005, Conclusions 2005</w:t>
      </w:r>
    </w:p>
  </w:footnote>
  <w:footnote w:id="7">
    <w:p w:rsidR="00B37391" w:rsidRPr="00482727" w:rsidRDefault="00B37391" w:rsidP="00B37391">
      <w:pPr>
        <w:pStyle w:val="FootnoteText"/>
        <w:rPr>
          <w:lang w:val="en-GB"/>
        </w:rPr>
      </w:pPr>
      <w:r w:rsidRPr="00482727">
        <w:rPr>
          <w:rStyle w:val="FootnoteReference"/>
        </w:rPr>
        <w:footnoteRef/>
      </w:r>
      <w:r w:rsidRPr="00482727">
        <w:rPr>
          <w:lang w:val="en-GB"/>
        </w:rPr>
        <w:t xml:space="preserve"> January 2012, Conclusions 2011</w:t>
      </w:r>
    </w:p>
  </w:footnote>
  <w:footnote w:id="8">
    <w:p w:rsidR="00B37391" w:rsidRPr="00482727" w:rsidRDefault="00B37391" w:rsidP="00B37391">
      <w:pPr>
        <w:pStyle w:val="FootnoteText"/>
        <w:rPr>
          <w:lang w:val="en-GB"/>
        </w:rPr>
      </w:pPr>
      <w:r w:rsidRPr="00482727">
        <w:rPr>
          <w:rStyle w:val="FootnoteReference"/>
        </w:rPr>
        <w:footnoteRef/>
      </w:r>
      <w:r w:rsidRPr="00482727">
        <w:rPr>
          <w:lang w:val="en-GB"/>
        </w:rPr>
        <w:t xml:space="preserve"> 28 March 2011, A/HRC/17/17, Report of the working group, para. 77(58)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502A2"/>
    <w:rsid w:val="00050E03"/>
    <w:rsid w:val="000617AB"/>
    <w:rsid w:val="00067488"/>
    <w:rsid w:val="000836ED"/>
    <w:rsid w:val="00085CC0"/>
    <w:rsid w:val="000868C8"/>
    <w:rsid w:val="0009062A"/>
    <w:rsid w:val="00091F82"/>
    <w:rsid w:val="00096941"/>
    <w:rsid w:val="00097B98"/>
    <w:rsid w:val="00097CD7"/>
    <w:rsid w:val="000C7114"/>
    <w:rsid w:val="000D0933"/>
    <w:rsid w:val="000D6160"/>
    <w:rsid w:val="000E63B3"/>
    <w:rsid w:val="000F10F5"/>
    <w:rsid w:val="000F7B99"/>
    <w:rsid w:val="00126D80"/>
    <w:rsid w:val="00177EBF"/>
    <w:rsid w:val="0019698E"/>
    <w:rsid w:val="001B3817"/>
    <w:rsid w:val="001D6F11"/>
    <w:rsid w:val="001D7474"/>
    <w:rsid w:val="001E1E13"/>
    <w:rsid w:val="001E75C1"/>
    <w:rsid w:val="001F0A21"/>
    <w:rsid w:val="00202DBB"/>
    <w:rsid w:val="00215B67"/>
    <w:rsid w:val="002164DE"/>
    <w:rsid w:val="002225D2"/>
    <w:rsid w:val="00242F99"/>
    <w:rsid w:val="00243837"/>
    <w:rsid w:val="00257044"/>
    <w:rsid w:val="0026194D"/>
    <w:rsid w:val="0027095A"/>
    <w:rsid w:val="002809A3"/>
    <w:rsid w:val="002871DE"/>
    <w:rsid w:val="00293182"/>
    <w:rsid w:val="002A5A09"/>
    <w:rsid w:val="002A698D"/>
    <w:rsid w:val="002A7D7C"/>
    <w:rsid w:val="002C3481"/>
    <w:rsid w:val="002C42E4"/>
    <w:rsid w:val="002D62CB"/>
    <w:rsid w:val="002E0A08"/>
    <w:rsid w:val="002E3830"/>
    <w:rsid w:val="002E49C7"/>
    <w:rsid w:val="002E5233"/>
    <w:rsid w:val="002F6834"/>
    <w:rsid w:val="0030748D"/>
    <w:rsid w:val="00313D0F"/>
    <w:rsid w:val="0032377D"/>
    <w:rsid w:val="003276B3"/>
    <w:rsid w:val="0033102F"/>
    <w:rsid w:val="003375DA"/>
    <w:rsid w:val="0034725D"/>
    <w:rsid w:val="00350466"/>
    <w:rsid w:val="00351BF5"/>
    <w:rsid w:val="0036447F"/>
    <w:rsid w:val="00373D30"/>
    <w:rsid w:val="0037552E"/>
    <w:rsid w:val="003767E7"/>
    <w:rsid w:val="00390791"/>
    <w:rsid w:val="00393731"/>
    <w:rsid w:val="00395D49"/>
    <w:rsid w:val="003A6487"/>
    <w:rsid w:val="003A70B9"/>
    <w:rsid w:val="003C6F4D"/>
    <w:rsid w:val="003D2A14"/>
    <w:rsid w:val="003E6BE2"/>
    <w:rsid w:val="004078E8"/>
    <w:rsid w:val="0042045D"/>
    <w:rsid w:val="00422CC8"/>
    <w:rsid w:val="00434FD1"/>
    <w:rsid w:val="004521BB"/>
    <w:rsid w:val="00454AB9"/>
    <w:rsid w:val="00462838"/>
    <w:rsid w:val="004632A6"/>
    <w:rsid w:val="00463DB6"/>
    <w:rsid w:val="00482727"/>
    <w:rsid w:val="00483852"/>
    <w:rsid w:val="00483F09"/>
    <w:rsid w:val="00484137"/>
    <w:rsid w:val="004A04DA"/>
    <w:rsid w:val="004B6C67"/>
    <w:rsid w:val="004C31F3"/>
    <w:rsid w:val="0050346D"/>
    <w:rsid w:val="005142F8"/>
    <w:rsid w:val="005674EC"/>
    <w:rsid w:val="00576EE5"/>
    <w:rsid w:val="005A0E91"/>
    <w:rsid w:val="005B6842"/>
    <w:rsid w:val="005D210E"/>
    <w:rsid w:val="005E72AA"/>
    <w:rsid w:val="00614E68"/>
    <w:rsid w:val="006236B4"/>
    <w:rsid w:val="00630638"/>
    <w:rsid w:val="006442A7"/>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74D8E"/>
    <w:rsid w:val="00775305"/>
    <w:rsid w:val="007775E8"/>
    <w:rsid w:val="007833F8"/>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2467F"/>
    <w:rsid w:val="008471FD"/>
    <w:rsid w:val="008556B3"/>
    <w:rsid w:val="0086146C"/>
    <w:rsid w:val="00862AE2"/>
    <w:rsid w:val="00867E7C"/>
    <w:rsid w:val="00875A0F"/>
    <w:rsid w:val="00897430"/>
    <w:rsid w:val="008A1867"/>
    <w:rsid w:val="008B5A14"/>
    <w:rsid w:val="008C5E37"/>
    <w:rsid w:val="008D067C"/>
    <w:rsid w:val="008D06E2"/>
    <w:rsid w:val="008E2E0C"/>
    <w:rsid w:val="009160D2"/>
    <w:rsid w:val="009253FC"/>
    <w:rsid w:val="009302DF"/>
    <w:rsid w:val="00935D2A"/>
    <w:rsid w:val="00940C2C"/>
    <w:rsid w:val="00940FDD"/>
    <w:rsid w:val="0094421B"/>
    <w:rsid w:val="0094530D"/>
    <w:rsid w:val="00951DD0"/>
    <w:rsid w:val="00957F5B"/>
    <w:rsid w:val="0096318D"/>
    <w:rsid w:val="00963B55"/>
    <w:rsid w:val="00970241"/>
    <w:rsid w:val="0098448F"/>
    <w:rsid w:val="00996748"/>
    <w:rsid w:val="009A1C42"/>
    <w:rsid w:val="009A45A4"/>
    <w:rsid w:val="009B3764"/>
    <w:rsid w:val="009B565A"/>
    <w:rsid w:val="009D5AB7"/>
    <w:rsid w:val="009D77EF"/>
    <w:rsid w:val="009F7D50"/>
    <w:rsid w:val="00A14662"/>
    <w:rsid w:val="00A16BC1"/>
    <w:rsid w:val="00A34AC1"/>
    <w:rsid w:val="00A37A05"/>
    <w:rsid w:val="00A406B6"/>
    <w:rsid w:val="00A5271A"/>
    <w:rsid w:val="00A60D37"/>
    <w:rsid w:val="00A70D4B"/>
    <w:rsid w:val="00AA513D"/>
    <w:rsid w:val="00AB5EF2"/>
    <w:rsid w:val="00AC3F6E"/>
    <w:rsid w:val="00AD022F"/>
    <w:rsid w:val="00AD08EC"/>
    <w:rsid w:val="00AF0509"/>
    <w:rsid w:val="00AF3B28"/>
    <w:rsid w:val="00B0584A"/>
    <w:rsid w:val="00B13D6B"/>
    <w:rsid w:val="00B1456F"/>
    <w:rsid w:val="00B23E82"/>
    <w:rsid w:val="00B37391"/>
    <w:rsid w:val="00B40580"/>
    <w:rsid w:val="00B46D76"/>
    <w:rsid w:val="00B51766"/>
    <w:rsid w:val="00B5248E"/>
    <w:rsid w:val="00B61CE3"/>
    <w:rsid w:val="00B754BB"/>
    <w:rsid w:val="00B80D81"/>
    <w:rsid w:val="00B91136"/>
    <w:rsid w:val="00BB1C46"/>
    <w:rsid w:val="00BB618F"/>
    <w:rsid w:val="00BC628D"/>
    <w:rsid w:val="00BD36F1"/>
    <w:rsid w:val="00BD6C95"/>
    <w:rsid w:val="00BF009A"/>
    <w:rsid w:val="00C00DBE"/>
    <w:rsid w:val="00C01E67"/>
    <w:rsid w:val="00C33693"/>
    <w:rsid w:val="00C40578"/>
    <w:rsid w:val="00C436F6"/>
    <w:rsid w:val="00C54C15"/>
    <w:rsid w:val="00C623E2"/>
    <w:rsid w:val="00C65075"/>
    <w:rsid w:val="00C715A8"/>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0AB9"/>
    <w:rsid w:val="00DE1C45"/>
    <w:rsid w:val="00DE309C"/>
    <w:rsid w:val="00DF26B7"/>
    <w:rsid w:val="00E1250A"/>
    <w:rsid w:val="00E22152"/>
    <w:rsid w:val="00E24852"/>
    <w:rsid w:val="00E3291E"/>
    <w:rsid w:val="00E4256D"/>
    <w:rsid w:val="00E762AC"/>
    <w:rsid w:val="00E818B5"/>
    <w:rsid w:val="00E82FFB"/>
    <w:rsid w:val="00ED5D59"/>
    <w:rsid w:val="00EE0C34"/>
    <w:rsid w:val="00EE43F9"/>
    <w:rsid w:val="00F00366"/>
    <w:rsid w:val="00F00694"/>
    <w:rsid w:val="00F05D55"/>
    <w:rsid w:val="00F25BAE"/>
    <w:rsid w:val="00F268F9"/>
    <w:rsid w:val="00F41745"/>
    <w:rsid w:val="00F45C16"/>
    <w:rsid w:val="00F516D1"/>
    <w:rsid w:val="00F600EA"/>
    <w:rsid w:val="00F622A0"/>
    <w:rsid w:val="00F70E7B"/>
    <w:rsid w:val="00F8124B"/>
    <w:rsid w:val="00F92F82"/>
    <w:rsid w:val="00FB060B"/>
    <w:rsid w:val="00FB1B8F"/>
    <w:rsid w:val="00FD46B3"/>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B791173-97D2-4E23-9CB5-074FB822F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050E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399520982">
      <w:bodyDiv w:val="1"/>
      <w:marLeft w:val="0"/>
      <w:marRight w:val="0"/>
      <w:marTop w:val="0"/>
      <w:marBottom w:val="0"/>
      <w:divBdr>
        <w:top w:val="none" w:sz="0" w:space="0" w:color="auto"/>
        <w:left w:val="none" w:sz="0" w:space="0" w:color="auto"/>
        <w:bottom w:val="none" w:sz="0" w:space="0" w:color="auto"/>
        <w:right w:val="none" w:sz="0" w:space="0" w:color="auto"/>
      </w:divBdr>
      <w:divsChild>
        <w:div w:id="330060853">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562399728">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792610-2469-4A10-9473-EA94421AE71D}"/>
</file>

<file path=customXml/itemProps2.xml><?xml version="1.0" encoding="utf-8"?>
<ds:datastoreItem xmlns:ds="http://schemas.openxmlformats.org/officeDocument/2006/customXml" ds:itemID="{0BC9043D-E232-44E1-ADDB-1C857FAE70C5}"/>
</file>

<file path=customXml/itemProps3.xml><?xml version="1.0" encoding="utf-8"?>
<ds:datastoreItem xmlns:ds="http://schemas.openxmlformats.org/officeDocument/2006/customXml" ds:itemID="{86CDD13E-19A4-441D-B68F-5D94825D7980}"/>
</file>

<file path=customXml/itemProps4.xml><?xml version="1.0" encoding="utf-8"?>
<ds:datastoreItem xmlns:ds="http://schemas.openxmlformats.org/officeDocument/2006/customXml" ds:itemID="{4FA4F0D1-6951-4812-B749-3504D063CEC4}"/>
</file>

<file path=docProps/app.xml><?xml version="1.0" encoding="utf-8"?>
<Properties xmlns="http://schemas.openxmlformats.org/officeDocument/2006/extended-properties" xmlns:vt="http://schemas.openxmlformats.org/officeDocument/2006/docPropsVTypes">
  <Template>Normal</Template>
  <TotalTime>2</TotalTime>
  <Pages>3</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GI briefing Estonia</vt:lpstr>
    </vt:vector>
  </TitlesOfParts>
  <Company>Freelance Writing &amp; Research</Company>
  <LinksUpToDate>false</LinksUpToDate>
  <CharactersWithSpaces>5038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Estonia</dc:title>
  <dc:creator>Sharon Owen</dc:creator>
  <cp:lastModifiedBy>Sharon Owen</cp:lastModifiedBy>
  <cp:revision>3</cp:revision>
  <cp:lastPrinted>2004-08-23T14:41:00Z</cp:lastPrinted>
  <dcterms:created xsi:type="dcterms:W3CDTF">2013-04-15T12:14:00Z</dcterms:created>
  <dcterms:modified xsi:type="dcterms:W3CDTF">2013-04-15T12:16:00Z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