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452859" w14:textId="6CEE68D0" w:rsidR="00584C2C" w:rsidRDefault="00584C2C" w:rsidP="003C416C">
      <w:pPr>
        <w:pStyle w:val="Heading1"/>
        <w:jc w:val="both"/>
        <w:rPr>
          <w:rFonts w:asciiTheme="majorBidi" w:hAnsiTheme="majorBidi"/>
          <w:b/>
          <w:bCs/>
          <w:color w:val="1F3864" w:themeColor="accent1" w:themeShade="80"/>
        </w:rPr>
      </w:pPr>
    </w:p>
    <w:p w14:paraId="1137F172" w14:textId="2A365BE3" w:rsidR="00584C2C" w:rsidRDefault="00584C2C" w:rsidP="00584C2C"/>
    <w:p w14:paraId="026FD328" w14:textId="17046825" w:rsidR="00584C2C" w:rsidRDefault="00584C2C" w:rsidP="00584C2C"/>
    <w:p w14:paraId="1F1C1947" w14:textId="14028E5D" w:rsidR="00584C2C" w:rsidRDefault="00584C2C" w:rsidP="00584C2C"/>
    <w:p w14:paraId="411C49E5" w14:textId="754BB44C" w:rsidR="00584C2C" w:rsidRDefault="00584C2C" w:rsidP="00584C2C"/>
    <w:p w14:paraId="14821209" w14:textId="01B0EBDF" w:rsidR="00584C2C" w:rsidRPr="00584C2C" w:rsidRDefault="00584C2C" w:rsidP="00584C2C">
      <w:pPr>
        <w:jc w:val="center"/>
        <w:rPr>
          <w:rFonts w:ascii="Times New Roman" w:eastAsia="Calibri" w:hAnsi="Times New Roman" w:cs="Times New Roman"/>
          <w:kern w:val="0"/>
          <w:sz w:val="28"/>
          <w:szCs w:val="28"/>
          <w:rtl/>
          <w:lang w:bidi="fa-IR"/>
          <w14:ligatures w14:val="none"/>
        </w:rPr>
      </w:pPr>
      <w:r w:rsidRPr="00584C2C">
        <w:rPr>
          <w:rFonts w:ascii="Times New Roman" w:eastAsia="Calibri" w:hAnsi="Times New Roman" w:cs="Times New Roman"/>
          <w:kern w:val="0"/>
          <w:sz w:val="28"/>
          <w:szCs w:val="28"/>
          <w14:ligatures w14:val="none"/>
        </w:rPr>
        <w:t>Submission to the Committee on the Elimination of Racial Discrimination (CERD) on Discrimination against women</w:t>
      </w:r>
      <w:r>
        <w:rPr>
          <w:rFonts w:ascii="Times New Roman" w:eastAsia="Calibri" w:hAnsi="Times New Roman" w:cs="Times New Roman"/>
          <w:kern w:val="0"/>
          <w:sz w:val="28"/>
          <w:szCs w:val="28"/>
          <w14:ligatures w14:val="none"/>
        </w:rPr>
        <w:t xml:space="preserve"> in the UK</w:t>
      </w:r>
    </w:p>
    <w:p w14:paraId="5CFA9CAA" w14:textId="77777777" w:rsidR="00584C2C" w:rsidRPr="00584C2C" w:rsidRDefault="00584C2C" w:rsidP="00584C2C">
      <w:pPr>
        <w:jc w:val="center"/>
        <w:rPr>
          <w:rFonts w:ascii="Times New Roman" w:eastAsia="Calibri" w:hAnsi="Times New Roman" w:cs="Times New Roman"/>
          <w:kern w:val="0"/>
          <w:sz w:val="28"/>
          <w:szCs w:val="28"/>
          <w14:ligatures w14:val="none"/>
        </w:rPr>
      </w:pPr>
      <w:r w:rsidRPr="00584C2C">
        <w:rPr>
          <w:rFonts w:ascii="Times New Roman" w:eastAsia="Calibri" w:hAnsi="Times New Roman" w:cs="Times New Roman"/>
          <w:kern w:val="0"/>
          <w:sz w:val="28"/>
          <w:szCs w:val="28"/>
          <w14:ligatures w14:val="none"/>
        </w:rPr>
        <w:t>113</w:t>
      </w:r>
      <w:r w:rsidRPr="00584C2C">
        <w:rPr>
          <w:rFonts w:ascii="Times New Roman" w:eastAsia="Calibri" w:hAnsi="Times New Roman" w:cs="Times New Roman"/>
          <w:kern w:val="0"/>
          <w:sz w:val="28"/>
          <w:szCs w:val="28"/>
          <w:rtl/>
          <w14:ligatures w14:val="none"/>
        </w:rPr>
        <w:t xml:space="preserve"> </w:t>
      </w:r>
      <w:r w:rsidRPr="00584C2C">
        <w:rPr>
          <w:rFonts w:ascii="Times New Roman" w:eastAsia="Calibri" w:hAnsi="Times New Roman" w:cs="Times New Roman"/>
          <w:kern w:val="0"/>
          <w:sz w:val="28"/>
          <w:szCs w:val="28"/>
          <w14:ligatures w14:val="none"/>
        </w:rPr>
        <w:t>Session (05 Aug 2024 - 23 Aug 2024)</w:t>
      </w:r>
    </w:p>
    <w:p w14:paraId="155904D8" w14:textId="77777777" w:rsidR="00584C2C" w:rsidRPr="00584C2C" w:rsidRDefault="00584C2C" w:rsidP="00584C2C">
      <w:pPr>
        <w:bidi/>
        <w:jc w:val="center"/>
        <w:rPr>
          <w:rFonts w:ascii="Calibri" w:eastAsia="Calibri" w:hAnsi="Calibri" w:cs="Arial"/>
          <w:kern w:val="0"/>
          <w:sz w:val="28"/>
          <w:szCs w:val="28"/>
          <w:rtl/>
          <w:lang w:bidi="fa-IR"/>
          <w14:ligatures w14:val="none"/>
        </w:rPr>
      </w:pPr>
    </w:p>
    <w:p w14:paraId="131B9934" w14:textId="77777777" w:rsidR="00584C2C" w:rsidRPr="00584C2C" w:rsidRDefault="00584C2C" w:rsidP="00584C2C">
      <w:pPr>
        <w:shd w:val="clear" w:color="auto" w:fill="FFFFFF"/>
        <w:rPr>
          <w:rFonts w:ascii="Times New Roman" w:eastAsia="Calibri" w:hAnsi="Times New Roman" w:cs="Times New Roman"/>
          <w:b/>
          <w:bCs/>
          <w:color w:val="000000"/>
          <w:sz w:val="26"/>
          <w:szCs w:val="26"/>
          <w:shd w:val="clear" w:color="auto" w:fill="EEFFDE"/>
        </w:rPr>
      </w:pPr>
    </w:p>
    <w:p w14:paraId="24D1255A" w14:textId="7BA892EA" w:rsidR="00584C2C" w:rsidRPr="00CB7A49" w:rsidRDefault="00584C2C" w:rsidP="00584C2C">
      <w:pPr>
        <w:shd w:val="clear" w:color="auto" w:fill="FFFFFF"/>
        <w:jc w:val="center"/>
        <w:rPr>
          <w:rFonts w:ascii="Times New Roman" w:eastAsia="Calibri" w:hAnsi="Times New Roman" w:cs="Times New Roman"/>
          <w:color w:val="000000"/>
          <w:sz w:val="26"/>
          <w:szCs w:val="26"/>
          <w:highlight w:val="cyan"/>
          <w:shd w:val="clear" w:color="auto" w:fill="EEFFDE"/>
          <w:rtl/>
          <w:lang w:bidi="fa-IR"/>
        </w:rPr>
      </w:pPr>
      <w:r w:rsidRPr="00CB7A49">
        <w:rPr>
          <w:rFonts w:ascii="Times New Roman" w:eastAsia="Calibri" w:hAnsi="Times New Roman" w:cs="Times New Roman"/>
          <w:b/>
          <w:bCs/>
          <w:color w:val="000000"/>
          <w:sz w:val="26"/>
          <w:szCs w:val="26"/>
          <w:shd w:val="clear" w:color="auto" w:fill="FFFFFF"/>
        </w:rPr>
        <w:t>Presented by:</w:t>
      </w:r>
      <w:r w:rsidR="00CB7A49" w:rsidRPr="00CB7A49">
        <w:rPr>
          <w:rFonts w:ascii="Times New Roman" w:eastAsia="Calibri" w:hAnsi="Times New Roman" w:cs="Times New Roman"/>
          <w:b/>
          <w:bCs/>
          <w:color w:val="000000"/>
          <w:sz w:val="26"/>
          <w:szCs w:val="26"/>
          <w:shd w:val="clear" w:color="auto" w:fill="FFFFFF"/>
        </w:rPr>
        <w:t xml:space="preserve"> </w:t>
      </w:r>
      <w:r w:rsidR="00CB7A49" w:rsidRPr="00CB7A49">
        <w:rPr>
          <w:rFonts w:ascii="Times New Roman" w:eastAsia="Calibri" w:hAnsi="Times New Roman" w:cs="Times New Roman"/>
          <w:color w:val="000000"/>
          <w:sz w:val="26"/>
          <w:szCs w:val="26"/>
          <w:shd w:val="clear" w:color="auto" w:fill="FFFFFF"/>
        </w:rPr>
        <w:t>Network of Women's Non-governmental Organizations in the Islamic Republic of Iran (CNWN)</w:t>
      </w:r>
    </w:p>
    <w:p w14:paraId="1ADB008F" w14:textId="044EC5A4" w:rsidR="0009686F" w:rsidRPr="00584C2C" w:rsidRDefault="0009686F" w:rsidP="0009686F">
      <w:pPr>
        <w:shd w:val="clear" w:color="auto" w:fill="FFFFFF"/>
        <w:jc w:val="center"/>
        <w:rPr>
          <w:rFonts w:ascii="Times New Roman" w:eastAsia="Calibri" w:hAnsi="Times New Roman" w:cs="Times New Roman"/>
          <w:b/>
          <w:bCs/>
          <w:color w:val="000000"/>
          <w:sz w:val="26"/>
          <w:szCs w:val="26"/>
          <w:highlight w:val="cyan"/>
          <w:shd w:val="clear" w:color="auto" w:fill="FFFFFF"/>
          <w:rtl/>
          <w:lang w:bidi="fa-IR"/>
        </w:rPr>
      </w:pPr>
      <w:r w:rsidRPr="0009686F">
        <w:rPr>
          <w:rFonts w:ascii="Times New Roman" w:eastAsia="Calibri" w:hAnsi="Times New Roman" w:cs="Times New Roman"/>
          <w:b/>
          <w:bCs/>
          <w:color w:val="000000"/>
          <w:sz w:val="26"/>
          <w:szCs w:val="26"/>
          <w:shd w:val="clear" w:color="auto" w:fill="FFFFFF"/>
          <w:lang w:bidi="fa-IR"/>
        </w:rPr>
        <w:drawing>
          <wp:inline distT="0" distB="0" distL="0" distR="0" wp14:anchorId="16D5A2A8" wp14:editId="69FF7428">
            <wp:extent cx="1608416" cy="1585329"/>
            <wp:effectExtent l="0" t="0" r="0" b="0"/>
            <wp:docPr id="1659864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864719" name=""/>
                    <pic:cNvPicPr/>
                  </pic:nvPicPr>
                  <pic:blipFill>
                    <a:blip r:embed="rId8"/>
                    <a:stretch>
                      <a:fillRect/>
                    </a:stretch>
                  </pic:blipFill>
                  <pic:spPr>
                    <a:xfrm>
                      <a:off x="0" y="0"/>
                      <a:ext cx="1623234" cy="1599935"/>
                    </a:xfrm>
                    <a:prstGeom prst="rect">
                      <a:avLst/>
                    </a:prstGeom>
                    <a:ln>
                      <a:noFill/>
                    </a:ln>
                    <a:effectLst>
                      <a:softEdge rad="112500"/>
                    </a:effectLst>
                  </pic:spPr>
                </pic:pic>
              </a:graphicData>
            </a:graphic>
          </wp:inline>
        </w:drawing>
      </w:r>
    </w:p>
    <w:p w14:paraId="4AC13692" w14:textId="100B22B5" w:rsidR="0009686F" w:rsidRDefault="0009686F" w:rsidP="0009686F">
      <w:pPr>
        <w:shd w:val="clear" w:color="auto" w:fill="FFFFFF"/>
        <w:rPr>
          <w:rFonts w:ascii="Times New Roman" w:eastAsia="Calibri" w:hAnsi="Times New Roman" w:cs="Times New Roman"/>
          <w:color w:val="000000"/>
          <w:sz w:val="26"/>
          <w:szCs w:val="26"/>
          <w:shd w:val="clear" w:color="auto" w:fill="FFFFFF"/>
          <w:rtl/>
        </w:rPr>
      </w:pPr>
      <w:r w:rsidRPr="0009686F">
        <w:rPr>
          <w:rFonts w:ascii="Times New Roman" w:eastAsia="Calibri" w:hAnsi="Times New Roman" w:cs="Times New Roman"/>
          <w:b/>
          <w:bCs/>
          <w:color w:val="000000"/>
          <w:sz w:val="26"/>
          <w:szCs w:val="26"/>
          <w:shd w:val="clear" w:color="auto" w:fill="FFFFFF"/>
        </w:rPr>
        <w:t>Email</w:t>
      </w:r>
      <w:r w:rsidRPr="0009686F">
        <w:rPr>
          <w:rFonts w:ascii="Times New Roman" w:eastAsia="Calibri" w:hAnsi="Times New Roman" w:cs="Times New Roman"/>
          <w:color w:val="000000"/>
          <w:sz w:val="26"/>
          <w:szCs w:val="26"/>
          <w:shd w:val="clear" w:color="auto" w:fill="FFFFFF"/>
        </w:rPr>
        <w:t xml:space="preserve">: </w:t>
      </w:r>
      <w:hyperlink r:id="rId9" w:history="1">
        <w:r w:rsidRPr="0009686F">
          <w:rPr>
            <w:rFonts w:ascii="Times New Roman" w:eastAsia="Calibri" w:hAnsi="Times New Roman" w:cs="Times New Roman"/>
            <w:color w:val="000000"/>
            <w:sz w:val="26"/>
            <w:szCs w:val="26"/>
            <w:shd w:val="clear" w:color="auto" w:fill="FFFFFF"/>
          </w:rPr>
          <w:t>ccnowomen@gmail.com</w:t>
        </w:r>
      </w:hyperlink>
    </w:p>
    <w:p w14:paraId="06EC5F1A" w14:textId="1360BAA8" w:rsidR="0009686F" w:rsidRPr="0009686F" w:rsidRDefault="0009686F" w:rsidP="0009686F">
      <w:pPr>
        <w:shd w:val="clear" w:color="auto" w:fill="FFFFFF"/>
        <w:rPr>
          <w:rFonts w:ascii="Times New Roman" w:eastAsia="Calibri" w:hAnsi="Times New Roman" w:cs="Times New Roman"/>
          <w:color w:val="000000"/>
          <w:sz w:val="26"/>
          <w:szCs w:val="26"/>
          <w:shd w:val="clear" w:color="auto" w:fill="FFFFFF"/>
        </w:rPr>
      </w:pPr>
      <w:r w:rsidRPr="0009686F">
        <w:rPr>
          <w:rFonts w:ascii="Times New Roman" w:eastAsia="Calibri" w:hAnsi="Times New Roman" w:cs="Times New Roman"/>
          <w:b/>
          <w:bCs/>
          <w:color w:val="000000"/>
          <w:sz w:val="26"/>
          <w:szCs w:val="26"/>
          <w:shd w:val="clear" w:color="auto" w:fill="FFFFFF"/>
        </w:rPr>
        <w:t>Website:</w:t>
      </w:r>
      <w:r w:rsidRPr="0009686F">
        <w:rPr>
          <w:rFonts w:ascii="Times New Roman" w:eastAsia="Calibri" w:hAnsi="Times New Roman" w:cs="Times New Roman"/>
          <w:color w:val="000000"/>
          <w:sz w:val="26"/>
          <w:szCs w:val="26"/>
          <w:shd w:val="clear" w:color="auto" w:fill="FFFFFF"/>
        </w:rPr>
        <w:t xml:space="preserve"> www.</w:t>
      </w:r>
      <w:r w:rsidR="0002615D" w:rsidRPr="0002615D">
        <w:rPr>
          <w:rFonts w:ascii="Times New Roman" w:eastAsia="Calibri" w:hAnsi="Times New Roman" w:cs="Times New Roman"/>
          <w:color w:val="000000"/>
          <w:sz w:val="26"/>
          <w:szCs w:val="26"/>
          <w:shd w:val="clear" w:color="auto" w:fill="FFFFFF"/>
        </w:rPr>
        <w:t>cnwn.org</w:t>
      </w:r>
    </w:p>
    <w:p w14:paraId="4544649C" w14:textId="745A39E0" w:rsidR="0009686F" w:rsidRPr="0009686F" w:rsidRDefault="0009686F" w:rsidP="0009686F">
      <w:pPr>
        <w:shd w:val="clear" w:color="auto" w:fill="FFFFFF"/>
        <w:rPr>
          <w:rFonts w:ascii="Times New Roman" w:eastAsia="Calibri" w:hAnsi="Times New Roman" w:cs="Times New Roman"/>
          <w:color w:val="000000"/>
          <w:sz w:val="26"/>
          <w:szCs w:val="26"/>
          <w:shd w:val="clear" w:color="auto" w:fill="FFFFFF"/>
          <w:rtl/>
        </w:rPr>
      </w:pPr>
      <w:r w:rsidRPr="0009686F">
        <w:rPr>
          <w:rFonts w:ascii="Times New Roman" w:eastAsia="Calibri" w:hAnsi="Times New Roman" w:cs="Times New Roman"/>
          <w:b/>
          <w:bCs/>
          <w:color w:val="000000"/>
          <w:sz w:val="26"/>
          <w:szCs w:val="26"/>
          <w:shd w:val="clear" w:color="auto" w:fill="FFFFFF"/>
        </w:rPr>
        <w:t>Executive Director:</w:t>
      </w:r>
      <w:r w:rsidRPr="0009686F">
        <w:rPr>
          <w:rFonts w:ascii="Times New Roman" w:eastAsia="Calibri" w:hAnsi="Times New Roman" w:cs="Times New Roman"/>
          <w:color w:val="000000"/>
          <w:sz w:val="26"/>
          <w:szCs w:val="26"/>
          <w:shd w:val="clear" w:color="auto" w:fill="FFFFFF"/>
        </w:rPr>
        <w:t xml:space="preserve"> </w:t>
      </w:r>
      <w:proofErr w:type="spellStart"/>
      <w:proofErr w:type="gramStart"/>
      <w:r w:rsidR="0002615D">
        <w:rPr>
          <w:rFonts w:ascii="Times New Roman" w:eastAsia="Calibri" w:hAnsi="Times New Roman" w:cs="Times New Roman"/>
          <w:color w:val="000000"/>
          <w:sz w:val="26"/>
          <w:szCs w:val="26"/>
          <w:shd w:val="clear" w:color="auto" w:fill="FFFFFF"/>
        </w:rPr>
        <w:t>Dr.Shokouh</w:t>
      </w:r>
      <w:proofErr w:type="spellEnd"/>
      <w:proofErr w:type="gramEnd"/>
      <w:r w:rsidR="0002615D">
        <w:rPr>
          <w:rFonts w:ascii="Times New Roman" w:eastAsia="Calibri" w:hAnsi="Times New Roman" w:cs="Times New Roman"/>
          <w:color w:val="000000"/>
          <w:sz w:val="26"/>
          <w:szCs w:val="26"/>
          <w:shd w:val="clear" w:color="auto" w:fill="FFFFFF"/>
        </w:rPr>
        <w:t xml:space="preserve"> </w:t>
      </w:r>
      <w:proofErr w:type="spellStart"/>
      <w:r w:rsidR="0002615D">
        <w:rPr>
          <w:rFonts w:ascii="Times New Roman" w:eastAsia="Calibri" w:hAnsi="Times New Roman" w:cs="Times New Roman"/>
          <w:color w:val="000000"/>
          <w:sz w:val="26"/>
          <w:szCs w:val="26"/>
          <w:shd w:val="clear" w:color="auto" w:fill="FFFFFF"/>
        </w:rPr>
        <w:t>Navabinejad</w:t>
      </w:r>
      <w:proofErr w:type="spellEnd"/>
    </w:p>
    <w:p w14:paraId="058CD5D4" w14:textId="77777777" w:rsidR="0009686F" w:rsidRPr="00584C2C" w:rsidRDefault="0009686F" w:rsidP="00584C2C">
      <w:pPr>
        <w:shd w:val="clear" w:color="auto" w:fill="FFFFFF"/>
        <w:jc w:val="center"/>
        <w:rPr>
          <w:rFonts w:ascii="Times New Roman" w:eastAsia="Calibri" w:hAnsi="Times New Roman" w:cs="Times New Roman"/>
          <w:b/>
          <w:bCs/>
          <w:color w:val="000000"/>
          <w:sz w:val="26"/>
          <w:szCs w:val="26"/>
          <w:highlight w:val="cyan"/>
          <w:shd w:val="clear" w:color="auto" w:fill="FFFFFF"/>
          <w:rtl/>
        </w:rPr>
      </w:pPr>
    </w:p>
    <w:p w14:paraId="7450CD34" w14:textId="5ADD3EFF" w:rsidR="00584C2C" w:rsidRDefault="00584C2C" w:rsidP="00584C2C"/>
    <w:p w14:paraId="74C6A742" w14:textId="77777777" w:rsidR="00584C2C" w:rsidRPr="00584C2C" w:rsidRDefault="00584C2C" w:rsidP="00584C2C"/>
    <w:p w14:paraId="41370E52" w14:textId="08591CD6" w:rsidR="00584C2C" w:rsidRDefault="00CB7A49" w:rsidP="003C416C">
      <w:pPr>
        <w:pStyle w:val="Heading1"/>
        <w:jc w:val="both"/>
        <w:rPr>
          <w:rFonts w:asciiTheme="majorBidi" w:hAnsiTheme="majorBidi"/>
          <w:b/>
          <w:bCs/>
          <w:color w:val="1F3864" w:themeColor="accent1" w:themeShade="80"/>
        </w:rPr>
      </w:pPr>
      <w:r>
        <w:rPr>
          <w:rFonts w:asciiTheme="majorBidi" w:hAnsiTheme="majorBidi"/>
          <w:b/>
          <w:bCs/>
          <w:color w:val="1F3864" w:themeColor="accent1" w:themeShade="80"/>
          <w:lang w:bidi="fa-IR"/>
        </w:rPr>
        <w:lastRenderedPageBreak/>
        <w:t>About Ous:</w:t>
      </w:r>
    </w:p>
    <w:p w14:paraId="6BB3F576" w14:textId="77777777" w:rsidR="00CB7A49" w:rsidRPr="00CB7A49" w:rsidRDefault="00CB7A49" w:rsidP="00CB7A49">
      <w:pPr>
        <w:pStyle w:val="Heading1"/>
        <w:jc w:val="lowKashida"/>
        <w:rPr>
          <w:rFonts w:asciiTheme="majorBidi" w:eastAsiaTheme="minorHAnsi" w:hAnsiTheme="majorBidi"/>
          <w:color w:val="auto"/>
          <w:sz w:val="28"/>
          <w:szCs w:val="28"/>
        </w:rPr>
      </w:pPr>
      <w:r w:rsidRPr="00CB7A49">
        <w:rPr>
          <w:rFonts w:asciiTheme="majorBidi" w:eastAsiaTheme="minorHAnsi" w:hAnsiTheme="majorBidi"/>
          <w:color w:val="auto"/>
          <w:sz w:val="28"/>
          <w:szCs w:val="28"/>
        </w:rPr>
        <w:t xml:space="preserve">the </w:t>
      </w:r>
      <w:r w:rsidRPr="00CB7A49">
        <w:rPr>
          <w:rFonts w:asciiTheme="majorBidi" w:eastAsiaTheme="minorHAnsi" w:hAnsiTheme="majorBidi"/>
          <w:b/>
          <w:bCs/>
          <w:color w:val="auto"/>
          <w:sz w:val="28"/>
          <w:szCs w:val="28"/>
        </w:rPr>
        <w:t>Network of Women's Non-governmental Organizations in the Islamic Republic of Iran</w:t>
      </w:r>
      <w:r w:rsidRPr="00CB7A49">
        <w:rPr>
          <w:rFonts w:asciiTheme="majorBidi" w:eastAsiaTheme="minorHAnsi" w:hAnsiTheme="majorBidi"/>
          <w:color w:val="auto"/>
          <w:sz w:val="28"/>
          <w:szCs w:val="28"/>
        </w:rPr>
        <w:t xml:space="preserve"> (CNWN) is the only widespread, active, non-governmental organizations network in Iran that works on issues about women and family, which has 400 legal members.</w:t>
      </w:r>
    </w:p>
    <w:p w14:paraId="7A450471" w14:textId="71DCB332" w:rsidR="00584C2C" w:rsidRPr="00CB7A49" w:rsidRDefault="00CB7A49" w:rsidP="00CB7A49">
      <w:pPr>
        <w:pStyle w:val="Heading1"/>
        <w:jc w:val="lowKashida"/>
        <w:rPr>
          <w:rFonts w:asciiTheme="majorBidi" w:eastAsiaTheme="minorHAnsi" w:hAnsiTheme="majorBidi"/>
          <w:color w:val="auto"/>
          <w:sz w:val="28"/>
          <w:szCs w:val="28"/>
        </w:rPr>
      </w:pPr>
      <w:r w:rsidRPr="00CB7A49">
        <w:rPr>
          <w:rFonts w:asciiTheme="majorBidi" w:eastAsiaTheme="minorHAnsi" w:hAnsiTheme="majorBidi"/>
          <w:color w:val="auto"/>
          <w:sz w:val="28"/>
          <w:szCs w:val="28"/>
        </w:rPr>
        <w:t>This network founded nearly 28 years ago; this network established to exchange experiences and spread relationships between members and national and international organizations, as well as to improve cultural, social and human rights knowledge for women in society.</w:t>
      </w:r>
    </w:p>
    <w:p w14:paraId="550D97F3" w14:textId="77777777" w:rsidR="00584C2C" w:rsidRDefault="00584C2C" w:rsidP="003C416C">
      <w:pPr>
        <w:pStyle w:val="Heading1"/>
        <w:jc w:val="both"/>
        <w:rPr>
          <w:rFonts w:asciiTheme="majorBidi" w:hAnsiTheme="majorBidi"/>
          <w:b/>
          <w:bCs/>
          <w:color w:val="1F3864" w:themeColor="accent1" w:themeShade="80"/>
        </w:rPr>
      </w:pPr>
    </w:p>
    <w:p w14:paraId="53A55B84" w14:textId="00E94892" w:rsidR="00584C2C" w:rsidRDefault="00584C2C" w:rsidP="003C416C">
      <w:pPr>
        <w:pStyle w:val="Heading1"/>
        <w:jc w:val="both"/>
        <w:rPr>
          <w:rFonts w:asciiTheme="majorBidi" w:hAnsiTheme="majorBidi"/>
          <w:b/>
          <w:bCs/>
          <w:color w:val="1F3864" w:themeColor="accent1" w:themeShade="80"/>
        </w:rPr>
      </w:pPr>
    </w:p>
    <w:p w14:paraId="77FFBE99" w14:textId="77777777" w:rsidR="00584C2C" w:rsidRDefault="00584C2C" w:rsidP="003C416C">
      <w:pPr>
        <w:pStyle w:val="Heading1"/>
        <w:jc w:val="both"/>
        <w:rPr>
          <w:rFonts w:asciiTheme="majorBidi" w:hAnsiTheme="majorBidi"/>
          <w:b/>
          <w:bCs/>
          <w:color w:val="1F3864" w:themeColor="accent1" w:themeShade="80"/>
        </w:rPr>
      </w:pPr>
    </w:p>
    <w:p w14:paraId="5D088E31" w14:textId="77777777" w:rsidR="00CB7A49" w:rsidRDefault="00CB7A49" w:rsidP="00CB7A49"/>
    <w:p w14:paraId="434B2257" w14:textId="77777777" w:rsidR="00CB7A49" w:rsidRDefault="00CB7A49" w:rsidP="00CB7A49"/>
    <w:p w14:paraId="767779C8" w14:textId="77777777" w:rsidR="00CB7A49" w:rsidRDefault="00CB7A49" w:rsidP="00CB7A49"/>
    <w:p w14:paraId="59FEFFC5" w14:textId="77777777" w:rsidR="00CB7A49" w:rsidRDefault="00CB7A49" w:rsidP="00CB7A49"/>
    <w:p w14:paraId="6F64C957" w14:textId="77777777" w:rsidR="00CB7A49" w:rsidRDefault="00CB7A49" w:rsidP="00CB7A49"/>
    <w:p w14:paraId="23DA6B44" w14:textId="77777777" w:rsidR="00CB7A49" w:rsidRDefault="00CB7A49" w:rsidP="00CB7A49"/>
    <w:p w14:paraId="160F9DFF" w14:textId="77777777" w:rsidR="00CB7A49" w:rsidRDefault="00CB7A49" w:rsidP="00CB7A49"/>
    <w:p w14:paraId="08A543A2" w14:textId="77777777" w:rsidR="00CB7A49" w:rsidRDefault="00CB7A49" w:rsidP="00CB7A49"/>
    <w:p w14:paraId="3C336854" w14:textId="77777777" w:rsidR="00CB7A49" w:rsidRDefault="00CB7A49" w:rsidP="00CB7A49"/>
    <w:p w14:paraId="0976143C" w14:textId="77777777" w:rsidR="00CB7A49" w:rsidRPr="00CB7A49" w:rsidRDefault="00CB7A49" w:rsidP="00CB7A49"/>
    <w:p w14:paraId="160DB10B" w14:textId="77777777" w:rsidR="00584C2C" w:rsidRDefault="00584C2C" w:rsidP="003C416C">
      <w:pPr>
        <w:pStyle w:val="Heading1"/>
        <w:jc w:val="both"/>
        <w:rPr>
          <w:rFonts w:asciiTheme="majorBidi" w:hAnsiTheme="majorBidi"/>
          <w:b/>
          <w:bCs/>
          <w:color w:val="1F3864" w:themeColor="accent1" w:themeShade="80"/>
        </w:rPr>
      </w:pPr>
    </w:p>
    <w:p w14:paraId="7B9CB096" w14:textId="77777777" w:rsidR="00584C2C" w:rsidRDefault="00584C2C" w:rsidP="003C416C">
      <w:pPr>
        <w:pStyle w:val="Heading1"/>
        <w:jc w:val="both"/>
        <w:rPr>
          <w:rFonts w:asciiTheme="majorBidi" w:hAnsiTheme="majorBidi"/>
          <w:b/>
          <w:bCs/>
          <w:color w:val="1F3864" w:themeColor="accent1" w:themeShade="80"/>
        </w:rPr>
      </w:pPr>
    </w:p>
    <w:p w14:paraId="1BC4E9CC" w14:textId="77777777" w:rsidR="00622CE7" w:rsidRDefault="00622CE7" w:rsidP="00622CE7"/>
    <w:p w14:paraId="6EDDFE71" w14:textId="77777777" w:rsidR="00622CE7" w:rsidRPr="00622CE7" w:rsidRDefault="00622CE7" w:rsidP="00622CE7"/>
    <w:p w14:paraId="70A1FAE0" w14:textId="7145446E" w:rsidR="00FD1C26" w:rsidRDefault="00584C2C" w:rsidP="003C416C">
      <w:pPr>
        <w:pStyle w:val="Heading1"/>
        <w:jc w:val="both"/>
        <w:rPr>
          <w:rFonts w:asciiTheme="majorBidi" w:hAnsiTheme="majorBidi"/>
          <w:b/>
          <w:bCs/>
          <w:color w:val="1F3864" w:themeColor="accent1" w:themeShade="80"/>
        </w:rPr>
      </w:pPr>
      <w:r w:rsidRPr="00584C2C">
        <w:rPr>
          <w:rFonts w:asciiTheme="majorBidi" w:hAnsiTheme="majorBidi"/>
          <w:b/>
          <w:bCs/>
          <w:color w:val="1F3864" w:themeColor="accent1" w:themeShade="80"/>
        </w:rPr>
        <w:lastRenderedPageBreak/>
        <w:t>Introduction</w:t>
      </w:r>
    </w:p>
    <w:p w14:paraId="5A101393" w14:textId="7C481A77" w:rsidR="007C274E" w:rsidRPr="007C274E" w:rsidRDefault="007C274E" w:rsidP="008E095D">
      <w:pPr>
        <w:jc w:val="both"/>
        <w:rPr>
          <w:rFonts w:asciiTheme="majorBidi" w:hAnsiTheme="majorBidi" w:cstheme="majorBidi"/>
          <w:sz w:val="28"/>
          <w:szCs w:val="28"/>
        </w:rPr>
      </w:pPr>
      <w:r w:rsidRPr="007C274E">
        <w:rPr>
          <w:rFonts w:asciiTheme="majorBidi" w:hAnsiTheme="majorBidi" w:cstheme="majorBidi"/>
          <w:sz w:val="28"/>
          <w:szCs w:val="28"/>
        </w:rPr>
        <w:t>Gender-based violence can take many forms: domestic and partner violence, rape and incest, human trafficking, female genital mutilation, sexual abuse</w:t>
      </w:r>
      <w:r>
        <w:rPr>
          <w:rFonts w:asciiTheme="majorBidi" w:hAnsiTheme="majorBidi" w:cstheme="majorBidi"/>
          <w:sz w:val="28"/>
          <w:szCs w:val="28"/>
        </w:rPr>
        <w:t>, and harassment, but also unequal access to jobs, economic violence, Psychological violence,</w:t>
      </w:r>
      <w:r w:rsidRPr="007C274E">
        <w:rPr>
          <w:rFonts w:asciiTheme="majorBidi" w:hAnsiTheme="majorBidi" w:cstheme="majorBidi"/>
          <w:sz w:val="28"/>
          <w:szCs w:val="28"/>
        </w:rPr>
        <w:t xml:space="preserve"> and online violence.</w:t>
      </w:r>
      <w:r w:rsidR="008E095D">
        <w:rPr>
          <w:rFonts w:asciiTheme="majorBidi" w:hAnsiTheme="majorBidi" w:cstheme="majorBidi"/>
          <w:sz w:val="28"/>
          <w:szCs w:val="28"/>
        </w:rPr>
        <w:t xml:space="preserve"> </w:t>
      </w:r>
      <w:r w:rsidRPr="007C274E">
        <w:rPr>
          <w:rFonts w:asciiTheme="majorBidi" w:hAnsiTheme="majorBidi" w:cstheme="majorBidi"/>
          <w:sz w:val="28"/>
          <w:szCs w:val="28"/>
        </w:rPr>
        <w:t>For many women and girls, gender-based violence is exacerbated by legal, social, and economic barriers to accessing confidential sexual and reproductive health information and services. Gender-based violence affects all spheres of society, being present at the institutional level, in public, on the street, in domestic settings</w:t>
      </w:r>
      <w:r>
        <w:rPr>
          <w:rFonts w:asciiTheme="majorBidi" w:hAnsiTheme="majorBidi" w:cstheme="majorBidi"/>
          <w:sz w:val="28"/>
          <w:szCs w:val="28"/>
        </w:rPr>
        <w:t>,</w:t>
      </w:r>
      <w:r w:rsidRPr="007C274E">
        <w:rPr>
          <w:rFonts w:asciiTheme="majorBidi" w:hAnsiTheme="majorBidi" w:cstheme="majorBidi"/>
          <w:sz w:val="28"/>
          <w:szCs w:val="28"/>
        </w:rPr>
        <w:t xml:space="preserve"> and </w:t>
      </w:r>
      <w:r w:rsidR="00CE2430">
        <w:rPr>
          <w:rFonts w:asciiTheme="majorBidi" w:hAnsiTheme="majorBidi" w:cstheme="majorBidi"/>
          <w:sz w:val="28"/>
          <w:szCs w:val="28"/>
        </w:rPr>
        <w:t xml:space="preserve">in </w:t>
      </w:r>
      <w:r w:rsidRPr="007C274E">
        <w:rPr>
          <w:rFonts w:asciiTheme="majorBidi" w:hAnsiTheme="majorBidi" w:cstheme="majorBidi"/>
          <w:sz w:val="28"/>
          <w:szCs w:val="28"/>
        </w:rPr>
        <w:t>the media.</w:t>
      </w:r>
    </w:p>
    <w:p w14:paraId="037A0E77" w14:textId="444644E4" w:rsidR="00CF34E6" w:rsidRPr="007C274E" w:rsidRDefault="007C274E" w:rsidP="008E095D">
      <w:pPr>
        <w:jc w:val="both"/>
        <w:rPr>
          <w:rFonts w:asciiTheme="majorBidi" w:hAnsiTheme="majorBidi" w:cstheme="majorBidi"/>
          <w:sz w:val="28"/>
          <w:szCs w:val="28"/>
        </w:rPr>
      </w:pPr>
      <w:r w:rsidRPr="007C274E">
        <w:rPr>
          <w:rFonts w:asciiTheme="majorBidi" w:hAnsiTheme="majorBidi" w:cstheme="majorBidi"/>
          <w:sz w:val="28"/>
          <w:szCs w:val="28"/>
        </w:rPr>
        <w:t>2010 saw the approval of the Equality Law</w:t>
      </w:r>
      <w:r>
        <w:rPr>
          <w:rFonts w:asciiTheme="majorBidi" w:hAnsiTheme="majorBidi" w:cstheme="majorBidi"/>
          <w:sz w:val="28"/>
          <w:szCs w:val="28"/>
        </w:rPr>
        <w:t>, a law to deal with discrimination and inequality in various fields, including employment, education, and public services. This law made an effort</w:t>
      </w:r>
      <w:r w:rsidRPr="007C274E">
        <w:rPr>
          <w:rFonts w:asciiTheme="majorBidi" w:hAnsiTheme="majorBidi" w:cstheme="majorBidi"/>
          <w:sz w:val="28"/>
          <w:szCs w:val="28"/>
        </w:rPr>
        <w:t xml:space="preserve"> to create a harmonious approach between previous procedures and existing laws, and situations such as maternity and pregnancy were </w:t>
      </w:r>
      <w:r>
        <w:rPr>
          <w:rFonts w:asciiTheme="majorBidi" w:hAnsiTheme="majorBidi" w:cstheme="majorBidi"/>
          <w:sz w:val="28"/>
          <w:szCs w:val="28"/>
        </w:rPr>
        <w:t>considered</w:t>
      </w:r>
      <w:r w:rsidRPr="007C274E">
        <w:rPr>
          <w:rFonts w:asciiTheme="majorBidi" w:hAnsiTheme="majorBidi" w:cstheme="majorBidi"/>
          <w:sz w:val="28"/>
          <w:szCs w:val="28"/>
        </w:rPr>
        <w:t>.</w:t>
      </w:r>
      <w:r w:rsidR="008E095D">
        <w:rPr>
          <w:rFonts w:asciiTheme="majorBidi" w:hAnsiTheme="majorBidi" w:cstheme="majorBidi"/>
          <w:sz w:val="28"/>
          <w:szCs w:val="28"/>
        </w:rPr>
        <w:t xml:space="preserve"> </w:t>
      </w:r>
      <w:r w:rsidRPr="007C274E">
        <w:rPr>
          <w:rFonts w:asciiTheme="majorBidi" w:hAnsiTheme="majorBidi" w:cstheme="majorBidi"/>
          <w:sz w:val="28"/>
          <w:szCs w:val="28"/>
        </w:rPr>
        <w:t xml:space="preserve">Despite the approval of these numerous laws and </w:t>
      </w:r>
      <w:r>
        <w:rPr>
          <w:rFonts w:asciiTheme="majorBidi" w:hAnsiTheme="majorBidi" w:cstheme="majorBidi"/>
          <w:sz w:val="28"/>
          <w:szCs w:val="28"/>
        </w:rPr>
        <w:t>the efforts of the British government to approve the women's charter, the situation of women and girls in England is still considered difficult. The following will mention some examples of violations of the rights of women and girls in England</w:t>
      </w:r>
      <w:r w:rsidRPr="007C274E">
        <w:rPr>
          <w:rFonts w:asciiTheme="majorBidi" w:hAnsiTheme="majorBidi" w:cstheme="majorBidi"/>
          <w:sz w:val="28"/>
          <w:szCs w:val="28"/>
        </w:rPr>
        <w:t>.</w:t>
      </w:r>
    </w:p>
    <w:p w14:paraId="18F79D4C" w14:textId="11E1189E" w:rsidR="00FD1C26" w:rsidRPr="007C274E" w:rsidRDefault="00FD1C26" w:rsidP="003C416C">
      <w:pPr>
        <w:jc w:val="both"/>
        <w:rPr>
          <w:rFonts w:asciiTheme="majorBidi" w:eastAsia="Times New Roman" w:hAnsiTheme="majorBidi" w:cstheme="majorBidi"/>
          <w:color w:val="000000"/>
          <w:kern w:val="0"/>
          <w:sz w:val="28"/>
          <w:szCs w:val="28"/>
          <w14:ligatures w14:val="none"/>
        </w:rPr>
      </w:pPr>
      <w:r w:rsidRPr="007C274E">
        <w:rPr>
          <w:rFonts w:asciiTheme="majorBidi" w:hAnsiTheme="majorBidi" w:cstheme="majorBidi"/>
          <w:b/>
          <w:bCs/>
          <w:color w:val="1F3864" w:themeColor="accent1" w:themeShade="80"/>
          <w:sz w:val="28"/>
          <w:szCs w:val="28"/>
        </w:rPr>
        <w:t>Discrimination against homelessness women</w:t>
      </w:r>
    </w:p>
    <w:p w14:paraId="4AB905F4" w14:textId="77777777" w:rsidR="00FD1C26" w:rsidRDefault="002231B4" w:rsidP="003C416C">
      <w:pPr>
        <w:pStyle w:val="ListParagraph"/>
        <w:numPr>
          <w:ilvl w:val="0"/>
          <w:numId w:val="2"/>
        </w:numPr>
        <w:jc w:val="both"/>
        <w:rPr>
          <w:rFonts w:asciiTheme="majorBidi" w:eastAsia="Times New Roman" w:hAnsiTheme="majorBidi" w:cstheme="majorBidi"/>
          <w:color w:val="000000"/>
          <w:kern w:val="0"/>
          <w:sz w:val="28"/>
          <w:szCs w:val="28"/>
          <w14:ligatures w14:val="none"/>
        </w:rPr>
      </w:pPr>
      <w:r w:rsidRPr="00FD1C26">
        <w:rPr>
          <w:rFonts w:asciiTheme="majorBidi" w:eastAsia="Times New Roman" w:hAnsiTheme="majorBidi" w:cstheme="majorBidi"/>
          <w:color w:val="000000"/>
          <w:kern w:val="0"/>
          <w:sz w:val="28"/>
          <w:szCs w:val="28"/>
          <w14:ligatures w14:val="none"/>
        </w:rPr>
        <w:t>According to a December 2021 report by Shelter, in the last 10 years the number of women in England who are experiencing homelessness has increased by 88 per cent.</w:t>
      </w:r>
      <w:r w:rsidRPr="00FD1C26">
        <w:rPr>
          <w:rStyle w:val="FootnoteReference"/>
          <w:rFonts w:asciiTheme="majorBidi" w:eastAsia="Times New Roman" w:hAnsiTheme="majorBidi" w:cstheme="majorBidi"/>
          <w:color w:val="000000"/>
          <w:kern w:val="0"/>
          <w:sz w:val="28"/>
          <w:szCs w:val="28"/>
          <w14:ligatures w14:val="none"/>
        </w:rPr>
        <w:footnoteReference w:id="1"/>
      </w:r>
      <w:r w:rsidRPr="00FD1C26">
        <w:rPr>
          <w:rFonts w:asciiTheme="majorBidi" w:eastAsia="Times New Roman" w:hAnsiTheme="majorBidi" w:cstheme="majorBidi"/>
          <w:color w:val="000000"/>
          <w:kern w:val="0"/>
          <w:sz w:val="28"/>
          <w:szCs w:val="28"/>
          <w14:ligatures w14:val="none"/>
        </w:rPr>
        <w:t xml:space="preserve"> Yet, homelessness among women has received less attention from policy makers, the media, and in some cases service providers</w:t>
      </w:r>
      <w:r w:rsidRPr="00FD1C26">
        <w:rPr>
          <w:rStyle w:val="FootnoteReference"/>
          <w:rFonts w:asciiTheme="majorBidi" w:eastAsia="Times New Roman" w:hAnsiTheme="majorBidi" w:cstheme="majorBidi"/>
          <w:color w:val="000000"/>
          <w:kern w:val="0"/>
          <w:sz w:val="28"/>
          <w:szCs w:val="28"/>
          <w14:ligatures w14:val="none"/>
        </w:rPr>
        <w:footnoteReference w:id="2"/>
      </w:r>
      <w:r w:rsidRPr="00FD1C26">
        <w:rPr>
          <w:rFonts w:asciiTheme="majorBidi" w:eastAsia="Times New Roman" w:hAnsiTheme="majorBidi" w:cstheme="majorBidi"/>
          <w:color w:val="000000"/>
          <w:kern w:val="0"/>
          <w:sz w:val="28"/>
          <w:szCs w:val="28"/>
          <w14:ligatures w14:val="none"/>
        </w:rPr>
        <w:t xml:space="preserve">. </w:t>
      </w:r>
    </w:p>
    <w:p w14:paraId="528284FF" w14:textId="23C4A9F6" w:rsidR="002231B4" w:rsidRDefault="002231B4" w:rsidP="003C416C">
      <w:pPr>
        <w:pStyle w:val="ListParagraph"/>
        <w:numPr>
          <w:ilvl w:val="0"/>
          <w:numId w:val="2"/>
        </w:numPr>
        <w:jc w:val="both"/>
        <w:rPr>
          <w:rFonts w:asciiTheme="majorBidi" w:eastAsia="Times New Roman" w:hAnsiTheme="majorBidi" w:cstheme="majorBidi"/>
          <w:color w:val="000000"/>
          <w:kern w:val="0"/>
          <w:sz w:val="28"/>
          <w:szCs w:val="28"/>
          <w14:ligatures w14:val="none"/>
        </w:rPr>
      </w:pPr>
      <w:r w:rsidRPr="00FD1C26">
        <w:rPr>
          <w:rFonts w:asciiTheme="majorBidi" w:eastAsia="Times New Roman" w:hAnsiTheme="majorBidi" w:cstheme="majorBidi"/>
          <w:color w:val="000000"/>
          <w:kern w:val="0"/>
          <w:sz w:val="28"/>
          <w:szCs w:val="28"/>
          <w14:ligatures w14:val="none"/>
        </w:rPr>
        <w:t>This has been largely attributed to women’s invisibility in what is understood as the sharpest and most conspicuous form of homelessness – rough sleeping. Women made up 13 per cent (320) of the number of people recorded in the rough sleeping count for 2021</w:t>
      </w:r>
      <w:r w:rsidR="00546CFA" w:rsidRPr="00FD1C26">
        <w:rPr>
          <w:rStyle w:val="FootnoteReference"/>
          <w:rFonts w:asciiTheme="majorBidi" w:eastAsia="Times New Roman" w:hAnsiTheme="majorBidi" w:cstheme="majorBidi"/>
          <w:color w:val="000000"/>
          <w:kern w:val="0"/>
          <w:sz w:val="28"/>
          <w:szCs w:val="28"/>
          <w14:ligatures w14:val="none"/>
        </w:rPr>
        <w:footnoteReference w:id="3"/>
      </w:r>
      <w:r w:rsidRPr="00FD1C26">
        <w:rPr>
          <w:rFonts w:asciiTheme="majorBidi" w:eastAsia="Times New Roman" w:hAnsiTheme="majorBidi" w:cstheme="majorBidi"/>
          <w:color w:val="000000"/>
          <w:kern w:val="0"/>
          <w:sz w:val="28"/>
          <w:szCs w:val="28"/>
          <w14:ligatures w14:val="none"/>
        </w:rPr>
        <w:t xml:space="preserve">. In addition, women who have faced domestic </w:t>
      </w:r>
      <w:r w:rsidRPr="00FD1C26">
        <w:rPr>
          <w:rFonts w:asciiTheme="majorBidi" w:eastAsia="Times New Roman" w:hAnsiTheme="majorBidi" w:cstheme="majorBidi"/>
          <w:color w:val="000000"/>
          <w:kern w:val="0"/>
          <w:sz w:val="28"/>
          <w:szCs w:val="28"/>
          <w14:ligatures w14:val="none"/>
        </w:rPr>
        <w:lastRenderedPageBreak/>
        <w:t>violence and abuse and are living in refuges or temporary accommodation may not always be officially counted as homeless even though their living condition fits within the definition of homelessness.</w:t>
      </w:r>
      <w:r w:rsidR="00546CFA" w:rsidRPr="00FD1C26">
        <w:rPr>
          <w:rStyle w:val="FootnoteReference"/>
          <w:rFonts w:asciiTheme="majorBidi" w:eastAsia="Times New Roman" w:hAnsiTheme="majorBidi" w:cstheme="majorBidi"/>
          <w:color w:val="000000"/>
          <w:kern w:val="0"/>
          <w:sz w:val="28"/>
          <w:szCs w:val="28"/>
          <w14:ligatures w14:val="none"/>
        </w:rPr>
        <w:footnoteReference w:id="4"/>
      </w:r>
    </w:p>
    <w:p w14:paraId="32906A2E" w14:textId="77777777" w:rsidR="00FD1C26" w:rsidRPr="00FD1C26" w:rsidRDefault="00FD1C26" w:rsidP="003C416C">
      <w:pPr>
        <w:pStyle w:val="ListParagraph"/>
        <w:numPr>
          <w:ilvl w:val="0"/>
          <w:numId w:val="2"/>
        </w:numPr>
        <w:jc w:val="both"/>
        <w:rPr>
          <w:rFonts w:asciiTheme="majorBidi" w:hAnsiTheme="majorBidi" w:cstheme="majorBidi"/>
          <w:sz w:val="28"/>
          <w:szCs w:val="28"/>
        </w:rPr>
      </w:pPr>
      <w:r w:rsidRPr="00FD1C26">
        <w:rPr>
          <w:rFonts w:asciiTheme="majorBidi" w:hAnsiTheme="majorBidi" w:cstheme="majorBidi"/>
          <w:sz w:val="28"/>
          <w:szCs w:val="28"/>
        </w:rPr>
        <w:t>Shelter’s December 2021 report on women and homelessness highlights that domestic abuse is among the top triggers of homelessness in England. In addition, domestic abuse is also near-universal among women experiencing homelessness. Many of the women had experienced domestic abuse and violence in addition to the abuse and violence they had faced while they were homeless. The interviews suggested that the lack of a stable place to stay, coupled with multiple unmet needs, could lead women into abusive or violent relationships and trap them there.</w:t>
      </w:r>
      <w:r w:rsidRPr="00FD1C26">
        <w:rPr>
          <w:rStyle w:val="FootnoteReference"/>
          <w:rFonts w:asciiTheme="majorBidi" w:hAnsiTheme="majorBidi" w:cstheme="majorBidi"/>
          <w:sz w:val="28"/>
          <w:szCs w:val="28"/>
        </w:rPr>
        <w:footnoteReference w:id="5"/>
      </w:r>
    </w:p>
    <w:p w14:paraId="69464472" w14:textId="77777777" w:rsidR="00FD1C26" w:rsidRPr="00FD1C26" w:rsidRDefault="00FD1C26" w:rsidP="003C416C">
      <w:pPr>
        <w:pStyle w:val="ListParagraph"/>
        <w:numPr>
          <w:ilvl w:val="0"/>
          <w:numId w:val="2"/>
        </w:numPr>
        <w:jc w:val="both"/>
        <w:rPr>
          <w:rFonts w:asciiTheme="majorBidi" w:hAnsiTheme="majorBidi" w:cstheme="majorBidi"/>
          <w:sz w:val="28"/>
          <w:szCs w:val="28"/>
        </w:rPr>
      </w:pPr>
      <w:r w:rsidRPr="00FD1C26">
        <w:rPr>
          <w:rFonts w:asciiTheme="majorBidi" w:hAnsiTheme="majorBidi" w:cstheme="majorBidi"/>
          <w:sz w:val="28"/>
          <w:szCs w:val="28"/>
        </w:rPr>
        <w:t>Homelessness policy in England categories parents separated from their children as ‘single households’. For many parents, having their children taken into foster care or assigned to the custody of the other parent means that they are no longer considered to be in priority need and therefore cannot access settled housing. This invariably means that they cannot access the support they need to lift themselves out of homelessness and live with their children again. Several of the women interviewed found themselves in this predicament.</w:t>
      </w:r>
      <w:r w:rsidRPr="00FD1C26">
        <w:rPr>
          <w:rStyle w:val="FootnoteReference"/>
          <w:rFonts w:asciiTheme="majorBidi" w:hAnsiTheme="majorBidi" w:cstheme="majorBidi"/>
          <w:sz w:val="28"/>
          <w:szCs w:val="28"/>
        </w:rPr>
        <w:footnoteReference w:id="6"/>
      </w:r>
    </w:p>
    <w:p w14:paraId="435BC48F" w14:textId="5941EC60" w:rsidR="00FD1C26" w:rsidRPr="00FD1C26" w:rsidRDefault="00FD1C26" w:rsidP="003C416C">
      <w:pPr>
        <w:pStyle w:val="ListParagraph"/>
        <w:numPr>
          <w:ilvl w:val="0"/>
          <w:numId w:val="2"/>
        </w:numPr>
        <w:jc w:val="both"/>
        <w:rPr>
          <w:rFonts w:asciiTheme="majorBidi" w:hAnsiTheme="majorBidi" w:cstheme="majorBidi"/>
          <w:sz w:val="28"/>
          <w:szCs w:val="28"/>
        </w:rPr>
      </w:pPr>
      <w:r w:rsidRPr="00FD1C26">
        <w:rPr>
          <w:rFonts w:asciiTheme="majorBidi" w:hAnsiTheme="majorBidi" w:cstheme="majorBidi"/>
          <w:sz w:val="28"/>
          <w:szCs w:val="28"/>
        </w:rPr>
        <w:t>A research study by the UK Collaborative Centre for Housing Evidence found that taking their children away and then failing to recognize them as in priority need, or even reducing their benefits, made rebuilding a family home almost impossible for many women. This in turn reinforced family separation.</w:t>
      </w:r>
      <w:r w:rsidRPr="00FD1C26">
        <w:rPr>
          <w:rStyle w:val="FootnoteReference"/>
          <w:rFonts w:asciiTheme="majorBidi" w:hAnsiTheme="majorBidi" w:cstheme="majorBidi"/>
          <w:sz w:val="28"/>
          <w:szCs w:val="28"/>
        </w:rPr>
        <w:footnoteReference w:id="7"/>
      </w:r>
    </w:p>
    <w:p w14:paraId="13DA2A0C" w14:textId="010CB05E" w:rsidR="00472A68" w:rsidRPr="00472A68" w:rsidRDefault="00FD1C26" w:rsidP="00472A68">
      <w:pPr>
        <w:pStyle w:val="Heading1"/>
        <w:jc w:val="both"/>
        <w:rPr>
          <w:rFonts w:asciiTheme="majorBidi" w:eastAsia="Times New Roman" w:hAnsiTheme="majorBidi"/>
          <w:b/>
          <w:bCs/>
          <w:color w:val="1F3864" w:themeColor="accent1" w:themeShade="80"/>
        </w:rPr>
      </w:pPr>
      <w:r w:rsidRPr="00FD1C26">
        <w:rPr>
          <w:rFonts w:asciiTheme="majorBidi" w:eastAsia="Times New Roman" w:hAnsiTheme="majorBidi"/>
          <w:b/>
          <w:bCs/>
          <w:color w:val="1F3864" w:themeColor="accent1" w:themeShade="80"/>
        </w:rPr>
        <w:t>Violence against women</w:t>
      </w:r>
    </w:p>
    <w:p w14:paraId="18CDFF91" w14:textId="7E04AE74" w:rsidR="00472A68" w:rsidRPr="00472A68" w:rsidRDefault="00472A68" w:rsidP="00472A68">
      <w:pPr>
        <w:pStyle w:val="ListParagraph"/>
        <w:numPr>
          <w:ilvl w:val="0"/>
          <w:numId w:val="3"/>
        </w:numPr>
        <w:jc w:val="both"/>
        <w:rPr>
          <w:rFonts w:asciiTheme="majorBidi" w:hAnsiTheme="majorBidi" w:cstheme="majorBidi"/>
          <w:sz w:val="28"/>
          <w:szCs w:val="28"/>
        </w:rPr>
      </w:pPr>
      <w:r>
        <w:rPr>
          <w:rFonts w:asciiTheme="majorBidi" w:hAnsiTheme="majorBidi" w:cstheme="majorBidi"/>
          <w:sz w:val="28"/>
          <w:szCs w:val="28"/>
        </w:rPr>
        <w:t xml:space="preserve">On </w:t>
      </w:r>
      <w:r w:rsidRPr="00472A68">
        <w:rPr>
          <w:rFonts w:asciiTheme="majorBidi" w:hAnsiTheme="majorBidi" w:cstheme="majorBidi"/>
          <w:sz w:val="28"/>
          <w:szCs w:val="28"/>
        </w:rPr>
        <w:t>21 February 2024</w:t>
      </w:r>
      <w:r>
        <w:rPr>
          <w:rFonts w:asciiTheme="majorBidi" w:hAnsiTheme="majorBidi" w:cstheme="majorBidi"/>
          <w:sz w:val="28"/>
          <w:szCs w:val="28"/>
        </w:rPr>
        <w:t xml:space="preserve">, </w:t>
      </w:r>
      <w:r w:rsidRPr="00472A68">
        <w:rPr>
          <w:rFonts w:asciiTheme="majorBidi" w:hAnsiTheme="majorBidi" w:cstheme="majorBidi"/>
          <w:sz w:val="28"/>
          <w:szCs w:val="28"/>
        </w:rPr>
        <w:t>A UN expert today urged the UK Government to take urgent action to end all forms of violence against women and girls, as the country labelled it a “national threat”.</w:t>
      </w:r>
      <w:r>
        <w:rPr>
          <w:rStyle w:val="FootnoteReference"/>
          <w:rFonts w:asciiTheme="majorBidi" w:hAnsiTheme="majorBidi" w:cstheme="majorBidi"/>
          <w:sz w:val="28"/>
          <w:szCs w:val="28"/>
        </w:rPr>
        <w:footnoteReference w:id="8"/>
      </w:r>
    </w:p>
    <w:p w14:paraId="1CBA2B93" w14:textId="79DE8F9D" w:rsidR="00D0042E" w:rsidRDefault="00E83BC1" w:rsidP="00E83BC1">
      <w:pPr>
        <w:pStyle w:val="ListParagraph"/>
        <w:numPr>
          <w:ilvl w:val="0"/>
          <w:numId w:val="3"/>
        </w:numPr>
        <w:jc w:val="both"/>
        <w:rPr>
          <w:rFonts w:asciiTheme="majorBidi" w:hAnsiTheme="majorBidi" w:cstheme="majorBidi"/>
          <w:sz w:val="28"/>
          <w:szCs w:val="28"/>
        </w:rPr>
      </w:pPr>
      <w:r w:rsidRPr="00E83BC1">
        <w:rPr>
          <w:rFonts w:asciiTheme="majorBidi" w:hAnsiTheme="majorBidi" w:cstheme="majorBidi"/>
          <w:sz w:val="28"/>
          <w:szCs w:val="28"/>
        </w:rPr>
        <w:t xml:space="preserve">According to the report of the UN Special Rapporteur on violence against women and girls, Reem Alsalem, Entrenched patriarchy at almost all levels of society, combined with a rise in misogyny that permeates the physical and </w:t>
      </w:r>
      <w:r w:rsidRPr="00E83BC1">
        <w:rPr>
          <w:rFonts w:asciiTheme="majorBidi" w:hAnsiTheme="majorBidi" w:cstheme="majorBidi"/>
          <w:sz w:val="28"/>
          <w:szCs w:val="28"/>
        </w:rPr>
        <w:lastRenderedPageBreak/>
        <w:t xml:space="preserve">online world, denies thousands of women and girls in the UK the right to live in safety, free from fear and violence. </w:t>
      </w:r>
      <w:r w:rsidR="00D47AEC">
        <w:rPr>
          <w:rStyle w:val="FootnoteReference"/>
          <w:rFonts w:asciiTheme="majorBidi" w:hAnsiTheme="majorBidi" w:cstheme="majorBidi"/>
          <w:sz w:val="28"/>
          <w:szCs w:val="28"/>
        </w:rPr>
        <w:footnoteReference w:id="9"/>
      </w:r>
    </w:p>
    <w:p w14:paraId="3EEB5F39" w14:textId="03F8ED9A" w:rsidR="00472A68" w:rsidRPr="00E83BC1" w:rsidRDefault="00E83BC1" w:rsidP="00D0042E">
      <w:pPr>
        <w:pStyle w:val="ListParagraph"/>
        <w:numPr>
          <w:ilvl w:val="0"/>
          <w:numId w:val="3"/>
        </w:numPr>
        <w:jc w:val="both"/>
        <w:rPr>
          <w:rFonts w:asciiTheme="majorBidi" w:hAnsiTheme="majorBidi" w:cstheme="majorBidi"/>
          <w:sz w:val="28"/>
          <w:szCs w:val="28"/>
        </w:rPr>
      </w:pPr>
      <w:r w:rsidRPr="00E83BC1">
        <w:rPr>
          <w:rFonts w:asciiTheme="majorBidi" w:hAnsiTheme="majorBidi" w:cstheme="majorBidi"/>
          <w:sz w:val="28"/>
          <w:szCs w:val="28"/>
        </w:rPr>
        <w:t>Every three days a woman in the UK is killed by a man and one in four women will experience dome</w:t>
      </w:r>
      <w:r w:rsidR="002617BD">
        <w:rPr>
          <w:rFonts w:asciiTheme="majorBidi" w:hAnsiTheme="majorBidi" w:cstheme="majorBidi"/>
          <w:sz w:val="28"/>
          <w:szCs w:val="28"/>
        </w:rPr>
        <w:t>stic violence in their lifetime</w:t>
      </w:r>
      <w:r w:rsidR="00834041" w:rsidRPr="00E83BC1">
        <w:rPr>
          <w:rFonts w:asciiTheme="majorBidi" w:hAnsiTheme="majorBidi" w:cstheme="majorBidi"/>
          <w:sz w:val="28"/>
          <w:szCs w:val="28"/>
        </w:rPr>
        <w:t>.</w:t>
      </w:r>
      <w:r w:rsidR="00834041">
        <w:rPr>
          <w:rStyle w:val="FootnoteReference"/>
          <w:rFonts w:asciiTheme="majorBidi" w:hAnsiTheme="majorBidi" w:cstheme="majorBidi"/>
          <w:sz w:val="28"/>
          <w:szCs w:val="28"/>
        </w:rPr>
        <w:footnoteReference w:id="10"/>
      </w:r>
      <w:r w:rsidR="00D0042E" w:rsidRPr="00D0042E">
        <w:t xml:space="preserve"> </w:t>
      </w:r>
      <w:r w:rsidR="00D0042E" w:rsidRPr="00D0042E">
        <w:rPr>
          <w:rFonts w:asciiTheme="majorBidi" w:hAnsiTheme="majorBidi" w:cstheme="majorBidi"/>
          <w:sz w:val="28"/>
          <w:szCs w:val="28"/>
        </w:rPr>
        <w:t>. Domestic abuse makes up 18 per cent of all recorded crime in England and Wales. In the year ending March 2022, there were 194,683 sexual offences, of which 70,330 were rape.</w:t>
      </w:r>
      <w:r w:rsidR="00D0042E">
        <w:rPr>
          <w:rStyle w:val="FootnoteReference"/>
          <w:rFonts w:asciiTheme="majorBidi" w:hAnsiTheme="majorBidi" w:cstheme="majorBidi"/>
          <w:sz w:val="28"/>
          <w:szCs w:val="28"/>
        </w:rPr>
        <w:footnoteReference w:id="11"/>
      </w:r>
    </w:p>
    <w:p w14:paraId="2CF768CA" w14:textId="7569D45D" w:rsidR="00472A68" w:rsidRPr="00472A68" w:rsidRDefault="00472A68" w:rsidP="00472A68">
      <w:pPr>
        <w:pStyle w:val="ListParagraph"/>
        <w:numPr>
          <w:ilvl w:val="0"/>
          <w:numId w:val="3"/>
        </w:numPr>
        <w:jc w:val="both"/>
        <w:rPr>
          <w:rFonts w:asciiTheme="majorBidi" w:hAnsiTheme="majorBidi" w:cstheme="majorBidi"/>
          <w:sz w:val="28"/>
          <w:szCs w:val="28"/>
        </w:rPr>
      </w:pPr>
      <w:r w:rsidRPr="00472A68">
        <w:rPr>
          <w:rFonts w:asciiTheme="majorBidi" w:hAnsiTheme="majorBidi" w:cstheme="majorBidi"/>
          <w:sz w:val="28"/>
          <w:szCs w:val="28"/>
        </w:rPr>
        <w:t>The Special Rapporteur expressed concern about how grassroots organizations and specialized frontline service providers working with women and girls are struggling to meet the needs of the most vulnerable women and girls – both foreign and national –subjected to violence, who fall through the cracks and are not covered by statutory service providers. “They are struggling to survive in an increasingly challenging context of rising living costs, a deepening housing crisis and a critical lack of funding,” she said.</w:t>
      </w:r>
      <w:r w:rsidR="00834041">
        <w:rPr>
          <w:rStyle w:val="FootnoteReference"/>
          <w:rFonts w:asciiTheme="majorBidi" w:hAnsiTheme="majorBidi" w:cstheme="majorBidi"/>
          <w:sz w:val="28"/>
          <w:szCs w:val="28"/>
        </w:rPr>
        <w:footnoteReference w:id="12"/>
      </w:r>
    </w:p>
    <w:p w14:paraId="01E2FA2C" w14:textId="376DBCF9" w:rsidR="002D0507" w:rsidRPr="002D0507" w:rsidRDefault="002D0507" w:rsidP="003C416C">
      <w:pPr>
        <w:pStyle w:val="ListParagraph"/>
        <w:numPr>
          <w:ilvl w:val="0"/>
          <w:numId w:val="3"/>
        </w:numPr>
        <w:jc w:val="both"/>
        <w:rPr>
          <w:rFonts w:asciiTheme="majorBidi" w:hAnsiTheme="majorBidi" w:cstheme="majorBidi"/>
          <w:b/>
          <w:bCs/>
          <w:sz w:val="28"/>
          <w:szCs w:val="28"/>
        </w:rPr>
      </w:pPr>
      <w:r w:rsidRPr="002D0507">
        <w:rPr>
          <w:rFonts w:asciiTheme="majorBidi" w:hAnsiTheme="majorBidi" w:cstheme="majorBidi"/>
          <w:sz w:val="28"/>
          <w:szCs w:val="28"/>
        </w:rPr>
        <w:t>The UK has long positioned itself as a champion of tackling violence against women and girls internationally, but has faced mounting evidence of inadequate prevention, response, and accountability measures domestically and failure to prioritize combating it at home.</w:t>
      </w:r>
      <w:r>
        <w:rPr>
          <w:rStyle w:val="FootnoteReference"/>
          <w:rFonts w:asciiTheme="majorBidi" w:hAnsiTheme="majorBidi" w:cstheme="majorBidi"/>
          <w:sz w:val="28"/>
          <w:szCs w:val="28"/>
        </w:rPr>
        <w:footnoteReference w:id="13"/>
      </w:r>
    </w:p>
    <w:p w14:paraId="0B65F110" w14:textId="55B6E69C" w:rsidR="002D0507" w:rsidRPr="002D0507" w:rsidRDefault="002D0507" w:rsidP="003C416C">
      <w:pPr>
        <w:pStyle w:val="ListParagraph"/>
        <w:numPr>
          <w:ilvl w:val="0"/>
          <w:numId w:val="3"/>
        </w:numPr>
        <w:jc w:val="both"/>
        <w:rPr>
          <w:rFonts w:asciiTheme="majorBidi" w:hAnsiTheme="majorBidi" w:cstheme="majorBidi"/>
          <w:sz w:val="28"/>
          <w:szCs w:val="28"/>
        </w:rPr>
      </w:pPr>
      <w:r w:rsidRPr="002D0507">
        <w:rPr>
          <w:rFonts w:asciiTheme="majorBidi" w:hAnsiTheme="majorBidi" w:cstheme="majorBidi"/>
          <w:sz w:val="28"/>
          <w:szCs w:val="28"/>
        </w:rPr>
        <w:t>Partners or former partners killed 214 women – more than one a week – in England and Wales during the three years ending March 2020. Police recorded nearly 1.5 million domestic abuse-related incidents and crimes in the year ending March 2021</w:t>
      </w:r>
      <w:r>
        <w:rPr>
          <w:rFonts w:asciiTheme="majorBidi" w:hAnsiTheme="majorBidi" w:cstheme="majorBidi"/>
          <w:sz w:val="28"/>
          <w:szCs w:val="28"/>
        </w:rPr>
        <w:t>.</w:t>
      </w:r>
      <w:r>
        <w:rPr>
          <w:rStyle w:val="FootnoteReference"/>
          <w:rFonts w:asciiTheme="majorBidi" w:hAnsiTheme="majorBidi" w:cstheme="majorBidi"/>
          <w:sz w:val="28"/>
          <w:szCs w:val="28"/>
        </w:rPr>
        <w:footnoteReference w:id="14"/>
      </w:r>
    </w:p>
    <w:p w14:paraId="07B65E9D" w14:textId="11720373" w:rsidR="009D578C" w:rsidRPr="00A30C22" w:rsidRDefault="009D578C" w:rsidP="003C416C">
      <w:pPr>
        <w:pStyle w:val="ListParagraph"/>
        <w:numPr>
          <w:ilvl w:val="0"/>
          <w:numId w:val="3"/>
        </w:numPr>
        <w:jc w:val="both"/>
        <w:rPr>
          <w:rFonts w:asciiTheme="majorBidi" w:hAnsiTheme="majorBidi" w:cstheme="majorBidi"/>
          <w:b/>
          <w:bCs/>
          <w:sz w:val="28"/>
          <w:szCs w:val="28"/>
        </w:rPr>
      </w:pPr>
      <w:r w:rsidRPr="00FD1C26">
        <w:rPr>
          <w:rFonts w:asciiTheme="majorBidi" w:eastAsia="Times New Roman" w:hAnsiTheme="majorBidi" w:cstheme="majorBidi"/>
          <w:color w:val="000000"/>
          <w:kern w:val="0"/>
          <w:sz w:val="28"/>
          <w:szCs w:val="28"/>
          <w14:ligatures w14:val="none"/>
        </w:rPr>
        <w:t xml:space="preserve">In March, the government-commissioned Casey Report on the standards of </w:t>
      </w:r>
      <w:r w:rsidR="00FD1C26" w:rsidRPr="00FD1C26">
        <w:rPr>
          <w:rFonts w:asciiTheme="majorBidi" w:eastAsia="Times New Roman" w:hAnsiTheme="majorBidi" w:cstheme="majorBidi"/>
          <w:color w:val="000000"/>
          <w:kern w:val="0"/>
          <w:sz w:val="28"/>
          <w:szCs w:val="28"/>
          <w14:ligatures w14:val="none"/>
        </w:rPr>
        <w:t>behavior</w:t>
      </w:r>
      <w:r w:rsidRPr="00FD1C26">
        <w:rPr>
          <w:rFonts w:asciiTheme="majorBidi" w:eastAsia="Times New Roman" w:hAnsiTheme="majorBidi" w:cstheme="majorBidi"/>
          <w:color w:val="000000"/>
          <w:kern w:val="0"/>
          <w:sz w:val="28"/>
          <w:szCs w:val="28"/>
          <w14:ligatures w14:val="none"/>
        </w:rPr>
        <w:t xml:space="preserve"> and internal culture at the Metropolitan Police was published. It found numerous issues, including institutional racism and sexism. In May, the outgoing Chief Constable of Police Scotland gave a speech in which he admitted that institutional racism, sexism, misogyny</w:t>
      </w:r>
      <w:r w:rsidR="008D79B7">
        <w:rPr>
          <w:rFonts w:asciiTheme="majorBidi" w:eastAsia="Times New Roman" w:hAnsiTheme="majorBidi" w:cstheme="majorBidi"/>
          <w:color w:val="000000"/>
          <w:kern w:val="0"/>
          <w:sz w:val="28"/>
          <w:szCs w:val="28"/>
          <w14:ligatures w14:val="none"/>
        </w:rPr>
        <w:t>,</w:t>
      </w:r>
      <w:r w:rsidRPr="00FD1C26">
        <w:rPr>
          <w:rFonts w:asciiTheme="majorBidi" w:eastAsia="Times New Roman" w:hAnsiTheme="majorBidi" w:cstheme="majorBidi"/>
          <w:color w:val="000000"/>
          <w:kern w:val="0"/>
          <w:sz w:val="28"/>
          <w:szCs w:val="28"/>
          <w14:ligatures w14:val="none"/>
        </w:rPr>
        <w:t xml:space="preserve"> and discrimination existed in the police force.</w:t>
      </w:r>
      <w:r w:rsidR="00545A02">
        <w:rPr>
          <w:rStyle w:val="FootnoteReference"/>
          <w:rFonts w:asciiTheme="majorBidi" w:eastAsia="Times New Roman" w:hAnsiTheme="majorBidi" w:cstheme="majorBidi"/>
          <w:color w:val="000000"/>
          <w:kern w:val="0"/>
          <w:sz w:val="28"/>
          <w:szCs w:val="28"/>
          <w14:ligatures w14:val="none"/>
        </w:rPr>
        <w:footnoteReference w:id="15"/>
      </w:r>
    </w:p>
    <w:p w14:paraId="227C8BEE" w14:textId="4569EF00" w:rsidR="00A30C22" w:rsidRDefault="00A30C22" w:rsidP="008D79B7">
      <w:pPr>
        <w:pStyle w:val="ListParagraph"/>
        <w:numPr>
          <w:ilvl w:val="0"/>
          <w:numId w:val="3"/>
        </w:numPr>
        <w:jc w:val="both"/>
        <w:rPr>
          <w:rFonts w:asciiTheme="majorBidi" w:hAnsiTheme="majorBidi" w:cstheme="majorBidi"/>
          <w:sz w:val="28"/>
          <w:szCs w:val="28"/>
        </w:rPr>
      </w:pPr>
      <w:r w:rsidRPr="00A30C22">
        <w:rPr>
          <w:rFonts w:asciiTheme="majorBidi" w:hAnsiTheme="majorBidi" w:cstheme="majorBidi"/>
          <w:sz w:val="28"/>
          <w:szCs w:val="28"/>
        </w:rPr>
        <w:lastRenderedPageBreak/>
        <w:t xml:space="preserve">In March, police used unnecessary and excessive force to disperse a vigil in the capital, London, predominately attended by women, for Sarah Everard, who was raped and murdered by a police officer. Police claimed that the gathering violated </w:t>
      </w:r>
      <w:r w:rsidR="008D79B7">
        <w:rPr>
          <w:rFonts w:asciiTheme="majorBidi" w:hAnsiTheme="majorBidi" w:cstheme="majorBidi"/>
          <w:sz w:val="28"/>
          <w:szCs w:val="28"/>
        </w:rPr>
        <w:t>COVID-19-related</w:t>
      </w:r>
      <w:r w:rsidRPr="00A30C22">
        <w:rPr>
          <w:rFonts w:asciiTheme="majorBidi" w:hAnsiTheme="majorBidi" w:cstheme="majorBidi"/>
          <w:sz w:val="28"/>
          <w:szCs w:val="28"/>
        </w:rPr>
        <w:t xml:space="preserve"> regulations.</w:t>
      </w:r>
      <w:r w:rsidR="00545A02">
        <w:rPr>
          <w:rStyle w:val="FootnoteReference"/>
          <w:rFonts w:asciiTheme="majorBidi" w:hAnsiTheme="majorBidi" w:cstheme="majorBidi"/>
          <w:sz w:val="28"/>
          <w:szCs w:val="28"/>
        </w:rPr>
        <w:footnoteReference w:id="16"/>
      </w:r>
    </w:p>
    <w:p w14:paraId="1BCEA6C7" w14:textId="0F1681C5" w:rsidR="00AC1B46" w:rsidRPr="00CF34E6" w:rsidRDefault="00CF34E6" w:rsidP="003C416C">
      <w:pPr>
        <w:pStyle w:val="Heading1"/>
        <w:jc w:val="both"/>
        <w:rPr>
          <w:rFonts w:asciiTheme="majorBidi" w:hAnsiTheme="majorBidi"/>
          <w:b/>
          <w:bCs/>
          <w:color w:val="1F3864" w:themeColor="accent1" w:themeShade="80"/>
        </w:rPr>
      </w:pPr>
      <w:r>
        <w:rPr>
          <w:rFonts w:asciiTheme="majorBidi" w:hAnsiTheme="majorBidi"/>
          <w:b/>
          <w:bCs/>
          <w:color w:val="1F3864" w:themeColor="accent1" w:themeShade="80"/>
        </w:rPr>
        <w:t>A</w:t>
      </w:r>
      <w:r w:rsidRPr="00CF34E6">
        <w:rPr>
          <w:rFonts w:asciiTheme="majorBidi" w:hAnsiTheme="majorBidi"/>
          <w:b/>
          <w:bCs/>
          <w:color w:val="1F3864" w:themeColor="accent1" w:themeShade="80"/>
        </w:rPr>
        <w:t>bortion</w:t>
      </w:r>
      <w:r>
        <w:rPr>
          <w:rFonts w:asciiTheme="majorBidi" w:hAnsiTheme="majorBidi"/>
          <w:b/>
          <w:bCs/>
          <w:color w:val="1F3864" w:themeColor="accent1" w:themeShade="80"/>
        </w:rPr>
        <w:t xml:space="preserve"> </w:t>
      </w:r>
      <w:r w:rsidRPr="00CF34E6">
        <w:rPr>
          <w:rFonts w:asciiTheme="majorBidi" w:hAnsiTheme="majorBidi"/>
          <w:b/>
          <w:bCs/>
          <w:color w:val="1F3864" w:themeColor="accent1" w:themeShade="80"/>
        </w:rPr>
        <w:t>in Northern Ireland</w:t>
      </w:r>
    </w:p>
    <w:p w14:paraId="1484D554" w14:textId="03EF87AD" w:rsidR="00691539" w:rsidRDefault="00691539" w:rsidP="008D79B7">
      <w:pPr>
        <w:pStyle w:val="ListParagraph"/>
        <w:numPr>
          <w:ilvl w:val="0"/>
          <w:numId w:val="4"/>
        </w:numPr>
        <w:jc w:val="both"/>
        <w:rPr>
          <w:rFonts w:asciiTheme="majorBidi" w:hAnsiTheme="majorBidi" w:cstheme="majorBidi"/>
          <w:sz w:val="28"/>
          <w:szCs w:val="28"/>
        </w:rPr>
      </w:pPr>
      <w:r w:rsidRPr="00691539">
        <w:rPr>
          <w:rFonts w:asciiTheme="majorBidi" w:hAnsiTheme="majorBidi" w:cstheme="majorBidi"/>
          <w:sz w:val="28"/>
          <w:szCs w:val="28"/>
        </w:rPr>
        <w:t xml:space="preserve">While many in the U.K. are outraged at the rollback of abortion rights in the U.S. with the Supreme Court overturning Roe </w:t>
      </w:r>
      <w:r w:rsidR="008E095D" w:rsidRPr="00691539">
        <w:rPr>
          <w:rFonts w:asciiTheme="majorBidi" w:hAnsiTheme="majorBidi" w:cstheme="majorBidi"/>
          <w:sz w:val="28"/>
          <w:szCs w:val="28"/>
        </w:rPr>
        <w:t>V.</w:t>
      </w:r>
      <w:r w:rsidRPr="00691539">
        <w:rPr>
          <w:rFonts w:asciiTheme="majorBidi" w:hAnsiTheme="majorBidi" w:cstheme="majorBidi"/>
          <w:sz w:val="28"/>
          <w:szCs w:val="28"/>
        </w:rPr>
        <w:t xml:space="preserve"> Wade, there are still significant barriers to abortion access in Northern Ireland, a part of the U.K. that is home to nearly 2 million people. Many are frustrated that there has been little progress more than two years after decriminalization. That’s because the Department of Health has not commissioned abortion services, leaving already-stretched </w:t>
      </w:r>
      <w:r w:rsidR="008D79B7">
        <w:rPr>
          <w:rFonts w:asciiTheme="majorBidi" w:hAnsiTheme="majorBidi" w:cstheme="majorBidi"/>
          <w:sz w:val="28"/>
          <w:szCs w:val="28"/>
        </w:rPr>
        <w:t>healthcare</w:t>
      </w:r>
      <w:r w:rsidRPr="00691539">
        <w:rPr>
          <w:rFonts w:asciiTheme="majorBidi" w:hAnsiTheme="majorBidi" w:cstheme="majorBidi"/>
          <w:sz w:val="28"/>
          <w:szCs w:val="28"/>
        </w:rPr>
        <w:t xml:space="preserve"> workers to provide care on an ad-hoc basis without funding or training. The result is that those seeking abortion must navigate a maze </w:t>
      </w:r>
      <w:r>
        <w:rPr>
          <w:rFonts w:asciiTheme="majorBidi" w:hAnsiTheme="majorBidi" w:cstheme="majorBidi"/>
          <w:sz w:val="28"/>
          <w:szCs w:val="28"/>
        </w:rPr>
        <w:t>crisscrossed</w:t>
      </w:r>
      <w:r w:rsidRPr="00691539">
        <w:rPr>
          <w:rFonts w:asciiTheme="majorBidi" w:hAnsiTheme="majorBidi" w:cstheme="majorBidi"/>
          <w:sz w:val="28"/>
          <w:szCs w:val="28"/>
        </w:rPr>
        <w:t xml:space="preserve"> with barriers. In the absence of government action, activists like Connor, who had hoped there would be less demand for their work after decriminalization, are busier than ever helping people access abortion.</w:t>
      </w:r>
      <w:r>
        <w:rPr>
          <w:rStyle w:val="FootnoteReference"/>
          <w:rFonts w:asciiTheme="majorBidi" w:hAnsiTheme="majorBidi" w:cstheme="majorBidi"/>
          <w:sz w:val="28"/>
          <w:szCs w:val="28"/>
        </w:rPr>
        <w:footnoteReference w:id="17"/>
      </w:r>
    </w:p>
    <w:p w14:paraId="1366420B" w14:textId="437E19C2" w:rsidR="00691539" w:rsidRDefault="00691539" w:rsidP="008D79B7">
      <w:pPr>
        <w:pStyle w:val="ListParagraph"/>
        <w:numPr>
          <w:ilvl w:val="0"/>
          <w:numId w:val="4"/>
        </w:numPr>
        <w:jc w:val="both"/>
        <w:rPr>
          <w:rFonts w:asciiTheme="majorBidi" w:hAnsiTheme="majorBidi" w:cstheme="majorBidi"/>
          <w:sz w:val="28"/>
          <w:szCs w:val="28"/>
        </w:rPr>
      </w:pPr>
      <w:r w:rsidRPr="00691539">
        <w:rPr>
          <w:rFonts w:asciiTheme="majorBidi" w:hAnsiTheme="majorBidi" w:cstheme="majorBidi"/>
          <w:sz w:val="28"/>
          <w:szCs w:val="28"/>
        </w:rPr>
        <w:t>In some areas</w:t>
      </w:r>
      <w:r>
        <w:rPr>
          <w:rFonts w:asciiTheme="majorBidi" w:hAnsiTheme="majorBidi" w:cstheme="majorBidi"/>
          <w:sz w:val="28"/>
          <w:szCs w:val="28"/>
        </w:rPr>
        <w:t>,</w:t>
      </w:r>
      <w:r w:rsidRPr="00691539">
        <w:rPr>
          <w:rFonts w:asciiTheme="majorBidi" w:hAnsiTheme="majorBidi" w:cstheme="majorBidi"/>
          <w:sz w:val="28"/>
          <w:szCs w:val="28"/>
        </w:rPr>
        <w:t xml:space="preserve"> abortion services have been suspended, leaving people without local access. The Western Health and Social Care Trust, which covers a large, mostly rural area, stopped offering medication abortion in April 2021 due to “staff resourcing issues,” said a Trust spokesperson. For a year, until neighboring trusts began to accepting referrals for Western Trust patients, they had no options but to travel to England or order abortion pills online.</w:t>
      </w:r>
      <w:r>
        <w:rPr>
          <w:rStyle w:val="FootnoteReference"/>
          <w:rFonts w:asciiTheme="majorBidi" w:hAnsiTheme="majorBidi" w:cstheme="majorBidi"/>
          <w:sz w:val="28"/>
          <w:szCs w:val="28"/>
        </w:rPr>
        <w:footnoteReference w:id="18"/>
      </w:r>
    </w:p>
    <w:p w14:paraId="31596A79" w14:textId="353D72BC" w:rsidR="00125274" w:rsidRPr="00691539" w:rsidRDefault="00125274" w:rsidP="00125274">
      <w:pPr>
        <w:pStyle w:val="ListParagraph"/>
        <w:numPr>
          <w:ilvl w:val="0"/>
          <w:numId w:val="4"/>
        </w:numPr>
        <w:jc w:val="both"/>
        <w:rPr>
          <w:rFonts w:asciiTheme="majorBidi" w:hAnsiTheme="majorBidi" w:cstheme="majorBidi"/>
          <w:sz w:val="28"/>
          <w:szCs w:val="28"/>
        </w:rPr>
      </w:pPr>
      <w:r w:rsidRPr="00125274">
        <w:rPr>
          <w:rFonts w:asciiTheme="majorBidi" w:hAnsiTheme="majorBidi" w:cstheme="majorBidi"/>
          <w:sz w:val="28"/>
          <w:szCs w:val="28"/>
        </w:rPr>
        <w:t xml:space="preserve">In the information void left by the health department’s inaction, many people don’t know where to go to access abortion or even whether it is legal. Even the phone number people from across Northern Ireland call to access an abortion referral is run not by the health department but by a non-profit abortion provider in England, which stepped in back in October after Northern Ireland sexual health charity Informing Choices NI was forced to end the service for lack of funding. Some women and pregnant people who turn to Google for information end up at anti-abortion pregnancy centers, which </w:t>
      </w:r>
      <w:r w:rsidRPr="00125274">
        <w:rPr>
          <w:rFonts w:asciiTheme="majorBidi" w:hAnsiTheme="majorBidi" w:cstheme="majorBidi"/>
          <w:sz w:val="28"/>
          <w:szCs w:val="28"/>
        </w:rPr>
        <w:lastRenderedPageBreak/>
        <w:t>sometimes use delaying tactics until people are past the 10-week limit for medication abortion, says Connor.</w:t>
      </w:r>
      <w:r>
        <w:rPr>
          <w:rStyle w:val="FootnoteReference"/>
          <w:rFonts w:asciiTheme="majorBidi" w:hAnsiTheme="majorBidi" w:cstheme="majorBidi"/>
          <w:sz w:val="28"/>
          <w:szCs w:val="28"/>
        </w:rPr>
        <w:footnoteReference w:id="19"/>
      </w:r>
    </w:p>
    <w:p w14:paraId="09319DDB" w14:textId="261DC8CA" w:rsidR="00AC1B46" w:rsidRDefault="00AC1B46" w:rsidP="00B74E46">
      <w:pPr>
        <w:pStyle w:val="ListParagraph"/>
        <w:numPr>
          <w:ilvl w:val="0"/>
          <w:numId w:val="4"/>
        </w:numPr>
        <w:jc w:val="both"/>
        <w:rPr>
          <w:rFonts w:asciiTheme="majorBidi" w:hAnsiTheme="majorBidi" w:cstheme="majorBidi"/>
          <w:sz w:val="28"/>
          <w:szCs w:val="28"/>
        </w:rPr>
      </w:pPr>
      <w:r w:rsidRPr="00AC1B46">
        <w:rPr>
          <w:rFonts w:asciiTheme="majorBidi" w:hAnsiTheme="majorBidi" w:cstheme="majorBidi"/>
          <w:sz w:val="28"/>
          <w:szCs w:val="28"/>
        </w:rPr>
        <w:t xml:space="preserve">Women and girls in Northern Ireland continue to face significant obstacles and </w:t>
      </w:r>
      <w:r w:rsidR="00B74E46">
        <w:rPr>
          <w:rFonts w:asciiTheme="majorBidi" w:hAnsiTheme="majorBidi" w:cstheme="majorBidi"/>
          <w:sz w:val="28"/>
          <w:szCs w:val="28"/>
        </w:rPr>
        <w:t>variations</w:t>
      </w:r>
      <w:r w:rsidRPr="00AC1B46">
        <w:rPr>
          <w:rFonts w:asciiTheme="majorBidi" w:hAnsiTheme="majorBidi" w:cstheme="majorBidi"/>
          <w:sz w:val="28"/>
          <w:szCs w:val="28"/>
        </w:rPr>
        <w:t xml:space="preserve"> between hospital trusts in accessing abortion services.</w:t>
      </w:r>
      <w:r>
        <w:rPr>
          <w:rStyle w:val="FootnoteReference"/>
          <w:rFonts w:asciiTheme="majorBidi" w:hAnsiTheme="majorBidi" w:cstheme="majorBidi"/>
          <w:sz w:val="28"/>
          <w:szCs w:val="28"/>
        </w:rPr>
        <w:footnoteReference w:id="20"/>
      </w:r>
    </w:p>
    <w:p w14:paraId="27F7D168" w14:textId="61E0D3FE" w:rsidR="00FD1C26" w:rsidRDefault="00FD1C26" w:rsidP="003C416C">
      <w:pPr>
        <w:pStyle w:val="ListParagraph"/>
        <w:numPr>
          <w:ilvl w:val="0"/>
          <w:numId w:val="4"/>
        </w:numPr>
        <w:jc w:val="both"/>
        <w:rPr>
          <w:rFonts w:asciiTheme="majorBidi" w:hAnsiTheme="majorBidi" w:cstheme="majorBidi"/>
          <w:sz w:val="28"/>
          <w:szCs w:val="28"/>
        </w:rPr>
      </w:pPr>
      <w:r w:rsidRPr="00FD1C26">
        <w:rPr>
          <w:rFonts w:asciiTheme="majorBidi" w:hAnsiTheme="majorBidi" w:cstheme="majorBidi"/>
          <w:sz w:val="28"/>
          <w:szCs w:val="28"/>
        </w:rPr>
        <w:t>Despite the decriminalization of abortion in Northern Ireland, there was an ongoing failure to deliver fully commissioned and funded abortion services. In October, the secretary of state for Northern Ireland announced that he would commission the services directly from health trusts, given the failure of the Northern Ireland minister for health to do so. Northern Ireland is currently the only part of the UK without telemedicine provision.</w:t>
      </w:r>
      <w:r w:rsidRPr="00FD1C26">
        <w:rPr>
          <w:rStyle w:val="FootnoteReference"/>
          <w:rFonts w:asciiTheme="majorBidi" w:hAnsiTheme="majorBidi" w:cstheme="majorBidi"/>
          <w:sz w:val="28"/>
          <w:szCs w:val="28"/>
        </w:rPr>
        <w:footnoteReference w:id="21"/>
      </w:r>
    </w:p>
    <w:p w14:paraId="13040D3E" w14:textId="07F504C9" w:rsidR="00FD1C26" w:rsidRPr="00FD1C26" w:rsidRDefault="00FD1C26" w:rsidP="003C416C">
      <w:pPr>
        <w:pStyle w:val="ListParagraph"/>
        <w:numPr>
          <w:ilvl w:val="0"/>
          <w:numId w:val="4"/>
        </w:numPr>
        <w:jc w:val="both"/>
        <w:rPr>
          <w:rFonts w:asciiTheme="majorBidi" w:hAnsiTheme="majorBidi" w:cstheme="majorBidi"/>
          <w:sz w:val="28"/>
          <w:szCs w:val="28"/>
        </w:rPr>
      </w:pPr>
      <w:r w:rsidRPr="00FD1C26">
        <w:rPr>
          <w:rFonts w:asciiTheme="majorBidi" w:hAnsiTheme="majorBidi" w:cstheme="majorBidi"/>
          <w:sz w:val="28"/>
          <w:szCs w:val="28"/>
        </w:rPr>
        <w:t>There was still no provision for late-term abortions in Scotland, resulting in women having to travel to England. In March, the independent inquiry into maternity practices at Shrewsbury and Telford Hospital NHS Trust was published. The inquiry found that, over the course of 20 years, 201 babies and nine mothers who died in or following childbirth could or would have survived if the trust had provided better care. A police investigation was launched.</w:t>
      </w:r>
      <w:r w:rsidRPr="00FD1C26">
        <w:rPr>
          <w:rStyle w:val="FootnoteReference"/>
          <w:rFonts w:asciiTheme="majorBidi" w:hAnsiTheme="majorBidi" w:cstheme="majorBidi"/>
          <w:sz w:val="28"/>
          <w:szCs w:val="28"/>
        </w:rPr>
        <w:footnoteReference w:id="22"/>
      </w:r>
    </w:p>
    <w:p w14:paraId="3F9E37A4" w14:textId="7BAF7FE1" w:rsidR="009D578C" w:rsidRPr="00FD1C26" w:rsidRDefault="009D578C" w:rsidP="00B74E46">
      <w:pPr>
        <w:pStyle w:val="ListParagraph"/>
        <w:numPr>
          <w:ilvl w:val="0"/>
          <w:numId w:val="4"/>
        </w:numPr>
        <w:jc w:val="both"/>
        <w:rPr>
          <w:rFonts w:asciiTheme="majorBidi" w:hAnsiTheme="majorBidi" w:cstheme="majorBidi"/>
          <w:sz w:val="28"/>
          <w:szCs w:val="28"/>
        </w:rPr>
      </w:pPr>
      <w:r w:rsidRPr="00FD1C26">
        <w:rPr>
          <w:rFonts w:asciiTheme="majorBidi" w:hAnsiTheme="majorBidi" w:cstheme="majorBidi"/>
          <w:sz w:val="28"/>
          <w:szCs w:val="28"/>
        </w:rPr>
        <w:t xml:space="preserve">Despite being decriminalized in Northern Ireland, abortion remained criminalized in England Wales, and Scotland, subject to lawful exceptions determined by doctors. In 2023, six women were charged with illegal abortion </w:t>
      </w:r>
      <w:r w:rsidR="00B74E46">
        <w:rPr>
          <w:rFonts w:asciiTheme="majorBidi" w:hAnsiTheme="majorBidi" w:cstheme="majorBidi"/>
          <w:sz w:val="28"/>
          <w:szCs w:val="28"/>
        </w:rPr>
        <w:t>offenses</w:t>
      </w:r>
      <w:r w:rsidRPr="00FD1C26">
        <w:rPr>
          <w:rFonts w:asciiTheme="majorBidi" w:hAnsiTheme="majorBidi" w:cstheme="majorBidi"/>
          <w:sz w:val="28"/>
          <w:szCs w:val="28"/>
        </w:rPr>
        <w:t>. In July, a woman was sentenced to a 14-month suspended prison sentence after pleading guilty to self-administering an abortion outside the legal time limits.</w:t>
      </w:r>
    </w:p>
    <w:p w14:paraId="204E2627" w14:textId="79CBE501" w:rsidR="009D578C" w:rsidRDefault="009D578C" w:rsidP="003C416C">
      <w:pPr>
        <w:pStyle w:val="ListParagraph"/>
        <w:numPr>
          <w:ilvl w:val="0"/>
          <w:numId w:val="4"/>
        </w:numPr>
        <w:jc w:val="both"/>
        <w:rPr>
          <w:rFonts w:asciiTheme="majorBidi" w:hAnsiTheme="majorBidi" w:cstheme="majorBidi"/>
          <w:sz w:val="28"/>
          <w:szCs w:val="28"/>
        </w:rPr>
      </w:pPr>
      <w:r w:rsidRPr="00FD1C26">
        <w:rPr>
          <w:rFonts w:asciiTheme="majorBidi" w:hAnsiTheme="majorBidi" w:cstheme="majorBidi"/>
          <w:sz w:val="28"/>
          <w:szCs w:val="28"/>
        </w:rPr>
        <w:t>Ongoing barriers obstructed access to abortion services in Northern Ireland following decriminalization, including multiple failings by the devolved government, under-resourced and understaffed services, conscience-based refusals, misinformation and pervasive stigma.</w:t>
      </w:r>
      <w:r w:rsidR="009E2EA5" w:rsidRPr="00FD1C26">
        <w:rPr>
          <w:rStyle w:val="FootnoteReference"/>
          <w:rFonts w:asciiTheme="majorBidi" w:hAnsiTheme="majorBidi" w:cstheme="majorBidi"/>
          <w:sz w:val="28"/>
          <w:szCs w:val="28"/>
        </w:rPr>
        <w:footnoteReference w:id="23"/>
      </w:r>
    </w:p>
    <w:p w14:paraId="1B918950" w14:textId="55E13B68" w:rsidR="00A8649B" w:rsidRDefault="00A8649B" w:rsidP="003C416C">
      <w:pPr>
        <w:pStyle w:val="ListParagraph"/>
        <w:numPr>
          <w:ilvl w:val="0"/>
          <w:numId w:val="4"/>
        </w:numPr>
        <w:jc w:val="both"/>
        <w:rPr>
          <w:rFonts w:asciiTheme="majorBidi" w:hAnsiTheme="majorBidi" w:cstheme="majorBidi"/>
          <w:sz w:val="28"/>
          <w:szCs w:val="28"/>
        </w:rPr>
      </w:pPr>
      <w:r w:rsidRPr="00A8649B">
        <w:rPr>
          <w:rFonts w:asciiTheme="majorBidi" w:hAnsiTheme="majorBidi" w:cstheme="majorBidi"/>
          <w:sz w:val="28"/>
          <w:szCs w:val="28"/>
        </w:rPr>
        <w:t xml:space="preserve">The ongoing failure to deliver fully commissioned and funded abortion services in Northern Ireland in line with the new legislative framework left access to healthcare in a fragile state and created a “postcode lottery” for those </w:t>
      </w:r>
      <w:r w:rsidRPr="00A8649B">
        <w:rPr>
          <w:rFonts w:asciiTheme="majorBidi" w:hAnsiTheme="majorBidi" w:cstheme="majorBidi"/>
          <w:sz w:val="28"/>
          <w:szCs w:val="28"/>
        </w:rPr>
        <w:lastRenderedPageBreak/>
        <w:t>needing early medical abortion provision. Services were withdrawn in one health trust as a consequence of the lack of commissioning.</w:t>
      </w:r>
      <w:r>
        <w:rPr>
          <w:rStyle w:val="FootnoteReference"/>
          <w:rFonts w:asciiTheme="majorBidi" w:hAnsiTheme="majorBidi" w:cstheme="majorBidi"/>
          <w:sz w:val="28"/>
          <w:szCs w:val="28"/>
        </w:rPr>
        <w:footnoteReference w:id="24"/>
      </w:r>
    </w:p>
    <w:p w14:paraId="5B868E55" w14:textId="221DFBBD" w:rsidR="00CF34E6" w:rsidRPr="003C416C" w:rsidRDefault="003C416C" w:rsidP="003C416C">
      <w:pPr>
        <w:pStyle w:val="Heading1"/>
        <w:jc w:val="both"/>
        <w:rPr>
          <w:rFonts w:asciiTheme="majorBidi" w:hAnsiTheme="majorBidi"/>
          <w:b/>
          <w:bCs/>
          <w:color w:val="1F3864" w:themeColor="accent1" w:themeShade="80"/>
          <w:sz w:val="36"/>
          <w:szCs w:val="36"/>
        </w:rPr>
      </w:pPr>
      <w:r>
        <w:rPr>
          <w:rFonts w:asciiTheme="majorBidi" w:hAnsiTheme="majorBidi"/>
          <w:b/>
          <w:bCs/>
          <w:color w:val="1F3864" w:themeColor="accent1" w:themeShade="80"/>
          <w:sz w:val="36"/>
          <w:szCs w:val="36"/>
        </w:rPr>
        <w:t>Discrimination against r</w:t>
      </w:r>
      <w:r w:rsidRPr="003C416C">
        <w:rPr>
          <w:rFonts w:asciiTheme="majorBidi" w:hAnsiTheme="majorBidi"/>
          <w:b/>
          <w:bCs/>
          <w:color w:val="1F3864" w:themeColor="accent1" w:themeShade="80"/>
          <w:sz w:val="36"/>
          <w:szCs w:val="36"/>
        </w:rPr>
        <w:t>efugee’s</w:t>
      </w:r>
      <w:r>
        <w:rPr>
          <w:rFonts w:asciiTheme="majorBidi" w:hAnsiTheme="majorBidi"/>
          <w:b/>
          <w:bCs/>
          <w:color w:val="1F3864" w:themeColor="accent1" w:themeShade="80"/>
          <w:sz w:val="36"/>
          <w:szCs w:val="36"/>
        </w:rPr>
        <w:t xml:space="preserve"> women</w:t>
      </w:r>
    </w:p>
    <w:p w14:paraId="2BA26AD8" w14:textId="17BE5DCC" w:rsidR="00CF34E6" w:rsidRPr="003C416C" w:rsidRDefault="00CF34E6" w:rsidP="003C416C">
      <w:pPr>
        <w:pStyle w:val="ListParagraph"/>
        <w:numPr>
          <w:ilvl w:val="0"/>
          <w:numId w:val="6"/>
        </w:numPr>
        <w:jc w:val="both"/>
        <w:rPr>
          <w:rFonts w:asciiTheme="majorBidi" w:hAnsiTheme="majorBidi" w:cstheme="majorBidi"/>
          <w:sz w:val="28"/>
          <w:szCs w:val="28"/>
        </w:rPr>
      </w:pPr>
      <w:r w:rsidRPr="003C416C">
        <w:rPr>
          <w:rFonts w:asciiTheme="majorBidi" w:hAnsiTheme="majorBidi" w:cstheme="majorBidi"/>
          <w:sz w:val="28"/>
          <w:szCs w:val="28"/>
        </w:rPr>
        <w:t>The United Kingdom government is set to tarnish its own landmark advancement on violence against women by excluding migrant women from key protections. This perpetuates longstanding barriers for migrant women whose residency status depends on their abusers, as they may fear expulsion from the UK if they seek help for domestic violence.</w:t>
      </w:r>
      <w:r w:rsidR="00E03ECB">
        <w:rPr>
          <w:rStyle w:val="FootnoteReference"/>
          <w:rFonts w:asciiTheme="majorBidi" w:hAnsiTheme="majorBidi" w:cstheme="majorBidi"/>
          <w:sz w:val="28"/>
          <w:szCs w:val="28"/>
        </w:rPr>
        <w:footnoteReference w:id="25"/>
      </w:r>
    </w:p>
    <w:p w14:paraId="3CB0E271" w14:textId="567EAD0E" w:rsidR="00CF34E6" w:rsidRPr="003C416C" w:rsidRDefault="00CF34E6" w:rsidP="003C416C">
      <w:pPr>
        <w:pStyle w:val="ListParagraph"/>
        <w:numPr>
          <w:ilvl w:val="0"/>
          <w:numId w:val="6"/>
        </w:numPr>
        <w:jc w:val="both"/>
        <w:rPr>
          <w:rFonts w:asciiTheme="majorBidi" w:hAnsiTheme="majorBidi" w:cstheme="majorBidi"/>
          <w:sz w:val="28"/>
          <w:szCs w:val="28"/>
        </w:rPr>
      </w:pPr>
      <w:r w:rsidRPr="003C416C">
        <w:rPr>
          <w:rFonts w:asciiTheme="majorBidi" w:hAnsiTheme="majorBidi" w:cstheme="majorBidi"/>
          <w:sz w:val="28"/>
          <w:szCs w:val="28"/>
        </w:rPr>
        <w:t>“After a decade of promises, the UK government is casting a shadow over what should be a landmark rights victory by excluding some of the most marginalized women from lifesaving protections from violence,” said Hillary Margolis, senior women’s rights researcher at Human Rights Watch. “No woman should have to choose between escaping abuse and possibly being deported.”</w:t>
      </w:r>
      <w:r w:rsidR="00E03ECB">
        <w:rPr>
          <w:rStyle w:val="FootnoteReference"/>
          <w:rFonts w:asciiTheme="majorBidi" w:hAnsiTheme="majorBidi" w:cstheme="majorBidi"/>
          <w:sz w:val="28"/>
          <w:szCs w:val="28"/>
        </w:rPr>
        <w:footnoteReference w:id="26"/>
      </w:r>
    </w:p>
    <w:p w14:paraId="54C1C794" w14:textId="6ACD2A21" w:rsidR="00E03ECB" w:rsidRPr="003C416C" w:rsidRDefault="00E03ECB" w:rsidP="003C416C">
      <w:pPr>
        <w:pStyle w:val="ListParagraph"/>
        <w:numPr>
          <w:ilvl w:val="0"/>
          <w:numId w:val="6"/>
        </w:numPr>
        <w:jc w:val="both"/>
        <w:rPr>
          <w:rFonts w:asciiTheme="majorBidi" w:hAnsiTheme="majorBidi" w:cstheme="majorBidi"/>
          <w:sz w:val="28"/>
          <w:szCs w:val="28"/>
        </w:rPr>
      </w:pPr>
      <w:r w:rsidRPr="003C416C">
        <w:rPr>
          <w:rFonts w:asciiTheme="majorBidi" w:hAnsiTheme="majorBidi" w:cstheme="majorBidi"/>
          <w:sz w:val="28"/>
          <w:szCs w:val="28"/>
        </w:rPr>
        <w:t xml:space="preserve">The Support for Migrant Victims scheme, which concluded in March, was roundly criticized by key organizations led by-and-for Black and </w:t>
      </w:r>
      <w:r w:rsidR="0063631C" w:rsidRPr="003C416C">
        <w:rPr>
          <w:rFonts w:asciiTheme="majorBidi" w:hAnsiTheme="majorBidi" w:cstheme="majorBidi"/>
          <w:sz w:val="28"/>
          <w:szCs w:val="28"/>
        </w:rPr>
        <w:t>minorities</w:t>
      </w:r>
      <w:r w:rsidRPr="003C416C">
        <w:rPr>
          <w:rFonts w:asciiTheme="majorBidi" w:hAnsiTheme="majorBidi" w:cstheme="majorBidi"/>
          <w:sz w:val="28"/>
          <w:szCs w:val="28"/>
        </w:rPr>
        <w:t xml:space="preserve"> and migrant women as “wholly inadequate” both in scope and in substance to meet the needs of migrant women victims of violence.</w:t>
      </w:r>
      <w:r w:rsidR="004F3F5C">
        <w:rPr>
          <w:rStyle w:val="FootnoteReference"/>
          <w:rFonts w:asciiTheme="majorBidi" w:hAnsiTheme="majorBidi" w:cstheme="majorBidi"/>
          <w:sz w:val="28"/>
          <w:szCs w:val="28"/>
        </w:rPr>
        <w:footnoteReference w:id="27"/>
      </w:r>
    </w:p>
    <w:p w14:paraId="6C727027" w14:textId="16D4174F" w:rsidR="0063631C" w:rsidRPr="003C416C" w:rsidRDefault="0063631C" w:rsidP="003C416C">
      <w:pPr>
        <w:pStyle w:val="ListParagraph"/>
        <w:numPr>
          <w:ilvl w:val="0"/>
          <w:numId w:val="6"/>
        </w:numPr>
        <w:jc w:val="both"/>
        <w:rPr>
          <w:rFonts w:asciiTheme="majorBidi" w:hAnsiTheme="majorBidi" w:cstheme="majorBidi"/>
          <w:sz w:val="28"/>
          <w:szCs w:val="28"/>
        </w:rPr>
      </w:pPr>
      <w:r w:rsidRPr="003C416C">
        <w:rPr>
          <w:rFonts w:asciiTheme="majorBidi" w:hAnsiTheme="majorBidi" w:cstheme="majorBidi"/>
          <w:sz w:val="28"/>
          <w:szCs w:val="28"/>
        </w:rPr>
        <w:t>Significant evidence already points to the need for greater protections for migrant women victims of violence with precarious residency status. In research by the Latin American Women’s Rights Service, 62 percent of migrant women in London surveyed said their abusers had threatened deportation if they reported the abuse to authorities.</w:t>
      </w:r>
      <w:r w:rsidR="00BA62DA">
        <w:rPr>
          <w:rStyle w:val="FootnoteReference"/>
          <w:rFonts w:asciiTheme="majorBidi" w:hAnsiTheme="majorBidi" w:cstheme="majorBidi"/>
          <w:sz w:val="28"/>
          <w:szCs w:val="28"/>
        </w:rPr>
        <w:footnoteReference w:id="28"/>
      </w:r>
    </w:p>
    <w:p w14:paraId="6E0687D8" w14:textId="5D10ECB3" w:rsidR="0063631C" w:rsidRPr="003C416C" w:rsidRDefault="0063631C" w:rsidP="003C416C">
      <w:pPr>
        <w:pStyle w:val="ListParagraph"/>
        <w:numPr>
          <w:ilvl w:val="0"/>
          <w:numId w:val="6"/>
        </w:numPr>
        <w:jc w:val="both"/>
        <w:rPr>
          <w:rFonts w:asciiTheme="majorBidi" w:hAnsiTheme="majorBidi" w:cstheme="majorBidi"/>
          <w:sz w:val="28"/>
          <w:szCs w:val="28"/>
        </w:rPr>
      </w:pPr>
      <w:r w:rsidRPr="003C416C">
        <w:rPr>
          <w:rFonts w:asciiTheme="majorBidi" w:hAnsiTheme="majorBidi" w:cstheme="majorBidi"/>
          <w:sz w:val="28"/>
          <w:szCs w:val="28"/>
        </w:rPr>
        <w:t>Southall Black Sisters, which ran the Support for Migrant Victims Scheme, has reported that over 60 percent of women seeking their assistance have insecure immigration status. Research from the office of the Domestic Abuse Commissioner for England and Wales highlights that women in such circumstances are less likely to seek or benefit from services or escape abuse.</w:t>
      </w:r>
      <w:r w:rsidR="007E6A77">
        <w:rPr>
          <w:rStyle w:val="FootnoteReference"/>
          <w:rFonts w:asciiTheme="majorBidi" w:hAnsiTheme="majorBidi" w:cstheme="majorBidi"/>
          <w:sz w:val="28"/>
          <w:szCs w:val="28"/>
        </w:rPr>
        <w:footnoteReference w:id="29"/>
      </w:r>
    </w:p>
    <w:p w14:paraId="0B966148" w14:textId="626E3533" w:rsidR="0063631C" w:rsidRPr="003C416C" w:rsidRDefault="0063631C" w:rsidP="003C416C">
      <w:pPr>
        <w:pStyle w:val="ListParagraph"/>
        <w:numPr>
          <w:ilvl w:val="0"/>
          <w:numId w:val="6"/>
        </w:numPr>
        <w:jc w:val="both"/>
        <w:rPr>
          <w:rFonts w:asciiTheme="majorBidi" w:hAnsiTheme="majorBidi" w:cstheme="majorBidi"/>
          <w:sz w:val="28"/>
          <w:szCs w:val="28"/>
        </w:rPr>
      </w:pPr>
      <w:r w:rsidRPr="003C416C">
        <w:rPr>
          <w:rFonts w:asciiTheme="majorBidi" w:hAnsiTheme="majorBidi" w:cstheme="majorBidi"/>
          <w:sz w:val="28"/>
          <w:szCs w:val="28"/>
        </w:rPr>
        <w:lastRenderedPageBreak/>
        <w:t>The UK has long positioned itself as a champion of tackling violence against women and girls internationally, but has faced mounting evidence of inadequate prevention, response, and accountability measures domestically and failure to prioritize combating it at home.</w:t>
      </w:r>
      <w:r w:rsidR="007E6A77">
        <w:rPr>
          <w:rStyle w:val="FootnoteReference"/>
          <w:rFonts w:asciiTheme="majorBidi" w:hAnsiTheme="majorBidi" w:cstheme="majorBidi"/>
          <w:sz w:val="28"/>
          <w:szCs w:val="28"/>
        </w:rPr>
        <w:footnoteReference w:id="30"/>
      </w:r>
    </w:p>
    <w:p w14:paraId="6F7A0D09" w14:textId="18BF20F1" w:rsidR="0063631C" w:rsidRPr="003C416C" w:rsidRDefault="0063631C" w:rsidP="003C416C">
      <w:pPr>
        <w:pStyle w:val="ListParagraph"/>
        <w:numPr>
          <w:ilvl w:val="0"/>
          <w:numId w:val="6"/>
        </w:numPr>
        <w:jc w:val="both"/>
        <w:rPr>
          <w:rFonts w:asciiTheme="majorBidi" w:hAnsiTheme="majorBidi" w:cstheme="majorBidi"/>
          <w:sz w:val="28"/>
          <w:szCs w:val="28"/>
        </w:rPr>
      </w:pPr>
      <w:r w:rsidRPr="003C416C">
        <w:rPr>
          <w:rFonts w:asciiTheme="majorBidi" w:hAnsiTheme="majorBidi" w:cstheme="majorBidi"/>
          <w:sz w:val="28"/>
          <w:szCs w:val="28"/>
        </w:rPr>
        <w:t>Partners or former partners killed 214 women – more than one a week – in England and Wales during the three years ending March 2020. Police recorded nearly 1.5 million domestic abuse-related incidents and crimes in the year ending March 2021</w:t>
      </w:r>
      <w:r w:rsidR="007E6A77">
        <w:rPr>
          <w:rFonts w:asciiTheme="majorBidi" w:hAnsiTheme="majorBidi" w:cstheme="majorBidi"/>
          <w:sz w:val="28"/>
          <w:szCs w:val="28"/>
        </w:rPr>
        <w:t>.</w:t>
      </w:r>
      <w:r w:rsidR="007E6A77">
        <w:rPr>
          <w:rStyle w:val="FootnoteReference"/>
          <w:rFonts w:asciiTheme="majorBidi" w:hAnsiTheme="majorBidi" w:cstheme="majorBidi"/>
          <w:sz w:val="28"/>
          <w:szCs w:val="28"/>
        </w:rPr>
        <w:footnoteReference w:id="31"/>
      </w:r>
    </w:p>
    <w:p w14:paraId="3852FF24" w14:textId="29029BFC" w:rsidR="0063631C" w:rsidRPr="003C416C" w:rsidRDefault="0063631C" w:rsidP="003C416C">
      <w:pPr>
        <w:pStyle w:val="ListParagraph"/>
        <w:numPr>
          <w:ilvl w:val="0"/>
          <w:numId w:val="6"/>
        </w:numPr>
        <w:jc w:val="both"/>
        <w:rPr>
          <w:rFonts w:asciiTheme="majorBidi" w:hAnsiTheme="majorBidi" w:cstheme="majorBidi"/>
          <w:sz w:val="28"/>
          <w:szCs w:val="28"/>
        </w:rPr>
      </w:pPr>
      <w:r w:rsidRPr="003C416C">
        <w:rPr>
          <w:rFonts w:asciiTheme="majorBidi" w:hAnsiTheme="majorBidi" w:cstheme="majorBidi"/>
          <w:sz w:val="28"/>
          <w:szCs w:val="28"/>
        </w:rPr>
        <w:t xml:space="preserve">Rejecting a guaranteed pathway to autonomous residency for migrant women who are victims of violence follows years of a “hostile environment” policy by the UK government, a series of immigration policies that target undocumented people and block their access to work, housing, health care, education, and other key benefits. </w:t>
      </w:r>
      <w:r w:rsidR="007E6A77">
        <w:rPr>
          <w:rStyle w:val="FootnoteReference"/>
          <w:rFonts w:asciiTheme="majorBidi" w:hAnsiTheme="majorBidi" w:cstheme="majorBidi"/>
          <w:sz w:val="28"/>
          <w:szCs w:val="28"/>
        </w:rPr>
        <w:footnoteReference w:id="32"/>
      </w:r>
    </w:p>
    <w:p w14:paraId="2255FD73" w14:textId="42A101E9" w:rsidR="0063631C" w:rsidRDefault="0063631C" w:rsidP="003C416C">
      <w:pPr>
        <w:pStyle w:val="ListParagraph"/>
        <w:numPr>
          <w:ilvl w:val="0"/>
          <w:numId w:val="6"/>
        </w:numPr>
        <w:jc w:val="both"/>
        <w:rPr>
          <w:rFonts w:asciiTheme="majorBidi" w:hAnsiTheme="majorBidi" w:cstheme="majorBidi"/>
          <w:sz w:val="28"/>
          <w:szCs w:val="28"/>
        </w:rPr>
      </w:pPr>
      <w:r w:rsidRPr="003C416C">
        <w:rPr>
          <w:rFonts w:asciiTheme="majorBidi" w:hAnsiTheme="majorBidi" w:cstheme="majorBidi"/>
          <w:sz w:val="28"/>
          <w:szCs w:val="28"/>
        </w:rPr>
        <w:t>Organizations that work to prevent and respond to violence against women have cited the hostile environment policy as a deterrent to migrant women victims of violence coming forward and accessing lifesaving services as well as a means of control by abusers.</w:t>
      </w:r>
      <w:r w:rsidR="007E6A77">
        <w:rPr>
          <w:rStyle w:val="FootnoteReference"/>
          <w:rFonts w:asciiTheme="majorBidi" w:hAnsiTheme="majorBidi" w:cstheme="majorBidi"/>
          <w:sz w:val="28"/>
          <w:szCs w:val="28"/>
        </w:rPr>
        <w:footnoteReference w:id="33"/>
      </w:r>
    </w:p>
    <w:p w14:paraId="18CAA9A3" w14:textId="31DA8CA9" w:rsidR="001B1604" w:rsidRDefault="001B1604" w:rsidP="003C416C">
      <w:pPr>
        <w:jc w:val="both"/>
        <w:rPr>
          <w:rFonts w:asciiTheme="majorBidi" w:hAnsiTheme="majorBidi" w:cstheme="majorBidi"/>
          <w:sz w:val="28"/>
          <w:szCs w:val="28"/>
        </w:rPr>
      </w:pPr>
    </w:p>
    <w:p w14:paraId="2852FCF2" w14:textId="12BEA9AE" w:rsidR="001B1604" w:rsidRDefault="001B1604" w:rsidP="003C416C">
      <w:pPr>
        <w:jc w:val="both"/>
        <w:rPr>
          <w:rFonts w:asciiTheme="majorBidi" w:hAnsiTheme="majorBidi" w:cstheme="majorBidi"/>
          <w:sz w:val="28"/>
          <w:szCs w:val="28"/>
        </w:rPr>
      </w:pPr>
    </w:p>
    <w:p w14:paraId="776EFB3B" w14:textId="2FC60E4B" w:rsidR="007439BF" w:rsidRDefault="001B1604" w:rsidP="008D79B7">
      <w:pPr>
        <w:pStyle w:val="Heading1"/>
        <w:rPr>
          <w:rFonts w:asciiTheme="majorBidi" w:hAnsiTheme="majorBidi"/>
          <w:b/>
          <w:bCs/>
          <w:color w:val="1F3864" w:themeColor="accent1" w:themeShade="80"/>
          <w:rtl/>
        </w:rPr>
      </w:pPr>
      <w:r w:rsidRPr="00EB38D7">
        <w:rPr>
          <w:rFonts w:asciiTheme="majorBidi" w:hAnsiTheme="majorBidi"/>
          <w:b/>
          <w:bCs/>
          <w:color w:val="1F3864" w:themeColor="accent1" w:themeShade="80"/>
        </w:rPr>
        <w:t>Recommendations</w:t>
      </w:r>
    </w:p>
    <w:p w14:paraId="5C1F1123" w14:textId="77777777" w:rsidR="002F598D" w:rsidRPr="002F598D" w:rsidRDefault="002F598D" w:rsidP="002F598D">
      <w:pPr>
        <w:rPr>
          <w:rtl/>
          <w:lang w:bidi="fa-IR"/>
        </w:rPr>
      </w:pPr>
    </w:p>
    <w:p w14:paraId="02E8B35F" w14:textId="3A46DD94" w:rsidR="00E137E3" w:rsidRDefault="00E137E3" w:rsidP="00E137E3">
      <w:pPr>
        <w:numPr>
          <w:ilvl w:val="0"/>
          <w:numId w:val="7"/>
        </w:numPr>
        <w:spacing w:after="0" w:line="240" w:lineRule="auto"/>
        <w:jc w:val="both"/>
        <w:rPr>
          <w:rFonts w:ascii="Times New Roman" w:eastAsia="Times New Roman" w:hAnsi="Times New Roman" w:cs="Times New Roman"/>
          <w:color w:val="0E101A"/>
          <w:kern w:val="0"/>
          <w:sz w:val="28"/>
          <w:szCs w:val="28"/>
          <w14:ligatures w14:val="none"/>
        </w:rPr>
      </w:pPr>
      <w:r w:rsidRPr="00E137E3">
        <w:rPr>
          <w:rFonts w:ascii="Times New Roman" w:eastAsia="Times New Roman" w:hAnsi="Times New Roman" w:cs="Times New Roman"/>
          <w:color w:val="0E101A"/>
          <w:kern w:val="0"/>
          <w:sz w:val="28"/>
          <w:szCs w:val="28"/>
          <w14:ligatures w14:val="none"/>
        </w:rPr>
        <w:t>The government should ensure that all women in the UK are equally protected from violence by ratifying the convention without reservations and moving urgently to fully carry out its provisions equally for all women and girls.</w:t>
      </w:r>
    </w:p>
    <w:p w14:paraId="4BAF5BEB" w14:textId="77777777" w:rsidR="00E137E3" w:rsidRPr="00E137E3" w:rsidRDefault="00E137E3" w:rsidP="00E137E3">
      <w:pPr>
        <w:spacing w:after="0" w:line="240" w:lineRule="auto"/>
        <w:ind w:left="720"/>
        <w:jc w:val="both"/>
        <w:rPr>
          <w:rFonts w:ascii="Times New Roman" w:eastAsia="Times New Roman" w:hAnsi="Times New Roman" w:cs="Times New Roman"/>
          <w:color w:val="0E101A"/>
          <w:kern w:val="0"/>
          <w:sz w:val="28"/>
          <w:szCs w:val="28"/>
          <w14:ligatures w14:val="none"/>
        </w:rPr>
      </w:pPr>
    </w:p>
    <w:p w14:paraId="3435FCC2" w14:textId="21662874" w:rsidR="00E137E3" w:rsidRDefault="00E137E3" w:rsidP="00E137E3">
      <w:pPr>
        <w:numPr>
          <w:ilvl w:val="0"/>
          <w:numId w:val="7"/>
        </w:numPr>
        <w:spacing w:after="0" w:line="240" w:lineRule="auto"/>
        <w:jc w:val="both"/>
        <w:rPr>
          <w:rFonts w:ascii="Times New Roman" w:eastAsia="Times New Roman" w:hAnsi="Times New Roman" w:cs="Times New Roman"/>
          <w:color w:val="0E101A"/>
          <w:kern w:val="0"/>
          <w:sz w:val="28"/>
          <w:szCs w:val="28"/>
          <w14:ligatures w14:val="none"/>
        </w:rPr>
      </w:pPr>
      <w:r w:rsidRPr="00E137E3">
        <w:rPr>
          <w:rFonts w:ascii="Times New Roman" w:eastAsia="Times New Roman" w:hAnsi="Times New Roman" w:cs="Times New Roman"/>
          <w:color w:val="0E101A"/>
          <w:kern w:val="0"/>
          <w:sz w:val="28"/>
          <w:szCs w:val="28"/>
          <w14:ligatures w14:val="none"/>
        </w:rPr>
        <w:t>Ensure all survivors of domestic abuse can equally access support, welfare systems, and legal tools that protect them from abuse without discrimination on any grounds by the fundamental principle of the Istanbul Convention.</w:t>
      </w:r>
    </w:p>
    <w:p w14:paraId="672ABB10" w14:textId="45A282F6" w:rsidR="00E137E3" w:rsidRPr="00E137E3" w:rsidRDefault="00E137E3" w:rsidP="00E137E3">
      <w:pPr>
        <w:spacing w:after="0" w:line="240" w:lineRule="auto"/>
        <w:jc w:val="both"/>
        <w:rPr>
          <w:rFonts w:ascii="Times New Roman" w:eastAsia="Times New Roman" w:hAnsi="Times New Roman" w:cs="Times New Roman"/>
          <w:color w:val="0E101A"/>
          <w:kern w:val="0"/>
          <w:sz w:val="28"/>
          <w:szCs w:val="28"/>
          <w14:ligatures w14:val="none"/>
        </w:rPr>
      </w:pPr>
    </w:p>
    <w:p w14:paraId="162E6FA1" w14:textId="5C67E2D4" w:rsidR="00E137E3" w:rsidRDefault="00E137E3" w:rsidP="00E137E3">
      <w:pPr>
        <w:numPr>
          <w:ilvl w:val="0"/>
          <w:numId w:val="7"/>
        </w:numPr>
        <w:spacing w:after="0" w:line="240" w:lineRule="auto"/>
        <w:jc w:val="both"/>
        <w:rPr>
          <w:rFonts w:ascii="Times New Roman" w:eastAsia="Times New Roman" w:hAnsi="Times New Roman" w:cs="Times New Roman"/>
          <w:color w:val="0E101A"/>
          <w:kern w:val="0"/>
          <w:sz w:val="28"/>
          <w:szCs w:val="28"/>
          <w14:ligatures w14:val="none"/>
        </w:rPr>
      </w:pPr>
      <w:r w:rsidRPr="00E137E3">
        <w:rPr>
          <w:rFonts w:ascii="Times New Roman" w:eastAsia="Times New Roman" w:hAnsi="Times New Roman" w:cs="Times New Roman"/>
          <w:color w:val="0E101A"/>
          <w:kern w:val="0"/>
          <w:sz w:val="28"/>
          <w:szCs w:val="28"/>
          <w14:ligatures w14:val="none"/>
        </w:rPr>
        <w:t>Continue to bring its national legislation into line with the international human rights instruments on women that it is a party to</w:t>
      </w:r>
      <w:r>
        <w:rPr>
          <w:rFonts w:ascii="Times New Roman" w:eastAsia="Times New Roman" w:hAnsi="Times New Roman" w:cs="Times New Roman"/>
          <w:color w:val="0E101A"/>
          <w:kern w:val="0"/>
          <w:sz w:val="28"/>
          <w:szCs w:val="28"/>
          <w14:ligatures w14:val="none"/>
        </w:rPr>
        <w:t>.</w:t>
      </w:r>
    </w:p>
    <w:p w14:paraId="7F39EE71" w14:textId="239669DC" w:rsidR="00E137E3" w:rsidRPr="00E137E3" w:rsidRDefault="00E137E3" w:rsidP="00E137E3">
      <w:pPr>
        <w:spacing w:after="0" w:line="240" w:lineRule="auto"/>
        <w:jc w:val="both"/>
        <w:rPr>
          <w:rFonts w:ascii="Times New Roman" w:eastAsia="Times New Roman" w:hAnsi="Times New Roman" w:cs="Times New Roman"/>
          <w:color w:val="0E101A"/>
          <w:kern w:val="0"/>
          <w:sz w:val="28"/>
          <w:szCs w:val="28"/>
          <w14:ligatures w14:val="none"/>
        </w:rPr>
      </w:pPr>
    </w:p>
    <w:p w14:paraId="0E7D331B" w14:textId="1875CAEA" w:rsidR="00E137E3" w:rsidRDefault="00E137E3" w:rsidP="00E137E3">
      <w:pPr>
        <w:numPr>
          <w:ilvl w:val="0"/>
          <w:numId w:val="7"/>
        </w:numPr>
        <w:spacing w:after="0" w:line="240" w:lineRule="auto"/>
        <w:jc w:val="both"/>
        <w:rPr>
          <w:rFonts w:ascii="Times New Roman" w:eastAsia="Times New Roman" w:hAnsi="Times New Roman" w:cs="Times New Roman"/>
          <w:color w:val="0E101A"/>
          <w:kern w:val="0"/>
          <w:sz w:val="28"/>
          <w:szCs w:val="28"/>
          <w14:ligatures w14:val="none"/>
        </w:rPr>
      </w:pPr>
      <w:r w:rsidRPr="00E137E3">
        <w:rPr>
          <w:rFonts w:ascii="Times New Roman" w:eastAsia="Times New Roman" w:hAnsi="Times New Roman" w:cs="Times New Roman"/>
          <w:color w:val="0E101A"/>
          <w:kern w:val="0"/>
          <w:sz w:val="28"/>
          <w:szCs w:val="28"/>
          <w14:ligatures w14:val="none"/>
        </w:rPr>
        <w:lastRenderedPageBreak/>
        <w:t>Take all the necessary measures to eliminate and prohibit discrimination against women and girls.</w:t>
      </w:r>
    </w:p>
    <w:p w14:paraId="79F63C0F" w14:textId="043D70E6" w:rsidR="00E137E3" w:rsidRPr="00E137E3" w:rsidRDefault="00E137E3" w:rsidP="00E137E3">
      <w:pPr>
        <w:spacing w:after="0" w:line="240" w:lineRule="auto"/>
        <w:jc w:val="both"/>
        <w:rPr>
          <w:rFonts w:ascii="Times New Roman" w:eastAsia="Times New Roman" w:hAnsi="Times New Roman" w:cs="Times New Roman"/>
          <w:color w:val="0E101A"/>
          <w:kern w:val="0"/>
          <w:sz w:val="28"/>
          <w:szCs w:val="28"/>
          <w14:ligatures w14:val="none"/>
        </w:rPr>
      </w:pPr>
    </w:p>
    <w:p w14:paraId="741E4E73" w14:textId="4420D63C" w:rsidR="00E137E3" w:rsidRDefault="00E137E3" w:rsidP="00E137E3">
      <w:pPr>
        <w:numPr>
          <w:ilvl w:val="0"/>
          <w:numId w:val="7"/>
        </w:numPr>
        <w:spacing w:after="0" w:line="240" w:lineRule="auto"/>
        <w:jc w:val="both"/>
        <w:rPr>
          <w:rFonts w:ascii="Times New Roman" w:eastAsia="Times New Roman" w:hAnsi="Times New Roman" w:cs="Times New Roman"/>
          <w:color w:val="0E101A"/>
          <w:kern w:val="0"/>
          <w:sz w:val="28"/>
          <w:szCs w:val="28"/>
          <w14:ligatures w14:val="none"/>
        </w:rPr>
      </w:pPr>
      <w:r w:rsidRPr="00E137E3">
        <w:rPr>
          <w:rFonts w:ascii="Times New Roman" w:eastAsia="Times New Roman" w:hAnsi="Times New Roman" w:cs="Times New Roman"/>
          <w:color w:val="0E101A"/>
          <w:kern w:val="0"/>
          <w:sz w:val="28"/>
          <w:szCs w:val="28"/>
          <w14:ligatures w14:val="none"/>
        </w:rPr>
        <w:t>Take appropriate and effective measures to protect the rights of immigrant and homeless women.</w:t>
      </w:r>
    </w:p>
    <w:p w14:paraId="3AC79BDB" w14:textId="6A73B5C7" w:rsidR="00E137E3" w:rsidRPr="00E137E3" w:rsidRDefault="00E137E3" w:rsidP="00E137E3">
      <w:pPr>
        <w:spacing w:after="0" w:line="240" w:lineRule="auto"/>
        <w:jc w:val="both"/>
        <w:rPr>
          <w:rFonts w:ascii="Times New Roman" w:eastAsia="Times New Roman" w:hAnsi="Times New Roman" w:cs="Times New Roman"/>
          <w:color w:val="0E101A"/>
          <w:kern w:val="0"/>
          <w:sz w:val="28"/>
          <w:szCs w:val="28"/>
          <w14:ligatures w14:val="none"/>
        </w:rPr>
      </w:pPr>
    </w:p>
    <w:p w14:paraId="49B48218" w14:textId="77777777" w:rsidR="00E137E3" w:rsidRPr="00E137E3" w:rsidRDefault="00E137E3" w:rsidP="00E137E3">
      <w:pPr>
        <w:numPr>
          <w:ilvl w:val="0"/>
          <w:numId w:val="7"/>
        </w:numPr>
        <w:spacing w:after="0" w:line="240" w:lineRule="auto"/>
        <w:jc w:val="both"/>
        <w:rPr>
          <w:rFonts w:ascii="Times New Roman" w:eastAsia="Times New Roman" w:hAnsi="Times New Roman" w:cs="Times New Roman"/>
          <w:color w:val="0E101A"/>
          <w:kern w:val="0"/>
          <w:sz w:val="28"/>
          <w:szCs w:val="28"/>
          <w14:ligatures w14:val="none"/>
        </w:rPr>
      </w:pPr>
      <w:r w:rsidRPr="00E137E3">
        <w:rPr>
          <w:rFonts w:ascii="Times New Roman" w:eastAsia="Times New Roman" w:hAnsi="Times New Roman" w:cs="Times New Roman"/>
          <w:color w:val="0E101A"/>
          <w:kern w:val="0"/>
          <w:sz w:val="28"/>
          <w:szCs w:val="28"/>
          <w14:ligatures w14:val="none"/>
        </w:rPr>
        <w:t>Criminalize all forms of violence against women and girls and establish strict laws for perpetrators of violence.</w:t>
      </w:r>
    </w:p>
    <w:p w14:paraId="4477BD61" w14:textId="3491FE88" w:rsidR="00A10E47" w:rsidRPr="00E137E3" w:rsidRDefault="00A10E47" w:rsidP="00E137E3">
      <w:pPr>
        <w:jc w:val="both"/>
        <w:rPr>
          <w:rFonts w:asciiTheme="majorBidi" w:hAnsiTheme="majorBidi" w:cstheme="majorBidi"/>
          <w:sz w:val="28"/>
          <w:szCs w:val="28"/>
        </w:rPr>
      </w:pPr>
    </w:p>
    <w:sectPr w:rsidR="00A10E47" w:rsidRPr="00E137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ED4D4" w14:textId="77777777" w:rsidR="006B2AFA" w:rsidRDefault="006B2AFA" w:rsidP="0030205A">
      <w:pPr>
        <w:spacing w:after="0" w:line="240" w:lineRule="auto"/>
      </w:pPr>
      <w:r>
        <w:separator/>
      </w:r>
    </w:p>
  </w:endnote>
  <w:endnote w:type="continuationSeparator" w:id="0">
    <w:p w14:paraId="6222FA96" w14:textId="77777777" w:rsidR="006B2AFA" w:rsidRDefault="006B2AFA" w:rsidP="00302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4DF5C9" w14:textId="77777777" w:rsidR="006B2AFA" w:rsidRDefault="006B2AFA" w:rsidP="0030205A">
      <w:pPr>
        <w:spacing w:after="0" w:line="240" w:lineRule="auto"/>
      </w:pPr>
      <w:r>
        <w:separator/>
      </w:r>
    </w:p>
  </w:footnote>
  <w:footnote w:type="continuationSeparator" w:id="0">
    <w:p w14:paraId="40592913" w14:textId="77777777" w:rsidR="006B2AFA" w:rsidRDefault="006B2AFA" w:rsidP="0030205A">
      <w:pPr>
        <w:spacing w:after="0" w:line="240" w:lineRule="auto"/>
      </w:pPr>
      <w:r>
        <w:continuationSeparator/>
      </w:r>
    </w:p>
  </w:footnote>
  <w:footnote w:id="1">
    <w:p w14:paraId="44F6BEAC" w14:textId="4FFD661B" w:rsidR="002231B4" w:rsidRDefault="002231B4">
      <w:pPr>
        <w:pStyle w:val="FootnoteText"/>
      </w:pPr>
      <w:r>
        <w:rPr>
          <w:rStyle w:val="FootnoteReference"/>
        </w:rPr>
        <w:footnoteRef/>
      </w:r>
      <w:r>
        <w:t xml:space="preserve"> Shelter, Fobbed Off: The Barriers Preventing Women Accessing Housing and Homelessness Support, and The Women-</w:t>
      </w:r>
      <w:proofErr w:type="spellStart"/>
      <w:r>
        <w:t>centred</w:t>
      </w:r>
      <w:proofErr w:type="spellEnd"/>
      <w:r>
        <w:t xml:space="preserve"> Approach Needed to Overcome Them, December 2021, england.shelter.org.uk/professional_resources/policy_and_research/policy_library/fobbed_off_the_barriers_ </w:t>
      </w:r>
      <w:proofErr w:type="spellStart"/>
      <w:r>
        <w:t>preventing_women_accessing_housing_and_homelessness_support</w:t>
      </w:r>
      <w:proofErr w:type="spellEnd"/>
      <w:r>
        <w:t>, p. 13.</w:t>
      </w:r>
    </w:p>
  </w:footnote>
  <w:footnote w:id="2">
    <w:p w14:paraId="621D1257" w14:textId="651824A5" w:rsidR="002231B4" w:rsidRDefault="002231B4">
      <w:pPr>
        <w:pStyle w:val="FootnoteText"/>
      </w:pPr>
      <w:r>
        <w:rPr>
          <w:rStyle w:val="FootnoteReference"/>
        </w:rPr>
        <w:footnoteRef/>
      </w:r>
      <w:r>
        <w:t xml:space="preserve">  See Shelter, Fobbed Off: The Barriers Preventing Women Accessing Housing and Homelessness Support, and The Women-</w:t>
      </w:r>
      <w:proofErr w:type="spellStart"/>
      <w:r>
        <w:t>centred</w:t>
      </w:r>
      <w:proofErr w:type="spellEnd"/>
      <w:r>
        <w:t xml:space="preserve"> Approach Needed to Overcome Them (previously cited) and Fulfilling Lives in Islington and Camden, Joanne Bretherton and Nicholas </w:t>
      </w:r>
      <w:proofErr w:type="spellStart"/>
      <w:r>
        <w:t>Pleace</w:t>
      </w:r>
      <w:proofErr w:type="spellEnd"/>
      <w:r>
        <w:t>, Centre for Housing Policy, University of York, Women’s Homelessness in Camden: Improving Data, Strategy, and Outcomes, 9 December 2021, shp.org.uk/Handlers/Download.ashx?IDMF=5fee2c27-c387-4a68-b574-8d00a6ce7e76.</w:t>
      </w:r>
    </w:p>
  </w:footnote>
  <w:footnote w:id="3">
    <w:p w14:paraId="06A376D5" w14:textId="22F10658" w:rsidR="00546CFA" w:rsidRDefault="00546CFA">
      <w:pPr>
        <w:pStyle w:val="FootnoteText"/>
      </w:pPr>
      <w:r>
        <w:rPr>
          <w:rStyle w:val="FootnoteReference"/>
        </w:rPr>
        <w:footnoteRef/>
      </w:r>
      <w:r>
        <w:t xml:space="preserve"> Fulfilling Lives in Islington and Camden, Joanne Bretherton and Nicholas </w:t>
      </w:r>
      <w:proofErr w:type="spellStart"/>
      <w:r>
        <w:t>Pleace</w:t>
      </w:r>
      <w:proofErr w:type="spellEnd"/>
      <w:r>
        <w:t>, Centre for Housing Policy, University of York, Women’s Homelessness in Camden: Improving Data, Strategy, and Outcomes (previously cited), p. 9.</w:t>
      </w:r>
    </w:p>
  </w:footnote>
  <w:footnote w:id="4">
    <w:p w14:paraId="26CBE99D" w14:textId="7B2ED0B6" w:rsidR="00546CFA" w:rsidRDefault="00546CFA">
      <w:pPr>
        <w:pStyle w:val="FootnoteText"/>
      </w:pPr>
      <w:r>
        <w:rPr>
          <w:rStyle w:val="FootnoteReference"/>
        </w:rPr>
        <w:footnoteRef/>
      </w:r>
      <w:r>
        <w:t xml:space="preserve"> </w:t>
      </w:r>
      <w:r w:rsidR="00FD1C26">
        <w:t>. Interview</w:t>
      </w:r>
      <w:r>
        <w:t xml:space="preserve"> in person with Margaret (name changed), 26 October 2021</w:t>
      </w:r>
    </w:p>
  </w:footnote>
  <w:footnote w:id="5">
    <w:p w14:paraId="2C25D6E6" w14:textId="77777777" w:rsidR="00FD1C26" w:rsidRDefault="00FD1C26" w:rsidP="00FD1C26">
      <w:pPr>
        <w:pStyle w:val="FootnoteText"/>
      </w:pPr>
      <w:r>
        <w:rPr>
          <w:rStyle w:val="FootnoteReference"/>
        </w:rPr>
        <w:footnoteRef/>
      </w:r>
      <w:r>
        <w:t xml:space="preserve"> See Shelter, Fobbed Off: The Barriers Preventing Women Accessing Housing and Homelessness Support, and The Women-</w:t>
      </w:r>
      <w:proofErr w:type="spellStart"/>
      <w:r>
        <w:t>centred</w:t>
      </w:r>
      <w:proofErr w:type="spellEnd"/>
      <w:r>
        <w:t xml:space="preserve"> Approach Needed to Overcome Them (previously cited).</w:t>
      </w:r>
    </w:p>
  </w:footnote>
  <w:footnote w:id="6">
    <w:p w14:paraId="42B1F0E6" w14:textId="77777777" w:rsidR="00FD1C26" w:rsidRDefault="00FD1C26" w:rsidP="00FD1C26">
      <w:pPr>
        <w:pStyle w:val="FootnoteText"/>
      </w:pPr>
      <w:r>
        <w:rPr>
          <w:rStyle w:val="FootnoteReference"/>
        </w:rPr>
        <w:footnoteRef/>
      </w:r>
      <w:r>
        <w:t xml:space="preserve"> </w:t>
      </w:r>
      <w:r w:rsidRPr="00F86685">
        <w:t>file:///C:/Users/ASUS/Downloads/EUR0353432022ENGLISH.pdf</w:t>
      </w:r>
    </w:p>
  </w:footnote>
  <w:footnote w:id="7">
    <w:p w14:paraId="3F737C00" w14:textId="77777777" w:rsidR="00FD1C26" w:rsidRDefault="00FD1C26" w:rsidP="00FD1C26">
      <w:pPr>
        <w:pStyle w:val="FootnoteText"/>
      </w:pPr>
      <w:r>
        <w:rPr>
          <w:rStyle w:val="FootnoteReference"/>
        </w:rPr>
        <w:footnoteRef/>
      </w:r>
      <w:r>
        <w:t xml:space="preserve"> 200 Interview in person with Kate (name changed) 17 September 2021.</w:t>
      </w:r>
    </w:p>
  </w:footnote>
  <w:footnote w:id="8">
    <w:p w14:paraId="14A5A1DD" w14:textId="63348ECF" w:rsidR="00472A68" w:rsidRDefault="00472A68">
      <w:pPr>
        <w:pStyle w:val="FootnoteText"/>
      </w:pPr>
      <w:r>
        <w:rPr>
          <w:rStyle w:val="FootnoteReference"/>
        </w:rPr>
        <w:footnoteRef/>
      </w:r>
      <w:r>
        <w:t xml:space="preserve"> </w:t>
      </w:r>
      <w:r w:rsidRPr="00472A68">
        <w:t>https://www.ohchr.org/en/press-releases/2024/02/no-time-lose-uk-declares-violence-against-women-national-threat-un-expert</w:t>
      </w:r>
    </w:p>
  </w:footnote>
  <w:footnote w:id="9">
    <w:p w14:paraId="6A387930" w14:textId="0B18E009" w:rsidR="00D47AEC" w:rsidRDefault="00D47AEC" w:rsidP="00D47AEC">
      <w:pPr>
        <w:pStyle w:val="FootnoteText"/>
      </w:pPr>
      <w:r>
        <w:rPr>
          <w:rStyle w:val="FootnoteReference"/>
        </w:rPr>
        <w:footnoteRef/>
      </w:r>
      <w:r>
        <w:t xml:space="preserve"> </w:t>
      </w:r>
      <w:r w:rsidRPr="00472A68">
        <w:t>https://www.ohchr.org/en/press-releases/2024/02/no-time-lose-uk-declares-violence-against-women-national-threat-un-expert</w:t>
      </w:r>
    </w:p>
  </w:footnote>
  <w:footnote w:id="10">
    <w:p w14:paraId="70244B08" w14:textId="25C23C7F" w:rsidR="00834041" w:rsidRDefault="00834041" w:rsidP="00D0042E">
      <w:pPr>
        <w:pStyle w:val="FootnoteText"/>
      </w:pPr>
      <w:r>
        <w:rPr>
          <w:rStyle w:val="FootnoteReference"/>
        </w:rPr>
        <w:footnoteRef/>
      </w:r>
      <w:r>
        <w:t xml:space="preserve">  </w:t>
      </w:r>
      <w:r w:rsidRPr="00472A68">
        <w:t>https://www.ohchr.org/en/press-releases/2024/02/no-time-lose-uk-declares-violence-against-women-national-threat-un-expert</w:t>
      </w:r>
    </w:p>
  </w:footnote>
  <w:footnote w:id="11">
    <w:p w14:paraId="7FBFEBF5" w14:textId="0F7384C5" w:rsidR="00D0042E" w:rsidRDefault="00D0042E">
      <w:pPr>
        <w:pStyle w:val="FootnoteText"/>
      </w:pPr>
      <w:r>
        <w:rPr>
          <w:rStyle w:val="FootnoteReference"/>
        </w:rPr>
        <w:footnoteRef/>
      </w:r>
      <w:r>
        <w:t xml:space="preserve"> </w:t>
      </w:r>
      <w:r w:rsidRPr="00D0042E">
        <w:t>https://www.npcc.police.uk/our-work/violence-against-women-and-girls/</w:t>
      </w:r>
    </w:p>
  </w:footnote>
  <w:footnote w:id="12">
    <w:p w14:paraId="7804FD47" w14:textId="3BFD1696" w:rsidR="00834041" w:rsidRDefault="00834041" w:rsidP="00834041">
      <w:pPr>
        <w:pStyle w:val="FootnoteText"/>
      </w:pPr>
      <w:r>
        <w:rPr>
          <w:rStyle w:val="FootnoteReference"/>
        </w:rPr>
        <w:footnoteRef/>
      </w:r>
      <w:r>
        <w:t xml:space="preserve"> </w:t>
      </w:r>
      <w:r w:rsidRPr="00472A68">
        <w:t>https://www.ohchr.org/en/press-releases/2024/02/no-time-lose-uk-declares-violence-against-women-national-threat-un-expert</w:t>
      </w:r>
    </w:p>
  </w:footnote>
  <w:footnote w:id="13">
    <w:p w14:paraId="4EA046C4" w14:textId="1E82F6FE" w:rsidR="002D0507" w:rsidRDefault="002D0507">
      <w:pPr>
        <w:pStyle w:val="FootnoteText"/>
      </w:pPr>
      <w:r>
        <w:rPr>
          <w:rStyle w:val="FootnoteReference"/>
        </w:rPr>
        <w:footnoteRef/>
      </w:r>
      <w:r>
        <w:t xml:space="preserve"> </w:t>
      </w:r>
      <w:r w:rsidRPr="002D0507">
        <w:t>https://www.hrw.org/news/2022/07/22/uk-tackling-violence-against-some-women-not-all</w:t>
      </w:r>
    </w:p>
  </w:footnote>
  <w:footnote w:id="14">
    <w:p w14:paraId="3702D1A2" w14:textId="087CB5D8" w:rsidR="002D0507" w:rsidRDefault="002D0507">
      <w:pPr>
        <w:pStyle w:val="FootnoteText"/>
      </w:pPr>
      <w:r>
        <w:rPr>
          <w:rStyle w:val="FootnoteReference"/>
        </w:rPr>
        <w:footnoteRef/>
      </w:r>
      <w:r>
        <w:t xml:space="preserve"> </w:t>
      </w:r>
      <w:r w:rsidRPr="002D0507">
        <w:t>https://www.hrw.org/news/2022/07/22/uk-tackling-violence-against-some-women-not-all</w:t>
      </w:r>
    </w:p>
  </w:footnote>
  <w:footnote w:id="15">
    <w:p w14:paraId="6CDED65E" w14:textId="186B1E7F" w:rsidR="00545A02" w:rsidRDefault="00545A02">
      <w:pPr>
        <w:pStyle w:val="FootnoteText"/>
      </w:pPr>
      <w:r>
        <w:rPr>
          <w:rStyle w:val="FootnoteReference"/>
        </w:rPr>
        <w:footnoteRef/>
      </w:r>
      <w:r>
        <w:t xml:space="preserve"> </w:t>
      </w:r>
      <w:r w:rsidRPr="00545A02">
        <w:t>https://www.amnesty.org/en/location/europe-and-central-asia/western-central-and-south-eastern-europe/united-kingdom/report-united-kingdom/</w:t>
      </w:r>
    </w:p>
  </w:footnote>
  <w:footnote w:id="16">
    <w:p w14:paraId="4FADAA32" w14:textId="082F2E67" w:rsidR="00545A02" w:rsidRDefault="00545A02">
      <w:pPr>
        <w:pStyle w:val="FootnoteText"/>
      </w:pPr>
      <w:r>
        <w:rPr>
          <w:rStyle w:val="FootnoteReference"/>
        </w:rPr>
        <w:footnoteRef/>
      </w:r>
      <w:r>
        <w:t xml:space="preserve"> </w:t>
      </w:r>
      <w:r w:rsidRPr="00545A02">
        <w:t>https://www.amnesty.org/en/wp-content/uploads/2022/03/WEBPOL1048702022ENGLISH.pdf</w:t>
      </w:r>
    </w:p>
  </w:footnote>
  <w:footnote w:id="17">
    <w:p w14:paraId="2C81E2C5" w14:textId="55CF8CE6" w:rsidR="00691539" w:rsidRDefault="00691539">
      <w:pPr>
        <w:pStyle w:val="FootnoteText"/>
      </w:pPr>
      <w:r>
        <w:rPr>
          <w:rStyle w:val="FootnoteReference"/>
        </w:rPr>
        <w:footnoteRef/>
      </w:r>
      <w:r>
        <w:t xml:space="preserve"> </w:t>
      </w:r>
      <w:r w:rsidRPr="00691539">
        <w:t>https://time.com/6192022/northern-ireland-abortion-access/</w:t>
      </w:r>
    </w:p>
  </w:footnote>
  <w:footnote w:id="18">
    <w:p w14:paraId="3BD4D397" w14:textId="2508B142" w:rsidR="00691539" w:rsidRDefault="00691539" w:rsidP="00691539">
      <w:pPr>
        <w:pStyle w:val="FootnoteText"/>
      </w:pPr>
      <w:r>
        <w:rPr>
          <w:rStyle w:val="FootnoteReference"/>
        </w:rPr>
        <w:footnoteRef/>
      </w:r>
      <w:r>
        <w:t xml:space="preserve"> </w:t>
      </w:r>
      <w:r w:rsidRPr="00691539">
        <w:t>https://time.com/6192022/northern-ireland-abortion-access/</w:t>
      </w:r>
    </w:p>
  </w:footnote>
  <w:footnote w:id="19">
    <w:p w14:paraId="11676A25" w14:textId="1CDA86AD" w:rsidR="00125274" w:rsidRDefault="00125274" w:rsidP="00125274">
      <w:pPr>
        <w:pStyle w:val="FootnoteText"/>
      </w:pPr>
      <w:r>
        <w:rPr>
          <w:rStyle w:val="FootnoteReference"/>
        </w:rPr>
        <w:footnoteRef/>
      </w:r>
      <w:r>
        <w:t xml:space="preserve"> </w:t>
      </w:r>
      <w:r w:rsidRPr="00691539">
        <w:t>https://time.com/6192022/northern-ireland-abortion-access/</w:t>
      </w:r>
    </w:p>
  </w:footnote>
  <w:footnote w:id="20">
    <w:p w14:paraId="72B1DCB6" w14:textId="556CB49A" w:rsidR="00AC1B46" w:rsidRDefault="00AC1B46">
      <w:pPr>
        <w:pStyle w:val="FootnoteText"/>
      </w:pPr>
      <w:r>
        <w:rPr>
          <w:rStyle w:val="FootnoteReference"/>
        </w:rPr>
        <w:footnoteRef/>
      </w:r>
      <w:r>
        <w:t xml:space="preserve"> </w:t>
      </w:r>
      <w:r w:rsidRPr="00AC1B46">
        <w:t>https://www.hrw.org/world-report/2023/country-chapters/united-kingdom</w:t>
      </w:r>
    </w:p>
  </w:footnote>
  <w:footnote w:id="21">
    <w:p w14:paraId="72E73087" w14:textId="77777777" w:rsidR="00FD1C26" w:rsidRDefault="00FD1C26" w:rsidP="00FD1C26">
      <w:pPr>
        <w:pStyle w:val="FootnoteText"/>
      </w:pPr>
      <w:r>
        <w:rPr>
          <w:rStyle w:val="FootnoteReference"/>
        </w:rPr>
        <w:footnoteRef/>
      </w:r>
      <w:r>
        <w:t xml:space="preserve"> </w:t>
      </w:r>
      <w:r w:rsidRPr="003A0109">
        <w:t>https://www.amnesty.org/en/wp-content/uploads/2023/03/WEBPOL1056702023ENGLISH.pdf</w:t>
      </w:r>
    </w:p>
  </w:footnote>
  <w:footnote w:id="22">
    <w:p w14:paraId="55CFDDCC" w14:textId="77777777" w:rsidR="00FD1C26" w:rsidRDefault="00FD1C26" w:rsidP="00FD1C26">
      <w:pPr>
        <w:pStyle w:val="FootnoteText"/>
      </w:pPr>
      <w:r>
        <w:rPr>
          <w:rStyle w:val="FootnoteReference"/>
        </w:rPr>
        <w:footnoteRef/>
      </w:r>
      <w:r>
        <w:t xml:space="preserve"> </w:t>
      </w:r>
      <w:r w:rsidRPr="003A0109">
        <w:t>https://www.amnesty.org/en/wp-content/uploads/2023/03/WEBPOL1056702023ENGLISH.pdf</w:t>
      </w:r>
    </w:p>
  </w:footnote>
  <w:footnote w:id="23">
    <w:p w14:paraId="1E1D4343" w14:textId="27CD0056" w:rsidR="009E2EA5" w:rsidRDefault="009E2EA5">
      <w:pPr>
        <w:pStyle w:val="FootnoteText"/>
      </w:pPr>
      <w:r>
        <w:rPr>
          <w:rStyle w:val="FootnoteReference"/>
        </w:rPr>
        <w:footnoteRef/>
      </w:r>
      <w:r>
        <w:t xml:space="preserve"> </w:t>
      </w:r>
      <w:r w:rsidRPr="009E2EA5">
        <w:t>https://www.amnesty.org.uk/press-releases/northern-ireland-four-years-decriminalisation-abortion-access-right-not-reality-new</w:t>
      </w:r>
    </w:p>
  </w:footnote>
  <w:footnote w:id="24">
    <w:p w14:paraId="13313C4F" w14:textId="7FE0478A" w:rsidR="00A8649B" w:rsidRDefault="00A8649B">
      <w:pPr>
        <w:pStyle w:val="FootnoteText"/>
      </w:pPr>
      <w:r>
        <w:rPr>
          <w:rStyle w:val="FootnoteReference"/>
        </w:rPr>
        <w:footnoteRef/>
      </w:r>
      <w:r>
        <w:t xml:space="preserve"> </w:t>
      </w:r>
      <w:r w:rsidRPr="00A8649B">
        <w:t>https://www.amnesty.org/en/wp-content/uploads/2022/03/WEBPOL1048702022ENGLISH.pdf</w:t>
      </w:r>
    </w:p>
  </w:footnote>
  <w:footnote w:id="25">
    <w:p w14:paraId="378E9D17" w14:textId="47381112" w:rsidR="00E03ECB" w:rsidRDefault="00E03ECB">
      <w:pPr>
        <w:pStyle w:val="FootnoteText"/>
      </w:pPr>
      <w:r>
        <w:rPr>
          <w:rStyle w:val="FootnoteReference"/>
        </w:rPr>
        <w:footnoteRef/>
      </w:r>
      <w:r>
        <w:t xml:space="preserve"> </w:t>
      </w:r>
      <w:r w:rsidRPr="00E03ECB">
        <w:t>https://www.hrw.org/world-report/2023/country-chapters/united-kingdom</w:t>
      </w:r>
    </w:p>
  </w:footnote>
  <w:footnote w:id="26">
    <w:p w14:paraId="3CB6F470" w14:textId="7DCDAD4F" w:rsidR="00E03ECB" w:rsidRDefault="00E03ECB">
      <w:pPr>
        <w:pStyle w:val="FootnoteText"/>
      </w:pPr>
      <w:r>
        <w:rPr>
          <w:rStyle w:val="FootnoteReference"/>
        </w:rPr>
        <w:footnoteRef/>
      </w:r>
      <w:r>
        <w:t xml:space="preserve"> </w:t>
      </w:r>
      <w:r w:rsidRPr="00E03ECB">
        <w:t>https://www.hrw.org/world-report/2023/country-chapters/united-kingdom</w:t>
      </w:r>
    </w:p>
  </w:footnote>
  <w:footnote w:id="27">
    <w:p w14:paraId="5BD63490" w14:textId="054B90E7" w:rsidR="004F3F5C" w:rsidRDefault="004F3F5C">
      <w:pPr>
        <w:pStyle w:val="FootnoteText"/>
      </w:pPr>
      <w:r>
        <w:rPr>
          <w:rStyle w:val="FootnoteReference"/>
        </w:rPr>
        <w:footnoteRef/>
      </w:r>
      <w:r>
        <w:t xml:space="preserve"> </w:t>
      </w:r>
      <w:r w:rsidRPr="004F3F5C">
        <w:t>http://www.endviolenceagainstwomen.org.uk/wp-content/uploads/DomesticAbuseBill_MigrantWomenBriefing.docx.pdf</w:t>
      </w:r>
    </w:p>
  </w:footnote>
  <w:footnote w:id="28">
    <w:p w14:paraId="618EFF8C" w14:textId="5D252ABB" w:rsidR="00BA62DA" w:rsidRDefault="00BA62DA">
      <w:pPr>
        <w:pStyle w:val="FootnoteText"/>
      </w:pPr>
      <w:r>
        <w:rPr>
          <w:rStyle w:val="FootnoteReference"/>
        </w:rPr>
        <w:footnoteRef/>
      </w:r>
      <w:r>
        <w:t xml:space="preserve"> </w:t>
      </w:r>
      <w:r w:rsidRPr="00BA62DA">
        <w:t>https://stepupmigrantwomen.org/wp-content/uploads/2019/05/the-right-to-be-believed-full-version-updated.pdf</w:t>
      </w:r>
    </w:p>
  </w:footnote>
  <w:footnote w:id="29">
    <w:p w14:paraId="6D557C33" w14:textId="6098D69D" w:rsidR="007E6A77" w:rsidRDefault="007E6A77">
      <w:pPr>
        <w:pStyle w:val="FootnoteText"/>
      </w:pPr>
      <w:r>
        <w:rPr>
          <w:rStyle w:val="FootnoteReference"/>
        </w:rPr>
        <w:footnoteRef/>
      </w:r>
      <w:r>
        <w:t xml:space="preserve"> </w:t>
      </w:r>
      <w:r w:rsidRPr="007E6A77">
        <w:t>https://www.hrw.org/news/2022/07/22/uk-tackling-violence-against-some-women-not-all</w:t>
      </w:r>
    </w:p>
  </w:footnote>
  <w:footnote w:id="30">
    <w:p w14:paraId="38FBE282" w14:textId="1231BA27" w:rsidR="007E6A77" w:rsidRDefault="007E6A77">
      <w:pPr>
        <w:pStyle w:val="FootnoteText"/>
      </w:pPr>
      <w:r>
        <w:rPr>
          <w:rStyle w:val="FootnoteReference"/>
        </w:rPr>
        <w:footnoteRef/>
      </w:r>
      <w:r>
        <w:t xml:space="preserve"> </w:t>
      </w:r>
      <w:r w:rsidRPr="007E6A77">
        <w:t>https://www.hrw.org/news/2022/07/22/uk-tackling-violence-against-some-women-not-all</w:t>
      </w:r>
    </w:p>
  </w:footnote>
  <w:footnote w:id="31">
    <w:p w14:paraId="775F8EEB" w14:textId="6C29545B" w:rsidR="007E6A77" w:rsidRDefault="007E6A77">
      <w:pPr>
        <w:pStyle w:val="FootnoteText"/>
      </w:pPr>
      <w:r>
        <w:rPr>
          <w:rStyle w:val="FootnoteReference"/>
        </w:rPr>
        <w:footnoteRef/>
      </w:r>
      <w:r>
        <w:t xml:space="preserve"> </w:t>
      </w:r>
      <w:r w:rsidRPr="007E6A77">
        <w:t>https://www.hrw.org/news/2022/07/22/uk-tackling-violence-against-some-women-not-all</w:t>
      </w:r>
    </w:p>
  </w:footnote>
  <w:footnote w:id="32">
    <w:p w14:paraId="6426DD2C" w14:textId="103072A7" w:rsidR="007E6A77" w:rsidRDefault="007E6A77">
      <w:pPr>
        <w:pStyle w:val="FootnoteText"/>
      </w:pPr>
      <w:r>
        <w:rPr>
          <w:rStyle w:val="FootnoteReference"/>
        </w:rPr>
        <w:footnoteRef/>
      </w:r>
      <w:r>
        <w:t xml:space="preserve"> </w:t>
      </w:r>
      <w:r w:rsidRPr="007E6A77">
        <w:t>https://www.hrw.org/news/2022/07/22/uk-tackling-violence-against-some-women-not-all</w:t>
      </w:r>
    </w:p>
  </w:footnote>
  <w:footnote w:id="33">
    <w:p w14:paraId="1B25FF24" w14:textId="4664F567" w:rsidR="007E6A77" w:rsidRDefault="007E6A77">
      <w:pPr>
        <w:pStyle w:val="FootnoteText"/>
      </w:pPr>
      <w:r>
        <w:rPr>
          <w:rStyle w:val="FootnoteReference"/>
        </w:rPr>
        <w:footnoteRef/>
      </w:r>
      <w:r>
        <w:t xml:space="preserve"> </w:t>
      </w:r>
      <w:r w:rsidRPr="007E6A77">
        <w:t>https://www.hrw.org/news/2022/07/22/uk-tackling-violence-against-some-women-not-all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6F037E"/>
    <w:multiLevelType w:val="hybridMultilevel"/>
    <w:tmpl w:val="1E621238"/>
    <w:lvl w:ilvl="0" w:tplc="B122E54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3C5451"/>
    <w:multiLevelType w:val="hybridMultilevel"/>
    <w:tmpl w:val="F26CC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E16B42"/>
    <w:multiLevelType w:val="hybridMultilevel"/>
    <w:tmpl w:val="0E3A2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B66064"/>
    <w:multiLevelType w:val="hybridMultilevel"/>
    <w:tmpl w:val="219010B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B976B0F"/>
    <w:multiLevelType w:val="multilevel"/>
    <w:tmpl w:val="B7E45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4E3854"/>
    <w:multiLevelType w:val="hybridMultilevel"/>
    <w:tmpl w:val="43823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7256E7"/>
    <w:multiLevelType w:val="hybridMultilevel"/>
    <w:tmpl w:val="6EA67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8947182">
    <w:abstractNumId w:val="6"/>
  </w:num>
  <w:num w:numId="2" w16cid:durableId="41944775">
    <w:abstractNumId w:val="5"/>
  </w:num>
  <w:num w:numId="3" w16cid:durableId="445545062">
    <w:abstractNumId w:val="0"/>
  </w:num>
  <w:num w:numId="4" w16cid:durableId="1793554334">
    <w:abstractNumId w:val="3"/>
  </w:num>
  <w:num w:numId="5" w16cid:durableId="305748526">
    <w:abstractNumId w:val="1"/>
  </w:num>
  <w:num w:numId="6" w16cid:durableId="1827889748">
    <w:abstractNumId w:val="2"/>
  </w:num>
  <w:num w:numId="7" w16cid:durableId="6199982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78C"/>
    <w:rsid w:val="0002615D"/>
    <w:rsid w:val="00077744"/>
    <w:rsid w:val="0009686F"/>
    <w:rsid w:val="000F7580"/>
    <w:rsid w:val="00125274"/>
    <w:rsid w:val="00125D42"/>
    <w:rsid w:val="00191F9C"/>
    <w:rsid w:val="001B1604"/>
    <w:rsid w:val="001C021E"/>
    <w:rsid w:val="001F5CD2"/>
    <w:rsid w:val="002231B4"/>
    <w:rsid w:val="002617BD"/>
    <w:rsid w:val="002D0507"/>
    <w:rsid w:val="002F598D"/>
    <w:rsid w:val="0030205A"/>
    <w:rsid w:val="003A0109"/>
    <w:rsid w:val="003A5119"/>
    <w:rsid w:val="003A7EA8"/>
    <w:rsid w:val="003C416C"/>
    <w:rsid w:val="00401341"/>
    <w:rsid w:val="004557BD"/>
    <w:rsid w:val="00472A68"/>
    <w:rsid w:val="00484186"/>
    <w:rsid w:val="004C1008"/>
    <w:rsid w:val="004F3F5C"/>
    <w:rsid w:val="00545A02"/>
    <w:rsid w:val="00546CFA"/>
    <w:rsid w:val="00584C2C"/>
    <w:rsid w:val="005B2031"/>
    <w:rsid w:val="00601CC0"/>
    <w:rsid w:val="00622CE7"/>
    <w:rsid w:val="0063631C"/>
    <w:rsid w:val="00691539"/>
    <w:rsid w:val="006B2AFA"/>
    <w:rsid w:val="006E08E3"/>
    <w:rsid w:val="0072788D"/>
    <w:rsid w:val="007439BF"/>
    <w:rsid w:val="007C274E"/>
    <w:rsid w:val="007E6A77"/>
    <w:rsid w:val="00834041"/>
    <w:rsid w:val="008361F7"/>
    <w:rsid w:val="008853B8"/>
    <w:rsid w:val="008B0C44"/>
    <w:rsid w:val="008B36AE"/>
    <w:rsid w:val="008B7F63"/>
    <w:rsid w:val="008D79B7"/>
    <w:rsid w:val="008E095D"/>
    <w:rsid w:val="008F26B8"/>
    <w:rsid w:val="00932ED7"/>
    <w:rsid w:val="009D578C"/>
    <w:rsid w:val="009D7B38"/>
    <w:rsid w:val="009E2EA5"/>
    <w:rsid w:val="00A10E47"/>
    <w:rsid w:val="00A30C22"/>
    <w:rsid w:val="00A35053"/>
    <w:rsid w:val="00A712D0"/>
    <w:rsid w:val="00A8649B"/>
    <w:rsid w:val="00AC1B46"/>
    <w:rsid w:val="00B74E46"/>
    <w:rsid w:val="00BA62DA"/>
    <w:rsid w:val="00C22D7D"/>
    <w:rsid w:val="00CB7A49"/>
    <w:rsid w:val="00CE2430"/>
    <w:rsid w:val="00CF34E6"/>
    <w:rsid w:val="00D0042E"/>
    <w:rsid w:val="00D47AEC"/>
    <w:rsid w:val="00DE55C8"/>
    <w:rsid w:val="00E03ECB"/>
    <w:rsid w:val="00E137E3"/>
    <w:rsid w:val="00E35083"/>
    <w:rsid w:val="00E40370"/>
    <w:rsid w:val="00E67EB7"/>
    <w:rsid w:val="00E83BC1"/>
    <w:rsid w:val="00EB38D7"/>
    <w:rsid w:val="00F86685"/>
    <w:rsid w:val="00FD1C26"/>
    <w:rsid w:val="00FD7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8D0B5"/>
  <w15:chartTrackingRefBased/>
  <w15:docId w15:val="{57042724-2BFE-4AA4-8981-4634A0C64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78C"/>
  </w:style>
  <w:style w:type="paragraph" w:styleId="Heading1">
    <w:name w:val="heading 1"/>
    <w:basedOn w:val="Normal"/>
    <w:next w:val="Normal"/>
    <w:link w:val="Heading1Char"/>
    <w:uiPriority w:val="9"/>
    <w:qFormat/>
    <w:rsid w:val="00FD1C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020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205A"/>
    <w:rPr>
      <w:sz w:val="20"/>
      <w:szCs w:val="20"/>
    </w:rPr>
  </w:style>
  <w:style w:type="character" w:styleId="FootnoteReference">
    <w:name w:val="footnote reference"/>
    <w:basedOn w:val="DefaultParagraphFont"/>
    <w:uiPriority w:val="99"/>
    <w:semiHidden/>
    <w:unhideWhenUsed/>
    <w:rsid w:val="0030205A"/>
    <w:rPr>
      <w:vertAlign w:val="superscript"/>
    </w:rPr>
  </w:style>
  <w:style w:type="paragraph" w:styleId="ListParagraph">
    <w:name w:val="List Paragraph"/>
    <w:basedOn w:val="Normal"/>
    <w:uiPriority w:val="34"/>
    <w:qFormat/>
    <w:rsid w:val="00FD1C26"/>
    <w:pPr>
      <w:ind w:left="720"/>
      <w:contextualSpacing/>
    </w:pPr>
  </w:style>
  <w:style w:type="character" w:customStyle="1" w:styleId="Heading1Char">
    <w:name w:val="Heading 1 Char"/>
    <w:basedOn w:val="DefaultParagraphFont"/>
    <w:link w:val="Heading1"/>
    <w:uiPriority w:val="9"/>
    <w:rsid w:val="00FD1C2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9686F"/>
    <w:rPr>
      <w:color w:val="0563C1" w:themeColor="hyperlink"/>
      <w:u w:val="single"/>
    </w:rPr>
  </w:style>
  <w:style w:type="character" w:styleId="UnresolvedMention">
    <w:name w:val="Unresolved Mention"/>
    <w:basedOn w:val="DefaultParagraphFont"/>
    <w:uiPriority w:val="99"/>
    <w:semiHidden/>
    <w:unhideWhenUsed/>
    <w:rsid w:val="000968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081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cnowome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FBBFBC-7407-42F2-9B9E-F4F1A6F4878F}">
  <ds:schemaRefs>
    <ds:schemaRef ds:uri="http://schemas.openxmlformats.org/officeDocument/2006/bibliography"/>
  </ds:schemaRefs>
</ds:datastoreItem>
</file>

<file path=customXml/itemProps2.xml><?xml version="1.0" encoding="utf-8"?>
<ds:datastoreItem xmlns:ds="http://schemas.openxmlformats.org/officeDocument/2006/customXml" ds:itemID="{18884E6F-6C8F-4CE6-9352-D37D685797EF}"/>
</file>

<file path=customXml/itemProps3.xml><?xml version="1.0" encoding="utf-8"?>
<ds:datastoreItem xmlns:ds="http://schemas.openxmlformats.org/officeDocument/2006/customXml" ds:itemID="{664AF105-02F3-4A89-B4AD-B73661B07605}"/>
</file>

<file path=docProps/app.xml><?xml version="1.0" encoding="utf-8"?>
<Properties xmlns="http://schemas.openxmlformats.org/officeDocument/2006/extended-properties" xmlns:vt="http://schemas.openxmlformats.org/officeDocument/2006/docPropsVTypes">
  <Template>Normal</Template>
  <TotalTime>2</TotalTime>
  <Pages>10</Pages>
  <Words>2214</Words>
  <Characters>12625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MSHirdel</cp:lastModifiedBy>
  <cp:revision>5</cp:revision>
  <dcterms:created xsi:type="dcterms:W3CDTF">2024-07-05T05:25:00Z</dcterms:created>
  <dcterms:modified xsi:type="dcterms:W3CDTF">2024-07-05T05:28:00Z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9dae1704392b7b86310d709d4c250c3525844730deb403303ce8f36ca41d8baf</vt:lpwstr>
  </property>
</Properties>
</file>