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41F55" w14:textId="77777777" w:rsidR="00E849E8" w:rsidRDefault="00E849E8" w:rsidP="00E849E8">
      <w:pPr>
        <w:pBdr>
          <w:bottom w:val="single" w:sz="18" w:space="1" w:color="auto"/>
        </w:pBdr>
        <w:jc w:val="center"/>
        <w:rPr>
          <w:rFonts w:asciiTheme="majorBidi" w:hAnsiTheme="majorBidi" w:cstheme="majorBidi"/>
          <w:b/>
          <w:bCs/>
          <w:color w:val="70AD47" w:themeColor="accent6"/>
          <w:sz w:val="32"/>
          <w:szCs w:val="32"/>
        </w:rPr>
      </w:pPr>
      <w:r w:rsidRPr="00E849E8">
        <w:rPr>
          <w:rFonts w:asciiTheme="majorBidi" w:hAnsiTheme="majorBidi" w:cstheme="majorBidi"/>
          <w:b/>
          <w:bCs/>
          <w:color w:val="0070C0"/>
          <w:sz w:val="32"/>
          <w:szCs w:val="32"/>
        </w:rPr>
        <w:t xml:space="preserve">International Alliance for Peace and Development Report to the Committee Against Torture Regarding </w:t>
      </w:r>
      <w:r w:rsidRPr="00E849E8">
        <w:rPr>
          <w:rFonts w:asciiTheme="majorBidi" w:hAnsiTheme="majorBidi" w:cstheme="majorBidi"/>
          <w:b/>
          <w:bCs/>
          <w:color w:val="70AD47" w:themeColor="accent6"/>
          <w:sz w:val="32"/>
          <w:szCs w:val="32"/>
        </w:rPr>
        <w:t>Italy</w:t>
      </w:r>
    </w:p>
    <w:p w14:paraId="59BC6984" w14:textId="65E83CF5" w:rsidR="00756124" w:rsidRPr="00756124" w:rsidRDefault="00756124" w:rsidP="00E849E8">
      <w:pPr>
        <w:pBdr>
          <w:bottom w:val="single" w:sz="18" w:space="1" w:color="auto"/>
        </w:pBdr>
        <w:jc w:val="center"/>
        <w:rPr>
          <w:rFonts w:asciiTheme="majorBidi" w:hAnsiTheme="majorBidi" w:cstheme="majorBidi"/>
          <w:color w:val="0070C0"/>
          <w:sz w:val="24"/>
          <w:szCs w:val="24"/>
        </w:rPr>
      </w:pPr>
      <w:r w:rsidRPr="00756124">
        <w:rPr>
          <w:rFonts w:asciiTheme="majorBidi" w:hAnsiTheme="majorBidi" w:cstheme="majorBidi"/>
          <w:b/>
          <w:bCs/>
          <w:color w:val="70AD47" w:themeColor="accent6"/>
          <w:sz w:val="24"/>
          <w:szCs w:val="24"/>
        </w:rPr>
        <w:t>March 2026</w:t>
      </w:r>
    </w:p>
    <w:p w14:paraId="09B2BF32" w14:textId="1399E4D0"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 xml:space="preserve">Italy signed the </w:t>
      </w:r>
      <w:bookmarkStart w:id="0" w:name="OLE_LINK3"/>
      <w:r w:rsidRPr="00E849E8">
        <w:rPr>
          <w:rFonts w:asciiTheme="majorBidi" w:hAnsiTheme="majorBidi" w:cstheme="majorBidi"/>
          <w:sz w:val="24"/>
          <w:szCs w:val="24"/>
        </w:rPr>
        <w:t xml:space="preserve">Convention Against Torture and Other Cruel, Inhuman or Degrading Treatment or Punishment </w:t>
      </w:r>
      <w:bookmarkEnd w:id="0"/>
      <w:r w:rsidRPr="00E849E8">
        <w:rPr>
          <w:rFonts w:asciiTheme="majorBidi" w:hAnsiTheme="majorBidi" w:cstheme="majorBidi"/>
          <w:sz w:val="24"/>
          <w:szCs w:val="24"/>
        </w:rPr>
        <w:t>(hereinafter referred to as “the Convention”) on February 4, 1985, and ratified it on January 12, 1989.</w:t>
      </w:r>
      <w:r w:rsidRPr="00E849E8">
        <w:rPr>
          <w:rStyle w:val="FootnoteReference"/>
          <w:rFonts w:asciiTheme="majorBidi" w:hAnsiTheme="majorBidi" w:cstheme="majorBidi"/>
          <w:sz w:val="24"/>
          <w:szCs w:val="24"/>
        </w:rPr>
        <w:footnoteReference w:id="1"/>
      </w:r>
      <w:r w:rsidRPr="00E849E8">
        <w:rPr>
          <w:rFonts w:asciiTheme="majorBidi" w:hAnsiTheme="majorBidi" w:cstheme="majorBidi"/>
          <w:sz w:val="24"/>
          <w:szCs w:val="24"/>
        </w:rPr>
        <w:t xml:space="preserve"> Consequently, it committed to taking all necessary legislative, administrative, and judicial measures to prevent torture and ensure accountability and non-impunity, in addition to protecting the rights of all individuals under its jurisdiction. The International Alliance for Peace and Development (</w:t>
      </w:r>
      <w:bookmarkStart w:id="1" w:name="OLE_LINK1"/>
      <w:r w:rsidRPr="00E849E8">
        <w:rPr>
          <w:rFonts w:asciiTheme="majorBidi" w:hAnsiTheme="majorBidi" w:cstheme="majorBidi"/>
          <w:sz w:val="24"/>
          <w:szCs w:val="24"/>
        </w:rPr>
        <w:t>IAPD</w:t>
      </w:r>
      <w:bookmarkEnd w:id="1"/>
      <w:r w:rsidRPr="00E849E8">
        <w:rPr>
          <w:rFonts w:asciiTheme="majorBidi" w:hAnsiTheme="majorBidi" w:cstheme="majorBidi"/>
          <w:sz w:val="24"/>
          <w:szCs w:val="24"/>
        </w:rPr>
        <w:t>) submits this report to the Committee Against Torture</w:t>
      </w:r>
      <w:r w:rsidR="006F507E">
        <w:rPr>
          <w:rFonts w:asciiTheme="majorBidi" w:hAnsiTheme="majorBidi" w:cstheme="majorBidi"/>
          <w:sz w:val="24"/>
          <w:szCs w:val="24"/>
        </w:rPr>
        <w:t xml:space="preserve"> </w:t>
      </w:r>
      <w:r w:rsidRPr="00E849E8">
        <w:rPr>
          <w:rFonts w:asciiTheme="majorBidi" w:hAnsiTheme="majorBidi" w:cstheme="majorBidi"/>
          <w:sz w:val="24"/>
          <w:szCs w:val="24"/>
        </w:rPr>
        <w:t>in connection with the Committee's consideration of Italy's periodic report during its eighty-fourth session, scheduled from April 13 to May 1, 2026. This report assesses the State Party's compliance with its obligations under the Convention by analyzing several issues directly related to Articles 1, 2, 3, 10, and 11.</w:t>
      </w:r>
      <w:r w:rsidRPr="00E849E8">
        <w:rPr>
          <w:rStyle w:val="FootnoteReference"/>
          <w:rFonts w:asciiTheme="majorBidi" w:hAnsiTheme="majorBidi" w:cstheme="majorBidi"/>
          <w:sz w:val="24"/>
          <w:szCs w:val="24"/>
        </w:rPr>
        <w:footnoteReference w:id="2"/>
      </w:r>
      <w:r w:rsidRPr="00E849E8">
        <w:rPr>
          <w:rFonts w:asciiTheme="majorBidi" w:hAnsiTheme="majorBidi" w:cstheme="majorBidi"/>
          <w:sz w:val="24"/>
          <w:szCs w:val="24"/>
        </w:rPr>
        <w:t xml:space="preserve"> The report is based on a legislative review, factual evidence, and analysis of official, judicial, and media reports.</w:t>
      </w:r>
    </w:p>
    <w:p w14:paraId="295DA74C" w14:textId="77777777" w:rsidR="00E849E8" w:rsidRPr="00E849E8" w:rsidRDefault="00E849E8" w:rsidP="00E849E8">
      <w:pPr>
        <w:pStyle w:val="ListParagraph"/>
        <w:numPr>
          <w:ilvl w:val="0"/>
          <w:numId w:val="32"/>
        </w:numPr>
        <w:spacing w:after="160" w:line="278" w:lineRule="auto"/>
        <w:jc w:val="both"/>
        <w:rPr>
          <w:rFonts w:asciiTheme="majorBidi" w:hAnsiTheme="majorBidi" w:cstheme="majorBidi"/>
          <w:b/>
          <w:bCs/>
          <w:color w:val="70AD47" w:themeColor="accent6"/>
          <w:sz w:val="28"/>
          <w:szCs w:val="28"/>
        </w:rPr>
      </w:pPr>
      <w:r w:rsidRPr="00E849E8">
        <w:rPr>
          <w:rFonts w:asciiTheme="majorBidi" w:hAnsiTheme="majorBidi" w:cstheme="majorBidi"/>
          <w:b/>
          <w:bCs/>
          <w:color w:val="70AD47" w:themeColor="accent6"/>
          <w:sz w:val="28"/>
          <w:szCs w:val="28"/>
        </w:rPr>
        <w:t>Definition of Torture – Article 1</w:t>
      </w:r>
    </w:p>
    <w:p w14:paraId="08E7E90D"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In the context of aligning national legislation with relevant international obligations, the Italian legislator adopted a definition of the crime of torture in Article 613-bis, paragraph (1), of the Penal Code, which states: "Anyone who, through violence or serious threats, or by acting cruelly, causes severe physical suffering or verifiable psychological harm to a person deprived of personal liberty, or subject to their supervision, authority, control, care, or assistance, or in a state of reduced self-defense capacity, shall be punished with imprisonment for four to ten years if the act is committed through more than one action or involves inhumane or degrading treatment of the individual's dignity." IAPD observes that, when comparing this definition with the text of Article 1 of the Convention, there are several substantive discrepancies between them. On one hand, the definition in Italian legislation omits reference to the specific purposes that must be present for an act to be considered torture under the Convention, such as obtaining confessions or punishment, intimidation, or discrimination. The absence of a purpose element renders ambiguous the dividing line between torture and other forms of cruel, inhuman, or degrading treatment.</w:t>
      </w:r>
    </w:p>
    <w:p w14:paraId="43E4546A"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 xml:space="preserve">Pursuant to Article 613-bis, the presence of a certain level of violence, manifested as severe physical suffering or verifiable psychological harm, coupled with deprivation of liberty or subjection to some form of authority, care, supervision, or control, or a state of reduced self-defense capacity, may allow for the classification of behavior as torture if it includes inhumane or degrading treatment, or if committed through multiple actions. This legal structuring consequently broadens the uncertainty in distinguishing between torture and cruel, inhuman, or degrading treatment, given the overlap of the criteria adopted for each. This ambiguity is heightened by the requirement that “more than one act” be present for the crime to occur. Yet, the text provides no definition or clarification of what constitutes multiple acts or of the necessary frequency across time or place. This stipulation implies a presumption of a certain degree of </w:t>
      </w:r>
      <w:r w:rsidRPr="00E849E8">
        <w:rPr>
          <w:rFonts w:asciiTheme="majorBidi" w:hAnsiTheme="majorBidi" w:cstheme="majorBidi"/>
          <w:sz w:val="24"/>
          <w:szCs w:val="24"/>
        </w:rPr>
        <w:lastRenderedPageBreak/>
        <w:t>repetition in the exercise of violence, which might lead to the exclusion of certain acts that are committed only once from the scope of national criminalization, despite their potential classification as torture according to the standards of the international convention. In this context, a question arises as to whether the criminalization in Italian law is narrower in scope compared to the definition adopted in the United Nations Convention.</w:t>
      </w:r>
    </w:p>
    <w:p w14:paraId="2987454B"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On the other hand, the Italian definition of the crime of torture does not limit the commission of acts to instances where the act is attributed to a public official or a person acting in an official capacity, nor to situations of incitement, consent, or complicity, as is the case in the text of the Convention. The involvement of public officials or those tasked with public service is only mentioned in paragraph (2) of Article 613-bis, as an aggravating circumstance. Consequently, from this perspective, the Italian definition appears broader in its personal scope, as it could be implicitly understood that any individual, even if not a public official or acting in an official capacity, could be convicted of the crime of torture under national legislation.</w:t>
      </w:r>
      <w:r w:rsidRPr="00E849E8">
        <w:rPr>
          <w:rStyle w:val="FootnoteReference"/>
          <w:rFonts w:asciiTheme="majorBidi" w:hAnsiTheme="majorBidi" w:cstheme="majorBidi"/>
          <w:sz w:val="24"/>
          <w:szCs w:val="24"/>
        </w:rPr>
        <w:footnoteReference w:id="3"/>
      </w:r>
    </w:p>
    <w:p w14:paraId="457A1F78" w14:textId="77777777" w:rsidR="00E849E8" w:rsidRPr="00E849E8" w:rsidRDefault="00E849E8" w:rsidP="00E849E8">
      <w:pPr>
        <w:pStyle w:val="ListParagraph"/>
        <w:numPr>
          <w:ilvl w:val="0"/>
          <w:numId w:val="32"/>
        </w:numPr>
        <w:spacing w:after="160" w:line="278" w:lineRule="auto"/>
        <w:jc w:val="both"/>
        <w:rPr>
          <w:rFonts w:asciiTheme="majorBidi" w:hAnsiTheme="majorBidi" w:cstheme="majorBidi"/>
          <w:b/>
          <w:bCs/>
          <w:color w:val="70AD47" w:themeColor="accent6"/>
          <w:sz w:val="28"/>
          <w:szCs w:val="28"/>
        </w:rPr>
      </w:pPr>
      <w:r w:rsidRPr="00E849E8">
        <w:rPr>
          <w:rFonts w:asciiTheme="majorBidi" w:hAnsiTheme="majorBidi" w:cstheme="majorBidi"/>
          <w:b/>
          <w:bCs/>
          <w:color w:val="70AD47" w:themeColor="accent6"/>
          <w:sz w:val="28"/>
          <w:szCs w:val="28"/>
        </w:rPr>
        <w:t>Prevention of Torture – Article 2</w:t>
      </w:r>
    </w:p>
    <w:p w14:paraId="79161489"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Conditions in Italian prisons remain contentious amid ongoing complaints regarding the living conditions of inmates, particularly concerning patterns of cruel, inhuman, or degrading treatment. Issues such as overcrowding, food shortages, and mistreatment persist as entrenched structural characteristics within the detention system. The Agrigento prison exemplifies this situation, where a letter signed by 55 inmates revealed living conditions bordering on human tolerance, reflecting a troubling image of the reality of detention. Reports and testimonies from Agrigento prison inmates indicate severe overcrowding in cells, lack of heating, and an infestation of lice in mattresses, in addition to deteriorating sanitary conditions. A recent directive from the Sicilian prison administration exacerbated these conditions by imposing additional restrictions, including a ban on padded jackets, wool blankets, and neck coverings, thereby subjecting inmates to increasing physical suffering, especially in low temperatures. Moreover, the prohibition of certain food items, such as flour, yeast, processed meats, and cheeses, deprives prisoners of a minimum level of dietary autonomy, thereby undermining their dignity and living conditions.</w:t>
      </w:r>
    </w:p>
    <w:p w14:paraId="5F1EB2B8"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 xml:space="preserve">In this context, IAPD has reviewed reports indicating that living conditions in many Italian prisons do not meet the minimum standards required by international law. Single-occupancy cells are used to house four prisoners, with a living space of less than three square meters per person, thereby violating rulings of the European Court of Human Rights and contradicting the obligations arising under Article 2 of the Convention. These conditions contribute to the proliferation of insects and rodents, while the absence of hygiene standards leads to outbreaks of skin diseases, including scabies. Agrigento prison is not an isolated case but rather represents a model of the widespread overcrowding issue across Italy. According to official data, the number of prisoners exceeds 60,000, while the legal capacity of prisons is approximately 50,000. This overcrowding directly affects the quality of life for inmates and limits their chances for rehabilitation and reintegration into society. Additionally, there is a severe shortage of prison staff, forcing officers to oversee numbers beyond their capacity, adversely affecting security levels and respect for basic rights within detention facilities. The lack of effective measures to address </w:t>
      </w:r>
      <w:r w:rsidRPr="00E849E8">
        <w:rPr>
          <w:rFonts w:asciiTheme="majorBidi" w:hAnsiTheme="majorBidi" w:cstheme="majorBidi"/>
          <w:sz w:val="24"/>
          <w:szCs w:val="24"/>
        </w:rPr>
        <w:lastRenderedPageBreak/>
        <w:t>overcrowding and ensure decent living conditions remains one of the major issues highlighted by successive international reports.</w:t>
      </w:r>
    </w:p>
    <w:p w14:paraId="37BB2CDD"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IAPD also documented unequal treatment of prisoners in Sicilian prisons compared to their counterparts in other Italian regions. Recently imposed administrative restrictions in Sicilian prisons, which are not applied at the national level, include bans on certain types of food and clothing, without clear security justifications. This disparity deepens the suffering of inmates and raises serious questions about regional policies and the resulting manifestations of inequality and violation of fundamental rights. For instance, the ban on certain food items forces prisoners to purchase necessities within the prison at inflated prices, creating an internal economic system that burdens both prisoners and their families. These practices reflect a notable decline in the activation of obligations under Article 2 of the Convention.</w:t>
      </w:r>
      <w:r w:rsidRPr="00E849E8">
        <w:rPr>
          <w:rStyle w:val="FootnoteReference"/>
          <w:rFonts w:asciiTheme="majorBidi" w:hAnsiTheme="majorBidi" w:cstheme="majorBidi"/>
          <w:sz w:val="24"/>
          <w:szCs w:val="24"/>
        </w:rPr>
        <w:footnoteReference w:id="4"/>
      </w:r>
    </w:p>
    <w:p w14:paraId="22B4E2F8" w14:textId="77777777" w:rsidR="00E849E8" w:rsidRPr="00E849E8" w:rsidRDefault="00E849E8" w:rsidP="00E849E8">
      <w:pPr>
        <w:jc w:val="both"/>
        <w:rPr>
          <w:rFonts w:asciiTheme="majorBidi" w:hAnsiTheme="majorBidi" w:cstheme="majorBidi"/>
          <w:sz w:val="24"/>
          <w:szCs w:val="24"/>
          <w:rtl/>
        </w:rPr>
      </w:pPr>
      <w:r w:rsidRPr="00E849E8">
        <w:rPr>
          <w:rFonts w:asciiTheme="majorBidi" w:hAnsiTheme="majorBidi" w:cstheme="majorBidi"/>
          <w:sz w:val="24"/>
          <w:szCs w:val="24"/>
        </w:rPr>
        <w:t>In a related context, the Italian Prison Police Union (SPP) reported 24 cases of suicide in Italian prisons during the first three months of 2025, following the tragic event of three inmates taking their lives in prisons in Avellino, Genoa, and Trieste on the same day. The union noted that, if this rate continues, the previous year's record of 91 suicides is likely to be exceeded. Reports reviewed by IAPD indicate that prison deaths cannot be regarded as random events, especially given a 40% increase in suicides among inmates suffering from mental disorders or addiction, who constitute about one-third of the prison population. This reality reflects a deepening state of emergency within the detention system, characterized by an increasing inability to ensure the safety of inmates, amidst harsh detention conditions that also affect prison staff.</w:t>
      </w:r>
      <w:r w:rsidRPr="00E849E8">
        <w:rPr>
          <w:rStyle w:val="FootnoteReference"/>
          <w:rFonts w:asciiTheme="majorBidi" w:hAnsiTheme="majorBidi" w:cstheme="majorBidi"/>
          <w:sz w:val="24"/>
          <w:szCs w:val="24"/>
        </w:rPr>
        <w:footnoteReference w:id="5"/>
      </w:r>
    </w:p>
    <w:p w14:paraId="1073FEEA" w14:textId="77777777" w:rsidR="00E849E8" w:rsidRPr="00E849E8" w:rsidRDefault="00E849E8" w:rsidP="00E849E8">
      <w:pPr>
        <w:pStyle w:val="ListParagraph"/>
        <w:numPr>
          <w:ilvl w:val="0"/>
          <w:numId w:val="32"/>
        </w:numPr>
        <w:spacing w:after="160" w:line="278" w:lineRule="auto"/>
        <w:jc w:val="both"/>
        <w:rPr>
          <w:rFonts w:asciiTheme="majorBidi" w:hAnsiTheme="majorBidi" w:cstheme="majorBidi"/>
          <w:b/>
          <w:bCs/>
          <w:color w:val="70AD47" w:themeColor="accent6"/>
          <w:sz w:val="28"/>
          <w:szCs w:val="28"/>
        </w:rPr>
      </w:pPr>
      <w:r w:rsidRPr="00E849E8">
        <w:rPr>
          <w:rFonts w:asciiTheme="majorBidi" w:hAnsiTheme="majorBidi" w:cstheme="majorBidi"/>
          <w:b/>
          <w:bCs/>
          <w:color w:val="70AD47" w:themeColor="accent6"/>
          <w:sz w:val="28"/>
          <w:szCs w:val="28"/>
        </w:rPr>
        <w:t>Non-Refoulement – Article 3</w:t>
      </w:r>
    </w:p>
    <w:p w14:paraId="4D072109"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IAPD has serious concerns regarding practices attributed to Italian authorities concerning the forcible return of migrants and asylum seekers, raising questions about their legal legitimacy and putting respect for asylum rights into doubt. In this context, reports indicate that Italy transferred 40 migrants whose requests to remain in the country were rejected to detention centers run by Italian authorities on Albanian territory in April 2025. This action was described as unprecedented for a member state of the European Union, as it involved transferring rejected asylum seekers to a third country that is neither their country of origin nor a transit country. According to local media, the group departed from the port of Brindisi, although Italian authorities did not officially announce the nationalities of those involved or provide additional details regarding the measures taken against them.</w:t>
      </w:r>
    </w:p>
    <w:p w14:paraId="258B41CB"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 xml:space="preserve">These individuals were detained in two Italian facilities established and operated in the </w:t>
      </w:r>
      <w:proofErr w:type="spellStart"/>
      <w:r w:rsidRPr="00E849E8">
        <w:rPr>
          <w:rFonts w:asciiTheme="majorBidi" w:hAnsiTheme="majorBidi" w:cstheme="majorBidi"/>
          <w:sz w:val="24"/>
          <w:szCs w:val="24"/>
        </w:rPr>
        <w:t>Shengen</w:t>
      </w:r>
      <w:proofErr w:type="spellEnd"/>
      <w:r w:rsidRPr="00E849E8">
        <w:rPr>
          <w:rFonts w:asciiTheme="majorBidi" w:hAnsiTheme="majorBidi" w:cstheme="majorBidi"/>
          <w:sz w:val="24"/>
          <w:szCs w:val="24"/>
        </w:rPr>
        <w:t xml:space="preserve"> and </w:t>
      </w:r>
      <w:proofErr w:type="spellStart"/>
      <w:r w:rsidRPr="00E849E8">
        <w:rPr>
          <w:rFonts w:asciiTheme="majorBidi" w:hAnsiTheme="majorBidi" w:cstheme="majorBidi"/>
          <w:sz w:val="24"/>
          <w:szCs w:val="24"/>
        </w:rPr>
        <w:t>Gjirokastër</w:t>
      </w:r>
      <w:proofErr w:type="spellEnd"/>
      <w:r w:rsidRPr="00E849E8">
        <w:rPr>
          <w:rFonts w:asciiTheme="majorBidi" w:hAnsiTheme="majorBidi" w:cstheme="majorBidi"/>
          <w:sz w:val="24"/>
          <w:szCs w:val="24"/>
        </w:rPr>
        <w:t xml:space="preserve"> regions of Albania, originally announced as aimed at processing asylum requests from migrants intercepted in the Mediterranean Sea. However, reports indicate that the actual use of these centers has remained limited since their launch in October due to legal challenges against detaining individuals outside Italian territory. In several cases, these challenges resulted in migrants being returned to Italy after courts refused to legitimize their detention in a third country. Subsequently, Italian courts issued rulings declaring the use of these centers as applied to be illegal, resulting in the return of several detainees to Italian territory.</w:t>
      </w:r>
      <w:r w:rsidRPr="00E849E8">
        <w:rPr>
          <w:rStyle w:val="FootnoteReference"/>
          <w:rFonts w:asciiTheme="majorBidi" w:hAnsiTheme="majorBidi" w:cstheme="majorBidi"/>
          <w:sz w:val="24"/>
          <w:szCs w:val="24"/>
        </w:rPr>
        <w:footnoteReference w:id="6"/>
      </w:r>
    </w:p>
    <w:p w14:paraId="6A67D552"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lastRenderedPageBreak/>
        <w:t>In light of the above, IAPD believes that the arrangements between Italy and Albania raise genuine concerns about circumventing the legal protection system established for migrants and asylum seekers within the European Union. These practices may undermine the guarantees associated with the right to seek international protection, including the principle of non-refoulement as stipulated in Article 3 of the Convention.</w:t>
      </w:r>
      <w:r w:rsidRPr="00E849E8">
        <w:rPr>
          <w:rStyle w:val="FootnoteReference"/>
          <w:rFonts w:asciiTheme="majorBidi" w:hAnsiTheme="majorBidi" w:cstheme="majorBidi"/>
          <w:sz w:val="24"/>
          <w:szCs w:val="24"/>
        </w:rPr>
        <w:footnoteReference w:id="7"/>
      </w:r>
    </w:p>
    <w:p w14:paraId="2C6F9D0E" w14:textId="77777777" w:rsidR="00E849E8" w:rsidRPr="00E849E8" w:rsidRDefault="00E849E8" w:rsidP="00E849E8">
      <w:pPr>
        <w:pStyle w:val="ListParagraph"/>
        <w:numPr>
          <w:ilvl w:val="0"/>
          <w:numId w:val="32"/>
        </w:numPr>
        <w:spacing w:after="160" w:line="278" w:lineRule="auto"/>
        <w:jc w:val="both"/>
        <w:rPr>
          <w:rFonts w:asciiTheme="majorBidi" w:hAnsiTheme="majorBidi" w:cstheme="majorBidi"/>
          <w:b/>
          <w:bCs/>
          <w:color w:val="70AD47" w:themeColor="accent6"/>
          <w:sz w:val="28"/>
          <w:szCs w:val="28"/>
        </w:rPr>
      </w:pPr>
      <w:r w:rsidRPr="00E849E8">
        <w:rPr>
          <w:rFonts w:asciiTheme="majorBidi" w:hAnsiTheme="majorBidi" w:cstheme="majorBidi"/>
          <w:b/>
          <w:bCs/>
          <w:color w:val="70AD47" w:themeColor="accent6"/>
          <w:sz w:val="28"/>
          <w:szCs w:val="28"/>
        </w:rPr>
        <w:t>Education and Training on the Prohibition of Torture – Article 10</w:t>
      </w:r>
    </w:p>
    <w:p w14:paraId="50E8FC00"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As part of its monitoring of detention conditions, the European Committee for the Prevention of Torture and Inhuman or Degrading Treatment or Punishment (CPT) conducted a special visit to Italy from September 1 to 12, 2025, to document detention conditions in several reform institutions. The visit included prisons in Avellino, Florence-</w:t>
      </w:r>
      <w:proofErr w:type="spellStart"/>
      <w:r w:rsidRPr="00E849E8">
        <w:rPr>
          <w:rFonts w:asciiTheme="majorBidi" w:hAnsiTheme="majorBidi" w:cstheme="majorBidi"/>
          <w:sz w:val="24"/>
          <w:szCs w:val="24"/>
        </w:rPr>
        <w:t>Sollicciano</w:t>
      </w:r>
      <w:proofErr w:type="spellEnd"/>
      <w:r w:rsidRPr="00E849E8">
        <w:rPr>
          <w:rFonts w:asciiTheme="majorBidi" w:hAnsiTheme="majorBidi" w:cstheme="majorBidi"/>
          <w:sz w:val="24"/>
          <w:szCs w:val="24"/>
        </w:rPr>
        <w:t>, Foggia, Genoa-</w:t>
      </w:r>
      <w:proofErr w:type="spellStart"/>
      <w:r w:rsidRPr="00E849E8">
        <w:rPr>
          <w:rFonts w:asciiTheme="majorBidi" w:hAnsiTheme="majorBidi" w:cstheme="majorBidi"/>
          <w:sz w:val="24"/>
          <w:szCs w:val="24"/>
        </w:rPr>
        <w:t>Marassi</w:t>
      </w:r>
      <w:proofErr w:type="spellEnd"/>
      <w:r w:rsidRPr="00E849E8">
        <w:rPr>
          <w:rFonts w:asciiTheme="majorBidi" w:hAnsiTheme="majorBidi" w:cstheme="majorBidi"/>
          <w:sz w:val="24"/>
          <w:szCs w:val="24"/>
        </w:rPr>
        <w:t xml:space="preserve">, and Santa Maria Capua </w:t>
      </w:r>
      <w:proofErr w:type="spellStart"/>
      <w:r w:rsidRPr="00E849E8">
        <w:rPr>
          <w:rFonts w:asciiTheme="majorBidi" w:hAnsiTheme="majorBidi" w:cstheme="majorBidi"/>
          <w:sz w:val="24"/>
          <w:szCs w:val="24"/>
        </w:rPr>
        <w:t>Vetere</w:t>
      </w:r>
      <w:proofErr w:type="spellEnd"/>
      <w:r w:rsidRPr="00E849E8">
        <w:rPr>
          <w:rFonts w:asciiTheme="majorBidi" w:hAnsiTheme="majorBidi" w:cstheme="majorBidi"/>
          <w:sz w:val="24"/>
          <w:szCs w:val="24"/>
        </w:rPr>
        <w:t>, where the committee delegation focused on assessing how Italian authorities manage critical issues within the prison system, including the daily administration of detention facilities and the degree of compliance with relevant basic standards. The results of this visit, as reported in the committee's annual report, revealed alarming indicators, including an overcrowding rate of 134.3%, an increase in deaths during detention, and a decline in the quality of healthcare provided to prisoners. IAPD also noted that the committee paid special attention to the acute staff shortage, coupled with limited specialized training. This reflects ongoing deficiencies in integrating the principles of the prohibition of torture and inhumane or degrading treatment into rehabilitation and vocational training programs, indicating a delay in the full implementation of the provisions of Article 10 of the Convention.</w:t>
      </w:r>
      <w:r w:rsidRPr="00E849E8">
        <w:rPr>
          <w:rStyle w:val="FootnoteReference"/>
          <w:rFonts w:asciiTheme="majorBidi" w:hAnsiTheme="majorBidi" w:cstheme="majorBidi"/>
          <w:sz w:val="24"/>
          <w:szCs w:val="24"/>
        </w:rPr>
        <w:footnoteReference w:id="8"/>
      </w:r>
    </w:p>
    <w:p w14:paraId="151864A5"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In a related context, in November 2025, the Italian parliament approved a law that includes the crime of femicide in national criminal legislation and mandates life imprisonment for this offense, coinciding with the International Day for the Elimination of Violence Against Women. This law received broad support during voting in the council, being approved by a majority of 237 votes. This legislative development responds to a range of crimes and forms of severe violence, including patterns of torture and cruel treatment that have targeted women in Italy in recent years. The law includes stricter measures to combat gender-based violence, including sexual harassment and the distribution of images or videos of a sexual nature as acts of revenge. Reports indicate that Italy has doubled funding for anti-violence centers and shelters, established an emergency hotline, and implemented innovative training and awareness-raising activities. These measures, by nature, constitute efforts to enhance awareness and training in areas related to preventing violence and cruel treatment, thereby activating certain practical aspects of Article 10 of the Convention.</w:t>
      </w:r>
      <w:r w:rsidRPr="00E849E8">
        <w:rPr>
          <w:rStyle w:val="FootnoteReference"/>
          <w:rFonts w:asciiTheme="majorBidi" w:hAnsiTheme="majorBidi" w:cstheme="majorBidi"/>
          <w:sz w:val="24"/>
          <w:szCs w:val="24"/>
        </w:rPr>
        <w:footnoteReference w:id="9"/>
      </w:r>
    </w:p>
    <w:p w14:paraId="63D9BCD8" w14:textId="77777777" w:rsidR="00E849E8" w:rsidRPr="00E849E8" w:rsidRDefault="00E849E8" w:rsidP="00E849E8">
      <w:pPr>
        <w:pStyle w:val="ListParagraph"/>
        <w:numPr>
          <w:ilvl w:val="0"/>
          <w:numId w:val="32"/>
        </w:numPr>
        <w:spacing w:after="160" w:line="278" w:lineRule="auto"/>
        <w:jc w:val="both"/>
        <w:rPr>
          <w:rFonts w:asciiTheme="majorBidi" w:hAnsiTheme="majorBidi" w:cstheme="majorBidi"/>
          <w:b/>
          <w:bCs/>
          <w:color w:val="70AD47" w:themeColor="accent6"/>
          <w:sz w:val="28"/>
          <w:szCs w:val="28"/>
        </w:rPr>
      </w:pPr>
      <w:r w:rsidRPr="00E849E8">
        <w:rPr>
          <w:rFonts w:asciiTheme="majorBidi" w:hAnsiTheme="majorBidi" w:cstheme="majorBidi"/>
          <w:b/>
          <w:bCs/>
          <w:color w:val="70AD47" w:themeColor="accent6"/>
          <w:sz w:val="28"/>
          <w:szCs w:val="28"/>
        </w:rPr>
        <w:t>Interrogation Standards – Article 11</w:t>
      </w:r>
    </w:p>
    <w:p w14:paraId="332E9F6F" w14:textId="77777777"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 xml:space="preserve">IAPD has reviewed reports indicating that the Italian police arrested several climate activists and human rights defenders during a peaceful protest on January 13, 2025, where they were held arbitrarily for nearly seven hours. During this detention, their personal belongings were confiscated, and seven women human rights defenders were subjected to searches described as degrading, which were considered, according to available reports, a form of sexual violence. According to the victims' lawyers, these practices may constitute violations of several provisions of the Italian Penal Code, including Article 605 </w:t>
      </w:r>
      <w:r w:rsidRPr="00E849E8">
        <w:rPr>
          <w:rFonts w:asciiTheme="majorBidi" w:hAnsiTheme="majorBidi" w:cstheme="majorBidi"/>
          <w:sz w:val="24"/>
          <w:szCs w:val="24"/>
        </w:rPr>
        <w:lastRenderedPageBreak/>
        <w:t>related to unlawful deprivation of liberty, Article 609 concerning coercive or degrading sexual acts, and Article 610, which prohibits coercion, due to the requirement for detainees to remove their clothing and assume degrading positions during the searches.</w:t>
      </w:r>
    </w:p>
    <w:p w14:paraId="1EA72D8F" w14:textId="467B8CB2" w:rsidR="00E849E8" w:rsidRPr="00E849E8" w:rsidRDefault="00E849E8" w:rsidP="00E849E8">
      <w:pPr>
        <w:jc w:val="both"/>
        <w:rPr>
          <w:rFonts w:asciiTheme="majorBidi" w:hAnsiTheme="majorBidi" w:cstheme="majorBidi"/>
          <w:sz w:val="24"/>
          <w:szCs w:val="24"/>
        </w:rPr>
      </w:pPr>
      <w:r w:rsidRPr="00E849E8">
        <w:rPr>
          <w:rFonts w:asciiTheme="majorBidi" w:hAnsiTheme="majorBidi" w:cstheme="majorBidi"/>
          <w:sz w:val="24"/>
          <w:szCs w:val="24"/>
        </w:rPr>
        <w:t>Data indicate that the total number of detainees reached 22 climate activists and human rights defenders, who were arrested after organizing a direct peaceful protest against Italy's arms supply to Israel. During their detention, seven women human rights defenders were forced to remove their clothing and sit in a squatting position, raising serious concerns about the adherence of relevant authorities to the regulations governing interrogation and searches within detention facilities. In light of these incidents, the reported practices reflect shortcomings in respecting the rules and procedures that protect human dignity during interrogation and detention, and raise questions about compliance with the provisions of Article 11 of the Convention, which obligates states to review and monitor interrogation methods and arrangements related to the detention of persons, ensuring the prevention of torture and other forms of cruel, inhuman, or degrading treatment.</w:t>
      </w:r>
    </w:p>
    <w:p w14:paraId="0E8B7E53" w14:textId="77777777" w:rsidR="00E849E8" w:rsidRPr="00E849E8" w:rsidRDefault="00E849E8" w:rsidP="00E849E8">
      <w:pPr>
        <w:jc w:val="both"/>
        <w:rPr>
          <w:rFonts w:asciiTheme="majorBidi" w:hAnsiTheme="majorBidi" w:cstheme="majorBidi"/>
          <w:b/>
          <w:bCs/>
          <w:color w:val="70AD47" w:themeColor="accent6"/>
          <w:sz w:val="28"/>
          <w:szCs w:val="28"/>
        </w:rPr>
      </w:pPr>
      <w:r w:rsidRPr="00E849E8">
        <w:rPr>
          <w:rFonts w:asciiTheme="majorBidi" w:hAnsiTheme="majorBidi" w:cstheme="majorBidi"/>
          <w:b/>
          <w:bCs/>
          <w:color w:val="70AD47" w:themeColor="accent6"/>
          <w:sz w:val="28"/>
          <w:szCs w:val="28"/>
        </w:rPr>
        <w:t>Recommendations</w:t>
      </w:r>
    </w:p>
    <w:p w14:paraId="1879F28C" w14:textId="77777777" w:rsidR="00E849E8" w:rsidRPr="00E849E8" w:rsidRDefault="00E849E8" w:rsidP="00E849E8">
      <w:pPr>
        <w:jc w:val="both"/>
        <w:rPr>
          <w:rFonts w:asciiTheme="majorBidi" w:hAnsiTheme="majorBidi" w:cstheme="majorBidi"/>
          <w:sz w:val="24"/>
          <w:szCs w:val="24"/>
        </w:rPr>
      </w:pPr>
      <w:bookmarkStart w:id="2" w:name="OLE_LINK2"/>
      <w:r w:rsidRPr="00E849E8">
        <w:rPr>
          <w:rFonts w:asciiTheme="majorBidi" w:hAnsiTheme="majorBidi" w:cstheme="majorBidi"/>
          <w:sz w:val="24"/>
          <w:szCs w:val="24"/>
        </w:rPr>
        <w:t xml:space="preserve">IAPD </w:t>
      </w:r>
      <w:bookmarkEnd w:id="2"/>
      <w:r w:rsidRPr="00E849E8">
        <w:rPr>
          <w:rFonts w:asciiTheme="majorBidi" w:hAnsiTheme="majorBidi" w:cstheme="majorBidi"/>
          <w:sz w:val="24"/>
          <w:szCs w:val="24"/>
        </w:rPr>
        <w:t>recommends the following:</w:t>
      </w:r>
    </w:p>
    <w:p w14:paraId="195AA7C6" w14:textId="77777777" w:rsidR="00E849E8" w:rsidRPr="00E849E8" w:rsidRDefault="00E849E8" w:rsidP="00E849E8">
      <w:pPr>
        <w:numPr>
          <w:ilvl w:val="0"/>
          <w:numId w:val="31"/>
        </w:numPr>
        <w:spacing w:after="160" w:line="278" w:lineRule="auto"/>
        <w:jc w:val="both"/>
        <w:rPr>
          <w:rFonts w:asciiTheme="majorBidi" w:hAnsiTheme="majorBidi" w:cstheme="majorBidi"/>
          <w:sz w:val="24"/>
          <w:szCs w:val="24"/>
        </w:rPr>
      </w:pPr>
      <w:r w:rsidRPr="00E849E8">
        <w:rPr>
          <w:rFonts w:asciiTheme="majorBidi" w:hAnsiTheme="majorBidi" w:cstheme="majorBidi"/>
          <w:sz w:val="24"/>
          <w:szCs w:val="24"/>
        </w:rPr>
        <w:t>Encourage the Committee to urge the Italian government to align the definition of the crime of torture stated in Article 613-bis of the Italian Penal Code with the definition provided in Article 1 of the Convention.</w:t>
      </w:r>
    </w:p>
    <w:p w14:paraId="45E31246" w14:textId="77777777" w:rsidR="00E849E8" w:rsidRPr="00E849E8" w:rsidRDefault="00E849E8" w:rsidP="00E849E8">
      <w:pPr>
        <w:numPr>
          <w:ilvl w:val="0"/>
          <w:numId w:val="31"/>
        </w:numPr>
        <w:spacing w:after="160" w:line="278" w:lineRule="auto"/>
        <w:jc w:val="both"/>
        <w:rPr>
          <w:rFonts w:asciiTheme="majorBidi" w:hAnsiTheme="majorBidi" w:cstheme="majorBidi"/>
          <w:sz w:val="24"/>
          <w:szCs w:val="24"/>
        </w:rPr>
      </w:pPr>
      <w:r w:rsidRPr="00E849E8">
        <w:rPr>
          <w:rFonts w:asciiTheme="majorBidi" w:hAnsiTheme="majorBidi" w:cstheme="majorBidi"/>
          <w:sz w:val="24"/>
          <w:szCs w:val="24"/>
        </w:rPr>
        <w:t>Call upon the Committee to abolish plans aimed at deporting refugees and asylum seekers to third countries until their asylum requests are resolved, ensuring they are not returned to their country of origin if their asylum requests are denied, in accordance with Article 3 of the Convention.</w:t>
      </w:r>
    </w:p>
    <w:p w14:paraId="3340DBE0" w14:textId="77777777" w:rsidR="00E849E8" w:rsidRPr="00E849E8" w:rsidRDefault="00E849E8" w:rsidP="00E849E8">
      <w:pPr>
        <w:numPr>
          <w:ilvl w:val="0"/>
          <w:numId w:val="31"/>
        </w:numPr>
        <w:spacing w:after="160" w:line="278" w:lineRule="auto"/>
        <w:jc w:val="both"/>
        <w:rPr>
          <w:rFonts w:asciiTheme="majorBidi" w:hAnsiTheme="majorBidi" w:cstheme="majorBidi"/>
          <w:sz w:val="24"/>
          <w:szCs w:val="24"/>
        </w:rPr>
      </w:pPr>
      <w:r w:rsidRPr="00E849E8">
        <w:rPr>
          <w:rFonts w:asciiTheme="majorBidi" w:hAnsiTheme="majorBidi" w:cstheme="majorBidi"/>
          <w:sz w:val="24"/>
          <w:szCs w:val="24"/>
        </w:rPr>
        <w:t>Urge the government to conduct entirely independent and neutral investigations into complaints received regarding allegations of torture in prisons, particularly those documented by civil society organizations.</w:t>
      </w:r>
    </w:p>
    <w:p w14:paraId="5A3FEF0C" w14:textId="77777777" w:rsidR="00E849E8" w:rsidRPr="00E849E8" w:rsidRDefault="00E849E8" w:rsidP="00E849E8">
      <w:pPr>
        <w:numPr>
          <w:ilvl w:val="0"/>
          <w:numId w:val="31"/>
        </w:numPr>
        <w:spacing w:after="160" w:line="278" w:lineRule="auto"/>
        <w:jc w:val="both"/>
        <w:rPr>
          <w:rFonts w:asciiTheme="majorBidi" w:hAnsiTheme="majorBidi" w:cstheme="majorBidi"/>
          <w:sz w:val="24"/>
          <w:szCs w:val="24"/>
        </w:rPr>
      </w:pPr>
      <w:r w:rsidRPr="00E849E8">
        <w:rPr>
          <w:rFonts w:asciiTheme="majorBidi" w:hAnsiTheme="majorBidi" w:cstheme="majorBidi"/>
          <w:sz w:val="24"/>
          <w:szCs w:val="24"/>
        </w:rPr>
        <w:t>Call on the government to take urgent and effective measures to address overcrowding in prisons, ensuring the provision of decent living space and improving health and nutritional conditions, while fully complying with the standards established by the European Court of Human Rights.</w:t>
      </w:r>
    </w:p>
    <w:p w14:paraId="61C294EC" w14:textId="77777777" w:rsidR="00E849E8" w:rsidRPr="00E849E8" w:rsidRDefault="00E849E8" w:rsidP="00E849E8">
      <w:pPr>
        <w:numPr>
          <w:ilvl w:val="0"/>
          <w:numId w:val="31"/>
        </w:numPr>
        <w:spacing w:after="160" w:line="278" w:lineRule="auto"/>
        <w:jc w:val="both"/>
        <w:rPr>
          <w:rFonts w:asciiTheme="majorBidi" w:hAnsiTheme="majorBidi" w:cstheme="majorBidi"/>
          <w:sz w:val="24"/>
          <w:szCs w:val="24"/>
        </w:rPr>
      </w:pPr>
      <w:r w:rsidRPr="00E849E8">
        <w:rPr>
          <w:rFonts w:asciiTheme="majorBidi" w:hAnsiTheme="majorBidi" w:cstheme="majorBidi"/>
          <w:sz w:val="24"/>
          <w:szCs w:val="24"/>
        </w:rPr>
        <w:t>Advocate for the government to work towards standardizing policies and practices within detention facilities across all Italian regions, ensuring equality in treatment among prisoners and preventing the imposition of arbitrary administrative restrictions that lack clear and proportional security justifications.</w:t>
      </w:r>
    </w:p>
    <w:p w14:paraId="00D7FB5A" w14:textId="77777777" w:rsidR="00E849E8" w:rsidRPr="00E849E8" w:rsidRDefault="00E849E8" w:rsidP="00E849E8">
      <w:pPr>
        <w:numPr>
          <w:ilvl w:val="0"/>
          <w:numId w:val="31"/>
        </w:numPr>
        <w:spacing w:after="160" w:line="278" w:lineRule="auto"/>
        <w:jc w:val="both"/>
        <w:rPr>
          <w:rFonts w:asciiTheme="majorBidi" w:hAnsiTheme="majorBidi" w:cstheme="majorBidi"/>
          <w:sz w:val="24"/>
          <w:szCs w:val="24"/>
        </w:rPr>
      </w:pPr>
      <w:r w:rsidRPr="00E849E8">
        <w:rPr>
          <w:rFonts w:asciiTheme="majorBidi" w:hAnsiTheme="majorBidi" w:cstheme="majorBidi"/>
          <w:sz w:val="24"/>
          <w:szCs w:val="24"/>
        </w:rPr>
        <w:t>Encourage the government to enhance suicide prevention measures within prisons by improving mental health services and providing specialized support for vulnerable groups, particularly individuals with mental disorders or addiction issues.</w:t>
      </w:r>
    </w:p>
    <w:p w14:paraId="78D26876" w14:textId="77777777" w:rsidR="00E849E8" w:rsidRPr="00E849E8" w:rsidRDefault="00E849E8" w:rsidP="00E849E8">
      <w:pPr>
        <w:jc w:val="both"/>
        <w:rPr>
          <w:rFonts w:asciiTheme="majorBidi" w:hAnsiTheme="majorBidi" w:cstheme="majorBidi"/>
          <w:sz w:val="24"/>
          <w:szCs w:val="24"/>
        </w:rPr>
      </w:pPr>
    </w:p>
    <w:p w14:paraId="3AFE5C9F" w14:textId="77777777" w:rsidR="00E849E8" w:rsidRPr="00E849E8" w:rsidRDefault="00E849E8" w:rsidP="00E849E8">
      <w:pPr>
        <w:jc w:val="both"/>
        <w:rPr>
          <w:rFonts w:asciiTheme="majorBidi" w:hAnsiTheme="majorBidi" w:cstheme="majorBidi"/>
          <w:sz w:val="24"/>
          <w:szCs w:val="24"/>
        </w:rPr>
      </w:pPr>
    </w:p>
    <w:p w14:paraId="4C2B01D0" w14:textId="77777777" w:rsidR="001F05A4" w:rsidRPr="00E849E8" w:rsidRDefault="001F05A4" w:rsidP="001F05A4">
      <w:pPr>
        <w:jc w:val="both"/>
        <w:rPr>
          <w:rFonts w:ascii="Aptos" w:hAnsi="Aptos"/>
          <w:sz w:val="28"/>
          <w:szCs w:val="28"/>
        </w:rPr>
      </w:pPr>
    </w:p>
    <w:sectPr w:rsidR="001F05A4" w:rsidRPr="00E849E8">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16EF3" w14:textId="77777777" w:rsidR="00F22C36" w:rsidRDefault="00F22C36" w:rsidP="003D1884">
      <w:pPr>
        <w:spacing w:after="0" w:line="240" w:lineRule="auto"/>
      </w:pPr>
      <w:r>
        <w:separator/>
      </w:r>
    </w:p>
  </w:endnote>
  <w:endnote w:type="continuationSeparator" w:id="0">
    <w:p w14:paraId="39946CF9" w14:textId="77777777" w:rsidR="00F22C36" w:rsidRDefault="00F22C36"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AA96C" w14:textId="77777777" w:rsidR="00F22C36" w:rsidRDefault="00F22C36" w:rsidP="003D1884">
      <w:pPr>
        <w:spacing w:after="0" w:line="240" w:lineRule="auto"/>
      </w:pPr>
      <w:r>
        <w:separator/>
      </w:r>
    </w:p>
  </w:footnote>
  <w:footnote w:type="continuationSeparator" w:id="0">
    <w:p w14:paraId="01B3A8E9" w14:textId="77777777" w:rsidR="00F22C36" w:rsidRDefault="00F22C36" w:rsidP="003D1884">
      <w:pPr>
        <w:spacing w:after="0" w:line="240" w:lineRule="auto"/>
      </w:pPr>
      <w:r>
        <w:continuationSeparator/>
      </w:r>
    </w:p>
  </w:footnote>
  <w:footnote w:id="1">
    <w:p w14:paraId="4B341867" w14:textId="77777777"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Ratification, Reporting &amp; Documentation for Italy, Treaty Body Database, </w:t>
      </w:r>
      <w:hyperlink r:id="rId1" w:history="1">
        <w:r w:rsidRPr="007C3E82">
          <w:rPr>
            <w:rStyle w:val="Hyperlink"/>
            <w:rFonts w:asciiTheme="majorBidi" w:hAnsiTheme="majorBidi" w:cstheme="majorBidi"/>
            <w:sz w:val="16"/>
            <w:szCs w:val="16"/>
          </w:rPr>
          <w:t>https://2cm.es/1nV1i</w:t>
        </w:r>
      </w:hyperlink>
    </w:p>
  </w:footnote>
  <w:footnote w:id="2">
    <w:p w14:paraId="2898FCB0" w14:textId="31F10DC9"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84</w:t>
      </w:r>
      <w:r w:rsidRPr="00756124">
        <w:rPr>
          <w:rFonts w:asciiTheme="majorBidi" w:hAnsiTheme="majorBidi" w:cstheme="majorBidi"/>
          <w:sz w:val="16"/>
          <w:szCs w:val="16"/>
          <w:vertAlign w:val="superscript"/>
        </w:rPr>
        <w:t>th</w:t>
      </w:r>
      <w:r w:rsidRPr="007C3E82">
        <w:rPr>
          <w:rFonts w:asciiTheme="majorBidi" w:hAnsiTheme="majorBidi" w:cstheme="majorBidi"/>
          <w:sz w:val="16"/>
          <w:szCs w:val="16"/>
        </w:rPr>
        <w:t xml:space="preserve"> (pending confirmation) Session (13 Apr 2026 - 01 May 2026)</w:t>
      </w:r>
      <w:r w:rsidRPr="007C3E82">
        <w:rPr>
          <w:rFonts w:asciiTheme="majorBidi" w:hAnsiTheme="majorBidi" w:cstheme="majorBidi"/>
          <w:sz w:val="16"/>
          <w:szCs w:val="16"/>
          <w:lang w:bidi="ar-EG"/>
        </w:rPr>
        <w:t xml:space="preserve">, Treaty Body Database, </w:t>
      </w:r>
      <w:hyperlink r:id="rId2" w:history="1">
        <w:r w:rsidRPr="007C3E82">
          <w:rPr>
            <w:rStyle w:val="Hyperlink"/>
            <w:rFonts w:asciiTheme="majorBidi" w:hAnsiTheme="majorBidi" w:cstheme="majorBidi"/>
            <w:sz w:val="16"/>
            <w:szCs w:val="16"/>
            <w:lang w:bidi="ar-EG"/>
          </w:rPr>
          <w:t>https://2cm.es/1iUiv</w:t>
        </w:r>
      </w:hyperlink>
    </w:p>
  </w:footnote>
  <w:footnote w:id="3">
    <w:p w14:paraId="1022BA8A" w14:textId="1262C423"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w:t>
      </w:r>
      <w:r w:rsidRPr="007C3E82">
        <w:rPr>
          <w:rFonts w:asciiTheme="majorBidi" w:hAnsiTheme="majorBidi" w:cstheme="majorBidi"/>
          <w:sz w:val="16"/>
          <w:szCs w:val="16"/>
          <w:lang w:bidi="ar-EG"/>
        </w:rPr>
        <w:t xml:space="preserve">Italy’s Difficult Relationship with the Domestic Crime of Torture, </w:t>
      </w:r>
      <w:proofErr w:type="spellStart"/>
      <w:r w:rsidR="00756124" w:rsidRPr="00756124">
        <w:rPr>
          <w:rFonts w:asciiTheme="majorBidi" w:hAnsiTheme="majorBidi" w:cstheme="majorBidi"/>
          <w:sz w:val="16"/>
          <w:szCs w:val="16"/>
          <w:lang w:bidi="ar-EG"/>
        </w:rPr>
        <w:t>Opinio</w:t>
      </w:r>
      <w:proofErr w:type="spellEnd"/>
      <w:r w:rsidR="00756124" w:rsidRPr="00756124">
        <w:rPr>
          <w:rFonts w:asciiTheme="majorBidi" w:hAnsiTheme="majorBidi" w:cstheme="majorBidi"/>
          <w:sz w:val="16"/>
          <w:szCs w:val="16"/>
          <w:lang w:bidi="ar-EG"/>
        </w:rPr>
        <w:t xml:space="preserve"> Juris</w:t>
      </w:r>
      <w:r w:rsidRPr="007C3E82">
        <w:rPr>
          <w:rFonts w:asciiTheme="majorBidi" w:hAnsiTheme="majorBidi" w:cstheme="majorBidi"/>
          <w:sz w:val="16"/>
          <w:szCs w:val="16"/>
          <w:lang w:bidi="ar-EG"/>
        </w:rPr>
        <w:t xml:space="preserve">, </w:t>
      </w:r>
      <w:hyperlink r:id="rId3" w:history="1">
        <w:r w:rsidRPr="007C3E82">
          <w:rPr>
            <w:rStyle w:val="Hyperlink"/>
            <w:rFonts w:asciiTheme="majorBidi" w:hAnsiTheme="majorBidi" w:cstheme="majorBidi"/>
            <w:sz w:val="16"/>
            <w:szCs w:val="16"/>
            <w:lang w:bidi="ar-EG"/>
          </w:rPr>
          <w:t>https://2cm.es/1iUBQ</w:t>
        </w:r>
      </w:hyperlink>
    </w:p>
  </w:footnote>
  <w:footnote w:id="4">
    <w:p w14:paraId="1F5B085E" w14:textId="6C0BE824"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IL GRIDO DI ALLARME DEI DETENUTI TRA FAME, FREDDO E DISCRIMINAZIONI, </w:t>
      </w:r>
      <w:r w:rsidR="00756124" w:rsidRPr="00756124">
        <w:rPr>
          <w:rFonts w:asciiTheme="majorBidi" w:hAnsiTheme="majorBidi" w:cstheme="majorBidi"/>
          <w:sz w:val="16"/>
          <w:szCs w:val="16"/>
        </w:rPr>
        <w:t>MASSIMO FERRANTE</w:t>
      </w:r>
      <w:r w:rsidRPr="007C3E82">
        <w:rPr>
          <w:rFonts w:asciiTheme="majorBidi" w:hAnsiTheme="majorBidi" w:cstheme="majorBidi"/>
          <w:sz w:val="16"/>
          <w:szCs w:val="16"/>
        </w:rPr>
        <w:t xml:space="preserve">, </w:t>
      </w:r>
      <w:hyperlink r:id="rId4" w:history="1">
        <w:r w:rsidRPr="007C3E82">
          <w:rPr>
            <w:rStyle w:val="Hyperlink"/>
            <w:rFonts w:asciiTheme="majorBidi" w:hAnsiTheme="majorBidi" w:cstheme="majorBidi"/>
            <w:sz w:val="16"/>
            <w:szCs w:val="16"/>
            <w:lang w:bidi="ar-EG"/>
          </w:rPr>
          <w:t>https://2cm.es/1iXZg</w:t>
        </w:r>
      </w:hyperlink>
    </w:p>
  </w:footnote>
  <w:footnote w:id="5">
    <w:p w14:paraId="025CB586" w14:textId="09EDDF4B"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Prison suicides up to 24 so far this year after 3 in a day, </w:t>
      </w:r>
      <w:r w:rsidR="00756124">
        <w:rPr>
          <w:rFonts w:asciiTheme="majorBidi" w:hAnsiTheme="majorBidi" w:cstheme="majorBidi"/>
          <w:sz w:val="16"/>
          <w:szCs w:val="16"/>
        </w:rPr>
        <w:t>ANSA it</w:t>
      </w:r>
      <w:r w:rsidRPr="007C3E82">
        <w:rPr>
          <w:rFonts w:asciiTheme="majorBidi" w:hAnsiTheme="majorBidi" w:cstheme="majorBidi"/>
          <w:sz w:val="16"/>
          <w:szCs w:val="16"/>
        </w:rPr>
        <w:t xml:space="preserve">, </w:t>
      </w:r>
      <w:hyperlink r:id="rId5" w:history="1">
        <w:r w:rsidRPr="007C3E82">
          <w:rPr>
            <w:rStyle w:val="Hyperlink"/>
            <w:rFonts w:asciiTheme="majorBidi" w:hAnsiTheme="majorBidi" w:cstheme="majorBidi"/>
            <w:sz w:val="16"/>
            <w:szCs w:val="16"/>
          </w:rPr>
          <w:t>https://2cm.es/1iX-L</w:t>
        </w:r>
      </w:hyperlink>
    </w:p>
  </w:footnote>
  <w:footnote w:id="6">
    <w:p w14:paraId="39AC9213" w14:textId="264B71FD"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Italy transfers 40 rejected asylum seekers to detention </w:t>
      </w:r>
      <w:proofErr w:type="spellStart"/>
      <w:r w:rsidRPr="007C3E82">
        <w:rPr>
          <w:rFonts w:asciiTheme="majorBidi" w:hAnsiTheme="majorBidi" w:cstheme="majorBidi"/>
          <w:sz w:val="16"/>
          <w:szCs w:val="16"/>
        </w:rPr>
        <w:t>centres</w:t>
      </w:r>
      <w:proofErr w:type="spellEnd"/>
      <w:r w:rsidRPr="007C3E82">
        <w:rPr>
          <w:rFonts w:asciiTheme="majorBidi" w:hAnsiTheme="majorBidi" w:cstheme="majorBidi"/>
          <w:sz w:val="16"/>
          <w:szCs w:val="16"/>
        </w:rPr>
        <w:t xml:space="preserve"> in Albania, </w:t>
      </w:r>
      <w:r w:rsidR="00756124">
        <w:rPr>
          <w:rFonts w:asciiTheme="majorBidi" w:hAnsiTheme="majorBidi" w:cstheme="majorBidi"/>
          <w:sz w:val="16"/>
          <w:szCs w:val="16"/>
        </w:rPr>
        <w:t>Euro News</w:t>
      </w:r>
      <w:r w:rsidRPr="007C3E82">
        <w:rPr>
          <w:rFonts w:asciiTheme="majorBidi" w:hAnsiTheme="majorBidi" w:cstheme="majorBidi"/>
          <w:sz w:val="16"/>
          <w:szCs w:val="16"/>
        </w:rPr>
        <w:t xml:space="preserve">, </w:t>
      </w:r>
      <w:hyperlink r:id="rId6" w:history="1">
        <w:r w:rsidRPr="007C3E82">
          <w:rPr>
            <w:rStyle w:val="Hyperlink"/>
            <w:rFonts w:asciiTheme="majorBidi" w:hAnsiTheme="majorBidi" w:cstheme="majorBidi"/>
            <w:sz w:val="16"/>
            <w:szCs w:val="16"/>
          </w:rPr>
          <w:t>https://2cm.es/1iX9R</w:t>
        </w:r>
      </w:hyperlink>
    </w:p>
  </w:footnote>
  <w:footnote w:id="7">
    <w:p w14:paraId="2C6CA5D1" w14:textId="77777777"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Italy sends rejected migrants to detention centers in Albania, AP News, </w:t>
      </w:r>
      <w:hyperlink r:id="rId7" w:history="1">
        <w:r w:rsidRPr="007C3E82">
          <w:rPr>
            <w:rStyle w:val="Hyperlink"/>
            <w:rFonts w:asciiTheme="majorBidi" w:hAnsiTheme="majorBidi" w:cstheme="majorBidi"/>
            <w:sz w:val="16"/>
            <w:szCs w:val="16"/>
          </w:rPr>
          <w:t>https://2cm.es/1nYVz</w:t>
        </w:r>
      </w:hyperlink>
    </w:p>
  </w:footnote>
  <w:footnote w:id="8">
    <w:p w14:paraId="5F221545" w14:textId="40D85682"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Italian Prison System under Scrutiny: Ad Hoc Visit by the European Committee for the Prevention of Torture, </w:t>
      </w:r>
      <w:r w:rsidR="00756124">
        <w:rPr>
          <w:rFonts w:asciiTheme="majorBidi" w:hAnsiTheme="majorBidi" w:cstheme="majorBidi"/>
          <w:sz w:val="16"/>
          <w:szCs w:val="16"/>
        </w:rPr>
        <w:t xml:space="preserve">Human Rights Center </w:t>
      </w:r>
      <w:r w:rsidR="00756124" w:rsidRPr="00756124">
        <w:rPr>
          <w:rFonts w:asciiTheme="majorBidi" w:hAnsiTheme="majorBidi" w:cstheme="majorBidi"/>
          <w:sz w:val="16"/>
          <w:szCs w:val="16"/>
        </w:rPr>
        <w:t xml:space="preserve">Antonio </w:t>
      </w:r>
      <w:proofErr w:type="spellStart"/>
      <w:r w:rsidR="00756124" w:rsidRPr="00756124">
        <w:rPr>
          <w:rFonts w:asciiTheme="majorBidi" w:hAnsiTheme="majorBidi" w:cstheme="majorBidi"/>
          <w:sz w:val="16"/>
          <w:szCs w:val="16"/>
        </w:rPr>
        <w:t>Papisca</w:t>
      </w:r>
      <w:proofErr w:type="spellEnd"/>
      <w:r w:rsidRPr="007C3E82">
        <w:rPr>
          <w:rFonts w:asciiTheme="majorBidi" w:hAnsiTheme="majorBidi" w:cstheme="majorBidi"/>
          <w:sz w:val="16"/>
          <w:szCs w:val="16"/>
        </w:rPr>
        <w:t xml:space="preserve">, </w:t>
      </w:r>
      <w:hyperlink r:id="rId8" w:history="1">
        <w:r w:rsidRPr="007C3E82">
          <w:rPr>
            <w:rStyle w:val="Hyperlink"/>
            <w:rFonts w:asciiTheme="majorBidi" w:hAnsiTheme="majorBidi" w:cstheme="majorBidi"/>
            <w:sz w:val="16"/>
            <w:szCs w:val="16"/>
          </w:rPr>
          <w:t>https://2cm.es/1nZuO</w:t>
        </w:r>
      </w:hyperlink>
    </w:p>
  </w:footnote>
  <w:footnote w:id="9">
    <w:p w14:paraId="3996E9CF" w14:textId="77777777" w:rsidR="00E849E8" w:rsidRPr="007C3E82" w:rsidRDefault="00E849E8" w:rsidP="00E849E8">
      <w:pPr>
        <w:pStyle w:val="FootnoteText"/>
        <w:rPr>
          <w:rFonts w:asciiTheme="majorBidi" w:hAnsiTheme="majorBidi" w:cstheme="majorBidi"/>
          <w:sz w:val="16"/>
          <w:szCs w:val="16"/>
        </w:rPr>
      </w:pPr>
      <w:r w:rsidRPr="007C3E82">
        <w:rPr>
          <w:rStyle w:val="FootnoteReference"/>
          <w:rFonts w:asciiTheme="majorBidi" w:hAnsiTheme="majorBidi" w:cstheme="majorBidi"/>
          <w:sz w:val="16"/>
          <w:szCs w:val="16"/>
        </w:rPr>
        <w:footnoteRef/>
      </w:r>
      <w:r w:rsidRPr="007C3E82">
        <w:rPr>
          <w:rFonts w:asciiTheme="majorBidi" w:hAnsiTheme="majorBidi" w:cstheme="majorBidi"/>
          <w:sz w:val="16"/>
          <w:szCs w:val="16"/>
        </w:rPr>
        <w:t xml:space="preserve"> Italy now recognizes the crime of femicide and punishes it with life in prison, AP News, </w:t>
      </w:r>
      <w:hyperlink r:id="rId9" w:history="1">
        <w:r w:rsidRPr="007C3E82">
          <w:rPr>
            <w:rStyle w:val="Hyperlink"/>
            <w:rFonts w:asciiTheme="majorBidi" w:hAnsiTheme="majorBidi" w:cstheme="majorBidi"/>
            <w:sz w:val="16"/>
            <w:szCs w:val="16"/>
          </w:rPr>
          <w:t>https://2cm.es/1nZtj</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351"/>
    <w:multiLevelType w:val="hybridMultilevel"/>
    <w:tmpl w:val="52BC76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13D56"/>
    <w:multiLevelType w:val="hybridMultilevel"/>
    <w:tmpl w:val="9B0A7C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9" w15:restartNumberingAfterBreak="0">
    <w:nsid w:val="48D90219"/>
    <w:multiLevelType w:val="multilevel"/>
    <w:tmpl w:val="5F46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333BAC"/>
    <w:multiLevelType w:val="hybridMultilevel"/>
    <w:tmpl w:val="18EC76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4"/>
  </w:num>
  <w:num w:numId="2" w16cid:durableId="1733964038">
    <w:abstractNumId w:val="16"/>
  </w:num>
  <w:num w:numId="3" w16cid:durableId="1057122983">
    <w:abstractNumId w:val="27"/>
  </w:num>
  <w:num w:numId="4" w16cid:durableId="599484416">
    <w:abstractNumId w:val="15"/>
  </w:num>
  <w:num w:numId="5" w16cid:durableId="221990767">
    <w:abstractNumId w:val="31"/>
  </w:num>
  <w:num w:numId="6" w16cid:durableId="1184974759">
    <w:abstractNumId w:val="3"/>
  </w:num>
  <w:num w:numId="7" w16cid:durableId="719747233">
    <w:abstractNumId w:val="9"/>
  </w:num>
  <w:num w:numId="8" w16cid:durableId="2082218265">
    <w:abstractNumId w:val="17"/>
  </w:num>
  <w:num w:numId="9" w16cid:durableId="44522668">
    <w:abstractNumId w:val="20"/>
  </w:num>
  <w:num w:numId="10" w16cid:durableId="384570591">
    <w:abstractNumId w:val="22"/>
  </w:num>
  <w:num w:numId="11" w16cid:durableId="955409921">
    <w:abstractNumId w:val="2"/>
  </w:num>
  <w:num w:numId="12" w16cid:durableId="329604790">
    <w:abstractNumId w:val="1"/>
  </w:num>
  <w:num w:numId="13" w16cid:durableId="499975853">
    <w:abstractNumId w:val="23"/>
  </w:num>
  <w:num w:numId="14" w16cid:durableId="933244681">
    <w:abstractNumId w:val="25"/>
  </w:num>
  <w:num w:numId="15" w16cid:durableId="1029186210">
    <w:abstractNumId w:val="29"/>
  </w:num>
  <w:num w:numId="16" w16cid:durableId="510409883">
    <w:abstractNumId w:val="26"/>
  </w:num>
  <w:num w:numId="17" w16cid:durableId="1424718560">
    <w:abstractNumId w:val="6"/>
  </w:num>
  <w:num w:numId="18" w16cid:durableId="1266771858">
    <w:abstractNumId w:val="21"/>
  </w:num>
  <w:num w:numId="19" w16cid:durableId="1307006074">
    <w:abstractNumId w:val="8"/>
  </w:num>
  <w:num w:numId="20" w16cid:durableId="596136773">
    <w:abstractNumId w:val="14"/>
  </w:num>
  <w:num w:numId="21" w16cid:durableId="31420069">
    <w:abstractNumId w:val="10"/>
  </w:num>
  <w:num w:numId="22" w16cid:durableId="334383903">
    <w:abstractNumId w:val="30"/>
  </w:num>
  <w:num w:numId="23" w16cid:durableId="1430659545">
    <w:abstractNumId w:val="12"/>
  </w:num>
  <w:num w:numId="24" w16cid:durableId="155460974">
    <w:abstractNumId w:val="24"/>
  </w:num>
  <w:num w:numId="25" w16cid:durableId="722827196">
    <w:abstractNumId w:val="5"/>
  </w:num>
  <w:num w:numId="26" w16cid:durableId="2024890808">
    <w:abstractNumId w:val="18"/>
  </w:num>
  <w:num w:numId="27" w16cid:durableId="570501625">
    <w:abstractNumId w:val="13"/>
  </w:num>
  <w:num w:numId="28" w16cid:durableId="1337419106">
    <w:abstractNumId w:val="7"/>
  </w:num>
  <w:num w:numId="29" w16cid:durableId="1788237351">
    <w:abstractNumId w:val="28"/>
  </w:num>
  <w:num w:numId="30" w16cid:durableId="453329427">
    <w:abstractNumId w:val="11"/>
  </w:num>
  <w:num w:numId="31" w16cid:durableId="1063017662">
    <w:abstractNumId w:val="19"/>
  </w:num>
  <w:num w:numId="32" w16cid:durableId="814637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152D"/>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5CB1"/>
    <w:rsid w:val="001B3856"/>
    <w:rsid w:val="001B74C9"/>
    <w:rsid w:val="001D2801"/>
    <w:rsid w:val="001E0F28"/>
    <w:rsid w:val="001E5853"/>
    <w:rsid w:val="001F05A4"/>
    <w:rsid w:val="001F17D0"/>
    <w:rsid w:val="00204088"/>
    <w:rsid w:val="0021413B"/>
    <w:rsid w:val="00220D6B"/>
    <w:rsid w:val="00265110"/>
    <w:rsid w:val="00273EAA"/>
    <w:rsid w:val="0027781D"/>
    <w:rsid w:val="00287FC0"/>
    <w:rsid w:val="00292DF1"/>
    <w:rsid w:val="002A6B29"/>
    <w:rsid w:val="002E4A18"/>
    <w:rsid w:val="002F1224"/>
    <w:rsid w:val="00304121"/>
    <w:rsid w:val="003060B3"/>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0A6C"/>
    <w:rsid w:val="006D29FD"/>
    <w:rsid w:val="006D5294"/>
    <w:rsid w:val="006D7846"/>
    <w:rsid w:val="006F0399"/>
    <w:rsid w:val="006F507E"/>
    <w:rsid w:val="007001BC"/>
    <w:rsid w:val="007165EF"/>
    <w:rsid w:val="00716EF6"/>
    <w:rsid w:val="007203A5"/>
    <w:rsid w:val="007253A8"/>
    <w:rsid w:val="00726C7D"/>
    <w:rsid w:val="00756124"/>
    <w:rsid w:val="00756631"/>
    <w:rsid w:val="007719B0"/>
    <w:rsid w:val="00774046"/>
    <w:rsid w:val="007809DA"/>
    <w:rsid w:val="0078773E"/>
    <w:rsid w:val="007A3308"/>
    <w:rsid w:val="007A5537"/>
    <w:rsid w:val="007D795E"/>
    <w:rsid w:val="007E687B"/>
    <w:rsid w:val="0080014F"/>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21125"/>
    <w:rsid w:val="00D51762"/>
    <w:rsid w:val="00D65F66"/>
    <w:rsid w:val="00DB790F"/>
    <w:rsid w:val="00DC2019"/>
    <w:rsid w:val="00DC4F4D"/>
    <w:rsid w:val="00DF4ECD"/>
    <w:rsid w:val="00E0326C"/>
    <w:rsid w:val="00E2244D"/>
    <w:rsid w:val="00E23A40"/>
    <w:rsid w:val="00E23EEE"/>
    <w:rsid w:val="00E3778A"/>
    <w:rsid w:val="00E4081E"/>
    <w:rsid w:val="00E53BB1"/>
    <w:rsid w:val="00E55D80"/>
    <w:rsid w:val="00E56E43"/>
    <w:rsid w:val="00E849E8"/>
    <w:rsid w:val="00EB2133"/>
    <w:rsid w:val="00EC41C9"/>
    <w:rsid w:val="00ED1E5C"/>
    <w:rsid w:val="00EE156B"/>
    <w:rsid w:val="00F154A1"/>
    <w:rsid w:val="00F22C36"/>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2cm.es/1nZuO" TargetMode="External"/><Relationship Id="rId3" Type="http://schemas.openxmlformats.org/officeDocument/2006/relationships/hyperlink" Target="https://2cm.es/1iUBQ" TargetMode="External"/><Relationship Id="rId7" Type="http://schemas.openxmlformats.org/officeDocument/2006/relationships/hyperlink" Target="https://2cm.es/1nYVz" TargetMode="External"/><Relationship Id="rId2" Type="http://schemas.openxmlformats.org/officeDocument/2006/relationships/hyperlink" Target="https://2cm.es/1iUiv" TargetMode="External"/><Relationship Id="rId1" Type="http://schemas.openxmlformats.org/officeDocument/2006/relationships/hyperlink" Target="https://2cm.es/1nV1i" TargetMode="External"/><Relationship Id="rId6" Type="http://schemas.openxmlformats.org/officeDocument/2006/relationships/hyperlink" Target="https://2cm.es/1iX9R" TargetMode="External"/><Relationship Id="rId5" Type="http://schemas.openxmlformats.org/officeDocument/2006/relationships/hyperlink" Target="https://2cm.es/1iX-L" TargetMode="External"/><Relationship Id="rId4" Type="http://schemas.openxmlformats.org/officeDocument/2006/relationships/hyperlink" Target="https://2cm.es/1iXZg" TargetMode="External"/><Relationship Id="rId9" Type="http://schemas.openxmlformats.org/officeDocument/2006/relationships/hyperlink" Target="https://2cm.es/1nZt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2026-03-24T11:43:40+00:00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2026-03-24T11:43:40+00:00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2026-03-24T11:43:40+00:00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BC4DDF3B-5735-4C7F-9D9F-5D1FC14A65AB}"/>
</file>

<file path=customXml/itemProps3.xml><?xml version="1.0" encoding="utf-8"?>
<ds:datastoreItem xmlns:ds="http://schemas.openxmlformats.org/officeDocument/2006/customXml" ds:itemID="{02780FC5-AB1C-4E30-90F1-A57335A091B5}"/>
</file>

<file path=customXml/itemProps4.xml><?xml version="1.0" encoding="utf-8"?>
<ds:datastoreItem xmlns:ds="http://schemas.openxmlformats.org/officeDocument/2006/customXml" ds:itemID="{63F61F47-46F9-448B-8EA4-BE087324CBDC}"/>
</file>

<file path=docProps/app.xml><?xml version="1.0" encoding="utf-8"?>
<Properties xmlns="http://schemas.openxmlformats.org/officeDocument/2006/extended-properties" xmlns:vt="http://schemas.openxmlformats.org/officeDocument/2006/docPropsVTypes">
  <Template>Normal</Template>
  <TotalTime>18</TotalTime>
  <Pages>6</Pages>
  <Words>2547</Words>
  <Characters>14519</Characters>
  <Application>Microsoft Office Word</Application>
  <DocSecurity>0</DocSecurity>
  <Lines>120</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cp:lastModifiedBy>
  <cp:revision>2</cp:revision>
  <dcterms:created xsi:type="dcterms:W3CDTF">2026-03-23T09:46:00Z</dcterms:created>
  <dcterms:modified xsi:type="dcterms:W3CDTF">2026-03-23T09:46:00Z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0x010100A7FA57C9FAB45A42AB7F0F2F29DA9B83</vt:lpwstr>
  </property>
</Properties>
</file>