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v:shapetype id="_x0000_t136" coordsize="21600,21600" o:spt="136.0"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o:connectangles="270,180,90,0" o:connectlocs="@9,0;@10,10800;@11,21600;@12,10800" o:connecttype="custom" textpathok="t"/>
            <v:textpath fitshape="t" on="t"/>
            <v:handles/>
            <o:lock v:ext="edit" shapetype="t" text="t"/>
          </v:shapetype>
        </w:pict>
      </w:r>
    </w:p>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rPr/>
      </w:pPr>
      <w:r w:rsidDel="00000000" w:rsidR="00000000" w:rsidRPr="00000000">
        <w:rPr>
          <w:rtl w:val="0"/>
        </w:rPr>
      </w:r>
    </w:p>
    <w:p w:rsidR="00000000" w:rsidDel="00000000" w:rsidP="00000000" w:rsidRDefault="00000000" w:rsidRPr="00000000" w14:paraId="00000003">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pStyle w:val="Heading1"/>
        <w:keepNext w:val="0"/>
        <w:keepLines w:val="0"/>
        <w:spacing w:before="0" w:line="240" w:lineRule="auto"/>
        <w:jc w:val="center"/>
        <w:rPr>
          <w:rFonts w:ascii="Times New Roman" w:cs="Times New Roman" w:eastAsia="Times New Roman" w:hAnsi="Times New Roman"/>
          <w:b w:val="1"/>
          <w:sz w:val="46"/>
          <w:szCs w:val="46"/>
        </w:rPr>
      </w:pPr>
      <w:bookmarkStart w:colFirst="0" w:colLast="0" w:name="_heading=h.gjdgxs" w:id="0"/>
      <w:bookmarkEnd w:id="0"/>
      <w:r w:rsidDel="00000000" w:rsidR="00000000" w:rsidRPr="00000000">
        <w:rPr>
          <w:rFonts w:ascii="Times New Roman" w:cs="Times New Roman" w:eastAsia="Times New Roman" w:hAnsi="Times New Roman"/>
          <w:b w:val="1"/>
          <w:sz w:val="46"/>
          <w:szCs w:val="46"/>
          <w:rtl w:val="0"/>
        </w:rPr>
        <w:t xml:space="preserve">Palau Civil Society Organizations (CSO)</w:t>
      </w:r>
    </w:p>
    <w:p w:rsidR="00000000" w:rsidDel="00000000" w:rsidP="00000000" w:rsidRDefault="00000000" w:rsidRPr="00000000" w14:paraId="00000008">
      <w:pPr>
        <w:pStyle w:val="Heading1"/>
        <w:keepNext w:val="0"/>
        <w:keepLines w:val="0"/>
        <w:spacing w:before="0" w:line="240" w:lineRule="auto"/>
        <w:jc w:val="center"/>
        <w:rPr>
          <w:rFonts w:ascii="Times New Roman" w:cs="Times New Roman" w:eastAsia="Times New Roman" w:hAnsi="Times New Roman"/>
          <w:b w:val="1"/>
          <w:sz w:val="46"/>
          <w:szCs w:val="46"/>
        </w:rPr>
      </w:pPr>
      <w:bookmarkStart w:colFirst="0" w:colLast="0" w:name="_heading=h.30j0zll" w:id="1"/>
      <w:bookmarkEnd w:id="1"/>
      <w:r w:rsidDel="00000000" w:rsidR="00000000" w:rsidRPr="00000000">
        <w:rPr>
          <w:rFonts w:ascii="Times New Roman" w:cs="Times New Roman" w:eastAsia="Times New Roman" w:hAnsi="Times New Roman"/>
          <w:b w:val="1"/>
          <w:sz w:val="46"/>
          <w:szCs w:val="46"/>
          <w:rtl w:val="0"/>
        </w:rPr>
        <w:t xml:space="preserve">Parallel Report on the</w:t>
      </w:r>
    </w:p>
    <w:p w:rsidR="00000000" w:rsidDel="00000000" w:rsidP="00000000" w:rsidRDefault="00000000" w:rsidRPr="00000000" w14:paraId="00000009">
      <w:pPr>
        <w:pStyle w:val="Heading1"/>
        <w:keepNext w:val="0"/>
        <w:keepLines w:val="0"/>
        <w:spacing w:before="0" w:line="240" w:lineRule="auto"/>
        <w:jc w:val="center"/>
        <w:rPr>
          <w:rFonts w:ascii="Times New Roman" w:cs="Times New Roman" w:eastAsia="Times New Roman" w:hAnsi="Times New Roman"/>
          <w:b w:val="1"/>
          <w:sz w:val="46"/>
          <w:szCs w:val="46"/>
        </w:rPr>
      </w:pPr>
      <w:bookmarkStart w:colFirst="0" w:colLast="0" w:name="_heading=h.1fob9te" w:id="2"/>
      <w:bookmarkEnd w:id="2"/>
      <w:r w:rsidDel="00000000" w:rsidR="00000000" w:rsidRPr="00000000">
        <w:rPr>
          <w:rFonts w:ascii="Times New Roman" w:cs="Times New Roman" w:eastAsia="Times New Roman" w:hAnsi="Times New Roman"/>
          <w:b w:val="1"/>
          <w:sz w:val="46"/>
          <w:szCs w:val="46"/>
          <w:rtl w:val="0"/>
        </w:rPr>
        <w:t xml:space="preserve">United Nations Convention on the </w:t>
      </w:r>
    </w:p>
    <w:p w:rsidR="00000000" w:rsidDel="00000000" w:rsidP="00000000" w:rsidRDefault="00000000" w:rsidRPr="00000000" w14:paraId="0000000A">
      <w:pPr>
        <w:pStyle w:val="Heading1"/>
        <w:keepNext w:val="0"/>
        <w:keepLines w:val="0"/>
        <w:spacing w:before="0" w:line="240" w:lineRule="auto"/>
        <w:jc w:val="center"/>
        <w:rPr>
          <w:rFonts w:ascii="Times New Roman" w:cs="Times New Roman" w:eastAsia="Times New Roman" w:hAnsi="Times New Roman"/>
          <w:b w:val="1"/>
          <w:sz w:val="46"/>
          <w:szCs w:val="46"/>
        </w:rPr>
      </w:pPr>
      <w:bookmarkStart w:colFirst="0" w:colLast="0" w:name="_heading=h.3znysh7" w:id="3"/>
      <w:bookmarkEnd w:id="3"/>
      <w:r w:rsidDel="00000000" w:rsidR="00000000" w:rsidRPr="00000000">
        <w:rPr>
          <w:rFonts w:ascii="Times New Roman" w:cs="Times New Roman" w:eastAsia="Times New Roman" w:hAnsi="Times New Roman"/>
          <w:b w:val="1"/>
          <w:sz w:val="46"/>
          <w:szCs w:val="46"/>
          <w:rtl w:val="0"/>
        </w:rPr>
        <w:t xml:space="preserve">Rights of Persons with Disabilities (CRPD) </w:t>
      </w:r>
    </w:p>
    <w:p w:rsidR="00000000" w:rsidDel="00000000" w:rsidP="00000000" w:rsidRDefault="00000000" w:rsidRPr="00000000" w14:paraId="0000000B">
      <w:pPr>
        <w:pStyle w:val="Heading1"/>
        <w:keepNext w:val="0"/>
        <w:keepLines w:val="0"/>
        <w:spacing w:before="0" w:line="240" w:lineRule="auto"/>
        <w:jc w:val="center"/>
        <w:rPr>
          <w:rFonts w:ascii="Times New Roman" w:cs="Times New Roman" w:eastAsia="Times New Roman" w:hAnsi="Times New Roman"/>
          <w:b w:val="1"/>
          <w:sz w:val="46"/>
          <w:szCs w:val="46"/>
        </w:rPr>
      </w:pPr>
      <w:bookmarkStart w:colFirst="0" w:colLast="0" w:name="_heading=h.y1pbirw80y04" w:id="4"/>
      <w:bookmarkEnd w:id="4"/>
      <w:r w:rsidDel="00000000" w:rsidR="00000000" w:rsidRPr="00000000">
        <w:rPr>
          <w:rtl w:val="0"/>
        </w:rPr>
      </w:r>
    </w:p>
    <w:p w:rsidR="00000000" w:rsidDel="00000000" w:rsidP="00000000" w:rsidRDefault="00000000" w:rsidRPr="00000000" w14:paraId="0000000C">
      <w:pPr>
        <w:pStyle w:val="Heading1"/>
        <w:keepNext w:val="0"/>
        <w:keepLines w:val="0"/>
        <w:spacing w:before="0" w:line="240" w:lineRule="auto"/>
        <w:jc w:val="center"/>
        <w:rPr>
          <w:rFonts w:ascii="Times New Roman" w:cs="Times New Roman" w:eastAsia="Times New Roman" w:hAnsi="Times New Roman"/>
          <w:b w:val="1"/>
          <w:sz w:val="46"/>
          <w:szCs w:val="46"/>
        </w:rPr>
      </w:pPr>
      <w:bookmarkStart w:colFirst="0" w:colLast="0" w:name="_heading=h.amjbxz1magvo" w:id="5"/>
      <w:bookmarkEnd w:id="5"/>
      <w:r w:rsidDel="00000000" w:rsidR="00000000" w:rsidRPr="00000000">
        <w:rPr>
          <w:rFonts w:ascii="Times New Roman" w:cs="Times New Roman" w:eastAsia="Times New Roman" w:hAnsi="Times New Roman"/>
          <w:b w:val="1"/>
          <w:sz w:val="46"/>
          <w:szCs w:val="46"/>
          <w:rtl w:val="0"/>
        </w:rPr>
        <w:t xml:space="preserve">January 2025</w:t>
      </w:r>
    </w:p>
    <w:p w:rsidR="00000000" w:rsidDel="00000000" w:rsidP="00000000" w:rsidRDefault="00000000" w:rsidRPr="00000000" w14:paraId="0000000D">
      <w:pPr>
        <w:pStyle w:val="Heading1"/>
        <w:keepNext w:val="0"/>
        <w:keepLines w:val="0"/>
        <w:spacing w:before="480" w:lineRule="auto"/>
        <w:rPr>
          <w:rFonts w:ascii="Times New Roman" w:cs="Times New Roman" w:eastAsia="Times New Roman" w:hAnsi="Times New Roman"/>
          <w:b w:val="1"/>
          <w:sz w:val="46"/>
          <w:szCs w:val="46"/>
        </w:rPr>
      </w:pPr>
      <w:bookmarkStart w:colFirst="0" w:colLast="0" w:name="_heading=h.2et92p0" w:id="6"/>
      <w:bookmarkEnd w:id="6"/>
      <w:r w:rsidDel="00000000" w:rsidR="00000000" w:rsidRPr="00000000">
        <w:rPr>
          <w:rtl w:val="0"/>
        </w:rPr>
      </w:r>
    </w:p>
    <w:p w:rsidR="00000000" w:rsidDel="00000000" w:rsidP="00000000" w:rsidRDefault="00000000" w:rsidRPr="00000000" w14:paraId="0000000E">
      <w:pPr>
        <w:pStyle w:val="Heading1"/>
        <w:keepNext w:val="0"/>
        <w:keepLines w:val="0"/>
        <w:spacing w:before="480" w:lineRule="auto"/>
        <w:jc w:val="center"/>
        <w:rPr>
          <w:rFonts w:ascii="Times New Roman" w:cs="Times New Roman" w:eastAsia="Times New Roman" w:hAnsi="Times New Roman"/>
          <w:b w:val="1"/>
          <w:sz w:val="46"/>
          <w:szCs w:val="46"/>
        </w:rPr>
      </w:pPr>
      <w:bookmarkStart w:colFirst="0" w:colLast="0" w:name="_heading=h.tyjcwt" w:id="7"/>
      <w:bookmarkEnd w:id="7"/>
      <w:r w:rsidDel="00000000" w:rsidR="00000000" w:rsidRPr="00000000">
        <w:rPr>
          <w:rtl w:val="0"/>
        </w:rPr>
      </w:r>
    </w:p>
    <w:p w:rsidR="00000000" w:rsidDel="00000000" w:rsidP="00000000" w:rsidRDefault="00000000" w:rsidRPr="00000000" w14:paraId="0000000F">
      <w:pPr>
        <w:pStyle w:val="Heading1"/>
        <w:keepNext w:val="0"/>
        <w:keepLines w:val="0"/>
        <w:spacing w:before="480" w:lineRule="auto"/>
        <w:jc w:val="center"/>
        <w:rPr>
          <w:rFonts w:ascii="Times New Roman" w:cs="Times New Roman" w:eastAsia="Times New Roman" w:hAnsi="Times New Roman"/>
          <w:b w:val="1"/>
          <w:sz w:val="46"/>
          <w:szCs w:val="46"/>
        </w:rPr>
      </w:pPr>
      <w:bookmarkStart w:colFirst="0" w:colLast="0" w:name="_heading=h.3dy6vkm" w:id="8"/>
      <w:bookmarkEnd w:id="8"/>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209550</wp:posOffset>
            </wp:positionH>
            <wp:positionV relativeFrom="paragraph">
              <wp:posOffset>705357</wp:posOffset>
            </wp:positionV>
            <wp:extent cx="900113" cy="900113"/>
            <wp:effectExtent b="0" l="0" r="0" t="0"/>
            <wp:wrapSquare wrapText="bothSides" distB="114300" distT="114300" distL="114300" distR="114300"/>
            <wp:docPr id="12"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900113" cy="90011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4314825</wp:posOffset>
            </wp:positionH>
            <wp:positionV relativeFrom="paragraph">
              <wp:posOffset>371475</wp:posOffset>
            </wp:positionV>
            <wp:extent cx="1052513" cy="1359988"/>
            <wp:effectExtent b="0" l="0" r="0" t="0"/>
            <wp:wrapSquare wrapText="bothSides" distB="114300" distT="114300" distL="114300" distR="114300"/>
            <wp:docPr id="1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052513" cy="1359988"/>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1404938</wp:posOffset>
            </wp:positionH>
            <wp:positionV relativeFrom="paragraph">
              <wp:posOffset>438150</wp:posOffset>
            </wp:positionV>
            <wp:extent cx="1214438" cy="1224311"/>
            <wp:effectExtent b="0" l="0" r="0" t="0"/>
            <wp:wrapSquare wrapText="bothSides" distB="114300" distT="114300" distL="114300" distR="114300"/>
            <wp:docPr id="8"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1214438" cy="1224311"/>
                    </a:xfrm>
                    <a:prstGeom prst="rect"/>
                    <a:ln/>
                  </pic:spPr>
                </pic:pic>
              </a:graphicData>
            </a:graphic>
          </wp:anchor>
        </w:drawing>
      </w:r>
    </w:p>
    <w:p w:rsidR="00000000" w:rsidDel="00000000" w:rsidP="00000000" w:rsidRDefault="00000000" w:rsidRPr="00000000" w14:paraId="00000010">
      <w:pPr>
        <w:jc w:val="center"/>
        <w:rPr>
          <w:rFonts w:ascii="Times New Roman" w:cs="Times New Roman" w:eastAsia="Times New Roman" w:hAnsi="Times New Roman"/>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3077751</wp:posOffset>
            </wp:positionH>
            <wp:positionV relativeFrom="paragraph">
              <wp:posOffset>38100</wp:posOffset>
            </wp:positionV>
            <wp:extent cx="970374" cy="856213"/>
            <wp:effectExtent b="0" l="0" r="0" t="0"/>
            <wp:wrapSquare wrapText="bothSides" distB="0" distT="0" distL="0" distR="0"/>
            <wp:docPr id="11"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970374" cy="856213"/>
                    </a:xfrm>
                    <a:prstGeom prst="rect"/>
                    <a:ln/>
                  </pic:spPr>
                </pic:pic>
              </a:graphicData>
            </a:graphic>
          </wp:anchor>
        </w:drawing>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3">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5">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3962400</wp:posOffset>
            </wp:positionH>
            <wp:positionV relativeFrom="paragraph">
              <wp:posOffset>177105</wp:posOffset>
            </wp:positionV>
            <wp:extent cx="1033463" cy="1123950"/>
            <wp:effectExtent b="0" l="0" r="0" t="0"/>
            <wp:wrapSquare wrapText="bothSides" distB="114300" distT="114300" distL="114300" distR="114300"/>
            <wp:docPr id="9"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1033463" cy="1123950"/>
                    </a:xfrm>
                    <a:prstGeom prst="rect"/>
                    <a:ln/>
                  </pic:spPr>
                </pic:pic>
              </a:graphicData>
            </a:graphic>
          </wp:anchor>
        </w:drawing>
      </w:r>
    </w:p>
    <w:p w:rsidR="00000000" w:rsidDel="00000000" w:rsidP="00000000" w:rsidRDefault="00000000" w:rsidRPr="00000000" w14:paraId="00000017">
      <w:pPr>
        <w:spacing w:line="24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2419350</wp:posOffset>
            </wp:positionH>
            <wp:positionV relativeFrom="paragraph">
              <wp:posOffset>53355</wp:posOffset>
            </wp:positionV>
            <wp:extent cx="1334705" cy="1026696"/>
            <wp:effectExtent b="0" l="0" r="0" t="0"/>
            <wp:wrapSquare wrapText="bothSides" distB="0" distT="0" distL="114300" distR="114300"/>
            <wp:docPr descr="C:\Users\NEMO_Office\Desktop\NPA\Banner\Debedebokel Logo December 2015.jpg" id="10" name="image6.jpg"/>
            <a:graphic>
              <a:graphicData uri="http://schemas.openxmlformats.org/drawingml/2006/picture">
                <pic:pic>
                  <pic:nvPicPr>
                    <pic:cNvPr descr="C:\Users\NEMO_Office\Desktop\NPA\Banner\Debedebokel Logo December 2015.jpg" id="0" name="image6.jpg"/>
                    <pic:cNvPicPr preferRelativeResize="0"/>
                  </pic:nvPicPr>
                  <pic:blipFill>
                    <a:blip r:embed="rId12"/>
                    <a:srcRect b="4818" l="8346" r="9955" t="9036"/>
                    <a:stretch>
                      <a:fillRect/>
                    </a:stretch>
                  </pic:blipFill>
                  <pic:spPr>
                    <a:xfrm>
                      <a:off x="0" y="0"/>
                      <a:ext cx="1334705" cy="1026696"/>
                    </a:xfrm>
                    <a:prstGeom prst="rect"/>
                    <a:ln/>
                  </pic:spPr>
                </pic:pic>
              </a:graphicData>
            </a:graphic>
          </wp:anchor>
        </w:drawing>
      </w:r>
    </w:p>
    <w:p w:rsidR="00000000" w:rsidDel="00000000" w:rsidP="00000000" w:rsidRDefault="00000000" w:rsidRPr="00000000" w14:paraId="00000018">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9">
      <w:pPr>
        <w:spacing w:line="240" w:lineRule="auto"/>
        <w:jc w:val="both"/>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400050</wp:posOffset>
            </wp:positionH>
            <wp:positionV relativeFrom="paragraph">
              <wp:posOffset>163859</wp:posOffset>
            </wp:positionV>
            <wp:extent cx="1862138" cy="567603"/>
            <wp:effectExtent b="0" l="0" r="0" t="0"/>
            <wp:wrapTopAndBottom distB="0" distT="0"/>
            <wp:docPr descr="C:\Users\JudyOtto\Documents\Logos\logofamily3.jpg" id="13" name="image1.jpg"/>
            <a:graphic>
              <a:graphicData uri="http://schemas.openxmlformats.org/drawingml/2006/picture">
                <pic:pic>
                  <pic:nvPicPr>
                    <pic:cNvPr descr="C:\Users\JudyOtto\Documents\Logos\logofamily3.jpg" id="0" name="image1.jpg"/>
                    <pic:cNvPicPr preferRelativeResize="0"/>
                  </pic:nvPicPr>
                  <pic:blipFill>
                    <a:blip r:embed="rId13"/>
                    <a:srcRect b="0" l="0" r="0" t="0"/>
                    <a:stretch>
                      <a:fillRect/>
                    </a:stretch>
                  </pic:blipFill>
                  <pic:spPr>
                    <a:xfrm>
                      <a:off x="0" y="0"/>
                      <a:ext cx="1862138" cy="567603"/>
                    </a:xfrm>
                    <a:prstGeom prst="rect"/>
                    <a:ln/>
                  </pic:spPr>
                </pic:pic>
              </a:graphicData>
            </a:graphic>
          </wp:anchor>
        </w:drawing>
      </w:r>
    </w:p>
    <w:p w:rsidR="00000000" w:rsidDel="00000000" w:rsidP="00000000" w:rsidRDefault="00000000" w:rsidRPr="00000000" w14:paraId="0000001A">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C">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D">
      <w:pP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E">
      <w:pPr>
        <w:spacing w:after="240" w:before="240"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Acknowledgements</w:t>
      </w:r>
    </w:p>
    <w:p w:rsidR="00000000" w:rsidDel="00000000" w:rsidP="00000000" w:rsidRDefault="00000000" w:rsidRPr="00000000" w14:paraId="0000001F">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OMEKESANG</w:t>
      </w:r>
    </w:p>
    <w:p w:rsidR="00000000" w:rsidDel="00000000" w:rsidP="00000000" w:rsidRDefault="00000000" w:rsidRPr="00000000" w14:paraId="00000020">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Palau Resource Institute (PRI)</w:t>
      </w:r>
    </w:p>
    <w:p w:rsidR="00000000" w:rsidDel="00000000" w:rsidP="00000000" w:rsidRDefault="00000000" w:rsidRPr="00000000" w14:paraId="00000021">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Palau Parents Empowered (PPE)</w:t>
      </w:r>
    </w:p>
    <w:p w:rsidR="00000000" w:rsidDel="00000000" w:rsidP="00000000" w:rsidRDefault="00000000" w:rsidRPr="00000000" w14:paraId="00000022">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Belau Association of Non-Government Organizations (BANGO)</w:t>
      </w:r>
    </w:p>
    <w:p w:rsidR="00000000" w:rsidDel="00000000" w:rsidP="00000000" w:rsidRDefault="00000000" w:rsidRPr="00000000" w14:paraId="00000023">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Kotel A Deurreng</w:t>
      </w:r>
    </w:p>
    <w:p w:rsidR="00000000" w:rsidDel="00000000" w:rsidP="00000000" w:rsidRDefault="00000000" w:rsidRPr="00000000" w14:paraId="00000024">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Debedebokel</w:t>
      </w:r>
    </w:p>
    <w:p w:rsidR="00000000" w:rsidDel="00000000" w:rsidP="00000000" w:rsidRDefault="00000000" w:rsidRPr="00000000" w14:paraId="00000025">
      <w:pPr>
        <w:spacing w:after="240" w:before="24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Palau Entrepreneurs For Growth (PEFG)</w:t>
      </w:r>
    </w:p>
    <w:p w:rsidR="00000000" w:rsidDel="00000000" w:rsidP="00000000" w:rsidRDefault="00000000" w:rsidRPr="00000000" w14:paraId="00000026">
      <w:pPr>
        <w:spacing w:after="240" w:before="240" w:line="24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8">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9">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A">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B">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C">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D">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E">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F">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0">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1">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4">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5">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spacing w:after="240" w:before="240" w:lin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8">
      <w:pPr>
        <w:spacing w:after="240" w:before="240" w:lin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9">
      <w:pPr>
        <w:spacing w:after="240" w:before="24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of Contents</w:t>
      </w:r>
    </w:p>
    <w:p w:rsidR="00000000" w:rsidDel="00000000" w:rsidP="00000000" w:rsidRDefault="00000000" w:rsidRPr="00000000" w14:paraId="0000003A">
      <w:pPr>
        <w:spacing w:after="240" w:before="240"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spacing w:after="240" w:before="240" w:line="48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 Introduction ..........................................................................................................................3</w:t>
        <w:br w:type="textWrapping"/>
        <w:t xml:space="preserve">II. Key Issues and Concerns ...................................................................................................3</w:t>
        <w:br w:type="textWrapping"/>
        <w:t xml:space="preserve">II.I Articles 1-4: Purpose, Definitions, General Principles, General Obligations .............3</w:t>
        <w:br w:type="textWrapping"/>
        <w:t xml:space="preserve">II.II Article 5: Equality and Non-Discrimination ................................................................4</w:t>
        <w:br w:type="textWrapping"/>
        <w:t xml:space="preserve">II.III Article 6: Women with Disabilities ..............................................................................5</w:t>
        <w:br w:type="textWrapping"/>
        <w:t xml:space="preserve">II.IV Article 7: Children with Disabilities ............................................................................5</w:t>
        <w:br w:type="textWrapping"/>
        <w:t xml:space="preserve">II.V Article 8: Awareness Raising .........................................................................................5</w:t>
        <w:br w:type="textWrapping"/>
        <w:t xml:space="preserve">II.VI Article 9: Accessibility ..................................................................................................6</w:t>
        <w:br w:type="textWrapping"/>
        <w:t xml:space="preserve">II.VII Article 11: Situations of Risks and Humanitarian Emergencies ...................................................................................................................................................7</w:t>
        <w:br w:type="textWrapping"/>
        <w:t xml:space="preserve">II.VIII Article 12: Equal Recognition Before the Law .......................................................8</w:t>
        <w:br w:type="textWrapping"/>
        <w:t xml:space="preserve">II.IX Article 13: Access to Justice .........................................................................................9</w:t>
        <w:br w:type="textWrapping"/>
        <w:t xml:space="preserve">II.X Article 14: Liberty and Security of the Person ............................................................9</w:t>
        <w:br w:type="textWrapping"/>
        <w:t xml:space="preserve">II.XI Article 15: Freedom from Torture .............................................................................10</w:t>
        <w:br w:type="textWrapping"/>
        <w:t xml:space="preserve">II.XII Article 16: Freedom from Exploitation, Violence, and Abuse ..................................................................................................................................................11</w:t>
        <w:br w:type="textWrapping"/>
        <w:t xml:space="preserve">II.XIII Article 17: Protecting the Integrity of the Person ..................................................11</w:t>
        <w:br w:type="textWrapping"/>
        <w:t xml:space="preserve">III. Conclusion .......................................................................................................................20 </w:t>
      </w:r>
    </w:p>
    <w:p w:rsidR="00000000" w:rsidDel="00000000" w:rsidP="00000000" w:rsidRDefault="00000000" w:rsidRPr="00000000" w14:paraId="0000003C">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D">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spacing w:line="240" w:lineRule="auto"/>
        <w:jc w:val="both"/>
        <w:rPr>
          <w:rFonts w:ascii="Times New Roman" w:cs="Times New Roman" w:eastAsia="Times New Roman" w:hAnsi="Times New Roman"/>
          <w:b w:val="1"/>
          <w:sz w:val="24"/>
          <w:szCs w:val="24"/>
        </w:rPr>
        <w:sectPr>
          <w:headerReference r:id="rId14" w:type="default"/>
          <w:headerReference r:id="rId15" w:type="first"/>
          <w:footerReference r:id="rId16" w:type="default"/>
          <w:footerReference r:id="rId17" w:type="first"/>
          <w:footerReference r:id="rId18" w:type="even"/>
          <w:pgSz w:h="16834" w:w="11909" w:orient="portrait"/>
          <w:pgMar w:bottom="1440" w:top="1440" w:left="1440" w:right="1440" w:header="720" w:footer="720"/>
          <w:pgNumType w:start="0"/>
          <w:titlePg w:val="1"/>
        </w:sectPr>
      </w:pPr>
      <w:r w:rsidDel="00000000" w:rsidR="00000000" w:rsidRPr="00000000">
        <w:rPr>
          <w:rtl w:val="0"/>
        </w:rPr>
      </w:r>
    </w:p>
    <w:p w:rsidR="00000000" w:rsidDel="00000000" w:rsidP="00000000" w:rsidRDefault="00000000" w:rsidRPr="00000000" w14:paraId="00000040">
      <w:pPr>
        <w:spacing w:line="24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41">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2">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Civil Society Organization (CSO) Parallel Report in answer to the list of questions of the Committee on the Rights of Persons with Disabilities (CRPD/C/PLW/Q/1) provides an independent perspective on Palau’s implementation of the United Nations Convention on the Rights of Persons with Disabilities (CRPD). It complements the replies of Palau to the list of issues (CRPD/C/PLW/RQ/1) by highlighting gaps, challenges, and areas where further progress is needed to fully realize the rights of persons with disabilities. It also builds on the alternative report presented by OMEKESANG in 2022 (</w:t>
      </w:r>
      <w:hyperlink r:id="rId19">
        <w:r w:rsidDel="00000000" w:rsidR="00000000" w:rsidRPr="00000000">
          <w:rPr>
            <w:rFonts w:ascii="Times New Roman" w:cs="Times New Roman" w:eastAsia="Times New Roman" w:hAnsi="Times New Roman"/>
            <w:color w:val="1155cc"/>
            <w:sz w:val="24"/>
            <w:szCs w:val="24"/>
            <w:u w:val="single"/>
            <w:rtl w:val="0"/>
          </w:rPr>
          <w:t xml:space="preserve">link</w:t>
        </w:r>
      </w:hyperlink>
      <w:r w:rsidDel="00000000" w:rsidR="00000000" w:rsidRPr="00000000">
        <w:rPr>
          <w:rFonts w:ascii="Times New Roman" w:cs="Times New Roman" w:eastAsia="Times New Roman" w:hAnsi="Times New Roman"/>
          <w:sz w:val="24"/>
          <w:szCs w:val="24"/>
          <w:rtl w:val="0"/>
        </w:rPr>
        <w:t xml:space="preserve">). This report, grounded in the lived experiences of persons with disabilities and other vulnerable groups, provides evidence-based insights to ensure accountability and alignment with CRPD principles. By amplifying their voices and fostering stakeholder engagement, the report seeks to contribute to a more comprehensive understanding of Palau’s efforts and to advocate for meaningful action toward inclusivity and equity.</w:t>
      </w:r>
    </w:p>
    <w:p w:rsidR="00000000" w:rsidDel="00000000" w:rsidP="00000000" w:rsidRDefault="00000000" w:rsidRPr="00000000" w14:paraId="00000043">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5">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KEY ISSUES AND CONCERNS</w:t>
      </w:r>
      <w:r w:rsidDel="00000000" w:rsidR="00000000" w:rsidRPr="00000000">
        <w:rPr>
          <w:rtl w:val="0"/>
        </w:rPr>
      </w:r>
    </w:p>
    <w:p w:rsidR="00000000" w:rsidDel="00000000" w:rsidP="00000000" w:rsidRDefault="00000000" w:rsidRPr="00000000" w14:paraId="00000046">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is based on group discussions held between November and December 2024 and addresses various community issues concerning the implementation status and enjoyment of human rights as they are enshrined in the Convention.</w:t>
      </w:r>
    </w:p>
    <w:p w:rsidR="00000000" w:rsidDel="00000000" w:rsidP="00000000" w:rsidRDefault="00000000" w:rsidRPr="00000000" w14:paraId="00000048">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Articles 1-4: Purpose, Definitions, General Principles, General Obligations</w:t>
      </w:r>
    </w:p>
    <w:p w:rsidR="00000000" w:rsidDel="00000000" w:rsidP="00000000" w:rsidRDefault="00000000" w:rsidRPr="00000000" w14:paraId="0000004A">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4B">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Palau's enactment of the Persons with Disabilities Act (RPPL) No. 11-36 and the development of a National Policy on Persons with Disabilities demonstrates the nation's commitment to promoting inclusivity and equal rights for persons with disabilities. These legislative advancements establish foundational frameworks for addressing disability issues systematically. The formation of a Coordinating Committee and Office of Persons with Disabilities is particularly noteworthy, as it offers an institutional structure to monitor and guide policy implementation and reporting.</w:t>
      </w:r>
    </w:p>
    <w:p w:rsidR="00000000" w:rsidDel="00000000" w:rsidP="00000000" w:rsidRDefault="00000000" w:rsidRPr="00000000" w14:paraId="0000004C">
      <w:pPr>
        <w:pBdr>
          <w:bottom w:color="000000" w:space="12" w:sz="0" w:val="none"/>
        </w:pBdr>
        <w:shd w:fill="ffffff" w:val="clear"/>
        <w:spacing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Inconsistencies in how disability is defined across legislative texts continue to pose a significant challenge. The evolving concept of disability in the CRPD highlights the interaction between impairments and societal barriers, but the varying interpretations within Palau's legal framework result in fragmented support systems. For instance, the lack of a uniform definition can lead to the exclusion of individuals with disabilities from essential programs and protections. Aligning these definitions is crucial for ensuring equitable access and consistent policy application.</w:t>
      </w:r>
    </w:p>
    <w:p w:rsidR="00000000" w:rsidDel="00000000" w:rsidP="00000000" w:rsidRDefault="00000000" w:rsidRPr="00000000" w14:paraId="0000004D">
      <w:pPr>
        <w:pBdr>
          <w:bottom w:color="000000" w:space="12" w:sz="0" w:val="none"/>
        </w:pBdr>
        <w:shd w:fill="ffffff" w:val="clear"/>
        <w:spacing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IV, §5 of the Palau Constitution specifically asserts that all persons are equal under the law. Not only is the government prohibited from discriminating against individuals with disabilities, but they must also be provided with preferential treatment. The provision states: “Every person shall be equal under the law and shall be entitled to equal protection. The government shall take no action to discriminate against any person on the basis of sex, race, place of origin, language, religion or belief, social status or clan affiliation except for the preferential treatment of citizens, for the protection of minors, elderly, indigent, physically or mentally handicapped, and other similar groups, and in matters concerning intestate succession and domestic relations. No person shall be treated unfairly in legislative or executive investigations.”</w:t>
      </w:r>
    </w:p>
    <w:p w:rsidR="00000000" w:rsidDel="00000000" w:rsidP="00000000" w:rsidRDefault="00000000" w:rsidRPr="00000000" w14:paraId="0000004E">
      <w:pPr>
        <w:pBdr>
          <w:bottom w:color="000000" w:space="12" w:sz="0" w:val="none"/>
        </w:pBdr>
        <w:shd w:fill="ffffff" w:val="clear"/>
        <w:spacing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Currently, Palau’s laws contain multiple definitions of disability. The Disabled Person’s Anti-Discrimination Act defines disability as “a physical or mental impairment that substantially limits one or more of a person’s major life activities” (33 PNCA §3032(a)). The Act prohibits employment discrimination and mandates accommodations, such as disabled parking, at all national government buildings.</w:t>
      </w:r>
    </w:p>
    <w:p w:rsidR="00000000" w:rsidDel="00000000" w:rsidP="00000000" w:rsidRDefault="00000000" w:rsidRPr="00000000" w14:paraId="0000004F">
      <w:pPr>
        <w:pBdr>
          <w:bottom w:color="000000" w:space="12" w:sz="0" w:val="none"/>
        </w:pBdr>
        <w:shd w:fill="ffffff" w:val="clear"/>
        <w:spacing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inconsistency in defining 'disability' across various laws and policies calls for revision to establish a uniform definition.</w:t>
      </w:r>
    </w:p>
    <w:p w:rsidR="00000000" w:rsidDel="00000000" w:rsidP="00000000" w:rsidRDefault="00000000" w:rsidRPr="00000000" w14:paraId="00000050">
      <w:pPr>
        <w:pBdr>
          <w:bottom w:color="000000" w:space="12" w:sz="0" w:val="none"/>
        </w:pBdr>
        <w:shd w:fill="ffffff" w:val="clear"/>
        <w:spacing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lack of timelines for the implementation of these structures raises concerns about the pace and prioritization of these initiatives. Without clear deadlines, it becomes difficult to hold responsible parties accountable, potentially leading to delays in providing meaningful benefits to individuals with disabilities.</w:t>
      </w:r>
    </w:p>
    <w:p w:rsidR="00000000" w:rsidDel="00000000" w:rsidP="00000000" w:rsidRDefault="00000000" w:rsidRPr="00000000" w14:paraId="00000051">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52">
      <w:pPr>
        <w:numPr>
          <w:ilvl w:val="0"/>
          <w:numId w:val="8"/>
        </w:numPr>
        <w:shd w:fill="ffffff" w:val="clear"/>
        <w:spacing w:line="288"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Harmonize Disability Definitions: Align disability definitions across legislation with the CRPD to ensure consistent rights and benefits.</w:t>
      </w:r>
    </w:p>
    <w:p w:rsidR="00000000" w:rsidDel="00000000" w:rsidP="00000000" w:rsidRDefault="00000000" w:rsidRPr="00000000" w14:paraId="00000053">
      <w:pPr>
        <w:numPr>
          <w:ilvl w:val="0"/>
          <w:numId w:val="8"/>
        </w:numPr>
        <w:shd w:fill="ffffff" w:val="clear"/>
        <w:spacing w:line="288"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all legislation and bench mark it against the CRPD and ensure that findings are discuss and recommendation implemented to harmonise all domestic legislation</w:t>
      </w:r>
    </w:p>
    <w:p w:rsidR="00000000" w:rsidDel="00000000" w:rsidP="00000000" w:rsidRDefault="00000000" w:rsidRPr="00000000" w14:paraId="00000054">
      <w:pPr>
        <w:numPr>
          <w:ilvl w:val="0"/>
          <w:numId w:val="8"/>
        </w:numPr>
        <w:shd w:fill="ffffff" w:val="clear"/>
        <w:spacing w:line="288"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Set Timelines and Milestones: Establish clear timelines and monitoring for the operationalization of the Coordinating Committee and the Office of Persons with Disabilities to ensure timely implementation.</w:t>
      </w:r>
    </w:p>
    <w:p w:rsidR="00000000" w:rsidDel="00000000" w:rsidP="00000000" w:rsidRDefault="00000000" w:rsidRPr="00000000" w14:paraId="00000055">
      <w:pPr>
        <w:spacing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6">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5: Equality and Non-Discrimination</w:t>
      </w:r>
    </w:p>
    <w:p w:rsidR="00000000" w:rsidDel="00000000" w:rsidP="00000000" w:rsidRDefault="00000000" w:rsidRPr="00000000" w14:paraId="00000057">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8">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moment, Palau does not have any law on reasonable accommodation. But there have been efforts to provide reasonable accommodations in education, reflecting Palau's commitment to providing an inclusive learning environment for students with disabilities. However, it also reveals notable gaps in extending these accommodations to other vital sectors, such as public services and employment. This oversight limits the full participation of persons with disabilities in various societal domains, hindering their inclusion and undermining the principle of equality and non-discrimination as outlined in the CRPD. Current policies lack enforceable protections against discrimination in key areas, including employment, public spaces, healthcare, and other essential services.</w:t>
      </w:r>
    </w:p>
    <w:p w:rsidR="00000000" w:rsidDel="00000000" w:rsidP="00000000" w:rsidRDefault="00000000" w:rsidRPr="00000000" w14:paraId="00000059">
      <w:pPr>
        <w:shd w:fill="ffffff" w:val="clea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these gaps, introducing sector-specific guidelines for reasonable accommodations is essential. For example, public services could adopt clear accessibility standards, while employment policies could prioritize workplace accommodations and provide targeted training programs for employers. Expanding monitoring mechanisms to track the effectiveness of these measures would ensure accountability and help identify gaps in the implementation of anti-discrimination measures. Additionally, highlighting case studies or success stories of individuals benefiting from these policies could illustrate their real-world impact, offering a framework for scaling successful initiatives across sectors.</w:t>
      </w:r>
    </w:p>
    <w:p w:rsidR="00000000" w:rsidDel="00000000" w:rsidP="00000000" w:rsidRDefault="00000000" w:rsidRPr="00000000" w14:paraId="0000005A">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5B">
      <w:pPr>
        <w:numPr>
          <w:ilvl w:val="0"/>
          <w:numId w:val="21"/>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Expand Reasonable Accommodations: Palau should assess barriers in public services and workplaces, implement policies for accommodations, and provide training. Full implementation should be completed in 2-3 years, with annual reviews.</w:t>
      </w:r>
      <w:r w:rsidDel="00000000" w:rsidR="00000000" w:rsidRPr="00000000">
        <w:rPr>
          <w:rtl w:val="0"/>
        </w:rPr>
      </w:r>
    </w:p>
    <w:p w:rsidR="00000000" w:rsidDel="00000000" w:rsidP="00000000" w:rsidRDefault="00000000" w:rsidRPr="00000000" w14:paraId="0000005C">
      <w:pPr>
        <w:numPr>
          <w:ilvl w:val="0"/>
          <w:numId w:val="21"/>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Develop Anti-Discrimination Legislation: Palau should create anti-discrimination laws covering all sectors and establish a monitoring body. Legislation should be finalized in 1 year and enforced within 2 years.</w:t>
      </w:r>
      <w:r w:rsidDel="00000000" w:rsidR="00000000" w:rsidRPr="00000000">
        <w:rPr>
          <w:rtl w:val="0"/>
        </w:rPr>
      </w:r>
    </w:p>
    <w:p w:rsidR="00000000" w:rsidDel="00000000" w:rsidP="00000000" w:rsidRDefault="00000000" w:rsidRPr="00000000" w14:paraId="0000005D">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5E">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6: Women with Disabilities</w:t>
      </w:r>
    </w:p>
    <w:p w:rsidR="00000000" w:rsidDel="00000000" w:rsidP="00000000" w:rsidRDefault="00000000" w:rsidRPr="00000000" w14:paraId="0000005F">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0">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Palau's recognition of intersectional discrimination against women and girls with disabilities is commendable. Initiatives to promote technical education and workforce empowerment have improved opportunities and representation, reflecting a commitment to inclusivity. However, progress in incorporating gender mainstreaming policies that address the unique challenges faced by women with disabilities remains limited. The existing Palau Family Protection Act mentions disability only briefly and lacks actionable steps for effective implementation, leaving significant gaps in coverage.</w:t>
      </w:r>
    </w:p>
    <w:p w:rsidR="00000000" w:rsidDel="00000000" w:rsidP="00000000" w:rsidRDefault="00000000" w:rsidRPr="00000000" w14:paraId="00000061">
      <w:pPr>
        <w:shd w:fill="ffffff" w:val="clea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absence of specific provisions for women and girls with disabilities under the Family Protection Act (FPA) highlights a missed opportunity to ensure their legal protections and support. The current framework lacks targeted measures addressing the intersection of gender and disability, which significantly impacts the safety, rights, and well-being of women and girls with disabilities. Allocating dedicated resources for gender-disability mainstreaming is critical to bridging these gaps, enabling the development and implementation of targeted policies. This would expand the scope of existing measures and ensure comprehensive support for this vulnerable group, contributing to a more inclusive and equitable society. Stronger advocacy and policy improvements are essential to ensuring women and girls with disabilities are not left behind.</w:t>
      </w:r>
    </w:p>
    <w:p w:rsidR="00000000" w:rsidDel="00000000" w:rsidP="00000000" w:rsidRDefault="00000000" w:rsidRPr="00000000" w14:paraId="00000062">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63">
      <w:pPr>
        <w:numPr>
          <w:ilvl w:val="0"/>
          <w:numId w:val="23"/>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Strengthen Gender Mainstreaming Framework: Palau should integrate policies addressing the needs of women and girls with disabilities, ensuring accessibility and awareness within gender equality efforts.</w:t>
      </w:r>
      <w:r w:rsidDel="00000000" w:rsidR="00000000" w:rsidRPr="00000000">
        <w:rPr>
          <w:rtl w:val="0"/>
        </w:rPr>
      </w:r>
    </w:p>
    <w:p w:rsidR="00000000" w:rsidDel="00000000" w:rsidP="00000000" w:rsidRDefault="00000000" w:rsidRPr="00000000" w14:paraId="00000064">
      <w:pPr>
        <w:numPr>
          <w:ilvl w:val="0"/>
          <w:numId w:val="23"/>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Include Provisions in the FPA: Palau should amend the Family Protection Act to include specific protections for women and girls with disabilities, ensuring their safety and access to services.</w:t>
      </w:r>
      <w:r w:rsidDel="00000000" w:rsidR="00000000" w:rsidRPr="00000000">
        <w:rPr>
          <w:rtl w:val="0"/>
        </w:rPr>
      </w:r>
    </w:p>
    <w:p w:rsidR="00000000" w:rsidDel="00000000" w:rsidP="00000000" w:rsidRDefault="00000000" w:rsidRPr="00000000" w14:paraId="0000006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7: Children with Disabilities </w:t>
      </w:r>
    </w:p>
    <w:p w:rsidR="00000000" w:rsidDel="00000000" w:rsidP="00000000" w:rsidRDefault="00000000" w:rsidRPr="00000000" w14:paraId="00000067">
      <w:pP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Palau’s policies aim to provide inclusive education, significant barriers remain, including inaccessible school facilities, untrained educators, and pervasive societal stigma. Addressing these challenges requires targeted investments in infrastructure, teacher training, and community education to foster inclusive environments. A comprehensive evaluation of these issues, accompanied by specific data on educational outcomes and participation rates for children with disabilities, is crucial to provide a clearer picture of the current state of education and to guide meaningful interventions.</w:t>
      </w:r>
    </w:p>
    <w:p w:rsidR="00000000" w:rsidDel="00000000" w:rsidP="00000000" w:rsidRDefault="00000000" w:rsidRPr="00000000" w14:paraId="00000068">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69">
      <w:pPr>
        <w:numPr>
          <w:ilvl w:val="0"/>
          <w:numId w:val="5"/>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Overcome Infrastructure Challenges and Stigma: Palau should improve school accessibility and implement awareness programs to reduce stigma for children with disabilities.</w:t>
      </w:r>
      <w:r w:rsidDel="00000000" w:rsidR="00000000" w:rsidRPr="00000000">
        <w:rPr>
          <w:rtl w:val="0"/>
        </w:rPr>
      </w:r>
    </w:p>
    <w:p w:rsidR="00000000" w:rsidDel="00000000" w:rsidP="00000000" w:rsidRDefault="00000000" w:rsidRPr="00000000" w14:paraId="0000006A">
      <w:pPr>
        <w:numPr>
          <w:ilvl w:val="0"/>
          <w:numId w:val="5"/>
        </w:numPr>
        <w:shd w:fill="ffffff" w:val="clear"/>
        <w:spacing w:line="240" w:lineRule="auto"/>
        <w:ind w:left="720" w:hanging="360"/>
        <w:jc w:val="both"/>
        <w:rPr>
          <w:rFonts w:ascii="Times New Roman" w:cs="Times New Roman" w:eastAsia="Times New Roman" w:hAnsi="Times New Roman"/>
          <w:color w:val="222222"/>
          <w:sz w:val="24"/>
          <w:szCs w:val="24"/>
        </w:rPr>
      </w:pPr>
      <w:bookmarkStart w:colFirst="0" w:colLast="0" w:name="_heading=h.4d34og8" w:id="9"/>
      <w:bookmarkEnd w:id="9"/>
      <w:r w:rsidDel="00000000" w:rsidR="00000000" w:rsidRPr="00000000">
        <w:rPr>
          <w:rFonts w:ascii="Times New Roman" w:cs="Times New Roman" w:eastAsia="Times New Roman" w:hAnsi="Times New Roman"/>
          <w:color w:val="222222"/>
          <w:sz w:val="24"/>
          <w:szCs w:val="24"/>
          <w:rtl w:val="0"/>
        </w:rPr>
        <w:t xml:space="preserve">Include Data on Educational Outcomes: Palau should collect data on participation and outcomes for children with disabilities to track progress and guide improvements in inclusive education.</w:t>
      </w:r>
      <w:r w:rsidDel="00000000" w:rsidR="00000000" w:rsidRPr="00000000">
        <w:rPr>
          <w:rtl w:val="0"/>
        </w:rPr>
      </w:r>
    </w:p>
    <w:p w:rsidR="00000000" w:rsidDel="00000000" w:rsidP="00000000" w:rsidRDefault="00000000" w:rsidRPr="00000000" w14:paraId="0000006B">
      <w:pPr>
        <w:numPr>
          <w:ilvl w:val="0"/>
          <w:numId w:val="5"/>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Increase funding to support the full inclusion and participation of children  with disabilities in the education system, in particular children with intellectual disabilities</w:t>
      </w:r>
      <w:r w:rsidDel="00000000" w:rsidR="00000000" w:rsidRPr="00000000">
        <w:rPr>
          <w:rtl w:val="0"/>
        </w:rPr>
      </w:r>
    </w:p>
    <w:p w:rsidR="00000000" w:rsidDel="00000000" w:rsidP="00000000" w:rsidRDefault="00000000" w:rsidRPr="00000000" w14:paraId="0000006C">
      <w:pPr>
        <w:shd w:fill="ffffff" w:val="clear"/>
        <w:spacing w:line="240" w:lineRule="auto"/>
        <w:ind w:left="720" w:firstLine="0"/>
        <w:jc w:val="both"/>
        <w:rPr>
          <w:rFonts w:ascii="Times New Roman" w:cs="Times New Roman" w:eastAsia="Times New Roman" w:hAnsi="Times New Roman"/>
          <w:color w:val="222222"/>
          <w:sz w:val="24"/>
          <w:szCs w:val="24"/>
        </w:rPr>
      </w:pPr>
      <w:bookmarkStart w:colFirst="0" w:colLast="0" w:name="_heading=h.p9uyccbq1tij" w:id="10"/>
      <w:bookmarkEnd w:id="10"/>
      <w:r w:rsidDel="00000000" w:rsidR="00000000" w:rsidRPr="00000000">
        <w:rPr>
          <w:rtl w:val="0"/>
        </w:rPr>
      </w:r>
    </w:p>
    <w:p w:rsidR="00000000" w:rsidDel="00000000" w:rsidP="00000000" w:rsidRDefault="00000000" w:rsidRPr="00000000" w14:paraId="0000006D">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Article 8: Awareness Raising</w:t>
      </w:r>
      <w:r w:rsidDel="00000000" w:rsidR="00000000" w:rsidRPr="00000000">
        <w:rPr>
          <w:rtl w:val="0"/>
        </w:rPr>
      </w:r>
    </w:p>
    <w:p w:rsidR="00000000" w:rsidDel="00000000" w:rsidP="00000000" w:rsidRDefault="00000000" w:rsidRPr="00000000" w14:paraId="0000006E">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6F">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 inclusion of awareness-raising campaigns, particularly those led by OMEKESANG in partnership with the Government Disability Focal Point, government line ministries and agencies, non-government organizations, private sectors, and the community, is a remarkable highlight. These initiatives reflect progress in shifting societal attitudes towards persons with disabilities. However, there is a lack of a detailed assessment of the long-term impacts of these campaigns and their influence on policy and practice. It would be beneficial to establish measurable indicators to assess the effectiveness of these efforts. Furthermore, greater emphasis on improving accessibility to media campaigns for persons with sensory impairments would better align these initiatives with the principles of the CRPD.</w:t>
      </w:r>
      <w:r w:rsidDel="00000000" w:rsidR="00000000" w:rsidRPr="00000000">
        <w:rPr>
          <w:rtl w:val="0"/>
        </w:rPr>
      </w:r>
    </w:p>
    <w:p w:rsidR="00000000" w:rsidDel="00000000" w:rsidP="00000000" w:rsidRDefault="00000000" w:rsidRPr="00000000" w14:paraId="00000070">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72">
      <w:pPr>
        <w:numPr>
          <w:ilvl w:val="0"/>
          <w:numId w:val="27"/>
        </w:numPr>
        <w:shd w:fill="ffffff" w:val="clear"/>
        <w:spacing w:line="240" w:lineRule="auto"/>
        <w:ind w:left="720" w:hanging="36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Government to provide funding to OMEKESANG to carry out awareness raising in communities to address barriers and stigma faced by persons with disabilities. </w:t>
      </w:r>
      <w:r w:rsidDel="00000000" w:rsidR="00000000" w:rsidRPr="00000000">
        <w:rPr>
          <w:rtl w:val="0"/>
        </w:rPr>
      </w:r>
    </w:p>
    <w:p w:rsidR="00000000" w:rsidDel="00000000" w:rsidP="00000000" w:rsidRDefault="00000000" w:rsidRPr="00000000" w14:paraId="00000073">
      <w:pPr>
        <w:numPr>
          <w:ilvl w:val="0"/>
          <w:numId w:val="27"/>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Measure Impact of Awareness Campaigns: Palau should track societal attitude changes and policy implementation through surveys and data collection, with regular evaluations of campaign effectiveness.</w:t>
      </w:r>
      <w:r w:rsidDel="00000000" w:rsidR="00000000" w:rsidRPr="00000000">
        <w:rPr>
          <w:rtl w:val="0"/>
        </w:rPr>
      </w:r>
    </w:p>
    <w:p w:rsidR="00000000" w:rsidDel="00000000" w:rsidP="00000000" w:rsidRDefault="00000000" w:rsidRPr="00000000" w14:paraId="00000074">
      <w:pPr>
        <w:numPr>
          <w:ilvl w:val="0"/>
          <w:numId w:val="27"/>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Ensure Accessibility in Media Campaigns: Media campaigns should include subtitles, sign language, and audio descriptions to ensure accessibility for persons with sensory impairments, in line with CRPD principles.</w:t>
      </w:r>
      <w:r w:rsidDel="00000000" w:rsidR="00000000" w:rsidRPr="00000000">
        <w:rPr>
          <w:rtl w:val="0"/>
        </w:rPr>
      </w:r>
    </w:p>
    <w:p w:rsidR="00000000" w:rsidDel="00000000" w:rsidP="00000000" w:rsidRDefault="00000000" w:rsidRPr="00000000" w14:paraId="0000007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9: Accessibility</w:t>
      </w:r>
    </w:p>
    <w:p w:rsidR="00000000" w:rsidDel="00000000" w:rsidP="00000000" w:rsidRDefault="00000000" w:rsidRPr="00000000" w14:paraId="00000077">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78">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introduction of access audits and improvements to public infrastructure, such as the Ngermalk Access Ramp, marks a significant step forward in enhancing accessibility for persons with disabilities and other community groups who need such services. This initiative demonstrates a commitment to fostering a more inclusive environment. However, several critical gaps need urgent attention, particularly the lack of comprehensive policies promoting equal access to essential services such as information, communication, and technologies (ICTs) and transportation. The absence of these policies significantly limits the full participation of persons with disabilities in everyday activities, from accessing public transportation to obtaining crucial information or engaging in communication.</w:t>
      </w:r>
    </w:p>
    <w:p w:rsidR="00000000" w:rsidDel="00000000" w:rsidP="00000000" w:rsidRDefault="00000000" w:rsidRPr="00000000" w14:paraId="00000079">
      <w:pPr>
        <w:shd w:fill="ffffff" w:val="clea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particular, the lack of accessible transportation in Palau remains a significant barrier, limiting the mobility and independence of persons with disabilities. Expanding transportation options and adopting universal design standards are essential steps toward full inclusion, enabling persons with disabilities and other vulnerable groups to travel freely and independently. Similarly, the limited accessibility and affordability of ICTs exacerbate the digital divide, restricting access to vital information, services, and opportunities. Without clear policies and regulations to guarantee equal access, these groups are left at a disadvantage, unable to fully exercise their fundamental rights.</w:t>
      </w:r>
    </w:p>
    <w:p w:rsidR="00000000" w:rsidDel="00000000" w:rsidP="00000000" w:rsidRDefault="00000000" w:rsidRPr="00000000" w14:paraId="0000007A">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address these gaps, it is imperative to establish clear timelines for policy development, implementation, monitoring, and evaluation. Adequate resources must be allocated to support accessibility initiatives across all sectors, ensuring that physical, digital, and communication barriers are dismantled. Providing accessible public information, supporting the availability and affordability of assistive technologies, and ensuring that ICT services are universally designed are all essential to guaranteeing equal participation for persons with disabilities and other vulnerable groups.</w:t>
      </w:r>
    </w:p>
    <w:p w:rsidR="00000000" w:rsidDel="00000000" w:rsidP="00000000" w:rsidRDefault="00000000" w:rsidRPr="00000000" w14:paraId="0000007B">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hd w:fill="ffffff" w:val="clea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7D">
      <w:pPr>
        <w:numPr>
          <w:ilvl w:val="0"/>
          <w:numId w:val="2"/>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 Ensure Equal Access to ICT and Transportation: Palau should implement policies for accessible ICT and transportation, with monitoring mechanisms to enforce equal access for persons with disabilities and vulnerable groups.</w:t>
      </w:r>
      <w:r w:rsidDel="00000000" w:rsidR="00000000" w:rsidRPr="00000000">
        <w:rPr>
          <w:rtl w:val="0"/>
        </w:rPr>
      </w:r>
    </w:p>
    <w:p w:rsidR="00000000" w:rsidDel="00000000" w:rsidP="00000000" w:rsidRDefault="00000000" w:rsidRPr="00000000" w14:paraId="0000007E">
      <w:pPr>
        <w:numPr>
          <w:ilvl w:val="0"/>
          <w:numId w:val="2"/>
        </w:numPr>
        <w:shd w:fill="ffffff" w:val="clear"/>
        <w:spacing w:line="240" w:lineRule="auto"/>
        <w:ind w:left="720" w:hanging="36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Address the Digital Divide: Governments and organizations should improve affordable internet access, assistive technologies, and digital literacy to help persons with disabilities and vulnerable groups fully engage in the digital space.</w:t>
      </w:r>
      <w:r w:rsidDel="00000000" w:rsidR="00000000" w:rsidRPr="00000000">
        <w:rPr>
          <w:rtl w:val="0"/>
        </w:rPr>
      </w:r>
    </w:p>
    <w:p w:rsidR="00000000" w:rsidDel="00000000" w:rsidP="00000000" w:rsidRDefault="00000000" w:rsidRPr="00000000" w14:paraId="0000007F">
      <w:pPr>
        <w:numPr>
          <w:ilvl w:val="0"/>
          <w:numId w:val="2"/>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Government should ensure that persons with disabilities through their representative organisation are consulted all infrastructure development, whether its building new building, roads, jetties or renovation.  </w:t>
      </w:r>
      <w:r w:rsidDel="00000000" w:rsidR="00000000" w:rsidRPr="00000000">
        <w:rPr>
          <w:rtl w:val="0"/>
        </w:rPr>
      </w:r>
    </w:p>
    <w:p w:rsidR="00000000" w:rsidDel="00000000" w:rsidP="00000000" w:rsidRDefault="00000000" w:rsidRPr="00000000" w14:paraId="00000080">
      <w:pPr>
        <w:spacing w:line="240" w:lineRule="auto"/>
        <w:jc w:val="both"/>
        <w:rPr>
          <w:rFonts w:ascii="Times New Roman" w:cs="Times New Roman" w:eastAsia="Times New Roman" w:hAnsi="Times New Roman"/>
          <w:sz w:val="24"/>
          <w:szCs w:val="24"/>
          <w:highlight w:val="red"/>
        </w:rPr>
      </w:pPr>
      <w:r w:rsidDel="00000000" w:rsidR="00000000" w:rsidRPr="00000000">
        <w:rPr>
          <w:rtl w:val="0"/>
        </w:rPr>
      </w:r>
    </w:p>
    <w:p w:rsidR="00000000" w:rsidDel="00000000" w:rsidP="00000000" w:rsidRDefault="00000000" w:rsidRPr="00000000" w14:paraId="00000081">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11: Situations of Risks and Humanitarian Emergencies</w:t>
      </w:r>
    </w:p>
    <w:p w:rsidR="00000000" w:rsidDel="00000000" w:rsidP="00000000" w:rsidRDefault="00000000" w:rsidRPr="00000000" w14:paraId="00000082">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Palau’s efforts to integrate persons with disabilities and older persons into disaster risk reduction (DRR) preparedness and response are commendable, particularly through initiatives such as mapping these groups and incorporating accessibility measures into shelters. These forward-thinking actions highlight a commitment to inclusion, recognizing the distinct needs of these populations during emergencies. However, some areas require further attention to ensure comprehensive support for all vulnerable groups, especially during disasters. These improvements are necessary to guarantee that persons with disabilities and older persons receive adequate protection and care when faced with emergencies.</w:t>
      </w:r>
    </w:p>
    <w:p w:rsidR="00000000" w:rsidDel="00000000" w:rsidP="00000000" w:rsidRDefault="00000000" w:rsidRPr="00000000" w14:paraId="00000084">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significant concern is the lack of accessible early warning systems. To ensure the safety of persons with disabilities and older persons, these systems must incorporate inclusive features, such as auditory, visual, and tactile methods, to cater to diverse needs. Currently, a lack of accessible formats leaves persons with disabilities and older persons at greater risk during emergencies. At present, there are no specific measures in place, which leaves these groups at risk of being uninformed or unable to take necessary action during emergencies. The absence of accessible early warning systems represents a critical gap in disaster preparedness.</w:t>
      </w:r>
    </w:p>
    <w:p w:rsidR="00000000" w:rsidDel="00000000" w:rsidP="00000000" w:rsidRDefault="00000000" w:rsidRPr="00000000" w14:paraId="00000086">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7">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the accessibility and effectiveness of disaster preparedness education and awareness programs for persons with disabilities and older persons remain unclear.</w:t>
      </w:r>
    </w:p>
    <w:p w:rsidR="00000000" w:rsidDel="00000000" w:rsidP="00000000" w:rsidRDefault="00000000" w:rsidRPr="00000000" w14:paraId="00000088">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Palau’s disaster management plan incorporates progressive steps, more data is needed to assess the impact of these efforts. Understanding how persons with disabilities and older persons have been affected by past disasters and evaluating the effectiveness of inclusive measures would provide valuable insights into current strategies. This data would not only help gauge the success of ongoing initiatives but also offer evidence for enhancing and expanding these efforts in future disaster response plans. Furthermore, the absence of long-term plans to scale up these inclusive efforts is concerning, especially as climate change and humanitarian emergencies are expected to intensify. Strengthening and evolving disaster risk reduction frameworks is essential to meet the changing needs of vulnerable populations.</w:t>
      </w:r>
    </w:p>
    <w:p w:rsidR="00000000" w:rsidDel="00000000" w:rsidP="00000000" w:rsidRDefault="00000000" w:rsidRPr="00000000" w14:paraId="0000008A">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ongoing GIS mapping of persons with disabilities, spearheaded by PALARIS and Omekesang with support from IOM, is a step toward addressing these gaps. The mapping will identify necessary assistive support, such as communication aids and wheelchair access ramps, across Palau’s states. This initiative will ensure that early warning information is delivered in accessible formats, such as visual aids, audio messages, and assistive technologies, tailored to specific impairments. Moreover, the mapping will improve communication, coordination, and engagement with persons with disabilities. The newly launched Guidelines on Disability Inclusive Disaster Risk Reduction by OMEKESANG will complement the National Disaster Reduction and Management Framework (NDRMF), which is led by NEMO and guided by the National Emergency Committee (NEC).</w:t>
      </w:r>
    </w:p>
    <w:p w:rsidR="00000000" w:rsidDel="00000000" w:rsidP="00000000" w:rsidRDefault="00000000" w:rsidRPr="00000000" w14:paraId="0000008C">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Palau's participation in the CIS-Pac5 project, alongside four other Pacific Island countries, reflects a regional effort to improve community preparedness and resilience to climate risks. This project, led by UNEP and funded by the Green Climate Fund, supports the implementation of the updated NDRMF and the Red Cross Disaster Action Teams (RDATs), which collaborate with local state governments. To further strengthen disaster response, there is an ongoing need for capacity building among first responders, particularly in disability-inclusive responses. Prioritizing funding for such training programs is essential to ensure that emergency personnel are equipped to address the needs of all individuals, including older persons and persons with disabilities, during emergencies.</w:t>
      </w:r>
    </w:p>
    <w:p w:rsidR="00000000" w:rsidDel="00000000" w:rsidP="00000000" w:rsidRDefault="00000000" w:rsidRPr="00000000" w14:paraId="0000008E">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IOM continues to work with first responders, including the Palau Red Cross, to provide training on disability-inclusive responses. They are actively seeking funding and partnerships to expand these programs, ensuring that rescue and emergency personnel are fully prepared to meet the needs of all individuals, regardless of their abilities or age, in times of disaster.</w:t>
      </w:r>
    </w:p>
    <w:p w:rsidR="00000000" w:rsidDel="00000000" w:rsidP="00000000" w:rsidRDefault="00000000" w:rsidRPr="00000000" w14:paraId="00000090">
      <w:pP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tabs>
          <w:tab w:val="left" w:leader="none" w:pos="2835"/>
        </w:tabs>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92">
      <w:pPr>
        <w:numPr>
          <w:ilvl w:val="0"/>
          <w:numId w:val="9"/>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Enhance Early Warning Systems: Palau should make early warning systems accessible for persons with disabilities and older persons by using accessible formats and assistive technologies.</w:t>
      </w:r>
      <w:r w:rsidDel="00000000" w:rsidR="00000000" w:rsidRPr="00000000">
        <w:rPr>
          <w:rtl w:val="0"/>
        </w:rPr>
      </w:r>
    </w:p>
    <w:p w:rsidR="00000000" w:rsidDel="00000000" w:rsidP="00000000" w:rsidRDefault="00000000" w:rsidRPr="00000000" w14:paraId="00000093">
      <w:pPr>
        <w:numPr>
          <w:ilvl w:val="0"/>
          <w:numId w:val="9"/>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Provide Assistive Devices for Disaster Information: Palau should assess and provide necessary assistive devices, such as communication aids and hearing devices, to ensure access to timely disaster information.</w:t>
      </w:r>
      <w:r w:rsidDel="00000000" w:rsidR="00000000" w:rsidRPr="00000000">
        <w:rPr>
          <w:rtl w:val="0"/>
        </w:rPr>
      </w:r>
    </w:p>
    <w:p w:rsidR="00000000" w:rsidDel="00000000" w:rsidP="00000000" w:rsidRDefault="00000000" w:rsidRPr="00000000" w14:paraId="00000094">
      <w:pPr>
        <w:numPr>
          <w:ilvl w:val="0"/>
          <w:numId w:val="9"/>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OMEKESANG’s Role in the National Emergency Committee (NEC): Palau should consider including OMEKESANG in the NEC to ensure disability-inclusive perspectives in disaster planning and decision-making.</w:t>
      </w:r>
      <w:r w:rsidDel="00000000" w:rsidR="00000000" w:rsidRPr="00000000">
        <w:rPr>
          <w:rtl w:val="0"/>
        </w:rPr>
      </w:r>
    </w:p>
    <w:p w:rsidR="00000000" w:rsidDel="00000000" w:rsidP="00000000" w:rsidRDefault="00000000" w:rsidRPr="00000000" w14:paraId="00000095">
      <w:pPr>
        <w:numPr>
          <w:ilvl w:val="0"/>
          <w:numId w:val="9"/>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Improve Infrastructure and Assistive Technologies for Evacuation: Palau should enhance infrastructure, like ramps and evacuation routes, and provide assistive devices to ensure safe evacuation for persons with disabilities and older persons.</w:t>
      </w:r>
      <w:r w:rsidDel="00000000" w:rsidR="00000000" w:rsidRPr="00000000">
        <w:rPr>
          <w:rtl w:val="0"/>
        </w:rPr>
      </w:r>
    </w:p>
    <w:p w:rsidR="00000000" w:rsidDel="00000000" w:rsidP="00000000" w:rsidRDefault="00000000" w:rsidRPr="00000000" w14:paraId="00000096">
      <w:pPr>
        <w:spacing w:line="240" w:lineRule="auto"/>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97">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12: Equal Recognition Before the Law</w:t>
      </w:r>
    </w:p>
    <w:p w:rsidR="00000000" w:rsidDel="00000000" w:rsidP="00000000" w:rsidRDefault="00000000" w:rsidRPr="00000000" w14:paraId="00000098">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99">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judicial processes are important measures to safeguard the rights of persons, particularly persons with disabilities, but some areas require further clarification and refinement. While the Public Defender’s Office provides legal services free of charge and without discrimination, the mention of judicial processes to assess capacity lacks detail about how these processes operate and ensure consistency. Similarly, the reference to medical staff attending to persons deprived of liberty in detention facilities does not elaborate on the quality of care provided or safeguards in place to prevent neglect or abuse.</w:t>
      </w:r>
    </w:p>
    <w:p w:rsidR="00000000" w:rsidDel="00000000" w:rsidP="00000000" w:rsidRDefault="00000000" w:rsidRPr="00000000" w14:paraId="0000009A">
      <w:pPr>
        <w:shd w:fill="ffffff" w:val="clea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 framework for guardianship includes important safeguards, such as requiring medical reports and appointing guardians ad litem in certain cases. However, the language used, such as "declared incompetent," is outdated and potentially stigmatizing. Replacing this with appropriate terms would align with human rights standards. Additionally, while mentioning "least restrictive measures" is promising, there is no clear explanation of how this principle is implemented in practice or monitored to ensure compliance. The reference to the Palau Severely Disabled Assistance Fund raises further questions about how informed consent is obtained and whether sufficient oversight exists to protect persons from coercion or exploitation.</w:t>
      </w:r>
      <w:r w:rsidDel="00000000" w:rsidR="00000000" w:rsidRPr="00000000">
        <w:rPr>
          <w:rtl w:val="0"/>
        </w:rPr>
      </w:r>
    </w:p>
    <w:p w:rsidR="00000000" w:rsidDel="00000000" w:rsidP="00000000" w:rsidRDefault="00000000" w:rsidRPr="00000000" w14:paraId="0000009B">
      <w:pPr>
        <w:widowControl w:val="0"/>
        <w:tabs>
          <w:tab w:val="left" w:leader="none" w:pos="2835"/>
        </w:tabs>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9C">
      <w:pPr>
        <w:widowControl w:val="0"/>
        <w:numPr>
          <w:ilvl w:val="0"/>
          <w:numId w:val="14"/>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Monitoring Fairness, Quality, and Accountability in Legal Services: Establish robust systems for monitoring the processes of assessing capacity and providing legal services to ensure fairness, quality, and accountability.</w:t>
      </w:r>
    </w:p>
    <w:p w:rsidR="00000000" w:rsidDel="00000000" w:rsidP="00000000" w:rsidRDefault="00000000" w:rsidRPr="00000000" w14:paraId="0000009D">
      <w:pPr>
        <w:numPr>
          <w:ilvl w:val="0"/>
          <w:numId w:val="14"/>
        </w:numPr>
        <w:shd w:fill="ffffff" w:val="clear"/>
        <w:spacing w:line="240" w:lineRule="auto"/>
        <w:ind w:left="720" w:hanging="360"/>
        <w:jc w:val="both"/>
        <w:rPr/>
      </w:pPr>
      <w:r w:rsidDel="00000000" w:rsidR="00000000" w:rsidRPr="00000000">
        <w:rPr>
          <w:rFonts w:ascii="Times New Roman" w:cs="Times New Roman" w:eastAsia="Times New Roman" w:hAnsi="Times New Roman"/>
          <w:sz w:val="24"/>
          <w:szCs w:val="24"/>
          <w:rtl w:val="0"/>
        </w:rPr>
        <w:t xml:space="preserve">Review all legislation relating to equal recognition before the law and implement measures to remove discriminatory provisions on the basis of disability.</w:t>
      </w:r>
    </w:p>
    <w:p w:rsidR="00000000" w:rsidDel="00000000" w:rsidP="00000000" w:rsidRDefault="00000000" w:rsidRPr="00000000" w14:paraId="0000009E">
      <w:pPr>
        <w:widowControl w:val="0"/>
        <w:numPr>
          <w:ilvl w:val="0"/>
          <w:numId w:val="14"/>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 discriminatory language in existing laws are removed and language used is bench marked against the CRPD.  Legal Language and Practices: Update legal language and practices to align with international human rights standards and promote inclusivity across all sectors. </w:t>
      </w:r>
    </w:p>
    <w:p w:rsidR="00000000" w:rsidDel="00000000" w:rsidP="00000000" w:rsidRDefault="00000000" w:rsidRPr="00000000" w14:paraId="0000009F">
      <w:pPr>
        <w:widowControl w:val="0"/>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Article 13: Access to Justice</w:t>
      </w:r>
      <w:r w:rsidDel="00000000" w:rsidR="00000000" w:rsidRPr="00000000">
        <w:rPr>
          <w:rtl w:val="0"/>
        </w:rPr>
      </w:r>
    </w:p>
    <w:p w:rsidR="00000000" w:rsidDel="00000000" w:rsidP="00000000" w:rsidRDefault="00000000" w:rsidRPr="00000000" w14:paraId="000000A1">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A2">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significant efforts to ensure that persons with disabilities can access justice, such as providing legal representation through the Public Defender's Office, ensuring physical accessibility in court buildings, and offering specialized legal services like those from the Micronesian Legal Services Corporation. However, while these initiatives are important, there are several areas where further attention is needed to improve the system's inclusivity and efficiency for persons with disabilities.</w:t>
      </w:r>
    </w:p>
    <w:p w:rsidR="00000000" w:rsidDel="00000000" w:rsidP="00000000" w:rsidRDefault="00000000" w:rsidRPr="00000000" w14:paraId="000000A3">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key strength of the current system is the commitment to providing access to justice through infrastructure accommodations like wheelchair ramps, elevators, and accessible restrooms in the Court compound. Additionally, the mention of the FPA of 2012 highlights a legal framework addressing violence and abuse, specifically including persons with disabilities. It is positive that the Ministry of Justice has also created standard procedures for persons with disabilities, ensuring that their circumstances are considered in legal matters. Furthermore, the cooperation between the Ministry of Justice, the Ministry of Health and Human Services, and the Court to identify gaps in social protection and recovery programs shows an ongoing attempt to refine the system.</w:t>
      </w:r>
    </w:p>
    <w:p w:rsidR="00000000" w:rsidDel="00000000" w:rsidP="00000000" w:rsidRDefault="00000000" w:rsidRPr="00000000" w14:paraId="000000A5">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hd w:fill="ffffff" w:val="clear"/>
        <w:tabs>
          <w:tab w:val="left" w:leader="none" w:pos="2835"/>
        </w:tabs>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 few weaknesses need attention. First, there is no designation of persons with disabilities as a protective class, which could hinder the development of targeted protections for this group. While the Public Defender's Office does consult with families or legal guardians when representing persons with disabilities, this process may not fully account for the nuanced needs of persons with various disabilities, potentially limiting the adequacy of legal representation. The lack of specific outreach on issues like gender-based violence and human trafficking for persons with disabilities also suggests a gap in services tailored to their needs. Additionally, the general campaigns promoting access to justice might not be enough to address the unique barriers faced by persons with disabilities, as there have been mentions of a focus on universal access rather than on specifically tailored strategies.</w:t>
      </w:r>
    </w:p>
    <w:p w:rsidR="00000000" w:rsidDel="00000000" w:rsidP="00000000" w:rsidRDefault="00000000" w:rsidRPr="00000000" w14:paraId="000000A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A9">
      <w:pPr>
        <w:numPr>
          <w:ilvl w:val="0"/>
          <w:numId w:val="12"/>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Protecting Persons with Disabilities in the Legal System: Designate persons with disabilities as a protected class within the justice system to address their specific needs and ensure equitable treatment</w:t>
      </w:r>
    </w:p>
    <w:p w:rsidR="00000000" w:rsidDel="00000000" w:rsidP="00000000" w:rsidRDefault="00000000" w:rsidRPr="00000000" w14:paraId="000000AA">
      <w:pPr>
        <w:numPr>
          <w:ilvl w:val="0"/>
          <w:numId w:val="12"/>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all legislation relating to access to justice and implement measures to remove discriminatory provisions on the basis of disability.</w:t>
      </w:r>
    </w:p>
    <w:p w:rsidR="00000000" w:rsidDel="00000000" w:rsidP="00000000" w:rsidRDefault="00000000" w:rsidRPr="00000000" w14:paraId="000000AB">
      <w:pPr>
        <w:numPr>
          <w:ilvl w:val="0"/>
          <w:numId w:val="12"/>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Ensuring Adequate Legal Representation: Strengthen legal representation for persons with disabilities, especially in complex cases like human trafficking or gender-based violence, through enhanced training and resources for legal professionals.</w:t>
      </w:r>
    </w:p>
    <w:p w:rsidR="00000000" w:rsidDel="00000000" w:rsidP="00000000" w:rsidRDefault="00000000" w:rsidRPr="00000000" w14:paraId="000000AC">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pStyle w:val="Heading2"/>
        <w:spacing w:after="0" w:before="0" w:line="240" w:lineRule="auto"/>
        <w:jc w:val="both"/>
        <w:rPr>
          <w:rFonts w:ascii="Times New Roman" w:cs="Times New Roman" w:eastAsia="Times New Roman" w:hAnsi="Times New Roman"/>
          <w:b w:val="1"/>
          <w:i w:val="1"/>
          <w:sz w:val="24"/>
          <w:szCs w:val="24"/>
          <w:u w:val="single"/>
        </w:rPr>
      </w:pPr>
      <w:bookmarkStart w:colFirst="0" w:colLast="0" w:name="_heading=h.2s8eyo1" w:id="11"/>
      <w:bookmarkEnd w:id="11"/>
      <w:r w:rsidDel="00000000" w:rsidR="00000000" w:rsidRPr="00000000">
        <w:rPr>
          <w:rFonts w:ascii="Times New Roman" w:cs="Times New Roman" w:eastAsia="Times New Roman" w:hAnsi="Times New Roman"/>
          <w:b w:val="1"/>
          <w:sz w:val="24"/>
          <w:szCs w:val="24"/>
          <w:u w:val="single"/>
          <w:rtl w:val="0"/>
        </w:rPr>
        <w:t xml:space="preserve">Article 14: Liberty and Security of the Person  </w:t>
      </w:r>
      <w:r w:rsidDel="00000000" w:rsidR="00000000" w:rsidRPr="00000000">
        <w:rPr>
          <w:rtl w:val="0"/>
        </w:rPr>
      </w:r>
    </w:p>
    <w:p w:rsidR="00000000" w:rsidDel="00000000" w:rsidP="00000000" w:rsidRDefault="00000000" w:rsidRPr="00000000" w14:paraId="000000AE">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AF">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Palau’s commitment to aligning its laws with the principles of the CRPD, particularly in repealing legislation that allows for arbitrary deprivation of liberty, is a crucial step toward ensuring that persons with disabilities are treated with dignity and respect. The Ministry of Justice has implemented several measures, including protocols for managing persons in custody who exhibit signs of mental illness or pose a risk of self-harm. These protocols prioritize the safety and well-being of detainees, with appropriate medical care provided based on professional advice. Additionally, regulations on the duty of care emphasize the responsibility of correctional officers to monitor and support persons with disabilities, ensuring their rights are respected throughout their detention. The Ministry is also actively reviewing and amending legislation that may permit unjust detention, reflecting its dedication to aligning legal practices with international human rights standards.</w:t>
      </w:r>
    </w:p>
    <w:p w:rsidR="00000000" w:rsidDel="00000000" w:rsidP="00000000" w:rsidRDefault="00000000" w:rsidRPr="00000000" w14:paraId="000000B0">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1">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these measures show positive progress, some areas require further attention. The management protocols, particularly those involving isolation and restraint, raise concerns about the potential negative impact on persons with disabilities, suggesting the need for alternative methods that prioritize rehabilitation over punitive measures. Furthermore, the Disability Questionnaire Form using the Washington Group Short Set of Questionnaires, which was introduced in 2023 as part of the Judicial System's efforts to improve access to justice, needs to be consistent and sustained to better meet the needs of persons with disabilities. It is essential to monitor and evaluate the effectiveness of these initiatives to ensure they are truly improving the conditions for persons with disabilities in the justice system.</w:t>
      </w:r>
    </w:p>
    <w:p w:rsidR="00000000" w:rsidDel="00000000" w:rsidP="00000000" w:rsidRDefault="00000000" w:rsidRPr="00000000" w14:paraId="000000B2">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3">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0B4">
      <w:pPr>
        <w:widowControl w:val="0"/>
        <w:numPr>
          <w:ilvl w:val="0"/>
          <w:numId w:val="1"/>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Improving Protocols for Persons in Custody: Implement and monitor protocols for managing persons in custody, including the use of isolation and restraint, to minimize harm and respect human rights.</w:t>
      </w:r>
      <w:r w:rsidDel="00000000" w:rsidR="00000000" w:rsidRPr="00000000">
        <w:rPr>
          <w:rtl w:val="0"/>
        </w:rPr>
      </w:r>
    </w:p>
    <w:p w:rsidR="00000000" w:rsidDel="00000000" w:rsidP="00000000" w:rsidRDefault="00000000" w:rsidRPr="00000000" w14:paraId="000000B5">
      <w:pPr>
        <w:widowControl w:val="0"/>
        <w:numPr>
          <w:ilvl w:val="0"/>
          <w:numId w:val="1"/>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Updating Tools for Access to Justice: Regularly review and update the Disability Questionnaire Form to ensure it effectively improves access to justice for persons with disabilities.</w:t>
      </w:r>
      <w:r w:rsidDel="00000000" w:rsidR="00000000" w:rsidRPr="00000000">
        <w:rPr>
          <w:rtl w:val="0"/>
        </w:rPr>
      </w:r>
    </w:p>
    <w:p w:rsidR="00000000" w:rsidDel="00000000" w:rsidP="00000000" w:rsidRDefault="00000000" w:rsidRPr="00000000" w14:paraId="000000B6">
      <w:pPr>
        <w:widowControl w:val="0"/>
        <w:numPr>
          <w:ilvl w:val="0"/>
          <w:numId w:val="1"/>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Safeguarding Rights Under Deprivation of Liberty: Introduce additional measures to safeguard the rights of persons with disabilities deprived of liberty, ensuring compliance with human rights standards.</w:t>
      </w: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pStyle w:val="Heading2"/>
        <w:spacing w:after="0" w:before="0"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15: Freedom from torture or cruel, inhuman or degrading treatment or punishment</w:t>
      </w:r>
    </w:p>
    <w:p w:rsidR="00000000" w:rsidDel="00000000" w:rsidP="00000000" w:rsidRDefault="00000000" w:rsidRPr="00000000" w14:paraId="000000B9">
      <w:pPr>
        <w:spacing w:line="240" w:lineRule="auto"/>
        <w:jc w:val="both"/>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0BA">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 has made positive strides in aligning its legal framework with international human rights standards, particularly its prohibition against extradition to countries where torture or inhumane treatment may occur. However, while the legislative measures showcase commitment, there is room for a deeper analysis of the practical implementation and enforcement mechanisms. Are these legal provisions effectively upheld in practice, and are there sufficient safeguards to ensure transparency in decision-making regarding extraditions? Without robust implementation, these measures risk being more symbolic than impactful. Palau has not ratified the Convention against Torture and Other Cruel, Inhuman or Degrading Treatment or Punishment (CAT),  nor signed or ratified its Optional Protocol.</w:t>
      </w:r>
    </w:p>
    <w:p w:rsidR="00000000" w:rsidDel="00000000" w:rsidP="00000000" w:rsidRDefault="00000000" w:rsidRPr="00000000" w14:paraId="000000BB">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C">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On the other hand, the penalties for offences against vulnerable persons raise concerns about proportionality and efficacy. While the acknowledgement of the crime is commendable, the punishment, a maximum of one year in prison or a $1,000 fine, may fail to serve as a significant deterrent or reflect the gravity of the harm caused. It is imperative to explore whether harsher penalties, alongside educational and preventive measures, would better safeguard vulnerable groups, including persons with disabilities.</w:t>
      </w:r>
    </w:p>
    <w:p w:rsidR="00000000" w:rsidDel="00000000" w:rsidP="00000000" w:rsidRDefault="00000000" w:rsidRPr="00000000" w14:paraId="000000BD">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BE">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BF">
      <w:pPr>
        <w:numPr>
          <w:ilvl w:val="0"/>
          <w:numId w:val="19"/>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Strengthening Extradition Safeguards: Enforce and enhance transparency in provisions against extradition to countries where individuals may face torture or inhumane treatment.</w:t>
      </w:r>
      <w:r w:rsidDel="00000000" w:rsidR="00000000" w:rsidRPr="00000000">
        <w:rPr>
          <w:rtl w:val="0"/>
        </w:rPr>
      </w:r>
    </w:p>
    <w:p w:rsidR="00000000" w:rsidDel="00000000" w:rsidP="00000000" w:rsidRDefault="00000000" w:rsidRPr="00000000" w14:paraId="000000C0">
      <w:pPr>
        <w:numPr>
          <w:ilvl w:val="0"/>
          <w:numId w:val="19"/>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Reviewing Penalties for Offenses Against Vulnerable Persons: Evaluate and, if needed, strengthen penalties for offenses against vulnerable persons to enhance deterrence and protection.</w:t>
      </w:r>
      <w:r w:rsidDel="00000000" w:rsidR="00000000" w:rsidRPr="00000000">
        <w:rPr>
          <w:rtl w:val="0"/>
        </w:rPr>
      </w:r>
    </w:p>
    <w:p w:rsidR="00000000" w:rsidDel="00000000" w:rsidP="00000000" w:rsidRDefault="00000000" w:rsidRPr="00000000" w14:paraId="000000C1">
      <w:pPr>
        <w:numPr>
          <w:ilvl w:val="0"/>
          <w:numId w:val="19"/>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Preventing Torture and Ill-Treatment: Establish and maintain preventive measures against torture and ill-treatment, including periodic visits to places of deprivation of liberty.</w:t>
      </w:r>
      <w:r w:rsidDel="00000000" w:rsidR="00000000" w:rsidRPr="00000000">
        <w:rPr>
          <w:rtl w:val="0"/>
        </w:rPr>
      </w:r>
    </w:p>
    <w:p w:rsidR="00000000" w:rsidDel="00000000" w:rsidP="00000000" w:rsidRDefault="00000000" w:rsidRPr="00000000" w14:paraId="000000C2">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3">
      <w:pPr>
        <w:pStyle w:val="Heading2"/>
        <w:spacing w:after="0" w:before="0" w:line="240" w:lineRule="auto"/>
        <w:jc w:val="both"/>
        <w:rPr>
          <w:rFonts w:ascii="Times New Roman" w:cs="Times New Roman" w:eastAsia="Times New Roman" w:hAnsi="Times New Roman"/>
          <w:b w:val="1"/>
          <w:sz w:val="24"/>
          <w:szCs w:val="24"/>
          <w:highlight w:val="white"/>
          <w:u w:val="single"/>
        </w:rPr>
      </w:pPr>
      <w:bookmarkStart w:colFirst="0" w:colLast="0" w:name="_heading=h.17dp8vu" w:id="12"/>
      <w:bookmarkEnd w:id="12"/>
      <w:r w:rsidDel="00000000" w:rsidR="00000000" w:rsidRPr="00000000">
        <w:rPr>
          <w:rFonts w:ascii="Times New Roman" w:cs="Times New Roman" w:eastAsia="Times New Roman" w:hAnsi="Times New Roman"/>
          <w:b w:val="1"/>
          <w:sz w:val="24"/>
          <w:szCs w:val="24"/>
          <w:highlight w:val="white"/>
          <w:u w:val="single"/>
          <w:rtl w:val="0"/>
        </w:rPr>
        <w:t xml:space="preserve">Article 16: Freedom from exploitation, violence and abuse</w:t>
      </w:r>
    </w:p>
    <w:p w:rsidR="00000000" w:rsidDel="00000000" w:rsidP="00000000" w:rsidRDefault="00000000" w:rsidRPr="00000000" w14:paraId="000000C4">
      <w:pPr>
        <w:tabs>
          <w:tab w:val="left" w:leader="none" w:pos="2835"/>
        </w:tabs>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5">
      <w:pPr>
        <w:shd w:fill="ffffff" w:val="clear"/>
        <w:tabs>
          <w:tab w:val="left" w:leader="none" w:pos="2835"/>
        </w:tabs>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 is committed to safeguarding persons with disabilities from exploitation, violence, and abuse under Article 16 of the CRPD. The inclusion of specific measures, such as legal protections and victim advocacy, demonstrates a strong effort to address these critical issues. The acknowledgment of ongoing efforts to refine legal language, such as removing derogatory terms, reflects a positive move towards inclusivity and respect. However, the narrative could benefit from providing specific examples of legal cases or data showcasing the impact of these initiatives on persons with disabilities. This would strengthen the claim that the programs are achieving their intended goals.</w:t>
      </w:r>
    </w:p>
    <w:p w:rsidR="00000000" w:rsidDel="00000000" w:rsidP="00000000" w:rsidRDefault="00000000" w:rsidRPr="00000000" w14:paraId="000000C6">
      <w:pPr>
        <w:shd w:fill="ffffff" w:val="clear"/>
        <w:tabs>
          <w:tab w:val="left" w:leader="none" w:pos="2835"/>
        </w:tabs>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7">
      <w:pPr>
        <w:shd w:fill="ffffff" w:val="clear"/>
        <w:tabs>
          <w:tab w:val="left" w:leader="none" w:pos="2835"/>
        </w:tabs>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the mention of the Victims of Crimes Office reopening in 2022 is commendable, it is important to elaborate on how its integration into the MHHS enhances inclusion and the quality of services for persons with disabilities. Additionally, while there are existing social programs and awareness efforts, a deeper exploration of their scope, success metrics, or community responses would add depth. Lastly, emphasizing collaboration with organizations of persons with disabilities or international partners could highlight the holistic approach Palau is taking to ensure compliance with Article 16.</w:t>
      </w:r>
    </w:p>
    <w:p w:rsidR="00000000" w:rsidDel="00000000" w:rsidP="00000000" w:rsidRDefault="00000000" w:rsidRPr="00000000" w14:paraId="000000C8">
      <w:pPr>
        <w:tabs>
          <w:tab w:val="left" w:leader="none" w:pos="2835"/>
        </w:tabs>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9">
      <w:pPr>
        <w:tabs>
          <w:tab w:val="left" w:leader="none" w:pos="2835"/>
        </w:tabs>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CA">
      <w:pPr>
        <w:numPr>
          <w:ilvl w:val="0"/>
          <w:numId w:val="18"/>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Monitoring and Evaluating Social Programs: Regularly assess the effectiveness of social programs and legal protections in meeting the unique needs of persons with disabilities.</w:t>
      </w:r>
      <w:r w:rsidDel="00000000" w:rsidR="00000000" w:rsidRPr="00000000">
        <w:rPr>
          <w:rtl w:val="0"/>
        </w:rPr>
      </w:r>
    </w:p>
    <w:p w:rsidR="00000000" w:rsidDel="00000000" w:rsidP="00000000" w:rsidRDefault="00000000" w:rsidRPr="00000000" w14:paraId="000000CB">
      <w:pPr>
        <w:numPr>
          <w:ilvl w:val="0"/>
          <w:numId w:val="18"/>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Overcoming Implementation Barriers: Identify challenges in implementing initiatives for persons with disabilities and develop targeted strategies to address these barriers.</w:t>
      </w:r>
      <w:r w:rsidDel="00000000" w:rsidR="00000000" w:rsidRPr="00000000">
        <w:rPr>
          <w:rtl w:val="0"/>
        </w:rPr>
      </w:r>
    </w:p>
    <w:p w:rsidR="00000000" w:rsidDel="00000000" w:rsidP="00000000" w:rsidRDefault="00000000" w:rsidRPr="00000000" w14:paraId="000000CC">
      <w:pPr>
        <w:spacing w:line="240" w:lineRule="auto"/>
        <w:jc w:val="both"/>
        <w:rPr>
          <w:rFonts w:ascii="Times New Roman" w:cs="Times New Roman" w:eastAsia="Times New Roman" w:hAnsi="Times New Roman"/>
          <w:sz w:val="24"/>
          <w:szCs w:val="24"/>
          <w:highlight w:val="red"/>
        </w:rPr>
      </w:pPr>
      <w:r w:rsidDel="00000000" w:rsidR="00000000" w:rsidRPr="00000000">
        <w:rPr>
          <w:rtl w:val="0"/>
        </w:rPr>
      </w:r>
    </w:p>
    <w:p w:rsidR="00000000" w:rsidDel="00000000" w:rsidP="00000000" w:rsidRDefault="00000000" w:rsidRPr="00000000" w14:paraId="000000CD">
      <w:pPr>
        <w:pStyle w:val="Heading2"/>
        <w:spacing w:after="0" w:before="0" w:line="240" w:lineRule="auto"/>
        <w:jc w:val="both"/>
        <w:rPr>
          <w:rFonts w:ascii="Times New Roman" w:cs="Times New Roman" w:eastAsia="Times New Roman" w:hAnsi="Times New Roman"/>
          <w:b w:val="1"/>
          <w:sz w:val="24"/>
          <w:szCs w:val="24"/>
          <w:highlight w:val="white"/>
          <w:u w:val="single"/>
        </w:rPr>
      </w:pPr>
      <w:bookmarkStart w:colFirst="0" w:colLast="0" w:name="_heading=h.3rdcrjn" w:id="13"/>
      <w:bookmarkEnd w:id="13"/>
      <w:r w:rsidDel="00000000" w:rsidR="00000000" w:rsidRPr="00000000">
        <w:rPr>
          <w:rFonts w:ascii="Times New Roman" w:cs="Times New Roman" w:eastAsia="Times New Roman" w:hAnsi="Times New Roman"/>
          <w:b w:val="1"/>
          <w:sz w:val="24"/>
          <w:szCs w:val="24"/>
          <w:highlight w:val="white"/>
          <w:u w:val="single"/>
          <w:rtl w:val="0"/>
        </w:rPr>
        <w:t xml:space="preserve">Article 17: Protecting the integrity of the person</w:t>
      </w:r>
    </w:p>
    <w:p w:rsidR="00000000" w:rsidDel="00000000" w:rsidP="00000000" w:rsidRDefault="00000000" w:rsidRPr="00000000" w14:paraId="000000CE">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CF">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are efforts to uphold the rights of persons, particularly those with disabilities, in medical and legal contexts. The emphasis on informed consent highlights a commitment to autonomy and equitable access to healthcare. However, the explanation would benefit from concrete examples or data to demonstrate how these provisions are being implemented effectively. Additionally, the process of ensuring accessible information and the mechanisms for encouraging patient understanding could be elaborated to clarify how these practices are inclusive and meet diverse needs.</w:t>
      </w:r>
    </w:p>
    <w:p w:rsidR="00000000" w:rsidDel="00000000" w:rsidP="00000000" w:rsidRDefault="00000000" w:rsidRPr="00000000" w14:paraId="000000D0">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1">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discussion on legal protections for women and girls with disabilities is commendable, showcasing an understanding of intersectional vulnerabilities. However, it would be stronger if it outlined the challenges faced in implementing these measures, such as gaps in enforcement or cultural barriers. While the mention of specialized support services is important, detailing their accessibility, scope, and sustainability would provide a more comprehensive picture. Furthermore, exploring how the community is educated or engaged in addressing violence and harmful practices could strengthen the narrative of systemic change.</w:t>
      </w:r>
    </w:p>
    <w:p w:rsidR="00000000" w:rsidDel="00000000" w:rsidP="00000000" w:rsidRDefault="00000000" w:rsidRPr="00000000" w14:paraId="000000D2">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3">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D4">
      <w:pPr>
        <w:numPr>
          <w:ilvl w:val="0"/>
          <w:numId w:val="17"/>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Ensuring Informed Consent in Healthcare: Strengthen mechanisms to ensure healthcare providers consistently implement informed consent practices for persons with diverse disabilities.</w:t>
      </w:r>
      <w:r w:rsidDel="00000000" w:rsidR="00000000" w:rsidRPr="00000000">
        <w:rPr>
          <w:rtl w:val="0"/>
        </w:rPr>
      </w:r>
    </w:p>
    <w:p w:rsidR="00000000" w:rsidDel="00000000" w:rsidP="00000000" w:rsidRDefault="00000000" w:rsidRPr="00000000" w14:paraId="000000D5">
      <w:pPr>
        <w:numPr>
          <w:ilvl w:val="0"/>
          <w:numId w:val="17"/>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Improving Support for Women and Girls with Disabilities: Develop and evaluate specialized support services for women and girls with disabilities to ensure accessibility and effectiveness.</w:t>
      </w:r>
      <w:r w:rsidDel="00000000" w:rsidR="00000000" w:rsidRPr="00000000">
        <w:rPr>
          <w:rtl w:val="0"/>
        </w:rPr>
      </w:r>
    </w:p>
    <w:p w:rsidR="00000000" w:rsidDel="00000000" w:rsidP="00000000" w:rsidRDefault="00000000" w:rsidRPr="00000000" w14:paraId="000000D6">
      <w:pPr>
        <w:keepNext w:val="1"/>
        <w:keepLines w:val="1"/>
        <w:tabs>
          <w:tab w:val="right" w:leader="none" w:pos="851"/>
        </w:tabs>
        <w:spacing w:line="240" w:lineRule="auto"/>
        <w:ind w:right="1134"/>
        <w:jc w:val="both"/>
        <w:rPr>
          <w:rFonts w:ascii="Times New Roman" w:cs="Times New Roman" w:eastAsia="Times New Roman" w:hAnsi="Times New Roman"/>
          <w:b w:val="1"/>
          <w:sz w:val="24"/>
          <w:szCs w:val="24"/>
          <w:highlight w:val="white"/>
          <w:u w:val="single"/>
        </w:rPr>
      </w:pPr>
      <w:bookmarkStart w:colFirst="0" w:colLast="0" w:name="_heading=h.26in1rg" w:id="14"/>
      <w:bookmarkEnd w:id="14"/>
      <w:r w:rsidDel="00000000" w:rsidR="00000000" w:rsidRPr="00000000">
        <w:rPr>
          <w:rFonts w:ascii="Times New Roman" w:cs="Times New Roman" w:eastAsia="Times New Roman" w:hAnsi="Times New Roman"/>
          <w:b w:val="1"/>
          <w:sz w:val="24"/>
          <w:szCs w:val="24"/>
          <w:highlight w:val="white"/>
          <w:rtl w:val="0"/>
        </w:rPr>
        <w:br w:type="textWrapping"/>
      </w:r>
      <w:r w:rsidDel="00000000" w:rsidR="00000000" w:rsidRPr="00000000">
        <w:rPr>
          <w:rFonts w:ascii="Times New Roman" w:cs="Times New Roman" w:eastAsia="Times New Roman" w:hAnsi="Times New Roman"/>
          <w:b w:val="1"/>
          <w:sz w:val="24"/>
          <w:szCs w:val="24"/>
          <w:highlight w:val="white"/>
          <w:u w:val="single"/>
          <w:rtl w:val="0"/>
        </w:rPr>
        <w:t xml:space="preserve">Article 18: Liberty of movement and nationality</w:t>
      </w:r>
    </w:p>
    <w:p w:rsidR="00000000" w:rsidDel="00000000" w:rsidP="00000000" w:rsidRDefault="00000000" w:rsidRPr="00000000" w14:paraId="000000D7">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8">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Palau's Constitution and relevant legislation have a section on liberty of movement and nationality that reflects a commitment to safeguarding the rights of persons, including those with disabilities, while balancing public safety. The Constitution’s article on fundamental rights robustly protects persons from deprivation of life, liberty, or property without due process, emphasizing the government’s accountability to its citizens. The "Seventy-Two (72) Hour Detention and Evaluation Act" further illustrates this by addressing the urgent needs of mentally ill individuals in crisis while ensuring procedural safeguards like judicial oversight for extended detention. However, the analysis could be expanded to consider how these protections are operationalized in practice, particularly for vulnerable populations such as migrants with disabilities, to ensure their effective inclusion.</w:t>
      </w:r>
    </w:p>
    <w:p w:rsidR="00000000" w:rsidDel="00000000" w:rsidP="00000000" w:rsidRDefault="00000000" w:rsidRPr="00000000" w14:paraId="000000D9">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DA">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While the inclusion of migrants with disabilities in legal processes is acknowledged, the analysis lacks depth regarding their actual access to services and procedural fairness. There is limited elaboration on the mechanisms or frameworks in place to ensure these persons receive adequate support during legal or therapeutic interventions. Moreover, it is unclear how effectively the government balances public safety concerns with the rights of vulnerable groups, particularly given the intersectional challenges faced by migrants with disabilities. This raises questions about whether existing laws are fully inclusive and implemented equitably across diverse populations.</w:t>
      </w:r>
    </w:p>
    <w:p w:rsidR="00000000" w:rsidDel="00000000" w:rsidP="00000000" w:rsidRDefault="00000000" w:rsidRPr="00000000" w14:paraId="000000DB">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DC">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Stateless children from migrant families adopted by Palauan families face significant challenges, particularly regarding their legal identity and restricted mobility. These children, unable to obtain citizenship or travel documents, are confined within Palau,  limiting their access to opportunities beyond its borders. This issue is especially critical for children with disabilities, as they may require specialized healthcare, education, and support services that are unavailable locally. The lack of legal status exacerbates their vulnerability, preventing them from accessing resources to improve their quality of life and inclusion in society.</w:t>
      </w:r>
    </w:p>
    <w:p w:rsidR="00000000" w:rsidDel="00000000" w:rsidP="00000000" w:rsidRDefault="00000000" w:rsidRPr="00000000" w14:paraId="000000DD">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DE">
      <w:pPr>
        <w:tabs>
          <w:tab w:val="left" w:leader="none" w:pos="2835"/>
        </w:tabs>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DF">
      <w:pPr>
        <w:numPr>
          <w:ilvl w:val="0"/>
          <w:numId w:val="13"/>
        </w:numPr>
        <w:shd w:fill="ffffff" w:val="clear"/>
        <w:tabs>
          <w:tab w:val="left" w:leader="none" w:pos="2835"/>
        </w:tabs>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Operationalizing Legal Safeguards for Migrants with Disabilities: Ensure the "Seventy-Two (72) Hour Detention and Evaluation Act" and related safeguards are fully operationalized to protect migrants with disabilities.</w:t>
      </w:r>
      <w:r w:rsidDel="00000000" w:rsidR="00000000" w:rsidRPr="00000000">
        <w:rPr>
          <w:rtl w:val="0"/>
        </w:rPr>
      </w:r>
    </w:p>
    <w:p w:rsidR="00000000" w:rsidDel="00000000" w:rsidP="00000000" w:rsidRDefault="00000000" w:rsidRPr="00000000" w14:paraId="000000E0">
      <w:pPr>
        <w:numPr>
          <w:ilvl w:val="0"/>
          <w:numId w:val="13"/>
        </w:numPr>
        <w:shd w:fill="ffffff" w:val="clear"/>
        <w:tabs>
          <w:tab w:val="left" w:leader="none" w:pos="2835"/>
        </w:tabs>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Balancing Public Safety and Rights Protections: Monitor and evaluate laws protecting the rights of persons with disabilities, including migrants, while addressing public safety concerns.</w:t>
      </w:r>
      <w:r w:rsidDel="00000000" w:rsidR="00000000" w:rsidRPr="00000000">
        <w:rPr>
          <w:rtl w:val="0"/>
        </w:rPr>
      </w:r>
    </w:p>
    <w:p w:rsidR="00000000" w:rsidDel="00000000" w:rsidP="00000000" w:rsidRDefault="00000000" w:rsidRPr="00000000" w14:paraId="000000E1">
      <w:pPr>
        <w:numPr>
          <w:ilvl w:val="0"/>
          <w:numId w:val="13"/>
        </w:numPr>
        <w:shd w:fill="ffffff" w:val="clear"/>
        <w:tabs>
          <w:tab w:val="left" w:leader="none" w:pos="2835"/>
        </w:tabs>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Addressing the Legal Status of Stateless Children: Establish policies to address the legal status of stateless children, particularly those with disabilities, ensuring access to essential services and opportunities.</w:t>
      </w:r>
      <w:r w:rsidDel="00000000" w:rsidR="00000000" w:rsidRPr="00000000">
        <w:rPr>
          <w:rtl w:val="0"/>
        </w:rPr>
      </w:r>
    </w:p>
    <w:p w:rsidR="00000000" w:rsidDel="00000000" w:rsidP="00000000" w:rsidRDefault="00000000" w:rsidRPr="00000000" w14:paraId="000000E2">
      <w:pPr>
        <w:spacing w:line="240" w:lineRule="auto"/>
        <w:jc w:val="both"/>
        <w:rPr>
          <w:rFonts w:ascii="Times New Roman" w:cs="Times New Roman" w:eastAsia="Times New Roman" w:hAnsi="Times New Roman"/>
          <w:b w:val="1"/>
          <w:sz w:val="24"/>
          <w:szCs w:val="24"/>
          <w:highlight w:val="red"/>
          <w:u w:val="single"/>
        </w:rPr>
      </w:pPr>
      <w:r w:rsidDel="00000000" w:rsidR="00000000" w:rsidRPr="00000000">
        <w:rPr>
          <w:rtl w:val="0"/>
        </w:rPr>
      </w:r>
    </w:p>
    <w:p w:rsidR="00000000" w:rsidDel="00000000" w:rsidP="00000000" w:rsidRDefault="00000000" w:rsidRPr="00000000" w14:paraId="000000E3">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19: Living independently and being included in the community</w:t>
      </w:r>
    </w:p>
    <w:p w:rsidR="00000000" w:rsidDel="00000000" w:rsidP="00000000" w:rsidRDefault="00000000" w:rsidRPr="00000000" w14:paraId="000000E4">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E5">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Palau’s initiatives promoting inclusion and independent living demonstrate valuable collaboration between community organizations and the Bureau of Public Health. However, gaps in accessible transportation and home modifications remain significant obstacles to full independence for persons with disabilities. The partnership with the Palau National Olympic Committee emphasizes education and sports as tools to combat bullying, fostering empathy and respect, while Public Health initiatives address practical needs such as accessible transportation, healthcare, and home modifications. However, the narrative lacks specificity in measuring the impact of these programs and could benefit from including quantitative or qualitative data to illustrate outcomes. Additionally, the description of the access ramp initiative could be expanded to explain how it aligns with broader accessibility goals and standards.</w:t>
      </w:r>
    </w:p>
    <w:p w:rsidR="00000000" w:rsidDel="00000000" w:rsidP="00000000" w:rsidRDefault="00000000" w:rsidRPr="00000000" w14:paraId="000000E6">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7">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Earlier this year, Palau began discussions about joining the Paralympics and is currently working on getting registered. The country has not had representation in the Paralympics before because it needs to go through a formal accreditation process, classify its athletes, and meet other requirements. This process is more rigorous than that of the Special Olympics, which has fewer restrictions.</w:t>
      </w:r>
    </w:p>
    <w:p w:rsidR="00000000" w:rsidDel="00000000" w:rsidP="00000000" w:rsidRDefault="00000000" w:rsidRPr="00000000" w14:paraId="000000E8">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9">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EA">
      <w:pPr>
        <w:numPr>
          <w:ilvl w:val="0"/>
          <w:numId w:val="20"/>
        </w:numPr>
        <w:shd w:fill="ffffff" w:val="clear"/>
        <w:spacing w:line="240" w:lineRule="auto"/>
        <w:ind w:left="720" w:hanging="36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 Government to ensure there are measures to support persons with disabilities to live independently, have access to clean drinking water and proper and accessible sanitation. </w:t>
      </w:r>
      <w:r w:rsidDel="00000000" w:rsidR="00000000" w:rsidRPr="00000000">
        <w:rPr>
          <w:rtl w:val="0"/>
        </w:rPr>
      </w:r>
    </w:p>
    <w:p w:rsidR="00000000" w:rsidDel="00000000" w:rsidP="00000000" w:rsidRDefault="00000000" w:rsidRPr="00000000" w14:paraId="000000EB">
      <w:pPr>
        <w:numPr>
          <w:ilvl w:val="0"/>
          <w:numId w:val="20"/>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Measuring Inclusion and Independence Initiatives: Develop mechanisms to measure the impact of inclusion initiatives, gathering evidence to demonstrate their effectiveness in fostering independence and social participation.</w:t>
      </w:r>
      <w:r w:rsidDel="00000000" w:rsidR="00000000" w:rsidRPr="00000000">
        <w:rPr>
          <w:rtl w:val="0"/>
        </w:rPr>
      </w:r>
    </w:p>
    <w:p w:rsidR="00000000" w:rsidDel="00000000" w:rsidP="00000000" w:rsidRDefault="00000000" w:rsidRPr="00000000" w14:paraId="000000EC">
      <w:pPr>
        <w:numPr>
          <w:ilvl w:val="0"/>
          <w:numId w:val="20"/>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Accelerating Paralympic Participation: Take proactive steps to accelerate the accreditation and athlete classification process to enable Palau’s participation in future Paralympic events.</w:t>
      </w:r>
      <w:r w:rsidDel="00000000" w:rsidR="00000000" w:rsidRPr="00000000">
        <w:rPr>
          <w:rtl w:val="0"/>
        </w:rPr>
      </w:r>
    </w:p>
    <w:p w:rsidR="00000000" w:rsidDel="00000000" w:rsidP="00000000" w:rsidRDefault="00000000" w:rsidRPr="00000000" w14:paraId="000000ED">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EE">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20: Personal Mobility</w:t>
      </w:r>
    </w:p>
    <w:p w:rsidR="00000000" w:rsidDel="00000000" w:rsidP="00000000" w:rsidRDefault="00000000" w:rsidRPr="00000000" w14:paraId="000000EF">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F0">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Palau’s current disability support infrastructure highlights the availability of assistive devices, rehabilitation services, and legal mandates for accessibility. While it underscores significant efforts such as training in Braille, tactile graphics, and orientation for blind persons, it also reveals critical gaps, such as the lack of wheelchair service providers, vision device services, and accessible public transportation. The dependency on overseas procurement and external donations for specialized equipment, along with limited prosthetic and orthotic services, further accentuates the need for local capacity building. Although national legislation like § 3038 aims to enhance accessibility, the lack of comprehensive implementation and accessible infrastructure undermines its impact. Training initiatives are commendable but appear to be sporadic and insufficient to address broader needs systematically.</w:t>
      </w:r>
    </w:p>
    <w:p w:rsidR="00000000" w:rsidDel="00000000" w:rsidP="00000000" w:rsidRDefault="00000000" w:rsidRPr="00000000" w14:paraId="000000F1">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2">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F3">
      <w:pPr>
        <w:numPr>
          <w:ilvl w:val="0"/>
          <w:numId w:val="11"/>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Bridging Gaps in Assistive Device Accessibility: Create sustainable, locally-based services and providers to address gaps in the availability and accessibility of assistive devices in Palau.</w:t>
      </w:r>
    </w:p>
    <w:p w:rsidR="00000000" w:rsidDel="00000000" w:rsidP="00000000" w:rsidRDefault="00000000" w:rsidRPr="00000000" w14:paraId="000000F4">
      <w:pPr>
        <w:numPr>
          <w:ilvl w:val="0"/>
          <w:numId w:val="11"/>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Increase funding to the relevant ministries to procure assistive device and work in partnership with other organisation who are providers or in the supply chain of asisitive device. </w:t>
      </w:r>
    </w:p>
    <w:p w:rsidR="00000000" w:rsidDel="00000000" w:rsidP="00000000" w:rsidRDefault="00000000" w:rsidRPr="00000000" w14:paraId="000000F5">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6">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21: Freedom of expression and opinion, and access to information</w:t>
      </w:r>
    </w:p>
    <w:p w:rsidR="00000000" w:rsidDel="00000000" w:rsidP="00000000" w:rsidRDefault="00000000" w:rsidRPr="00000000" w14:paraId="000000F7">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0F8">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Government Media promotes freedom of expression, opinion, and access to information, particularly for persons with disabilities. However, it could benefit from a clearer structure and more specific details. While mentioning the employment of an employee with vision impairment who works as an announcer and the inclusion of disability-related challenges in radio programming is commendable, it does not elaborate on how these initiatives tangibly impact the target audience. Furthermore, the reference to the pending endorsement of the ICT policy lacks an explanation of the timeline, current barriers, or the expected benefits of its implementation. Strengthening these areas would provide a more comprehensive understanding of the progress and gaps in ensuring accessible media for persons with disabilities and other vulnerable groups.</w:t>
      </w:r>
    </w:p>
    <w:p w:rsidR="00000000" w:rsidDel="00000000" w:rsidP="00000000" w:rsidRDefault="00000000" w:rsidRPr="00000000" w14:paraId="000000F9">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A">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Recent lawsuits against independent media have created a chilling effect that can affect how persons with disabilities express their opinions that are critical to authorities.</w:t>
      </w:r>
    </w:p>
    <w:p w:rsidR="00000000" w:rsidDel="00000000" w:rsidP="00000000" w:rsidRDefault="00000000" w:rsidRPr="00000000" w14:paraId="000000FB">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FC">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0FD">
      <w:pPr>
        <w:numPr>
          <w:ilvl w:val="0"/>
          <w:numId w:val="4"/>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Ensure that information and communication is accessible to persons with disabilities during peace time and during disaster, emergencies and humanitarian crisis. </w:t>
      </w:r>
    </w:p>
    <w:p w:rsidR="00000000" w:rsidDel="00000000" w:rsidP="00000000" w:rsidRDefault="00000000" w:rsidRPr="00000000" w14:paraId="000000FE">
      <w:pPr>
        <w:numPr>
          <w:ilvl w:val="0"/>
          <w:numId w:val="4"/>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Government to ensure that the media are trained to use appropriate language referencing persons with disabilities in the media </w:t>
      </w:r>
    </w:p>
    <w:p w:rsidR="00000000" w:rsidDel="00000000" w:rsidP="00000000" w:rsidRDefault="00000000" w:rsidRPr="00000000" w14:paraId="000000FF">
      <w:pPr>
        <w:numPr>
          <w:ilvl w:val="0"/>
          <w:numId w:val="4"/>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Media Initiatives:</w:t>
      </w:r>
    </w:p>
    <w:p w:rsidR="00000000" w:rsidDel="00000000" w:rsidP="00000000" w:rsidRDefault="00000000" w:rsidRPr="00000000" w14:paraId="00000100">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Evaluate media efforts in meeting the needs of persons with disabilities.</w:t>
      </w:r>
    </w:p>
    <w:p w:rsidR="00000000" w:rsidDel="00000000" w:rsidP="00000000" w:rsidRDefault="00000000" w:rsidRPr="00000000" w14:paraId="00000101">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Ensure media operates free from intimidation to foster free expression.</w:t>
      </w:r>
    </w:p>
    <w:p w:rsidR="00000000" w:rsidDel="00000000" w:rsidP="00000000" w:rsidRDefault="00000000" w:rsidRPr="00000000" w14:paraId="00000102">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3">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22: Respect for privacy</w:t>
      </w:r>
    </w:p>
    <w:p w:rsidR="00000000" w:rsidDel="00000000" w:rsidP="00000000" w:rsidRDefault="00000000" w:rsidRPr="00000000" w14:paraId="00000104">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05">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judiciary's measures to ensure respect for privacy under Article 22 are commendable, particularly the provision of a separate interview room for abuse victims and the accommodation of virtual witness testimony. These steps demonstrate an awareness of the sensitive nature of abuse cases and a commitment to safeguarding the dignity and confidentiality of those involved. However, the critique lies in whether these measures are consistently implemented and accessible to all persons who may need them. For example, technical barriers or inadequate infrastructure for virtual proceedings might hinder their effectiveness. A deeper evaluation of these aspects could ensure the measures are not only available but also practical and inclusive.</w:t>
      </w:r>
    </w:p>
    <w:p w:rsidR="00000000" w:rsidDel="00000000" w:rsidP="00000000" w:rsidRDefault="00000000" w:rsidRPr="00000000" w14:paraId="00000106">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7">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108">
      <w:pPr>
        <w:numPr>
          <w:ilvl w:val="0"/>
          <w:numId w:val="7"/>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Judiciary and Accessibility:</w:t>
      </w:r>
      <w:r w:rsidDel="00000000" w:rsidR="00000000" w:rsidRPr="00000000">
        <w:rPr>
          <w:rtl w:val="0"/>
        </w:rPr>
      </w:r>
    </w:p>
    <w:p w:rsidR="00000000" w:rsidDel="00000000" w:rsidP="00000000" w:rsidRDefault="00000000" w:rsidRPr="00000000" w14:paraId="00000109">
      <w:pPr>
        <w:shd w:fill="ffffff" w:val="clear"/>
        <w:spacing w:line="240" w:lineRule="auto"/>
        <w:ind w:left="720" w:firstLine="0"/>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Monitor and improve privacy measures for remote and under-resourced areas.</w:t>
      </w:r>
    </w:p>
    <w:p w:rsidR="00000000" w:rsidDel="00000000" w:rsidP="00000000" w:rsidRDefault="00000000" w:rsidRPr="00000000" w14:paraId="0000010A">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0B">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23: Respect for home and the family</w:t>
      </w:r>
    </w:p>
    <w:p w:rsidR="00000000" w:rsidDel="00000000" w:rsidP="00000000" w:rsidRDefault="00000000" w:rsidRPr="00000000" w14:paraId="0000010C">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0D">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There is a strong framework emphasizing equality in marital and parental rights, particularly highlighting the inclusion of persons with disabilities in Palauan Constitutional and Public Health initiatives. It effectively connects constitutional guarantees with practical support mechanisms, such as postnatal care and family assistance programs, to ensure that parenthood and family responsibilities are respected and supported regardless of disability status. However, the critique lies in the need for more concrete examples or data demonstrating the implementation and impact of these policies. While the theoretical alignment of constitutional values and health initiatives is clear, it would benefit from an analysis of gaps or challenges in execution. For instance, are there measurable outcomes or responses from persons with disabilities about the adequacy of these support systems?</w:t>
      </w:r>
    </w:p>
    <w:p w:rsidR="00000000" w:rsidDel="00000000" w:rsidP="00000000" w:rsidRDefault="00000000" w:rsidRPr="00000000" w14:paraId="0000010E">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0F">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110">
      <w:pPr>
        <w:numPr>
          <w:ilvl w:val="0"/>
          <w:numId w:val="26"/>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Constitutional and Public Health Principles:</w:t>
      </w:r>
    </w:p>
    <w:p w:rsidR="00000000" w:rsidDel="00000000" w:rsidP="00000000" w:rsidRDefault="00000000" w:rsidRPr="00000000" w14:paraId="00000111">
      <w:pPr>
        <w:spacing w:line="240" w:lineRule="auto"/>
        <w:ind w:left="720" w:firstLine="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Strengthen initiatives to support marital and parental rights for persons with disabilities.</w:t>
      </w:r>
    </w:p>
    <w:p w:rsidR="00000000" w:rsidDel="00000000" w:rsidP="00000000" w:rsidRDefault="00000000" w:rsidRPr="00000000" w14:paraId="00000112">
      <w:pPr>
        <w:keepNext w:val="0"/>
        <w:keepLines w:val="0"/>
        <w:pageBreakBefore w:val="0"/>
        <w:widowControl w:val="1"/>
        <w:numPr>
          <w:ilvl w:val="0"/>
          <w:numId w:val="26"/>
        </w:numPr>
        <w:spacing w:after="0" w:before="0" w:line="240" w:lineRule="auto"/>
        <w:ind w:left="7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highlight w:val="white"/>
          <w:rtl w:val="0"/>
        </w:rPr>
        <w:t xml:space="preserve">Government to take appropriate measures to ensure  that all legislation relating to home and family. </w:t>
      </w:r>
    </w:p>
    <w:p w:rsidR="00000000" w:rsidDel="00000000" w:rsidP="00000000" w:rsidRDefault="00000000" w:rsidRPr="00000000" w14:paraId="00000113">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14">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24: Education</w:t>
      </w:r>
    </w:p>
    <w:p w:rsidR="00000000" w:rsidDel="00000000" w:rsidP="00000000" w:rsidRDefault="00000000" w:rsidRPr="00000000" w14:paraId="00000115">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16">
      <w:pPr>
        <w:pBdr>
          <w:bottom w:color="000000" w:space="12" w:sz="0" w:val="none"/>
        </w:pBd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Palau outlines a comprehensive approach to remote learning and inclusive education during the COVID-19 pandemic, focusing on the efforts made by the Ministry of Education and Palau Community College to support students with disabilities. The Ministry’s provision of technology, such as tablets and the use of virtual platforms like Zoom and Google Meet for live sessions demonstrates a commitment to maintaining educational continuity. The integration of assistive technologies, such as screen readers and text-to-speech tools, is a notable effort to accommodate students with visual or auditory impairments. Additionally, the adaptation of Individualized Education Program (IEP) meetings and the use of one-on-one virtual support shows flexibility in maintaining personalized education. The training provided to teachers on using online platforms and assistive technologies further supports the idea of creating an inclusive, well-prepared learning environment.</w:t>
      </w:r>
    </w:p>
    <w:p w:rsidR="00000000" w:rsidDel="00000000" w:rsidP="00000000" w:rsidRDefault="00000000" w:rsidRPr="00000000" w14:paraId="00000117">
      <w:pPr>
        <w:pBdr>
          <w:bottom w:color="000000" w:space="12" w:sz="0" w:val="none"/>
        </w:pBd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pBdr>
          <w:bottom w:color="000000" w:space="12" w:sz="0" w:val="none"/>
        </w:pBd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while the response to the pandemic is well-documented, there are areas where the text could delve deeper. For instance, more information on the challenges faced by educators and students during this transition would offer a clearer picture of the effectiveness of these measures. Were the technologies and training sufficient to meet the diverse needs of students with disabilities? The Palau Community College's non-discriminatory policies are a positive point, but further exploration of how these policies were enforced or the tangible outcomes they produced would add depth to the discussion. Additionally, the mention of anti-bullying campaigns and the safety measures in place is commendable, but it would be useful to assess the success of these initiatives. Were there measurable improvements in school climate or instances of bullying?</w:t>
      </w:r>
    </w:p>
    <w:p w:rsidR="00000000" w:rsidDel="00000000" w:rsidP="00000000" w:rsidRDefault="00000000" w:rsidRPr="00000000" w14:paraId="00000119">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11A">
      <w:pPr>
        <w:numPr>
          <w:ilvl w:val="0"/>
          <w:numId w:val="28"/>
        </w:numPr>
        <w:pBdr>
          <w:bottom w:color="000000" w:space="12" w:sz="0" w:val="none"/>
        </w:pBd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Remote Learning: Address barriers faced by students and teachers in remote learning.</w:t>
      </w:r>
      <w:r w:rsidDel="00000000" w:rsidR="00000000" w:rsidRPr="00000000">
        <w:rPr>
          <w:rtl w:val="0"/>
        </w:rPr>
      </w:r>
    </w:p>
    <w:p w:rsidR="00000000" w:rsidDel="00000000" w:rsidP="00000000" w:rsidRDefault="00000000" w:rsidRPr="00000000" w14:paraId="0000011B">
      <w:pPr>
        <w:numPr>
          <w:ilvl w:val="0"/>
          <w:numId w:val="28"/>
        </w:numPr>
        <w:pBdr>
          <w:bottom w:color="000000" w:space="12" w:sz="0" w:val="none"/>
        </w:pBdr>
        <w:shd w:fill="ffffff" w:val="clear"/>
        <w:spacing w:line="240" w:lineRule="auto"/>
        <w:ind w:left="720" w:hanging="36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Anti-Bullying Efforts:Enhance anti-bullying programs to reduce incidents and promote inclusion.</w:t>
      </w:r>
      <w:r w:rsidDel="00000000" w:rsidR="00000000" w:rsidRPr="00000000">
        <w:rPr>
          <w:rtl w:val="0"/>
        </w:rPr>
      </w:r>
    </w:p>
    <w:p w:rsidR="00000000" w:rsidDel="00000000" w:rsidP="00000000" w:rsidRDefault="00000000" w:rsidRPr="00000000" w14:paraId="0000011C">
      <w:pPr>
        <w:numPr>
          <w:ilvl w:val="0"/>
          <w:numId w:val="28"/>
        </w:numPr>
        <w:pBdr>
          <w:bottom w:color="000000" w:space="12" w:sz="0" w:val="none"/>
        </w:pBd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Review and align existing laws relating to and affecting persons with disabilities to access education on an equal basis with others. </w:t>
      </w:r>
      <w:r w:rsidDel="00000000" w:rsidR="00000000" w:rsidRPr="00000000">
        <w:rPr>
          <w:rtl w:val="0"/>
        </w:rPr>
      </w:r>
    </w:p>
    <w:p w:rsidR="00000000" w:rsidDel="00000000" w:rsidP="00000000" w:rsidRDefault="00000000" w:rsidRPr="00000000" w14:paraId="0000011D">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25: Health</w:t>
      </w:r>
    </w:p>
    <w:p w:rsidR="00000000" w:rsidDel="00000000" w:rsidP="00000000" w:rsidRDefault="00000000" w:rsidRPr="00000000" w14:paraId="0000011E">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F">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commendable effort to address the health rights of persons with disabilities in Palau, particularly regarding sexual and reproductive health, access to assistive technology, and transportation services. The collaboration with the National Health Insurance to create a specialized package for persons with disabilities could potentially improve access to healthcare for this vulnerable group. Additionally, the Ministry of Health and Human Services policies, such as providing free consultations, treatments, and medication through the disability card, as well as the alcohol and tobacco excise tax funding, are steps in the right direction to reduce barriers to healthcare. The renovations in health facilities, including accessible parking spaces, reflect an important shift toward more inclusive healthcare infrastructure.</w:t>
      </w:r>
    </w:p>
    <w:p w:rsidR="00000000" w:rsidDel="00000000" w:rsidP="00000000" w:rsidRDefault="00000000" w:rsidRPr="00000000" w14:paraId="00000120">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1">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while the outlined policies and actions are positive, further detail is needed to understand the effectiveness and reach of these initiatives. For example, how will the National Health Insurance package be tailored to address the diverse needs of persons with disabilities, and what steps are in place to ensure its widespread adoption? Additionally, while the introduction of accessible infrastructure is crucial, it would be useful to assess how many healthcare facilities have been renovated and whether this has translated into measurable improvements in access and care for persons with disabilities. </w:t>
      </w:r>
    </w:p>
    <w:p w:rsidR="00000000" w:rsidDel="00000000" w:rsidP="00000000" w:rsidRDefault="00000000" w:rsidRPr="00000000" w14:paraId="00000122">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3">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recent complaint by Palauan youth to Human Rights Mechanisms and Human Rights Council Mandate Holders highlights the threats to the right to health and the right to a clean, healthy, and sustainable environment posed by the US military buildup in the country (</w:t>
      </w:r>
      <w:hyperlink r:id="rId20">
        <w:r w:rsidDel="00000000" w:rsidR="00000000" w:rsidRPr="00000000">
          <w:rPr>
            <w:rFonts w:ascii="Times New Roman" w:cs="Times New Roman" w:eastAsia="Times New Roman" w:hAnsi="Times New Roman"/>
            <w:color w:val="1155cc"/>
            <w:sz w:val="24"/>
            <w:szCs w:val="24"/>
            <w:u w:val="single"/>
            <w:rtl w:val="0"/>
          </w:rPr>
          <w:t xml:space="preserve">full filing available here</w:t>
        </w:r>
      </w:hyperlink>
      <w:r w:rsidDel="00000000" w:rsidR="00000000" w:rsidRPr="00000000">
        <w:rPr>
          <w:rFonts w:ascii="Times New Roman" w:cs="Times New Roman" w:eastAsia="Times New Roman" w:hAnsi="Times New Roman"/>
          <w:sz w:val="24"/>
          <w:szCs w:val="24"/>
          <w:rtl w:val="0"/>
        </w:rPr>
        <w:t xml:space="preserve">;</w:t>
      </w:r>
      <w:hyperlink r:id="rId21">
        <w:r w:rsidDel="00000000" w:rsidR="00000000" w:rsidRPr="00000000">
          <w:rPr>
            <w:rFonts w:ascii="Times New Roman" w:cs="Times New Roman" w:eastAsia="Times New Roman" w:hAnsi="Times New Roman"/>
            <w:sz w:val="24"/>
            <w:szCs w:val="24"/>
            <w:rtl w:val="0"/>
          </w:rPr>
          <w:t xml:space="preserve"> </w:t>
        </w:r>
      </w:hyperlink>
      <w:hyperlink r:id="rId22">
        <w:r w:rsidDel="00000000" w:rsidR="00000000" w:rsidRPr="00000000">
          <w:rPr>
            <w:rFonts w:ascii="Times New Roman" w:cs="Times New Roman" w:eastAsia="Times New Roman" w:hAnsi="Times New Roman"/>
            <w:color w:val="1155cc"/>
            <w:sz w:val="24"/>
            <w:szCs w:val="24"/>
            <w:u w:val="single"/>
            <w:rtl w:val="0"/>
          </w:rPr>
          <w:t xml:space="preserve">blog summary here</w:t>
        </w:r>
      </w:hyperlink>
      <w:r w:rsidDel="00000000" w:rsidR="00000000" w:rsidRPr="00000000">
        <w:rPr>
          <w:rFonts w:ascii="Times New Roman" w:cs="Times New Roman" w:eastAsia="Times New Roman" w:hAnsi="Times New Roman"/>
          <w:sz w:val="24"/>
          <w:szCs w:val="24"/>
          <w:rtl w:val="0"/>
        </w:rPr>
        <w:t xml:space="preserve">). Persons with disabilities can be disproportionately affected by noise, toxic waste, and other forms of air and water pollution associated with militarization. For example, concerns about radar facilities’ potential health risks—such as cancers, infertility, and cognitive issues—pose significant threats, particularly for vulnerable groups like persons with disabilities. Additionally, military activities have disrupted local ecosystems, including food and water systems, further exacerbating health risks for this population.</w:t>
      </w:r>
    </w:p>
    <w:p w:rsidR="00000000" w:rsidDel="00000000" w:rsidP="00000000" w:rsidRDefault="00000000" w:rsidRPr="00000000" w14:paraId="00000124">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5">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126">
      <w:pPr>
        <w:numPr>
          <w:ilvl w:val="0"/>
          <w:numId w:val="16"/>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Health Insurance: Adapt health insurance to cover the specific needs of persons with disabilities.</w:t>
      </w:r>
      <w:r w:rsidDel="00000000" w:rsidR="00000000" w:rsidRPr="00000000">
        <w:rPr>
          <w:rtl w:val="0"/>
        </w:rPr>
      </w:r>
    </w:p>
    <w:p w:rsidR="00000000" w:rsidDel="00000000" w:rsidP="00000000" w:rsidRDefault="00000000" w:rsidRPr="00000000" w14:paraId="00000127">
      <w:pPr>
        <w:numPr>
          <w:ilvl w:val="0"/>
          <w:numId w:val="16"/>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Healthcare Accessibility: Assess hospital renovations to ensure accessibility for persons with disabilities.</w:t>
      </w:r>
      <w:r w:rsidDel="00000000" w:rsidR="00000000" w:rsidRPr="00000000">
        <w:rPr>
          <w:rtl w:val="0"/>
        </w:rPr>
      </w:r>
    </w:p>
    <w:p w:rsidR="00000000" w:rsidDel="00000000" w:rsidP="00000000" w:rsidRDefault="00000000" w:rsidRPr="00000000" w14:paraId="00000128">
      <w:pPr>
        <w:numPr>
          <w:ilvl w:val="0"/>
          <w:numId w:val="16"/>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Militarization and Health: Protect the health of persons with disabilities in military activities and include them in decision-making.</w:t>
      </w:r>
      <w:r w:rsidDel="00000000" w:rsidR="00000000" w:rsidRPr="00000000">
        <w:rPr>
          <w:rtl w:val="0"/>
        </w:rPr>
      </w:r>
    </w:p>
    <w:p w:rsidR="00000000" w:rsidDel="00000000" w:rsidP="00000000" w:rsidRDefault="00000000" w:rsidRPr="00000000" w14:paraId="00000129">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2A">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26: Habilitation and rehabilitation </w:t>
      </w:r>
    </w:p>
    <w:p w:rsidR="00000000" w:rsidDel="00000000" w:rsidP="00000000" w:rsidRDefault="00000000" w:rsidRPr="00000000" w14:paraId="0000012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The Division of Ancillary Services under the Ministry of Health and Human Services focuses only on providing wheelchairs for persons with mobility impairments. While this is important, it limits the scope of support for persons with diverse needs. Expanding the program to include a wider range of assistive technologies, such as devices for hearing, vision, or cognitive impairments, could offer a more holistic approach to improving accessibility and independence for persons with disabilities. This broader focus would better address the various challenges persons face in their daily lives.</w:t>
      </w:r>
      <w:r w:rsidDel="00000000" w:rsidR="00000000" w:rsidRPr="00000000">
        <w:rPr>
          <w:rtl w:val="0"/>
        </w:rPr>
      </w:r>
    </w:p>
    <w:p w:rsidR="00000000" w:rsidDel="00000000" w:rsidP="00000000" w:rsidRDefault="00000000" w:rsidRPr="00000000" w14:paraId="0000012D">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12F">
      <w:pPr>
        <w:numPr>
          <w:ilvl w:val="0"/>
          <w:numId w:val="6"/>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Assistive Technology:</w:t>
      </w:r>
      <w:r w:rsidDel="00000000" w:rsidR="00000000" w:rsidRPr="00000000">
        <w:rPr>
          <w:rtl w:val="0"/>
        </w:rPr>
      </w:r>
    </w:p>
    <w:p w:rsidR="00000000" w:rsidDel="00000000" w:rsidP="00000000" w:rsidRDefault="00000000" w:rsidRPr="00000000" w14:paraId="00000130">
      <w:pPr>
        <w:shd w:fill="ffffff" w:val="clear"/>
        <w:spacing w:line="240" w:lineRule="auto"/>
        <w:ind w:left="72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Expand access to affordable assistive technologies for all disabilities.</w:t>
      </w:r>
    </w:p>
    <w:p w:rsidR="00000000" w:rsidDel="00000000" w:rsidP="00000000" w:rsidRDefault="00000000" w:rsidRPr="00000000" w14:paraId="00000131">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32">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27: Work and employment</w:t>
      </w:r>
    </w:p>
    <w:p w:rsidR="00000000" w:rsidDel="00000000" w:rsidP="00000000" w:rsidRDefault="00000000" w:rsidRPr="00000000" w14:paraId="00000133">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34">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Work and employment opportunities for persons with disabilities in Palau are guided by legislative measures like the Disabled Persons Anti-Discrimination Act, which aims to ensure equal access to employment opportunities. Despite this, high unemployment rates among persons with disabilities persist, highlighting systemic barriers such as limited employer incentives and inadequate workplace accommodations. Addressing these issues is critical to promoting inclusive employment practices. There are no specific strategies to reduce unemployment within this group, such as targeted skill-building programs, accommodations for employees with disabilities, or incentives for employers to hire persons with disabilities. Moreover, there is little focus on promoting workplace inclusion or ensuring that persons with disabilities have equal opportunities to thrive within their work environments.</w:t>
      </w:r>
    </w:p>
    <w:p w:rsidR="00000000" w:rsidDel="00000000" w:rsidP="00000000" w:rsidRDefault="00000000" w:rsidRPr="00000000" w14:paraId="00000135">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improve the situation, it would be beneficial to showcase successful initiatives or self-employment programs that have already been implemented, as these can serve as practical examples for further development. There should also be a highlight on the importance of collaboration with private sector stakeholders to enhance the employment prospects of persons with disabilities. By engaging employers in partnerships, offering support services, and raising awareness of the value that persons with disabilities bring to the workforce, Palau can create a more inclusive and equitable employment landscape. This approach would provide a clearer path for improving employment outcomes and reducing unemployment among persons with disabilities.</w:t>
      </w:r>
    </w:p>
    <w:p w:rsidR="00000000" w:rsidDel="00000000" w:rsidP="00000000" w:rsidRDefault="00000000" w:rsidRPr="00000000" w14:paraId="0000013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139">
      <w:pPr>
        <w:numPr>
          <w:ilvl w:val="0"/>
          <w:numId w:val="25"/>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Employment:</w:t>
      </w:r>
      <w:r w:rsidDel="00000000" w:rsidR="00000000" w:rsidRPr="00000000">
        <w:rPr>
          <w:rtl w:val="0"/>
        </w:rPr>
      </w:r>
    </w:p>
    <w:p w:rsidR="00000000" w:rsidDel="00000000" w:rsidP="00000000" w:rsidRDefault="00000000" w:rsidRPr="00000000" w14:paraId="0000013A">
      <w:pPr>
        <w:shd w:fill="ffffff" w:val="clear"/>
        <w:spacing w:line="240" w:lineRule="auto"/>
        <w:ind w:left="72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Create programs to reduce unemployment among persons with disabilities.</w:t>
      </w:r>
    </w:p>
    <w:p w:rsidR="00000000" w:rsidDel="00000000" w:rsidP="00000000" w:rsidRDefault="00000000" w:rsidRPr="00000000" w14:paraId="0000013B">
      <w:pPr>
        <w:shd w:fill="ffffff" w:val="clear"/>
        <w:spacing w:line="240" w:lineRule="auto"/>
        <w:ind w:left="72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Boost public-private partnerships to foster inclusive workplaces.</w:t>
      </w:r>
    </w:p>
    <w:p w:rsidR="00000000" w:rsidDel="00000000" w:rsidP="00000000" w:rsidRDefault="00000000" w:rsidRPr="00000000" w14:paraId="0000013C">
      <w:pPr>
        <w:shd w:fill="ffffff" w:val="clear"/>
        <w:spacing w:line="240" w:lineRule="auto"/>
        <w:ind w:left="72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Increase public sector employment opportunities for persons with disabilities.</w:t>
      </w:r>
    </w:p>
    <w:p w:rsidR="00000000" w:rsidDel="00000000" w:rsidP="00000000" w:rsidRDefault="00000000" w:rsidRPr="00000000" w14:paraId="0000013D">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28: Adequate Standard of Living and Social Protection</w:t>
      </w:r>
    </w:p>
    <w:p w:rsidR="00000000" w:rsidDel="00000000" w:rsidP="00000000" w:rsidRDefault="00000000" w:rsidRPr="00000000" w14:paraId="0000013F">
      <w:pPr>
        <w:shd w:fill="ffffff" w:val="clea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Palau highlights the relatively small number of persons employed by both local and national governments. It acknowledges efforts to promote equal opportunities for persons with disabilities, yet the statistics suggest there is still room for improvement, particularly within the national government’s workforce. The recent 50 USD increase in the Palau Severely Disabled Assistance Fund is a positive development; however, this adjustment remains insufficient to address the rising cost of living and the diverse needs of persons with disabilities. Broadening financial support to include costs like transportation, caregiving, and assistive technologies would significantly enhance the program's effectiveness Furthermore, the benefit differentiation based on the type of disability—such as persons with limited mobility requiring at-home support, wheelchair users, or individuals with visual impairments—is notable but could be expanded to include a wider range of disabilities with varying needs, addressing costs like transportation and support services.</w:t>
      </w:r>
    </w:p>
    <w:p w:rsidR="00000000" w:rsidDel="00000000" w:rsidP="00000000" w:rsidRDefault="00000000" w:rsidRPr="00000000" w14:paraId="00000140">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there are commendable efforts in social protection programs, information on their overall impact and accessibility remains limited. Expanding on how these programs are reaching the most vulnerable and low-income families would provide a more comprehensive understanding of their effectiveness. Additionally, more specific data on how many persons with disabilities benefit from employment opportunities and social programs would strengthen the analysis and inform future policy adjustments.</w:t>
      </w:r>
    </w:p>
    <w:p w:rsidR="00000000" w:rsidDel="00000000" w:rsidP="00000000" w:rsidRDefault="00000000" w:rsidRPr="00000000" w14:paraId="00000141">
      <w:pPr>
        <w:shd w:fill="ffffff" w:val="clear"/>
        <w:spacing w:line="24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142">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143">
      <w:pPr>
        <w:numPr>
          <w:ilvl w:val="0"/>
          <w:numId w:val="3"/>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Social Protection:</w:t>
      </w:r>
      <w:r w:rsidDel="00000000" w:rsidR="00000000" w:rsidRPr="00000000">
        <w:rPr>
          <w:rtl w:val="0"/>
        </w:rPr>
      </w:r>
    </w:p>
    <w:p w:rsidR="00000000" w:rsidDel="00000000" w:rsidP="00000000" w:rsidRDefault="00000000" w:rsidRPr="00000000" w14:paraId="00000144">
      <w:pPr>
        <w:shd w:fill="ffffff" w:val="clear"/>
        <w:spacing w:line="240" w:lineRule="auto"/>
        <w:ind w:left="720" w:firstLine="0"/>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Review the current program and expand its reach and coverage with increase funding Expand social protection programs to meet diverse needs of persons with disabilities.</w:t>
      </w:r>
    </w:p>
    <w:p w:rsidR="00000000" w:rsidDel="00000000" w:rsidP="00000000" w:rsidRDefault="00000000" w:rsidRPr="00000000" w14:paraId="0000014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line="240" w:lineRule="auto"/>
        <w:jc w:val="both"/>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Article 29: Participation in Political and Public Life</w:t>
      </w:r>
    </w:p>
    <w:p w:rsidR="00000000" w:rsidDel="00000000" w:rsidP="00000000" w:rsidRDefault="00000000" w:rsidRPr="00000000" w14:paraId="00000147">
      <w:pPr>
        <w:spacing w:line="240" w:lineRule="auto"/>
        <w:jc w:val="both"/>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4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article on participation in political and public life highlights some important provisions regarding the rights of persons with disabilities, particularly with voting and public leadership. It is commendable that the law allows persons with disabilities to request confined voting and ensures reasonable accommodation to allow them to vote independently. Additionally, the provision that blind persons can appoint trusted persons to assist them while maintaining the confidentiality of their vote is a positive step towards promoting accessibility. However, the critique lies in the limited availability of accessible voting places, as it is noted that very few voting locations are designed to accommodate persons with disabilities. This limits their ability to fully participate in the electoral process in a way that aligns with the principles of equality and independence.</w:t>
      </w:r>
    </w:p>
    <w:p w:rsidR="00000000" w:rsidDel="00000000" w:rsidP="00000000" w:rsidRDefault="00000000" w:rsidRPr="00000000" w14:paraId="0000014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persons with disabilities are free to be considered for leadership roles and to express their interests in decision-making, the existing infrastructure and practices may still hinder their meaningful participation. The emphasis on medical assessments to determine voting capacity can be problematic, as it risks reinforcing negative stereotypes about the capabilities of persons with disabilities. Furthermore, although there are provisions for assistance in voting, the overall environment may not be sufficiently inclusive to ensure full participation. To make real progress in political inclusion, a more comprehensive approach to accessibility in voting places and public offices, alongside clear safeguards against discrimination in leadership roles, is essential.</w:t>
      </w:r>
    </w:p>
    <w:p w:rsidR="00000000" w:rsidDel="00000000" w:rsidP="00000000" w:rsidRDefault="00000000" w:rsidRPr="00000000" w14:paraId="0000014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24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Proposed Recommendations</w:t>
      </w:r>
    </w:p>
    <w:p w:rsidR="00000000" w:rsidDel="00000000" w:rsidP="00000000" w:rsidRDefault="00000000" w:rsidRPr="00000000" w14:paraId="0000014D">
      <w:pPr>
        <w:numPr>
          <w:ilvl w:val="0"/>
          <w:numId w:val="15"/>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Voting Accessibility: Increase accessible voting locations and review medical assessment requirements.</w:t>
      </w:r>
      <w:r w:rsidDel="00000000" w:rsidR="00000000" w:rsidRPr="00000000">
        <w:rPr>
          <w:rtl w:val="0"/>
        </w:rPr>
      </w:r>
    </w:p>
    <w:p w:rsidR="00000000" w:rsidDel="00000000" w:rsidP="00000000" w:rsidRDefault="00000000" w:rsidRPr="00000000" w14:paraId="0000014E">
      <w:pPr>
        <w:numPr>
          <w:ilvl w:val="0"/>
          <w:numId w:val="15"/>
        </w:numPr>
        <w:shd w:fill="ffffff" w:val="clear"/>
        <w:spacing w:line="24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rtl w:val="0"/>
        </w:rPr>
        <w:t xml:space="preserve">International Engagement: Involve persons with disabilities in international decision-making processes.</w:t>
      </w:r>
      <w:r w:rsidDel="00000000" w:rsidR="00000000" w:rsidRPr="00000000">
        <w:rPr>
          <w:rtl w:val="0"/>
        </w:rPr>
      </w:r>
    </w:p>
    <w:p w:rsidR="00000000" w:rsidDel="00000000" w:rsidP="00000000" w:rsidRDefault="00000000" w:rsidRPr="00000000" w14:paraId="0000014F">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50">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30: Participation in Cultural Life, Recreation, Leisure and Sport</w:t>
      </w:r>
    </w:p>
    <w:p w:rsidR="00000000" w:rsidDel="00000000" w:rsidP="00000000" w:rsidRDefault="00000000" w:rsidRPr="00000000" w14:paraId="00000151">
      <w:pPr>
        <w:spacing w:after="240" w:before="24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Bureau of Cultural and Historical Preservation (BCHP) efforts to preserve Palau's cultural and historical heritage while fostering inclusive participation in cultural life, recreation, and sports for persons with disabilities. The overview of BCHP's mission and structure is clear and demonstrates a strong commitment to preserving cultural resources through various initiatives such as archaeological surveys, oral history documentation, and public education. However, it’s beneficial to provide more detailed information on specific measures or examples showcasing how these efforts actively include and benefit persons with disabilities. Additionally, while the mention of efforts to improve accessibility is encouraging, a more detailed account of current accessibility challenges and specific improvements being implemented would provide a clearer picture of progress and areas needing attention.</w:t>
      </w:r>
    </w:p>
    <w:p w:rsidR="00000000" w:rsidDel="00000000" w:rsidP="00000000" w:rsidRDefault="00000000" w:rsidRPr="00000000" w14:paraId="00000152">
      <w:pPr>
        <w:spacing w:after="240" w:before="240"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Building on this, while Palau has not signed or ratified the Marrakesh VIP Treaty, its principles serve as a valuable reference point for improving accessibility to published works for persons with vision impairments. Ratifying it and exploring the potential alignment of national policies with the treaty’s objectives could demonstrate a commitment to inclusivity and set a foundation for eventual participation. As a recommendation, Palau could consider leveraging the treaty's frameworks as guidance for creating national policies aimed at bridging gaps in accessibility, particularly for vision-impaired individuals. Furthermore, the statement about inviting persons with disabilities to participate in events and committees is commendable but lacks depth; it would be helpful to provide examples of specific initiatives, the outcomes of their participation, or responses from participants with disabilities to highlight the effectiveness and inclusivity of these efforts. Overall, while there is a strong foundation, expanding on these aspects would strengthen the narrative and demonstrate a comprehensive approach to accessibility and inclusion.</w:t>
      </w:r>
    </w:p>
    <w:p w:rsidR="00000000" w:rsidDel="00000000" w:rsidP="00000000" w:rsidRDefault="00000000" w:rsidRPr="00000000" w14:paraId="00000153">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tourism developments, this means prioritizing community input to safeguard cultural heritage, promote environmental sustainability, and equitably share economic benefits. In military-related projects, meaningful engagement is critical to addressing potential impacts on safety, property, and local ecosystems. By fostering inclusive participation, development initiatives can become more transparent, accountable, and aligned with the rights and aspirations of all stakeholders, ultimately contributing to sustainable and equitable outcomes.</w:t>
      </w:r>
    </w:p>
    <w:p w:rsidR="00000000" w:rsidDel="00000000" w:rsidP="00000000" w:rsidRDefault="00000000" w:rsidRPr="00000000" w14:paraId="00000154">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156">
      <w:pPr>
        <w:numPr>
          <w:ilvl w:val="0"/>
          <w:numId w:val="29"/>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Inclusive Activities: BCHP should tailor initiatives to address the needs of persons with disabilities, ensuring equitable access to cultural, recreational, and sporting activities. Highlight and replicate successful inclusion case studies.</w:t>
      </w:r>
      <w:r w:rsidDel="00000000" w:rsidR="00000000" w:rsidRPr="00000000">
        <w:rPr>
          <w:rtl w:val="0"/>
        </w:rPr>
      </w:r>
    </w:p>
    <w:p w:rsidR="00000000" w:rsidDel="00000000" w:rsidP="00000000" w:rsidRDefault="00000000" w:rsidRPr="00000000" w14:paraId="00000157">
      <w:pPr>
        <w:spacing w:line="240" w:lineRule="auto"/>
        <w:jc w:val="both"/>
        <w:rPr>
          <w:rFonts w:ascii="Times New Roman" w:cs="Times New Roman" w:eastAsia="Times New Roman" w:hAnsi="Times New Roman"/>
          <w:sz w:val="24"/>
          <w:szCs w:val="24"/>
          <w:highlight w:val="red"/>
        </w:rPr>
      </w:pPr>
      <w:r w:rsidDel="00000000" w:rsidR="00000000" w:rsidRPr="00000000">
        <w:rPr>
          <w:rtl w:val="0"/>
        </w:rPr>
      </w:r>
    </w:p>
    <w:p w:rsidR="00000000" w:rsidDel="00000000" w:rsidP="00000000" w:rsidRDefault="00000000" w:rsidRPr="00000000" w14:paraId="00000158">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Article 31: Statistics and Data Collection</w:t>
      </w:r>
    </w:p>
    <w:p w:rsidR="00000000" w:rsidDel="00000000" w:rsidP="00000000" w:rsidRDefault="00000000" w:rsidRPr="00000000" w14:paraId="00000159">
      <w:pPr>
        <w:spacing w:line="240" w:lineRule="auto"/>
        <w:jc w:val="both"/>
        <w:rPr>
          <w:rFonts w:ascii="Times New Roman" w:cs="Times New Roman" w:eastAsia="Times New Roman" w:hAnsi="Times New Roman"/>
          <w:sz w:val="24"/>
          <w:szCs w:val="24"/>
          <w:highlight w:val="white"/>
          <w:u w:val="single"/>
        </w:rPr>
      </w:pPr>
      <w:r w:rsidDel="00000000" w:rsidR="00000000" w:rsidRPr="00000000">
        <w:rPr>
          <w:rtl w:val="0"/>
        </w:rPr>
      </w:r>
    </w:p>
    <w:p w:rsidR="00000000" w:rsidDel="00000000" w:rsidP="00000000" w:rsidRDefault="00000000" w:rsidRPr="00000000" w14:paraId="0000015A">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results from the 2015 and 2020 Censuses using the WGSS provide a concise summary of the available census data and its disaggregation categories, which include demographic and socioeconomic factors. However, the critique lies in the lack of detailed and updated analysis or insights drawn from the 2020 Census. Simply pointing to the censuses and providing a link does not sufficiently address the article’s requirements for accessible and actionable statistical information. To enhance the utility of census data, disaggregating it further by disability type and providing annual updates would support more targeted policy-making. This approach would not only align with the objectives of Article 31 but also ensure that the data remains relevant and adaptable to emerging needs. Moreover, a clearer emphasis on the practical applications of this data, alongside an evaluation of its limitations, would better demonstrate its role in supporting evidence-based policy-making and advocacy initiatives.</w:t>
      </w:r>
    </w:p>
    <w:p w:rsidR="00000000" w:rsidDel="00000000" w:rsidP="00000000" w:rsidRDefault="00000000" w:rsidRPr="00000000" w14:paraId="0000015B">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5C">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15D">
      <w:pPr>
        <w:numPr>
          <w:ilvl w:val="0"/>
          <w:numId w:val="10"/>
        </w:numPr>
        <w:shd w:fill="ffffff" w:val="clea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Using Census Data: Leverage census data to monitor Article 31 implementation and ensure it is accessible to all stakeholders through simplified reports and tools.</w:t>
      </w:r>
      <w:r w:rsidDel="00000000" w:rsidR="00000000" w:rsidRPr="00000000">
        <w:rPr>
          <w:rtl w:val="0"/>
        </w:rPr>
      </w:r>
    </w:p>
    <w:p w:rsidR="00000000" w:rsidDel="00000000" w:rsidP="00000000" w:rsidRDefault="00000000" w:rsidRPr="00000000" w14:paraId="0000015E">
      <w:pPr>
        <w:spacing w:line="240" w:lineRule="auto"/>
        <w:jc w:val="both"/>
        <w:rPr>
          <w:rFonts w:ascii="Times New Roman" w:cs="Times New Roman" w:eastAsia="Times New Roman" w:hAnsi="Times New Roman"/>
          <w:sz w:val="24"/>
          <w:szCs w:val="24"/>
          <w:highlight w:val="red"/>
        </w:rPr>
      </w:pPr>
      <w:r w:rsidDel="00000000" w:rsidR="00000000" w:rsidRPr="00000000">
        <w:rPr>
          <w:rtl w:val="0"/>
        </w:rPr>
      </w:r>
    </w:p>
    <w:p w:rsidR="00000000" w:rsidDel="00000000" w:rsidP="00000000" w:rsidRDefault="00000000" w:rsidRPr="00000000" w14:paraId="0000015F">
      <w:pPr>
        <w:pStyle w:val="Heading2"/>
        <w:spacing w:after="0" w:before="0" w:line="240" w:lineRule="auto"/>
        <w:jc w:val="both"/>
        <w:rPr>
          <w:rFonts w:ascii="Times New Roman" w:cs="Times New Roman" w:eastAsia="Times New Roman" w:hAnsi="Times New Roman"/>
          <w:b w:val="1"/>
          <w:sz w:val="24"/>
          <w:szCs w:val="24"/>
          <w:highlight w:val="white"/>
          <w:u w:val="single"/>
        </w:rPr>
      </w:pPr>
      <w:bookmarkStart w:colFirst="0" w:colLast="0" w:name="_heading=h.lnxbz9" w:id="15"/>
      <w:bookmarkEnd w:id="15"/>
      <w:r w:rsidDel="00000000" w:rsidR="00000000" w:rsidRPr="00000000">
        <w:rPr>
          <w:rFonts w:ascii="Times New Roman" w:cs="Times New Roman" w:eastAsia="Times New Roman" w:hAnsi="Times New Roman"/>
          <w:b w:val="1"/>
          <w:sz w:val="24"/>
          <w:szCs w:val="24"/>
          <w:highlight w:val="white"/>
          <w:u w:val="single"/>
          <w:rtl w:val="0"/>
        </w:rPr>
        <w:t xml:space="preserve">Article 32: International Cooperation</w:t>
      </w:r>
    </w:p>
    <w:p w:rsidR="00000000" w:rsidDel="00000000" w:rsidP="00000000" w:rsidRDefault="00000000" w:rsidRPr="00000000" w14:paraId="00000160">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1">
      <w:pP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highlights on the inclusion of persons with disabilities in international dialogues is a positive step toward fostering inclusive cooperation in areas such as assistive devices, rehabilitation programs, and accessible tourism. It also mentions disaster preparedness, which is a critical issue. </w:t>
      </w:r>
    </w:p>
    <w:p w:rsidR="00000000" w:rsidDel="00000000" w:rsidP="00000000" w:rsidRDefault="00000000" w:rsidRPr="00000000" w14:paraId="00000162">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3">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164">
      <w:pPr>
        <w:numPr>
          <w:ilvl w:val="0"/>
          <w:numId w:val="22"/>
        </w:numPr>
        <w:shd w:fill="ffffff" w:val="clear"/>
        <w:spacing w:line="240" w:lineRule="auto"/>
        <w:ind w:left="108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International Dialogue Outcomes: Document and implement tangible outcomes from international dialogues that directly benefit persons with disabilities.</w:t>
      </w:r>
      <w:r w:rsidDel="00000000" w:rsidR="00000000" w:rsidRPr="00000000">
        <w:rPr>
          <w:rtl w:val="0"/>
        </w:rPr>
      </w:r>
    </w:p>
    <w:p w:rsidR="00000000" w:rsidDel="00000000" w:rsidP="00000000" w:rsidRDefault="00000000" w:rsidRPr="00000000" w14:paraId="00000165">
      <w:pPr>
        <w:spacing w:line="240" w:lineRule="auto"/>
        <w:jc w:val="both"/>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66">
      <w:pPr>
        <w:spacing w:line="240" w:lineRule="auto"/>
        <w:jc w:val="both"/>
        <w:rPr>
          <w:rFonts w:ascii="Times New Roman" w:cs="Times New Roman" w:eastAsia="Times New Roman" w:hAnsi="Times New Roman"/>
          <w:b w:val="1"/>
          <w:sz w:val="24"/>
          <w:szCs w:val="24"/>
          <w:highlight w:val="white"/>
          <w:u w:val="single"/>
        </w:rPr>
      </w:pPr>
      <w:bookmarkStart w:colFirst="0" w:colLast="0" w:name="_heading=h.35nkun2" w:id="16"/>
      <w:bookmarkEnd w:id="16"/>
      <w:r w:rsidDel="00000000" w:rsidR="00000000" w:rsidRPr="00000000">
        <w:rPr>
          <w:rFonts w:ascii="Times New Roman" w:cs="Times New Roman" w:eastAsia="Times New Roman" w:hAnsi="Times New Roman"/>
          <w:b w:val="1"/>
          <w:sz w:val="24"/>
          <w:szCs w:val="24"/>
          <w:highlight w:val="white"/>
          <w:u w:val="single"/>
          <w:rtl w:val="0"/>
        </w:rPr>
        <w:t xml:space="preserve">Article 33: National implementation and monitoring</w:t>
      </w:r>
    </w:p>
    <w:p w:rsidR="00000000" w:rsidDel="00000000" w:rsidP="00000000" w:rsidRDefault="00000000" w:rsidRPr="00000000" w14:paraId="00000167">
      <w:pP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8">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The implementation and monitoring of the CRPD in Palau is structured through various government bodies, including the Ministry of Health and Human Services, which serves as the Government Disability Focal Point. The establishment of the Coordinating Committee on Persons with Disabilities and the Office of Persons with Disabilities, as stipulated in RPPL 11-36, is a commendable effort to create a national framework for policy development and oversight. The law's local funding highlights Palau's commitment to promoting disability rights and inclusion. However, while these initiatives indicate a solid foundation, the absence of an independent monitoring mechanism or a National Human Rights Institution presents a notable gap. Without an independent body, the implementation and monitoring of disability rights and inclusion may face challenges related to transparency and accountability, which could affect the effectiveness of these policies.</w:t>
      </w:r>
    </w:p>
    <w:p w:rsidR="00000000" w:rsidDel="00000000" w:rsidP="00000000" w:rsidRDefault="00000000" w:rsidRPr="00000000" w14:paraId="00000169">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A">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Additionally, the inclusion of OMEKESANG, an organization of persons with disabilities, in the Coordinating Committee is a positive step towards ensuring that the voices of persons with disabilities are heard in the policy-making process. However, the current setup might benefit from further strengthening, particularly in terms of empowering civil society and private sectors with greater roles in both monitoring and advocating for compliance with the CRPD. While the Ministry of State plays a central role in human rights, it would be more effective if a dedicated independent mechanism focused specifically on disability rights and inclusion existed. This would not only ensure more robust monitoring but also enhance Palau's compliance with international standards.</w:t>
      </w:r>
    </w:p>
    <w:p w:rsidR="00000000" w:rsidDel="00000000" w:rsidP="00000000" w:rsidRDefault="00000000" w:rsidRPr="00000000" w14:paraId="0000016B">
      <w:pPr>
        <w:shd w:fill="ffffff" w:val="clear"/>
        <w:spacing w:line="24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16C">
      <w:pPr>
        <w:spacing w:line="240" w:lineRule="auto"/>
        <w:jc w:val="both"/>
        <w:rPr>
          <w:rFonts w:ascii="Times New Roman" w:cs="Times New Roman" w:eastAsia="Times New Roman" w:hAnsi="Times New Roman"/>
          <w:b w:val="1"/>
          <w:i w:val="1"/>
          <w:sz w:val="24"/>
          <w:szCs w:val="24"/>
          <w:highlight w:val="white"/>
        </w:rPr>
      </w:pPr>
      <w:r w:rsidDel="00000000" w:rsidR="00000000" w:rsidRPr="00000000">
        <w:rPr>
          <w:rFonts w:ascii="Times New Roman" w:cs="Times New Roman" w:eastAsia="Times New Roman" w:hAnsi="Times New Roman"/>
          <w:b w:val="1"/>
          <w:i w:val="1"/>
          <w:sz w:val="24"/>
          <w:szCs w:val="24"/>
          <w:highlight w:val="white"/>
          <w:rtl w:val="0"/>
        </w:rPr>
        <w:t xml:space="preserve">Proposed Recommendations</w:t>
      </w:r>
    </w:p>
    <w:p w:rsidR="00000000" w:rsidDel="00000000" w:rsidP="00000000" w:rsidRDefault="00000000" w:rsidRPr="00000000" w14:paraId="0000016D">
      <w:pPr>
        <w:numPr>
          <w:ilvl w:val="0"/>
          <w:numId w:val="24"/>
        </w:numPr>
        <w:spacing w:line="240" w:lineRule="auto"/>
        <w:ind w:left="720" w:hanging="360"/>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Strengthening Disability Rights: Establish an independent CRPD monitoring body for accountability. Empower civil society and private sectors like OMEKESANG to play active roles in monitoring and advocacy.</w:t>
      </w:r>
    </w:p>
    <w:p w:rsidR="00000000" w:rsidDel="00000000" w:rsidP="00000000" w:rsidRDefault="00000000" w:rsidRPr="00000000" w14:paraId="0000016E">
      <w:pPr>
        <w:spacing w:line="240" w:lineRule="auto"/>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6F">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14:paraId="0000017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shd w:fill="ffffff" w:val="clea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conclusion, Palau has made significant strides in advancing the rights of persons with disabilities through legislative initiatives, national policies, and inclusive practices. However, gaps remain in harmonizing legal frameworks, addressing systemic barriers, and ensuring active, free, and meaningful participation of persons with disabilities in all aspects of society. Strengthened collaboration with governments, civil society organizations, the private sector, regional partners, and international mechanisms is essential to closing these gaps and fostering a more equitable and inclusive society.</w:t>
      </w:r>
    </w:p>
    <w:p w:rsidR="00000000" w:rsidDel="00000000" w:rsidP="00000000" w:rsidRDefault="00000000" w:rsidRPr="00000000" w14:paraId="00000172">
      <w:pPr>
        <w:shd w:fill="ffffff" w:val="clear"/>
        <w:spacing w:after="240" w:before="24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addressing militarism in Palau is a critical step toward upholding peace, human rights, and sustainability, as the associated environmental and social risks disproportionately affect vulnerable groups, including persons with disabilities. Engaging in dialogue on human rights mechanisms and ratifying treaties, such as CAT and its Optional Protocol, will align Palau with global standards while promoting equity, inclusivity, and accountability. These efforts safeguard the rights of persons with disabilities and advance a sustainable, rights-based future for all.</w:t>
      </w:r>
    </w:p>
    <w:p w:rsidR="00000000" w:rsidDel="00000000" w:rsidP="00000000" w:rsidRDefault="00000000" w:rsidRPr="00000000" w14:paraId="00000173">
      <w:pPr>
        <w:shd w:fill="ffffff" w:val="clea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rPr>
          <w:rFonts w:ascii="Times New Roman" w:cs="Times New Roman" w:eastAsia="Times New Roman" w:hAnsi="Times New Roman"/>
          <w:b w:val="1"/>
          <w:sz w:val="24"/>
          <w:szCs w:val="24"/>
        </w:rPr>
      </w:pPr>
      <w:r w:rsidDel="00000000" w:rsidR="00000000" w:rsidRPr="00000000">
        <w:rPr>
          <w:rtl w:val="0"/>
        </w:rPr>
      </w:r>
    </w:p>
    <w:sectPr>
      <w:type w:val="nextPage"/>
      <w:pgSz w:h="16834" w:w="11909" w:orient="portrait"/>
      <w:pgMar w:bottom="1440" w:top="1440" w:left="1440" w:right="1440"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9">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tabs>
        <w:tab w:val="center" w:leader="none" w:pos="4513"/>
        <w:tab w:val="right" w:leader="none" w:pos="9026"/>
      </w:tabs>
      <w:spacing w:line="240" w:lineRule="auto"/>
      <w:ind w:right="360"/>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B">
    <w:pPr>
      <w:pBdr>
        <w:top w:space="0" w:sz="0" w:val="nil"/>
        <w:left w:space="0" w:sz="0" w:val="nil"/>
        <w:bottom w:space="0" w:sz="0" w:val="nil"/>
        <w:right w:space="0" w:sz="0" w:val="nil"/>
        <w:between w:space="0" w:sz="0" w:val="nil"/>
      </w:pBdr>
      <w:tabs>
        <w:tab w:val="center" w:leader="none" w:pos="4513"/>
        <w:tab w:val="right" w:leader="none" w:pos="9026"/>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7C">
    <w:pPr>
      <w:ind w:right="360"/>
      <w:jc w:val="center"/>
      <w:rPr>
        <w:rFonts w:ascii="Times New Roman" w:cs="Times New Roman" w:eastAsia="Times New Roman" w:hAnsi="Times New Roman"/>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D">
    <w:pPr>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5">
    <w:pPr>
      <w:rPr/>
    </w:pPr>
    <w:r w:rsidDel="00000000" w:rsidR="00000000" w:rsidRPr="00000000">
      <w:rPr/>
      <w:pict>
        <v:shape id="PowerPlusWaterMarkObject2" style="position:absolute;width:472.45pt;height:165.75pt;rotation:315;z-index:-503316481;mso-position-horizontal-relative:margin;mso-position-horizontal:center;mso-position-vertical-relative:margin;mso-position-vertical:center;" fillcolor="#e8eaed" stroked="f" type="#_x0000_t136">
          <v:fill angle="0" opacity="32768f"/>
          <v:textpath fitshape="t" string="DRAFT" style="font-family:&amp;quot;&quot;&amp;quot&quot;&amp;quot;;font-size:1pt;"/>
        </v:shape>
      </w:pict>
    </w:r>
    <w:r w:rsidDel="00000000" w:rsidR="00000000" w:rsidRPr="00000000">
      <w:rPr>
        <w:rtl w:val="0"/>
      </w:rPr>
    </w:r>
  </w:p>
  <w:p w:rsidR="00000000" w:rsidDel="00000000" w:rsidP="00000000" w:rsidRDefault="00000000" w:rsidRPr="00000000" w14:paraId="00000176">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7">
    <w:pPr>
      <w:rPr/>
    </w:pPr>
    <w:r w:rsidDel="00000000" w:rsidR="00000000" w:rsidRPr="00000000">
      <w:rPr/>
      <w:pict>
        <v:shape id="PowerPlusWaterMarkObject1" style="position:absolute;width:472.45pt;height:165.75pt;rotation:315;z-index:-503316481;mso-position-horizontal-relative:margin;mso-position-horizontal:center;mso-position-vertical-relative:margin;mso-position-vertical:center;" fillcolor="#e8eaed" stroked="f" type="#_x0000_t136">
          <v:fill angle="0" opacity="32768f"/>
          <v:textpath fitshape="t" string="DRAFT" style="font-family:&amp;quot;&quot;&amp;quot&quot;&amp;quot;;font-size:1pt;"/>
        </v:shape>
      </w:pict>
    </w:r>
    <w:r w:rsidDel="00000000" w:rsidR="00000000" w:rsidRPr="00000000">
      <w:rPr>
        <w:rtl w:val="0"/>
      </w:rPr>
    </w:r>
  </w:p>
  <w:p w:rsidR="00000000" w:rsidDel="00000000" w:rsidP="00000000" w:rsidRDefault="00000000" w:rsidRPr="00000000" w14:paraId="00000178">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lvl w:ilvl="0">
      <w:start w:val="1"/>
      <w:numFmt w:val="decimal"/>
      <w:lvlText w:val="%1."/>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2">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Revision">
    <w:name w:val="Revision"/>
    <w:hidden w:val="1"/>
    <w:uiPriority w:val="99"/>
    <w:semiHidden w:val="1"/>
    <w:rsid w:val="00C86697"/>
    <w:pPr>
      <w:spacing w:line="240" w:lineRule="auto"/>
    </w:pPr>
  </w:style>
  <w:style w:type="character" w:styleId="CommentReference">
    <w:name w:val="annotation reference"/>
    <w:basedOn w:val="DefaultParagraphFont"/>
    <w:uiPriority w:val="99"/>
    <w:semiHidden w:val="1"/>
    <w:unhideWhenUsed w:val="1"/>
    <w:rsid w:val="00846D20"/>
    <w:rPr>
      <w:sz w:val="16"/>
      <w:szCs w:val="16"/>
    </w:rPr>
  </w:style>
  <w:style w:type="paragraph" w:styleId="CommentText">
    <w:name w:val="annotation text"/>
    <w:basedOn w:val="Normal"/>
    <w:link w:val="CommentTextChar"/>
    <w:uiPriority w:val="99"/>
    <w:semiHidden w:val="1"/>
    <w:unhideWhenUsed w:val="1"/>
    <w:rsid w:val="00846D20"/>
    <w:pPr>
      <w:spacing w:line="240" w:lineRule="auto"/>
    </w:pPr>
    <w:rPr>
      <w:sz w:val="20"/>
      <w:szCs w:val="20"/>
    </w:rPr>
  </w:style>
  <w:style w:type="character" w:styleId="CommentTextChar" w:customStyle="1">
    <w:name w:val="Comment Text Char"/>
    <w:basedOn w:val="DefaultParagraphFont"/>
    <w:link w:val="CommentText"/>
    <w:uiPriority w:val="99"/>
    <w:semiHidden w:val="1"/>
    <w:rsid w:val="00846D20"/>
    <w:rPr>
      <w:sz w:val="20"/>
      <w:szCs w:val="20"/>
    </w:rPr>
  </w:style>
  <w:style w:type="paragraph" w:styleId="CommentSubject">
    <w:name w:val="annotation subject"/>
    <w:basedOn w:val="CommentText"/>
    <w:next w:val="CommentText"/>
    <w:link w:val="CommentSubjectChar"/>
    <w:uiPriority w:val="99"/>
    <w:semiHidden w:val="1"/>
    <w:unhideWhenUsed w:val="1"/>
    <w:rsid w:val="00846D20"/>
    <w:rPr>
      <w:b w:val="1"/>
      <w:bCs w:val="1"/>
    </w:rPr>
  </w:style>
  <w:style w:type="character" w:styleId="CommentSubjectChar" w:customStyle="1">
    <w:name w:val="Comment Subject Char"/>
    <w:basedOn w:val="CommentTextChar"/>
    <w:link w:val="CommentSubject"/>
    <w:uiPriority w:val="99"/>
    <w:semiHidden w:val="1"/>
    <w:rsid w:val="00846D20"/>
    <w:rPr>
      <w:b w:val="1"/>
      <w:bCs w:val="1"/>
      <w:sz w:val="20"/>
      <w:szCs w:val="20"/>
    </w:rPr>
  </w:style>
  <w:style w:type="paragraph" w:styleId="Footer">
    <w:name w:val="footer"/>
    <w:basedOn w:val="Normal"/>
    <w:link w:val="FooterChar"/>
    <w:uiPriority w:val="99"/>
    <w:unhideWhenUsed w:val="1"/>
    <w:rsid w:val="00853FE3"/>
    <w:pPr>
      <w:tabs>
        <w:tab w:val="center" w:pos="4513"/>
        <w:tab w:val="right" w:pos="9026"/>
      </w:tabs>
      <w:spacing w:line="240" w:lineRule="auto"/>
    </w:pPr>
  </w:style>
  <w:style w:type="character" w:styleId="FooterChar" w:customStyle="1">
    <w:name w:val="Footer Char"/>
    <w:basedOn w:val="DefaultParagraphFont"/>
    <w:link w:val="Footer"/>
    <w:uiPriority w:val="99"/>
    <w:rsid w:val="00853FE3"/>
  </w:style>
  <w:style w:type="character" w:styleId="PageNumber">
    <w:name w:val="page number"/>
    <w:basedOn w:val="DefaultParagraphFont"/>
    <w:uiPriority w:val="99"/>
    <w:semiHidden w:val="1"/>
    <w:unhideWhenUsed w:val="1"/>
    <w:rsid w:val="00853FE3"/>
  </w:style>
  <w:style w:type="paragraph" w:styleId="ListParagraph">
    <w:name w:val="List Paragraph"/>
    <w:basedOn w:val="Normal"/>
    <w:uiPriority w:val="34"/>
    <w:qFormat w:val="1"/>
    <w:rsid w:val="00573E8E"/>
    <w:pPr>
      <w:ind w:left="720"/>
      <w:contextualSpacing w:val="1"/>
    </w:p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footer" Target="footer1.xml"/><Relationship Id="rId8" Type="http://schemas.openxmlformats.org/officeDocument/2006/relationships/image" Target="media/image2.png"/><Relationship Id="rId21" Type="http://schemas.openxmlformats.org/officeDocument/2006/relationships/hyperlink" Target="https://www.blueoceanlaw.com/blog/palauan-youth-file-un-complaint-alleging-human-rights-violations-by-us-military" TargetMode="External"/><Relationship Id="rId3" Type="http://schemas.openxmlformats.org/officeDocument/2006/relationships/fontTable" Target="fontTable.xml"/><Relationship Id="rId12" Type="http://schemas.openxmlformats.org/officeDocument/2006/relationships/image" Target="media/image6.jpg"/><Relationship Id="rId17" Type="http://schemas.openxmlformats.org/officeDocument/2006/relationships/footer" Target="footer3.xml"/><Relationship Id="rId7" Type="http://schemas.openxmlformats.org/officeDocument/2006/relationships/image" Target="media/image5.png"/><Relationship Id="rId25" Type="http://schemas.openxmlformats.org/officeDocument/2006/relationships/customXml" Target="../customXML/item4.xml"/><Relationship Id="rId20" Type="http://schemas.openxmlformats.org/officeDocument/2006/relationships/hyperlink" Target="https://www.blueoceanlaw.com/s/BOL_CCR_Palau-Filing.pdf" TargetMode="External"/><Relationship Id="rId2" Type="http://schemas.openxmlformats.org/officeDocument/2006/relationships/settings" Target="settings.xml"/><Relationship Id="rId16" Type="http://schemas.openxmlformats.org/officeDocument/2006/relationships/footer" Target="footer2.xml"/><Relationship Id="rId11" Type="http://schemas.openxmlformats.org/officeDocument/2006/relationships/image" Target="media/image3.jpg"/><Relationship Id="rId1" Type="http://schemas.openxmlformats.org/officeDocument/2006/relationships/theme" Target="theme/theme1.xml"/><Relationship Id="rId6" Type="http://schemas.openxmlformats.org/officeDocument/2006/relationships/customXml" Target="../customXML/item1.xml"/><Relationship Id="rId24" Type="http://schemas.openxmlformats.org/officeDocument/2006/relationships/customXml" Target="../customXML/item3.xml"/><Relationship Id="rId15" Type="http://schemas.openxmlformats.org/officeDocument/2006/relationships/header" Target="header2.xml"/><Relationship Id="rId5" Type="http://schemas.openxmlformats.org/officeDocument/2006/relationships/styles" Target="styles.xml"/><Relationship Id="rId23" Type="http://schemas.openxmlformats.org/officeDocument/2006/relationships/customXml" Target="../customXML/item2.xml"/><Relationship Id="rId10" Type="http://schemas.openxmlformats.org/officeDocument/2006/relationships/image" Target="media/image7.png"/><Relationship Id="rId19" Type="http://schemas.openxmlformats.org/officeDocument/2006/relationships/hyperlink" Target="https://tbinternet.ohchr.org/_layouts/15/treatybodyexternal/Download.aspx?symbolno=INT%2FCRPD%2FICO%2FPLW%2F49359&amp;Lang=en" TargetMode="External"/><Relationship Id="rId22" Type="http://schemas.openxmlformats.org/officeDocument/2006/relationships/hyperlink" Target="https://www.blueoceanlaw.com/blog/palauan-youth-file-un-complaint-alleging-human-rights-violations-by-us-military" TargetMode="Externa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rOtRRrCyinRZCYOzyzNih4wr+w==">CgMxLjAyCGguZ2pkZ3hzMgloLjMwajB6bGwyCWguMWZvYjl0ZTIJaC4zem55c2g3Mg5oLnkxcGJpcnc4MHkwNDIOaC5hbWpieHoxbWFndm8yCWguMmV0OTJwMDIIaC50eWpjd3QyCWguM2R5NnZrbTIJaC40ZDM0b2c4Mg5oLnA5dXljY2JxMXRpajIJaC4yczhleW8xMgloLjE3ZHA4dnUyCWguM3JkY3JqbjIJaC4yNmluMXJnMghoLmxueGJ6OTIJaC4zNW5rdW4yOABqRgo2c3VnZ2VzdElkSW1wb3J0N2RmZGVhOTYtZGM0Ni00MzU1LTgwNzMtYWU3Y2MwMGU0NWYxXzQzEgxMYWlzYSBWZXJldGlqRgo2c3VnZ2VzdElkSW1wb3J0N2RmZGVhOTYtZGM0Ni00MzU1LTgwNzMtYWU3Y2MwMGU0NWYxXzI3EgxMYWlzYSBWZXJldGlqRgo2c3VnZ2VzdElkSW1wb3J0N2RmZGVhOTYtZGM0Ni00MzU1LTgwNzMtYWU3Y2MwMGU0NWYxXzI2EgxMYWlzYSBWZXJldGlqRgo2c3VnZ2VzdElkSW1wb3J0N2RmZGVhOTYtZGM0Ni00MzU1LTgwNzMtYWU3Y2MwMGU0NWYxXzM2EgxMYWlzYSBWZXJldGlqRgo2c3VnZ2VzdElkSW1wb3J0N2RmZGVhOTYtZGM0Ni00MzU1LTgwNzMtYWU3Y2MwMGU0NWYxXzY4EgxMYWlzYSBWZXJldGlqRgo2c3VnZ2VzdElkSW1wb3J0N2RmZGVhOTYtZGM0Ni00MzU1LTgwNzMtYWU3Y2MwMGU0NWYxXzM3EgxMYWlzYSBWZXJldGlqRgo2c3VnZ2VzdElkSW1wb3J0N2RmZGVhOTYtZGM0Ni00MzU1LTgwNzMtYWU3Y2MwMGU0NWYxXzczEgxMYWlzYSBWZXJldGlqRgo2c3VnZ2VzdElkSW1wb3J0N2RmZGVhOTYtZGM0Ni00MzU1LTgwNzMtYWU3Y2MwMGU0NWYxXzE2EgxMYWlzYSBWZXJldGlqRgo2c3VnZ2VzdElkSW1wb3J0N2RmZGVhOTYtZGM0Ni00MzU1LTgwNzMtYWU3Y2MwMGU0NWYxXzgwEgxMYWlzYSBWZXJldGlqRgo2c3VnZ2VzdElkSW1wb3J0N2RmZGVhOTYtZGM0Ni00MzU1LTgwNzMtYWU3Y2MwMGU0NWYxXzY2EgxMYWlzYSBWZXJldGlqRgo2c3VnZ2VzdElkSW1wb3J0N2RmZGVhOTYtZGM0Ni00MzU1LTgwNzMtYWU3Y2MwMGU0NWYxXzE4EgxMYWlzYSBWZXJldGlqRQo1c3VnZ2VzdElkSW1wb3J0N2RmZGVhOTYtZGM0Ni00MzU1LTgwNzMtYWU3Y2MwMGU0NWYxXzESDExhaXNhIFZlcmV0aWpGCjZzdWdnZXN0SWRJbXBvcnQ3ZGZkZWE5Ni1kYzQ2LTQzNTUtODA3My1hZTdjYzAwZTQ1ZjFfNTQSDExhaXNhIFZlcmV0aWpGCjZzdWdnZXN0SWRJbXBvcnQ3ZGZkZWE5Ni1kYzQ2LTQzNTUtODA3My1hZTdjYzAwZTQ1ZjFfMzESDExhaXNhIFZlcmV0aWpGCjZzdWdnZXN0SWRJbXBvcnQ3ZGZkZWE5Ni1kYzQ2LTQzNTUtODA3My1hZTdjYzAwZTQ1ZjFfNDUSDExhaXNhIFZlcmV0aWpGCjZzdWdnZXN0SWRJbXBvcnQ3ZGZkZWE5Ni1kYzQ2LTQzNTUtODA3My1hZTdjYzAwZTQ1ZjFfNjcSDExhaXNhIFZlcmV0aWpGCjZzdWdnZXN0SWRJbXBvcnQ3ZGZkZWE5Ni1kYzQ2LTQzNTUtODA3My1hZTdjYzAwZTQ1ZjFfMTESDExhaXNhIFZlcmV0aWpGCjZzdWdnZXN0SWRJbXBvcnQ3ZGZkZWE5Ni1kYzQ2LTQzNTUtODA3My1hZTdjYzAwZTQ1ZjFfNDkSDExhaXNhIFZlcmV0aWpGCjZzdWdnZXN0SWRJbXBvcnQ3ZGZkZWE5Ni1kYzQ2LTQzNTUtODA3My1hZTdjYzAwZTQ1ZjFfNzUSDExhaXNhIFZlcmV0aWpGCjZzdWdnZXN0SWRJbXBvcnQ3ZGZkZWE5Ni1kYzQ2LTQzNTUtODA3My1hZTdjYzAwZTQ1ZjFfMTMSDExhaXNhIFZlcmV0aWpFCjVzdWdnZXN0SWRJbXBvcnQ3ZGZkZWE5Ni1kYzQ2LTQzNTUtODA3My1hZTdjYzAwZTQ1ZjFfNhIMTGFpc2EgVmVyZXRpakUKNXN1Z2dlc3RJZEltcG9ydDdkZmRlYTk2LWRjNDYtNDM1NS04MDczLWFlN2NjMDBlNDVmMV80EgxMYWlzYSBWZXJldGlyITFpdXhSNmpscDBDTFFoX0RvUkxXY1dnUHZFaVh1M3hIbA==</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2025-01-24T15:29:13Z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FD7ACCA6-6D7F-460D-B6B0-9054B66E6095}"/>
</file>

<file path=customXML/itemProps3.xml><?xml version="1.0" encoding="utf-8"?>
<ds:datastoreItem xmlns:ds="http://schemas.openxmlformats.org/officeDocument/2006/customXml" ds:itemID="{9722F108-61F4-4A7F-99ED-D58AB50F522C}"/>
</file>

<file path=customXML/itemProps4.xml><?xml version="1.0" encoding="utf-8"?>
<ds:datastoreItem xmlns:ds="http://schemas.openxmlformats.org/officeDocument/2006/customXml" ds:itemID="{9DA35414-E090-481E-A2A7-041F317B1E1C}"/>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OPD</dc:creator>
  <dcterms:created xsi:type="dcterms:W3CDTF">2025-01-24T05:04:00Z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