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CAA22" w14:textId="77777777" w:rsidR="0094520E" w:rsidRPr="005B067D" w:rsidRDefault="0094520E" w:rsidP="00167AF5">
      <w:pPr>
        <w:spacing w:before="120" w:line="276" w:lineRule="auto"/>
        <w:jc w:val="center"/>
        <w:rPr>
          <w:rFonts w:ascii="Arial" w:eastAsia="Times New Roman" w:hAnsi="Arial"/>
          <w:sz w:val="72"/>
          <w:szCs w:val="72"/>
        </w:rPr>
      </w:pPr>
    </w:p>
    <w:p w14:paraId="10D8C2A3" w14:textId="77777777" w:rsidR="005B067D" w:rsidRPr="005B067D" w:rsidRDefault="005B067D" w:rsidP="00167AF5">
      <w:pPr>
        <w:spacing w:before="120" w:line="276" w:lineRule="auto"/>
        <w:jc w:val="center"/>
        <w:rPr>
          <w:rFonts w:ascii="Arial" w:eastAsia="Times New Roman" w:hAnsi="Arial"/>
          <w:sz w:val="72"/>
          <w:szCs w:val="72"/>
        </w:rPr>
      </w:pPr>
    </w:p>
    <w:p w14:paraId="6B9587F5" w14:textId="7C93CF69" w:rsidR="00C67D86" w:rsidRDefault="00167AF5" w:rsidP="00167AF5">
      <w:pPr>
        <w:spacing w:before="120" w:line="276" w:lineRule="auto"/>
        <w:jc w:val="center"/>
        <w:rPr>
          <w:rFonts w:ascii="Arial" w:eastAsia="Times New Roman" w:hAnsi="Arial"/>
          <w:sz w:val="44"/>
          <w:szCs w:val="44"/>
        </w:rPr>
      </w:pPr>
      <w:r w:rsidRPr="005B067D">
        <w:rPr>
          <w:rFonts w:ascii="Arial" w:eastAsia="Times New Roman" w:hAnsi="Arial"/>
          <w:sz w:val="72"/>
          <w:szCs w:val="72"/>
        </w:rPr>
        <w:t>SUBMISSION</w:t>
      </w:r>
      <w:r w:rsidRPr="005B067D">
        <w:rPr>
          <w:rFonts w:ascii="Arial" w:eastAsia="Times New Roman" w:hAnsi="Arial"/>
          <w:sz w:val="72"/>
          <w:szCs w:val="72"/>
        </w:rPr>
        <w:br/>
      </w:r>
      <w:r w:rsidR="00C67D86">
        <w:rPr>
          <w:rFonts w:ascii="Arial" w:eastAsia="Times New Roman" w:hAnsi="Arial"/>
          <w:sz w:val="44"/>
          <w:szCs w:val="44"/>
        </w:rPr>
        <w:t>of the</w:t>
      </w:r>
      <w:r w:rsidR="000E7B03">
        <w:rPr>
          <w:rFonts w:ascii="Arial" w:eastAsia="Times New Roman" w:hAnsi="Arial"/>
          <w:sz w:val="44"/>
          <w:szCs w:val="44"/>
        </w:rPr>
        <w:t xml:space="preserve"> </w:t>
      </w:r>
      <w:r w:rsidR="00C67D86">
        <w:rPr>
          <w:rFonts w:ascii="Arial" w:eastAsia="Times New Roman" w:hAnsi="Arial"/>
          <w:sz w:val="44"/>
          <w:szCs w:val="44"/>
        </w:rPr>
        <w:t>Equality Council</w:t>
      </w:r>
    </w:p>
    <w:p w14:paraId="2D4EF730" w14:textId="4D88ECF3" w:rsidR="00167AF5" w:rsidRPr="005B067D" w:rsidRDefault="000E7B03" w:rsidP="00167AF5">
      <w:pPr>
        <w:spacing w:before="120" w:line="276" w:lineRule="auto"/>
        <w:jc w:val="center"/>
        <w:rPr>
          <w:rFonts w:ascii="Arial" w:eastAsia="Times New Roman" w:hAnsi="Arial"/>
          <w:sz w:val="44"/>
          <w:szCs w:val="44"/>
        </w:rPr>
      </w:pPr>
      <w:r>
        <w:rPr>
          <w:rFonts w:ascii="Arial" w:eastAsia="Times New Roman" w:hAnsi="Arial"/>
          <w:sz w:val="44"/>
          <w:szCs w:val="44"/>
        </w:rPr>
        <w:t>for the examination of the country report</w:t>
      </w:r>
      <w:r>
        <w:rPr>
          <w:rFonts w:ascii="Arial" w:eastAsia="Times New Roman" w:hAnsi="Arial"/>
          <w:sz w:val="44"/>
          <w:szCs w:val="44"/>
        </w:rPr>
        <w:br/>
        <w:t>of the Republic of Moldova</w:t>
      </w:r>
      <w:r w:rsidR="00167AF5" w:rsidRPr="005B067D">
        <w:rPr>
          <w:rFonts w:ascii="Arial" w:eastAsia="Times New Roman" w:hAnsi="Arial"/>
          <w:sz w:val="44"/>
          <w:szCs w:val="44"/>
        </w:rPr>
        <w:br/>
        <w:t>for the 1</w:t>
      </w:r>
      <w:r w:rsidR="004C2C3E" w:rsidRPr="005B067D">
        <w:rPr>
          <w:rFonts w:ascii="Arial" w:eastAsia="Times New Roman" w:hAnsi="Arial"/>
          <w:sz w:val="44"/>
          <w:szCs w:val="44"/>
        </w:rPr>
        <w:t>45</w:t>
      </w:r>
      <w:r w:rsidR="00167AF5" w:rsidRPr="005B067D">
        <w:rPr>
          <w:rFonts w:ascii="Arial" w:eastAsia="Times New Roman" w:hAnsi="Arial"/>
          <w:sz w:val="44"/>
          <w:szCs w:val="44"/>
          <w:vertAlign w:val="superscript"/>
        </w:rPr>
        <w:t>th</w:t>
      </w:r>
      <w:r w:rsidR="00167AF5" w:rsidRPr="005B067D">
        <w:rPr>
          <w:rFonts w:ascii="Arial" w:eastAsia="Times New Roman" w:hAnsi="Arial"/>
          <w:sz w:val="44"/>
          <w:szCs w:val="44"/>
        </w:rPr>
        <w:t xml:space="preserve"> session</w:t>
      </w:r>
      <w:r w:rsidR="00167AF5" w:rsidRPr="005B067D">
        <w:rPr>
          <w:rFonts w:ascii="Arial" w:eastAsia="Times New Roman" w:hAnsi="Arial"/>
          <w:sz w:val="44"/>
          <w:szCs w:val="44"/>
        </w:rPr>
        <w:br/>
        <w:t>of the Human Rights Committee</w:t>
      </w:r>
      <w:r w:rsidR="00167AF5" w:rsidRPr="005B067D">
        <w:rPr>
          <w:rFonts w:ascii="Arial" w:eastAsia="Times New Roman" w:hAnsi="Arial"/>
          <w:sz w:val="44"/>
          <w:szCs w:val="44"/>
        </w:rPr>
        <w:br/>
      </w:r>
    </w:p>
    <w:p w14:paraId="496DC620" w14:textId="77777777" w:rsidR="00167AF5" w:rsidRPr="005B067D" w:rsidRDefault="00167AF5" w:rsidP="00167AF5">
      <w:pPr>
        <w:spacing w:before="120" w:line="276" w:lineRule="auto"/>
        <w:jc w:val="center"/>
        <w:rPr>
          <w:rFonts w:ascii="Arial" w:eastAsia="Times New Roman" w:hAnsi="Arial"/>
        </w:rPr>
      </w:pPr>
    </w:p>
    <w:p w14:paraId="1356A3BA" w14:textId="77777777" w:rsidR="00167AF5" w:rsidRPr="005B067D" w:rsidRDefault="00167AF5" w:rsidP="00167AF5">
      <w:pPr>
        <w:spacing w:before="120" w:line="276" w:lineRule="auto"/>
        <w:jc w:val="center"/>
        <w:rPr>
          <w:rFonts w:ascii="Arial" w:eastAsia="Times New Roman" w:hAnsi="Arial"/>
        </w:rPr>
      </w:pPr>
    </w:p>
    <w:p w14:paraId="7DD3D1D6" w14:textId="77777777" w:rsidR="00167AF5" w:rsidRPr="005B067D" w:rsidRDefault="00167AF5" w:rsidP="00167AF5">
      <w:pPr>
        <w:spacing w:before="120" w:line="276" w:lineRule="auto"/>
        <w:jc w:val="center"/>
        <w:rPr>
          <w:rFonts w:ascii="Arial" w:eastAsia="Times New Roman" w:hAnsi="Arial"/>
        </w:rPr>
      </w:pPr>
    </w:p>
    <w:p w14:paraId="696D87D2" w14:textId="77777777" w:rsidR="00167AF5" w:rsidRPr="005B067D" w:rsidRDefault="00167AF5" w:rsidP="00167AF5">
      <w:pPr>
        <w:spacing w:before="120" w:line="276" w:lineRule="auto"/>
        <w:jc w:val="center"/>
        <w:rPr>
          <w:rFonts w:ascii="Arial" w:eastAsia="Times New Roman" w:hAnsi="Arial"/>
          <w:sz w:val="23"/>
        </w:rPr>
      </w:pPr>
    </w:p>
    <w:p w14:paraId="2A0081FF" w14:textId="77777777" w:rsidR="00167AF5" w:rsidRPr="005B067D" w:rsidRDefault="00167AF5" w:rsidP="00167AF5">
      <w:pPr>
        <w:spacing w:before="120" w:line="276" w:lineRule="auto"/>
        <w:jc w:val="both"/>
        <w:rPr>
          <w:rFonts w:ascii="Arial" w:eastAsia="Times New Roman" w:hAnsi="Arial"/>
          <w:sz w:val="22"/>
          <w:szCs w:val="22"/>
        </w:rPr>
      </w:pPr>
      <w:bookmarkStart w:id="0" w:name="page2"/>
      <w:bookmarkEnd w:id="0"/>
      <w:r w:rsidRPr="005B067D">
        <w:rPr>
          <w:rFonts w:ascii="Arial" w:eastAsia="Times New Roman" w:hAnsi="Arial"/>
          <w:sz w:val="22"/>
          <w:szCs w:val="22"/>
        </w:rPr>
        <w:br w:type="page"/>
      </w:r>
    </w:p>
    <w:p w14:paraId="4868461E" w14:textId="77777777" w:rsidR="002424EE" w:rsidRDefault="002424EE" w:rsidP="00167AF5">
      <w:pPr>
        <w:spacing w:before="120" w:line="276" w:lineRule="auto"/>
        <w:jc w:val="both"/>
        <w:rPr>
          <w:rFonts w:ascii="Arial" w:eastAsia="Times New Roman" w:hAnsi="Arial"/>
          <w:sz w:val="22"/>
          <w:szCs w:val="22"/>
        </w:rPr>
      </w:pPr>
    </w:p>
    <w:p w14:paraId="022C85A5" w14:textId="5064DC67" w:rsidR="005B067D" w:rsidRPr="005B067D" w:rsidRDefault="00167AF5" w:rsidP="00167AF5">
      <w:pPr>
        <w:spacing w:before="120" w:line="276" w:lineRule="auto"/>
        <w:jc w:val="both"/>
        <w:rPr>
          <w:rFonts w:ascii="Arial" w:eastAsia="Times New Roman" w:hAnsi="Arial"/>
          <w:sz w:val="22"/>
          <w:szCs w:val="22"/>
        </w:rPr>
      </w:pPr>
      <w:r w:rsidRPr="005B067D">
        <w:rPr>
          <w:rFonts w:ascii="Arial" w:eastAsia="Times New Roman" w:hAnsi="Arial"/>
          <w:sz w:val="22"/>
          <w:szCs w:val="22"/>
        </w:rPr>
        <w:t xml:space="preserve">The Equality Council is a national anti-discrimination enforcement body </w:t>
      </w:r>
      <w:r w:rsidR="005B067D" w:rsidRPr="005B067D">
        <w:rPr>
          <w:rFonts w:ascii="Arial" w:eastAsia="Times New Roman" w:hAnsi="Arial"/>
          <w:sz w:val="22"/>
          <w:szCs w:val="22"/>
        </w:rPr>
        <w:t>of</w:t>
      </w:r>
      <w:r w:rsidRPr="005B067D">
        <w:rPr>
          <w:rFonts w:ascii="Arial" w:eastAsia="Times New Roman" w:hAnsi="Arial"/>
          <w:sz w:val="22"/>
          <w:szCs w:val="22"/>
        </w:rPr>
        <w:t xml:space="preserve"> the Republic of Mol</w:t>
      </w:r>
      <w:r w:rsidR="005B067D" w:rsidRPr="005B067D">
        <w:rPr>
          <w:rFonts w:ascii="Arial" w:eastAsia="Times New Roman" w:hAnsi="Arial"/>
          <w:sz w:val="22"/>
          <w:szCs w:val="22"/>
        </w:rPr>
        <w:t>dova with quasi-judicial powers. It</w:t>
      </w:r>
      <w:r w:rsidRPr="005B067D">
        <w:rPr>
          <w:rFonts w:ascii="Arial" w:eastAsia="Times New Roman" w:hAnsi="Arial"/>
          <w:sz w:val="22"/>
          <w:szCs w:val="22"/>
        </w:rPr>
        <w:t xml:space="preserve"> started its activity on 31.07.2013 </w:t>
      </w:r>
      <w:r w:rsidR="00FF3308" w:rsidRPr="005B067D">
        <w:rPr>
          <w:rFonts w:ascii="Arial" w:eastAsia="Times New Roman" w:hAnsi="Arial"/>
          <w:sz w:val="22"/>
          <w:szCs w:val="22"/>
        </w:rPr>
        <w:t>based on</w:t>
      </w:r>
      <w:r w:rsidRPr="005B067D">
        <w:rPr>
          <w:rFonts w:ascii="Arial" w:eastAsia="Times New Roman" w:hAnsi="Arial"/>
          <w:sz w:val="22"/>
          <w:szCs w:val="22"/>
        </w:rPr>
        <w:t xml:space="preserve"> the Law on Ensuring Equality no. 121 of 25.05.2012. The mandate of the Council generally consists </w:t>
      </w:r>
      <w:r w:rsidR="005B067D" w:rsidRPr="005B067D">
        <w:rPr>
          <w:rFonts w:ascii="Arial" w:eastAsia="Times New Roman" w:hAnsi="Arial"/>
          <w:sz w:val="22"/>
          <w:szCs w:val="22"/>
        </w:rPr>
        <w:t>of the following:</w:t>
      </w:r>
    </w:p>
    <w:p w14:paraId="2B981142" w14:textId="1162D2D0" w:rsidR="005B067D" w:rsidRPr="005B067D" w:rsidRDefault="00167AF5" w:rsidP="005B067D">
      <w:pPr>
        <w:pStyle w:val="ListParagraph"/>
        <w:numPr>
          <w:ilvl w:val="0"/>
          <w:numId w:val="19"/>
        </w:numPr>
        <w:spacing w:before="120" w:line="276" w:lineRule="auto"/>
        <w:jc w:val="both"/>
        <w:rPr>
          <w:rFonts w:ascii="Arial" w:hAnsi="Arial"/>
          <w:sz w:val="22"/>
          <w:szCs w:val="22"/>
          <w:lang w:val="en-US"/>
        </w:rPr>
      </w:pPr>
      <w:r w:rsidRPr="005B067D">
        <w:rPr>
          <w:rFonts w:ascii="Arial" w:hAnsi="Arial"/>
          <w:sz w:val="22"/>
          <w:szCs w:val="22"/>
          <w:lang w:val="en-US"/>
        </w:rPr>
        <w:t>evaluation of legislation from the perspective of s</w:t>
      </w:r>
      <w:r w:rsidR="005B067D" w:rsidRPr="005B067D">
        <w:rPr>
          <w:rFonts w:ascii="Arial" w:hAnsi="Arial"/>
          <w:sz w:val="22"/>
          <w:szCs w:val="22"/>
          <w:lang w:val="en-US"/>
        </w:rPr>
        <w:t>tandards of non</w:t>
      </w:r>
      <w:r w:rsidR="00326175">
        <w:rPr>
          <w:rFonts w:ascii="Arial" w:hAnsi="Arial"/>
          <w:sz w:val="22"/>
          <w:szCs w:val="22"/>
          <w:lang w:val="en-US"/>
        </w:rPr>
        <w:t>-discrimination;</w:t>
      </w:r>
    </w:p>
    <w:p w14:paraId="626F8C28" w14:textId="5E4B1EA7" w:rsidR="005B067D" w:rsidRPr="005B067D" w:rsidRDefault="00167AF5" w:rsidP="005B067D">
      <w:pPr>
        <w:pStyle w:val="ListParagraph"/>
        <w:numPr>
          <w:ilvl w:val="0"/>
          <w:numId w:val="19"/>
        </w:numPr>
        <w:spacing w:before="120" w:line="276" w:lineRule="auto"/>
        <w:jc w:val="both"/>
        <w:rPr>
          <w:rFonts w:ascii="Arial" w:hAnsi="Arial"/>
          <w:sz w:val="22"/>
          <w:szCs w:val="22"/>
          <w:lang w:val="en-US"/>
        </w:rPr>
      </w:pPr>
      <w:r w:rsidRPr="005B067D">
        <w:rPr>
          <w:rFonts w:ascii="Arial" w:hAnsi="Arial"/>
          <w:sz w:val="22"/>
          <w:szCs w:val="22"/>
          <w:lang w:val="en-US"/>
        </w:rPr>
        <w:t>examination of the complaints about alleged acts of discrimination and establishment of offence</w:t>
      </w:r>
      <w:r w:rsidR="00326175">
        <w:rPr>
          <w:rFonts w:ascii="Arial" w:hAnsi="Arial"/>
          <w:sz w:val="22"/>
          <w:szCs w:val="22"/>
          <w:lang w:val="en-US"/>
        </w:rPr>
        <w:t>s with discrimination elements;</w:t>
      </w:r>
    </w:p>
    <w:p w14:paraId="1A997283" w14:textId="77267C30" w:rsidR="005B067D" w:rsidRPr="005B067D" w:rsidRDefault="00FF3308" w:rsidP="005B067D">
      <w:pPr>
        <w:pStyle w:val="ListParagraph"/>
        <w:numPr>
          <w:ilvl w:val="0"/>
          <w:numId w:val="19"/>
        </w:numPr>
        <w:spacing w:before="120" w:line="276" w:lineRule="auto"/>
        <w:jc w:val="both"/>
        <w:rPr>
          <w:rFonts w:ascii="Arial" w:hAnsi="Arial"/>
          <w:sz w:val="22"/>
          <w:szCs w:val="22"/>
          <w:lang w:val="en-US"/>
        </w:rPr>
      </w:pPr>
      <w:r w:rsidRPr="005B067D">
        <w:rPr>
          <w:rFonts w:ascii="Arial" w:hAnsi="Arial"/>
          <w:sz w:val="22"/>
          <w:szCs w:val="22"/>
          <w:lang w:val="en-US"/>
        </w:rPr>
        <w:t>monitoring</w:t>
      </w:r>
      <w:r w:rsidR="00167AF5" w:rsidRPr="005B067D">
        <w:rPr>
          <w:rFonts w:ascii="Arial" w:hAnsi="Arial"/>
          <w:sz w:val="22"/>
          <w:szCs w:val="22"/>
          <w:lang w:val="en-US"/>
        </w:rPr>
        <w:t xml:space="preserve"> of imple</w:t>
      </w:r>
      <w:r w:rsidR="005B067D" w:rsidRPr="005B067D">
        <w:rPr>
          <w:rFonts w:ascii="Arial" w:hAnsi="Arial"/>
          <w:sz w:val="22"/>
          <w:szCs w:val="22"/>
          <w:lang w:val="en-US"/>
        </w:rPr>
        <w:t xml:space="preserve">mentation of </w:t>
      </w:r>
      <w:r w:rsidR="005B067D">
        <w:rPr>
          <w:rFonts w:ascii="Arial" w:hAnsi="Arial"/>
          <w:sz w:val="22"/>
          <w:szCs w:val="22"/>
          <w:lang w:val="en-US"/>
        </w:rPr>
        <w:t>the legislation</w:t>
      </w:r>
      <w:r w:rsidR="005B067D" w:rsidRPr="005B067D">
        <w:rPr>
          <w:rFonts w:ascii="Arial" w:hAnsi="Arial"/>
          <w:sz w:val="22"/>
          <w:szCs w:val="22"/>
          <w:lang w:val="en-US"/>
        </w:rPr>
        <w:t xml:space="preserve"> in the field</w:t>
      </w:r>
      <w:r w:rsidR="005B067D">
        <w:rPr>
          <w:rFonts w:ascii="Arial" w:hAnsi="Arial"/>
          <w:sz w:val="22"/>
          <w:szCs w:val="22"/>
          <w:lang w:val="en-US"/>
        </w:rPr>
        <w:t xml:space="preserve"> of non-discrimination</w:t>
      </w:r>
      <w:r w:rsidR="00326175">
        <w:rPr>
          <w:rFonts w:ascii="Arial" w:hAnsi="Arial"/>
          <w:sz w:val="22"/>
          <w:szCs w:val="22"/>
          <w:lang w:val="en-US"/>
        </w:rPr>
        <w:t>;</w:t>
      </w:r>
    </w:p>
    <w:p w14:paraId="7087CD07" w14:textId="00F680FD" w:rsidR="00167AF5" w:rsidRPr="005B067D" w:rsidRDefault="00FF3308" w:rsidP="005B067D">
      <w:pPr>
        <w:pStyle w:val="ListParagraph"/>
        <w:numPr>
          <w:ilvl w:val="0"/>
          <w:numId w:val="19"/>
        </w:numPr>
        <w:spacing w:before="120" w:line="276" w:lineRule="auto"/>
        <w:jc w:val="both"/>
        <w:rPr>
          <w:rFonts w:ascii="Arial" w:hAnsi="Arial"/>
          <w:sz w:val="22"/>
          <w:szCs w:val="22"/>
          <w:lang w:val="en-US"/>
        </w:rPr>
      </w:pPr>
      <w:r w:rsidRPr="005B067D">
        <w:rPr>
          <w:rFonts w:ascii="Arial" w:hAnsi="Arial"/>
          <w:sz w:val="22"/>
          <w:szCs w:val="22"/>
          <w:lang w:val="en-US"/>
        </w:rPr>
        <w:t>raising</w:t>
      </w:r>
      <w:r w:rsidR="00167AF5" w:rsidRPr="005B067D">
        <w:rPr>
          <w:rFonts w:ascii="Arial" w:hAnsi="Arial"/>
          <w:sz w:val="22"/>
          <w:szCs w:val="22"/>
          <w:lang w:val="en-US"/>
        </w:rPr>
        <w:t xml:space="preserve"> awareness of</w:t>
      </w:r>
      <w:r w:rsidR="00015850">
        <w:rPr>
          <w:rFonts w:ascii="Arial" w:hAnsi="Arial"/>
          <w:sz w:val="22"/>
          <w:szCs w:val="22"/>
          <w:lang w:val="en-US"/>
        </w:rPr>
        <w:t xml:space="preserve"> </w:t>
      </w:r>
      <w:proofErr w:type="gramStart"/>
      <w:r w:rsidR="00015850">
        <w:rPr>
          <w:rFonts w:ascii="Arial" w:hAnsi="Arial"/>
          <w:sz w:val="22"/>
          <w:szCs w:val="22"/>
          <w:lang w:val="en-US"/>
        </w:rPr>
        <w:t>the</w:t>
      </w:r>
      <w:r w:rsidR="00167AF5" w:rsidRPr="005B067D">
        <w:rPr>
          <w:rFonts w:ascii="Arial" w:hAnsi="Arial"/>
          <w:sz w:val="22"/>
          <w:szCs w:val="22"/>
          <w:lang w:val="en-US"/>
        </w:rPr>
        <w:t xml:space="preserve"> society</w:t>
      </w:r>
      <w:proofErr w:type="gramEnd"/>
      <w:r w:rsidR="00167AF5" w:rsidRPr="005B067D">
        <w:rPr>
          <w:rFonts w:ascii="Arial" w:hAnsi="Arial"/>
          <w:sz w:val="22"/>
          <w:szCs w:val="22"/>
          <w:lang w:val="en-US"/>
        </w:rPr>
        <w:t xml:space="preserve"> in view of rooting out of all forms of discrimination</w:t>
      </w:r>
      <w:r w:rsidR="00167AF5" w:rsidRPr="005B067D">
        <w:rPr>
          <w:vertAlign w:val="superscript"/>
          <w:lang w:val="en-US"/>
        </w:rPr>
        <w:footnoteReference w:id="1"/>
      </w:r>
      <w:r w:rsidR="00167AF5" w:rsidRPr="005B067D">
        <w:rPr>
          <w:rFonts w:ascii="Arial" w:hAnsi="Arial"/>
          <w:sz w:val="22"/>
          <w:szCs w:val="22"/>
          <w:lang w:val="en-US"/>
        </w:rPr>
        <w:t>.</w:t>
      </w:r>
    </w:p>
    <w:p w14:paraId="24D18AFE" w14:textId="77777777" w:rsidR="00167AF5" w:rsidRPr="005B067D" w:rsidRDefault="00167AF5" w:rsidP="00167AF5">
      <w:pPr>
        <w:spacing w:before="120" w:line="276" w:lineRule="auto"/>
        <w:jc w:val="both"/>
        <w:rPr>
          <w:rFonts w:ascii="Arial" w:eastAsia="Times New Roman" w:hAnsi="Arial"/>
          <w:sz w:val="22"/>
          <w:szCs w:val="22"/>
        </w:rPr>
      </w:pPr>
    </w:p>
    <w:p w14:paraId="15CDF915" w14:textId="6BE0A11D" w:rsidR="00167AF5" w:rsidRPr="005B067D" w:rsidRDefault="00326175" w:rsidP="00167AF5">
      <w:pPr>
        <w:spacing w:before="120" w:line="276" w:lineRule="auto"/>
        <w:jc w:val="both"/>
        <w:rPr>
          <w:rFonts w:ascii="Arial" w:eastAsia="Times New Roman" w:hAnsi="Arial"/>
          <w:sz w:val="22"/>
          <w:szCs w:val="22"/>
        </w:rPr>
      </w:pPr>
      <w:r>
        <w:rPr>
          <w:rFonts w:ascii="Arial" w:eastAsia="Times New Roman" w:hAnsi="Arial"/>
          <w:sz w:val="22"/>
          <w:szCs w:val="22"/>
        </w:rPr>
        <w:t>This</w:t>
      </w:r>
      <w:r w:rsidR="00167AF5" w:rsidRPr="005B067D">
        <w:rPr>
          <w:rFonts w:ascii="Arial" w:eastAsia="Times New Roman" w:hAnsi="Arial"/>
          <w:sz w:val="22"/>
          <w:szCs w:val="22"/>
        </w:rPr>
        <w:t xml:space="preserve"> Submission can be published on the Human Rights Committee’s website. </w:t>
      </w:r>
    </w:p>
    <w:p w14:paraId="58B91B9B" w14:textId="77777777" w:rsidR="002424EE" w:rsidRDefault="002424EE" w:rsidP="00167AF5">
      <w:pPr>
        <w:spacing w:before="120" w:line="276" w:lineRule="auto"/>
        <w:jc w:val="both"/>
        <w:rPr>
          <w:rFonts w:ascii="Arial" w:eastAsia="Times New Roman" w:hAnsi="Arial"/>
          <w:sz w:val="22"/>
          <w:szCs w:val="22"/>
        </w:rPr>
      </w:pPr>
    </w:p>
    <w:p w14:paraId="0E9C4480" w14:textId="77777777" w:rsidR="00B018C9" w:rsidRPr="005B067D" w:rsidRDefault="00B018C9" w:rsidP="00167AF5">
      <w:pPr>
        <w:spacing w:before="120" w:line="276" w:lineRule="auto"/>
        <w:jc w:val="both"/>
        <w:rPr>
          <w:rFonts w:ascii="Arial" w:eastAsia="Times New Roman" w:hAnsi="Arial"/>
          <w:sz w:val="22"/>
          <w:szCs w:val="22"/>
        </w:rPr>
      </w:pPr>
    </w:p>
    <w:p w14:paraId="4453686A" w14:textId="77777777" w:rsidR="00167AF5" w:rsidRPr="005B067D" w:rsidRDefault="00167AF5" w:rsidP="00167AF5">
      <w:pPr>
        <w:numPr>
          <w:ilvl w:val="0"/>
          <w:numId w:val="7"/>
        </w:numPr>
        <w:spacing w:before="120" w:line="276" w:lineRule="auto"/>
        <w:ind w:left="426" w:hanging="426"/>
        <w:jc w:val="both"/>
        <w:rPr>
          <w:rFonts w:ascii="Arial" w:eastAsia="Times New Roman" w:hAnsi="Arial"/>
          <w:b/>
          <w:sz w:val="22"/>
          <w:szCs w:val="22"/>
        </w:rPr>
      </w:pPr>
      <w:r w:rsidRPr="005B067D">
        <w:rPr>
          <w:rFonts w:ascii="Arial" w:eastAsia="Times New Roman" w:hAnsi="Arial"/>
          <w:b/>
          <w:sz w:val="22"/>
          <w:szCs w:val="22"/>
        </w:rPr>
        <w:t>Non-discrimination (Art. 2 and 26)</w:t>
      </w:r>
    </w:p>
    <w:p w14:paraId="4ED98CAA" w14:textId="42DA89B2" w:rsidR="00167AF5" w:rsidRPr="005B067D" w:rsidRDefault="0094520E" w:rsidP="00D926E0">
      <w:pPr>
        <w:numPr>
          <w:ilvl w:val="0"/>
          <w:numId w:val="8"/>
        </w:numPr>
        <w:spacing w:before="120" w:line="276" w:lineRule="auto"/>
        <w:ind w:left="709"/>
        <w:jc w:val="both"/>
        <w:rPr>
          <w:rFonts w:ascii="Arial" w:eastAsia="Times New Roman" w:hAnsi="Arial"/>
          <w:sz w:val="22"/>
          <w:szCs w:val="22"/>
        </w:rPr>
      </w:pPr>
      <w:r w:rsidRPr="005B067D">
        <w:rPr>
          <w:rFonts w:ascii="Arial" w:eastAsia="Times New Roman" w:hAnsi="Arial"/>
          <w:sz w:val="22"/>
          <w:szCs w:val="22"/>
        </w:rPr>
        <w:t xml:space="preserve">Following the efforts made over the years to improve the regulatory framework on non-discrimination and ensuring equality, in February 2023, </w:t>
      </w:r>
      <w:r w:rsidR="00FF3308" w:rsidRPr="005B067D">
        <w:rPr>
          <w:rFonts w:ascii="Arial" w:eastAsia="Times New Roman" w:hAnsi="Arial"/>
          <w:sz w:val="22"/>
          <w:szCs w:val="22"/>
        </w:rPr>
        <w:t>Parliament</w:t>
      </w:r>
      <w:r w:rsidRPr="005B067D">
        <w:rPr>
          <w:rFonts w:ascii="Arial" w:eastAsia="Times New Roman" w:hAnsi="Arial"/>
          <w:sz w:val="22"/>
          <w:szCs w:val="22"/>
        </w:rPr>
        <w:t xml:space="preserve"> approved in final reading the law by which the institutional capacities of the Council were strengthened. </w:t>
      </w:r>
      <w:r w:rsidR="002964EA" w:rsidRPr="005B067D">
        <w:rPr>
          <w:rFonts w:ascii="Arial" w:eastAsia="Times New Roman" w:hAnsi="Arial"/>
          <w:sz w:val="22"/>
          <w:szCs w:val="22"/>
        </w:rPr>
        <w:t>The same law raised the number of staff</w:t>
      </w:r>
      <w:r w:rsidRPr="005B067D">
        <w:rPr>
          <w:rFonts w:ascii="Arial" w:eastAsia="Times New Roman" w:hAnsi="Arial"/>
          <w:sz w:val="22"/>
          <w:szCs w:val="22"/>
        </w:rPr>
        <w:t xml:space="preserve"> raised by 13 units.</w:t>
      </w:r>
      <w:r w:rsidR="00167AF5" w:rsidRPr="005B067D">
        <w:rPr>
          <w:rFonts w:ascii="Arial" w:eastAsia="Times New Roman" w:hAnsi="Arial"/>
          <w:sz w:val="22"/>
          <w:szCs w:val="22"/>
        </w:rPr>
        <w:t xml:space="preserve"> </w:t>
      </w:r>
      <w:r w:rsidR="00D926E0" w:rsidRPr="005B067D">
        <w:rPr>
          <w:rFonts w:ascii="Arial" w:eastAsia="Times New Roman" w:hAnsi="Arial"/>
          <w:sz w:val="22"/>
          <w:szCs w:val="22"/>
        </w:rPr>
        <w:t>However, the Council faces an acute shortage of staff due to its salaries, which are lower than those in ministries and other public authorities p</w:t>
      </w:r>
      <w:r w:rsidR="00015850">
        <w:rPr>
          <w:rFonts w:ascii="Arial" w:eastAsia="Times New Roman" w:hAnsi="Arial"/>
          <w:sz w:val="22"/>
          <w:szCs w:val="22"/>
        </w:rPr>
        <w:t>erforming comparable activities. F</w:t>
      </w:r>
      <w:r w:rsidR="00D926E0" w:rsidRPr="005B067D">
        <w:rPr>
          <w:rFonts w:ascii="Arial" w:eastAsia="Times New Roman" w:hAnsi="Arial"/>
          <w:sz w:val="22"/>
          <w:szCs w:val="22"/>
        </w:rPr>
        <w:t>or example,</w:t>
      </w:r>
      <w:r w:rsidR="00015850">
        <w:rPr>
          <w:rFonts w:ascii="Arial" w:eastAsia="Times New Roman" w:hAnsi="Arial"/>
          <w:sz w:val="22"/>
          <w:szCs w:val="22"/>
        </w:rPr>
        <w:t xml:space="preserve"> comparable institutions, such as</w:t>
      </w:r>
      <w:r w:rsidR="00D926E0" w:rsidRPr="005B067D">
        <w:rPr>
          <w:rFonts w:ascii="Arial" w:eastAsia="Times New Roman" w:hAnsi="Arial"/>
          <w:sz w:val="22"/>
          <w:szCs w:val="22"/>
        </w:rPr>
        <w:t xml:space="preserve"> the Office of the Ombudsman, the Audiovisual Council, or the Competition Council, have either been given a higher reference value or been awarded an additional bonus that has raised their salaries by several levels. </w:t>
      </w:r>
      <w:r w:rsidRPr="005B067D">
        <w:rPr>
          <w:rFonts w:ascii="Arial" w:eastAsia="Times New Roman" w:hAnsi="Arial"/>
          <w:sz w:val="22"/>
          <w:szCs w:val="22"/>
        </w:rPr>
        <w:t xml:space="preserve">For this reason, the job within the Council is not attractive, and </w:t>
      </w:r>
      <w:r w:rsidR="00FF3308" w:rsidRPr="005B067D">
        <w:rPr>
          <w:rFonts w:ascii="Arial" w:eastAsia="Times New Roman" w:hAnsi="Arial"/>
          <w:sz w:val="22"/>
          <w:szCs w:val="22"/>
        </w:rPr>
        <w:t>now</w:t>
      </w:r>
      <w:r w:rsidRPr="005B067D">
        <w:rPr>
          <w:rFonts w:ascii="Arial" w:eastAsia="Times New Roman" w:hAnsi="Arial"/>
          <w:sz w:val="22"/>
          <w:szCs w:val="22"/>
        </w:rPr>
        <w:t xml:space="preserve"> 18 of the 33 posts in the Council are vacant, i.e., it cannot be said that the Council has sufficient financial and human resources.</w:t>
      </w:r>
    </w:p>
    <w:p w14:paraId="1E04B76B" w14:textId="38F35EE0" w:rsidR="0094520E" w:rsidRPr="005B067D" w:rsidRDefault="0094520E" w:rsidP="0094520E">
      <w:pPr>
        <w:numPr>
          <w:ilvl w:val="0"/>
          <w:numId w:val="8"/>
        </w:numPr>
        <w:spacing w:before="120" w:line="276" w:lineRule="auto"/>
        <w:ind w:left="709"/>
        <w:jc w:val="both"/>
        <w:rPr>
          <w:rFonts w:ascii="Arial" w:eastAsia="Times New Roman" w:hAnsi="Arial"/>
          <w:sz w:val="22"/>
          <w:szCs w:val="22"/>
        </w:rPr>
      </w:pPr>
      <w:r w:rsidRPr="005B067D">
        <w:rPr>
          <w:rFonts w:ascii="Arial" w:eastAsia="Times New Roman" w:hAnsi="Arial"/>
          <w:sz w:val="22"/>
          <w:szCs w:val="22"/>
        </w:rPr>
        <w:t>The Council was also denied the power to refer the matter to the Constitutional Court, although the Council argued that this power could add value to the process of improving legislation by stopping the applicability of legislation containing discriminatory provisions.</w:t>
      </w:r>
    </w:p>
    <w:p w14:paraId="0358EA28" w14:textId="2A6BBC8F" w:rsidR="0094520E" w:rsidRPr="00C35A65" w:rsidRDefault="00FF3308" w:rsidP="0094520E">
      <w:pPr>
        <w:numPr>
          <w:ilvl w:val="0"/>
          <w:numId w:val="8"/>
        </w:numPr>
        <w:spacing w:before="120" w:line="276" w:lineRule="auto"/>
        <w:ind w:left="709"/>
        <w:jc w:val="both"/>
        <w:rPr>
          <w:rFonts w:ascii="Arial" w:eastAsia="Times New Roman" w:hAnsi="Arial"/>
          <w:sz w:val="22"/>
          <w:szCs w:val="22"/>
        </w:rPr>
      </w:pPr>
      <w:r w:rsidRPr="005B067D">
        <w:rPr>
          <w:rFonts w:ascii="Arial" w:eastAsia="Times New Roman" w:hAnsi="Arial"/>
          <w:sz w:val="22"/>
          <w:szCs w:val="22"/>
        </w:rPr>
        <w:t>Regarding</w:t>
      </w:r>
      <w:r w:rsidR="0094520E" w:rsidRPr="005B067D">
        <w:rPr>
          <w:rFonts w:ascii="Arial" w:eastAsia="Times New Roman" w:hAnsi="Arial"/>
          <w:sz w:val="22"/>
          <w:szCs w:val="22"/>
        </w:rPr>
        <w:t xml:space="preserve"> the right of the institution to have adequate resources and to manage them independently, according to Law no. 298/2012 on the activity of the Equality Council, the Council is financed from the state budget within the limits of the budgetary allo</w:t>
      </w:r>
      <w:r w:rsidR="00ED0D1B">
        <w:rPr>
          <w:rFonts w:ascii="Arial" w:eastAsia="Times New Roman" w:hAnsi="Arial"/>
          <w:sz w:val="22"/>
          <w:szCs w:val="22"/>
        </w:rPr>
        <w:t>cations approved by the annual Budget L</w:t>
      </w:r>
      <w:r w:rsidR="0094520E" w:rsidRPr="005B067D">
        <w:rPr>
          <w:rFonts w:ascii="Arial" w:eastAsia="Times New Roman" w:hAnsi="Arial"/>
          <w:sz w:val="22"/>
          <w:szCs w:val="22"/>
        </w:rPr>
        <w:t xml:space="preserve">aw. Thus, the budget of the Council is elaborated, approved and administered according to the principles, rules and procedures stipulated by the Law on public finances and budgetary-fiscal responsibility no.181/2014. </w:t>
      </w:r>
      <w:r w:rsidR="0094520E" w:rsidRPr="00ED0D1B">
        <w:rPr>
          <w:rFonts w:ascii="Arial" w:hAnsi="Arial" w:cs="Arial"/>
          <w:sz w:val="22"/>
          <w:szCs w:val="22"/>
        </w:rPr>
        <w:t>The Council de facto forwards the draft budget for that year to the Ministry of Finance and the Ministry of Finance decides whether to accept the proposals submitted.</w:t>
      </w:r>
      <w:r w:rsidR="00ED0D1B">
        <w:rPr>
          <w:rFonts w:ascii="Arial" w:hAnsi="Arial" w:cs="Arial"/>
          <w:sz w:val="22"/>
          <w:szCs w:val="22"/>
        </w:rPr>
        <w:t xml:space="preserve"> This de-facto procedure makes Council dependent on </w:t>
      </w:r>
      <w:proofErr w:type="gramStart"/>
      <w:r w:rsidR="00D47F8C">
        <w:rPr>
          <w:rFonts w:ascii="Arial" w:hAnsi="Arial" w:cs="Arial"/>
          <w:sz w:val="22"/>
          <w:szCs w:val="22"/>
        </w:rPr>
        <w:t xml:space="preserve">a </w:t>
      </w:r>
      <w:r w:rsidR="00C35A65">
        <w:rPr>
          <w:rFonts w:ascii="Arial" w:hAnsi="Arial" w:cs="Arial"/>
          <w:sz w:val="22"/>
          <w:szCs w:val="22"/>
        </w:rPr>
        <w:t xml:space="preserve"> ministry</w:t>
      </w:r>
      <w:proofErr w:type="gramEnd"/>
      <w:r w:rsidR="00D47F8C">
        <w:rPr>
          <w:rFonts w:ascii="Arial" w:hAnsi="Arial" w:cs="Arial"/>
          <w:sz w:val="22"/>
          <w:szCs w:val="22"/>
        </w:rPr>
        <w:t xml:space="preserve"> against which it issues decisions stating discrimination.</w:t>
      </w:r>
    </w:p>
    <w:p w14:paraId="7E8F9753" w14:textId="77777777" w:rsidR="00C35A65" w:rsidRPr="00ED0D1B" w:rsidRDefault="00C35A65" w:rsidP="00C35A65">
      <w:pPr>
        <w:spacing w:before="120" w:line="276" w:lineRule="auto"/>
        <w:ind w:left="709"/>
        <w:jc w:val="both"/>
        <w:rPr>
          <w:rFonts w:ascii="Arial" w:eastAsia="Times New Roman" w:hAnsi="Arial"/>
          <w:sz w:val="22"/>
          <w:szCs w:val="22"/>
        </w:rPr>
      </w:pPr>
    </w:p>
    <w:p w14:paraId="5177AA38" w14:textId="713187DB" w:rsidR="0094520E" w:rsidRPr="005B067D" w:rsidRDefault="0094520E" w:rsidP="0094520E">
      <w:pPr>
        <w:spacing w:before="120" w:line="276" w:lineRule="auto"/>
        <w:ind w:left="709"/>
        <w:jc w:val="both"/>
        <w:rPr>
          <w:rFonts w:ascii="Arial" w:eastAsia="Times New Roman" w:hAnsi="Arial"/>
          <w:b/>
          <w:sz w:val="22"/>
          <w:szCs w:val="22"/>
        </w:rPr>
      </w:pPr>
      <w:r w:rsidRPr="005B067D">
        <w:rPr>
          <w:rFonts w:ascii="Arial" w:eastAsia="Times New Roman" w:hAnsi="Arial"/>
          <w:b/>
          <w:sz w:val="22"/>
          <w:szCs w:val="22"/>
        </w:rPr>
        <w:t>Recommendations:</w:t>
      </w:r>
    </w:p>
    <w:p w14:paraId="7F860922" w14:textId="022D70E1" w:rsidR="0094520E" w:rsidRPr="00C35A65" w:rsidRDefault="0094520E" w:rsidP="0094520E">
      <w:pPr>
        <w:pStyle w:val="ListParagraph"/>
        <w:numPr>
          <w:ilvl w:val="0"/>
          <w:numId w:val="9"/>
        </w:numPr>
        <w:spacing w:before="120" w:line="276" w:lineRule="auto"/>
        <w:ind w:left="1134"/>
        <w:jc w:val="both"/>
        <w:rPr>
          <w:rFonts w:ascii="Arial" w:hAnsi="Arial"/>
          <w:sz w:val="22"/>
          <w:szCs w:val="22"/>
          <w:lang w:val="en-US"/>
        </w:rPr>
      </w:pPr>
      <w:r w:rsidRPr="00C35A65">
        <w:rPr>
          <w:rFonts w:ascii="Arial" w:hAnsi="Arial"/>
          <w:b/>
          <w:bCs/>
          <w:sz w:val="22"/>
          <w:szCs w:val="22"/>
          <w:lang w:val="en-US"/>
        </w:rPr>
        <w:t>Provide adequate salaries for the staff of the Equality Council.</w:t>
      </w:r>
    </w:p>
    <w:p w14:paraId="478B6B74" w14:textId="6499B7A5" w:rsidR="0094520E" w:rsidRPr="005B067D" w:rsidRDefault="0094520E" w:rsidP="0094520E">
      <w:pPr>
        <w:pStyle w:val="ListParagraph"/>
        <w:numPr>
          <w:ilvl w:val="0"/>
          <w:numId w:val="9"/>
        </w:numPr>
        <w:spacing w:before="120" w:line="276" w:lineRule="auto"/>
        <w:ind w:left="1134"/>
        <w:jc w:val="both"/>
        <w:rPr>
          <w:rFonts w:ascii="Arial" w:hAnsi="Arial"/>
          <w:b/>
          <w:bCs/>
          <w:sz w:val="22"/>
          <w:szCs w:val="22"/>
          <w:lang w:val="en-US"/>
        </w:rPr>
      </w:pPr>
      <w:r w:rsidRPr="005B067D">
        <w:rPr>
          <w:rFonts w:ascii="Arial" w:hAnsi="Arial"/>
          <w:b/>
          <w:bCs/>
          <w:sz w:val="22"/>
          <w:szCs w:val="22"/>
          <w:lang w:val="en-US"/>
        </w:rPr>
        <w:t xml:space="preserve">Ensure the independence of the Council as well as allocation of sufficient financial </w:t>
      </w:r>
      <w:r w:rsidR="00326175" w:rsidRPr="005B067D">
        <w:rPr>
          <w:rFonts w:ascii="Arial" w:hAnsi="Arial"/>
          <w:b/>
          <w:bCs/>
          <w:sz w:val="22"/>
          <w:szCs w:val="22"/>
          <w:lang w:val="en-US"/>
        </w:rPr>
        <w:t>resources, which</w:t>
      </w:r>
      <w:r w:rsidRPr="005B067D">
        <w:rPr>
          <w:rFonts w:ascii="Arial" w:hAnsi="Arial"/>
          <w:b/>
          <w:bCs/>
          <w:sz w:val="22"/>
          <w:szCs w:val="22"/>
          <w:lang w:val="en-US"/>
        </w:rPr>
        <w:t xml:space="preserve"> will give possibility to adequately carry out </w:t>
      </w:r>
      <w:r w:rsidR="00FF3308" w:rsidRPr="005B067D">
        <w:rPr>
          <w:rFonts w:ascii="Arial" w:hAnsi="Arial"/>
          <w:b/>
          <w:bCs/>
          <w:sz w:val="22"/>
          <w:szCs w:val="22"/>
          <w:lang w:val="en-US"/>
        </w:rPr>
        <w:t>activities</w:t>
      </w:r>
      <w:r w:rsidRPr="005B067D">
        <w:rPr>
          <w:rFonts w:ascii="Arial" w:hAnsi="Arial"/>
          <w:b/>
          <w:bCs/>
          <w:sz w:val="22"/>
          <w:szCs w:val="22"/>
          <w:lang w:val="en-US"/>
        </w:rPr>
        <w:t xml:space="preserve"> related to its mandate in accordance with international standards for equality bodies and international standards for national human rights institutions.</w:t>
      </w:r>
    </w:p>
    <w:p w14:paraId="26CA9821" w14:textId="46ADD642" w:rsidR="0094520E" w:rsidRPr="005B067D" w:rsidRDefault="0094520E" w:rsidP="0094520E">
      <w:pPr>
        <w:pStyle w:val="ListParagraph"/>
        <w:numPr>
          <w:ilvl w:val="0"/>
          <w:numId w:val="9"/>
        </w:numPr>
        <w:spacing w:before="120" w:line="276" w:lineRule="auto"/>
        <w:ind w:left="1134"/>
        <w:jc w:val="both"/>
        <w:rPr>
          <w:rFonts w:ascii="Arial" w:hAnsi="Arial"/>
          <w:b/>
          <w:bCs/>
          <w:sz w:val="22"/>
          <w:szCs w:val="22"/>
          <w:lang w:val="en-US"/>
        </w:rPr>
      </w:pPr>
      <w:r w:rsidRPr="005B067D">
        <w:rPr>
          <w:rFonts w:ascii="Arial" w:hAnsi="Arial"/>
          <w:b/>
          <w:bCs/>
          <w:sz w:val="22"/>
          <w:szCs w:val="22"/>
          <w:lang w:val="en-US"/>
        </w:rPr>
        <w:t>To amend legislation so to empower the Council with powers to bring cases to the Constitutional Court.</w:t>
      </w:r>
    </w:p>
    <w:p w14:paraId="0BC1DA2B" w14:textId="77777777" w:rsidR="00167AF5" w:rsidRDefault="00167AF5" w:rsidP="00167AF5">
      <w:pPr>
        <w:spacing w:before="120" w:line="276" w:lineRule="auto"/>
        <w:jc w:val="both"/>
        <w:rPr>
          <w:rFonts w:ascii="Arial" w:eastAsia="Times New Roman" w:hAnsi="Arial"/>
          <w:sz w:val="22"/>
          <w:szCs w:val="22"/>
        </w:rPr>
      </w:pPr>
    </w:p>
    <w:p w14:paraId="65AD450F" w14:textId="77777777" w:rsidR="00C35A65" w:rsidRPr="005B067D" w:rsidRDefault="00C35A65" w:rsidP="00167AF5">
      <w:pPr>
        <w:spacing w:before="120" w:line="276" w:lineRule="auto"/>
        <w:jc w:val="both"/>
        <w:rPr>
          <w:rFonts w:ascii="Arial" w:eastAsia="Times New Roman" w:hAnsi="Arial"/>
          <w:sz w:val="22"/>
          <w:szCs w:val="22"/>
        </w:rPr>
      </w:pPr>
    </w:p>
    <w:p w14:paraId="26DB55E6" w14:textId="6EABE53C" w:rsidR="00167AF5" w:rsidRPr="005B067D" w:rsidRDefault="00167AF5" w:rsidP="00167AF5">
      <w:pPr>
        <w:numPr>
          <w:ilvl w:val="0"/>
          <w:numId w:val="7"/>
        </w:numPr>
        <w:spacing w:before="120" w:line="276" w:lineRule="auto"/>
        <w:ind w:left="426" w:hanging="426"/>
        <w:jc w:val="both"/>
        <w:rPr>
          <w:rFonts w:ascii="Arial" w:eastAsia="Times New Roman" w:hAnsi="Arial"/>
          <w:b/>
          <w:sz w:val="22"/>
          <w:szCs w:val="22"/>
        </w:rPr>
      </w:pPr>
      <w:r w:rsidRPr="005B067D">
        <w:rPr>
          <w:rFonts w:ascii="Arial" w:eastAsia="Times New Roman" w:hAnsi="Arial"/>
          <w:b/>
          <w:sz w:val="22"/>
          <w:szCs w:val="22"/>
        </w:rPr>
        <w:t xml:space="preserve">Non – discrimination of transgender </w:t>
      </w:r>
      <w:r w:rsidR="00C35A65">
        <w:rPr>
          <w:rFonts w:ascii="Arial" w:eastAsia="Times New Roman" w:hAnsi="Arial"/>
          <w:b/>
          <w:sz w:val="22"/>
          <w:szCs w:val="22"/>
        </w:rPr>
        <w:t>persons</w:t>
      </w:r>
      <w:r w:rsidRPr="005B067D">
        <w:rPr>
          <w:rFonts w:ascii="Arial" w:eastAsia="Times New Roman" w:hAnsi="Arial"/>
          <w:b/>
          <w:sz w:val="22"/>
          <w:szCs w:val="22"/>
        </w:rPr>
        <w:t xml:space="preserve"> (Art. 2, 17 and 26)</w:t>
      </w:r>
    </w:p>
    <w:p w14:paraId="477B2DD3" w14:textId="77777777" w:rsidR="00167AF5" w:rsidRPr="005B067D" w:rsidRDefault="00167AF5" w:rsidP="00167AF5">
      <w:pPr>
        <w:spacing w:before="120" w:line="276" w:lineRule="auto"/>
        <w:ind w:left="426"/>
        <w:jc w:val="center"/>
        <w:rPr>
          <w:rFonts w:ascii="Arial" w:eastAsia="Times New Roman" w:hAnsi="Arial"/>
          <w:sz w:val="22"/>
          <w:szCs w:val="22"/>
        </w:rPr>
      </w:pPr>
      <w:r w:rsidRPr="005B067D">
        <w:rPr>
          <w:rFonts w:ascii="Arial" w:eastAsia="Times New Roman" w:hAnsi="Arial"/>
          <w:sz w:val="22"/>
          <w:szCs w:val="22"/>
        </w:rPr>
        <w:t>(HRC 11, 12)</w:t>
      </w:r>
    </w:p>
    <w:p w14:paraId="72D2C845" w14:textId="36C6B8FE" w:rsidR="00473555" w:rsidRPr="005B067D" w:rsidRDefault="00473555" w:rsidP="0094520E">
      <w:pPr>
        <w:numPr>
          <w:ilvl w:val="0"/>
          <w:numId w:val="8"/>
        </w:numPr>
        <w:spacing w:before="120" w:line="276" w:lineRule="auto"/>
        <w:ind w:left="709"/>
        <w:jc w:val="both"/>
        <w:rPr>
          <w:rFonts w:ascii="Arial" w:eastAsia="Times New Roman" w:hAnsi="Arial"/>
          <w:sz w:val="22"/>
          <w:szCs w:val="22"/>
        </w:rPr>
      </w:pPr>
      <w:r w:rsidRPr="005B067D">
        <w:rPr>
          <w:rFonts w:ascii="Arial" w:eastAsia="Times New Roman" w:hAnsi="Arial"/>
          <w:sz w:val="22"/>
          <w:szCs w:val="22"/>
        </w:rPr>
        <w:t>According to the Study on Perceptions and Attitudes towards Equality in the Republic of Moldova</w:t>
      </w:r>
      <w:r w:rsidRPr="005B067D">
        <w:rPr>
          <w:rStyle w:val="FootnoteReference"/>
          <w:rFonts w:ascii="Arial" w:eastAsia="Times New Roman" w:hAnsi="Arial"/>
          <w:sz w:val="22"/>
          <w:szCs w:val="22"/>
        </w:rPr>
        <w:footnoteReference w:id="2"/>
      </w:r>
      <w:r w:rsidRPr="005B067D">
        <w:rPr>
          <w:rFonts w:ascii="Arial" w:eastAsia="Times New Roman" w:hAnsi="Arial"/>
          <w:sz w:val="22"/>
          <w:szCs w:val="22"/>
        </w:rPr>
        <w:t xml:space="preserve">, </w:t>
      </w:r>
      <w:r w:rsidR="00C35A65">
        <w:rPr>
          <w:rFonts w:ascii="Arial" w:eastAsia="Times New Roman" w:hAnsi="Arial"/>
          <w:sz w:val="22"/>
          <w:szCs w:val="22"/>
        </w:rPr>
        <w:t>(4</w:t>
      </w:r>
      <w:r w:rsidR="00C35A65" w:rsidRPr="00C35A65">
        <w:rPr>
          <w:rFonts w:ascii="Arial" w:eastAsia="Times New Roman" w:hAnsi="Arial"/>
          <w:sz w:val="22"/>
          <w:szCs w:val="22"/>
          <w:vertAlign w:val="superscript"/>
        </w:rPr>
        <w:t>th</w:t>
      </w:r>
      <w:r w:rsidR="00C35A65">
        <w:rPr>
          <w:rFonts w:ascii="Arial" w:eastAsia="Times New Roman" w:hAnsi="Arial"/>
          <w:sz w:val="22"/>
          <w:szCs w:val="22"/>
        </w:rPr>
        <w:t xml:space="preserve"> edition, </w:t>
      </w:r>
      <w:r w:rsidRPr="005B067D">
        <w:rPr>
          <w:rFonts w:ascii="Arial" w:eastAsia="Times New Roman" w:hAnsi="Arial"/>
          <w:sz w:val="22"/>
          <w:szCs w:val="22"/>
        </w:rPr>
        <w:t>2024</w:t>
      </w:r>
      <w:r w:rsidR="00C35A65">
        <w:rPr>
          <w:rFonts w:ascii="Arial" w:eastAsia="Times New Roman" w:hAnsi="Arial"/>
          <w:sz w:val="22"/>
          <w:szCs w:val="22"/>
        </w:rPr>
        <w:t>)</w:t>
      </w:r>
      <w:r w:rsidRPr="005B067D">
        <w:rPr>
          <w:rFonts w:ascii="Arial" w:eastAsia="Times New Roman" w:hAnsi="Arial"/>
          <w:sz w:val="22"/>
          <w:szCs w:val="22"/>
        </w:rPr>
        <w:t>, LGBTQI+ people are</w:t>
      </w:r>
      <w:r w:rsidR="00B018C9">
        <w:rPr>
          <w:rFonts w:ascii="Arial" w:eastAsia="Times New Roman" w:hAnsi="Arial"/>
          <w:sz w:val="22"/>
          <w:szCs w:val="22"/>
        </w:rPr>
        <w:t xml:space="preserve"> the most rejected minority group</w:t>
      </w:r>
      <w:r w:rsidRPr="005B067D">
        <w:rPr>
          <w:rFonts w:ascii="Arial" w:eastAsia="Times New Roman" w:hAnsi="Arial"/>
          <w:sz w:val="22"/>
          <w:szCs w:val="22"/>
        </w:rPr>
        <w:t xml:space="preserve">. This </w:t>
      </w:r>
      <w:r w:rsidR="00B018C9">
        <w:rPr>
          <w:rFonts w:ascii="Arial" w:eastAsia="Times New Roman" w:hAnsi="Arial"/>
          <w:sz w:val="22"/>
          <w:szCs w:val="22"/>
        </w:rPr>
        <w:t>group recorded consistently big social distance</w:t>
      </w:r>
      <w:r w:rsidRPr="005B067D">
        <w:rPr>
          <w:rFonts w:ascii="Arial" w:eastAsia="Times New Roman" w:hAnsi="Arial"/>
          <w:sz w:val="22"/>
          <w:szCs w:val="22"/>
        </w:rPr>
        <w:t xml:space="preserve"> in studies conducted in 2015, 2019, and 2021. Today, only about a quarter of Moldovans would accept such a person as a neighbor. The data reveals that 54% would restrict </w:t>
      </w:r>
      <w:r w:rsidR="00B018C9">
        <w:rPr>
          <w:rFonts w:ascii="Arial" w:eastAsia="Times New Roman" w:hAnsi="Arial"/>
          <w:sz w:val="22"/>
          <w:szCs w:val="22"/>
        </w:rPr>
        <w:t xml:space="preserve">for them </w:t>
      </w:r>
      <w:r w:rsidRPr="005B067D">
        <w:rPr>
          <w:rFonts w:ascii="Arial" w:eastAsia="Times New Roman" w:hAnsi="Arial"/>
          <w:sz w:val="22"/>
          <w:szCs w:val="22"/>
        </w:rPr>
        <w:t xml:space="preserve">access to </w:t>
      </w:r>
      <w:r w:rsidR="00B018C9">
        <w:rPr>
          <w:rFonts w:ascii="Arial" w:eastAsia="Times New Roman" w:hAnsi="Arial"/>
          <w:sz w:val="22"/>
          <w:szCs w:val="22"/>
        </w:rPr>
        <w:t xml:space="preserve">the </w:t>
      </w:r>
      <w:r w:rsidRPr="005B067D">
        <w:rPr>
          <w:rFonts w:ascii="Arial" w:eastAsia="Times New Roman" w:hAnsi="Arial"/>
          <w:sz w:val="22"/>
          <w:szCs w:val="22"/>
        </w:rPr>
        <w:t xml:space="preserve">publicly available goods and services, 41% define them as a danger to society, 49% believe they should be punished, 79% believe they do not have the right to marry, 83% responded that they </w:t>
      </w:r>
      <w:r w:rsidR="00B018C9">
        <w:rPr>
          <w:rFonts w:ascii="Arial" w:eastAsia="Times New Roman" w:hAnsi="Arial"/>
          <w:sz w:val="22"/>
          <w:szCs w:val="22"/>
        </w:rPr>
        <w:t>should</w:t>
      </w:r>
      <w:r w:rsidRPr="005B067D">
        <w:rPr>
          <w:rFonts w:ascii="Arial" w:eastAsia="Times New Roman" w:hAnsi="Arial"/>
          <w:sz w:val="22"/>
          <w:szCs w:val="22"/>
        </w:rPr>
        <w:t xml:space="preserve"> not have the right to adopt children, and 84% believe they should not have the right to organize public events.</w:t>
      </w:r>
    </w:p>
    <w:p w14:paraId="3B91C4ED" w14:textId="0A6FE6FB" w:rsidR="0057573A" w:rsidRPr="00442DD5" w:rsidRDefault="0057573A" w:rsidP="00E9516E">
      <w:pPr>
        <w:numPr>
          <w:ilvl w:val="0"/>
          <w:numId w:val="8"/>
        </w:numPr>
        <w:spacing w:before="120" w:line="276" w:lineRule="auto"/>
        <w:ind w:left="709"/>
        <w:jc w:val="both"/>
        <w:rPr>
          <w:rFonts w:ascii="Arial" w:eastAsia="Times New Roman" w:hAnsi="Arial"/>
          <w:sz w:val="22"/>
          <w:szCs w:val="22"/>
        </w:rPr>
      </w:pPr>
      <w:r w:rsidRPr="00442DD5">
        <w:rPr>
          <w:rFonts w:ascii="Arial" w:eastAsia="Times New Roman" w:hAnsi="Arial"/>
          <w:sz w:val="22"/>
          <w:szCs w:val="22"/>
        </w:rPr>
        <w:t xml:space="preserve">The discrimination of lesbian, gay, bisexual, transgender and intersex persons continues to be an unresolved issue in the Republic of Moldova. On May 15, </w:t>
      </w:r>
      <w:r w:rsidR="00FF3308" w:rsidRPr="00442DD5">
        <w:rPr>
          <w:rFonts w:ascii="Arial" w:eastAsia="Times New Roman" w:hAnsi="Arial"/>
          <w:sz w:val="22"/>
          <w:szCs w:val="22"/>
        </w:rPr>
        <w:t>2025,</w:t>
      </w:r>
      <w:r w:rsidRPr="00442DD5">
        <w:rPr>
          <w:rFonts w:ascii="Arial" w:eastAsia="Times New Roman" w:hAnsi="Arial"/>
          <w:sz w:val="22"/>
          <w:szCs w:val="22"/>
        </w:rPr>
        <w:t xml:space="preserve"> the Chisinau Municipal Council adopted the Decision No. 2/2 “On the </w:t>
      </w:r>
      <w:r w:rsidR="002B1B74" w:rsidRPr="00442DD5">
        <w:rPr>
          <w:rFonts w:ascii="Arial" w:eastAsia="Times New Roman" w:hAnsi="Arial"/>
          <w:sz w:val="22"/>
          <w:szCs w:val="22"/>
        </w:rPr>
        <w:t>organization</w:t>
      </w:r>
      <w:r w:rsidRPr="00442DD5">
        <w:rPr>
          <w:rFonts w:ascii="Arial" w:eastAsia="Times New Roman" w:hAnsi="Arial"/>
          <w:sz w:val="22"/>
          <w:szCs w:val="22"/>
        </w:rPr>
        <w:t xml:space="preserve"> of public meetings with sensitive topics related to gender identity and sexual orientation in the municipality of Chisinau”. The decision prohibits the following activities on the territory of the Chisinau municipality: (1) public meetings and events aimed at promoting sexual and gender diversity; (2) activities in educational institutions promoting ideologies regarding gender identity and sexual orientation; (3) placement of advertising materials promoting or supporting ideologies related to gender identity and sexual orientation.</w:t>
      </w:r>
    </w:p>
    <w:p w14:paraId="5B99C640" w14:textId="78CEADA8" w:rsidR="00167AF5" w:rsidRPr="005B067D" w:rsidRDefault="00167AF5" w:rsidP="0094520E">
      <w:pPr>
        <w:numPr>
          <w:ilvl w:val="0"/>
          <w:numId w:val="8"/>
        </w:numPr>
        <w:spacing w:before="120" w:line="276" w:lineRule="auto"/>
        <w:ind w:left="709"/>
        <w:jc w:val="both"/>
        <w:rPr>
          <w:rFonts w:ascii="Arial" w:eastAsia="Times New Roman" w:hAnsi="Arial"/>
          <w:sz w:val="22"/>
          <w:szCs w:val="22"/>
        </w:rPr>
      </w:pPr>
      <w:r w:rsidRPr="005B067D">
        <w:rPr>
          <w:rFonts w:ascii="Arial" w:eastAsia="Times New Roman" w:hAnsi="Arial"/>
          <w:sz w:val="22"/>
          <w:szCs w:val="22"/>
        </w:rPr>
        <w:t xml:space="preserve">In its jurisprudence, the Council found that transgender individuals face unjustified difficulties given to the excessively formalist requirements in the </w:t>
      </w:r>
      <w:r w:rsidR="00826D7B" w:rsidRPr="005B067D">
        <w:rPr>
          <w:rFonts w:ascii="Arial" w:eastAsia="Times New Roman" w:hAnsi="Arial"/>
          <w:sz w:val="22"/>
          <w:szCs w:val="22"/>
        </w:rPr>
        <w:t>proces</w:t>
      </w:r>
      <w:r w:rsidR="00826D7B">
        <w:rPr>
          <w:rFonts w:ascii="Arial" w:eastAsia="Times New Roman" w:hAnsi="Arial"/>
          <w:sz w:val="22"/>
          <w:szCs w:val="22"/>
        </w:rPr>
        <w:t>s of</w:t>
      </w:r>
      <w:r w:rsidRPr="005B067D">
        <w:rPr>
          <w:rFonts w:ascii="Arial" w:eastAsia="Times New Roman" w:hAnsi="Arial"/>
          <w:sz w:val="22"/>
          <w:szCs w:val="22"/>
        </w:rPr>
        <w:t xml:space="preserve"> changing their sex in civil status documents. In particular, the Council found that despite the existence of a procedure for changing civil status and identity documents following a change in gender identity, competent authorities unjustifiably delay the process and require the mandatory presentation of a medical certificate </w:t>
      </w:r>
      <w:r w:rsidR="00826D7B">
        <w:rPr>
          <w:rFonts w:ascii="Arial" w:eastAsia="Times New Roman" w:hAnsi="Arial"/>
          <w:sz w:val="22"/>
          <w:szCs w:val="22"/>
        </w:rPr>
        <w:t>permitting the</w:t>
      </w:r>
      <w:r w:rsidRPr="005B067D">
        <w:rPr>
          <w:rFonts w:ascii="Arial" w:eastAsia="Times New Roman" w:hAnsi="Arial"/>
          <w:sz w:val="22"/>
          <w:szCs w:val="22"/>
        </w:rPr>
        <w:t xml:space="preserve"> change of sex, ignoring the individual's gender identity and t</w:t>
      </w:r>
      <w:r w:rsidR="004B7D68">
        <w:rPr>
          <w:rFonts w:ascii="Arial" w:eastAsia="Times New Roman" w:hAnsi="Arial"/>
          <w:sz w:val="22"/>
          <w:szCs w:val="22"/>
        </w:rPr>
        <w:t>he right to choose their identity</w:t>
      </w:r>
      <w:r w:rsidR="00826D7B">
        <w:rPr>
          <w:rFonts w:ascii="Arial" w:eastAsia="Times New Roman" w:hAnsi="Arial"/>
          <w:sz w:val="22"/>
          <w:szCs w:val="22"/>
        </w:rPr>
        <w:t>.</w:t>
      </w:r>
    </w:p>
    <w:p w14:paraId="355773D8" w14:textId="05BBE401" w:rsidR="00167AF5" w:rsidRPr="005B067D" w:rsidRDefault="00167AF5" w:rsidP="0094520E">
      <w:pPr>
        <w:numPr>
          <w:ilvl w:val="0"/>
          <w:numId w:val="8"/>
        </w:numPr>
        <w:spacing w:before="120" w:line="276" w:lineRule="auto"/>
        <w:ind w:left="709"/>
        <w:jc w:val="both"/>
        <w:rPr>
          <w:rFonts w:ascii="Arial" w:eastAsia="Times New Roman" w:hAnsi="Arial"/>
          <w:sz w:val="22"/>
          <w:szCs w:val="22"/>
        </w:rPr>
      </w:pPr>
      <w:r w:rsidRPr="005B067D">
        <w:rPr>
          <w:rFonts w:ascii="Arial" w:eastAsia="Times New Roman" w:hAnsi="Arial"/>
          <w:sz w:val="22"/>
          <w:szCs w:val="22"/>
        </w:rPr>
        <w:t xml:space="preserve">The Council has determined that the Public Services Agency (the public authority which is issuing civil status and ID documents) unjustifiably denies the requests of transgender individuals to amend their civil status documents without a medical certificate </w:t>
      </w:r>
      <w:r w:rsidR="004B7D68">
        <w:rPr>
          <w:rFonts w:ascii="Arial" w:eastAsia="Times New Roman" w:hAnsi="Arial"/>
          <w:sz w:val="22"/>
          <w:szCs w:val="22"/>
        </w:rPr>
        <w:t>permitting the</w:t>
      </w:r>
      <w:r w:rsidRPr="005B067D">
        <w:rPr>
          <w:rFonts w:ascii="Arial" w:eastAsia="Times New Roman" w:hAnsi="Arial"/>
          <w:sz w:val="22"/>
          <w:szCs w:val="22"/>
        </w:rPr>
        <w:t xml:space="preserve"> change of sex, in contradiction to the standards endorsed by the Ministry of Health. Thus, transgender persons </w:t>
      </w:r>
      <w:r w:rsidR="00A1404C" w:rsidRPr="005B067D">
        <w:rPr>
          <w:rFonts w:ascii="Arial" w:eastAsia="Times New Roman" w:hAnsi="Arial"/>
          <w:sz w:val="22"/>
          <w:szCs w:val="22"/>
        </w:rPr>
        <w:t>must</w:t>
      </w:r>
      <w:r w:rsidRPr="005B067D">
        <w:rPr>
          <w:rFonts w:ascii="Arial" w:eastAsia="Times New Roman" w:hAnsi="Arial"/>
          <w:sz w:val="22"/>
          <w:szCs w:val="22"/>
        </w:rPr>
        <w:t xml:space="preserve"> appeal to </w:t>
      </w:r>
      <w:r w:rsidR="004B7D68" w:rsidRPr="005B067D">
        <w:rPr>
          <w:rFonts w:ascii="Arial" w:eastAsia="Times New Roman" w:hAnsi="Arial"/>
          <w:sz w:val="22"/>
          <w:szCs w:val="22"/>
        </w:rPr>
        <w:t xml:space="preserve">courts, </w:t>
      </w:r>
      <w:r w:rsidR="004B7D68">
        <w:rPr>
          <w:rFonts w:ascii="Arial" w:eastAsia="Times New Roman" w:hAnsi="Arial"/>
          <w:sz w:val="22"/>
          <w:szCs w:val="22"/>
        </w:rPr>
        <w:t>so it</w:t>
      </w:r>
      <w:r w:rsidRPr="005B067D">
        <w:rPr>
          <w:rFonts w:ascii="Arial" w:eastAsia="Times New Roman" w:hAnsi="Arial"/>
          <w:sz w:val="22"/>
          <w:szCs w:val="22"/>
        </w:rPr>
        <w:t xml:space="preserve"> mak</w:t>
      </w:r>
      <w:r w:rsidR="004B7D68">
        <w:rPr>
          <w:rFonts w:ascii="Arial" w:eastAsia="Times New Roman" w:hAnsi="Arial"/>
          <w:sz w:val="22"/>
          <w:szCs w:val="22"/>
        </w:rPr>
        <w:t>es</w:t>
      </w:r>
      <w:r w:rsidRPr="005B067D">
        <w:rPr>
          <w:rFonts w:ascii="Arial" w:eastAsia="Times New Roman" w:hAnsi="Arial"/>
          <w:sz w:val="22"/>
          <w:szCs w:val="22"/>
        </w:rPr>
        <w:t xml:space="preserve"> the procedure lasting for years and the outcome</w:t>
      </w:r>
      <w:r w:rsidR="004B7D68">
        <w:rPr>
          <w:rFonts w:ascii="Arial" w:eastAsia="Times New Roman" w:hAnsi="Arial"/>
          <w:sz w:val="22"/>
          <w:szCs w:val="22"/>
        </w:rPr>
        <w:t xml:space="preserve"> is</w:t>
      </w:r>
      <w:r w:rsidRPr="005B067D">
        <w:rPr>
          <w:rFonts w:ascii="Arial" w:eastAsia="Times New Roman" w:hAnsi="Arial"/>
          <w:sz w:val="22"/>
          <w:szCs w:val="22"/>
        </w:rPr>
        <w:t xml:space="preserve"> unpredictable. </w:t>
      </w:r>
      <w:r w:rsidRPr="005B067D">
        <w:rPr>
          <w:rFonts w:ascii="Arial" w:hAnsi="Arial"/>
          <w:sz w:val="22"/>
          <w:szCs w:val="22"/>
        </w:rPr>
        <w:t>The Council has ruled in its decision no. 278/21</w:t>
      </w:r>
      <w:r w:rsidRPr="005B067D">
        <w:rPr>
          <w:rStyle w:val="FootnoteReference"/>
          <w:rFonts w:ascii="Arial" w:hAnsi="Arial"/>
          <w:sz w:val="22"/>
          <w:szCs w:val="22"/>
        </w:rPr>
        <w:footnoteReference w:id="3"/>
      </w:r>
      <w:r w:rsidRPr="005B067D">
        <w:rPr>
          <w:rFonts w:ascii="Arial" w:hAnsi="Arial"/>
          <w:sz w:val="22"/>
          <w:szCs w:val="22"/>
        </w:rPr>
        <w:t xml:space="preserve"> that this situation is discriminatory </w:t>
      </w:r>
      <w:r w:rsidR="00A1404C" w:rsidRPr="005B067D">
        <w:rPr>
          <w:rFonts w:ascii="Arial" w:hAnsi="Arial"/>
          <w:sz w:val="22"/>
          <w:szCs w:val="22"/>
        </w:rPr>
        <w:t>based on</w:t>
      </w:r>
      <w:r w:rsidRPr="005B067D">
        <w:rPr>
          <w:rFonts w:ascii="Arial" w:hAnsi="Arial"/>
          <w:sz w:val="22"/>
          <w:szCs w:val="22"/>
        </w:rPr>
        <w:t xml:space="preserve"> gender identity.</w:t>
      </w:r>
    </w:p>
    <w:p w14:paraId="0DBA7E66" w14:textId="4C24984E" w:rsidR="00473555" w:rsidRPr="005B067D" w:rsidRDefault="001B115F" w:rsidP="00473555">
      <w:pPr>
        <w:numPr>
          <w:ilvl w:val="0"/>
          <w:numId w:val="8"/>
        </w:numPr>
        <w:spacing w:before="120" w:line="276" w:lineRule="auto"/>
        <w:ind w:left="709"/>
        <w:jc w:val="both"/>
        <w:rPr>
          <w:rFonts w:ascii="Arial" w:eastAsia="Times New Roman" w:hAnsi="Arial"/>
          <w:sz w:val="22"/>
          <w:szCs w:val="22"/>
        </w:rPr>
      </w:pPr>
      <w:r w:rsidRPr="005B067D">
        <w:rPr>
          <w:rFonts w:ascii="Arial" w:eastAsia="Times New Roman" w:hAnsi="Arial"/>
          <w:sz w:val="22"/>
          <w:szCs w:val="22"/>
        </w:rPr>
        <w:t xml:space="preserve">The Council notes that in the Republic of Moldova, the Roma population remains the most disadvantaged minority group and ensuring the effective enjoyment of Roma rights continues to be a challenge for the authorities. </w:t>
      </w:r>
      <w:r w:rsidR="00473555" w:rsidRPr="005B067D">
        <w:rPr>
          <w:rFonts w:ascii="Arial" w:eastAsia="Times New Roman" w:hAnsi="Arial"/>
          <w:sz w:val="22"/>
          <w:szCs w:val="22"/>
        </w:rPr>
        <w:t>The Council expresses its concern about the persistence of stereotypes and discriminatory attitudes of the majority population towards Roma</w:t>
      </w:r>
      <w:r w:rsidR="00473555" w:rsidRPr="005B067D">
        <w:rPr>
          <w:rStyle w:val="FootnoteReference"/>
          <w:rFonts w:ascii="Arial" w:eastAsia="Times New Roman" w:hAnsi="Arial"/>
          <w:sz w:val="22"/>
          <w:szCs w:val="22"/>
        </w:rPr>
        <w:footnoteReference w:id="4"/>
      </w:r>
      <w:r w:rsidR="00473555" w:rsidRPr="005B067D">
        <w:rPr>
          <w:rFonts w:ascii="Arial" w:eastAsia="Times New Roman" w:hAnsi="Arial"/>
          <w:sz w:val="22"/>
          <w:szCs w:val="22"/>
        </w:rPr>
        <w:t xml:space="preserve">. These lead to discrimination and exclusion of Roma people in the domains of labor, education, health services and other social domains. </w:t>
      </w:r>
    </w:p>
    <w:p w14:paraId="72AC9B84" w14:textId="66F86731" w:rsidR="00473555" w:rsidRDefault="004B7D68" w:rsidP="00473555">
      <w:pPr>
        <w:numPr>
          <w:ilvl w:val="0"/>
          <w:numId w:val="8"/>
        </w:numPr>
        <w:spacing w:before="120" w:line="276" w:lineRule="auto"/>
        <w:ind w:left="709"/>
        <w:jc w:val="both"/>
        <w:rPr>
          <w:rFonts w:ascii="Arial" w:hAnsi="Arial" w:cs="Arial"/>
          <w:sz w:val="22"/>
          <w:szCs w:val="22"/>
        </w:rPr>
      </w:pPr>
      <w:r>
        <w:rPr>
          <w:rFonts w:ascii="Arial" w:hAnsi="Arial" w:cs="Arial"/>
          <w:sz w:val="22"/>
          <w:szCs w:val="22"/>
        </w:rPr>
        <w:t>When</w:t>
      </w:r>
      <w:r w:rsidR="00473555" w:rsidRPr="005B067D">
        <w:rPr>
          <w:rFonts w:ascii="Arial" w:hAnsi="Arial" w:cs="Arial"/>
          <w:sz w:val="22"/>
          <w:szCs w:val="22"/>
        </w:rPr>
        <w:t xml:space="preserve"> </w:t>
      </w:r>
      <w:proofErr w:type="gramStart"/>
      <w:r w:rsidR="00473555" w:rsidRPr="005B067D">
        <w:rPr>
          <w:rFonts w:ascii="Arial" w:hAnsi="Arial" w:cs="Arial"/>
          <w:sz w:val="22"/>
          <w:szCs w:val="22"/>
        </w:rPr>
        <w:t>the Law</w:t>
      </w:r>
      <w:proofErr w:type="gramEnd"/>
      <w:r w:rsidR="00473555" w:rsidRPr="005B067D">
        <w:rPr>
          <w:rFonts w:ascii="Arial" w:hAnsi="Arial" w:cs="Arial"/>
          <w:sz w:val="22"/>
          <w:szCs w:val="22"/>
        </w:rPr>
        <w:t xml:space="preserve"> No 123/23 on paid internships in public service</w:t>
      </w:r>
      <w:r>
        <w:rPr>
          <w:rFonts w:ascii="Arial" w:hAnsi="Arial" w:cs="Arial"/>
          <w:sz w:val="22"/>
          <w:szCs w:val="22"/>
        </w:rPr>
        <w:t xml:space="preserve"> was drafted</w:t>
      </w:r>
      <w:r w:rsidR="00473555" w:rsidRPr="005B067D">
        <w:rPr>
          <w:rFonts w:ascii="Arial" w:hAnsi="Arial" w:cs="Arial"/>
          <w:sz w:val="22"/>
          <w:szCs w:val="22"/>
        </w:rPr>
        <w:t>, the Council proposed to include local public administration authorities and courts in the list of host authoriti</w:t>
      </w:r>
      <w:r>
        <w:rPr>
          <w:rFonts w:ascii="Arial" w:hAnsi="Arial" w:cs="Arial"/>
          <w:sz w:val="22"/>
          <w:szCs w:val="22"/>
        </w:rPr>
        <w:t>es for paid internship programs.</w:t>
      </w:r>
      <w:r w:rsidR="00473555" w:rsidRPr="005B067D">
        <w:rPr>
          <w:rFonts w:ascii="Arial" w:hAnsi="Arial" w:cs="Arial"/>
          <w:sz w:val="22"/>
          <w:szCs w:val="22"/>
        </w:rPr>
        <w:t xml:space="preserve"> </w:t>
      </w:r>
      <w:r>
        <w:rPr>
          <w:rFonts w:ascii="Arial" w:hAnsi="Arial" w:cs="Arial"/>
          <w:sz w:val="22"/>
          <w:szCs w:val="22"/>
        </w:rPr>
        <w:t>T</w:t>
      </w:r>
      <w:r w:rsidR="00473555" w:rsidRPr="005B067D">
        <w:rPr>
          <w:rFonts w:ascii="Arial" w:hAnsi="Arial" w:cs="Arial"/>
          <w:sz w:val="22"/>
          <w:szCs w:val="22"/>
        </w:rPr>
        <w:t>his measure would boost the employment of persons belonging to national minorities (including Roma) in local public authorities in localities densely populated by these persons, as well as remove language barriers faced by national minorities in interacting with public authorities. However, this proposal was not accepted by Parliament. The process of amending this law is currently underway.</w:t>
      </w:r>
    </w:p>
    <w:p w14:paraId="4B5B74CA" w14:textId="77777777" w:rsidR="00B018C9" w:rsidRPr="005B067D" w:rsidRDefault="00B018C9" w:rsidP="00B018C9">
      <w:pPr>
        <w:spacing w:before="120" w:line="276" w:lineRule="auto"/>
        <w:ind w:left="709"/>
        <w:jc w:val="both"/>
        <w:rPr>
          <w:rFonts w:ascii="Arial" w:hAnsi="Arial" w:cs="Arial"/>
          <w:sz w:val="22"/>
          <w:szCs w:val="22"/>
        </w:rPr>
      </w:pPr>
    </w:p>
    <w:p w14:paraId="72D8AB2E" w14:textId="50042A8E" w:rsidR="00473555" w:rsidRPr="005B067D" w:rsidRDefault="00473555" w:rsidP="00473555">
      <w:pPr>
        <w:spacing w:before="120" w:line="276" w:lineRule="auto"/>
        <w:ind w:left="709"/>
        <w:jc w:val="both"/>
        <w:rPr>
          <w:rFonts w:ascii="Arial" w:eastAsia="Times New Roman" w:hAnsi="Arial"/>
          <w:b/>
          <w:sz w:val="22"/>
          <w:szCs w:val="22"/>
        </w:rPr>
      </w:pPr>
      <w:r w:rsidRPr="005B067D">
        <w:rPr>
          <w:rFonts w:ascii="Arial" w:eastAsia="Times New Roman" w:hAnsi="Arial"/>
          <w:b/>
          <w:sz w:val="22"/>
          <w:szCs w:val="22"/>
        </w:rPr>
        <w:t>Recommendations:</w:t>
      </w:r>
    </w:p>
    <w:p w14:paraId="58EC8F83" w14:textId="098CB1F5" w:rsidR="0057573A" w:rsidRPr="005B067D" w:rsidRDefault="00A1404C" w:rsidP="00473555">
      <w:pPr>
        <w:pStyle w:val="ListParagraph"/>
        <w:numPr>
          <w:ilvl w:val="0"/>
          <w:numId w:val="11"/>
        </w:numPr>
        <w:spacing w:before="120" w:line="276" w:lineRule="auto"/>
        <w:jc w:val="both"/>
        <w:rPr>
          <w:rFonts w:ascii="Arial" w:hAnsi="Arial"/>
          <w:b/>
          <w:sz w:val="22"/>
          <w:szCs w:val="22"/>
          <w:lang w:val="en-US"/>
        </w:rPr>
      </w:pPr>
      <w:r w:rsidRPr="005B067D">
        <w:rPr>
          <w:rFonts w:ascii="Arial" w:hAnsi="Arial"/>
          <w:b/>
          <w:sz w:val="22"/>
          <w:szCs w:val="22"/>
          <w:lang w:val="en-US"/>
        </w:rPr>
        <w:t>Ensure that the rights of lesbian, gay, bisexual and transgender persons are effectively protected under Law No. 121 and combat any attempt to undermine the equal ex</w:t>
      </w:r>
      <w:r w:rsidR="004B7D68">
        <w:rPr>
          <w:rFonts w:ascii="Arial" w:hAnsi="Arial"/>
          <w:b/>
          <w:sz w:val="22"/>
          <w:szCs w:val="22"/>
          <w:lang w:val="en-US"/>
        </w:rPr>
        <w:t>ercise of their</w:t>
      </w:r>
      <w:r w:rsidRPr="005B067D">
        <w:rPr>
          <w:rFonts w:ascii="Arial" w:hAnsi="Arial"/>
          <w:b/>
          <w:sz w:val="22"/>
          <w:szCs w:val="22"/>
          <w:lang w:val="en-US"/>
        </w:rPr>
        <w:t xml:space="preserve"> rights, especially by public authorities, politicians or public persons.</w:t>
      </w:r>
    </w:p>
    <w:p w14:paraId="4E43A8CD" w14:textId="72379218" w:rsidR="00473555" w:rsidRPr="005B067D" w:rsidRDefault="008916EB" w:rsidP="00473555">
      <w:pPr>
        <w:pStyle w:val="ListParagraph"/>
        <w:numPr>
          <w:ilvl w:val="0"/>
          <w:numId w:val="11"/>
        </w:numPr>
        <w:spacing w:before="120" w:line="276" w:lineRule="auto"/>
        <w:jc w:val="both"/>
        <w:rPr>
          <w:rFonts w:ascii="Arial" w:hAnsi="Arial"/>
          <w:b/>
          <w:sz w:val="22"/>
          <w:szCs w:val="22"/>
          <w:lang w:val="en-US"/>
        </w:rPr>
      </w:pPr>
      <w:r w:rsidRPr="005B067D">
        <w:rPr>
          <w:rFonts w:ascii="Arial" w:hAnsi="Arial"/>
          <w:b/>
          <w:sz w:val="22"/>
          <w:szCs w:val="22"/>
          <w:lang w:val="en-US"/>
        </w:rPr>
        <w:t>Adopt and implement accessible, predictable, and timely procedures for transgender persons to change their sex in civil status records and identity documents, in accordance with international human rights standards.</w:t>
      </w:r>
    </w:p>
    <w:p w14:paraId="396DCD8E" w14:textId="3EE73BE0" w:rsidR="008916EB" w:rsidRPr="005B067D" w:rsidRDefault="008916EB" w:rsidP="008916EB">
      <w:pPr>
        <w:pStyle w:val="ListParagraph"/>
        <w:numPr>
          <w:ilvl w:val="0"/>
          <w:numId w:val="11"/>
        </w:numPr>
        <w:spacing w:before="120" w:line="276" w:lineRule="auto"/>
        <w:jc w:val="both"/>
        <w:rPr>
          <w:rFonts w:ascii="Arial" w:hAnsi="Arial" w:cs="Arial"/>
          <w:b/>
          <w:bCs/>
          <w:sz w:val="24"/>
          <w:szCs w:val="24"/>
          <w:lang w:val="en-US"/>
        </w:rPr>
      </w:pPr>
      <w:r w:rsidRPr="005B067D">
        <w:rPr>
          <w:rFonts w:ascii="Arial" w:hAnsi="Arial"/>
          <w:b/>
          <w:sz w:val="22"/>
          <w:szCs w:val="22"/>
          <w:lang w:val="en-US"/>
        </w:rPr>
        <w:t xml:space="preserve">To collect and regularly provide updated statistical data on the exercise of economic and social rights by ethnic minority groups </w:t>
      </w:r>
      <w:r w:rsidR="004B7D68" w:rsidRPr="005B067D">
        <w:rPr>
          <w:rFonts w:ascii="Arial" w:hAnsi="Arial"/>
          <w:b/>
          <w:sz w:val="22"/>
          <w:szCs w:val="22"/>
          <w:lang w:val="en-US"/>
        </w:rPr>
        <w:t>and</w:t>
      </w:r>
      <w:r w:rsidRPr="005B067D">
        <w:rPr>
          <w:rFonts w:ascii="Arial" w:hAnsi="Arial"/>
          <w:b/>
          <w:sz w:val="22"/>
          <w:szCs w:val="22"/>
          <w:lang w:val="en-US"/>
        </w:rPr>
        <w:t xml:space="preserve"> provide statistical data on the representation of members of ethnic minority groups in the public sphere.</w:t>
      </w:r>
    </w:p>
    <w:p w14:paraId="6FFBC4A5" w14:textId="77777777" w:rsidR="00167AF5" w:rsidRDefault="00167AF5" w:rsidP="000434D9">
      <w:pPr>
        <w:spacing w:before="120" w:line="276" w:lineRule="auto"/>
        <w:jc w:val="both"/>
        <w:rPr>
          <w:rFonts w:ascii="Arial" w:eastAsia="Times New Roman" w:hAnsi="Arial"/>
          <w:b/>
          <w:sz w:val="22"/>
          <w:szCs w:val="22"/>
        </w:rPr>
      </w:pPr>
    </w:p>
    <w:p w14:paraId="32E9B898" w14:textId="77777777" w:rsidR="00B018C9" w:rsidRPr="005B067D" w:rsidRDefault="00B018C9" w:rsidP="000434D9">
      <w:pPr>
        <w:spacing w:before="120" w:line="276" w:lineRule="auto"/>
        <w:jc w:val="both"/>
        <w:rPr>
          <w:rFonts w:ascii="Arial" w:eastAsia="Times New Roman" w:hAnsi="Arial"/>
          <w:b/>
          <w:sz w:val="22"/>
          <w:szCs w:val="22"/>
        </w:rPr>
      </w:pPr>
    </w:p>
    <w:p w14:paraId="1659FA82" w14:textId="4A607A26" w:rsidR="00167AF5" w:rsidRPr="005B067D" w:rsidRDefault="00167AF5" w:rsidP="00167AF5">
      <w:pPr>
        <w:numPr>
          <w:ilvl w:val="0"/>
          <w:numId w:val="7"/>
        </w:numPr>
        <w:spacing w:before="120" w:line="276" w:lineRule="auto"/>
        <w:jc w:val="both"/>
        <w:rPr>
          <w:rFonts w:ascii="Arial" w:hAnsi="Arial"/>
          <w:sz w:val="22"/>
          <w:szCs w:val="22"/>
        </w:rPr>
      </w:pPr>
      <w:r w:rsidRPr="005B067D">
        <w:rPr>
          <w:rFonts w:ascii="Arial" w:eastAsia="Times New Roman" w:hAnsi="Arial"/>
          <w:b/>
          <w:sz w:val="22"/>
          <w:szCs w:val="22"/>
        </w:rPr>
        <w:t xml:space="preserve">Discrimination of </w:t>
      </w:r>
      <w:r w:rsidR="00A1404C" w:rsidRPr="005B067D">
        <w:rPr>
          <w:rFonts w:ascii="Arial" w:eastAsia="Times New Roman" w:hAnsi="Arial"/>
          <w:b/>
          <w:sz w:val="22"/>
          <w:szCs w:val="22"/>
        </w:rPr>
        <w:t>people</w:t>
      </w:r>
      <w:r w:rsidRPr="005B067D">
        <w:rPr>
          <w:rFonts w:ascii="Arial" w:eastAsia="Times New Roman" w:hAnsi="Arial"/>
          <w:b/>
          <w:sz w:val="22"/>
          <w:szCs w:val="22"/>
        </w:rPr>
        <w:t xml:space="preserve"> belonging to ethnic and linguistic minorities (Art. 2, 14, 19</w:t>
      </w:r>
      <w:r w:rsidR="009669F7" w:rsidRPr="005B067D">
        <w:rPr>
          <w:rFonts w:ascii="Arial" w:eastAsia="Times New Roman" w:hAnsi="Arial"/>
          <w:b/>
          <w:sz w:val="22"/>
          <w:szCs w:val="22"/>
        </w:rPr>
        <w:t>,</w:t>
      </w:r>
      <w:r w:rsidRPr="005B067D">
        <w:rPr>
          <w:rFonts w:ascii="Arial" w:eastAsia="Times New Roman" w:hAnsi="Arial"/>
          <w:b/>
          <w:sz w:val="22"/>
          <w:szCs w:val="22"/>
        </w:rPr>
        <w:t xml:space="preserve"> 26 and 27)</w:t>
      </w:r>
    </w:p>
    <w:p w14:paraId="5A367E2D" w14:textId="5BA39437" w:rsidR="00E25593" w:rsidRPr="005B067D" w:rsidRDefault="00E25593" w:rsidP="0057573A">
      <w:pPr>
        <w:numPr>
          <w:ilvl w:val="0"/>
          <w:numId w:val="8"/>
        </w:numPr>
        <w:spacing w:before="120" w:line="276" w:lineRule="auto"/>
        <w:ind w:left="709"/>
        <w:jc w:val="both"/>
        <w:rPr>
          <w:rFonts w:ascii="Arial" w:eastAsia="Times New Roman" w:hAnsi="Arial"/>
          <w:sz w:val="22"/>
          <w:szCs w:val="22"/>
        </w:rPr>
      </w:pPr>
      <w:r w:rsidRPr="005B067D">
        <w:rPr>
          <w:rFonts w:ascii="Arial" w:hAnsi="Arial" w:cs="Arial"/>
          <w:sz w:val="22"/>
          <w:szCs w:val="22"/>
        </w:rPr>
        <w:t>According to the National Human Rights Action Plan for the years 2018-2022, the ratification of the European Charter of Regional or Minority Languages was planned for 2021, but this did not happen. Also, this action was not included in the National Program on Ensuring Respect for Human Rights for 2024-2027.</w:t>
      </w:r>
    </w:p>
    <w:p w14:paraId="14EBFA09" w14:textId="134E8058" w:rsidR="00167AF5" w:rsidRPr="005B067D" w:rsidRDefault="00167AF5" w:rsidP="0057573A">
      <w:pPr>
        <w:numPr>
          <w:ilvl w:val="0"/>
          <w:numId w:val="8"/>
        </w:numPr>
        <w:spacing w:before="120" w:line="276" w:lineRule="auto"/>
        <w:ind w:left="709"/>
        <w:jc w:val="both"/>
        <w:rPr>
          <w:rFonts w:ascii="Arial" w:eastAsia="Times New Roman" w:hAnsi="Arial"/>
          <w:sz w:val="22"/>
          <w:szCs w:val="22"/>
        </w:rPr>
      </w:pPr>
      <w:r w:rsidRPr="005B067D">
        <w:rPr>
          <w:rFonts w:ascii="Arial" w:eastAsia="Times New Roman" w:hAnsi="Arial"/>
          <w:sz w:val="22"/>
          <w:szCs w:val="22"/>
        </w:rPr>
        <w:t xml:space="preserve">In the Republic of Moldova, </w:t>
      </w:r>
      <w:r w:rsidR="00A1404C" w:rsidRPr="005B067D">
        <w:rPr>
          <w:rFonts w:ascii="Arial" w:eastAsia="Times New Roman" w:hAnsi="Arial"/>
          <w:sz w:val="22"/>
          <w:szCs w:val="22"/>
        </w:rPr>
        <w:t>Russian speakers</w:t>
      </w:r>
      <w:r w:rsidRPr="005B067D">
        <w:rPr>
          <w:rFonts w:ascii="Arial" w:eastAsia="Times New Roman" w:hAnsi="Arial"/>
          <w:sz w:val="22"/>
          <w:szCs w:val="22"/>
        </w:rPr>
        <w:t xml:space="preserve"> are experiencing difficulties in filing to the courts civil lawsuits drafted in Russian language. Although Russian language has an official status in two autonomous regions, its use is protected </w:t>
      </w:r>
      <w:r w:rsidR="00F259CD">
        <w:rPr>
          <w:rFonts w:ascii="Arial" w:eastAsia="Times New Roman" w:hAnsi="Arial"/>
          <w:sz w:val="22"/>
          <w:szCs w:val="22"/>
        </w:rPr>
        <w:t>by</w:t>
      </w:r>
      <w:r w:rsidRPr="005B067D">
        <w:rPr>
          <w:rFonts w:ascii="Arial" w:eastAsia="Times New Roman" w:hAnsi="Arial"/>
          <w:sz w:val="22"/>
          <w:szCs w:val="22"/>
        </w:rPr>
        <w:t xml:space="preserve"> the Constitution and in the Law on the rights of persons belonging to national minorities and the legal status of their organizations no. 382/2001, some courts do not accept and reject </w:t>
      </w:r>
      <w:r w:rsidR="00F259CD" w:rsidRPr="005B067D">
        <w:rPr>
          <w:rFonts w:ascii="Arial" w:eastAsia="Times New Roman" w:hAnsi="Arial"/>
          <w:sz w:val="22"/>
          <w:szCs w:val="22"/>
        </w:rPr>
        <w:t xml:space="preserve">without examination </w:t>
      </w:r>
      <w:r w:rsidRPr="005B067D">
        <w:rPr>
          <w:rFonts w:ascii="Arial" w:eastAsia="Times New Roman" w:hAnsi="Arial"/>
          <w:sz w:val="22"/>
          <w:szCs w:val="22"/>
        </w:rPr>
        <w:t>civil lawsuits submitted in Russian on the grounds that they are written in a “foreign language” and are not translated into the state language.</w:t>
      </w:r>
      <w:r w:rsidRPr="005B067D">
        <w:rPr>
          <w:rFonts w:ascii="Arial" w:hAnsi="Arial"/>
          <w:sz w:val="22"/>
          <w:szCs w:val="22"/>
        </w:rPr>
        <w:t xml:space="preserve"> In this respect the Council </w:t>
      </w:r>
      <w:r w:rsidR="00A1404C" w:rsidRPr="005B067D">
        <w:rPr>
          <w:rFonts w:ascii="Arial" w:hAnsi="Arial"/>
          <w:sz w:val="22"/>
          <w:szCs w:val="22"/>
        </w:rPr>
        <w:t>has been</w:t>
      </w:r>
      <w:r w:rsidRPr="005B067D">
        <w:rPr>
          <w:rFonts w:ascii="Arial" w:hAnsi="Arial"/>
          <w:sz w:val="22"/>
          <w:szCs w:val="22"/>
        </w:rPr>
        <w:t xml:space="preserve"> annually, since 2013,</w:t>
      </w:r>
      <w:r w:rsidRPr="005B067D">
        <w:rPr>
          <w:rStyle w:val="FootnoteReference"/>
          <w:rFonts w:ascii="Arial" w:hAnsi="Arial"/>
          <w:sz w:val="22"/>
          <w:szCs w:val="22"/>
        </w:rPr>
        <w:footnoteReference w:id="5"/>
      </w:r>
      <w:r w:rsidRPr="005B067D">
        <w:rPr>
          <w:rFonts w:ascii="Arial" w:hAnsi="Arial"/>
          <w:sz w:val="22"/>
          <w:szCs w:val="22"/>
        </w:rPr>
        <w:t xml:space="preserve"> establishing </w:t>
      </w:r>
      <w:r w:rsidR="00A1404C" w:rsidRPr="005B067D">
        <w:rPr>
          <w:rFonts w:ascii="Arial" w:hAnsi="Arial"/>
          <w:sz w:val="22"/>
          <w:szCs w:val="22"/>
        </w:rPr>
        <w:t>discrimination</w:t>
      </w:r>
      <w:r w:rsidRPr="005B067D">
        <w:rPr>
          <w:rFonts w:ascii="Arial" w:hAnsi="Arial"/>
          <w:sz w:val="22"/>
          <w:szCs w:val="22"/>
        </w:rPr>
        <w:t xml:space="preserve"> in access to the justice system on the ground of language. </w:t>
      </w:r>
    </w:p>
    <w:p w14:paraId="33772DEF" w14:textId="671FB1D4" w:rsidR="00167AF5" w:rsidRPr="005B067D" w:rsidRDefault="00167AF5" w:rsidP="0057573A">
      <w:pPr>
        <w:numPr>
          <w:ilvl w:val="0"/>
          <w:numId w:val="8"/>
        </w:numPr>
        <w:spacing w:before="120" w:line="276" w:lineRule="auto"/>
        <w:ind w:left="709"/>
        <w:jc w:val="both"/>
        <w:rPr>
          <w:rFonts w:ascii="Arial" w:eastAsia="Times New Roman" w:hAnsi="Arial"/>
          <w:sz w:val="22"/>
          <w:szCs w:val="22"/>
        </w:rPr>
      </w:pPr>
      <w:r w:rsidRPr="005B067D">
        <w:rPr>
          <w:rFonts w:ascii="Arial" w:hAnsi="Arial"/>
          <w:sz w:val="22"/>
          <w:szCs w:val="22"/>
        </w:rPr>
        <w:t xml:space="preserve">In a series of </w:t>
      </w:r>
      <w:r w:rsidR="00F259CD" w:rsidRPr="005B067D">
        <w:rPr>
          <w:rFonts w:ascii="Arial" w:hAnsi="Arial"/>
          <w:sz w:val="22"/>
          <w:szCs w:val="22"/>
        </w:rPr>
        <w:t>cases,</w:t>
      </w:r>
      <w:r w:rsidRPr="005B067D">
        <w:rPr>
          <w:rFonts w:ascii="Arial" w:hAnsi="Arial"/>
          <w:sz w:val="22"/>
          <w:szCs w:val="22"/>
        </w:rPr>
        <w:t xml:space="preserve"> the Council also established the failure of courts to ensure translation into the Russian language of the judicial procedural acts at all stages of the judicial process, especially at the final stages of the judicial procedure. The Council stated that </w:t>
      </w:r>
      <w:r w:rsidR="00F259CD">
        <w:rPr>
          <w:rFonts w:ascii="Arial" w:hAnsi="Arial"/>
          <w:sz w:val="22"/>
          <w:szCs w:val="22"/>
        </w:rPr>
        <w:t>this</w:t>
      </w:r>
      <w:r w:rsidRPr="005B067D">
        <w:rPr>
          <w:rFonts w:ascii="Arial" w:hAnsi="Arial"/>
          <w:sz w:val="22"/>
          <w:szCs w:val="22"/>
        </w:rPr>
        <w:t xml:space="preserve"> constituted infringement of </w:t>
      </w:r>
      <w:r w:rsidR="00A1404C" w:rsidRPr="005B067D">
        <w:rPr>
          <w:rFonts w:ascii="Arial" w:hAnsi="Arial"/>
          <w:sz w:val="22"/>
          <w:szCs w:val="22"/>
        </w:rPr>
        <w:t>access</w:t>
      </w:r>
      <w:r w:rsidRPr="005B067D">
        <w:rPr>
          <w:rFonts w:ascii="Arial" w:hAnsi="Arial"/>
          <w:sz w:val="22"/>
          <w:szCs w:val="22"/>
        </w:rPr>
        <w:t xml:space="preserve"> to justice. The Council has repeatedly recommended that the courts of law get equipped with </w:t>
      </w:r>
      <w:r w:rsidR="00A1404C" w:rsidRPr="005B067D">
        <w:rPr>
          <w:rFonts w:ascii="Arial" w:hAnsi="Arial"/>
          <w:sz w:val="22"/>
          <w:szCs w:val="22"/>
        </w:rPr>
        <w:t>enough</w:t>
      </w:r>
      <w:r w:rsidRPr="005B067D">
        <w:rPr>
          <w:rFonts w:ascii="Arial" w:hAnsi="Arial"/>
          <w:sz w:val="22"/>
          <w:szCs w:val="22"/>
        </w:rPr>
        <w:t xml:space="preserve"> translators, </w:t>
      </w:r>
      <w:r w:rsidR="00A1404C" w:rsidRPr="005B067D">
        <w:rPr>
          <w:rFonts w:ascii="Arial" w:hAnsi="Arial"/>
          <w:sz w:val="22"/>
          <w:szCs w:val="22"/>
        </w:rPr>
        <w:t>to</w:t>
      </w:r>
      <w:r w:rsidRPr="005B067D">
        <w:rPr>
          <w:rFonts w:ascii="Arial" w:hAnsi="Arial"/>
          <w:sz w:val="22"/>
          <w:szCs w:val="22"/>
        </w:rPr>
        <w:t xml:space="preserve"> be able to accommodate the translation needs, thus granting </w:t>
      </w:r>
      <w:r w:rsidR="00A1404C" w:rsidRPr="005B067D">
        <w:rPr>
          <w:rFonts w:ascii="Arial" w:hAnsi="Arial"/>
          <w:sz w:val="22"/>
          <w:szCs w:val="22"/>
        </w:rPr>
        <w:t>people</w:t>
      </w:r>
      <w:r w:rsidRPr="005B067D">
        <w:rPr>
          <w:rFonts w:ascii="Arial" w:hAnsi="Arial"/>
          <w:sz w:val="22"/>
          <w:szCs w:val="22"/>
        </w:rPr>
        <w:t xml:space="preserve"> involved in judicial procedures an understanding of procedural acts, without incurring additional costs in translations of these documents for the petitioner. </w:t>
      </w:r>
    </w:p>
    <w:p w14:paraId="44B37461" w14:textId="15EA5774" w:rsidR="0081256E" w:rsidRPr="005B067D" w:rsidRDefault="0081256E" w:rsidP="0057573A">
      <w:pPr>
        <w:numPr>
          <w:ilvl w:val="0"/>
          <w:numId w:val="8"/>
        </w:numPr>
        <w:spacing w:before="120" w:line="276" w:lineRule="auto"/>
        <w:ind w:left="709"/>
        <w:jc w:val="both"/>
        <w:rPr>
          <w:rFonts w:ascii="Times New Roman" w:hAnsi="Times New Roman" w:cs="Times New Roman"/>
          <w:lang w:eastAsia="ru-RU"/>
        </w:rPr>
      </w:pPr>
      <w:r w:rsidRPr="005B067D">
        <w:rPr>
          <w:rFonts w:ascii="Arial" w:hAnsi="Arial"/>
          <w:sz w:val="22"/>
          <w:szCs w:val="22"/>
        </w:rPr>
        <w:t>Another problem is the difficulty for ethnic minorities to interact with public authorities. Although Article 12 para. (1) of the Law on the Rights of Persons Belonging to National Minorities and the Legal Status of their Organizations entitles persons to address public institutions orally and in writing, in Romanian or Russian, and to receive a reply in the language in which they have formulated their complaint</w:t>
      </w:r>
      <w:r w:rsidR="00F259CD">
        <w:rPr>
          <w:rFonts w:ascii="Arial" w:hAnsi="Arial"/>
          <w:sz w:val="22"/>
          <w:szCs w:val="22"/>
        </w:rPr>
        <w:t xml:space="preserve"> or request</w:t>
      </w:r>
      <w:r w:rsidRPr="005B067D">
        <w:rPr>
          <w:rFonts w:ascii="Arial" w:hAnsi="Arial"/>
          <w:sz w:val="22"/>
          <w:szCs w:val="22"/>
        </w:rPr>
        <w:t>, the public authorities respond in Romanian to complaints formulated in Russian, thus violating t</w:t>
      </w:r>
      <w:r w:rsidR="00F259CD">
        <w:rPr>
          <w:rFonts w:ascii="Arial" w:hAnsi="Arial"/>
          <w:sz w:val="22"/>
          <w:szCs w:val="22"/>
        </w:rPr>
        <w:t>he</w:t>
      </w:r>
      <w:r w:rsidRPr="005B067D">
        <w:rPr>
          <w:rFonts w:ascii="Arial" w:hAnsi="Arial"/>
          <w:sz w:val="22"/>
          <w:szCs w:val="22"/>
        </w:rPr>
        <w:t xml:space="preserve"> right to receive a reply in the language of their complaint</w:t>
      </w:r>
      <w:r w:rsidRPr="005B067D">
        <w:rPr>
          <w:sz w:val="22"/>
          <w:szCs w:val="22"/>
          <w:vertAlign w:val="superscript"/>
        </w:rPr>
        <w:footnoteReference w:id="6"/>
      </w:r>
      <w:r w:rsidRPr="005B067D">
        <w:rPr>
          <w:rFonts w:ascii="Arial" w:hAnsi="Arial"/>
          <w:sz w:val="22"/>
          <w:szCs w:val="22"/>
        </w:rPr>
        <w:t>.</w:t>
      </w:r>
      <w:r w:rsidRPr="005B067D">
        <w:rPr>
          <w:rFonts w:ascii="Times New Roman" w:hAnsi="Times New Roman" w:cs="Times New Roman"/>
          <w:lang w:eastAsia="ru-RU"/>
        </w:rPr>
        <w:t xml:space="preserve"> </w:t>
      </w:r>
    </w:p>
    <w:p w14:paraId="7AC44BD1" w14:textId="5A29B170" w:rsidR="00167AF5" w:rsidRPr="005B067D" w:rsidRDefault="00167AF5" w:rsidP="0057573A">
      <w:pPr>
        <w:numPr>
          <w:ilvl w:val="0"/>
          <w:numId w:val="8"/>
        </w:numPr>
        <w:spacing w:before="120" w:line="276" w:lineRule="auto"/>
        <w:ind w:left="709"/>
        <w:jc w:val="both"/>
        <w:rPr>
          <w:rFonts w:ascii="Arial" w:eastAsia="Times New Roman" w:hAnsi="Arial"/>
          <w:sz w:val="22"/>
          <w:szCs w:val="22"/>
        </w:rPr>
      </w:pPr>
      <w:r w:rsidRPr="005B067D">
        <w:rPr>
          <w:rFonts w:ascii="Arial" w:eastAsia="Times New Roman" w:hAnsi="Arial"/>
          <w:sz w:val="22"/>
          <w:szCs w:val="22"/>
        </w:rPr>
        <w:t xml:space="preserve"> </w:t>
      </w:r>
      <w:r w:rsidR="0081256E" w:rsidRPr="005B067D">
        <w:rPr>
          <w:rFonts w:ascii="Arial" w:hAnsi="Arial"/>
          <w:sz w:val="22"/>
          <w:szCs w:val="22"/>
        </w:rPr>
        <w:t>National minorities also have limited access to information of public interest placed by the official websites of public authorities, since many of them are not translated in Russian or other minority languages.</w:t>
      </w:r>
    </w:p>
    <w:p w14:paraId="1B858AFF" w14:textId="77777777" w:rsidR="000434D9" w:rsidRDefault="000434D9" w:rsidP="0057573A">
      <w:pPr>
        <w:spacing w:before="120" w:line="276" w:lineRule="auto"/>
        <w:ind w:left="709"/>
        <w:jc w:val="both"/>
        <w:rPr>
          <w:rFonts w:ascii="Arial" w:eastAsia="Times New Roman" w:hAnsi="Arial"/>
          <w:b/>
          <w:sz w:val="22"/>
          <w:szCs w:val="22"/>
        </w:rPr>
      </w:pPr>
    </w:p>
    <w:p w14:paraId="579D7DCC" w14:textId="6893E215" w:rsidR="00167AF5" w:rsidRPr="005B067D" w:rsidRDefault="0081256E" w:rsidP="0057573A">
      <w:pPr>
        <w:spacing w:before="120" w:line="276" w:lineRule="auto"/>
        <w:ind w:left="709"/>
        <w:jc w:val="both"/>
        <w:rPr>
          <w:rFonts w:ascii="Arial" w:eastAsia="Times New Roman" w:hAnsi="Arial"/>
          <w:b/>
          <w:sz w:val="22"/>
          <w:szCs w:val="22"/>
        </w:rPr>
      </w:pPr>
      <w:r w:rsidRPr="005B067D">
        <w:rPr>
          <w:rFonts w:ascii="Arial" w:eastAsia="Times New Roman" w:hAnsi="Arial"/>
          <w:b/>
          <w:sz w:val="22"/>
          <w:szCs w:val="22"/>
        </w:rPr>
        <w:t>Recommendations:</w:t>
      </w:r>
    </w:p>
    <w:p w14:paraId="4FEFD21A" w14:textId="71CC6A1F" w:rsidR="00167AF5" w:rsidRPr="005B067D" w:rsidRDefault="00E25593" w:rsidP="0057573A">
      <w:pPr>
        <w:pStyle w:val="ListParagraph"/>
        <w:numPr>
          <w:ilvl w:val="0"/>
          <w:numId w:val="11"/>
        </w:numPr>
        <w:spacing w:before="120" w:line="276" w:lineRule="auto"/>
        <w:jc w:val="both"/>
        <w:rPr>
          <w:rFonts w:ascii="Arial" w:hAnsi="Arial"/>
          <w:b/>
          <w:bCs/>
          <w:sz w:val="22"/>
          <w:szCs w:val="22"/>
          <w:lang w:val="en-US"/>
        </w:rPr>
      </w:pPr>
      <w:r w:rsidRPr="005B067D">
        <w:rPr>
          <w:rFonts w:ascii="Arial" w:hAnsi="Arial"/>
          <w:b/>
          <w:bCs/>
          <w:sz w:val="22"/>
          <w:szCs w:val="22"/>
          <w:lang w:val="en-US"/>
        </w:rPr>
        <w:t xml:space="preserve">To </w:t>
      </w:r>
      <w:r w:rsidRPr="005B067D">
        <w:rPr>
          <w:rFonts w:ascii="Arial" w:hAnsi="Arial"/>
          <w:b/>
          <w:sz w:val="22"/>
          <w:szCs w:val="22"/>
          <w:lang w:val="en-US"/>
        </w:rPr>
        <w:t>ratify</w:t>
      </w:r>
      <w:r w:rsidRPr="005B067D">
        <w:rPr>
          <w:rFonts w:ascii="Arial" w:hAnsi="Arial"/>
          <w:b/>
          <w:bCs/>
          <w:sz w:val="22"/>
          <w:szCs w:val="22"/>
          <w:lang w:val="en-US"/>
        </w:rPr>
        <w:t xml:space="preserve"> the European Charter for Regional or Minority Languages</w:t>
      </w:r>
      <w:r w:rsidR="0057573A" w:rsidRPr="005B067D">
        <w:rPr>
          <w:rFonts w:ascii="Arial" w:hAnsi="Arial"/>
          <w:b/>
          <w:bCs/>
          <w:sz w:val="22"/>
          <w:szCs w:val="22"/>
          <w:lang w:val="en-US"/>
        </w:rPr>
        <w:t>.</w:t>
      </w:r>
    </w:p>
    <w:p w14:paraId="0628F819" w14:textId="39716AB7" w:rsidR="00E25593" w:rsidRPr="005B067D" w:rsidRDefault="00E25593" w:rsidP="0057573A">
      <w:pPr>
        <w:pStyle w:val="ListParagraph"/>
        <w:numPr>
          <w:ilvl w:val="0"/>
          <w:numId w:val="11"/>
        </w:numPr>
        <w:spacing w:before="120" w:line="276" w:lineRule="auto"/>
        <w:jc w:val="both"/>
        <w:rPr>
          <w:rFonts w:ascii="Arial" w:hAnsi="Arial"/>
          <w:b/>
          <w:sz w:val="22"/>
          <w:szCs w:val="22"/>
          <w:lang w:val="en-US"/>
        </w:rPr>
      </w:pPr>
      <w:r w:rsidRPr="005B067D">
        <w:rPr>
          <w:rFonts w:ascii="Arial" w:hAnsi="Arial"/>
          <w:b/>
          <w:sz w:val="22"/>
          <w:szCs w:val="22"/>
          <w:lang w:val="en-US"/>
        </w:rPr>
        <w:t>To develop and implement bilingual and multilingual education programs to ensure that minorities can learn and be taught in their mother tongue, while ensuring quality</w:t>
      </w:r>
      <w:r w:rsidR="00F259CD">
        <w:rPr>
          <w:rFonts w:ascii="Arial" w:hAnsi="Arial"/>
          <w:b/>
          <w:sz w:val="22"/>
          <w:szCs w:val="22"/>
          <w:lang w:val="en-US"/>
        </w:rPr>
        <w:t xml:space="preserve"> learning of the</w:t>
      </w:r>
      <w:r w:rsidRPr="005B067D">
        <w:rPr>
          <w:rFonts w:ascii="Arial" w:hAnsi="Arial"/>
          <w:b/>
          <w:sz w:val="22"/>
          <w:szCs w:val="22"/>
          <w:lang w:val="en-US"/>
        </w:rPr>
        <w:t xml:space="preserve"> state language</w:t>
      </w:r>
      <w:r w:rsidR="0057573A" w:rsidRPr="005B067D">
        <w:rPr>
          <w:rFonts w:ascii="Arial" w:hAnsi="Arial"/>
          <w:b/>
          <w:sz w:val="22"/>
          <w:szCs w:val="22"/>
          <w:lang w:val="en-US"/>
        </w:rPr>
        <w:t>.</w:t>
      </w:r>
    </w:p>
    <w:p w14:paraId="6CC29A71" w14:textId="4E9E09A2" w:rsidR="00E25593" w:rsidRPr="005B067D" w:rsidRDefault="00E25593" w:rsidP="0057573A">
      <w:pPr>
        <w:pStyle w:val="ListParagraph"/>
        <w:numPr>
          <w:ilvl w:val="0"/>
          <w:numId w:val="11"/>
        </w:numPr>
        <w:spacing w:before="120" w:line="276" w:lineRule="auto"/>
        <w:jc w:val="both"/>
        <w:rPr>
          <w:rFonts w:ascii="Arial" w:hAnsi="Arial"/>
          <w:b/>
          <w:sz w:val="22"/>
          <w:szCs w:val="22"/>
          <w:lang w:val="en-US"/>
        </w:rPr>
      </w:pPr>
      <w:r w:rsidRPr="005B067D">
        <w:rPr>
          <w:rFonts w:ascii="Arial" w:hAnsi="Arial"/>
          <w:b/>
          <w:sz w:val="22"/>
          <w:szCs w:val="22"/>
          <w:lang w:val="en-US"/>
        </w:rPr>
        <w:t>To adopt a legislative act for the interpretation of the provisions of art. 167 para (1) paragraph (a) of the Civil Procedure Code whereby it shall be specified that Russian is not a foreign language in the Republic of Moldova</w:t>
      </w:r>
      <w:r w:rsidR="0057573A" w:rsidRPr="005B067D">
        <w:rPr>
          <w:rFonts w:ascii="Arial" w:hAnsi="Arial"/>
          <w:b/>
          <w:sz w:val="22"/>
          <w:szCs w:val="22"/>
          <w:lang w:val="en-US"/>
        </w:rPr>
        <w:t>.</w:t>
      </w:r>
    </w:p>
    <w:p w14:paraId="00ABC635" w14:textId="1B2905EE" w:rsidR="00E25593" w:rsidRPr="005B067D" w:rsidRDefault="00E25593" w:rsidP="0057573A">
      <w:pPr>
        <w:pStyle w:val="ListParagraph"/>
        <w:numPr>
          <w:ilvl w:val="0"/>
          <w:numId w:val="11"/>
        </w:numPr>
        <w:spacing w:before="120" w:line="276" w:lineRule="auto"/>
        <w:jc w:val="both"/>
        <w:rPr>
          <w:rFonts w:ascii="Arial" w:hAnsi="Arial"/>
          <w:b/>
          <w:sz w:val="22"/>
          <w:szCs w:val="22"/>
          <w:lang w:val="en-US"/>
        </w:rPr>
      </w:pPr>
      <w:r w:rsidRPr="005B067D">
        <w:rPr>
          <w:rFonts w:ascii="Arial" w:hAnsi="Arial"/>
          <w:b/>
          <w:sz w:val="22"/>
          <w:szCs w:val="22"/>
          <w:lang w:val="en-US"/>
        </w:rPr>
        <w:t>To ensure linguistic accessibility of public information including official websites of public authorities for Russian and other minority language speakers</w:t>
      </w:r>
      <w:r w:rsidR="0057573A" w:rsidRPr="005B067D">
        <w:rPr>
          <w:rFonts w:ascii="Arial" w:hAnsi="Arial"/>
          <w:b/>
          <w:sz w:val="22"/>
          <w:szCs w:val="22"/>
          <w:lang w:val="en-US"/>
        </w:rPr>
        <w:t>.</w:t>
      </w:r>
    </w:p>
    <w:p w14:paraId="1C5768F1" w14:textId="02B660BD" w:rsidR="00E25593" w:rsidRPr="005B067D" w:rsidRDefault="00E25593" w:rsidP="0057573A">
      <w:pPr>
        <w:pStyle w:val="ListParagraph"/>
        <w:numPr>
          <w:ilvl w:val="0"/>
          <w:numId w:val="11"/>
        </w:numPr>
        <w:spacing w:before="120" w:line="276" w:lineRule="auto"/>
        <w:jc w:val="both"/>
        <w:rPr>
          <w:rFonts w:ascii="Arial" w:hAnsi="Arial"/>
          <w:b/>
          <w:bCs/>
          <w:sz w:val="22"/>
          <w:szCs w:val="22"/>
          <w:lang w:val="en-US"/>
        </w:rPr>
      </w:pPr>
      <w:r w:rsidRPr="005B067D">
        <w:rPr>
          <w:rFonts w:ascii="Arial" w:hAnsi="Arial"/>
          <w:b/>
          <w:sz w:val="22"/>
          <w:szCs w:val="22"/>
          <w:lang w:val="en-US"/>
        </w:rPr>
        <w:t>To identify viable administrative solutions to ensure that persons belonging to national minorities can effectively exercise their right to receive a reply in the language in which the complaint was formulated, such as: contracting translation services,</w:t>
      </w:r>
      <w:r w:rsidR="000E0E23">
        <w:rPr>
          <w:rFonts w:ascii="Arial" w:hAnsi="Arial"/>
          <w:b/>
          <w:sz w:val="22"/>
          <w:szCs w:val="22"/>
          <w:lang w:val="en-US"/>
        </w:rPr>
        <w:t xml:space="preserve"> buying translation software,</w:t>
      </w:r>
      <w:r w:rsidRPr="005B067D">
        <w:rPr>
          <w:rFonts w:ascii="Arial" w:hAnsi="Arial"/>
          <w:b/>
          <w:sz w:val="22"/>
          <w:szCs w:val="22"/>
          <w:lang w:val="en-US"/>
        </w:rPr>
        <w:t xml:space="preserve"> employing staff, including national minorities, who also speak Russian and other languages of national minorities</w:t>
      </w:r>
      <w:r w:rsidRPr="005B067D">
        <w:rPr>
          <w:rFonts w:ascii="Arial" w:hAnsi="Arial" w:cs="Arial"/>
          <w:b/>
          <w:bCs/>
          <w:sz w:val="22"/>
          <w:szCs w:val="22"/>
          <w:lang w:val="en-US"/>
        </w:rPr>
        <w:t xml:space="preserve"> in the Republic of Moldova, etc.</w:t>
      </w:r>
    </w:p>
    <w:p w14:paraId="52E882CE" w14:textId="77777777" w:rsidR="00E25593" w:rsidRDefault="00E25593" w:rsidP="000434D9">
      <w:pPr>
        <w:spacing w:before="120" w:line="276" w:lineRule="auto"/>
        <w:jc w:val="both"/>
        <w:rPr>
          <w:rFonts w:ascii="Arial" w:hAnsi="Arial"/>
          <w:sz w:val="22"/>
          <w:szCs w:val="22"/>
        </w:rPr>
      </w:pPr>
    </w:p>
    <w:p w14:paraId="7CE25262" w14:textId="77777777" w:rsidR="000434D9" w:rsidRPr="000434D9" w:rsidRDefault="000434D9" w:rsidP="000434D9">
      <w:pPr>
        <w:spacing w:before="120" w:line="276" w:lineRule="auto"/>
        <w:jc w:val="both"/>
        <w:rPr>
          <w:rFonts w:ascii="Arial" w:hAnsi="Arial"/>
          <w:sz w:val="22"/>
          <w:szCs w:val="22"/>
        </w:rPr>
      </w:pPr>
    </w:p>
    <w:p w14:paraId="6B336ED2" w14:textId="77777777" w:rsidR="00167AF5" w:rsidRPr="002964EA" w:rsidRDefault="00167AF5" w:rsidP="00167AF5">
      <w:pPr>
        <w:numPr>
          <w:ilvl w:val="0"/>
          <w:numId w:val="7"/>
        </w:numPr>
        <w:spacing w:before="120" w:line="276" w:lineRule="auto"/>
        <w:jc w:val="both"/>
        <w:rPr>
          <w:rFonts w:ascii="Arial" w:eastAsia="Times New Roman" w:hAnsi="Arial"/>
          <w:b/>
          <w:sz w:val="22"/>
          <w:szCs w:val="22"/>
        </w:rPr>
      </w:pPr>
      <w:r w:rsidRPr="005B067D">
        <w:rPr>
          <w:rFonts w:ascii="Arial" w:eastAsia="Times New Roman" w:hAnsi="Arial"/>
          <w:b/>
          <w:sz w:val="22"/>
          <w:szCs w:val="22"/>
        </w:rPr>
        <w:t xml:space="preserve">Discrimination based on </w:t>
      </w:r>
      <w:r w:rsidRPr="002964EA">
        <w:rPr>
          <w:rFonts w:ascii="Arial" w:eastAsia="Times New Roman" w:hAnsi="Arial"/>
          <w:b/>
          <w:sz w:val="22"/>
          <w:szCs w:val="22"/>
        </w:rPr>
        <w:t xml:space="preserve">beliefs or religion (Art. 2, 18 and 26) </w:t>
      </w:r>
    </w:p>
    <w:p w14:paraId="2F2F54A4" w14:textId="5B925F27" w:rsidR="00167AF5" w:rsidRDefault="00167AF5" w:rsidP="0057573A">
      <w:pPr>
        <w:numPr>
          <w:ilvl w:val="0"/>
          <w:numId w:val="8"/>
        </w:numPr>
        <w:spacing w:before="120" w:line="276" w:lineRule="auto"/>
        <w:ind w:left="709"/>
        <w:jc w:val="both"/>
        <w:rPr>
          <w:rFonts w:ascii="Arial" w:hAnsi="Arial"/>
          <w:sz w:val="22"/>
          <w:szCs w:val="22"/>
        </w:rPr>
      </w:pPr>
      <w:r w:rsidRPr="005B067D">
        <w:rPr>
          <w:rFonts w:ascii="Arial" w:hAnsi="Arial"/>
          <w:sz w:val="22"/>
          <w:szCs w:val="22"/>
        </w:rPr>
        <w:t xml:space="preserve">The Equality Council has found discriminatory the impossibility to submit declarations of assets and personal interests for people who </w:t>
      </w:r>
      <w:r w:rsidR="007C5367">
        <w:rPr>
          <w:rFonts w:ascii="Arial" w:hAnsi="Arial"/>
          <w:sz w:val="22"/>
          <w:szCs w:val="22"/>
        </w:rPr>
        <w:t>refused to be assigned t</w:t>
      </w:r>
      <w:r w:rsidRPr="005B067D">
        <w:rPr>
          <w:rFonts w:ascii="Arial" w:hAnsi="Arial"/>
          <w:sz w:val="22"/>
          <w:szCs w:val="22"/>
        </w:rPr>
        <w:t>he personal numeric code for reasons related to religious beliefs (decisions no. 223/18</w:t>
      </w:r>
      <w:r w:rsidRPr="005B067D">
        <w:rPr>
          <w:rStyle w:val="FootnoteReference"/>
          <w:rFonts w:ascii="Arial" w:hAnsi="Arial"/>
          <w:sz w:val="22"/>
          <w:szCs w:val="22"/>
        </w:rPr>
        <w:footnoteReference w:id="7"/>
      </w:r>
      <w:r w:rsidR="00B32C85" w:rsidRPr="005B067D">
        <w:rPr>
          <w:rFonts w:ascii="Arial" w:hAnsi="Arial"/>
          <w:sz w:val="22"/>
          <w:szCs w:val="22"/>
        </w:rPr>
        <w:t xml:space="preserve">, </w:t>
      </w:r>
      <w:r w:rsidRPr="005B067D">
        <w:rPr>
          <w:rFonts w:ascii="Arial" w:hAnsi="Arial"/>
          <w:sz w:val="22"/>
          <w:szCs w:val="22"/>
        </w:rPr>
        <w:t>no. 67/19</w:t>
      </w:r>
      <w:r w:rsidRPr="005B067D">
        <w:rPr>
          <w:rStyle w:val="FootnoteReference"/>
          <w:rFonts w:ascii="Arial" w:hAnsi="Arial"/>
          <w:sz w:val="22"/>
          <w:szCs w:val="22"/>
        </w:rPr>
        <w:footnoteReference w:id="8"/>
      </w:r>
      <w:r w:rsidR="00B32C85" w:rsidRPr="005B067D">
        <w:rPr>
          <w:rFonts w:ascii="Arial" w:hAnsi="Arial"/>
          <w:sz w:val="22"/>
          <w:szCs w:val="22"/>
        </w:rPr>
        <w:t xml:space="preserve">, and no </w:t>
      </w:r>
      <w:r w:rsidR="009D4750" w:rsidRPr="005B067D">
        <w:rPr>
          <w:rFonts w:ascii="Arial" w:hAnsi="Arial"/>
          <w:sz w:val="22"/>
          <w:szCs w:val="22"/>
        </w:rPr>
        <w:t>30/25</w:t>
      </w:r>
      <w:r w:rsidRPr="005B067D">
        <w:rPr>
          <w:rFonts w:ascii="Arial" w:hAnsi="Arial"/>
          <w:sz w:val="22"/>
          <w:szCs w:val="22"/>
        </w:rPr>
        <w:t>)</w:t>
      </w:r>
      <w:r w:rsidRPr="005B067D">
        <w:rPr>
          <w:rFonts w:ascii="Arial" w:eastAsia="Times New Roman" w:hAnsi="Arial"/>
          <w:sz w:val="22"/>
          <w:szCs w:val="22"/>
        </w:rPr>
        <w:t>.</w:t>
      </w:r>
      <w:r w:rsidRPr="005B067D">
        <w:rPr>
          <w:rFonts w:ascii="Arial" w:hAnsi="Arial"/>
          <w:sz w:val="22"/>
          <w:szCs w:val="22"/>
        </w:rPr>
        <w:t xml:space="preserve"> In the Republic of Moldova there are </w:t>
      </w:r>
      <w:r w:rsidR="00A1404C" w:rsidRPr="005B067D">
        <w:rPr>
          <w:rFonts w:ascii="Arial" w:hAnsi="Arial"/>
          <w:sz w:val="22"/>
          <w:szCs w:val="22"/>
        </w:rPr>
        <w:t>several</w:t>
      </w:r>
      <w:r w:rsidR="007C5367">
        <w:rPr>
          <w:rFonts w:ascii="Arial" w:hAnsi="Arial"/>
          <w:sz w:val="22"/>
          <w:szCs w:val="22"/>
        </w:rPr>
        <w:t xml:space="preserve"> groups of</w:t>
      </w:r>
      <w:r w:rsidRPr="005B067D">
        <w:rPr>
          <w:rFonts w:ascii="Arial" w:hAnsi="Arial"/>
          <w:sz w:val="22"/>
          <w:szCs w:val="22"/>
        </w:rPr>
        <w:t xml:space="preserve"> people, mainly civil servants and state officials, who are required by law </w:t>
      </w:r>
      <w:r w:rsidR="007C5367" w:rsidRPr="005B067D">
        <w:rPr>
          <w:rFonts w:ascii="Arial" w:hAnsi="Arial"/>
          <w:sz w:val="22"/>
          <w:szCs w:val="22"/>
        </w:rPr>
        <w:t xml:space="preserve">to </w:t>
      </w:r>
      <w:r w:rsidRPr="005B067D">
        <w:rPr>
          <w:rFonts w:ascii="Arial" w:hAnsi="Arial"/>
          <w:sz w:val="22"/>
          <w:szCs w:val="22"/>
        </w:rPr>
        <w:t xml:space="preserve">annually submit a declaration of assets and interests. Failure to comply with this obligation may result in the sanction or even dismissal of the person. The system for declaring assets and interests is exclusively electronic, which works only in possession of an electronic key. The electronic key is issued only to </w:t>
      </w:r>
      <w:r w:rsidR="00A1404C" w:rsidRPr="005B067D">
        <w:rPr>
          <w:rFonts w:ascii="Arial" w:hAnsi="Arial"/>
          <w:sz w:val="22"/>
          <w:szCs w:val="22"/>
        </w:rPr>
        <w:t>people</w:t>
      </w:r>
      <w:r w:rsidRPr="005B067D">
        <w:rPr>
          <w:rFonts w:ascii="Arial" w:hAnsi="Arial"/>
          <w:sz w:val="22"/>
          <w:szCs w:val="22"/>
        </w:rPr>
        <w:t xml:space="preserve"> who have a personal numeric code. Respectively, people who </w:t>
      </w:r>
      <w:r w:rsidR="007C5367">
        <w:rPr>
          <w:rFonts w:ascii="Arial" w:hAnsi="Arial"/>
          <w:sz w:val="22"/>
          <w:szCs w:val="22"/>
        </w:rPr>
        <w:t>refuse to get the personal code</w:t>
      </w:r>
      <w:r w:rsidRPr="005B067D">
        <w:rPr>
          <w:rFonts w:ascii="Arial" w:hAnsi="Arial"/>
          <w:sz w:val="22"/>
          <w:szCs w:val="22"/>
        </w:rPr>
        <w:t xml:space="preserve"> for religious </w:t>
      </w:r>
      <w:proofErr w:type="gramStart"/>
      <w:r w:rsidRPr="005B067D">
        <w:rPr>
          <w:rFonts w:ascii="Arial" w:hAnsi="Arial"/>
          <w:sz w:val="22"/>
          <w:szCs w:val="22"/>
        </w:rPr>
        <w:t>reasons,</w:t>
      </w:r>
      <w:proofErr w:type="gramEnd"/>
      <w:r w:rsidRPr="005B067D">
        <w:rPr>
          <w:rFonts w:ascii="Arial" w:hAnsi="Arial"/>
          <w:sz w:val="22"/>
          <w:szCs w:val="22"/>
        </w:rPr>
        <w:t xml:space="preserve"> risk being sanctioned and fired for lack of an alternative procedure </w:t>
      </w:r>
      <w:r w:rsidR="007C5367">
        <w:rPr>
          <w:rFonts w:ascii="Arial" w:hAnsi="Arial"/>
          <w:sz w:val="22"/>
          <w:szCs w:val="22"/>
        </w:rPr>
        <w:t>of</w:t>
      </w:r>
      <w:r w:rsidRPr="005B067D">
        <w:rPr>
          <w:rFonts w:ascii="Arial" w:hAnsi="Arial"/>
          <w:sz w:val="22"/>
          <w:szCs w:val="22"/>
        </w:rPr>
        <w:t xml:space="preserve"> reporting</w:t>
      </w:r>
      <w:r w:rsidR="000434D9">
        <w:rPr>
          <w:rFonts w:ascii="Arial" w:hAnsi="Arial"/>
          <w:sz w:val="22"/>
          <w:szCs w:val="22"/>
        </w:rPr>
        <w:t>.</w:t>
      </w:r>
    </w:p>
    <w:p w14:paraId="624E2722" w14:textId="77777777" w:rsidR="000434D9" w:rsidRPr="005B067D" w:rsidRDefault="000434D9" w:rsidP="000434D9">
      <w:pPr>
        <w:spacing w:before="120" w:line="276" w:lineRule="auto"/>
        <w:jc w:val="both"/>
        <w:rPr>
          <w:rFonts w:ascii="Arial" w:hAnsi="Arial"/>
          <w:sz w:val="22"/>
          <w:szCs w:val="22"/>
        </w:rPr>
      </w:pPr>
    </w:p>
    <w:p w14:paraId="08E1BDFD" w14:textId="77777777" w:rsidR="009D4750" w:rsidRPr="005B067D" w:rsidRDefault="009D4750" w:rsidP="0057573A">
      <w:pPr>
        <w:pStyle w:val="ListParagraph"/>
        <w:spacing w:before="120" w:line="276" w:lineRule="auto"/>
        <w:ind w:left="709"/>
        <w:jc w:val="both"/>
        <w:rPr>
          <w:rFonts w:ascii="Arial" w:hAnsi="Arial"/>
          <w:b/>
          <w:sz w:val="22"/>
          <w:szCs w:val="22"/>
          <w:lang w:val="en-US"/>
        </w:rPr>
      </w:pPr>
      <w:r w:rsidRPr="005B067D">
        <w:rPr>
          <w:rFonts w:ascii="Arial" w:hAnsi="Arial"/>
          <w:b/>
          <w:sz w:val="22"/>
          <w:szCs w:val="22"/>
          <w:lang w:val="en-US"/>
        </w:rPr>
        <w:t>Recommendations:</w:t>
      </w:r>
    </w:p>
    <w:p w14:paraId="321897AB" w14:textId="5060D55F" w:rsidR="00167AF5" w:rsidRPr="005B067D" w:rsidRDefault="0057573A" w:rsidP="0057573A">
      <w:pPr>
        <w:pStyle w:val="ListParagraph"/>
        <w:numPr>
          <w:ilvl w:val="0"/>
          <w:numId w:val="11"/>
        </w:numPr>
        <w:spacing w:before="120" w:line="276" w:lineRule="auto"/>
        <w:jc w:val="both"/>
        <w:rPr>
          <w:rFonts w:ascii="Arial" w:hAnsi="Arial"/>
          <w:b/>
          <w:sz w:val="22"/>
          <w:szCs w:val="22"/>
          <w:lang w:val="en-US"/>
        </w:rPr>
      </w:pPr>
      <w:r w:rsidRPr="005B067D">
        <w:rPr>
          <w:rFonts w:ascii="Arial" w:hAnsi="Arial"/>
          <w:b/>
          <w:sz w:val="22"/>
          <w:szCs w:val="22"/>
          <w:lang w:val="en-US"/>
        </w:rPr>
        <w:t>Implement alternative identification mechanisms to ensure that civil servants and state officials who decline the use of a Personal Identification Number (PIN/CNP</w:t>
      </w:r>
      <w:r w:rsidR="00FE12C1">
        <w:rPr>
          <w:rFonts w:ascii="Arial" w:hAnsi="Arial"/>
          <w:b/>
          <w:sz w:val="22"/>
          <w:szCs w:val="22"/>
          <w:lang w:val="en-US"/>
        </w:rPr>
        <w:t>/IDNP</w:t>
      </w:r>
      <w:r w:rsidRPr="005B067D">
        <w:rPr>
          <w:rFonts w:ascii="Arial" w:hAnsi="Arial"/>
          <w:b/>
          <w:sz w:val="22"/>
          <w:szCs w:val="22"/>
          <w:lang w:val="en-US"/>
        </w:rPr>
        <w:t>) based on religious grounds can fulfill their legal obligation to submit declarations of assets and personal interests.</w:t>
      </w:r>
    </w:p>
    <w:p w14:paraId="0DA873D4" w14:textId="7717EFFA" w:rsidR="00E25593" w:rsidRDefault="00E25593" w:rsidP="000434D9">
      <w:pPr>
        <w:spacing w:before="120" w:line="276" w:lineRule="auto"/>
        <w:jc w:val="both"/>
        <w:rPr>
          <w:rFonts w:ascii="Arial" w:hAnsi="Arial"/>
          <w:b/>
          <w:sz w:val="22"/>
          <w:szCs w:val="22"/>
        </w:rPr>
      </w:pPr>
    </w:p>
    <w:p w14:paraId="18503415" w14:textId="77777777" w:rsidR="000434D9" w:rsidRPr="005B067D" w:rsidRDefault="000434D9" w:rsidP="000434D9">
      <w:pPr>
        <w:spacing w:before="120" w:line="276" w:lineRule="auto"/>
        <w:jc w:val="both"/>
        <w:rPr>
          <w:rFonts w:ascii="Arial" w:hAnsi="Arial"/>
          <w:b/>
          <w:sz w:val="22"/>
          <w:szCs w:val="22"/>
        </w:rPr>
      </w:pPr>
    </w:p>
    <w:p w14:paraId="18278FF0" w14:textId="344227F1" w:rsidR="004152FE" w:rsidRPr="005B067D" w:rsidRDefault="004152FE" w:rsidP="004152FE">
      <w:pPr>
        <w:numPr>
          <w:ilvl w:val="0"/>
          <w:numId w:val="7"/>
        </w:numPr>
        <w:spacing w:before="120" w:line="276" w:lineRule="auto"/>
        <w:jc w:val="both"/>
        <w:rPr>
          <w:rFonts w:ascii="Arial" w:hAnsi="Arial"/>
          <w:b/>
          <w:sz w:val="22"/>
          <w:szCs w:val="22"/>
        </w:rPr>
      </w:pPr>
      <w:r w:rsidRPr="005B067D">
        <w:rPr>
          <w:rFonts w:ascii="Arial" w:hAnsi="Arial"/>
          <w:b/>
          <w:sz w:val="22"/>
          <w:szCs w:val="22"/>
        </w:rPr>
        <w:t>Gender equality (Art. 3)</w:t>
      </w:r>
    </w:p>
    <w:p w14:paraId="40C99F50" w14:textId="028B1C66" w:rsidR="004152FE" w:rsidRPr="005B067D" w:rsidRDefault="004152FE" w:rsidP="004152FE">
      <w:pPr>
        <w:spacing w:before="120" w:line="276" w:lineRule="auto"/>
        <w:ind w:left="720"/>
        <w:jc w:val="center"/>
        <w:rPr>
          <w:rFonts w:ascii="Arial" w:hAnsi="Arial"/>
          <w:sz w:val="22"/>
          <w:szCs w:val="22"/>
        </w:rPr>
      </w:pPr>
      <w:r w:rsidRPr="002964EA">
        <w:rPr>
          <w:rFonts w:ascii="Arial" w:hAnsi="Arial"/>
          <w:sz w:val="22"/>
          <w:szCs w:val="22"/>
        </w:rPr>
        <w:t>(HRC 13, 14)</w:t>
      </w:r>
    </w:p>
    <w:p w14:paraId="1D08770C" w14:textId="4E0F1BB8" w:rsidR="004152FE" w:rsidRPr="005B067D" w:rsidRDefault="004152FE" w:rsidP="004152FE">
      <w:pPr>
        <w:numPr>
          <w:ilvl w:val="0"/>
          <w:numId w:val="8"/>
        </w:numPr>
        <w:spacing w:before="120" w:line="276" w:lineRule="auto"/>
        <w:ind w:left="709"/>
        <w:jc w:val="both"/>
        <w:rPr>
          <w:rFonts w:ascii="Arial" w:hAnsi="Arial"/>
          <w:sz w:val="22"/>
          <w:szCs w:val="22"/>
        </w:rPr>
      </w:pPr>
      <w:r w:rsidRPr="005B067D">
        <w:rPr>
          <w:rFonts w:ascii="Arial" w:hAnsi="Arial"/>
          <w:sz w:val="22"/>
          <w:szCs w:val="22"/>
        </w:rPr>
        <w:t xml:space="preserve">Gender stereotypes about women’s roles in society not only persist </w:t>
      </w:r>
      <w:r w:rsidR="004F00B0" w:rsidRPr="005B067D">
        <w:rPr>
          <w:rFonts w:ascii="Arial" w:hAnsi="Arial"/>
          <w:sz w:val="22"/>
          <w:szCs w:val="22"/>
        </w:rPr>
        <w:t>but also</w:t>
      </w:r>
      <w:r w:rsidRPr="005B067D">
        <w:rPr>
          <w:rFonts w:ascii="Arial" w:hAnsi="Arial"/>
          <w:sz w:val="22"/>
          <w:szCs w:val="22"/>
        </w:rPr>
        <w:t xml:space="preserve"> have become increasingly pronounced. According to the report "Representation, power, and gender inequalities in the 2025 parliamentary elections"</w:t>
      </w:r>
      <w:r w:rsidRPr="005B067D">
        <w:rPr>
          <w:rStyle w:val="FootnoteReference"/>
          <w:rFonts w:ascii="Arial" w:hAnsi="Arial"/>
          <w:sz w:val="22"/>
          <w:szCs w:val="22"/>
        </w:rPr>
        <w:footnoteReference w:id="9"/>
      </w:r>
      <w:r w:rsidRPr="005B067D">
        <w:rPr>
          <w:rFonts w:ascii="Arial" w:hAnsi="Arial"/>
          <w:sz w:val="22"/>
          <w:szCs w:val="22"/>
        </w:rPr>
        <w:t xml:space="preserve"> the proportion of those who believe that women "have no place in politics" increased from 18.2% in 2021 to 26.2% in 2025, reflecting a strengthening of negative attitudes towards women's involvement in the political process. Stereotypes about private life are even more pronounced. The proportion of those who believe that "a woman's destiny is family and household" has increased significantly, from 47.9% in 2021 to 62.4% in 2025. At the same time, almost 70% of respondents believe that "it is more the duty of men to bring money into the household," and over 55% believe that "household chores" are primarily the responsibility of women.</w:t>
      </w:r>
    </w:p>
    <w:p w14:paraId="6C20DE51" w14:textId="3DBF52A9" w:rsidR="004152FE" w:rsidRPr="005B067D" w:rsidRDefault="00A30342" w:rsidP="00A30342">
      <w:pPr>
        <w:numPr>
          <w:ilvl w:val="0"/>
          <w:numId w:val="8"/>
        </w:numPr>
        <w:spacing w:before="120" w:line="276" w:lineRule="auto"/>
        <w:ind w:left="709"/>
        <w:jc w:val="both"/>
        <w:rPr>
          <w:rFonts w:ascii="Arial" w:hAnsi="Arial"/>
          <w:sz w:val="22"/>
          <w:szCs w:val="22"/>
        </w:rPr>
      </w:pPr>
      <w:r w:rsidRPr="005B067D">
        <w:rPr>
          <w:rFonts w:ascii="Arial" w:hAnsi="Arial"/>
          <w:sz w:val="22"/>
          <w:szCs w:val="22"/>
        </w:rPr>
        <w:t>A major factor contributing to the reinforcement of stereotypes is the visible increase in hate speech and sexist attacks against female politicians. According to the Promo-LEX</w:t>
      </w:r>
      <w:r w:rsidRPr="005B067D">
        <w:rPr>
          <w:rStyle w:val="FootnoteReference"/>
          <w:rFonts w:ascii="Arial" w:hAnsi="Arial"/>
          <w:sz w:val="22"/>
          <w:szCs w:val="22"/>
        </w:rPr>
        <w:footnoteReference w:id="10"/>
      </w:r>
      <w:r w:rsidRPr="005B067D">
        <w:rPr>
          <w:rFonts w:ascii="Arial" w:hAnsi="Arial"/>
          <w:sz w:val="22"/>
          <w:szCs w:val="22"/>
        </w:rPr>
        <w:t xml:space="preserve"> report on hate speech in the 2024 elections, women were among the most frequently targeted social groups, alongside the LGBTQI+ community and politicians in general, being the target of dozens of cases of sexist and derogatory attacks in the media and on social networks.</w:t>
      </w:r>
    </w:p>
    <w:p w14:paraId="739383E1" w14:textId="01DE05E8" w:rsidR="006C402B" w:rsidRPr="005B067D" w:rsidRDefault="006C402B" w:rsidP="00A30342">
      <w:pPr>
        <w:numPr>
          <w:ilvl w:val="0"/>
          <w:numId w:val="8"/>
        </w:numPr>
        <w:spacing w:before="120" w:line="276" w:lineRule="auto"/>
        <w:ind w:left="709"/>
        <w:jc w:val="both"/>
        <w:rPr>
          <w:rFonts w:ascii="Arial" w:hAnsi="Arial"/>
          <w:sz w:val="22"/>
          <w:szCs w:val="22"/>
        </w:rPr>
      </w:pPr>
      <w:r w:rsidRPr="005B067D">
        <w:rPr>
          <w:rFonts w:ascii="Arial" w:hAnsi="Arial"/>
          <w:sz w:val="22"/>
          <w:szCs w:val="22"/>
        </w:rPr>
        <w:t xml:space="preserve">The 2025 parliamentary elections were marked by a relatively balanced representation of women on the </w:t>
      </w:r>
      <w:proofErr w:type="gramStart"/>
      <w:r w:rsidRPr="005B067D">
        <w:rPr>
          <w:rFonts w:ascii="Arial" w:hAnsi="Arial"/>
          <w:sz w:val="22"/>
          <w:szCs w:val="22"/>
        </w:rPr>
        <w:t>lists</w:t>
      </w:r>
      <w:proofErr w:type="gramEnd"/>
      <w:r w:rsidR="00B1297A" w:rsidRPr="00B1297A">
        <w:rPr>
          <w:rFonts w:ascii="Arial" w:hAnsi="Arial"/>
          <w:sz w:val="22"/>
          <w:szCs w:val="22"/>
        </w:rPr>
        <w:t xml:space="preserve"> </w:t>
      </w:r>
      <w:r w:rsidR="00B1297A" w:rsidRPr="005B067D">
        <w:rPr>
          <w:rFonts w:ascii="Arial" w:hAnsi="Arial"/>
          <w:sz w:val="22"/>
          <w:szCs w:val="22"/>
        </w:rPr>
        <w:t>candidate</w:t>
      </w:r>
      <w:r w:rsidR="00B1297A">
        <w:rPr>
          <w:rFonts w:ascii="Arial" w:hAnsi="Arial"/>
          <w:sz w:val="22"/>
          <w:szCs w:val="22"/>
        </w:rPr>
        <w:t>s</w:t>
      </w:r>
      <w:r w:rsidRPr="005B067D">
        <w:rPr>
          <w:rFonts w:ascii="Arial" w:hAnsi="Arial"/>
          <w:sz w:val="22"/>
          <w:szCs w:val="22"/>
        </w:rPr>
        <w:t>. According to data provided by the Central Election Commission, women constitute 44.0% of all registered candidates, a figure that indicates a relatively balanced gender representation on the electoral lists. However, if we look at the 2021 parliamentary elections, when women accounted for 46.7% of candidates, we see a slight decrease in their share. This trend suggests that legislative mechanisms must be supported by real political commitments and concrete measures to ensure both the numerical presence of women on candidate lists and their effective participation in the electoral competition and subsequent decision-making processes.</w:t>
      </w:r>
    </w:p>
    <w:p w14:paraId="691D0521" w14:textId="576A922B" w:rsidR="006C402B" w:rsidRPr="005B067D" w:rsidRDefault="006C402B" w:rsidP="00A30342">
      <w:pPr>
        <w:numPr>
          <w:ilvl w:val="0"/>
          <w:numId w:val="8"/>
        </w:numPr>
        <w:spacing w:before="120" w:line="276" w:lineRule="auto"/>
        <w:ind w:left="709"/>
        <w:jc w:val="both"/>
        <w:rPr>
          <w:rFonts w:ascii="Arial" w:hAnsi="Arial"/>
          <w:sz w:val="22"/>
          <w:szCs w:val="22"/>
        </w:rPr>
      </w:pPr>
      <w:r w:rsidRPr="005B067D">
        <w:rPr>
          <w:rFonts w:ascii="Arial" w:hAnsi="Arial"/>
          <w:sz w:val="22"/>
          <w:szCs w:val="22"/>
        </w:rPr>
        <w:t>The positioning indicators show that, although women have gained ground in recent years, men continue to dominate the top of the lists and the top five positions. This situation can also be explained by the fact that, as a rule, the top position on the list is reserved for party presidents, and most parties in the Republic of Moldova continue to be led by men.</w:t>
      </w:r>
    </w:p>
    <w:p w14:paraId="09AF94BD" w14:textId="59EE3280" w:rsidR="00DC4DB8" w:rsidRPr="005B067D" w:rsidRDefault="00DC4DB8" w:rsidP="00A30342">
      <w:pPr>
        <w:numPr>
          <w:ilvl w:val="0"/>
          <w:numId w:val="8"/>
        </w:numPr>
        <w:spacing w:before="120" w:line="276" w:lineRule="auto"/>
        <w:ind w:left="709"/>
        <w:jc w:val="both"/>
        <w:rPr>
          <w:rFonts w:ascii="Arial" w:hAnsi="Arial"/>
          <w:sz w:val="22"/>
          <w:szCs w:val="22"/>
        </w:rPr>
      </w:pPr>
      <w:r w:rsidRPr="005B067D">
        <w:rPr>
          <w:rFonts w:ascii="Arial" w:hAnsi="Arial"/>
          <w:sz w:val="22"/>
          <w:szCs w:val="22"/>
        </w:rPr>
        <w:t>The proportion of female MPs in the 12th Parliament of the Republic of Moldova has decreased compared to the previous election. According to the results of the parliamentary elections held on September 28, 2025, women hold 36.6% of all seats, which is 4 percentage points less than previously. Strategic leadership roles in parliamentary structures remain predominantly male. Men dominate committee chair positions, accounting for 66.7% of these roles, while vice-chair and secretary positions are more evenly distributed between male and female MPs. A similar dynamic can be observed within parliamentary factions: only two women hold the position of chair (33.3%), while women are in the majority in vice-chair positions (62%).</w:t>
      </w:r>
    </w:p>
    <w:p w14:paraId="591857E7" w14:textId="24E99713" w:rsidR="00AD2322" w:rsidRPr="005B067D" w:rsidRDefault="00AD2322" w:rsidP="00A30342">
      <w:pPr>
        <w:numPr>
          <w:ilvl w:val="0"/>
          <w:numId w:val="8"/>
        </w:numPr>
        <w:spacing w:before="120" w:line="276" w:lineRule="auto"/>
        <w:ind w:left="709"/>
        <w:jc w:val="both"/>
        <w:rPr>
          <w:rFonts w:ascii="Arial" w:hAnsi="Arial"/>
          <w:sz w:val="22"/>
          <w:szCs w:val="22"/>
        </w:rPr>
      </w:pPr>
      <w:r w:rsidRPr="005B067D">
        <w:rPr>
          <w:rFonts w:ascii="Arial" w:hAnsi="Arial"/>
          <w:sz w:val="22"/>
          <w:szCs w:val="22"/>
        </w:rPr>
        <w:t>Despite some progress in the field of gender equality, women continue to be underrepresented at the government level. The current situation speaks for itself: in 2025, the new "Munteanu Government" cabinet includes only four women out of 17 members of the Executive</w:t>
      </w:r>
      <w:r w:rsidR="00B1297A">
        <w:rPr>
          <w:rFonts w:ascii="Arial" w:hAnsi="Arial"/>
          <w:sz w:val="22"/>
          <w:szCs w:val="22"/>
        </w:rPr>
        <w:t xml:space="preserve"> </w:t>
      </w:r>
      <w:r w:rsidRPr="005B067D">
        <w:rPr>
          <w:rFonts w:ascii="Arial" w:hAnsi="Arial"/>
          <w:sz w:val="22"/>
          <w:szCs w:val="22"/>
        </w:rPr>
        <w:t>—</w:t>
      </w:r>
      <w:r w:rsidR="00B1297A">
        <w:rPr>
          <w:rFonts w:ascii="Arial" w:hAnsi="Arial"/>
          <w:sz w:val="22"/>
          <w:szCs w:val="22"/>
        </w:rPr>
        <w:t xml:space="preserve"> </w:t>
      </w:r>
      <w:r w:rsidRPr="005B067D">
        <w:rPr>
          <w:rFonts w:ascii="Arial" w:hAnsi="Arial"/>
          <w:sz w:val="22"/>
          <w:szCs w:val="22"/>
        </w:rPr>
        <w:t>three fewer than in the previous government.</w:t>
      </w:r>
    </w:p>
    <w:p w14:paraId="23A7022F" w14:textId="6BCC9425" w:rsidR="00C67D86" w:rsidRDefault="00C67D86" w:rsidP="00F06C44">
      <w:pPr>
        <w:spacing w:before="120" w:line="276" w:lineRule="auto"/>
        <w:ind w:left="709"/>
        <w:jc w:val="both"/>
        <w:rPr>
          <w:rFonts w:ascii="Arial" w:hAnsi="Arial"/>
          <w:b/>
          <w:sz w:val="22"/>
          <w:szCs w:val="22"/>
        </w:rPr>
      </w:pPr>
    </w:p>
    <w:p w14:paraId="11192919" w14:textId="77777777" w:rsidR="002424EE" w:rsidRDefault="002424EE" w:rsidP="00F06C44">
      <w:pPr>
        <w:spacing w:before="120" w:line="276" w:lineRule="auto"/>
        <w:ind w:left="709"/>
        <w:jc w:val="both"/>
        <w:rPr>
          <w:rFonts w:ascii="Arial" w:hAnsi="Arial"/>
          <w:b/>
          <w:sz w:val="22"/>
          <w:szCs w:val="22"/>
        </w:rPr>
      </w:pPr>
    </w:p>
    <w:p w14:paraId="7772A19A" w14:textId="77777777" w:rsidR="002424EE" w:rsidRDefault="002424EE" w:rsidP="00F06C44">
      <w:pPr>
        <w:spacing w:before="120" w:line="276" w:lineRule="auto"/>
        <w:ind w:left="709"/>
        <w:jc w:val="both"/>
        <w:rPr>
          <w:rFonts w:ascii="Arial" w:hAnsi="Arial"/>
          <w:b/>
          <w:sz w:val="22"/>
          <w:szCs w:val="22"/>
        </w:rPr>
      </w:pPr>
    </w:p>
    <w:p w14:paraId="3F97636B" w14:textId="24D9912C" w:rsidR="00F06C44" w:rsidRPr="005B067D" w:rsidRDefault="00F06C44" w:rsidP="00F06C44">
      <w:pPr>
        <w:spacing w:before="120" w:line="276" w:lineRule="auto"/>
        <w:ind w:left="709"/>
        <w:jc w:val="both"/>
        <w:rPr>
          <w:rFonts w:ascii="Arial" w:hAnsi="Arial"/>
          <w:b/>
          <w:sz w:val="22"/>
          <w:szCs w:val="22"/>
        </w:rPr>
      </w:pPr>
      <w:r w:rsidRPr="005B067D">
        <w:rPr>
          <w:rFonts w:ascii="Arial" w:hAnsi="Arial"/>
          <w:b/>
          <w:sz w:val="22"/>
          <w:szCs w:val="22"/>
        </w:rPr>
        <w:t>Recommendations:</w:t>
      </w:r>
    </w:p>
    <w:p w14:paraId="4F2A6C5D" w14:textId="0AF90BC0" w:rsidR="00F06C44" w:rsidRPr="005B067D" w:rsidRDefault="00F06C44" w:rsidP="00F06C44">
      <w:pPr>
        <w:pStyle w:val="ListParagraph"/>
        <w:numPr>
          <w:ilvl w:val="0"/>
          <w:numId w:val="11"/>
        </w:numPr>
        <w:spacing w:before="120" w:line="276" w:lineRule="auto"/>
        <w:jc w:val="both"/>
        <w:rPr>
          <w:rFonts w:ascii="Arial" w:hAnsi="Arial"/>
          <w:b/>
          <w:bCs/>
          <w:sz w:val="22"/>
          <w:szCs w:val="22"/>
          <w:lang w:val="en-US"/>
        </w:rPr>
      </w:pPr>
      <w:r w:rsidRPr="005B067D">
        <w:rPr>
          <w:rFonts w:ascii="Arial" w:hAnsi="Arial"/>
          <w:b/>
          <w:bCs/>
          <w:sz w:val="22"/>
          <w:szCs w:val="22"/>
          <w:lang w:val="en-US"/>
        </w:rPr>
        <w:t>Conduct awareness-raising campaigns to dismantle gender stereotypes and combat bias against women in politics, thereby fostering gender equality and increasing women's active participation in political life.</w:t>
      </w:r>
    </w:p>
    <w:p w14:paraId="140472E6" w14:textId="7AEDB8E9" w:rsidR="00AD2322" w:rsidRPr="005B067D" w:rsidRDefault="00AD2322" w:rsidP="00F06C44">
      <w:pPr>
        <w:pStyle w:val="ListParagraph"/>
        <w:numPr>
          <w:ilvl w:val="0"/>
          <w:numId w:val="11"/>
        </w:numPr>
        <w:spacing w:before="120" w:line="276" w:lineRule="auto"/>
        <w:jc w:val="both"/>
        <w:rPr>
          <w:rFonts w:ascii="Arial" w:hAnsi="Arial"/>
          <w:b/>
          <w:bCs/>
          <w:sz w:val="22"/>
          <w:szCs w:val="22"/>
          <w:lang w:val="en-US"/>
        </w:rPr>
      </w:pPr>
      <w:r w:rsidRPr="005B067D">
        <w:rPr>
          <w:rFonts w:ascii="Arial" w:hAnsi="Arial"/>
          <w:b/>
          <w:bCs/>
          <w:sz w:val="22"/>
          <w:szCs w:val="22"/>
          <w:lang w:val="en-US"/>
        </w:rPr>
        <w:t>Establishing gender quotas for equitable representation in government.</w:t>
      </w:r>
    </w:p>
    <w:p w14:paraId="6561957E" w14:textId="2C50DED1" w:rsidR="00AD2322" w:rsidRPr="005B067D" w:rsidRDefault="00AD2322" w:rsidP="00F06C44">
      <w:pPr>
        <w:pStyle w:val="ListParagraph"/>
        <w:numPr>
          <w:ilvl w:val="0"/>
          <w:numId w:val="11"/>
        </w:numPr>
        <w:spacing w:before="120" w:line="276" w:lineRule="auto"/>
        <w:jc w:val="both"/>
        <w:rPr>
          <w:rFonts w:ascii="Arial" w:hAnsi="Arial"/>
          <w:b/>
          <w:bCs/>
          <w:sz w:val="22"/>
          <w:szCs w:val="22"/>
          <w:lang w:val="en-US"/>
        </w:rPr>
      </w:pPr>
      <w:r w:rsidRPr="005B067D">
        <w:rPr>
          <w:rFonts w:ascii="Arial" w:hAnsi="Arial"/>
          <w:b/>
          <w:bCs/>
          <w:sz w:val="22"/>
          <w:szCs w:val="22"/>
          <w:lang w:val="en-US"/>
        </w:rPr>
        <w:t>Developing a legislative agenda to promote gender equality and inclusion.</w:t>
      </w:r>
    </w:p>
    <w:p w14:paraId="28E26A8D" w14:textId="2304CF97" w:rsidR="00AD2322" w:rsidRPr="005B067D" w:rsidRDefault="00AD2322" w:rsidP="00F06C44">
      <w:pPr>
        <w:pStyle w:val="ListParagraph"/>
        <w:numPr>
          <w:ilvl w:val="0"/>
          <w:numId w:val="11"/>
        </w:numPr>
        <w:spacing w:before="120" w:line="276" w:lineRule="auto"/>
        <w:jc w:val="both"/>
        <w:rPr>
          <w:rFonts w:ascii="Arial" w:hAnsi="Arial"/>
          <w:b/>
          <w:bCs/>
          <w:sz w:val="22"/>
          <w:szCs w:val="22"/>
          <w:lang w:val="en-US"/>
        </w:rPr>
      </w:pPr>
      <w:r w:rsidRPr="005B067D">
        <w:rPr>
          <w:rFonts w:ascii="Arial" w:hAnsi="Arial"/>
          <w:b/>
          <w:bCs/>
          <w:sz w:val="22"/>
          <w:szCs w:val="22"/>
          <w:lang w:val="en-US"/>
        </w:rPr>
        <w:t>Conducting a gender audit and action plan in Parliament.</w:t>
      </w:r>
    </w:p>
    <w:p w14:paraId="5260283F" w14:textId="77777777" w:rsidR="00F06C44" w:rsidRDefault="00F06C44" w:rsidP="00F06C44">
      <w:pPr>
        <w:spacing w:before="120" w:line="276" w:lineRule="auto"/>
        <w:jc w:val="both"/>
        <w:rPr>
          <w:rFonts w:ascii="Arial" w:hAnsi="Arial"/>
          <w:sz w:val="22"/>
          <w:szCs w:val="22"/>
        </w:rPr>
      </w:pPr>
    </w:p>
    <w:p w14:paraId="57DEC0BC" w14:textId="77777777" w:rsidR="00B1297A" w:rsidRPr="005B067D" w:rsidRDefault="00B1297A" w:rsidP="00F06C44">
      <w:pPr>
        <w:spacing w:before="120" w:line="276" w:lineRule="auto"/>
        <w:jc w:val="both"/>
        <w:rPr>
          <w:rFonts w:ascii="Arial" w:hAnsi="Arial"/>
          <w:sz w:val="22"/>
          <w:szCs w:val="22"/>
        </w:rPr>
      </w:pPr>
    </w:p>
    <w:p w14:paraId="747F4BAB" w14:textId="77777777" w:rsidR="00167AF5" w:rsidRPr="005B067D" w:rsidRDefault="00167AF5" w:rsidP="00167AF5">
      <w:pPr>
        <w:numPr>
          <w:ilvl w:val="0"/>
          <w:numId w:val="7"/>
        </w:numPr>
        <w:spacing w:before="120" w:line="276" w:lineRule="auto"/>
        <w:jc w:val="both"/>
        <w:rPr>
          <w:rFonts w:ascii="Arial" w:hAnsi="Arial"/>
          <w:b/>
          <w:sz w:val="22"/>
          <w:szCs w:val="22"/>
        </w:rPr>
      </w:pPr>
      <w:r w:rsidRPr="005B067D">
        <w:rPr>
          <w:rFonts w:ascii="Arial" w:hAnsi="Arial"/>
          <w:b/>
          <w:sz w:val="22"/>
          <w:szCs w:val="22"/>
        </w:rPr>
        <w:t>Conditions of detention (Art. 2, 7 and 10)</w:t>
      </w:r>
    </w:p>
    <w:p w14:paraId="5286C313" w14:textId="77777777" w:rsidR="00167AF5" w:rsidRPr="005B067D" w:rsidRDefault="00167AF5" w:rsidP="00167AF5">
      <w:pPr>
        <w:spacing w:before="120" w:line="276" w:lineRule="auto"/>
        <w:ind w:left="720"/>
        <w:jc w:val="center"/>
        <w:rPr>
          <w:rFonts w:ascii="Arial" w:hAnsi="Arial"/>
          <w:sz w:val="22"/>
          <w:szCs w:val="22"/>
        </w:rPr>
      </w:pPr>
      <w:r w:rsidRPr="005B067D">
        <w:rPr>
          <w:rFonts w:ascii="Arial" w:hAnsi="Arial"/>
          <w:sz w:val="22"/>
          <w:szCs w:val="22"/>
        </w:rPr>
        <w:t>(HRC 27, 28)</w:t>
      </w:r>
    </w:p>
    <w:p w14:paraId="16F695BC" w14:textId="6009F334" w:rsidR="00167AF5" w:rsidRPr="005B067D" w:rsidRDefault="00F37776" w:rsidP="00A576A6">
      <w:pPr>
        <w:numPr>
          <w:ilvl w:val="0"/>
          <w:numId w:val="8"/>
        </w:numPr>
        <w:spacing w:before="120" w:line="276" w:lineRule="auto"/>
        <w:ind w:left="709"/>
        <w:jc w:val="both"/>
        <w:rPr>
          <w:rFonts w:ascii="Arial" w:hAnsi="Arial"/>
          <w:sz w:val="22"/>
          <w:szCs w:val="22"/>
        </w:rPr>
      </w:pPr>
      <w:r w:rsidRPr="005B067D">
        <w:rPr>
          <w:rFonts w:ascii="Arial" w:eastAsia="Times New Roman" w:hAnsi="Arial"/>
          <w:sz w:val="22"/>
          <w:szCs w:val="22"/>
        </w:rPr>
        <w:t>Imp</w:t>
      </w:r>
      <w:r>
        <w:rPr>
          <w:rFonts w:ascii="Arial" w:eastAsia="Times New Roman" w:hAnsi="Arial"/>
          <w:sz w:val="22"/>
          <w:szCs w:val="22"/>
        </w:rPr>
        <w:t>act of criminal subculture and failure of state p</w:t>
      </w:r>
      <w:r w:rsidRPr="005B067D">
        <w:rPr>
          <w:rFonts w:ascii="Arial" w:eastAsia="Times New Roman" w:hAnsi="Arial"/>
          <w:sz w:val="22"/>
          <w:szCs w:val="22"/>
        </w:rPr>
        <w:t xml:space="preserve">rotection. </w:t>
      </w:r>
      <w:r w:rsidR="00BB5D24" w:rsidRPr="005B067D">
        <w:rPr>
          <w:rFonts w:ascii="Arial" w:eastAsia="Times New Roman" w:hAnsi="Arial"/>
          <w:sz w:val="22"/>
          <w:szCs w:val="22"/>
        </w:rPr>
        <w:t>The Council established that within penitentiary institutions</w:t>
      </w:r>
      <w:r w:rsidR="00BB5D24" w:rsidRPr="005B067D">
        <w:rPr>
          <w:rStyle w:val="FootnoteReference"/>
          <w:rFonts w:ascii="Arial" w:eastAsia="Times New Roman" w:hAnsi="Arial"/>
          <w:sz w:val="22"/>
          <w:szCs w:val="22"/>
        </w:rPr>
        <w:footnoteReference w:id="11"/>
      </w:r>
      <w:r w:rsidR="00BB5D24" w:rsidRPr="005B067D">
        <w:rPr>
          <w:rFonts w:ascii="Arial" w:eastAsia="Times New Roman" w:hAnsi="Arial"/>
          <w:sz w:val="22"/>
          <w:szCs w:val="22"/>
        </w:rPr>
        <w:t>, an informal power structure (criminal subculture) persists, enforcing unwritten "laws" that create an intimidating and discriminatory environment for detainees labeled as "humiliated" (</w:t>
      </w:r>
      <w:proofErr w:type="spellStart"/>
      <w:r w:rsidR="00BB5D24" w:rsidRPr="005B067D">
        <w:rPr>
          <w:rFonts w:ascii="Arial" w:eastAsia="Times New Roman" w:hAnsi="Arial"/>
          <w:i/>
          <w:iCs/>
          <w:sz w:val="22"/>
          <w:szCs w:val="22"/>
        </w:rPr>
        <w:t>umiliți</w:t>
      </w:r>
      <w:proofErr w:type="spellEnd"/>
      <w:r w:rsidR="00BB5D24" w:rsidRPr="005B067D">
        <w:rPr>
          <w:rFonts w:ascii="Arial" w:eastAsia="Times New Roman" w:hAnsi="Arial"/>
          <w:sz w:val="22"/>
          <w:szCs w:val="22"/>
        </w:rPr>
        <w:t>). A systemic failure to act was identified on the part of the prison management, which tolerates these hierarchies and fails in its obligation to ensure equal detention conditions and protect victims from reprisals. The authorities' inaction is deemed equivalent to a tacit endorsement of discriminatory behavior, undermining both the rule of law and social rehabilitation efforts.</w:t>
      </w:r>
    </w:p>
    <w:p w14:paraId="0CDAFB02" w14:textId="3FCD204C" w:rsidR="00167AF5" w:rsidRPr="005B067D" w:rsidRDefault="00F37776" w:rsidP="00A576A6">
      <w:pPr>
        <w:numPr>
          <w:ilvl w:val="0"/>
          <w:numId w:val="8"/>
        </w:numPr>
        <w:spacing w:before="120" w:line="276" w:lineRule="auto"/>
        <w:ind w:left="709"/>
        <w:jc w:val="both"/>
        <w:rPr>
          <w:rFonts w:ascii="Arial" w:hAnsi="Arial"/>
          <w:iCs/>
          <w:sz w:val="22"/>
          <w:szCs w:val="22"/>
        </w:rPr>
      </w:pPr>
      <w:r>
        <w:rPr>
          <w:rFonts w:ascii="Arial" w:hAnsi="Arial"/>
          <w:iCs/>
          <w:sz w:val="22"/>
          <w:szCs w:val="22"/>
        </w:rPr>
        <w:t>Restrictions on r</w:t>
      </w:r>
      <w:r w:rsidR="00BB5D24" w:rsidRPr="005B067D">
        <w:rPr>
          <w:rFonts w:ascii="Arial" w:hAnsi="Arial"/>
          <w:iCs/>
          <w:sz w:val="22"/>
          <w:szCs w:val="22"/>
        </w:rPr>
        <w:t xml:space="preserve">eligious </w:t>
      </w:r>
      <w:r w:rsidRPr="005B067D">
        <w:rPr>
          <w:rFonts w:ascii="Arial" w:hAnsi="Arial"/>
          <w:iCs/>
          <w:sz w:val="22"/>
          <w:szCs w:val="22"/>
        </w:rPr>
        <w:t>freedom and access to services</w:t>
      </w:r>
      <w:r w:rsidR="00BB5D24" w:rsidRPr="005B067D">
        <w:rPr>
          <w:rFonts w:ascii="Arial" w:hAnsi="Arial"/>
          <w:iCs/>
          <w:sz w:val="22"/>
          <w:szCs w:val="22"/>
        </w:rPr>
        <w:t xml:space="preserve">. While no formal prohibitions exist, detainees categorized as "humiliated" in penitentiary institutions are de facto deprived of their right to attend the </w:t>
      </w:r>
      <w:r>
        <w:rPr>
          <w:rFonts w:ascii="Arial" w:hAnsi="Arial"/>
          <w:iCs/>
          <w:sz w:val="22"/>
          <w:szCs w:val="22"/>
        </w:rPr>
        <w:t>church services</w:t>
      </w:r>
      <w:r w:rsidR="00BB5D24" w:rsidRPr="005B067D">
        <w:rPr>
          <w:rFonts w:ascii="Arial" w:hAnsi="Arial"/>
          <w:iCs/>
          <w:sz w:val="22"/>
          <w:szCs w:val="22"/>
        </w:rPr>
        <w:t xml:space="preserve"> on the premises due to </w:t>
      </w:r>
      <w:r>
        <w:rPr>
          <w:rFonts w:ascii="Arial" w:hAnsi="Arial"/>
          <w:iCs/>
          <w:sz w:val="22"/>
          <w:szCs w:val="22"/>
        </w:rPr>
        <w:t>the</w:t>
      </w:r>
      <w:r w:rsidR="00BB5D24" w:rsidRPr="005B067D">
        <w:rPr>
          <w:rFonts w:ascii="Arial" w:hAnsi="Arial"/>
          <w:iCs/>
          <w:sz w:val="22"/>
          <w:szCs w:val="22"/>
        </w:rPr>
        <w:t xml:space="preserve"> fear of retaliation from "superior" informal groups. This barrier extends to essential services; for instance, prison workshop staff (detainees</w:t>
      </w:r>
      <w:r w:rsidRPr="00F37776">
        <w:rPr>
          <w:rFonts w:ascii="Arial" w:hAnsi="Arial"/>
          <w:iCs/>
          <w:sz w:val="22"/>
          <w:szCs w:val="22"/>
        </w:rPr>
        <w:t xml:space="preserve"> </w:t>
      </w:r>
      <w:r w:rsidRPr="005B067D">
        <w:rPr>
          <w:rFonts w:ascii="Arial" w:hAnsi="Arial"/>
          <w:iCs/>
          <w:sz w:val="22"/>
          <w:szCs w:val="22"/>
        </w:rPr>
        <w:t>themselves</w:t>
      </w:r>
      <w:r w:rsidR="00BB5D24" w:rsidRPr="005B067D">
        <w:rPr>
          <w:rFonts w:ascii="Arial" w:hAnsi="Arial"/>
          <w:iCs/>
          <w:sz w:val="22"/>
          <w:szCs w:val="22"/>
        </w:rPr>
        <w:t>) refuse to provide services to those in the "humiliated" category to avoid being stigmatized or demoted in rank. The Council emphasizes that the authorities have failed to dismantle this climate of fear or guarantee the exercise of fundamental rights in a safe environment.</w:t>
      </w:r>
    </w:p>
    <w:p w14:paraId="3818E526" w14:textId="673D01B9" w:rsidR="00BB5D24" w:rsidRPr="005B067D" w:rsidRDefault="00F37776" w:rsidP="00A576A6">
      <w:pPr>
        <w:numPr>
          <w:ilvl w:val="0"/>
          <w:numId w:val="8"/>
        </w:numPr>
        <w:spacing w:before="120" w:line="276" w:lineRule="auto"/>
        <w:ind w:left="709"/>
        <w:jc w:val="both"/>
        <w:rPr>
          <w:rFonts w:ascii="Arial" w:hAnsi="Arial"/>
          <w:iCs/>
          <w:sz w:val="22"/>
          <w:szCs w:val="22"/>
        </w:rPr>
      </w:pPr>
      <w:r w:rsidRPr="005B067D">
        <w:rPr>
          <w:rFonts w:ascii="Arial" w:hAnsi="Arial"/>
          <w:iCs/>
          <w:sz w:val="22"/>
          <w:szCs w:val="22"/>
        </w:rPr>
        <w:t>Segregation in food distribution and inequity in employment.</w:t>
      </w:r>
      <w:r w:rsidR="00CB321C" w:rsidRPr="005B067D">
        <w:rPr>
          <w:rFonts w:ascii="Arial" w:hAnsi="Arial"/>
          <w:iCs/>
          <w:sz w:val="22"/>
          <w:szCs w:val="22"/>
        </w:rPr>
        <w:t xml:space="preserve"> The investigation confirmed extreme segregation practices regarding nutrition: food for "humiliated" detainees</w:t>
      </w:r>
      <w:r>
        <w:rPr>
          <w:rFonts w:ascii="Arial" w:hAnsi="Arial"/>
          <w:iCs/>
          <w:sz w:val="22"/>
          <w:szCs w:val="22"/>
        </w:rPr>
        <w:t>,</w:t>
      </w:r>
      <w:r w:rsidR="00CB321C" w:rsidRPr="005B067D">
        <w:rPr>
          <w:rFonts w:ascii="Arial" w:hAnsi="Arial"/>
          <w:iCs/>
          <w:sz w:val="22"/>
          <w:szCs w:val="22"/>
        </w:rPr>
        <w:t xml:space="preserve"> </w:t>
      </w:r>
      <w:r w:rsidRPr="005B067D">
        <w:rPr>
          <w:rFonts w:ascii="Arial" w:hAnsi="Arial"/>
          <w:iCs/>
          <w:sz w:val="22"/>
          <w:szCs w:val="22"/>
        </w:rPr>
        <w:t xml:space="preserve">in accordance with </w:t>
      </w:r>
      <w:r>
        <w:rPr>
          <w:rFonts w:ascii="Arial" w:hAnsi="Arial"/>
          <w:iCs/>
          <w:sz w:val="22"/>
          <w:szCs w:val="22"/>
        </w:rPr>
        <w:t>criminal</w:t>
      </w:r>
      <w:r w:rsidRPr="005B067D">
        <w:rPr>
          <w:rFonts w:ascii="Arial" w:hAnsi="Arial"/>
          <w:iCs/>
          <w:sz w:val="22"/>
          <w:szCs w:val="22"/>
        </w:rPr>
        <w:t xml:space="preserve"> hierar</w:t>
      </w:r>
      <w:r>
        <w:rPr>
          <w:rFonts w:ascii="Arial" w:hAnsi="Arial"/>
          <w:iCs/>
          <w:sz w:val="22"/>
          <w:szCs w:val="22"/>
        </w:rPr>
        <w:t>chy,</w:t>
      </w:r>
      <w:r w:rsidRPr="005B067D">
        <w:rPr>
          <w:rFonts w:ascii="Arial" w:hAnsi="Arial"/>
          <w:iCs/>
          <w:sz w:val="22"/>
          <w:szCs w:val="22"/>
        </w:rPr>
        <w:t xml:space="preserve"> </w:t>
      </w:r>
      <w:r w:rsidR="00CB321C" w:rsidRPr="005B067D">
        <w:rPr>
          <w:rFonts w:ascii="Arial" w:hAnsi="Arial"/>
          <w:iCs/>
          <w:sz w:val="22"/>
          <w:szCs w:val="22"/>
        </w:rPr>
        <w:t>is distributed separately</w:t>
      </w:r>
      <w:r>
        <w:rPr>
          <w:rFonts w:ascii="Arial" w:hAnsi="Arial"/>
          <w:iCs/>
          <w:sz w:val="22"/>
          <w:szCs w:val="22"/>
        </w:rPr>
        <w:t>,</w:t>
      </w:r>
      <w:r w:rsidR="00CB321C" w:rsidRPr="005B067D">
        <w:rPr>
          <w:rFonts w:ascii="Arial" w:hAnsi="Arial"/>
          <w:iCs/>
          <w:sz w:val="22"/>
          <w:szCs w:val="22"/>
        </w:rPr>
        <w:t xml:space="preserve"> by a designated person</w:t>
      </w:r>
      <w:r>
        <w:rPr>
          <w:rFonts w:ascii="Arial" w:hAnsi="Arial"/>
          <w:iCs/>
          <w:sz w:val="22"/>
          <w:szCs w:val="22"/>
        </w:rPr>
        <w:t>,</w:t>
      </w:r>
      <w:r w:rsidR="00CB321C" w:rsidRPr="005B067D">
        <w:rPr>
          <w:rFonts w:ascii="Arial" w:hAnsi="Arial"/>
          <w:iCs/>
          <w:sz w:val="22"/>
          <w:szCs w:val="22"/>
        </w:rPr>
        <w:t xml:space="preserve"> to prevent interaction wit</w:t>
      </w:r>
      <w:r>
        <w:rPr>
          <w:rFonts w:ascii="Arial" w:hAnsi="Arial"/>
          <w:iCs/>
          <w:sz w:val="22"/>
          <w:szCs w:val="22"/>
        </w:rPr>
        <w:t>h the general inmate population</w:t>
      </w:r>
      <w:r w:rsidR="00CB321C" w:rsidRPr="005B067D">
        <w:rPr>
          <w:rFonts w:ascii="Arial" w:hAnsi="Arial"/>
          <w:iCs/>
          <w:sz w:val="22"/>
          <w:szCs w:val="22"/>
        </w:rPr>
        <w:t xml:space="preserve">. Furthermore, the Council noted a lack of transparency in the penitentiary institution’s employment </w:t>
      </w:r>
      <w:r>
        <w:rPr>
          <w:rFonts w:ascii="Arial" w:hAnsi="Arial"/>
          <w:iCs/>
          <w:sz w:val="22"/>
          <w:szCs w:val="22"/>
        </w:rPr>
        <w:t>procedures</w:t>
      </w:r>
      <w:r w:rsidR="006A6E97">
        <w:rPr>
          <w:rFonts w:ascii="Arial" w:hAnsi="Arial"/>
          <w:iCs/>
          <w:sz w:val="22"/>
          <w:szCs w:val="22"/>
        </w:rPr>
        <w:t xml:space="preserve"> for inmates</w:t>
      </w:r>
      <w:r w:rsidR="00CB321C" w:rsidRPr="005B067D">
        <w:rPr>
          <w:rFonts w:ascii="Arial" w:hAnsi="Arial"/>
          <w:iCs/>
          <w:sz w:val="22"/>
          <w:szCs w:val="22"/>
        </w:rPr>
        <w:t>. As selection criteria remain at the sole discretion of a commission without clear internal regulations, it creates conditions for inequity, restricting vulnerable detainees' access to remunerated work and perpetuating their confinement to tasks deemed "degrading" by the criminal subculture.</w:t>
      </w:r>
    </w:p>
    <w:p w14:paraId="27C6C16E" w14:textId="6C7D1D16" w:rsidR="001E2221" w:rsidRPr="005B067D" w:rsidRDefault="001E2221" w:rsidP="00A576A6">
      <w:pPr>
        <w:numPr>
          <w:ilvl w:val="0"/>
          <w:numId w:val="8"/>
        </w:numPr>
        <w:spacing w:before="120" w:line="276" w:lineRule="auto"/>
        <w:ind w:left="709"/>
        <w:jc w:val="both"/>
        <w:rPr>
          <w:rFonts w:ascii="Arial" w:hAnsi="Arial"/>
          <w:iCs/>
          <w:sz w:val="22"/>
          <w:szCs w:val="22"/>
        </w:rPr>
      </w:pPr>
      <w:r w:rsidRPr="005B067D">
        <w:rPr>
          <w:rFonts w:ascii="Arial" w:hAnsi="Arial"/>
          <w:iCs/>
          <w:sz w:val="22"/>
          <w:szCs w:val="22"/>
        </w:rPr>
        <w:t>Having examined the petitioner's complaint</w:t>
      </w:r>
      <w:r w:rsidRPr="005B067D">
        <w:rPr>
          <w:rStyle w:val="FootnoteReference"/>
          <w:rFonts w:ascii="Arial" w:hAnsi="Arial"/>
          <w:iCs/>
          <w:sz w:val="22"/>
          <w:szCs w:val="22"/>
        </w:rPr>
        <w:footnoteReference w:id="12"/>
      </w:r>
      <w:r w:rsidRPr="005B067D">
        <w:rPr>
          <w:rFonts w:ascii="Arial" w:hAnsi="Arial"/>
          <w:iCs/>
          <w:sz w:val="22"/>
          <w:szCs w:val="22"/>
        </w:rPr>
        <w:t>, the Council has established that the placement and maintenance of the petitioner in solitary confinement for an indefinite period constitutes discriminatory treatment based on gender identity, severely undermining human dignity and violating the prohibition against inhuman and degrading treatment. This measure was deemed excessive and unjustified, as authorities relied on speculative assumptions regarding potential risks of aggression without conducting periodic assessments or demonstrating the necessity of continued isolation within a sector that, by its nature, already provided a sufficient level of protection. The psychological impact was severe, documenting a transition from a stable state to episodes of depression, hallucinations, and suicidal ideation—a situation further corroborated by prior judicial rulings that found violations of Article 3 of the ECHR, which were nonetheless ignored by the prison administration.</w:t>
      </w:r>
    </w:p>
    <w:p w14:paraId="2DD42F63" w14:textId="569C6283" w:rsidR="001E2221" w:rsidRDefault="001E2221" w:rsidP="00A576A6">
      <w:pPr>
        <w:numPr>
          <w:ilvl w:val="0"/>
          <w:numId w:val="8"/>
        </w:numPr>
        <w:spacing w:before="120" w:line="276" w:lineRule="auto"/>
        <w:ind w:left="709"/>
        <w:jc w:val="both"/>
        <w:rPr>
          <w:rFonts w:ascii="Arial" w:hAnsi="Arial"/>
          <w:iCs/>
          <w:sz w:val="22"/>
          <w:szCs w:val="22"/>
        </w:rPr>
      </w:pPr>
      <w:r w:rsidRPr="005B067D">
        <w:rPr>
          <w:rFonts w:ascii="Arial" w:hAnsi="Arial"/>
          <w:iCs/>
          <w:sz w:val="22"/>
          <w:szCs w:val="22"/>
        </w:rPr>
        <w:t xml:space="preserve">From a procedural standpoint, the Council found a violation of the right to petition and of the Nelson Mandela Rules, due to a deficient system that prevented the detainee from obtaining proof of submitted requests for review. Furthermore, it highlighted a grave failure by the National Administration of Penitentiaries and Penitentiary No. 6 to re-evaluate </w:t>
      </w:r>
      <w:r w:rsidR="006A6E97" w:rsidRPr="005B067D">
        <w:rPr>
          <w:rFonts w:ascii="Arial" w:hAnsi="Arial"/>
          <w:iCs/>
          <w:sz w:val="22"/>
          <w:szCs w:val="22"/>
        </w:rPr>
        <w:t xml:space="preserve">ex officio </w:t>
      </w:r>
      <w:r w:rsidRPr="005B067D">
        <w:rPr>
          <w:rFonts w:ascii="Arial" w:hAnsi="Arial"/>
          <w:iCs/>
          <w:sz w:val="22"/>
          <w:szCs w:val="22"/>
        </w:rPr>
        <w:t>security measures and their refusal to identify less restrictive alternatives, such as transfers or controlled socialization. Consequently, the authorities' inaction permitted the perpetuation of a discriminatory detention regime, where the petitioner's gender identity was the decisive factor for the deprivation of social contact and the unjustified differential treatment compared to other inmates under similar protection regimes.</w:t>
      </w:r>
    </w:p>
    <w:p w14:paraId="7DCF3CA3" w14:textId="77777777" w:rsidR="007F3697" w:rsidRPr="005B067D" w:rsidRDefault="007F3697" w:rsidP="007F3697">
      <w:pPr>
        <w:spacing w:before="120" w:line="276" w:lineRule="auto"/>
        <w:ind w:left="709"/>
        <w:jc w:val="both"/>
        <w:rPr>
          <w:rFonts w:ascii="Arial" w:hAnsi="Arial"/>
          <w:iCs/>
          <w:sz w:val="22"/>
          <w:szCs w:val="22"/>
        </w:rPr>
      </w:pPr>
    </w:p>
    <w:p w14:paraId="7F845FA2" w14:textId="5C20D638" w:rsidR="00BB5D24" w:rsidRPr="005B067D" w:rsidRDefault="001E2221" w:rsidP="001E2221">
      <w:pPr>
        <w:spacing w:before="120" w:line="276" w:lineRule="auto"/>
        <w:ind w:left="709"/>
        <w:jc w:val="both"/>
        <w:rPr>
          <w:rFonts w:ascii="Arial" w:hAnsi="Arial"/>
          <w:b/>
          <w:sz w:val="22"/>
          <w:szCs w:val="22"/>
        </w:rPr>
      </w:pPr>
      <w:r w:rsidRPr="005B067D">
        <w:rPr>
          <w:rFonts w:ascii="Arial" w:hAnsi="Arial"/>
          <w:b/>
          <w:sz w:val="22"/>
          <w:szCs w:val="22"/>
        </w:rPr>
        <w:t>Recommendations:</w:t>
      </w:r>
    </w:p>
    <w:p w14:paraId="6C22245F" w14:textId="7DEC3A2A" w:rsidR="002B7BBE" w:rsidRDefault="002B7BBE" w:rsidP="001E2221">
      <w:pPr>
        <w:pStyle w:val="ListParagraph"/>
        <w:numPr>
          <w:ilvl w:val="0"/>
          <w:numId w:val="16"/>
        </w:numPr>
        <w:spacing w:before="120" w:line="276" w:lineRule="auto"/>
        <w:jc w:val="both"/>
        <w:rPr>
          <w:rFonts w:ascii="Arial" w:hAnsi="Arial"/>
          <w:b/>
          <w:bCs/>
          <w:iCs/>
          <w:sz w:val="22"/>
          <w:szCs w:val="22"/>
          <w:lang w:val="en-US"/>
        </w:rPr>
      </w:pPr>
      <w:r>
        <w:rPr>
          <w:rFonts w:ascii="Arial" w:hAnsi="Arial"/>
          <w:b/>
          <w:bCs/>
          <w:iCs/>
          <w:sz w:val="22"/>
          <w:szCs w:val="22"/>
          <w:lang w:val="en-US"/>
        </w:rPr>
        <w:t>Taking effective measures to combat criminal subculture in penitentiary system on all levels</w:t>
      </w:r>
      <w:r w:rsidR="00C547EA">
        <w:rPr>
          <w:rFonts w:ascii="Arial" w:hAnsi="Arial"/>
          <w:b/>
          <w:bCs/>
          <w:iCs/>
          <w:sz w:val="22"/>
          <w:szCs w:val="22"/>
          <w:lang w:val="en-US"/>
        </w:rPr>
        <w:t xml:space="preserve"> and eliminate effects, criminal subculture had on effective exercise of rights of detainees.</w:t>
      </w:r>
    </w:p>
    <w:p w14:paraId="02FB505E" w14:textId="14A182AC" w:rsidR="001E2221" w:rsidRPr="005B067D" w:rsidRDefault="001E2221" w:rsidP="001E2221">
      <w:pPr>
        <w:pStyle w:val="ListParagraph"/>
        <w:numPr>
          <w:ilvl w:val="0"/>
          <w:numId w:val="16"/>
        </w:numPr>
        <w:spacing w:before="120" w:line="276" w:lineRule="auto"/>
        <w:jc w:val="both"/>
        <w:rPr>
          <w:rFonts w:ascii="Arial" w:hAnsi="Arial"/>
          <w:b/>
          <w:bCs/>
          <w:iCs/>
          <w:sz w:val="22"/>
          <w:szCs w:val="22"/>
          <w:lang w:val="en-US"/>
        </w:rPr>
      </w:pPr>
      <w:r w:rsidRPr="005B067D">
        <w:rPr>
          <w:rFonts w:ascii="Arial" w:hAnsi="Arial"/>
          <w:b/>
          <w:bCs/>
          <w:iCs/>
          <w:sz w:val="22"/>
          <w:szCs w:val="22"/>
          <w:lang w:val="en-US"/>
        </w:rPr>
        <w:t xml:space="preserve">Initiating information sessions for </w:t>
      </w:r>
      <w:r w:rsidR="006A6E97">
        <w:rPr>
          <w:rFonts w:ascii="Arial" w:hAnsi="Arial"/>
          <w:b/>
          <w:bCs/>
          <w:iCs/>
          <w:sz w:val="22"/>
          <w:szCs w:val="22"/>
          <w:lang w:val="en-US"/>
        </w:rPr>
        <w:t>penitentiary system</w:t>
      </w:r>
      <w:r w:rsidRPr="005B067D">
        <w:rPr>
          <w:rFonts w:ascii="Arial" w:hAnsi="Arial"/>
          <w:b/>
          <w:bCs/>
          <w:iCs/>
          <w:sz w:val="22"/>
          <w:szCs w:val="22"/>
          <w:lang w:val="en-US"/>
        </w:rPr>
        <w:t xml:space="preserve"> staff focused on tolerance and respect for LGBT+ people, as well as integrating these topics into educational programs for prisoners to promote a more inclusive prison environment.</w:t>
      </w:r>
    </w:p>
    <w:p w14:paraId="481D5210" w14:textId="21D4A40A" w:rsidR="001E2221" w:rsidRPr="005B067D" w:rsidRDefault="001E2221" w:rsidP="001E2221">
      <w:pPr>
        <w:pStyle w:val="ListParagraph"/>
        <w:numPr>
          <w:ilvl w:val="0"/>
          <w:numId w:val="16"/>
        </w:numPr>
        <w:spacing w:before="120" w:line="276" w:lineRule="auto"/>
        <w:jc w:val="both"/>
        <w:rPr>
          <w:rFonts w:ascii="Arial" w:hAnsi="Arial"/>
          <w:b/>
          <w:bCs/>
          <w:iCs/>
          <w:sz w:val="22"/>
          <w:szCs w:val="22"/>
          <w:lang w:val="en-US"/>
        </w:rPr>
      </w:pPr>
      <w:r w:rsidRPr="005B067D">
        <w:rPr>
          <w:rFonts w:ascii="Arial" w:hAnsi="Arial"/>
          <w:b/>
          <w:bCs/>
          <w:iCs/>
          <w:sz w:val="22"/>
          <w:szCs w:val="22"/>
          <w:lang w:val="en-US"/>
        </w:rPr>
        <w:t xml:space="preserve">Improving the mechanism for filing complaints by prisoners in the protection sector, so that there is clear confirmation of the receipt and registration of reports, complaints, and requests submitted by prisoners, </w:t>
      </w:r>
      <w:r w:rsidR="00A1404C" w:rsidRPr="005B067D">
        <w:rPr>
          <w:rFonts w:ascii="Arial" w:hAnsi="Arial"/>
          <w:b/>
          <w:bCs/>
          <w:iCs/>
          <w:sz w:val="22"/>
          <w:szCs w:val="22"/>
          <w:lang w:val="en-US"/>
        </w:rPr>
        <w:t>to</w:t>
      </w:r>
      <w:r w:rsidRPr="005B067D">
        <w:rPr>
          <w:rFonts w:ascii="Arial" w:hAnsi="Arial"/>
          <w:b/>
          <w:bCs/>
          <w:iCs/>
          <w:sz w:val="22"/>
          <w:szCs w:val="22"/>
          <w:lang w:val="en-US"/>
        </w:rPr>
        <w:t xml:space="preserve"> ensure institutional accountability.</w:t>
      </w:r>
    </w:p>
    <w:p w14:paraId="269162F8" w14:textId="170E57BB" w:rsidR="001E2221" w:rsidRPr="005B067D" w:rsidRDefault="001E2221" w:rsidP="001E2221">
      <w:pPr>
        <w:pStyle w:val="ListParagraph"/>
        <w:numPr>
          <w:ilvl w:val="0"/>
          <w:numId w:val="16"/>
        </w:numPr>
        <w:spacing w:before="120" w:line="276" w:lineRule="auto"/>
        <w:jc w:val="both"/>
        <w:rPr>
          <w:rFonts w:ascii="Arial" w:hAnsi="Arial"/>
          <w:b/>
          <w:bCs/>
          <w:iCs/>
          <w:sz w:val="22"/>
          <w:szCs w:val="22"/>
          <w:lang w:val="en-US"/>
        </w:rPr>
      </w:pPr>
      <w:r w:rsidRPr="005B067D">
        <w:rPr>
          <w:rFonts w:ascii="Arial" w:hAnsi="Arial"/>
          <w:b/>
          <w:bCs/>
          <w:iCs/>
          <w:sz w:val="22"/>
          <w:szCs w:val="22"/>
          <w:lang w:val="en-US"/>
        </w:rPr>
        <w:t xml:space="preserve">Revision of ANP Order No. 70/2017 on personal protection measures, so as to provide for the obligation to give detailed reasons for placing or maintaining a prisoner under protection and the obligation to periodically reassess the risks and proportionality of the measure, at least once every three months, </w:t>
      </w:r>
      <w:r w:rsidR="00A1404C" w:rsidRPr="005B067D">
        <w:rPr>
          <w:rFonts w:ascii="Arial" w:hAnsi="Arial"/>
          <w:b/>
          <w:bCs/>
          <w:iCs/>
          <w:sz w:val="22"/>
          <w:szCs w:val="22"/>
          <w:lang w:val="en-US"/>
        </w:rPr>
        <w:t>to</w:t>
      </w:r>
      <w:r w:rsidRPr="005B067D">
        <w:rPr>
          <w:rFonts w:ascii="Arial" w:hAnsi="Arial"/>
          <w:b/>
          <w:bCs/>
          <w:iCs/>
          <w:sz w:val="22"/>
          <w:szCs w:val="22"/>
          <w:lang w:val="en-US"/>
        </w:rPr>
        <w:t xml:space="preserve"> prevent excessive and unjustified isolation of persons under protection.</w:t>
      </w:r>
    </w:p>
    <w:p w14:paraId="2100B645" w14:textId="15261340" w:rsidR="00FF7261" w:rsidRDefault="00FF7261" w:rsidP="00CB321C">
      <w:pPr>
        <w:spacing w:before="120" w:line="276" w:lineRule="auto"/>
        <w:jc w:val="both"/>
        <w:rPr>
          <w:rFonts w:ascii="Arial" w:hAnsi="Arial" w:cs="Arial"/>
          <w:b/>
          <w:sz w:val="22"/>
          <w:szCs w:val="22"/>
        </w:rPr>
      </w:pPr>
    </w:p>
    <w:p w14:paraId="000C957B" w14:textId="77777777" w:rsidR="007F3697" w:rsidRPr="005B067D" w:rsidRDefault="007F3697" w:rsidP="00CB321C">
      <w:pPr>
        <w:spacing w:before="120" w:line="276" w:lineRule="auto"/>
        <w:jc w:val="both"/>
        <w:rPr>
          <w:rFonts w:ascii="Arial" w:hAnsi="Arial" w:cs="Arial"/>
          <w:b/>
          <w:sz w:val="22"/>
          <w:szCs w:val="22"/>
        </w:rPr>
      </w:pPr>
    </w:p>
    <w:p w14:paraId="273E19E6" w14:textId="77777777" w:rsidR="0057573A" w:rsidRPr="005B067D" w:rsidRDefault="0057573A" w:rsidP="0057573A">
      <w:pPr>
        <w:numPr>
          <w:ilvl w:val="0"/>
          <w:numId w:val="7"/>
        </w:numPr>
        <w:spacing w:before="120" w:line="276" w:lineRule="auto"/>
        <w:jc w:val="both"/>
        <w:rPr>
          <w:rFonts w:ascii="Arial" w:hAnsi="Arial"/>
          <w:b/>
          <w:sz w:val="22"/>
          <w:szCs w:val="22"/>
        </w:rPr>
      </w:pPr>
      <w:r w:rsidRPr="005B067D">
        <w:rPr>
          <w:rFonts w:ascii="Arial" w:hAnsi="Arial"/>
          <w:b/>
          <w:sz w:val="22"/>
          <w:szCs w:val="22"/>
        </w:rPr>
        <w:t>Access to justice, independence of the judiciary, and fair trial (art. 2 and 14)</w:t>
      </w:r>
    </w:p>
    <w:p w14:paraId="147456D0" w14:textId="47701399" w:rsidR="0057573A" w:rsidRPr="005B067D" w:rsidRDefault="0057573A" w:rsidP="0057573A">
      <w:pPr>
        <w:spacing w:before="120" w:line="276" w:lineRule="auto"/>
        <w:ind w:left="720"/>
        <w:jc w:val="center"/>
        <w:rPr>
          <w:rFonts w:ascii="Arial" w:hAnsi="Arial"/>
          <w:sz w:val="22"/>
          <w:szCs w:val="22"/>
        </w:rPr>
      </w:pPr>
      <w:r w:rsidRPr="005B067D">
        <w:rPr>
          <w:rFonts w:ascii="Arial" w:hAnsi="Arial"/>
          <w:sz w:val="22"/>
          <w:szCs w:val="22"/>
        </w:rPr>
        <w:t>(HRC 30)</w:t>
      </w:r>
    </w:p>
    <w:p w14:paraId="4E331D43" w14:textId="6E0DEE69" w:rsidR="0057573A" w:rsidRPr="005B067D" w:rsidRDefault="0057573A" w:rsidP="00A576A6">
      <w:pPr>
        <w:numPr>
          <w:ilvl w:val="0"/>
          <w:numId w:val="8"/>
        </w:numPr>
        <w:spacing w:before="120" w:line="276" w:lineRule="auto"/>
        <w:ind w:left="709"/>
        <w:jc w:val="both"/>
        <w:rPr>
          <w:rFonts w:ascii="Arial" w:hAnsi="Arial" w:cs="Arial"/>
          <w:color w:val="000000" w:themeColor="text1"/>
          <w:sz w:val="22"/>
          <w:szCs w:val="22"/>
        </w:rPr>
      </w:pPr>
      <w:r w:rsidRPr="005B067D">
        <w:rPr>
          <w:rFonts w:ascii="Arial" w:hAnsi="Arial" w:cs="Arial"/>
          <w:color w:val="000000" w:themeColor="text1"/>
          <w:sz w:val="22"/>
          <w:szCs w:val="22"/>
        </w:rPr>
        <w:t>The state has reported on the adoption of the laws for the assessment of the integrity of prosecutors and judges (pre-vetting and vetting), in order to increase the quality of the judicial act, ensure the appointment of impartial and integrity</w:t>
      </w:r>
      <w:r w:rsidR="006A6E97">
        <w:rPr>
          <w:rFonts w:ascii="Arial" w:hAnsi="Arial" w:cs="Arial"/>
          <w:color w:val="000000" w:themeColor="text1"/>
          <w:sz w:val="22"/>
          <w:szCs w:val="22"/>
        </w:rPr>
        <w:t>-compliant judges and prosecutors,</w:t>
      </w:r>
      <w:r w:rsidRPr="005B067D">
        <w:rPr>
          <w:rFonts w:ascii="Arial" w:hAnsi="Arial" w:cs="Arial"/>
          <w:color w:val="000000" w:themeColor="text1"/>
          <w:sz w:val="22"/>
          <w:szCs w:val="22"/>
        </w:rPr>
        <w:t xml:space="preserve"> ensure a high-level of salary for the vetted candidates and eliminate judges and prosecutors la</w:t>
      </w:r>
      <w:r w:rsidR="006A6E97">
        <w:rPr>
          <w:rFonts w:ascii="Arial" w:hAnsi="Arial" w:cs="Arial"/>
          <w:color w:val="000000" w:themeColor="text1"/>
          <w:sz w:val="22"/>
          <w:szCs w:val="22"/>
        </w:rPr>
        <w:t>cking integrity from the system. The following laws were adopted:</w:t>
      </w:r>
      <w:r w:rsidRPr="005B067D">
        <w:rPr>
          <w:rFonts w:ascii="Arial" w:hAnsi="Arial" w:cs="Arial"/>
          <w:color w:val="000000" w:themeColor="text1"/>
          <w:sz w:val="22"/>
          <w:szCs w:val="22"/>
        </w:rPr>
        <w:t xml:space="preserve"> (1) Law No. 26/2022 regarding some measures related to the selection of candidates for the position of member in the self-administration bodies of judges and prosecutors (applies to candidates for the position of member of: SCM; SCP; The Colleges for the selection and evaluation and Disciplinary colleges; (2) Law No. 252/2022 on the external evaluation of judges and prosecutors and the amendment of some normative acts (applies to the following subjects: president and vice president of </w:t>
      </w:r>
      <w:r w:rsidR="00442DD5">
        <w:rPr>
          <w:rFonts w:ascii="Arial" w:hAnsi="Arial" w:cs="Arial"/>
          <w:color w:val="000000" w:themeColor="text1"/>
          <w:sz w:val="22"/>
          <w:szCs w:val="22"/>
        </w:rPr>
        <w:t>the courts, including those ad-</w:t>
      </w:r>
      <w:r w:rsidRPr="005B067D">
        <w:rPr>
          <w:rFonts w:ascii="Arial" w:hAnsi="Arial" w:cs="Arial"/>
          <w:color w:val="000000" w:themeColor="text1"/>
          <w:sz w:val="22"/>
          <w:szCs w:val="22"/>
        </w:rPr>
        <w:t xml:space="preserve">interim; the judges of the appeal courts; prosecutors who, exercised the position of General Prosecutor, deputy of the General Prosecutor, chief prosecutors of the sections of the GPO, including those </w:t>
      </w:r>
      <w:r w:rsidR="00442DD5">
        <w:rPr>
          <w:rFonts w:ascii="Arial" w:hAnsi="Arial" w:cs="Arial"/>
          <w:color w:val="000000" w:themeColor="text1"/>
          <w:sz w:val="22"/>
          <w:szCs w:val="22"/>
        </w:rPr>
        <w:t>ad-</w:t>
      </w:r>
      <w:r w:rsidRPr="005B067D">
        <w:rPr>
          <w:rFonts w:ascii="Arial" w:hAnsi="Arial" w:cs="Arial"/>
          <w:color w:val="000000" w:themeColor="text1"/>
          <w:sz w:val="22"/>
          <w:szCs w:val="22"/>
        </w:rPr>
        <w:t xml:space="preserve">interim; prosecutors who, exercised the position of chief prosecutor of a prosecutor’s office and deputy chief prosecutor of a prosecutor’s office, including those </w:t>
      </w:r>
      <w:r w:rsidR="00442DD5">
        <w:rPr>
          <w:rFonts w:ascii="Arial" w:hAnsi="Arial" w:cs="Arial"/>
          <w:color w:val="000000" w:themeColor="text1"/>
          <w:sz w:val="22"/>
          <w:szCs w:val="22"/>
        </w:rPr>
        <w:t>ad-</w:t>
      </w:r>
      <w:r w:rsidRPr="005B067D">
        <w:rPr>
          <w:rFonts w:ascii="Arial" w:hAnsi="Arial" w:cs="Arial"/>
          <w:color w:val="000000" w:themeColor="text1"/>
          <w:sz w:val="22"/>
          <w:szCs w:val="22"/>
        </w:rPr>
        <w:t>interim; the prosecutors of the specialized prosecutor’s offices, including those delegated within them).</w:t>
      </w:r>
    </w:p>
    <w:p w14:paraId="19F679EB" w14:textId="775EA04F" w:rsidR="0057573A" w:rsidRPr="005B067D" w:rsidRDefault="00442DD5" w:rsidP="00A576A6">
      <w:pPr>
        <w:numPr>
          <w:ilvl w:val="0"/>
          <w:numId w:val="8"/>
        </w:numPr>
        <w:spacing w:before="120" w:line="276" w:lineRule="auto"/>
        <w:ind w:left="709"/>
        <w:jc w:val="both"/>
        <w:rPr>
          <w:rFonts w:ascii="Arial" w:hAnsi="Arial" w:cs="Arial"/>
          <w:color w:val="000000" w:themeColor="text1"/>
          <w:sz w:val="22"/>
          <w:szCs w:val="22"/>
        </w:rPr>
      </w:pPr>
      <w:r w:rsidRPr="005B067D">
        <w:rPr>
          <w:rFonts w:ascii="Arial" w:hAnsi="Arial" w:cs="Arial"/>
          <w:color w:val="000000" w:themeColor="text1"/>
          <w:sz w:val="22"/>
          <w:szCs w:val="22"/>
        </w:rPr>
        <w:t>In addition</w:t>
      </w:r>
      <w:r w:rsidR="0057573A" w:rsidRPr="005B067D">
        <w:rPr>
          <w:rFonts w:ascii="Arial" w:hAnsi="Arial" w:cs="Arial"/>
          <w:color w:val="000000" w:themeColor="text1"/>
          <w:sz w:val="22"/>
          <w:szCs w:val="22"/>
        </w:rPr>
        <w:t>, it has been noted that these laws assume the essential increase in the salaries of judges and prosecutors as soon as they pass the evaluation procedure, a fact that ensures independence and impartiality. (par. 151-153 of the State Report).</w:t>
      </w:r>
    </w:p>
    <w:p w14:paraId="1FAFF966" w14:textId="6F8F70EA" w:rsidR="0057573A" w:rsidRPr="005B067D" w:rsidRDefault="0057573A" w:rsidP="00A576A6">
      <w:pPr>
        <w:numPr>
          <w:ilvl w:val="0"/>
          <w:numId w:val="8"/>
        </w:numPr>
        <w:spacing w:before="120" w:line="276" w:lineRule="auto"/>
        <w:ind w:left="709"/>
        <w:jc w:val="both"/>
        <w:rPr>
          <w:rFonts w:ascii="Arial" w:hAnsi="Arial" w:cs="Arial"/>
          <w:color w:val="000000" w:themeColor="text1"/>
          <w:sz w:val="22"/>
          <w:szCs w:val="22"/>
        </w:rPr>
      </w:pPr>
      <w:r w:rsidRPr="005B067D">
        <w:rPr>
          <w:rFonts w:ascii="Arial" w:hAnsi="Arial" w:cs="Arial"/>
          <w:color w:val="000000" w:themeColor="text1"/>
          <w:sz w:val="22"/>
          <w:szCs w:val="22"/>
        </w:rPr>
        <w:t>In this regard, the Council has found</w:t>
      </w:r>
      <w:r w:rsidRPr="005B067D">
        <w:rPr>
          <w:rFonts w:ascii="Arial" w:hAnsi="Arial" w:cs="Arial"/>
          <w:color w:val="000000" w:themeColor="text1"/>
          <w:sz w:val="22"/>
          <w:szCs w:val="22"/>
          <w:vertAlign w:val="superscript"/>
        </w:rPr>
        <w:footnoteReference w:id="13"/>
      </w:r>
      <w:r w:rsidRPr="005B067D">
        <w:rPr>
          <w:rFonts w:ascii="Arial" w:hAnsi="Arial" w:cs="Arial"/>
          <w:color w:val="000000" w:themeColor="text1"/>
          <w:sz w:val="22"/>
          <w:szCs w:val="22"/>
        </w:rPr>
        <w:t xml:space="preserve"> that judges and prosecutors that promoted the pre-vetting or the vetting, but were not appointed to the functions they have candidate and continue to activate in their previous position, receive a salary that is 72% (in case of prosecutors) and 51% or 58% (in case of judges) higher than the judges and prosecutors that were not subject of the evaluation. In this regard, the state invoked that this measure was necessary </w:t>
      </w:r>
      <w:r w:rsidR="00A1404C" w:rsidRPr="005B067D">
        <w:rPr>
          <w:rFonts w:ascii="Arial" w:hAnsi="Arial" w:cs="Arial"/>
          <w:color w:val="000000" w:themeColor="text1"/>
          <w:sz w:val="22"/>
          <w:szCs w:val="22"/>
        </w:rPr>
        <w:t>to</w:t>
      </w:r>
      <w:r w:rsidRPr="005B067D">
        <w:rPr>
          <w:rFonts w:ascii="Arial" w:hAnsi="Arial" w:cs="Arial"/>
          <w:color w:val="000000" w:themeColor="text1"/>
          <w:sz w:val="22"/>
          <w:szCs w:val="22"/>
        </w:rPr>
        <w:t xml:space="preserve"> stimulate judges and prosecutors to participate </w:t>
      </w:r>
      <w:r w:rsidR="00A1404C" w:rsidRPr="005B067D">
        <w:rPr>
          <w:rFonts w:ascii="Arial" w:hAnsi="Arial" w:cs="Arial"/>
          <w:color w:val="000000" w:themeColor="text1"/>
          <w:sz w:val="22"/>
          <w:szCs w:val="22"/>
        </w:rPr>
        <w:t>vetting</w:t>
      </w:r>
      <w:r w:rsidRPr="005B067D">
        <w:rPr>
          <w:rFonts w:ascii="Arial" w:hAnsi="Arial" w:cs="Arial"/>
          <w:color w:val="000000" w:themeColor="text1"/>
          <w:sz w:val="22"/>
          <w:szCs w:val="22"/>
        </w:rPr>
        <w:t xml:space="preserve"> and pre-vetting and to confirm their ethical and financial integrity. The Council stated that this measure leads to the infringement of the principle of equal pay, as both judges and prosecutors that were evaluated and returned to their previous functions, and the judges and prosecutors that were not subject to evaluation continue to work in the same conditions. Moreover, this difference in remuneration is discriminatory and unfair given that not all judges and prosecutors may be subjects of vetting and pre-vetting and do not have a perspective of salary increase.</w:t>
      </w:r>
    </w:p>
    <w:p w14:paraId="125638D2" w14:textId="77777777" w:rsidR="007F3697" w:rsidRDefault="007F3697" w:rsidP="00A576A6">
      <w:pPr>
        <w:pStyle w:val="ListParagraph"/>
        <w:spacing w:before="120" w:line="276" w:lineRule="auto"/>
        <w:ind w:left="709"/>
        <w:jc w:val="both"/>
        <w:rPr>
          <w:rFonts w:ascii="Arial" w:hAnsi="Arial"/>
          <w:b/>
          <w:sz w:val="22"/>
          <w:szCs w:val="22"/>
          <w:lang w:val="en-US"/>
        </w:rPr>
      </w:pPr>
    </w:p>
    <w:p w14:paraId="725FF220" w14:textId="77777777" w:rsidR="00A576A6" w:rsidRPr="005B067D" w:rsidRDefault="00A576A6" w:rsidP="00A576A6">
      <w:pPr>
        <w:pStyle w:val="ListParagraph"/>
        <w:spacing w:before="120" w:line="276" w:lineRule="auto"/>
        <w:ind w:left="709"/>
        <w:jc w:val="both"/>
        <w:rPr>
          <w:rFonts w:ascii="Arial" w:hAnsi="Arial"/>
          <w:b/>
          <w:sz w:val="22"/>
          <w:szCs w:val="22"/>
          <w:lang w:val="en-US"/>
        </w:rPr>
      </w:pPr>
      <w:r w:rsidRPr="005B067D">
        <w:rPr>
          <w:rFonts w:ascii="Arial" w:hAnsi="Arial"/>
          <w:b/>
          <w:sz w:val="22"/>
          <w:szCs w:val="22"/>
          <w:lang w:val="en-US"/>
        </w:rPr>
        <w:t>Recommendations:</w:t>
      </w:r>
    </w:p>
    <w:p w14:paraId="3CFF8D67" w14:textId="0438EBD1" w:rsidR="0057573A" w:rsidRPr="005B067D" w:rsidRDefault="00A576A6" w:rsidP="00A576A6">
      <w:pPr>
        <w:pStyle w:val="ListParagraph"/>
        <w:numPr>
          <w:ilvl w:val="0"/>
          <w:numId w:val="11"/>
        </w:numPr>
        <w:spacing w:before="120" w:line="276" w:lineRule="auto"/>
        <w:jc w:val="both"/>
        <w:rPr>
          <w:rFonts w:ascii="Arial" w:hAnsi="Arial" w:cs="Arial"/>
          <w:b/>
          <w:bCs/>
          <w:color w:val="000000" w:themeColor="text1"/>
          <w:sz w:val="22"/>
          <w:szCs w:val="22"/>
          <w:lang w:val="en-US"/>
        </w:rPr>
      </w:pPr>
      <w:r w:rsidRPr="005B067D">
        <w:rPr>
          <w:rFonts w:ascii="Arial" w:hAnsi="Arial" w:cs="Arial"/>
          <w:b/>
          <w:bCs/>
          <w:color w:val="000000" w:themeColor="text1"/>
          <w:sz w:val="22"/>
          <w:szCs w:val="22"/>
          <w:lang w:val="en-US"/>
        </w:rPr>
        <w:t>To i</w:t>
      </w:r>
      <w:r w:rsidR="0057573A" w:rsidRPr="005B067D">
        <w:rPr>
          <w:rFonts w:ascii="Arial" w:hAnsi="Arial" w:cs="Arial"/>
          <w:b/>
          <w:bCs/>
          <w:color w:val="000000" w:themeColor="text1"/>
          <w:sz w:val="22"/>
          <w:szCs w:val="22"/>
          <w:lang w:val="en-US"/>
        </w:rPr>
        <w:t>dentify measures to stimulate the participation of judges and prosecutors to vetting and pre-vetting that would not interfere with the principle of equal pay.</w:t>
      </w:r>
    </w:p>
    <w:p w14:paraId="6EEF4F92" w14:textId="6DCC7F42" w:rsidR="007C1D4A" w:rsidRDefault="007C1D4A" w:rsidP="007C1D4A">
      <w:pPr>
        <w:jc w:val="both"/>
        <w:rPr>
          <w:rFonts w:ascii="Arial" w:hAnsi="Arial" w:cs="Arial"/>
          <w:color w:val="000000" w:themeColor="text1"/>
          <w:sz w:val="22"/>
          <w:szCs w:val="22"/>
        </w:rPr>
      </w:pPr>
    </w:p>
    <w:p w14:paraId="10CE9E4B" w14:textId="77777777" w:rsidR="007F3697" w:rsidRPr="005B067D" w:rsidRDefault="007F3697" w:rsidP="007C1D4A">
      <w:pPr>
        <w:jc w:val="both"/>
        <w:rPr>
          <w:rFonts w:ascii="Arial" w:hAnsi="Arial" w:cs="Arial"/>
          <w:color w:val="000000" w:themeColor="text1"/>
          <w:sz w:val="22"/>
          <w:szCs w:val="22"/>
        </w:rPr>
      </w:pPr>
    </w:p>
    <w:p w14:paraId="73FFB6B9" w14:textId="31912444" w:rsidR="00A576A6" w:rsidRPr="005B067D" w:rsidRDefault="00A576A6" w:rsidP="00A576A6">
      <w:pPr>
        <w:numPr>
          <w:ilvl w:val="0"/>
          <w:numId w:val="7"/>
        </w:numPr>
        <w:spacing w:before="120" w:line="276" w:lineRule="auto"/>
        <w:jc w:val="both"/>
        <w:rPr>
          <w:rFonts w:ascii="Arial" w:hAnsi="Arial" w:cs="Arial"/>
          <w:color w:val="000000" w:themeColor="text1"/>
          <w:sz w:val="22"/>
          <w:szCs w:val="22"/>
        </w:rPr>
      </w:pPr>
      <w:r w:rsidRPr="005B067D">
        <w:rPr>
          <w:rFonts w:ascii="Arial" w:hAnsi="Arial"/>
          <w:b/>
          <w:sz w:val="22"/>
          <w:szCs w:val="22"/>
        </w:rPr>
        <w:t>Treatment of aliens, including migrants, refugees and asylum-seekers (arts. 7, 9, 13 and</w:t>
      </w:r>
      <w:r w:rsidRPr="005B067D">
        <w:rPr>
          <w:rFonts w:ascii="Arial" w:hAnsi="Arial" w:cs="Arial"/>
          <w:b/>
          <w:bCs/>
          <w:color w:val="000000" w:themeColor="text1"/>
          <w:sz w:val="22"/>
          <w:szCs w:val="22"/>
        </w:rPr>
        <w:t xml:space="preserve"> 24)</w:t>
      </w:r>
    </w:p>
    <w:p w14:paraId="3A2D44A6" w14:textId="29661D21" w:rsidR="00A576A6" w:rsidRPr="005B067D" w:rsidRDefault="00A576A6" w:rsidP="00A576A6">
      <w:pPr>
        <w:numPr>
          <w:ilvl w:val="0"/>
          <w:numId w:val="8"/>
        </w:numPr>
        <w:spacing w:before="120" w:line="276" w:lineRule="auto"/>
        <w:ind w:left="709"/>
        <w:jc w:val="both"/>
        <w:rPr>
          <w:rFonts w:ascii="Arial" w:hAnsi="Arial" w:cs="Arial"/>
          <w:color w:val="000000" w:themeColor="text1"/>
          <w:sz w:val="22"/>
          <w:szCs w:val="22"/>
        </w:rPr>
      </w:pPr>
      <w:r w:rsidRPr="005B067D">
        <w:rPr>
          <w:rFonts w:ascii="Arial" w:hAnsi="Arial" w:cs="Arial"/>
          <w:color w:val="000000" w:themeColor="text1"/>
          <w:sz w:val="22"/>
          <w:szCs w:val="22"/>
        </w:rPr>
        <w:t xml:space="preserve">The state was requested to report on the status of the pending draft amendment of the citizenship law. The state has reported that the national normative framework has been subject to multiple amendments </w:t>
      </w:r>
      <w:r w:rsidR="00A1404C" w:rsidRPr="005B067D">
        <w:rPr>
          <w:rFonts w:ascii="Arial" w:hAnsi="Arial" w:cs="Arial"/>
          <w:color w:val="000000" w:themeColor="text1"/>
          <w:sz w:val="22"/>
          <w:szCs w:val="22"/>
        </w:rPr>
        <w:t>to</w:t>
      </w:r>
      <w:r w:rsidRPr="005B067D">
        <w:rPr>
          <w:rFonts w:ascii="Arial" w:hAnsi="Arial" w:cs="Arial"/>
          <w:color w:val="000000" w:themeColor="text1"/>
          <w:sz w:val="22"/>
          <w:szCs w:val="22"/>
        </w:rPr>
        <w:t xml:space="preserve"> harmonize it with international instruments on citizenship, to ensure the right of every person to the citizenship of the Republic of Moldova and to exclude cases of loss of citizenship of the Republic of Moldova by children becoming stateless.</w:t>
      </w:r>
    </w:p>
    <w:p w14:paraId="149E4F4C" w14:textId="3EEE5614" w:rsidR="00A576A6" w:rsidRPr="005B067D" w:rsidRDefault="00A576A6" w:rsidP="00A576A6">
      <w:pPr>
        <w:numPr>
          <w:ilvl w:val="0"/>
          <w:numId w:val="8"/>
        </w:numPr>
        <w:spacing w:before="120" w:line="276" w:lineRule="auto"/>
        <w:ind w:left="709"/>
        <w:jc w:val="both"/>
        <w:rPr>
          <w:rFonts w:ascii="Arial" w:hAnsi="Arial" w:cs="Arial"/>
          <w:color w:val="000000" w:themeColor="text1"/>
          <w:sz w:val="22"/>
          <w:szCs w:val="22"/>
        </w:rPr>
      </w:pPr>
      <w:r w:rsidRPr="005B067D">
        <w:rPr>
          <w:rFonts w:ascii="Arial" w:hAnsi="Arial" w:cs="Arial"/>
          <w:color w:val="000000" w:themeColor="text1"/>
          <w:sz w:val="22"/>
          <w:szCs w:val="22"/>
        </w:rPr>
        <w:t>A major issue arose from amendments to citizenship and identity-document laws that were adopted in 2025. Reports show that young people — even those born in Moldova — are effectively being treated as stateless because they failed to obtain identity documents before turning 18. Under current administrative practice, if they lack a valid identity card, they must re-register as if they were foreigners, including taking language/history exams, even though the law says citizenship is gained by birth regardless of documents. This issue occurred because the administrative interpretation effectively deprives people of practical citizenship rights without legal grounds. Thus, by law, these people retain their citizenship, but</w:t>
      </w:r>
      <w:r w:rsidR="00442DD5">
        <w:rPr>
          <w:rFonts w:ascii="Arial" w:hAnsi="Arial" w:cs="Arial"/>
          <w:color w:val="000000" w:themeColor="text1"/>
          <w:sz w:val="22"/>
          <w:szCs w:val="22"/>
        </w:rPr>
        <w:t>,</w:t>
      </w:r>
      <w:r w:rsidRPr="005B067D">
        <w:rPr>
          <w:rFonts w:ascii="Arial" w:hAnsi="Arial" w:cs="Arial"/>
          <w:color w:val="000000" w:themeColor="text1"/>
          <w:sz w:val="22"/>
          <w:szCs w:val="22"/>
        </w:rPr>
        <w:t xml:space="preserve"> de </w:t>
      </w:r>
      <w:r w:rsidR="00442DD5" w:rsidRPr="005B067D">
        <w:rPr>
          <w:rFonts w:ascii="Arial" w:hAnsi="Arial" w:cs="Arial"/>
          <w:color w:val="000000" w:themeColor="text1"/>
          <w:sz w:val="22"/>
          <w:szCs w:val="22"/>
        </w:rPr>
        <w:t>facto,</w:t>
      </w:r>
      <w:r w:rsidRPr="005B067D">
        <w:rPr>
          <w:rFonts w:ascii="Arial" w:hAnsi="Arial" w:cs="Arial"/>
          <w:color w:val="000000" w:themeColor="text1"/>
          <w:sz w:val="22"/>
          <w:szCs w:val="22"/>
        </w:rPr>
        <w:t xml:space="preserve"> they find themselves without documents and are issued a stateless person’s certificate.</w:t>
      </w:r>
    </w:p>
    <w:p w14:paraId="16BB60CF" w14:textId="77777777" w:rsidR="00442DD5" w:rsidRDefault="00442DD5" w:rsidP="00A576A6">
      <w:pPr>
        <w:spacing w:before="120" w:line="276" w:lineRule="auto"/>
        <w:ind w:left="709"/>
        <w:jc w:val="both"/>
        <w:rPr>
          <w:rFonts w:ascii="Arial" w:hAnsi="Arial" w:cs="Arial"/>
          <w:b/>
          <w:color w:val="000000" w:themeColor="text1"/>
          <w:sz w:val="22"/>
          <w:szCs w:val="22"/>
        </w:rPr>
      </w:pPr>
    </w:p>
    <w:p w14:paraId="5E5A3CA6" w14:textId="7C9E8755" w:rsidR="00A576A6" w:rsidRPr="005B067D" w:rsidRDefault="00A576A6" w:rsidP="00A576A6">
      <w:pPr>
        <w:spacing w:before="120" w:line="276" w:lineRule="auto"/>
        <w:ind w:left="709"/>
        <w:jc w:val="both"/>
        <w:rPr>
          <w:rFonts w:ascii="Arial" w:hAnsi="Arial" w:cs="Arial"/>
          <w:b/>
          <w:color w:val="000000" w:themeColor="text1"/>
          <w:sz w:val="22"/>
          <w:szCs w:val="22"/>
        </w:rPr>
      </w:pPr>
      <w:r w:rsidRPr="005B067D">
        <w:rPr>
          <w:rFonts w:ascii="Arial" w:hAnsi="Arial" w:cs="Arial"/>
          <w:b/>
          <w:color w:val="000000" w:themeColor="text1"/>
          <w:sz w:val="22"/>
          <w:szCs w:val="22"/>
        </w:rPr>
        <w:t>Recommendations:</w:t>
      </w:r>
    </w:p>
    <w:p w14:paraId="662DA26E" w14:textId="36EE462F" w:rsidR="00A576A6" w:rsidRPr="00442DD5" w:rsidRDefault="00A1404C" w:rsidP="00A1404C">
      <w:pPr>
        <w:pStyle w:val="ListParagraph"/>
        <w:numPr>
          <w:ilvl w:val="0"/>
          <w:numId w:val="17"/>
        </w:numPr>
        <w:spacing w:before="120" w:line="276" w:lineRule="auto"/>
        <w:jc w:val="both"/>
        <w:rPr>
          <w:rFonts w:ascii="Arial" w:hAnsi="Arial" w:cs="Arial"/>
          <w:b/>
          <w:color w:val="000000" w:themeColor="text1"/>
          <w:sz w:val="22"/>
          <w:szCs w:val="22"/>
          <w:lang w:val="en-US"/>
        </w:rPr>
      </w:pPr>
      <w:r w:rsidRPr="00442DD5">
        <w:rPr>
          <w:rFonts w:ascii="Arial" w:hAnsi="Arial" w:cs="Arial"/>
          <w:b/>
          <w:color w:val="000000" w:themeColor="text1"/>
          <w:sz w:val="22"/>
          <w:szCs w:val="22"/>
          <w:lang w:val="en-US"/>
        </w:rPr>
        <w:t>Ensure the legal framework and operational procedures to prevent statelessness arising from restrictive interpretation of proof of citizenship by persons who acquired citizenship by birth.</w:t>
      </w:r>
    </w:p>
    <w:sectPr w:rsidR="00A576A6" w:rsidRPr="00442DD5" w:rsidSect="001E2221">
      <w:footerReference w:type="default" r:id="rId8"/>
      <w:headerReference w:type="first" r:id="rId9"/>
      <w:pgSz w:w="11900" w:h="16840"/>
      <w:pgMar w:top="1135" w:right="1268"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6424C" w14:textId="77777777" w:rsidR="002058C7" w:rsidRDefault="002058C7" w:rsidP="00D27343">
      <w:r>
        <w:separator/>
      </w:r>
    </w:p>
  </w:endnote>
  <w:endnote w:type="continuationSeparator" w:id="0">
    <w:p w14:paraId="06B1FC0A" w14:textId="77777777" w:rsidR="002058C7" w:rsidRDefault="002058C7" w:rsidP="00D27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5899956"/>
      <w:docPartObj>
        <w:docPartGallery w:val="Page Numbers (Bottom of Page)"/>
        <w:docPartUnique/>
      </w:docPartObj>
    </w:sdtPr>
    <w:sdtContent>
      <w:p w14:paraId="261A5985" w14:textId="3969FDD2" w:rsidR="0057573A" w:rsidRDefault="0057573A">
        <w:pPr>
          <w:pStyle w:val="Footer"/>
          <w:jc w:val="right"/>
        </w:pPr>
        <w:r>
          <w:fldChar w:fldCharType="begin"/>
        </w:r>
        <w:r>
          <w:instrText>PAGE   \* MERGEFORMAT</w:instrText>
        </w:r>
        <w:r>
          <w:fldChar w:fldCharType="separate"/>
        </w:r>
        <w:r w:rsidR="00C67D86" w:rsidRPr="00C67D86">
          <w:rPr>
            <w:noProof/>
            <w:lang w:val="en-GB"/>
          </w:rPr>
          <w:t>11</w:t>
        </w:r>
        <w:r>
          <w:fldChar w:fldCharType="end"/>
        </w:r>
      </w:p>
    </w:sdtContent>
  </w:sdt>
  <w:p w14:paraId="2C64DDE6" w14:textId="77777777" w:rsidR="0057573A" w:rsidRDefault="00575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BD9B0" w14:textId="77777777" w:rsidR="002058C7" w:rsidRDefault="002058C7" w:rsidP="00D27343">
      <w:r>
        <w:separator/>
      </w:r>
    </w:p>
  </w:footnote>
  <w:footnote w:type="continuationSeparator" w:id="0">
    <w:p w14:paraId="0EEE7584" w14:textId="77777777" w:rsidR="002058C7" w:rsidRDefault="002058C7" w:rsidP="00D27343">
      <w:r>
        <w:continuationSeparator/>
      </w:r>
    </w:p>
  </w:footnote>
  <w:footnote w:id="1">
    <w:p w14:paraId="07772FB1" w14:textId="77777777" w:rsidR="00167AF5" w:rsidRPr="00656467" w:rsidRDefault="00167AF5" w:rsidP="00167AF5">
      <w:pPr>
        <w:pStyle w:val="FootnoteText"/>
        <w:rPr>
          <w:lang w:val="en-US"/>
        </w:rPr>
      </w:pPr>
      <w:r>
        <w:rPr>
          <w:rStyle w:val="FootnoteReference"/>
        </w:rPr>
        <w:footnoteRef/>
      </w:r>
      <w:r w:rsidRPr="00656467">
        <w:rPr>
          <w:lang w:val="ro-RO"/>
        </w:rPr>
        <w:t xml:space="preserve"> </w:t>
      </w:r>
      <w:r w:rsidRPr="00656467">
        <w:rPr>
          <w:lang w:val="en-US"/>
        </w:rPr>
        <w:t>Additional information is available on the Council’s web page: www.egalitate.md</w:t>
      </w:r>
    </w:p>
  </w:footnote>
  <w:footnote w:id="2">
    <w:p w14:paraId="12F0C60D" w14:textId="134509B5" w:rsidR="00473555" w:rsidRPr="00473555" w:rsidRDefault="00473555">
      <w:pPr>
        <w:pStyle w:val="FootnoteText"/>
        <w:rPr>
          <w:lang w:val="en-US"/>
        </w:rPr>
      </w:pPr>
      <w:r>
        <w:rPr>
          <w:rStyle w:val="FootnoteReference"/>
        </w:rPr>
        <w:footnoteRef/>
      </w:r>
      <w:r w:rsidRPr="00473555">
        <w:rPr>
          <w:lang w:val="en-US"/>
        </w:rPr>
        <w:t xml:space="preserve"> https://egalitate.md/wp-content/uploads/2021/01/ENG_Study_Equality_Perceptions.pdf</w:t>
      </w:r>
    </w:p>
  </w:footnote>
  <w:footnote w:id="3">
    <w:p w14:paraId="37523284" w14:textId="77777777" w:rsidR="00167AF5" w:rsidRPr="00B7051A" w:rsidRDefault="00167AF5" w:rsidP="00167AF5">
      <w:pPr>
        <w:pStyle w:val="FootnoteText"/>
        <w:rPr>
          <w:lang w:val="en-US"/>
        </w:rPr>
      </w:pPr>
      <w:r>
        <w:rPr>
          <w:rStyle w:val="FootnoteReference"/>
        </w:rPr>
        <w:footnoteRef/>
      </w:r>
      <w:r w:rsidRPr="00B7051A">
        <w:rPr>
          <w:lang w:val="en-US"/>
        </w:rPr>
        <w:t xml:space="preserve"> </w:t>
      </w:r>
      <w:hyperlink r:id="rId1" w:history="1">
        <w:r w:rsidRPr="00B7051A">
          <w:rPr>
            <w:rStyle w:val="Hyperlink"/>
            <w:lang w:val="en-US"/>
          </w:rPr>
          <w:t>278_21__Decizie-constatare_votat.pdf (egalitate.md)</w:t>
        </w:r>
      </w:hyperlink>
      <w:r w:rsidRPr="00B7051A">
        <w:rPr>
          <w:lang w:val="en-US"/>
        </w:rPr>
        <w:t xml:space="preserve"> </w:t>
      </w:r>
    </w:p>
  </w:footnote>
  <w:footnote w:id="4">
    <w:p w14:paraId="32F3CACB" w14:textId="25B6AD35" w:rsidR="00473555" w:rsidRPr="00473555" w:rsidRDefault="00473555">
      <w:pPr>
        <w:pStyle w:val="FootnoteText"/>
        <w:rPr>
          <w:lang w:val="en-US"/>
        </w:rPr>
      </w:pPr>
      <w:r>
        <w:rPr>
          <w:rStyle w:val="FootnoteReference"/>
        </w:rPr>
        <w:footnoteRef/>
      </w:r>
      <w:r w:rsidRPr="00473555">
        <w:rPr>
          <w:lang w:val="en-US"/>
        </w:rPr>
        <w:t xml:space="preserve"> https://egalitate.md/wp-content/uploads/2021/01/ENG_Study_Equality_Perceptions.pdf</w:t>
      </w:r>
    </w:p>
  </w:footnote>
  <w:footnote w:id="5">
    <w:p w14:paraId="6768C4C0" w14:textId="77777777" w:rsidR="00167AF5" w:rsidRPr="006D73C0" w:rsidRDefault="00167AF5" w:rsidP="00167AF5">
      <w:pPr>
        <w:pStyle w:val="FootnoteText"/>
        <w:rPr>
          <w:lang w:val="en-US"/>
        </w:rPr>
      </w:pPr>
      <w:r>
        <w:rPr>
          <w:rStyle w:val="FootnoteReference"/>
        </w:rPr>
        <w:footnoteRef/>
      </w:r>
      <w:r w:rsidRPr="006D73C0">
        <w:rPr>
          <w:lang w:val="en-US"/>
        </w:rPr>
        <w:t xml:space="preserve"> </w:t>
      </w:r>
      <w:r>
        <w:rPr>
          <w:lang w:val="en-US"/>
        </w:rPr>
        <w:t>T</w:t>
      </w:r>
      <w:r w:rsidRPr="006D73C0">
        <w:rPr>
          <w:lang w:val="en-US"/>
        </w:rPr>
        <w:t xml:space="preserve">he first decision adopted in 2013 was </w:t>
      </w:r>
      <w:r>
        <w:rPr>
          <w:lang w:val="en-US"/>
        </w:rPr>
        <w:t>n</w:t>
      </w:r>
      <w:r w:rsidRPr="006D73C0">
        <w:rPr>
          <w:lang w:val="en-US"/>
        </w:rPr>
        <w:t>o</w:t>
      </w:r>
      <w:r>
        <w:rPr>
          <w:lang w:val="en-US"/>
        </w:rPr>
        <w:t>.</w:t>
      </w:r>
      <w:r w:rsidRPr="006D73C0">
        <w:rPr>
          <w:lang w:val="en-US"/>
        </w:rPr>
        <w:t xml:space="preserve"> 009/2013</w:t>
      </w:r>
      <w:r>
        <w:rPr>
          <w:lang w:val="en-US"/>
        </w:rPr>
        <w:t xml:space="preserve"> (</w:t>
      </w:r>
      <w:hyperlink r:id="rId2" w:history="1">
        <w:r w:rsidRPr="006D73C0">
          <w:rPr>
            <w:rStyle w:val="Hyperlink"/>
            <w:lang w:val="en-US"/>
          </w:rPr>
          <w:t>http://egalitate.md/wp-content/uploads/2016/04/decizia_009_4237096.pdf</w:t>
        </w:r>
      </w:hyperlink>
      <w:r w:rsidRPr="006D73C0">
        <w:rPr>
          <w:rStyle w:val="Hyperlink"/>
          <w:color w:val="auto"/>
          <w:u w:val="none"/>
          <w:lang w:val="en-US"/>
        </w:rPr>
        <w:t>)</w:t>
      </w:r>
      <w:r>
        <w:rPr>
          <w:rStyle w:val="Hyperlink"/>
          <w:color w:val="auto"/>
          <w:u w:val="none"/>
          <w:lang w:val="en-US"/>
        </w:rPr>
        <w:t>, t</w:t>
      </w:r>
      <w:r w:rsidRPr="006D73C0">
        <w:rPr>
          <w:rStyle w:val="Hyperlink"/>
          <w:color w:val="auto"/>
          <w:u w:val="none"/>
          <w:lang w:val="en-US"/>
        </w:rPr>
        <w:t xml:space="preserve">he most recent decisions adopted in 2022 </w:t>
      </w:r>
      <w:r>
        <w:rPr>
          <w:rStyle w:val="Hyperlink"/>
          <w:color w:val="auto"/>
          <w:u w:val="none"/>
          <w:lang w:val="en-US"/>
        </w:rPr>
        <w:t>were</w:t>
      </w:r>
      <w:r w:rsidRPr="006D73C0">
        <w:rPr>
          <w:rStyle w:val="Hyperlink"/>
          <w:color w:val="auto"/>
          <w:u w:val="none"/>
          <w:lang w:val="en-US"/>
        </w:rPr>
        <w:t xml:space="preserve"> no. 38/22 (</w:t>
      </w:r>
      <w:hyperlink r:id="rId3" w:history="1">
        <w:r w:rsidRPr="006D73C0">
          <w:rPr>
            <w:rStyle w:val="Hyperlink"/>
            <w:lang w:val="en-US"/>
          </w:rPr>
          <w:t>https://egalitate.md/wp-content/uploads/2016/04/38_22_Decizie-_constatare_votat.pdf</w:t>
        </w:r>
      </w:hyperlink>
      <w:r w:rsidRPr="006D73C0">
        <w:rPr>
          <w:rStyle w:val="Hyperlink"/>
          <w:color w:val="auto"/>
          <w:u w:val="none"/>
          <w:lang w:val="en-US"/>
        </w:rPr>
        <w:t>), no. 53/22 (</w:t>
      </w:r>
      <w:hyperlink r:id="rId4" w:history="1">
        <w:r w:rsidRPr="006D73C0">
          <w:rPr>
            <w:rStyle w:val="Hyperlink"/>
            <w:lang w:val="en-US"/>
          </w:rPr>
          <w:t>https://egalitate.md/wp-content/uploads/2016/04/53_22_Decizie-constatare_votat.pdf</w:t>
        </w:r>
      </w:hyperlink>
      <w:r w:rsidRPr="006D73C0">
        <w:rPr>
          <w:rStyle w:val="Hyperlink"/>
          <w:color w:val="auto"/>
          <w:u w:val="none"/>
          <w:lang w:val="en-US"/>
        </w:rPr>
        <w:t>) and no. 54/22 (</w:t>
      </w:r>
      <w:hyperlink r:id="rId5" w:history="1">
        <w:r w:rsidRPr="006D73C0">
          <w:rPr>
            <w:rStyle w:val="Hyperlink"/>
            <w:lang w:val="en-US"/>
          </w:rPr>
          <w:t>https://egalitate.md/wp-content/uploads/2016/04/54_22_Decizie-constatare_votat.pdf</w:t>
        </w:r>
      </w:hyperlink>
      <w:r w:rsidRPr="006D73C0">
        <w:rPr>
          <w:rStyle w:val="Hyperlink"/>
          <w:color w:val="auto"/>
          <w:u w:val="none"/>
          <w:lang w:val="en-US"/>
        </w:rPr>
        <w:t>).</w:t>
      </w:r>
    </w:p>
  </w:footnote>
  <w:footnote w:id="6">
    <w:p w14:paraId="338490D2" w14:textId="20B08C12" w:rsidR="0081256E" w:rsidRDefault="0081256E" w:rsidP="0081256E">
      <w:pPr>
        <w:pStyle w:val="FootnoteText"/>
        <w:rPr>
          <w:rFonts w:asciiTheme="minorHAnsi" w:hAnsiTheme="minorHAnsi" w:cstheme="minorBidi"/>
          <w:lang w:val="en-US" w:eastAsia="en-US"/>
        </w:rPr>
      </w:pPr>
      <w:r>
        <w:rPr>
          <w:rStyle w:val="FootnoteReference"/>
        </w:rPr>
        <w:footnoteRef/>
      </w:r>
      <w:r w:rsidRPr="0081256E">
        <w:rPr>
          <w:lang w:val="en-US"/>
        </w:rPr>
        <w:t xml:space="preserve"> </w:t>
      </w:r>
      <w:r w:rsidR="009669F7">
        <w:rPr>
          <w:lang w:val="en-US"/>
        </w:rPr>
        <w:t>Decision no</w:t>
      </w:r>
      <w:r w:rsidRPr="0081256E">
        <w:rPr>
          <w:lang w:val="en-US"/>
        </w:rPr>
        <w:t xml:space="preserve"> 138/23</w:t>
      </w:r>
    </w:p>
    <w:p w14:paraId="7FB48B1F" w14:textId="42B6F2FC" w:rsidR="0081256E" w:rsidRPr="009669F7" w:rsidRDefault="0081256E" w:rsidP="0081256E">
      <w:pPr>
        <w:pStyle w:val="FootnoteText"/>
        <w:rPr>
          <w:lang w:val="ro-RO"/>
        </w:rPr>
      </w:pPr>
      <w:hyperlink r:id="rId6" w:history="1">
        <w:r w:rsidRPr="0081256E">
          <w:rPr>
            <w:rStyle w:val="Hyperlink"/>
            <w:lang w:val="en-US"/>
          </w:rPr>
          <w:t>https://egalitate.md/wp-content/uploads/2021/01/138_23_decizie_constatare_votat.pdf</w:t>
        </w:r>
      </w:hyperlink>
      <w:r w:rsidR="009669F7">
        <w:rPr>
          <w:lang w:val="ro-RO"/>
        </w:rPr>
        <w:t xml:space="preserve">; </w:t>
      </w:r>
      <w:r w:rsidR="009669F7" w:rsidRPr="009669F7">
        <w:rPr>
          <w:lang w:val="en-US"/>
        </w:rPr>
        <w:t>Decision no</w:t>
      </w:r>
      <w:r w:rsidR="009669F7">
        <w:rPr>
          <w:lang w:val="ro-RO"/>
        </w:rPr>
        <w:t xml:space="preserve"> 26/24, </w:t>
      </w:r>
      <w:hyperlink r:id="rId7" w:history="1">
        <w:r w:rsidR="009669F7" w:rsidRPr="008B2B05">
          <w:rPr>
            <w:rStyle w:val="Hyperlink"/>
            <w:lang w:val="ro-RO"/>
          </w:rPr>
          <w:t>https://egalitate.md/wp-content/uploads/2021/01/26_24_Decizie_constatare_votat.pdf</w:t>
        </w:r>
      </w:hyperlink>
      <w:r w:rsidR="009669F7">
        <w:rPr>
          <w:lang w:val="ro-RO"/>
        </w:rPr>
        <w:t xml:space="preserve">; </w:t>
      </w:r>
      <w:r w:rsidR="009669F7" w:rsidRPr="009669F7">
        <w:rPr>
          <w:lang w:val="en-US"/>
        </w:rPr>
        <w:t>Decision no</w:t>
      </w:r>
      <w:r w:rsidR="009669F7">
        <w:rPr>
          <w:lang w:val="ro-RO"/>
        </w:rPr>
        <w:t xml:space="preserve"> 194/25, </w:t>
      </w:r>
      <w:hyperlink r:id="rId8" w:history="1">
        <w:r w:rsidR="009669F7" w:rsidRPr="008B2B05">
          <w:rPr>
            <w:rStyle w:val="Hyperlink"/>
            <w:lang w:val="ro-RO"/>
          </w:rPr>
          <w:t>https://egalitate.md/wp-content/uploads/2021/01/194_25_Decizie_constatare_votat.pdf</w:t>
        </w:r>
      </w:hyperlink>
      <w:r w:rsidR="009669F7">
        <w:rPr>
          <w:lang w:val="ro-RO"/>
        </w:rPr>
        <w:t xml:space="preserve">;  </w:t>
      </w:r>
    </w:p>
  </w:footnote>
  <w:footnote w:id="7">
    <w:p w14:paraId="23367612" w14:textId="77777777" w:rsidR="00167AF5" w:rsidRPr="0081256E" w:rsidRDefault="00167AF5" w:rsidP="00167AF5">
      <w:pPr>
        <w:pStyle w:val="FootnoteText"/>
        <w:rPr>
          <w:lang w:val="ro-RO"/>
        </w:rPr>
      </w:pPr>
      <w:r>
        <w:rPr>
          <w:rStyle w:val="FootnoteReference"/>
        </w:rPr>
        <w:footnoteRef/>
      </w:r>
      <w:r w:rsidRPr="0081256E">
        <w:rPr>
          <w:lang w:val="ro-RO"/>
        </w:rPr>
        <w:t xml:space="preserve"> </w:t>
      </w:r>
      <w:hyperlink r:id="rId9" w:history="1">
        <w:r w:rsidRPr="0081256E">
          <w:rPr>
            <w:rStyle w:val="Hyperlink"/>
            <w:lang w:val="ro-RO"/>
          </w:rPr>
          <w:t>http://egalitate.md/wp-content/uploads/2016/04/Decizie_par--ial_constatare_223_2018.pdf</w:t>
        </w:r>
      </w:hyperlink>
      <w:r w:rsidRPr="0081256E">
        <w:rPr>
          <w:lang w:val="ro-RO"/>
        </w:rPr>
        <w:t xml:space="preserve"> </w:t>
      </w:r>
    </w:p>
  </w:footnote>
  <w:footnote w:id="8">
    <w:p w14:paraId="7B5C48E2" w14:textId="77777777" w:rsidR="00167AF5" w:rsidRPr="000D5240" w:rsidRDefault="00167AF5" w:rsidP="00167AF5">
      <w:pPr>
        <w:pStyle w:val="FootnoteText"/>
        <w:rPr>
          <w:lang w:val="en-US"/>
        </w:rPr>
      </w:pPr>
      <w:r>
        <w:rPr>
          <w:rStyle w:val="FootnoteReference"/>
        </w:rPr>
        <w:footnoteRef/>
      </w:r>
      <w:r w:rsidRPr="000D5240">
        <w:rPr>
          <w:lang w:val="en-US"/>
        </w:rPr>
        <w:t xml:space="preserve"> </w:t>
      </w:r>
      <w:hyperlink r:id="rId10" w:history="1">
        <w:r w:rsidRPr="003B2D35">
          <w:rPr>
            <w:rStyle w:val="Hyperlink"/>
            <w:lang w:val="en-US"/>
          </w:rPr>
          <w:t>http://egalitate.md/wp-content/uploads/2016/04/Decizie_constatare_67_2019.pdf</w:t>
        </w:r>
      </w:hyperlink>
      <w:r>
        <w:rPr>
          <w:lang w:val="en-US"/>
        </w:rPr>
        <w:t xml:space="preserve"> </w:t>
      </w:r>
    </w:p>
  </w:footnote>
  <w:footnote w:id="9">
    <w:p w14:paraId="2C7DFA37" w14:textId="1D82E88E" w:rsidR="004152FE" w:rsidRPr="004152FE" w:rsidRDefault="004152FE">
      <w:pPr>
        <w:pStyle w:val="FootnoteText"/>
        <w:rPr>
          <w:lang w:val="en-US"/>
        </w:rPr>
      </w:pPr>
      <w:r>
        <w:rPr>
          <w:rStyle w:val="FootnoteReference"/>
        </w:rPr>
        <w:footnoteRef/>
      </w:r>
      <w:r w:rsidRPr="004152FE">
        <w:rPr>
          <w:lang w:val="en-US"/>
        </w:rPr>
        <w:t xml:space="preserve"> </w:t>
      </w:r>
      <w:hyperlink r:id="rId11" w:history="1">
        <w:r w:rsidRPr="008B2B05">
          <w:rPr>
            <w:rStyle w:val="Hyperlink"/>
            <w:lang w:val="en-US"/>
          </w:rPr>
          <w:t>https://www.undp.org/ro/moldova/publications/reprezentare-putere-si-inegalitati-de-gen-scrutinul-parlamentar-2025</w:t>
        </w:r>
      </w:hyperlink>
      <w:r>
        <w:rPr>
          <w:lang w:val="en-US"/>
        </w:rPr>
        <w:t xml:space="preserve"> </w:t>
      </w:r>
    </w:p>
  </w:footnote>
  <w:footnote w:id="10">
    <w:p w14:paraId="6FD2F535" w14:textId="336206D2" w:rsidR="00A30342" w:rsidRPr="00A30342" w:rsidRDefault="00A30342">
      <w:pPr>
        <w:pStyle w:val="FootnoteText"/>
        <w:rPr>
          <w:lang w:val="en-US"/>
        </w:rPr>
      </w:pPr>
      <w:r>
        <w:rPr>
          <w:rStyle w:val="FootnoteReference"/>
        </w:rPr>
        <w:footnoteRef/>
      </w:r>
      <w:r w:rsidRPr="00A30342">
        <w:rPr>
          <w:lang w:val="en-US"/>
        </w:rPr>
        <w:t xml:space="preserve"> </w:t>
      </w:r>
      <w:hyperlink r:id="rId12" w:history="1">
        <w:r w:rsidRPr="008B2B05">
          <w:rPr>
            <w:rStyle w:val="Hyperlink"/>
            <w:lang w:val="en-US"/>
          </w:rPr>
          <w:t>https://promolex.md/wp-content/uploads/2025/02/raport-du_ap_rrc_2024_machetat_2025-1.pdf</w:t>
        </w:r>
      </w:hyperlink>
      <w:r>
        <w:rPr>
          <w:lang w:val="en-US"/>
        </w:rPr>
        <w:t xml:space="preserve"> </w:t>
      </w:r>
    </w:p>
  </w:footnote>
  <w:footnote w:id="11">
    <w:p w14:paraId="75877CFE" w14:textId="7425C9FF" w:rsidR="00BB5D24" w:rsidRPr="00BB5D24" w:rsidRDefault="00BB5D24">
      <w:pPr>
        <w:pStyle w:val="FootnoteText"/>
        <w:rPr>
          <w:lang w:val="en-US"/>
        </w:rPr>
      </w:pPr>
      <w:r>
        <w:rPr>
          <w:rStyle w:val="FootnoteReference"/>
        </w:rPr>
        <w:footnoteRef/>
      </w:r>
      <w:r w:rsidRPr="00BB5D24">
        <w:rPr>
          <w:lang w:val="en-US"/>
        </w:rPr>
        <w:t xml:space="preserve"> https://egalitate.md/wp-content/uploads/2021/01/256_24_Decizie_constatare_votat.pdf</w:t>
      </w:r>
    </w:p>
  </w:footnote>
  <w:footnote w:id="12">
    <w:p w14:paraId="16D1CD68" w14:textId="7762AD8C" w:rsidR="001E2221" w:rsidRPr="001E2221" w:rsidRDefault="001E2221">
      <w:pPr>
        <w:pStyle w:val="FootnoteText"/>
        <w:rPr>
          <w:lang w:val="en-US"/>
        </w:rPr>
      </w:pPr>
      <w:r>
        <w:rPr>
          <w:rStyle w:val="FootnoteReference"/>
        </w:rPr>
        <w:footnoteRef/>
      </w:r>
      <w:r w:rsidRPr="001E2221">
        <w:rPr>
          <w:lang w:val="en-US"/>
        </w:rPr>
        <w:t xml:space="preserve"> https://egalitate.md/wp-content/uploads/2021/01/184_24_Decizie_constatare_votat.pdf</w:t>
      </w:r>
    </w:p>
  </w:footnote>
  <w:footnote w:id="13">
    <w:p w14:paraId="32E08FF8" w14:textId="77777777" w:rsidR="0057573A" w:rsidRDefault="0057573A" w:rsidP="0057573A">
      <w:pPr>
        <w:pStyle w:val="FootnoteText"/>
        <w:rPr>
          <w:rFonts w:eastAsia="Times New Roman"/>
          <w:lang w:val="ro-MD" w:eastAsia="en-US"/>
        </w:rPr>
      </w:pPr>
      <w:r>
        <w:rPr>
          <w:rStyle w:val="FootnoteReference"/>
        </w:rPr>
        <w:footnoteRef/>
      </w:r>
      <w:r w:rsidRPr="0057573A">
        <w:rPr>
          <w:lang w:val="en-US"/>
        </w:rPr>
        <w:t xml:space="preserve"> </w:t>
      </w:r>
      <w:hyperlink r:id="rId13" w:history="1">
        <w:r w:rsidRPr="0057573A">
          <w:rPr>
            <w:rStyle w:val="Hyperlink"/>
            <w:lang w:val="en-US"/>
          </w:rPr>
          <w:t>https://egalitate.md/wp-content/uploads/2021/01/77_24_Draft_Aviz_constatare_votat.pdf</w:t>
        </w:r>
      </w:hyperlink>
      <w:r w:rsidRPr="0057573A">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B9AA1" w14:textId="63CA6176" w:rsidR="00D27343" w:rsidRPr="00846E08" w:rsidRDefault="00846E08">
    <w:pPr>
      <w:pStyle w:val="Header"/>
      <w:rPr>
        <w:rFonts w:ascii="Arial" w:hAnsi="Arial" w:cs="Arial"/>
      </w:rPr>
    </w:pPr>
    <w:r w:rsidRPr="00846E08">
      <w:rPr>
        <w:rFonts w:ascii="Arial" w:hAnsi="Arial" w:cs="Arial"/>
        <w:noProof/>
        <w:lang w:val="ro-RO" w:eastAsia="ro-RO"/>
      </w:rPr>
      <w:drawing>
        <wp:anchor distT="0" distB="0" distL="114300" distR="114300" simplePos="0" relativeHeight="251658240" behindDoc="0" locked="0" layoutInCell="1" allowOverlap="1" wp14:anchorId="537EB3F6" wp14:editId="096779F1">
          <wp:simplePos x="0" y="0"/>
          <wp:positionH relativeFrom="column">
            <wp:posOffset>-10795</wp:posOffset>
          </wp:positionH>
          <wp:positionV relativeFrom="page">
            <wp:posOffset>540385</wp:posOffset>
          </wp:positionV>
          <wp:extent cx="3250800" cy="1537200"/>
          <wp:effectExtent l="0" t="0" r="0" b="0"/>
          <wp:wrapTopAndBottom/>
          <wp:docPr id="1029425665" name="Picture 1029425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250800" cy="1537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B52E9"/>
    <w:multiLevelType w:val="hybridMultilevel"/>
    <w:tmpl w:val="1B366E1C"/>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103B528C"/>
    <w:multiLevelType w:val="hybridMultilevel"/>
    <w:tmpl w:val="FC72340E"/>
    <w:lvl w:ilvl="0" w:tplc="04180001">
      <w:start w:val="1"/>
      <w:numFmt w:val="bullet"/>
      <w:lvlText w:val=""/>
      <w:lvlJc w:val="left"/>
      <w:pPr>
        <w:ind w:left="1440" w:hanging="360"/>
      </w:pPr>
      <w:rPr>
        <w:rFonts w:ascii="Symbol" w:hAnsi="Symbol"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2" w15:restartNumberingAfterBreak="0">
    <w:nsid w:val="118F4997"/>
    <w:multiLevelType w:val="multilevel"/>
    <w:tmpl w:val="E39C70BC"/>
    <w:lvl w:ilvl="0">
      <w:start w:val="4"/>
      <w:numFmt w:val="upperRoman"/>
      <w:lvlText w:val="%1."/>
      <w:lvlJc w:val="left"/>
      <w:pPr>
        <w:ind w:left="780" w:hanging="720"/>
      </w:pPr>
    </w:lvl>
    <w:lvl w:ilvl="1">
      <w:start w:val="1"/>
      <w:numFmt w:val="decimal"/>
      <w:isLgl/>
      <w:lvlText w:val="%1.%2"/>
      <w:lvlJc w:val="left"/>
      <w:pPr>
        <w:ind w:left="420" w:hanging="360"/>
      </w:pPr>
      <w:rPr>
        <w:sz w:val="22"/>
        <w:szCs w:val="22"/>
      </w:rPr>
    </w:lvl>
    <w:lvl w:ilvl="2">
      <w:start w:val="1"/>
      <w:numFmt w:val="decimal"/>
      <w:isLgl/>
      <w:lvlText w:val="%1.%2.%3"/>
      <w:lvlJc w:val="left"/>
      <w:pPr>
        <w:ind w:left="780" w:hanging="720"/>
      </w:p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500" w:hanging="1440"/>
      </w:pPr>
    </w:lvl>
  </w:abstractNum>
  <w:abstractNum w:abstractNumId="3" w15:restartNumberingAfterBreak="0">
    <w:nsid w:val="1D1856F8"/>
    <w:multiLevelType w:val="multilevel"/>
    <w:tmpl w:val="D85A6E3C"/>
    <w:lvl w:ilvl="0">
      <w:start w:val="1"/>
      <w:numFmt w:val="upperRoman"/>
      <w:lvlText w:val="%1."/>
      <w:lvlJc w:val="right"/>
      <w:pPr>
        <w:ind w:left="780" w:hanging="720"/>
      </w:pPr>
      <w:rPr>
        <w:b/>
      </w:rPr>
    </w:lvl>
    <w:lvl w:ilvl="1">
      <w:start w:val="1"/>
      <w:numFmt w:val="decimal"/>
      <w:isLgl/>
      <w:lvlText w:val="%1.%2"/>
      <w:lvlJc w:val="left"/>
      <w:pPr>
        <w:ind w:left="6740" w:hanging="360"/>
      </w:pPr>
      <w:rPr>
        <w:rFonts w:ascii="Arial" w:hAnsi="Arial" w:cs="Arial" w:hint="default"/>
        <w:b w:val="0"/>
        <w:i w:val="0"/>
        <w:color w:val="000000"/>
        <w:sz w:val="22"/>
        <w:szCs w:val="22"/>
      </w:rPr>
    </w:lvl>
    <w:lvl w:ilvl="2">
      <w:start w:val="1"/>
      <w:numFmt w:val="decimal"/>
      <w:isLgl/>
      <w:lvlText w:val="%1.%2.%3"/>
      <w:lvlJc w:val="left"/>
      <w:pPr>
        <w:ind w:left="780" w:hanging="720"/>
      </w:p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500" w:hanging="1440"/>
      </w:pPr>
    </w:lvl>
  </w:abstractNum>
  <w:abstractNum w:abstractNumId="4" w15:restartNumberingAfterBreak="0">
    <w:nsid w:val="201170D9"/>
    <w:multiLevelType w:val="multilevel"/>
    <w:tmpl w:val="E9DADD78"/>
    <w:lvl w:ilvl="0">
      <w:start w:val="3"/>
      <w:numFmt w:val="upperRoman"/>
      <w:lvlText w:val="%1."/>
      <w:lvlJc w:val="left"/>
      <w:pPr>
        <w:ind w:left="780" w:hanging="720"/>
      </w:pPr>
    </w:lvl>
    <w:lvl w:ilvl="1">
      <w:start w:val="3"/>
      <w:numFmt w:val="decimal"/>
      <w:isLgl/>
      <w:lvlText w:val="%1.%2"/>
      <w:lvlJc w:val="left"/>
      <w:pPr>
        <w:ind w:left="420" w:hanging="360"/>
      </w:pPr>
    </w:lvl>
    <w:lvl w:ilvl="2">
      <w:start w:val="1"/>
      <w:numFmt w:val="decimal"/>
      <w:isLgl/>
      <w:lvlText w:val="%1.%2.%3"/>
      <w:lvlJc w:val="left"/>
      <w:pPr>
        <w:ind w:left="780" w:hanging="720"/>
      </w:p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500" w:hanging="1440"/>
      </w:pPr>
    </w:lvl>
  </w:abstractNum>
  <w:abstractNum w:abstractNumId="5" w15:restartNumberingAfterBreak="0">
    <w:nsid w:val="20882961"/>
    <w:multiLevelType w:val="hybridMultilevel"/>
    <w:tmpl w:val="870AF3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7B62759"/>
    <w:multiLevelType w:val="hybridMultilevel"/>
    <w:tmpl w:val="83F25E60"/>
    <w:lvl w:ilvl="0" w:tplc="68CA922A">
      <w:start w:val="1"/>
      <w:numFmt w:val="upperRoman"/>
      <w:lvlText w:val="%1."/>
      <w:lvlJc w:val="left"/>
      <w:pPr>
        <w:ind w:left="720" w:hanging="72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0377515"/>
    <w:multiLevelType w:val="hybridMultilevel"/>
    <w:tmpl w:val="05FE2314"/>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 w15:restartNumberingAfterBreak="0">
    <w:nsid w:val="391D581E"/>
    <w:multiLevelType w:val="hybridMultilevel"/>
    <w:tmpl w:val="9FB0A8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44430018"/>
    <w:multiLevelType w:val="hybridMultilevel"/>
    <w:tmpl w:val="A5068592"/>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0" w15:restartNumberingAfterBreak="0">
    <w:nsid w:val="46A31D8E"/>
    <w:multiLevelType w:val="hybridMultilevel"/>
    <w:tmpl w:val="DD767C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8552404"/>
    <w:multiLevelType w:val="hybridMultilevel"/>
    <w:tmpl w:val="B1EAE10A"/>
    <w:lvl w:ilvl="0" w:tplc="08180001">
      <w:start w:val="1"/>
      <w:numFmt w:val="bullet"/>
      <w:lvlText w:val=""/>
      <w:lvlJc w:val="left"/>
      <w:pPr>
        <w:ind w:left="1429"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12" w15:restartNumberingAfterBreak="0">
    <w:nsid w:val="4D242524"/>
    <w:multiLevelType w:val="multilevel"/>
    <w:tmpl w:val="861C66D4"/>
    <w:lvl w:ilvl="0">
      <w:start w:val="5"/>
      <w:numFmt w:val="upperRoman"/>
      <w:lvlText w:val="%1."/>
      <w:lvlJc w:val="right"/>
      <w:pPr>
        <w:ind w:left="780" w:hanging="720"/>
      </w:pPr>
      <w:rPr>
        <w:b/>
      </w:rPr>
    </w:lvl>
    <w:lvl w:ilvl="1">
      <w:start w:val="1"/>
      <w:numFmt w:val="decimal"/>
      <w:isLgl/>
      <w:lvlText w:val="%1.%2"/>
      <w:lvlJc w:val="left"/>
      <w:pPr>
        <w:ind w:left="6740" w:hanging="360"/>
      </w:pPr>
      <w:rPr>
        <w:rFonts w:ascii="Arial" w:hAnsi="Arial" w:cs="Arial" w:hint="default"/>
        <w:b w:val="0"/>
        <w:i w:val="0"/>
        <w:color w:val="000000"/>
        <w:sz w:val="22"/>
        <w:szCs w:val="22"/>
      </w:rPr>
    </w:lvl>
    <w:lvl w:ilvl="2">
      <w:start w:val="1"/>
      <w:numFmt w:val="decimal"/>
      <w:isLgl/>
      <w:lvlText w:val="%1.%2.%3"/>
      <w:lvlJc w:val="left"/>
      <w:pPr>
        <w:ind w:left="780" w:hanging="720"/>
      </w:p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500" w:hanging="1440"/>
      </w:pPr>
    </w:lvl>
  </w:abstractNum>
  <w:abstractNum w:abstractNumId="13" w15:restartNumberingAfterBreak="0">
    <w:nsid w:val="5993145E"/>
    <w:multiLevelType w:val="hybridMultilevel"/>
    <w:tmpl w:val="4D54E8D4"/>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4" w15:restartNumberingAfterBreak="0">
    <w:nsid w:val="5B615D1E"/>
    <w:multiLevelType w:val="hybridMultilevel"/>
    <w:tmpl w:val="6F28CF42"/>
    <w:lvl w:ilvl="0" w:tplc="C0561A2A">
      <w:start w:val="1"/>
      <w:numFmt w:val="decimal"/>
      <w:lvlText w:val="%1."/>
      <w:lvlJc w:val="left"/>
      <w:pPr>
        <w:ind w:left="1440" w:hanging="360"/>
      </w:pPr>
      <w:rPr>
        <w:rFonts w:ascii="Arial" w:hAnsi="Arial" w:cs="Arial" w:hint="default"/>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ACB43E3"/>
    <w:multiLevelType w:val="hybridMultilevel"/>
    <w:tmpl w:val="5752483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6" w15:restartNumberingAfterBreak="0">
    <w:nsid w:val="6D4A6D91"/>
    <w:multiLevelType w:val="hybridMultilevel"/>
    <w:tmpl w:val="65ACDD7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7F010F87"/>
    <w:multiLevelType w:val="multilevel"/>
    <w:tmpl w:val="46A0B6BE"/>
    <w:lvl w:ilvl="0">
      <w:start w:val="3"/>
      <w:numFmt w:val="decimal"/>
      <w:lvlText w:val="%1"/>
      <w:lvlJc w:val="left"/>
      <w:pPr>
        <w:ind w:left="360" w:hanging="360"/>
      </w:pPr>
    </w:lvl>
    <w:lvl w:ilvl="1">
      <w:start w:val="1"/>
      <w:numFmt w:val="decimal"/>
      <w:lvlText w:val="%1.%2"/>
      <w:lvlJc w:val="left"/>
      <w:pPr>
        <w:ind w:left="928"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16cid:durableId="4833573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4931009">
    <w:abstractNumId w:val="4"/>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5520173">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3693219">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43619315">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578095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68865709">
    <w:abstractNumId w:val="6"/>
  </w:num>
  <w:num w:numId="8" w16cid:durableId="2142453146">
    <w:abstractNumId w:val="14"/>
  </w:num>
  <w:num w:numId="9" w16cid:durableId="890969590">
    <w:abstractNumId w:val="13"/>
  </w:num>
  <w:num w:numId="10" w16cid:durableId="1138686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6512967">
    <w:abstractNumId w:val="5"/>
  </w:num>
  <w:num w:numId="12" w16cid:durableId="890271744">
    <w:abstractNumId w:val="0"/>
  </w:num>
  <w:num w:numId="13" w16cid:durableId="402223219">
    <w:abstractNumId w:val="15"/>
  </w:num>
  <w:num w:numId="14" w16cid:durableId="697197351">
    <w:abstractNumId w:val="1"/>
  </w:num>
  <w:num w:numId="15" w16cid:durableId="1952978480">
    <w:abstractNumId w:val="9"/>
  </w:num>
  <w:num w:numId="16" w16cid:durableId="628166389">
    <w:abstractNumId w:val="8"/>
  </w:num>
  <w:num w:numId="17" w16cid:durableId="1814517606">
    <w:abstractNumId w:val="11"/>
  </w:num>
  <w:num w:numId="18" w16cid:durableId="766266636">
    <w:abstractNumId w:val="7"/>
  </w:num>
  <w:num w:numId="19" w16cid:durableId="17728202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343"/>
    <w:rsid w:val="000070A5"/>
    <w:rsid w:val="00015850"/>
    <w:rsid w:val="000434D9"/>
    <w:rsid w:val="00093737"/>
    <w:rsid w:val="000A7922"/>
    <w:rsid w:val="000E0E23"/>
    <w:rsid w:val="000E7B03"/>
    <w:rsid w:val="00165D6D"/>
    <w:rsid w:val="00167AF5"/>
    <w:rsid w:val="001B115F"/>
    <w:rsid w:val="001D1791"/>
    <w:rsid w:val="001E2221"/>
    <w:rsid w:val="001E6F38"/>
    <w:rsid w:val="002058C7"/>
    <w:rsid w:val="002424EE"/>
    <w:rsid w:val="00266FF3"/>
    <w:rsid w:val="00267311"/>
    <w:rsid w:val="002964EA"/>
    <w:rsid w:val="002B1B74"/>
    <w:rsid w:val="002B242F"/>
    <w:rsid w:val="002B7BBE"/>
    <w:rsid w:val="00326175"/>
    <w:rsid w:val="004152FE"/>
    <w:rsid w:val="00440B20"/>
    <w:rsid w:val="00442DD5"/>
    <w:rsid w:val="00473555"/>
    <w:rsid w:val="00483714"/>
    <w:rsid w:val="004B7D68"/>
    <w:rsid w:val="004C2C3E"/>
    <w:rsid w:val="004F00B0"/>
    <w:rsid w:val="00505362"/>
    <w:rsid w:val="0057573A"/>
    <w:rsid w:val="005B067D"/>
    <w:rsid w:val="005C5182"/>
    <w:rsid w:val="00642E81"/>
    <w:rsid w:val="00691478"/>
    <w:rsid w:val="006A6E97"/>
    <w:rsid w:val="006C402B"/>
    <w:rsid w:val="00711267"/>
    <w:rsid w:val="007C1D4A"/>
    <w:rsid w:val="007C5367"/>
    <w:rsid w:val="007F3697"/>
    <w:rsid w:val="0081256E"/>
    <w:rsid w:val="00826D7B"/>
    <w:rsid w:val="00846E08"/>
    <w:rsid w:val="008916EB"/>
    <w:rsid w:val="008E7EB3"/>
    <w:rsid w:val="0094520E"/>
    <w:rsid w:val="009669F7"/>
    <w:rsid w:val="009D4750"/>
    <w:rsid w:val="009D762E"/>
    <w:rsid w:val="009E2066"/>
    <w:rsid w:val="00A1404C"/>
    <w:rsid w:val="00A30342"/>
    <w:rsid w:val="00A41C88"/>
    <w:rsid w:val="00A424CB"/>
    <w:rsid w:val="00A576A6"/>
    <w:rsid w:val="00AA58E1"/>
    <w:rsid w:val="00AA7DEE"/>
    <w:rsid w:val="00AD2322"/>
    <w:rsid w:val="00B018C9"/>
    <w:rsid w:val="00B11BD8"/>
    <w:rsid w:val="00B1297A"/>
    <w:rsid w:val="00B31E39"/>
    <w:rsid w:val="00B32C85"/>
    <w:rsid w:val="00BB5D24"/>
    <w:rsid w:val="00C35A65"/>
    <w:rsid w:val="00C547EA"/>
    <w:rsid w:val="00C57BBC"/>
    <w:rsid w:val="00C67D86"/>
    <w:rsid w:val="00C74B45"/>
    <w:rsid w:val="00CB0814"/>
    <w:rsid w:val="00CB321C"/>
    <w:rsid w:val="00CD337E"/>
    <w:rsid w:val="00CF7775"/>
    <w:rsid w:val="00D144C8"/>
    <w:rsid w:val="00D27343"/>
    <w:rsid w:val="00D47F8C"/>
    <w:rsid w:val="00D926E0"/>
    <w:rsid w:val="00DC4DB8"/>
    <w:rsid w:val="00E25593"/>
    <w:rsid w:val="00E3261F"/>
    <w:rsid w:val="00ED0D1B"/>
    <w:rsid w:val="00EE62AE"/>
    <w:rsid w:val="00EF4D59"/>
    <w:rsid w:val="00F06C44"/>
    <w:rsid w:val="00F259CD"/>
    <w:rsid w:val="00F37776"/>
    <w:rsid w:val="00FC0114"/>
    <w:rsid w:val="00FE12C1"/>
    <w:rsid w:val="00FF3308"/>
    <w:rsid w:val="00FF35E5"/>
    <w:rsid w:val="00FF726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B12DA"/>
  <w15:chartTrackingRefBased/>
  <w15:docId w15:val="{784592DC-43EC-A742-B0C9-27013FCA7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2FE"/>
    <w:rPr>
      <w:lang w:val="en-US"/>
    </w:rPr>
  </w:style>
  <w:style w:type="paragraph" w:styleId="Heading1">
    <w:name w:val="heading 1"/>
    <w:basedOn w:val="Normal"/>
    <w:next w:val="Normal"/>
    <w:link w:val="Heading1Char"/>
    <w:uiPriority w:val="9"/>
    <w:qFormat/>
    <w:rsid w:val="00B11BD8"/>
    <w:pPr>
      <w:keepNext/>
      <w:spacing w:before="240" w:after="60"/>
      <w:outlineLvl w:val="0"/>
    </w:pPr>
    <w:rPr>
      <w:rFonts w:ascii="Calibri" w:eastAsia="MS Gothic" w:hAnsi="Calibri" w:cs="Times New Roman"/>
      <w:b/>
      <w:bCs/>
      <w:kern w:val="32"/>
      <w:lang w:val="ro-RO" w:eastAsia="ru-RU"/>
    </w:rPr>
  </w:style>
  <w:style w:type="paragraph" w:styleId="Heading4">
    <w:name w:val="heading 4"/>
    <w:basedOn w:val="Normal"/>
    <w:next w:val="Normal"/>
    <w:link w:val="Heading4Char"/>
    <w:uiPriority w:val="9"/>
    <w:semiHidden/>
    <w:unhideWhenUsed/>
    <w:qFormat/>
    <w:rsid w:val="00440B2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7343"/>
    <w:pPr>
      <w:tabs>
        <w:tab w:val="center" w:pos="4680"/>
        <w:tab w:val="right" w:pos="9360"/>
      </w:tabs>
    </w:pPr>
  </w:style>
  <w:style w:type="character" w:customStyle="1" w:styleId="HeaderChar">
    <w:name w:val="Header Char"/>
    <w:basedOn w:val="DefaultParagraphFont"/>
    <w:link w:val="Header"/>
    <w:uiPriority w:val="99"/>
    <w:rsid w:val="00D27343"/>
  </w:style>
  <w:style w:type="paragraph" w:styleId="Footer">
    <w:name w:val="footer"/>
    <w:basedOn w:val="Normal"/>
    <w:link w:val="FooterChar"/>
    <w:uiPriority w:val="99"/>
    <w:unhideWhenUsed/>
    <w:rsid w:val="00D27343"/>
    <w:pPr>
      <w:tabs>
        <w:tab w:val="center" w:pos="4680"/>
        <w:tab w:val="right" w:pos="9360"/>
      </w:tabs>
    </w:pPr>
  </w:style>
  <w:style w:type="character" w:customStyle="1" w:styleId="FooterChar">
    <w:name w:val="Footer Char"/>
    <w:basedOn w:val="DefaultParagraphFont"/>
    <w:link w:val="Footer"/>
    <w:uiPriority w:val="99"/>
    <w:rsid w:val="00D27343"/>
  </w:style>
  <w:style w:type="character" w:customStyle="1" w:styleId="Heading1Char">
    <w:name w:val="Heading 1 Char"/>
    <w:basedOn w:val="DefaultParagraphFont"/>
    <w:link w:val="Heading1"/>
    <w:uiPriority w:val="9"/>
    <w:rsid w:val="00B11BD8"/>
    <w:rPr>
      <w:rFonts w:ascii="Calibri" w:eastAsia="MS Gothic" w:hAnsi="Calibri" w:cs="Times New Roman"/>
      <w:b/>
      <w:bCs/>
      <w:kern w:val="32"/>
      <w:lang w:val="ro-RO" w:eastAsia="ru-RU"/>
    </w:rPr>
  </w:style>
  <w:style w:type="character" w:styleId="Hyperlink">
    <w:name w:val="Hyperlink"/>
    <w:uiPriority w:val="99"/>
    <w:unhideWhenUsed/>
    <w:rsid w:val="00B11BD8"/>
    <w:rPr>
      <w:color w:val="0000FF"/>
      <w:u w:val="single"/>
    </w:rPr>
  </w:style>
  <w:style w:type="paragraph" w:styleId="ListParagraph">
    <w:name w:val="List Paragraph"/>
    <w:basedOn w:val="Normal"/>
    <w:uiPriority w:val="34"/>
    <w:qFormat/>
    <w:rsid w:val="00B11BD8"/>
    <w:pPr>
      <w:ind w:left="720"/>
      <w:contextualSpacing/>
    </w:pPr>
    <w:rPr>
      <w:rFonts w:ascii="Times New Roman" w:eastAsia="Times New Roman" w:hAnsi="Times New Roman" w:cs="Times New Roman"/>
      <w:sz w:val="20"/>
      <w:szCs w:val="20"/>
      <w:lang w:val="ro-RO" w:eastAsia="ru-RU"/>
    </w:rPr>
  </w:style>
  <w:style w:type="character" w:customStyle="1" w:styleId="1">
    <w:name w:val="Стиль1 Знак"/>
    <w:basedOn w:val="DefaultParagraphFont"/>
    <w:link w:val="10"/>
    <w:locked/>
    <w:rsid w:val="00FF7261"/>
    <w:rPr>
      <w:rFonts w:ascii="Arial" w:eastAsia="Times New Roman" w:hAnsi="Arial" w:cs="Arial"/>
      <w:lang w:eastAsia="ru-RU"/>
    </w:rPr>
  </w:style>
  <w:style w:type="paragraph" w:customStyle="1" w:styleId="10">
    <w:name w:val="Стиль1"/>
    <w:basedOn w:val="Normal"/>
    <w:link w:val="1"/>
    <w:qFormat/>
    <w:rsid w:val="00FF7261"/>
    <w:pPr>
      <w:spacing w:before="120" w:after="120" w:line="276" w:lineRule="auto"/>
      <w:jc w:val="both"/>
    </w:pPr>
    <w:rPr>
      <w:rFonts w:ascii="Arial" w:eastAsia="Times New Roman" w:hAnsi="Arial" w:cs="Arial"/>
      <w:lang w:val="ro-MD" w:eastAsia="ru-RU"/>
    </w:rPr>
  </w:style>
  <w:style w:type="character" w:customStyle="1" w:styleId="Heading4Char">
    <w:name w:val="Heading 4 Char"/>
    <w:basedOn w:val="DefaultParagraphFont"/>
    <w:link w:val="Heading4"/>
    <w:uiPriority w:val="9"/>
    <w:semiHidden/>
    <w:rsid w:val="00440B20"/>
    <w:rPr>
      <w:rFonts w:asciiTheme="majorHAnsi" w:eastAsiaTheme="majorEastAsia" w:hAnsiTheme="majorHAnsi" w:cstheme="majorBidi"/>
      <w:i/>
      <w:iCs/>
      <w:color w:val="2F5496" w:themeColor="accent1" w:themeShade="BF"/>
      <w:lang w:val="en-US"/>
    </w:rPr>
  </w:style>
  <w:style w:type="paragraph" w:styleId="FootnoteText">
    <w:name w:val="footnote text"/>
    <w:basedOn w:val="Normal"/>
    <w:link w:val="FootnoteTextChar"/>
    <w:uiPriority w:val="99"/>
    <w:semiHidden/>
    <w:unhideWhenUsed/>
    <w:rsid w:val="00167AF5"/>
    <w:rPr>
      <w:rFonts w:ascii="Calibri" w:eastAsia="Calibri" w:hAnsi="Calibri" w:cs="Arial"/>
      <w:sz w:val="20"/>
      <w:szCs w:val="20"/>
      <w:lang w:val="ru-RU" w:eastAsia="ru-RU"/>
    </w:rPr>
  </w:style>
  <w:style w:type="character" w:customStyle="1" w:styleId="FootnoteTextChar">
    <w:name w:val="Footnote Text Char"/>
    <w:basedOn w:val="DefaultParagraphFont"/>
    <w:link w:val="FootnoteText"/>
    <w:uiPriority w:val="99"/>
    <w:semiHidden/>
    <w:rsid w:val="00167AF5"/>
    <w:rPr>
      <w:rFonts w:ascii="Calibri" w:eastAsia="Calibri" w:hAnsi="Calibri" w:cs="Arial"/>
      <w:sz w:val="20"/>
      <w:szCs w:val="20"/>
      <w:lang w:val="ru-RU" w:eastAsia="ru-RU"/>
    </w:rPr>
  </w:style>
  <w:style w:type="character" w:styleId="FootnoteReference">
    <w:name w:val="footnote reference"/>
    <w:uiPriority w:val="99"/>
    <w:semiHidden/>
    <w:unhideWhenUsed/>
    <w:rsid w:val="00167AF5"/>
    <w:rPr>
      <w:vertAlign w:val="superscript"/>
    </w:rPr>
  </w:style>
  <w:style w:type="character" w:customStyle="1" w:styleId="UnresolvedMention1">
    <w:name w:val="Unresolved Mention1"/>
    <w:basedOn w:val="DefaultParagraphFont"/>
    <w:uiPriority w:val="99"/>
    <w:semiHidden/>
    <w:unhideWhenUsed/>
    <w:rsid w:val="004152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669708">
      <w:bodyDiv w:val="1"/>
      <w:marLeft w:val="0"/>
      <w:marRight w:val="0"/>
      <w:marTop w:val="0"/>
      <w:marBottom w:val="0"/>
      <w:divBdr>
        <w:top w:val="none" w:sz="0" w:space="0" w:color="auto"/>
        <w:left w:val="none" w:sz="0" w:space="0" w:color="auto"/>
        <w:bottom w:val="none" w:sz="0" w:space="0" w:color="auto"/>
        <w:right w:val="none" w:sz="0" w:space="0" w:color="auto"/>
      </w:divBdr>
    </w:div>
    <w:div w:id="1187327004">
      <w:bodyDiv w:val="1"/>
      <w:marLeft w:val="0"/>
      <w:marRight w:val="0"/>
      <w:marTop w:val="0"/>
      <w:marBottom w:val="0"/>
      <w:divBdr>
        <w:top w:val="none" w:sz="0" w:space="0" w:color="auto"/>
        <w:left w:val="none" w:sz="0" w:space="0" w:color="auto"/>
        <w:bottom w:val="none" w:sz="0" w:space="0" w:color="auto"/>
        <w:right w:val="none" w:sz="0" w:space="0" w:color="auto"/>
      </w:divBdr>
    </w:div>
    <w:div w:id="1841307058">
      <w:bodyDiv w:val="1"/>
      <w:marLeft w:val="0"/>
      <w:marRight w:val="0"/>
      <w:marTop w:val="0"/>
      <w:marBottom w:val="0"/>
      <w:divBdr>
        <w:top w:val="none" w:sz="0" w:space="0" w:color="auto"/>
        <w:left w:val="none" w:sz="0" w:space="0" w:color="auto"/>
        <w:bottom w:val="none" w:sz="0" w:space="0" w:color="auto"/>
        <w:right w:val="none" w:sz="0" w:space="0" w:color="auto"/>
      </w:divBdr>
    </w:div>
    <w:div w:id="207651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egalitate.md/wp-content/uploads/2021/01/194_25_Decizie_constatare_votat.pdf" TargetMode="External"/><Relationship Id="rId13" Type="http://schemas.openxmlformats.org/officeDocument/2006/relationships/hyperlink" Target="https://egalitate.md/wp-content/uploads/2021/01/77_24_Draft_Aviz_constatare_votat.pdf" TargetMode="External"/><Relationship Id="rId3" Type="http://schemas.openxmlformats.org/officeDocument/2006/relationships/hyperlink" Target="https://egalitate.md/wp-content/uploads/2016/04/38_22_Decizie-_constatare_votat.pdf" TargetMode="External"/><Relationship Id="rId7" Type="http://schemas.openxmlformats.org/officeDocument/2006/relationships/hyperlink" Target="https://egalitate.md/wp-content/uploads/2021/01/26_24_Decizie_constatare_votat.pdf" TargetMode="External"/><Relationship Id="rId12" Type="http://schemas.openxmlformats.org/officeDocument/2006/relationships/hyperlink" Target="https://promolex.md/wp-content/uploads/2025/02/raport-du_ap_rrc_2024_machetat_2025-1.pdf" TargetMode="External"/><Relationship Id="rId2" Type="http://schemas.openxmlformats.org/officeDocument/2006/relationships/hyperlink" Target="http://egalitate.md/wp-content/uploads/2016/04/decizia_009_4237096.pdf" TargetMode="External"/><Relationship Id="rId1" Type="http://schemas.openxmlformats.org/officeDocument/2006/relationships/hyperlink" Target="https://egalitate.md/wp-content/uploads/2016/04/278_21__Decizie-constatare_votat.pdf" TargetMode="External"/><Relationship Id="rId6" Type="http://schemas.openxmlformats.org/officeDocument/2006/relationships/hyperlink" Target="https://egalitate.md/wp-content/uploads/2021/01/138_23_decizie_constatare_votat.pdf" TargetMode="External"/><Relationship Id="rId11" Type="http://schemas.openxmlformats.org/officeDocument/2006/relationships/hyperlink" Target="https://www.undp.org/ro/moldova/publications/reprezentare-putere-si-inegalitati-de-gen-scrutinul-parlamentar-2025" TargetMode="External"/><Relationship Id="rId5" Type="http://schemas.openxmlformats.org/officeDocument/2006/relationships/hyperlink" Target="https://egalitate.md/wp-content/uploads/2016/04/54_22_Decizie-constatare_votat.pdf" TargetMode="External"/><Relationship Id="rId10" Type="http://schemas.openxmlformats.org/officeDocument/2006/relationships/hyperlink" Target="http://egalitate.md/wp-content/uploads/2016/04/Decizie_constatare_67_2019.pdf" TargetMode="External"/><Relationship Id="rId4" Type="http://schemas.openxmlformats.org/officeDocument/2006/relationships/hyperlink" Target="https://egalitate.md/wp-content/uploads/2016/04/53_22_Decizie-constatare_votat.pdf" TargetMode="External"/><Relationship Id="rId9" Type="http://schemas.openxmlformats.org/officeDocument/2006/relationships/hyperlink" Target="http://egalitate.md/wp-content/uploads/2016/04/Decizie_par--ial_constatare_223_20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7A377-9CBC-4632-B634-A027CC24E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11</Pages>
  <Words>3934</Words>
  <Characters>22818</Characters>
  <Application>Microsoft Office Word</Application>
  <DocSecurity>0</DocSecurity>
  <Lines>190</Lines>
  <Paragraphs>53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ilya nikitov</dc:creator>
  <cp:keywords/>
  <dc:description/>
  <cp:lastModifiedBy>olga bulmaga</cp:lastModifiedBy>
  <cp:revision>27</cp:revision>
  <cp:lastPrinted>2023-04-18T11:00:00Z</cp:lastPrinted>
  <dcterms:created xsi:type="dcterms:W3CDTF">2026-02-01T15:01:00Z</dcterms:created>
  <dcterms:modified xsi:type="dcterms:W3CDTF">2026-02-02T17:21:00Z</dcterms:modified>
</cp:coreProperties>
</file>