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5C0" w:rsidRPr="00185F67" w:rsidRDefault="005214F8">
      <w:pPr>
        <w:tabs>
          <w:tab w:val="left" w:pos="5334"/>
        </w:tabs>
        <w:jc w:val="both"/>
        <w:rPr>
          <w:rFonts w:ascii="Cambria" w:eastAsia="Cambria" w:hAnsi="Cambria" w:cs="Cambria"/>
          <w:color w:val="000000" w:themeColor="text1"/>
        </w:rPr>
      </w:pPr>
      <w:bookmarkStart w:id="0" w:name="_GoBack"/>
      <w:bookmarkEnd w:id="0"/>
      <w:r w:rsidRPr="00185F67">
        <w:rPr>
          <w:rFonts w:ascii="Cambria" w:eastAsia="Cambria" w:hAnsi="Cambria" w:cs="Cambria"/>
          <w:color w:val="000000" w:themeColor="text1"/>
        </w:rPr>
        <w:tab/>
        <w:t xml:space="preserve">Guatemala, </w:t>
      </w:r>
      <w:r w:rsidR="004E7D4C">
        <w:rPr>
          <w:rFonts w:ascii="Cambria" w:eastAsia="Cambria" w:hAnsi="Cambria" w:cs="Cambria"/>
          <w:color w:val="000000" w:themeColor="text1"/>
        </w:rPr>
        <w:t>10</w:t>
      </w:r>
      <w:r w:rsidRPr="00185F67">
        <w:rPr>
          <w:rFonts w:ascii="Cambria" w:eastAsia="Cambria" w:hAnsi="Cambria" w:cs="Cambria"/>
          <w:color w:val="000000" w:themeColor="text1"/>
        </w:rPr>
        <w:t xml:space="preserve"> de agosto del 2,020.</w:t>
      </w:r>
    </w:p>
    <w:p w:rsidR="006F15C0" w:rsidRPr="00185F67" w:rsidRDefault="005214F8">
      <w:pPr>
        <w:pBdr>
          <w:top w:val="nil"/>
          <w:left w:val="nil"/>
          <w:bottom w:val="nil"/>
          <w:right w:val="nil"/>
          <w:between w:val="nil"/>
        </w:pBd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Comité de Derechos Económicos, Sociales y Culturales (CESCR)</w:t>
      </w:r>
    </w:p>
    <w:p w:rsidR="006F15C0" w:rsidRPr="00185F67" w:rsidRDefault="005214F8">
      <w:pPr>
        <w:pBdr>
          <w:top w:val="nil"/>
          <w:left w:val="nil"/>
          <w:bottom w:val="nil"/>
          <w:right w:val="nil"/>
          <w:between w:val="nil"/>
        </w:pBd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 xml:space="preserve">Secretaría </w:t>
      </w:r>
    </w:p>
    <w:p w:rsidR="006F15C0" w:rsidRPr="00185F67" w:rsidRDefault="005214F8">
      <w:pPr>
        <w:pBdr>
          <w:top w:val="nil"/>
          <w:left w:val="nil"/>
          <w:bottom w:val="nil"/>
          <w:right w:val="nil"/>
          <w:between w:val="nil"/>
        </w:pBd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Palais Wilson - 52, rue des Pâquis</w:t>
      </w:r>
    </w:p>
    <w:p w:rsidR="006F15C0" w:rsidRPr="00185F67" w:rsidRDefault="005214F8">
      <w:pPr>
        <w:pBdr>
          <w:top w:val="nil"/>
          <w:left w:val="nil"/>
          <w:bottom w:val="nil"/>
          <w:right w:val="nil"/>
          <w:between w:val="nil"/>
        </w:pBd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CH-1201 Ginebra, Suiza.</w:t>
      </w:r>
    </w:p>
    <w:p w:rsidR="006F15C0" w:rsidRPr="00185F67" w:rsidRDefault="006F15C0">
      <w:pPr>
        <w:spacing w:after="0"/>
        <w:jc w:val="both"/>
        <w:rPr>
          <w:rFonts w:ascii="Cambria" w:eastAsia="Cambria" w:hAnsi="Cambria" w:cs="Cambria"/>
          <w:b/>
          <w:smallCaps/>
          <w:color w:val="000000" w:themeColor="text1"/>
        </w:rPr>
      </w:pPr>
    </w:p>
    <w:p w:rsidR="006F15C0" w:rsidRPr="00185F67" w:rsidRDefault="005214F8">
      <w:p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Distinguidos miembros del Comité:</w:t>
      </w:r>
    </w:p>
    <w:p w:rsidR="006F15C0" w:rsidRPr="00185F67" w:rsidRDefault="006F15C0">
      <w:pPr>
        <w:pBdr>
          <w:top w:val="nil"/>
          <w:left w:val="nil"/>
          <w:bottom w:val="nil"/>
          <w:right w:val="nil"/>
          <w:between w:val="nil"/>
        </w:pBdr>
        <w:spacing w:after="0"/>
        <w:jc w:val="both"/>
        <w:rPr>
          <w:rFonts w:ascii="Cambria" w:eastAsia="Cambria" w:hAnsi="Cambria" w:cs="Cambria"/>
          <w:color w:val="000000" w:themeColor="text1"/>
        </w:rPr>
      </w:pPr>
    </w:p>
    <w:p w:rsidR="00146BFF" w:rsidRPr="00185F67" w:rsidRDefault="005214F8" w:rsidP="00146BFF">
      <w:pPr>
        <w:numPr>
          <w:ilvl w:val="0"/>
          <w:numId w:val="2"/>
        </w:numPr>
        <w:pBdr>
          <w:top w:val="nil"/>
          <w:left w:val="nil"/>
          <w:bottom w:val="nil"/>
          <w:right w:val="nil"/>
          <w:between w:val="nil"/>
        </w:pBdr>
        <w:spacing w:after="0"/>
        <w:ind w:left="567" w:hanging="567"/>
        <w:jc w:val="both"/>
        <w:rPr>
          <w:rFonts w:ascii="Cambria" w:eastAsia="Cambria" w:hAnsi="Cambria" w:cs="Cambria"/>
          <w:smallCaps/>
          <w:color w:val="000000" w:themeColor="text1"/>
        </w:rPr>
      </w:pPr>
      <w:r w:rsidRPr="00185F67">
        <w:rPr>
          <w:rFonts w:ascii="Cambria" w:eastAsia="Cambria" w:hAnsi="Cambria" w:cs="Cambria"/>
          <w:color w:val="000000" w:themeColor="text1"/>
        </w:rPr>
        <w:t>El Bufete Jurídico de Derechos Humanos (en adelante</w:t>
      </w:r>
      <w:r w:rsidRPr="00185F67">
        <w:rPr>
          <w:rFonts w:ascii="Cambria" w:eastAsia="Cambria" w:hAnsi="Cambria" w:cs="Cambria"/>
          <w:i/>
          <w:color w:val="000000" w:themeColor="text1"/>
        </w:rPr>
        <w:t>, ‘BDH’</w:t>
      </w:r>
      <w:r w:rsidRPr="00185F67">
        <w:rPr>
          <w:rFonts w:ascii="Cambria" w:eastAsia="Cambria" w:hAnsi="Cambria" w:cs="Cambria"/>
          <w:color w:val="000000" w:themeColor="text1"/>
        </w:rPr>
        <w:t xml:space="preserve">) y los representantes de la comunidad desalojada y desplazada denominada </w:t>
      </w:r>
      <w:r w:rsidRPr="00185F67">
        <w:rPr>
          <w:rFonts w:ascii="Cambria" w:eastAsia="Cambria" w:hAnsi="Cambria" w:cs="Cambria"/>
          <w:i/>
          <w:color w:val="000000" w:themeColor="text1"/>
        </w:rPr>
        <w:t>‘Laguna Larga’,</w:t>
      </w:r>
      <w:r w:rsidRPr="00185F67">
        <w:rPr>
          <w:rFonts w:ascii="Cambria" w:eastAsia="Cambria" w:hAnsi="Cambria" w:cs="Cambria"/>
          <w:color w:val="000000" w:themeColor="text1"/>
        </w:rPr>
        <w:t xml:space="preserve"> atentamente nos dirigimos a ustedes, el Comité de Derechos Económicos, Sociales y Culturales (en adelante, </w:t>
      </w:r>
      <w:r w:rsidRPr="00185F67">
        <w:rPr>
          <w:rFonts w:ascii="Cambria" w:eastAsia="Cambria" w:hAnsi="Cambria" w:cs="Cambria"/>
          <w:i/>
          <w:color w:val="000000" w:themeColor="text1"/>
        </w:rPr>
        <w:t>‘CESCR’</w:t>
      </w:r>
      <w:r w:rsidRPr="00185F67">
        <w:rPr>
          <w:rFonts w:ascii="Cambria" w:eastAsia="Cambria" w:hAnsi="Cambria" w:cs="Cambria"/>
          <w:color w:val="000000" w:themeColor="text1"/>
        </w:rPr>
        <w:t xml:space="preserve">) a fin de brindar información actualizada respecto a la implementación del </w:t>
      </w:r>
      <w:r w:rsidRPr="00185F67">
        <w:rPr>
          <w:rFonts w:ascii="Cambria" w:eastAsia="Cambria" w:hAnsi="Cambria" w:cs="Cambria"/>
          <w:b/>
          <w:color w:val="000000" w:themeColor="text1"/>
        </w:rPr>
        <w:t xml:space="preserve">PACTO INTERNACIONAL DE DERECHOS ECONÓMICOS, SOCIALES Y CULTURALES </w:t>
      </w:r>
      <w:r w:rsidRPr="00185F67">
        <w:rPr>
          <w:rFonts w:ascii="Cambria" w:eastAsia="Cambria" w:hAnsi="Cambria" w:cs="Cambria"/>
          <w:color w:val="000000" w:themeColor="text1"/>
        </w:rPr>
        <w:t xml:space="preserve">(en adelante, </w:t>
      </w:r>
      <w:r w:rsidRPr="00185F67">
        <w:rPr>
          <w:rFonts w:ascii="Cambria" w:eastAsia="Cambria" w:hAnsi="Cambria" w:cs="Cambria"/>
          <w:i/>
          <w:color w:val="000000" w:themeColor="text1"/>
        </w:rPr>
        <w:t>‘PIDESC’</w:t>
      </w:r>
      <w:r w:rsidRPr="00185F67">
        <w:rPr>
          <w:rFonts w:ascii="Cambria" w:eastAsia="Cambria" w:hAnsi="Cambria" w:cs="Cambria"/>
          <w:color w:val="000000" w:themeColor="text1"/>
        </w:rPr>
        <w:t xml:space="preserve">) de parte del </w:t>
      </w:r>
      <w:r w:rsidRPr="00185F67">
        <w:rPr>
          <w:rFonts w:ascii="Cambria" w:eastAsia="Cambria" w:hAnsi="Cambria" w:cs="Cambria"/>
          <w:b/>
          <w:color w:val="000000" w:themeColor="text1"/>
        </w:rPr>
        <w:t>ESTADO DE GUATEMALA</w:t>
      </w:r>
      <w:r w:rsidRPr="00185F67">
        <w:rPr>
          <w:rFonts w:ascii="Cambria" w:eastAsia="Cambria" w:hAnsi="Cambria" w:cs="Cambria"/>
          <w:color w:val="000000" w:themeColor="text1"/>
        </w:rPr>
        <w:t>, particularmente en relación a la situación de salud física y mental, educación, alimentación, vivienda, trabajo, entre otros derechos fundamentales consagrados en la Convención que se han visto gravemente afectados en perjuicio de los pobladores de esta comunidad.</w:t>
      </w:r>
    </w:p>
    <w:p w:rsidR="00146BFF" w:rsidRPr="00185F67" w:rsidRDefault="00146BFF" w:rsidP="00146BFF">
      <w:pPr>
        <w:pBdr>
          <w:top w:val="nil"/>
          <w:left w:val="nil"/>
          <w:bottom w:val="nil"/>
          <w:right w:val="nil"/>
          <w:between w:val="nil"/>
        </w:pBdr>
        <w:spacing w:after="0"/>
        <w:ind w:left="567"/>
        <w:jc w:val="both"/>
        <w:rPr>
          <w:rFonts w:ascii="Cambria" w:eastAsia="Cambria" w:hAnsi="Cambria" w:cs="Cambria"/>
          <w:smallCaps/>
          <w:color w:val="000000" w:themeColor="text1"/>
        </w:rPr>
      </w:pPr>
    </w:p>
    <w:p w:rsidR="00146BFF" w:rsidRPr="00185F67" w:rsidRDefault="00146BFF" w:rsidP="00146BFF">
      <w:pPr>
        <w:numPr>
          <w:ilvl w:val="0"/>
          <w:numId w:val="2"/>
        </w:numPr>
        <w:pBdr>
          <w:top w:val="nil"/>
          <w:left w:val="nil"/>
          <w:bottom w:val="nil"/>
          <w:right w:val="nil"/>
          <w:between w:val="nil"/>
        </w:pBdr>
        <w:spacing w:after="0"/>
        <w:ind w:left="567" w:hanging="567"/>
        <w:jc w:val="both"/>
        <w:rPr>
          <w:rFonts w:ascii="Cambria" w:eastAsia="Cambria" w:hAnsi="Cambria" w:cs="Cambria"/>
          <w:smallCaps/>
          <w:color w:val="000000" w:themeColor="text1"/>
        </w:rPr>
      </w:pPr>
      <w:r w:rsidRPr="00185F67">
        <w:rPr>
          <w:rFonts w:ascii="Cambria" w:eastAsia="Cambria" w:hAnsi="Cambria" w:cs="Cambria"/>
          <w:color w:val="000000" w:themeColor="text1"/>
        </w:rPr>
        <w:t xml:space="preserve">Los pobladores de la comunidad fueron víctimas de un violento desalojo y desplazamiento interno forzado el pasado 02 de junio de 2017, perpetrado por un fuerte contingente policial y militar, integrado por alrededor de 1500 elementos de la Policía Nacional Civil y el Ejército de Guatemala. Sin tener un lugar a donde ir, expulsados de su hogar, huyendo de las fuerzas de seguridad a quienes vieron prender fuego a sus cultivos y casas, los pobladores de la Comunidad Laguna Larga </w:t>
      </w:r>
      <w:r w:rsidRPr="00185F67">
        <w:rPr>
          <w:rFonts w:ascii="Cambria" w:eastAsia="Cambria" w:hAnsi="Cambria" w:cs="Cambria"/>
          <w:color w:val="000000" w:themeColor="text1"/>
          <w:u w:val="single"/>
        </w:rPr>
        <w:t>se asentaron en la línea fronteriza entre Guatemala y México</w:t>
      </w:r>
      <w:r w:rsidRPr="00185F67">
        <w:rPr>
          <w:rFonts w:ascii="Cambria" w:eastAsia="Cambria" w:hAnsi="Cambria" w:cs="Cambria"/>
          <w:color w:val="000000" w:themeColor="text1"/>
        </w:rPr>
        <w:t>, en donde establecieron un campamento improvisado, en el que permanecen desde hace más de tres años.</w:t>
      </w:r>
    </w:p>
    <w:p w:rsidR="006F15C0" w:rsidRPr="00185F67" w:rsidRDefault="006F15C0" w:rsidP="00146BFF">
      <w:pPr>
        <w:pBdr>
          <w:top w:val="nil"/>
          <w:left w:val="nil"/>
          <w:bottom w:val="nil"/>
          <w:right w:val="nil"/>
          <w:between w:val="nil"/>
        </w:pBdr>
        <w:spacing w:after="0"/>
        <w:jc w:val="both"/>
        <w:rPr>
          <w:rFonts w:ascii="Cambria" w:eastAsia="Cambria" w:hAnsi="Cambria" w:cs="Cambria"/>
          <w:b/>
          <w:smallCaps/>
          <w:color w:val="000000" w:themeColor="text1"/>
        </w:rPr>
      </w:pPr>
    </w:p>
    <w:p w:rsidR="006F15C0" w:rsidRPr="00185F67" w:rsidRDefault="00146BFF">
      <w:pP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 xml:space="preserve">DE LA FALTA DE CERTEZA JURÍDICA SOBRE LA TIERRA </w:t>
      </w:r>
      <w:r w:rsidR="005214F8" w:rsidRPr="00185F67">
        <w:rPr>
          <w:rFonts w:ascii="Cambria" w:eastAsia="Cambria" w:hAnsi="Cambria" w:cs="Cambria"/>
          <w:b/>
          <w:color w:val="000000" w:themeColor="text1"/>
        </w:rPr>
        <w:t>DE COMUNIDADES INDÍGENAS Y CAMPESINAS.</w:t>
      </w:r>
    </w:p>
    <w:p w:rsidR="006F15C0" w:rsidRPr="00185F67" w:rsidRDefault="006F15C0">
      <w:pPr>
        <w:pBdr>
          <w:top w:val="nil"/>
          <w:left w:val="nil"/>
          <w:bottom w:val="nil"/>
          <w:right w:val="nil"/>
          <w:between w:val="nil"/>
        </w:pBdr>
        <w:spacing w:after="0"/>
        <w:jc w:val="both"/>
        <w:rPr>
          <w:rFonts w:ascii="Cambria" w:eastAsia="Cambria" w:hAnsi="Cambria" w:cs="Cambria"/>
          <w:color w:val="000000" w:themeColor="text1"/>
        </w:rPr>
      </w:pPr>
    </w:p>
    <w:p w:rsidR="006F15C0" w:rsidRPr="003C2975" w:rsidRDefault="005214F8" w:rsidP="003C2975">
      <w:pPr>
        <w:pStyle w:val="ListParagraph"/>
        <w:numPr>
          <w:ilvl w:val="0"/>
          <w:numId w:val="4"/>
        </w:numPr>
        <w:spacing w:after="0"/>
        <w:jc w:val="both"/>
        <w:rPr>
          <w:rFonts w:ascii="Cambria" w:eastAsia="Cambria" w:hAnsi="Cambria" w:cs="Cambria"/>
          <w:color w:val="000000" w:themeColor="text1"/>
        </w:rPr>
      </w:pPr>
      <w:bookmarkStart w:id="1" w:name="_heading=h.gjdgxs" w:colFirst="0" w:colLast="0"/>
      <w:bookmarkEnd w:id="1"/>
      <w:r w:rsidRPr="00185F67">
        <w:rPr>
          <w:rFonts w:ascii="Cambria" w:eastAsia="Cambria" w:hAnsi="Cambria" w:cs="Cambria"/>
          <w:color w:val="000000" w:themeColor="text1"/>
        </w:rPr>
        <w:t>El desalojo forzado y el desplazamiento forzado interno del que fueron víctimas los pobladores de la Comunidad Laguna Larga</w:t>
      </w:r>
      <w:r w:rsidR="003C2975">
        <w:rPr>
          <w:rFonts w:ascii="Cambria" w:eastAsia="Cambria" w:hAnsi="Cambria" w:cs="Cambria"/>
          <w:color w:val="000000" w:themeColor="text1"/>
        </w:rPr>
        <w:t xml:space="preserve">, </w:t>
      </w:r>
      <w:r w:rsidR="003C2975" w:rsidRPr="00185F67">
        <w:rPr>
          <w:rFonts w:ascii="Cambria" w:eastAsia="Cambria" w:hAnsi="Cambria" w:cs="Cambria"/>
          <w:color w:val="000000" w:themeColor="text1"/>
        </w:rPr>
        <w:t>una comunidad plurilingüe y multicultural,</w:t>
      </w:r>
      <w:r w:rsidR="003C2975">
        <w:rPr>
          <w:rFonts w:ascii="Cambria" w:eastAsia="Cambria" w:hAnsi="Cambria" w:cs="Cambria"/>
          <w:color w:val="000000" w:themeColor="text1"/>
        </w:rPr>
        <w:t xml:space="preserve"> que</w:t>
      </w:r>
      <w:r w:rsidR="003C2975" w:rsidRPr="00185F67">
        <w:rPr>
          <w:rFonts w:ascii="Cambria" w:eastAsia="Cambria" w:hAnsi="Cambria" w:cs="Cambria"/>
          <w:color w:val="000000" w:themeColor="text1"/>
        </w:rPr>
        <w:t xml:space="preserve"> se encontraba ubicada en el municipio de San Andrés, departamento de El Petén, Guatemala</w:t>
      </w:r>
      <w:r w:rsidR="003C2975">
        <w:rPr>
          <w:rFonts w:ascii="Cambria" w:eastAsia="Cambria" w:hAnsi="Cambria" w:cs="Cambria"/>
          <w:color w:val="000000" w:themeColor="text1"/>
        </w:rPr>
        <w:t xml:space="preserve">, </w:t>
      </w:r>
      <w:r w:rsidRPr="003C2975">
        <w:rPr>
          <w:rFonts w:ascii="Cambria" w:eastAsia="Cambria" w:hAnsi="Cambria" w:cs="Cambria"/>
          <w:color w:val="000000" w:themeColor="text1"/>
        </w:rPr>
        <w:t>tiene como antecedente una historia de despojos en contra de comunidades indígenas y campesinas del país</w:t>
      </w:r>
      <w:r w:rsidR="003C2975" w:rsidRPr="003C2975">
        <w:rPr>
          <w:rFonts w:ascii="Cambria" w:eastAsia="Cambria" w:hAnsi="Cambria" w:cs="Cambria"/>
          <w:color w:val="000000" w:themeColor="text1"/>
        </w:rPr>
        <w:t>.</w:t>
      </w:r>
      <w:bookmarkStart w:id="2" w:name="_heading=h.yxs82eoyn94g" w:colFirst="0" w:colLast="0"/>
      <w:bookmarkEnd w:id="2"/>
      <w:r w:rsidR="003C2975" w:rsidRPr="003C2975">
        <w:rPr>
          <w:rFonts w:ascii="Cambria" w:eastAsia="Cambria" w:hAnsi="Cambria" w:cs="Cambria"/>
          <w:color w:val="000000" w:themeColor="text1"/>
        </w:rPr>
        <w:t xml:space="preserve"> En el caso concreto de</w:t>
      </w:r>
      <w:r w:rsidR="003C2975">
        <w:rPr>
          <w:rFonts w:ascii="Cambria" w:eastAsia="Cambria" w:hAnsi="Cambria" w:cs="Cambria"/>
          <w:color w:val="000000" w:themeColor="text1"/>
        </w:rPr>
        <w:t xml:space="preserve"> esta comunidad</w:t>
      </w:r>
      <w:r w:rsidR="003C2975" w:rsidRPr="003C2975">
        <w:rPr>
          <w:rFonts w:ascii="Cambria" w:eastAsia="Cambria" w:hAnsi="Cambria" w:cs="Cambria"/>
          <w:color w:val="000000" w:themeColor="text1"/>
        </w:rPr>
        <w:t xml:space="preserve">, </w:t>
      </w:r>
      <w:r w:rsidRPr="003C2975">
        <w:rPr>
          <w:rFonts w:ascii="Cambria" w:eastAsia="Cambria" w:hAnsi="Cambria" w:cs="Cambria"/>
          <w:color w:val="000000" w:themeColor="text1"/>
        </w:rPr>
        <w:t>antes del desalojo, el establecimiento y la presencia en sus tierras había sido pública, constante y de buena fe</w:t>
      </w:r>
      <w:r w:rsidR="003C2975" w:rsidRPr="003C2975">
        <w:rPr>
          <w:rFonts w:ascii="Cambria" w:eastAsia="Cambria" w:hAnsi="Cambria" w:cs="Cambria"/>
          <w:color w:val="000000" w:themeColor="text1"/>
        </w:rPr>
        <w:t>.</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Adicionalmente, los proyectos de vida de una Comunidad próspera y auto sostenible se encontraban en pleno desarrollo, los cuales fueron paralizados y frustrados con la ejecución del desalojo. Esto debido a que, al ser su actividad económica principal la agricultura, la comunidad había logrado consolidar una red de comercialización con la </w:t>
      </w:r>
      <w:r w:rsidRPr="00185F67">
        <w:rPr>
          <w:rFonts w:ascii="Cambria" w:eastAsia="Cambria" w:hAnsi="Cambria" w:cs="Cambria"/>
          <w:color w:val="000000" w:themeColor="text1"/>
        </w:rPr>
        <w:lastRenderedPageBreak/>
        <w:t xml:space="preserve">venta  de  productos de chigua o pepitoria, ajonjolí, entre otros, que comercializaban con sus comunidades vecinas del lado mexicano. </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Previo a la perpetración del desalojo, la Municipalidad de San Andrés, departamento de El Petén, al igual que otras entidades públicas y privadas </w:t>
      </w:r>
      <w:r w:rsidRPr="00185F67">
        <w:rPr>
          <w:rFonts w:ascii="Cambria" w:eastAsia="Cambria" w:hAnsi="Cambria" w:cs="Cambria"/>
          <w:color w:val="000000" w:themeColor="text1"/>
          <w:u w:val="single"/>
        </w:rPr>
        <w:t>habían reconocido la existencia de la Comunidad en el lugar del que fueron desalojados, así como a sus autoridades y formas de organización comunitaria.</w:t>
      </w:r>
      <w:r w:rsidRPr="00185F67">
        <w:rPr>
          <w:rFonts w:ascii="Cambria" w:eastAsia="Cambria" w:hAnsi="Cambria" w:cs="Cambria"/>
          <w:color w:val="000000" w:themeColor="text1"/>
        </w:rPr>
        <w:t xml:space="preserve"> En ese sentido, existía un reconocimiento legal comunitario que data desde el año 2006, con el Aval de la Dirección Regional de Consejo Nacional de Áreas Protegidas (en adelante, </w:t>
      </w:r>
      <w:r w:rsidRPr="00185F67">
        <w:rPr>
          <w:rFonts w:ascii="Cambria" w:eastAsia="Cambria" w:hAnsi="Cambria" w:cs="Cambria"/>
          <w:i/>
          <w:color w:val="000000" w:themeColor="text1"/>
        </w:rPr>
        <w:t>‘CONAP’</w:t>
      </w:r>
      <w:r w:rsidRPr="00185F67">
        <w:rPr>
          <w:rFonts w:ascii="Cambria" w:eastAsia="Cambria" w:hAnsi="Cambria" w:cs="Cambria"/>
          <w:color w:val="000000" w:themeColor="text1"/>
        </w:rPr>
        <w:t xml:space="preserve">), con la que autoriza la creación y funcionamiento de la Escuela Oficial Rural Mixta Caserío Laguna Larga y, un segundo aval, en ese mismo año, autorizando el nombramiento del alcalde auxiliar comunitario. En virtud de ello, durante varios años la comunidad entabló un diálogo con el CONAP para la firma de acuerdos de permanencia con la finalidad de regularización de la posesión de la tierra. No obstante, al mismo tiempo que la comunidad y las autoridades estatales se encontraban en un proceso de diálogo para arribar a la firma de un acuerdo de permanencia en el lugar, también se tramitaba el desalojo bajo reserva judicial, situación que evidencia la mala fe en las negociaciones del Estado de Guatemala y la falta de voluntad política en la resolución de la problemática agraria en el país. </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Así mismo, se desea informar al CESCR que, desde el año 2016, se instaló una Mesa de diálogo de Alto Nivel, entre las comunidades pertenecientes a las áreas de Laguna del Tigre y Sierra de Lacandón, de los municipios de San Andrés y la Libertad Petén, siendo una de ellas la comunidad Laguna Larga, conjuntamente con representantes del Congreso de la República, la Comisión Presidencial de Diálogo, la Secretaria de Asuntos Agrarios, el Ministerio de Ambiente y Recursos Naturales, entre otras instancias estatales. Ello como  consecuencia, de la presentación de la Propuesta Alternativa de Desarrollo Integral Sostenible, elaborada  por los comunitarios de dicha área</w:t>
      </w:r>
      <w:r w:rsidRPr="00185F67">
        <w:rPr>
          <w:rFonts w:ascii="Cambria" w:eastAsia="Cambria" w:hAnsi="Cambria" w:cs="Cambria"/>
          <w:color w:val="000000" w:themeColor="text1"/>
          <w:vertAlign w:val="superscript"/>
        </w:rPr>
        <w:footnoteReference w:id="1"/>
      </w:r>
      <w:r w:rsidRPr="00185F67">
        <w:rPr>
          <w:rFonts w:ascii="Cambria" w:eastAsia="Cambria" w:hAnsi="Cambria" w:cs="Cambria"/>
          <w:color w:val="000000" w:themeColor="text1"/>
        </w:rPr>
        <w:t xml:space="preserve">. </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El diálogo con las instancias del Estado no fue fructífero, al contrario, dicha Mesa de diálogo, fue utilizada para identificar líderes comunitarios, criminalizados por la defensa del territorio que realizaban. Además, al año siguiente, en el 2017, fueron ejecutados un total de 27 desalojos</w:t>
      </w:r>
      <w:r w:rsidRPr="00185F67">
        <w:rPr>
          <w:rFonts w:ascii="Cambria" w:eastAsia="Cambria" w:hAnsi="Cambria" w:cs="Cambria"/>
          <w:color w:val="000000" w:themeColor="text1"/>
          <w:vertAlign w:val="superscript"/>
        </w:rPr>
        <w:footnoteReference w:id="2"/>
      </w:r>
      <w:r w:rsidRPr="00185F67">
        <w:rPr>
          <w:rFonts w:ascii="Cambria" w:eastAsia="Cambria" w:hAnsi="Cambria" w:cs="Cambria"/>
          <w:color w:val="000000" w:themeColor="text1"/>
        </w:rPr>
        <w:t>, unos de ellos en perjuicio de la comunidad Laguna Larga. Lo que repercute en la credibilidad de dichos mecanismos, como instancias verdaderas de diálogo de buena fe.</w:t>
      </w:r>
    </w:p>
    <w:p w:rsidR="006F15C0" w:rsidRPr="00F24AEC"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El presente caso evidencia y enmarca los patrones históricos de desplazamiento y despojo a que han sido sometidas las poblaciones campesinas, en El Petén se da una práctica recurrente </w:t>
      </w:r>
      <w:r w:rsidR="00F32BC9" w:rsidRPr="00185F67">
        <w:rPr>
          <w:rFonts w:ascii="Cambria" w:eastAsia="Cambria" w:hAnsi="Cambria" w:cs="Cambria"/>
          <w:color w:val="000000" w:themeColor="text1"/>
        </w:rPr>
        <w:t xml:space="preserve">de </w:t>
      </w:r>
      <w:r w:rsidRPr="00185F67">
        <w:rPr>
          <w:rFonts w:ascii="Cambria" w:eastAsia="Cambria" w:hAnsi="Cambria" w:cs="Cambria"/>
          <w:color w:val="000000" w:themeColor="text1"/>
        </w:rPr>
        <w:t>los desalojos y en similares circunstancias a Laguna Larga.</w:t>
      </w:r>
      <w:r w:rsidR="00F24AEC">
        <w:rPr>
          <w:rFonts w:ascii="Cambria" w:eastAsia="Cambria" w:hAnsi="Cambria" w:cs="Cambria"/>
          <w:color w:val="000000" w:themeColor="text1"/>
        </w:rPr>
        <w:t xml:space="preserve"> </w:t>
      </w:r>
      <w:r w:rsidR="00F32BC9" w:rsidRPr="00185F67">
        <w:rPr>
          <w:rFonts w:ascii="Cambria" w:eastAsia="Cambria" w:hAnsi="Cambria" w:cs="Cambria"/>
          <w:color w:val="000000" w:themeColor="text1"/>
        </w:rPr>
        <w:t xml:space="preserve">La </w:t>
      </w:r>
      <w:r w:rsidRPr="00185F67">
        <w:rPr>
          <w:rFonts w:ascii="Cambria" w:eastAsia="Cambria" w:hAnsi="Cambria" w:cs="Cambria"/>
          <w:color w:val="000000" w:themeColor="text1"/>
        </w:rPr>
        <w:t xml:space="preserve">resistencia pacífica que sigue </w:t>
      </w:r>
      <w:r w:rsidR="00F32BC9" w:rsidRPr="00185F67">
        <w:rPr>
          <w:rFonts w:ascii="Cambria" w:eastAsia="Cambria" w:hAnsi="Cambria" w:cs="Cambria"/>
          <w:color w:val="000000" w:themeColor="text1"/>
        </w:rPr>
        <w:t xml:space="preserve">teniendo </w:t>
      </w:r>
      <w:r w:rsidRPr="00185F67">
        <w:rPr>
          <w:rFonts w:ascii="Cambria" w:eastAsia="Cambria" w:hAnsi="Cambria" w:cs="Cambria"/>
          <w:color w:val="000000" w:themeColor="text1"/>
        </w:rPr>
        <w:t xml:space="preserve">la comunidad por el respeto y cumplimiento de sus derechos ha sido vital, </w:t>
      </w:r>
      <w:r w:rsidR="00F32BC9" w:rsidRPr="00185F67">
        <w:rPr>
          <w:rFonts w:ascii="Cambria" w:eastAsia="Cambria" w:hAnsi="Cambria" w:cs="Cambria"/>
          <w:color w:val="000000" w:themeColor="text1"/>
        </w:rPr>
        <w:t xml:space="preserve">este </w:t>
      </w:r>
      <w:r w:rsidRPr="00185F67">
        <w:rPr>
          <w:rFonts w:ascii="Cambria" w:eastAsia="Cambria" w:hAnsi="Cambria" w:cs="Cambria"/>
          <w:color w:val="000000" w:themeColor="text1"/>
        </w:rPr>
        <w:t>caso ha sido vist</w:t>
      </w:r>
      <w:r w:rsidR="00F32BC9" w:rsidRPr="00185F67">
        <w:rPr>
          <w:rFonts w:ascii="Cambria" w:eastAsia="Cambria" w:hAnsi="Cambria" w:cs="Cambria"/>
          <w:color w:val="000000" w:themeColor="text1"/>
        </w:rPr>
        <w:t>o</w:t>
      </w:r>
      <w:r w:rsidRPr="00185F67">
        <w:rPr>
          <w:rFonts w:ascii="Cambria" w:eastAsia="Cambria" w:hAnsi="Cambria" w:cs="Cambria"/>
          <w:color w:val="000000" w:themeColor="text1"/>
        </w:rPr>
        <w:t xml:space="preserve"> como contención a otros desalojos ya programad</w:t>
      </w:r>
      <w:r w:rsidR="00F32BC9" w:rsidRPr="00185F67">
        <w:rPr>
          <w:rFonts w:ascii="Cambria" w:eastAsia="Cambria" w:hAnsi="Cambria" w:cs="Cambria"/>
          <w:color w:val="000000" w:themeColor="text1"/>
        </w:rPr>
        <w:t>o</w:t>
      </w:r>
      <w:r w:rsidRPr="00185F67">
        <w:rPr>
          <w:rFonts w:ascii="Cambria" w:eastAsia="Cambria" w:hAnsi="Cambria" w:cs="Cambria"/>
          <w:color w:val="000000" w:themeColor="text1"/>
        </w:rPr>
        <w:t xml:space="preserve">s, como </w:t>
      </w:r>
      <w:r w:rsidR="00F32BC9" w:rsidRPr="00185F67">
        <w:rPr>
          <w:rFonts w:ascii="Cambria" w:eastAsia="Cambria" w:hAnsi="Cambria" w:cs="Cambria"/>
          <w:color w:val="000000" w:themeColor="text1"/>
        </w:rPr>
        <w:t xml:space="preserve">la situación </w:t>
      </w:r>
      <w:r w:rsidRPr="00185F67">
        <w:rPr>
          <w:rFonts w:ascii="Cambria" w:eastAsia="Cambria" w:hAnsi="Cambria" w:cs="Cambria"/>
          <w:color w:val="000000" w:themeColor="text1"/>
        </w:rPr>
        <w:t>de las comunidad</w:t>
      </w:r>
      <w:r w:rsidR="00F32BC9" w:rsidRPr="00185F67">
        <w:rPr>
          <w:rFonts w:ascii="Cambria" w:eastAsia="Cambria" w:hAnsi="Cambria" w:cs="Cambria"/>
          <w:color w:val="000000" w:themeColor="text1"/>
        </w:rPr>
        <w:t>es</w:t>
      </w:r>
      <w:r w:rsidRPr="00185F67">
        <w:rPr>
          <w:rFonts w:ascii="Cambria" w:eastAsia="Cambria" w:hAnsi="Cambria" w:cs="Cambria"/>
          <w:color w:val="000000" w:themeColor="text1"/>
        </w:rPr>
        <w:t xml:space="preserve"> El Reloj y La Mestiza en la misma zona en que se </w:t>
      </w:r>
      <w:r w:rsidRPr="00185F67">
        <w:rPr>
          <w:rFonts w:ascii="Cambria" w:eastAsia="Cambria" w:hAnsi="Cambria" w:cs="Cambria"/>
          <w:color w:val="000000" w:themeColor="text1"/>
        </w:rPr>
        <w:lastRenderedPageBreak/>
        <w:t>encuentra Laguna Larga. En estos caso</w:t>
      </w:r>
      <w:r w:rsidR="00F32BC9" w:rsidRPr="00185F67">
        <w:rPr>
          <w:rFonts w:ascii="Cambria" w:eastAsia="Cambria" w:hAnsi="Cambria" w:cs="Cambria"/>
          <w:color w:val="000000" w:themeColor="text1"/>
        </w:rPr>
        <w:t>s</w:t>
      </w:r>
      <w:r w:rsidRPr="00185F67">
        <w:rPr>
          <w:rFonts w:ascii="Cambria" w:eastAsia="Cambria" w:hAnsi="Cambria" w:cs="Cambria"/>
          <w:color w:val="000000" w:themeColor="text1"/>
        </w:rPr>
        <w:t>, el Estado privilegia el Derecho Penal Criminal en caso</w:t>
      </w:r>
      <w:r w:rsidR="00F32BC9" w:rsidRPr="00185F67">
        <w:rPr>
          <w:rFonts w:ascii="Cambria" w:eastAsia="Cambria" w:hAnsi="Cambria" w:cs="Cambria"/>
          <w:color w:val="000000" w:themeColor="text1"/>
        </w:rPr>
        <w:t>s</w:t>
      </w:r>
      <w:r w:rsidRPr="00185F67">
        <w:rPr>
          <w:rFonts w:ascii="Cambria" w:eastAsia="Cambria" w:hAnsi="Cambria" w:cs="Cambria"/>
          <w:color w:val="000000" w:themeColor="text1"/>
        </w:rPr>
        <w:t xml:space="preserve"> agrarios y se ha olvidado de cumplir con la creación de las fiscalías y tribunales agrarios, como parte de los compromisos en los Acuerdos de Paz.</w:t>
      </w:r>
    </w:p>
    <w:p w:rsidR="006F15C0" w:rsidRPr="00185F67" w:rsidRDefault="006F15C0">
      <w:pPr>
        <w:pBdr>
          <w:top w:val="nil"/>
          <w:left w:val="nil"/>
          <w:bottom w:val="nil"/>
          <w:right w:val="nil"/>
          <w:between w:val="nil"/>
        </w:pBdr>
        <w:spacing w:after="0"/>
        <w:jc w:val="both"/>
        <w:rPr>
          <w:rFonts w:ascii="Cambria" w:eastAsia="Cambria" w:hAnsi="Cambria" w:cs="Cambria"/>
          <w:color w:val="000000" w:themeColor="text1"/>
        </w:rPr>
      </w:pPr>
    </w:p>
    <w:p w:rsidR="006F15C0" w:rsidRPr="00185F67" w:rsidRDefault="00146BFF">
      <w:pPr>
        <w:pBdr>
          <w:top w:val="nil"/>
          <w:left w:val="nil"/>
          <w:bottom w:val="nil"/>
          <w:right w:val="nil"/>
          <w:between w:val="nil"/>
        </w:pBd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CONSECUENCIAS DEL</w:t>
      </w:r>
      <w:r w:rsidR="005214F8" w:rsidRPr="00185F67">
        <w:rPr>
          <w:rFonts w:ascii="Cambria" w:eastAsia="Cambria" w:hAnsi="Cambria" w:cs="Cambria"/>
          <w:b/>
          <w:color w:val="000000" w:themeColor="text1"/>
        </w:rPr>
        <w:t xml:space="preserve"> DESALOJO  Y DESPLAZAMIENTO FORZADO DEL QUE FUE VÍCTIMA LA COMUNIDAD LAGUNA LARGA</w:t>
      </w:r>
      <w:r w:rsidRPr="00185F67">
        <w:rPr>
          <w:rFonts w:ascii="Cambria" w:eastAsia="Cambria" w:hAnsi="Cambria" w:cs="Cambria"/>
          <w:b/>
          <w:color w:val="000000" w:themeColor="text1"/>
        </w:rPr>
        <w:t>.</w:t>
      </w:r>
    </w:p>
    <w:p w:rsidR="006F15C0" w:rsidRPr="00185F67" w:rsidRDefault="006F15C0">
      <w:pPr>
        <w:pBdr>
          <w:top w:val="nil"/>
          <w:left w:val="nil"/>
          <w:bottom w:val="nil"/>
          <w:right w:val="nil"/>
          <w:between w:val="nil"/>
        </w:pBdr>
        <w:spacing w:after="0"/>
        <w:jc w:val="both"/>
        <w:rPr>
          <w:rFonts w:ascii="Cambria" w:eastAsia="Cambria" w:hAnsi="Cambria" w:cs="Cambria"/>
          <w:b/>
          <w:color w:val="000000" w:themeColor="text1"/>
        </w:rPr>
      </w:pPr>
    </w:p>
    <w:p w:rsidR="006F15C0" w:rsidRPr="00185F67" w:rsidRDefault="005214F8" w:rsidP="003C2975">
      <w:pPr>
        <w:numPr>
          <w:ilvl w:val="0"/>
          <w:numId w:val="4"/>
        </w:numPr>
        <w:spacing w:after="0"/>
        <w:jc w:val="both"/>
        <w:rPr>
          <w:rFonts w:ascii="Cambria" w:eastAsia="Cambria" w:hAnsi="Cambria" w:cs="Cambria"/>
          <w:color w:val="000000" w:themeColor="text1"/>
        </w:rPr>
      </w:pPr>
      <w:bookmarkStart w:id="3" w:name="_heading=h.159xusko8uue" w:colFirst="0" w:colLast="0"/>
      <w:bookmarkEnd w:id="3"/>
      <w:r w:rsidRPr="00185F67">
        <w:rPr>
          <w:rFonts w:ascii="Cambria" w:eastAsia="Cambria" w:hAnsi="Cambria" w:cs="Cambria"/>
          <w:color w:val="000000" w:themeColor="text1"/>
        </w:rPr>
        <w:t>Al momento del desalojo, la Comunidad estaba integrada por 111 familias, aproximadamente 450 personas. Según el último censo comunitario de 2, 019, del total de pobladores, 163 son mujeres y 213 hombres, sumando un total de 376.</w:t>
      </w:r>
      <w:r w:rsidRPr="00185F67">
        <w:rPr>
          <w:rFonts w:ascii="Cambria" w:eastAsia="Cambria" w:hAnsi="Cambria" w:cs="Cambria"/>
          <w:color w:val="000000" w:themeColor="text1"/>
          <w:vertAlign w:val="superscript"/>
        </w:rPr>
        <w:footnoteReference w:id="3"/>
      </w:r>
      <w:r w:rsidRPr="00185F67">
        <w:rPr>
          <w:rFonts w:ascii="Cambria" w:eastAsia="Cambria" w:hAnsi="Cambria" w:cs="Cambria"/>
          <w:color w:val="000000" w:themeColor="text1"/>
        </w:rPr>
        <w:t xml:space="preserve">  </w:t>
      </w:r>
      <w:bookmarkStart w:id="4" w:name="_heading=h.4acble6ahacr" w:colFirst="0" w:colLast="0"/>
      <w:bookmarkStart w:id="5" w:name="_heading=h.6d5tb0mgsuoh" w:colFirst="0" w:colLast="0"/>
      <w:bookmarkEnd w:id="4"/>
      <w:bookmarkEnd w:id="5"/>
      <w:r w:rsidRPr="00185F67">
        <w:rPr>
          <w:rFonts w:ascii="Cambria" w:eastAsia="Cambria" w:hAnsi="Cambria" w:cs="Cambria"/>
          <w:color w:val="000000" w:themeColor="text1"/>
        </w:rPr>
        <w:t xml:space="preserve">Debe  resaltarse, con especial preocupación, que gran parte de la población comunitaria son menores de quince años. Respecto a este </w:t>
      </w:r>
      <w:r w:rsidR="00D5045C" w:rsidRPr="00185F67">
        <w:rPr>
          <w:rFonts w:ascii="Cambria" w:eastAsia="Cambria" w:hAnsi="Cambria" w:cs="Cambria"/>
          <w:color w:val="000000" w:themeColor="text1"/>
        </w:rPr>
        <w:t xml:space="preserve">tema </w:t>
      </w:r>
      <w:r w:rsidRPr="00185F67">
        <w:rPr>
          <w:rFonts w:ascii="Cambria" w:eastAsia="Cambria" w:hAnsi="Cambria" w:cs="Cambria"/>
          <w:color w:val="000000" w:themeColor="text1"/>
        </w:rPr>
        <w:t>particular</w:t>
      </w:r>
      <w:r w:rsidR="00D5045C" w:rsidRPr="00185F67">
        <w:rPr>
          <w:rFonts w:ascii="Cambria" w:eastAsia="Cambria" w:hAnsi="Cambria" w:cs="Cambria"/>
          <w:color w:val="000000" w:themeColor="text1"/>
        </w:rPr>
        <w:t>,</w:t>
      </w:r>
      <w:r w:rsidRPr="00185F67">
        <w:rPr>
          <w:rFonts w:ascii="Cambria" w:eastAsia="Cambria" w:hAnsi="Cambria" w:cs="Cambria"/>
          <w:color w:val="000000" w:themeColor="text1"/>
        </w:rPr>
        <w:t xml:space="preserve"> se desea hacer del conocimiento del Comité que el Centro de Estudios para la Equidad y Gobernanza en los Sistemas de Salud (</w:t>
      </w:r>
      <w:r w:rsidRPr="00185F67">
        <w:rPr>
          <w:rFonts w:ascii="Cambria" w:eastAsia="Cambria" w:hAnsi="Cambria" w:cs="Cambria"/>
          <w:i/>
          <w:color w:val="000000" w:themeColor="text1"/>
        </w:rPr>
        <w:t>en adelante “CEGSS”</w:t>
      </w:r>
      <w:r w:rsidRPr="00185F67">
        <w:rPr>
          <w:rFonts w:ascii="Cambria" w:eastAsia="Cambria" w:hAnsi="Cambria" w:cs="Cambria"/>
          <w:color w:val="000000" w:themeColor="text1"/>
        </w:rPr>
        <w:t xml:space="preserve">), organización no gubernamental guatemalteca especializada en investigación y análisis de los sistemas de salud a nivel nacional, realizó una investigación de campo en el campamento de desplazados Laguna Larga, donde concluyó que </w:t>
      </w:r>
      <w:r w:rsidRPr="00185F67">
        <w:rPr>
          <w:rFonts w:ascii="Cambria" w:eastAsia="Cambria" w:hAnsi="Cambria" w:cs="Cambria"/>
          <w:b/>
          <w:color w:val="000000" w:themeColor="text1"/>
          <w:u w:val="single"/>
        </w:rPr>
        <w:t>el 63% de la población de la comunidad se encontraba en situación de inseguridad alimentaria crítica,</w:t>
      </w:r>
      <w:r w:rsidRPr="00185F67">
        <w:rPr>
          <w:rFonts w:ascii="Cambria" w:eastAsia="Cambria" w:hAnsi="Cambria" w:cs="Cambria"/>
          <w:color w:val="000000" w:themeColor="text1"/>
        </w:rPr>
        <w:t xml:space="preserve"> situación que se agrava de manera particular en el caso de los niños, niñas y adolescentes, quienes en algunos casos, según refiere el informe, han dejado de comer hasta por días enteros debido a las condiciones de insalubridad del campamento.</w:t>
      </w:r>
      <w:r w:rsidRPr="00185F67">
        <w:rPr>
          <w:rFonts w:ascii="Cambria" w:eastAsia="Cambria" w:hAnsi="Cambria" w:cs="Cambria"/>
          <w:i/>
          <w:color w:val="000000" w:themeColor="text1"/>
          <w:vertAlign w:val="superscript"/>
        </w:rPr>
        <w:footnoteReference w:id="4"/>
      </w:r>
    </w:p>
    <w:p w:rsidR="006F15C0" w:rsidRPr="00185F67" w:rsidRDefault="006F15C0">
      <w:pPr>
        <w:spacing w:after="0"/>
        <w:ind w:left="720"/>
        <w:jc w:val="both"/>
        <w:rPr>
          <w:rFonts w:ascii="Cambria" w:eastAsia="Cambria" w:hAnsi="Cambria" w:cs="Cambria"/>
          <w:color w:val="000000" w:themeColor="text1"/>
        </w:rPr>
      </w:pPr>
      <w:bookmarkStart w:id="6" w:name="_heading=h.1r0k3dbars71" w:colFirst="0" w:colLast="0"/>
      <w:bookmarkEnd w:id="6"/>
    </w:p>
    <w:p w:rsidR="006F15C0" w:rsidRPr="00185F67" w:rsidRDefault="005214F8" w:rsidP="003C2975">
      <w:pPr>
        <w:numPr>
          <w:ilvl w:val="0"/>
          <w:numId w:val="4"/>
        </w:numPr>
        <w:spacing w:after="0"/>
        <w:jc w:val="both"/>
        <w:rPr>
          <w:rFonts w:ascii="Cambria" w:eastAsia="Cambria" w:hAnsi="Cambria" w:cs="Cambria"/>
          <w:color w:val="000000" w:themeColor="text1"/>
        </w:rPr>
      </w:pPr>
      <w:bookmarkStart w:id="7" w:name="_heading=h.lfxg3twqmh9x" w:colFirst="0" w:colLast="0"/>
      <w:bookmarkEnd w:id="7"/>
      <w:r w:rsidRPr="00185F67">
        <w:rPr>
          <w:rFonts w:ascii="Cambria" w:eastAsia="Cambria" w:hAnsi="Cambria" w:cs="Cambria"/>
          <w:color w:val="000000" w:themeColor="text1"/>
        </w:rPr>
        <w:t>Este Comité ha reconocido la especial pertinencia de la debida protección procesal en cuestión de desalojos forzosos</w:t>
      </w:r>
      <w:r w:rsidRPr="00185F67">
        <w:rPr>
          <w:rFonts w:ascii="Cambria" w:eastAsia="Cambria" w:hAnsi="Cambria" w:cs="Cambria"/>
          <w:color w:val="000000" w:themeColor="text1"/>
          <w:vertAlign w:val="superscript"/>
        </w:rPr>
        <w:footnoteReference w:id="5"/>
      </w:r>
      <w:r w:rsidRPr="00185F67">
        <w:rPr>
          <w:rFonts w:ascii="Cambria" w:eastAsia="Cambria" w:hAnsi="Cambria" w:cs="Cambria"/>
          <w:color w:val="000000" w:themeColor="text1"/>
        </w:rPr>
        <w:t xml:space="preserve">, y la obligación del Estado de cumplir con las garantías procesales que deben de aplicar en estos casos. La orden de desalojo en el caso de la comunidad, </w:t>
      </w:r>
      <w:r w:rsidRPr="00185F67">
        <w:rPr>
          <w:rFonts w:ascii="Cambria" w:eastAsia="Cambria" w:hAnsi="Cambria" w:cs="Cambria"/>
          <w:color w:val="000000" w:themeColor="text1"/>
          <w:u w:val="single"/>
        </w:rPr>
        <w:t>se otorgó dentro de un proceso penal, como medida precautoria para el resguardo de un área protegida.</w:t>
      </w:r>
      <w:r w:rsidRPr="00185F67">
        <w:rPr>
          <w:rFonts w:ascii="Cambria" w:eastAsia="Cambria" w:hAnsi="Cambria" w:cs="Cambria"/>
          <w:color w:val="000000" w:themeColor="text1"/>
        </w:rPr>
        <w:t xml:space="preserve"> Sin embargo, esta fue decretada sin otorgar la audiencia respectiva a las personas que integran la comunidad, por consiguiente, no se les brindó una auténtica oportunidad de ser consultadas, ni escuchadas y menos informadas con antelación, en un plazo suficiente y razonable sobre la fecha prevista para el desalojo. Impidiendo el ejercicio del derecho a ser escuchados, ejercer su derecho de defensa y por consiguiente la imposibilidad de acceder a recursos jurídicos efectivos.</w:t>
      </w:r>
    </w:p>
    <w:p w:rsidR="006F15C0" w:rsidRPr="00185F67" w:rsidRDefault="006F15C0">
      <w:pPr>
        <w:spacing w:after="0"/>
        <w:ind w:left="720"/>
        <w:jc w:val="both"/>
        <w:rPr>
          <w:rFonts w:ascii="Cambria" w:eastAsia="Cambria" w:hAnsi="Cambria" w:cs="Cambria"/>
          <w:color w:val="000000" w:themeColor="text1"/>
        </w:rPr>
      </w:pPr>
      <w:bookmarkStart w:id="8" w:name="_heading=h.jhc1z4yspmo4" w:colFirst="0" w:colLast="0"/>
      <w:bookmarkEnd w:id="8"/>
    </w:p>
    <w:p w:rsidR="006F15C0" w:rsidRPr="00185F67" w:rsidRDefault="005214F8" w:rsidP="003C2975">
      <w:pPr>
        <w:numPr>
          <w:ilvl w:val="0"/>
          <w:numId w:val="4"/>
        </w:numPr>
        <w:spacing w:after="0"/>
        <w:jc w:val="both"/>
        <w:rPr>
          <w:rFonts w:ascii="Cambria" w:eastAsia="Cambria" w:hAnsi="Cambria" w:cs="Cambria"/>
          <w:color w:val="000000" w:themeColor="text1"/>
        </w:rPr>
      </w:pPr>
      <w:bookmarkStart w:id="9" w:name="_heading=h.1yq8xy7klim" w:colFirst="0" w:colLast="0"/>
      <w:bookmarkEnd w:id="9"/>
      <w:r w:rsidRPr="00185F67">
        <w:rPr>
          <w:rFonts w:ascii="Cambria" w:eastAsia="Cambria" w:hAnsi="Cambria" w:cs="Cambria"/>
          <w:color w:val="000000" w:themeColor="text1"/>
        </w:rPr>
        <w:t>Los comunitarios se enteran del desalojo programado por la información brindada por una de las maestras de la escuela de la comunidad. Más de 400 comunitarios</w:t>
      </w:r>
      <w:r w:rsidRPr="00185F67">
        <w:rPr>
          <w:rFonts w:ascii="Cambria" w:eastAsia="Cambria" w:hAnsi="Cambria" w:cs="Cambria"/>
          <w:color w:val="000000" w:themeColor="text1"/>
          <w:vertAlign w:val="superscript"/>
        </w:rPr>
        <w:footnoteReference w:id="6"/>
      </w:r>
      <w:r w:rsidRPr="00185F67">
        <w:rPr>
          <w:rFonts w:ascii="Cambria" w:eastAsia="Cambria" w:hAnsi="Cambria" w:cs="Cambria"/>
          <w:color w:val="000000" w:themeColor="text1"/>
        </w:rPr>
        <w:t xml:space="preserve">, desde la noche del primero de junio del 2017, deciden salir del territorio bajo fuertes lluvias, por </w:t>
      </w:r>
      <w:r w:rsidRPr="00185F67">
        <w:rPr>
          <w:rFonts w:ascii="Cambria" w:eastAsia="Cambria" w:hAnsi="Cambria" w:cs="Cambria"/>
          <w:color w:val="000000" w:themeColor="text1"/>
        </w:rPr>
        <w:lastRenderedPageBreak/>
        <w:t>el miedo que les generaba el enfrentamiento con las fuerzas de seguridad del Estado. Según relatos de las familias de la comunidad, algunos de ellos fueron víctimas de la violencia por parte del Estado durante el conflicto armado interno, entre ellas masacres, lo que revive el sufrimiento del pasado.</w:t>
      </w:r>
    </w:p>
    <w:p w:rsidR="006F15C0" w:rsidRPr="00185F67" w:rsidRDefault="005214F8">
      <w:pPr>
        <w:spacing w:after="0"/>
        <w:ind w:left="720"/>
        <w:jc w:val="both"/>
        <w:rPr>
          <w:rFonts w:ascii="Cambria" w:eastAsia="Cambria" w:hAnsi="Cambria" w:cs="Cambria"/>
          <w:color w:val="000000" w:themeColor="text1"/>
        </w:rPr>
      </w:pPr>
      <w:bookmarkStart w:id="10" w:name="_heading=h.5qtoybht82x3" w:colFirst="0" w:colLast="0"/>
      <w:bookmarkEnd w:id="10"/>
      <w:r w:rsidRPr="00185F67">
        <w:rPr>
          <w:rFonts w:ascii="Cambria" w:eastAsia="Cambria" w:hAnsi="Cambria" w:cs="Cambria"/>
          <w:color w:val="000000" w:themeColor="text1"/>
        </w:rPr>
        <w:t xml:space="preserve">  </w:t>
      </w:r>
    </w:p>
    <w:p w:rsidR="006F15C0" w:rsidRPr="00185F67" w:rsidRDefault="005214F8" w:rsidP="003C2975">
      <w:pPr>
        <w:numPr>
          <w:ilvl w:val="0"/>
          <w:numId w:val="4"/>
        </w:numPr>
        <w:spacing w:after="0"/>
        <w:jc w:val="both"/>
        <w:rPr>
          <w:rFonts w:ascii="Cambria" w:eastAsia="Cambria" w:hAnsi="Cambria" w:cs="Cambria"/>
          <w:color w:val="000000" w:themeColor="text1"/>
        </w:rPr>
      </w:pPr>
      <w:bookmarkStart w:id="11" w:name="_heading=h.y170nz4oo8on" w:colFirst="0" w:colLast="0"/>
      <w:bookmarkEnd w:id="11"/>
      <w:r w:rsidRPr="00185F67">
        <w:rPr>
          <w:rFonts w:ascii="Cambria" w:eastAsia="Cambria" w:hAnsi="Cambria" w:cs="Cambria"/>
          <w:color w:val="000000" w:themeColor="text1"/>
        </w:rPr>
        <w:t>La triste situación que atraviesa la comunidad desde hace más de tres años ha sido sumamente difícil y revictimizante, al encontrarse sometidos a tratos inhumanos, crueles y degradantes, padeciendo una crisis humanitaria sin precedentes y sin el derecho a soñar con una vida digna. Aunque resulta imposible hacer del conocimiento del Comité la historia personal de cada uno de los pobladores de la comunidad, la historia de Don Constantino Vásquez Suchite, autoridad comunitaria, resulta ejemplificante de las múltiples violaciones a derechos humanos, particularmente a derechos económicos, sociales y culturales de la Comunidad. Don Constantino, un hombre mayor de 70 años que sufrió despojo de sus tierras en Chiquimula, él representa a la C</w:t>
      </w:r>
      <w:r w:rsidR="00CA4A49" w:rsidRPr="00185F67">
        <w:rPr>
          <w:rFonts w:ascii="Cambria" w:eastAsia="Cambria" w:hAnsi="Cambria" w:cs="Cambria"/>
          <w:color w:val="000000" w:themeColor="text1"/>
        </w:rPr>
        <w:t xml:space="preserve">omunidad en diversos espacios y, </w:t>
      </w:r>
      <w:r w:rsidRPr="00185F67">
        <w:rPr>
          <w:rFonts w:ascii="Cambria" w:eastAsia="Cambria" w:hAnsi="Cambria" w:cs="Cambria"/>
          <w:color w:val="000000" w:themeColor="text1"/>
        </w:rPr>
        <w:t>a pesar de su edad</w:t>
      </w:r>
      <w:r w:rsidR="00CA4A49" w:rsidRPr="00185F67">
        <w:rPr>
          <w:rFonts w:ascii="Cambria" w:eastAsia="Cambria" w:hAnsi="Cambria" w:cs="Cambria"/>
          <w:color w:val="000000" w:themeColor="text1"/>
        </w:rPr>
        <w:t>.</w:t>
      </w:r>
      <w:r w:rsidRPr="00185F67">
        <w:rPr>
          <w:rFonts w:ascii="Cambria" w:eastAsia="Cambria" w:hAnsi="Cambria" w:cs="Cambria"/>
          <w:color w:val="000000" w:themeColor="text1"/>
        </w:rPr>
        <w:t xml:space="preserve"> y que su cuerpo se cansa, debe emprender largos viajes a la ciudad capital para dar seguimiento a su caso, cruzando por el lodo, atravesando largos caminos, saliendo de madrugada del campamento y emprender viaje con recursos económicos que son recaudados por la misma comunidad. Don Constantino había sido desplazado antes de su tierra en el departamento de Izabal, donde le tocó vivir el contexto de violencia política mientras ejercía su cargo de Catequista y de servicio comunitario  trasladándose a Petén, quien un día dijo: </w:t>
      </w:r>
      <w:r w:rsidRPr="00185F67">
        <w:rPr>
          <w:rFonts w:ascii="Cambria" w:eastAsia="Cambria" w:hAnsi="Cambria" w:cs="Cambria"/>
          <w:b/>
          <w:i/>
          <w:color w:val="000000" w:themeColor="text1"/>
        </w:rPr>
        <w:t xml:space="preserve">“Si nos quitan la tierra, nos quitan la vida”. </w:t>
      </w:r>
      <w:r w:rsidRPr="00185F67">
        <w:rPr>
          <w:rFonts w:ascii="Cambria" w:eastAsia="Cambria" w:hAnsi="Cambria" w:cs="Cambria"/>
          <w:color w:val="000000" w:themeColor="text1"/>
        </w:rPr>
        <w:t xml:space="preserve">Como el caso de Don Constantino hay muchas más historias iguales o similares de los habitantes de esta comunidad. Doña Odilia Genis Morales, otra lideresa comunitaria, debe pasar por la misma situación para poder participar en reuniones del caso, aun con tantas adversidades, la comunidad tiene la esperanza que un día encuentren un alivio en medio de este gran drama humano. </w:t>
      </w:r>
    </w:p>
    <w:p w:rsidR="006F15C0" w:rsidRPr="00185F67" w:rsidRDefault="005214F8" w:rsidP="003C2975">
      <w:pPr>
        <w:numPr>
          <w:ilvl w:val="0"/>
          <w:numId w:val="4"/>
        </w:numPr>
        <w:spacing w:after="0"/>
        <w:jc w:val="both"/>
        <w:rPr>
          <w:rFonts w:ascii="Cambria" w:eastAsia="Cambria" w:hAnsi="Cambria" w:cs="Cambria"/>
          <w:color w:val="000000" w:themeColor="text1"/>
        </w:rPr>
      </w:pPr>
      <w:bookmarkStart w:id="12" w:name="_heading=h.wczjbv30c6zn" w:colFirst="0" w:colLast="0"/>
      <w:bookmarkEnd w:id="12"/>
      <w:r w:rsidRPr="00185F67">
        <w:rPr>
          <w:rFonts w:ascii="Cambria" w:eastAsia="Cambria" w:hAnsi="Cambria" w:cs="Cambria"/>
          <w:color w:val="000000" w:themeColor="text1"/>
        </w:rPr>
        <w:t xml:space="preserve">Esta comunidad se vio en la obligación de ubicarse en la línea fronteriza entre México y   Guatemala ubicada a 3 kilómetros de su comunidad, y después de </w:t>
      </w:r>
      <w:r w:rsidRPr="00185F67">
        <w:rPr>
          <w:rFonts w:ascii="Cambria" w:eastAsia="Cambria" w:hAnsi="Cambria" w:cs="Cambria"/>
          <w:b/>
          <w:color w:val="000000" w:themeColor="text1"/>
        </w:rPr>
        <w:t xml:space="preserve"> 3 años y 2 meses</w:t>
      </w:r>
      <w:r w:rsidRPr="00185F67">
        <w:rPr>
          <w:rFonts w:ascii="Cambria" w:eastAsia="Cambria" w:hAnsi="Cambria" w:cs="Cambria"/>
          <w:color w:val="000000" w:themeColor="text1"/>
        </w:rPr>
        <w:t xml:space="preserve"> aún  permanecen allí, en un lugar donde no hay un sentido de pertenencia por el abandono del cual han sido objeto. Todo derecho les ha sido vedado, no han sido reconocidos como personas al ser olvidados, han sido privados de sus propios medios de subsistencia; además del daño psicológico y otras afecciones colaterales que viven los pobladores de la Comunidad, como la falta de sentido de pertenencia, la pérdida de lo que ya habían construido con el sueño de una vida digna y el miedo constante que les amenaza cada día en un lugar donde no pueden reposar, donde nunca podrán llamar hogar.</w:t>
      </w:r>
    </w:p>
    <w:p w:rsidR="006F15C0" w:rsidRPr="00185F67" w:rsidRDefault="005214F8" w:rsidP="003C2975">
      <w:pPr>
        <w:numPr>
          <w:ilvl w:val="0"/>
          <w:numId w:val="4"/>
        </w:numPr>
        <w:spacing w:after="0"/>
        <w:jc w:val="both"/>
        <w:rPr>
          <w:rFonts w:ascii="Cambria" w:eastAsia="Cambria" w:hAnsi="Cambria" w:cs="Cambria"/>
          <w:color w:val="000000" w:themeColor="text1"/>
        </w:rPr>
      </w:pPr>
      <w:bookmarkStart w:id="13" w:name="_heading=h.8f0trngcgf73" w:colFirst="0" w:colLast="0"/>
      <w:bookmarkEnd w:id="13"/>
      <w:r w:rsidRPr="00185F67">
        <w:rPr>
          <w:rFonts w:ascii="Cambria" w:eastAsia="Cambria" w:hAnsi="Cambria" w:cs="Cambria"/>
          <w:color w:val="000000" w:themeColor="text1"/>
        </w:rPr>
        <w:t xml:space="preserve">El 02 de junio del 2017, se ejecuta el desalojo por un operativo que estaba compuesto por cerca de 1,450 militares (Batallón de Infantería de Selva), policías, agentes de la División de Protección a la Naturaleza de la Policía Nacional Civil (DIPRONA) y funcionarios del Consejo Nacional de Áreas Protegidas; acompañados por la Auxiliatura de la Procuraduría de los Derechos Humanos. El actuar de las fuerzas armadas del Estado, se caracterizó por ser desproporcionada, pues el desalojo concluyó con la quema de viviendas, destrucción de cultivos y bienes, hasta el punto de la apropiación con la finalidad de consumir y </w:t>
      </w:r>
      <w:r w:rsidRPr="00185F67">
        <w:rPr>
          <w:rFonts w:ascii="Cambria" w:eastAsia="Cambria" w:hAnsi="Cambria" w:cs="Cambria"/>
          <w:color w:val="000000" w:themeColor="text1"/>
        </w:rPr>
        <w:lastRenderedPageBreak/>
        <w:t>vender, los animales domésticos propiedad de los comunitarios. Acciones que no son justificables, además de ser medidas incompatibles con el Pacto IDESC.</w:t>
      </w:r>
    </w:p>
    <w:p w:rsidR="00146BFF" w:rsidRPr="00F24AEC" w:rsidRDefault="005214F8" w:rsidP="003C2975">
      <w:pPr>
        <w:numPr>
          <w:ilvl w:val="0"/>
          <w:numId w:val="4"/>
        </w:numPr>
        <w:spacing w:after="0"/>
        <w:jc w:val="both"/>
        <w:rPr>
          <w:rFonts w:ascii="Cambria" w:eastAsia="Cambria" w:hAnsi="Cambria" w:cs="Cambria"/>
          <w:color w:val="000000" w:themeColor="text1"/>
        </w:rPr>
      </w:pPr>
      <w:bookmarkStart w:id="14" w:name="_heading=h.j1qca3t7pp4s" w:colFirst="0" w:colLast="0"/>
      <w:bookmarkEnd w:id="14"/>
      <w:r w:rsidRPr="00185F67">
        <w:rPr>
          <w:rFonts w:ascii="Cambria" w:eastAsia="Cambria" w:hAnsi="Cambria" w:cs="Cambria"/>
          <w:color w:val="000000" w:themeColor="text1"/>
        </w:rPr>
        <w:t>Laguna Larga es un ejemplo del actuar del Estado en cuanto a desalojos se refiere. Un accionar inhumano, caracterizado por el abuso de poder, sin tener planes de reasentamiento y sin brindarle la oportunidad a las comunidades de demostrar en audiencias respectivas, sus potenciales derechos de propiedad sobre las tierras de las que fueron desalojados</w:t>
      </w:r>
      <w:r w:rsidR="004E7D4C">
        <w:rPr>
          <w:rFonts w:ascii="Cambria" w:eastAsia="Cambria" w:hAnsi="Cambria" w:cs="Cambria"/>
          <w:color w:val="000000" w:themeColor="text1"/>
        </w:rPr>
        <w:t>.</w:t>
      </w:r>
      <w:r w:rsidRPr="00185F67">
        <w:rPr>
          <w:rFonts w:ascii="Cambria" w:eastAsia="Cambria" w:hAnsi="Cambria" w:cs="Cambria"/>
          <w:color w:val="000000" w:themeColor="text1"/>
          <w:vertAlign w:val="superscript"/>
        </w:rPr>
        <w:footnoteReference w:id="7"/>
      </w:r>
      <w:r w:rsidRPr="00185F67">
        <w:rPr>
          <w:rFonts w:ascii="Cambria" w:eastAsia="Cambria" w:hAnsi="Cambria" w:cs="Cambria"/>
          <w:color w:val="000000" w:themeColor="text1"/>
        </w:rPr>
        <w:t xml:space="preserve"> En la misma línea manifestó su preocupación</w:t>
      </w:r>
      <w:r w:rsidR="00F24AEC">
        <w:rPr>
          <w:rFonts w:ascii="Cambria" w:eastAsia="Cambria" w:hAnsi="Cambria" w:cs="Cambria"/>
          <w:color w:val="000000" w:themeColor="text1"/>
        </w:rPr>
        <w:t xml:space="preserve"> </w:t>
      </w:r>
      <w:r w:rsidRPr="00185F67">
        <w:rPr>
          <w:rFonts w:ascii="Cambria" w:eastAsia="Cambria" w:hAnsi="Cambria" w:cs="Cambria"/>
          <w:color w:val="000000" w:themeColor="text1"/>
        </w:rPr>
        <w:t>la</w:t>
      </w:r>
      <w:r w:rsidR="00F24AEC">
        <w:rPr>
          <w:rFonts w:ascii="Cambria" w:eastAsia="Cambria" w:hAnsi="Cambria" w:cs="Cambria"/>
          <w:color w:val="000000" w:themeColor="text1"/>
        </w:rPr>
        <w:t xml:space="preserve"> </w:t>
      </w:r>
      <w:r w:rsidRPr="00185F67">
        <w:rPr>
          <w:rFonts w:ascii="Cambria" w:eastAsia="Cambria" w:hAnsi="Cambria" w:cs="Cambria"/>
          <w:color w:val="000000" w:themeColor="text1"/>
        </w:rPr>
        <w:t>CIDH</w:t>
      </w:r>
      <w:r w:rsidR="003C2975">
        <w:rPr>
          <w:rStyle w:val="FootnoteReference"/>
          <w:rFonts w:ascii="Cambria" w:eastAsia="Cambria" w:hAnsi="Cambria" w:cs="Cambria"/>
          <w:color w:val="000000" w:themeColor="text1"/>
        </w:rPr>
        <w:footnoteReference w:id="8"/>
      </w:r>
      <w:r w:rsidR="004E4AB6">
        <w:rPr>
          <w:rFonts w:ascii="Cambria" w:eastAsia="Cambria" w:hAnsi="Cambria" w:cs="Cambria"/>
          <w:color w:val="000000" w:themeColor="text1"/>
        </w:rPr>
        <w:t xml:space="preserve"> </w:t>
      </w:r>
      <w:r w:rsidRPr="00185F67">
        <w:rPr>
          <w:rFonts w:ascii="Cambria" w:eastAsia="Cambria" w:hAnsi="Cambria" w:cs="Cambria"/>
          <w:color w:val="000000" w:themeColor="text1"/>
        </w:rPr>
        <w:t>quien identificó una intensificación de la situación de desplazamientos internos en Guatemala, como consecuencia de la práctica de desalojos forzosos</w:t>
      </w:r>
      <w:r w:rsidRPr="00185F67">
        <w:rPr>
          <w:rFonts w:ascii="Cambria" w:eastAsia="Cambria" w:hAnsi="Cambria" w:cs="Cambria"/>
          <w:color w:val="000000" w:themeColor="text1"/>
          <w:vertAlign w:val="superscript"/>
        </w:rPr>
        <w:footnoteReference w:id="9"/>
      </w:r>
      <w:r w:rsidRPr="00185F67">
        <w:rPr>
          <w:rFonts w:ascii="Cambria" w:eastAsia="Cambria" w:hAnsi="Cambria" w:cs="Cambria"/>
          <w:color w:val="000000" w:themeColor="text1"/>
        </w:rPr>
        <w:t xml:space="preserve">, además, evidenció la </w:t>
      </w:r>
      <w:r w:rsidRPr="00185F67">
        <w:rPr>
          <w:rFonts w:ascii="Cambria" w:eastAsia="Cambria" w:hAnsi="Cambria" w:cs="Cambria"/>
          <w:color w:val="000000" w:themeColor="text1"/>
          <w:u w:val="single"/>
        </w:rPr>
        <w:t xml:space="preserve">existencia de un patrón de violaciones a derechos humanos </w:t>
      </w:r>
      <w:r w:rsidRPr="00185F67">
        <w:rPr>
          <w:rFonts w:ascii="Cambria" w:eastAsia="Cambria" w:hAnsi="Cambria" w:cs="Cambria"/>
          <w:color w:val="000000" w:themeColor="text1"/>
        </w:rPr>
        <w:t>cuando se ejecutan los mismos, que incluye la violación al derecho a la consulta, la falta de notificación previa y que suelen ser realizados de manera violenta  por lo agentes estatales y de una manera sumaria</w:t>
      </w:r>
      <w:r w:rsidRPr="00185F67">
        <w:rPr>
          <w:rFonts w:ascii="Cambria" w:eastAsia="Cambria" w:hAnsi="Cambria" w:cs="Cambria"/>
          <w:color w:val="000000" w:themeColor="text1"/>
          <w:vertAlign w:val="superscript"/>
        </w:rPr>
        <w:footnoteReference w:id="10"/>
      </w:r>
      <w:r w:rsidRPr="00185F67">
        <w:rPr>
          <w:rFonts w:ascii="Cambria" w:eastAsia="Cambria" w:hAnsi="Cambria" w:cs="Cambria"/>
          <w:color w:val="000000" w:themeColor="text1"/>
        </w:rPr>
        <w:t xml:space="preserve">.  </w:t>
      </w:r>
    </w:p>
    <w:p w:rsidR="006F15C0" w:rsidRPr="00185F67" w:rsidRDefault="006F15C0">
      <w:pPr>
        <w:spacing w:after="0"/>
        <w:ind w:left="720"/>
        <w:jc w:val="both"/>
        <w:rPr>
          <w:rFonts w:ascii="Cambria" w:eastAsia="Cambria" w:hAnsi="Cambria" w:cs="Cambria"/>
          <w:color w:val="000000" w:themeColor="text1"/>
        </w:rPr>
      </w:pPr>
      <w:bookmarkStart w:id="15" w:name="_heading=h.sr35iakywc76" w:colFirst="0" w:colLast="0"/>
      <w:bookmarkEnd w:id="15"/>
    </w:p>
    <w:p w:rsidR="006F15C0" w:rsidRPr="00185F67" w:rsidRDefault="00146BFF">
      <w:pPr>
        <w:spacing w:after="0"/>
        <w:jc w:val="both"/>
        <w:rPr>
          <w:rFonts w:ascii="Cambria" w:eastAsia="Cambria" w:hAnsi="Cambria" w:cs="Cambria"/>
          <w:color w:val="000000" w:themeColor="text1"/>
        </w:rPr>
      </w:pPr>
      <w:r w:rsidRPr="00185F67">
        <w:rPr>
          <w:rFonts w:ascii="Cambria" w:eastAsia="Cambria" w:hAnsi="Cambria" w:cs="Cambria"/>
          <w:b/>
          <w:color w:val="000000" w:themeColor="text1"/>
        </w:rPr>
        <w:t>DE LAS VIOLACIONES A DERECHOS ECONÓMICOS, SOCIALES Y CULTURALES (DESC) CONTENIDOS EN EL PIDESC, EN PERJUICIO DE LA COMUNIDAD LAGUNA LARGA.</w:t>
      </w:r>
    </w:p>
    <w:p w:rsidR="006F15C0" w:rsidRPr="00185F67" w:rsidRDefault="006F15C0">
      <w:pPr>
        <w:pBdr>
          <w:top w:val="nil"/>
          <w:left w:val="nil"/>
          <w:bottom w:val="nil"/>
          <w:right w:val="nil"/>
          <w:between w:val="nil"/>
        </w:pBdr>
        <w:spacing w:after="0"/>
        <w:ind w:left="720"/>
        <w:jc w:val="both"/>
        <w:rPr>
          <w:rFonts w:ascii="Cambria" w:eastAsia="Cambria" w:hAnsi="Cambria" w:cs="Cambria"/>
          <w:color w:val="000000" w:themeColor="text1"/>
        </w:rPr>
      </w:pPr>
    </w:p>
    <w:p w:rsidR="006F15C0" w:rsidRPr="00185F67" w:rsidRDefault="005214F8">
      <w:pP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Derecho a una vivienda adecuada [Artículo 11, párrafo 1 del PIDESC]</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 Respecto al derecho a una vivienda adecuada, las familias de la comunidad, en condiciones de inhabitabilidad y sin disponibilidad de servicios básicos, se encuentran sobreviviendo a la intemperie, en casas improvisadas o carpas, en el suelo de tierra y lodo. Extremo que constató la Comisión IDH en su visita </w:t>
      </w:r>
      <w:r w:rsidRPr="00185F67">
        <w:rPr>
          <w:rFonts w:ascii="Cambria" w:eastAsia="Cambria" w:hAnsi="Cambria" w:cs="Cambria"/>
          <w:i/>
          <w:color w:val="000000" w:themeColor="text1"/>
        </w:rPr>
        <w:t xml:space="preserve">in loco </w:t>
      </w:r>
      <w:r w:rsidRPr="00185F67">
        <w:rPr>
          <w:rFonts w:ascii="Cambria" w:eastAsia="Cambria" w:hAnsi="Cambria" w:cs="Cambria"/>
          <w:color w:val="000000" w:themeColor="text1"/>
        </w:rPr>
        <w:t>a Guatemala, en el año 2017, ya que verificó las condiciones inhumanas y degradantes en las que se encontraban y siguen las familias de la comunidad de Laguna Larga. Ello como resultado de la falta de agua potable, energía y servicios sanitarios básicos, además, que las familias están viviendo en “champas” con techos de paja y carpas de campaña, ampliamente expuestos al clima, los animales y los elementos</w:t>
      </w:r>
      <w:r w:rsidRPr="00185F67">
        <w:rPr>
          <w:rFonts w:ascii="Cambria" w:eastAsia="Cambria" w:hAnsi="Cambria" w:cs="Cambria"/>
          <w:color w:val="000000" w:themeColor="text1"/>
          <w:vertAlign w:val="superscript"/>
        </w:rPr>
        <w:footnoteReference w:id="11"/>
      </w:r>
      <w:r w:rsidRPr="00185F67">
        <w:rPr>
          <w:rFonts w:ascii="Cambria" w:eastAsia="Cambria" w:hAnsi="Cambria" w:cs="Cambria"/>
          <w:color w:val="000000" w:themeColor="text1"/>
        </w:rPr>
        <w:t xml:space="preserve">. </w:t>
      </w:r>
    </w:p>
    <w:p w:rsidR="006F15C0"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Actualmente, casi 3 años después de esta visita, las circunstancias no han cambiado. Los comunitarios han expresado, que priorizan los pocos “catres”</w:t>
      </w:r>
      <w:r w:rsidRPr="00185F67">
        <w:rPr>
          <w:rFonts w:ascii="Cambria" w:eastAsia="Cambria" w:hAnsi="Cambria" w:cs="Cambria"/>
          <w:color w:val="000000" w:themeColor="text1"/>
          <w:vertAlign w:val="superscript"/>
        </w:rPr>
        <w:footnoteReference w:id="12"/>
      </w:r>
      <w:r w:rsidRPr="00185F67">
        <w:rPr>
          <w:rFonts w:ascii="Cambria" w:eastAsia="Cambria" w:hAnsi="Cambria" w:cs="Cambria"/>
          <w:color w:val="000000" w:themeColor="text1"/>
        </w:rPr>
        <w:t xml:space="preserve">,  que son utilizados para </w:t>
      </w:r>
      <w:r w:rsidRPr="00185F67">
        <w:rPr>
          <w:rFonts w:ascii="Cambria" w:eastAsia="Cambria" w:hAnsi="Cambria" w:cs="Cambria"/>
          <w:color w:val="000000" w:themeColor="text1"/>
        </w:rPr>
        <w:lastRenderedPageBreak/>
        <w:t xml:space="preserve">dormir, a favor de las personas más necesitadas, es decir, mujeres embarazadas,  personas enfermas y  personas de la tercera edad. </w:t>
      </w:r>
    </w:p>
    <w:p w:rsidR="004E7D4C" w:rsidRPr="00185F67" w:rsidRDefault="004E7D4C" w:rsidP="004E7D4C">
      <w:pPr>
        <w:pBdr>
          <w:top w:val="nil"/>
          <w:left w:val="nil"/>
          <w:bottom w:val="nil"/>
          <w:right w:val="nil"/>
          <w:between w:val="nil"/>
        </w:pBdr>
        <w:spacing w:after="0"/>
        <w:ind w:left="720"/>
        <w:jc w:val="both"/>
        <w:rPr>
          <w:rFonts w:ascii="Cambria" w:eastAsia="Cambria" w:hAnsi="Cambria" w:cs="Cambria"/>
          <w:color w:val="000000" w:themeColor="text1"/>
        </w:rPr>
      </w:pPr>
    </w:p>
    <w:p w:rsidR="006F15C0" w:rsidRPr="00185F67" w:rsidRDefault="005214F8">
      <w:pP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Derecho a una alimentación adecuada [Artículo 11, párrafo 1 del PIDESC]</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b/>
          <w:color w:val="000000" w:themeColor="text1"/>
        </w:rPr>
        <w:t xml:space="preserve"> </w:t>
      </w:r>
      <w:r w:rsidRPr="00185F67">
        <w:rPr>
          <w:rFonts w:ascii="Cambria" w:eastAsia="Cambria" w:hAnsi="Cambria" w:cs="Cambria"/>
          <w:color w:val="000000" w:themeColor="text1"/>
        </w:rPr>
        <w:t>Transcurridos más de 3 años del desalojo, la situación de crisis humanitaria continúa en la comunidad, la dependencia de la asistencia alimentaria es aún vital para garantizar el abastecimiento alimenticio. Además, el Estado de Guatemala, durante todo este tiempo, ha fallado en el cumplimiento de la periodicidad con la que debe hacer la entrega de raciones de alimentos, y cuando lo realiza, esta no es variada ni adecuada en términos nutricionales, pues se circunscribe a la entrega de frijol, avena, aceite y arroz a los habitantes en cantidades no suficientes. Esta situación es sumamente preocupante y grave ya que la comunidad tiene una alta dependencia de esta ayuda, por lo cual no recibirla plantea un nivel crítico de desabastecimiento. En cuanto a la Alimentación de las Niñas y los Niños, se pudo establecer que: “De la población de niñas y niños menores a 5 años encontramos que 24 (68.5%) presentan trastornos de Malnutrición”</w:t>
      </w:r>
      <w:r w:rsidRPr="00185F67">
        <w:rPr>
          <w:rFonts w:ascii="Cambria" w:eastAsia="Cambria" w:hAnsi="Cambria" w:cs="Cambria"/>
          <w:color w:val="000000" w:themeColor="text1"/>
          <w:vertAlign w:val="superscript"/>
        </w:rPr>
        <w:footnoteReference w:id="13"/>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La comunidad se encuentra en una situación de inseguridad alimentaria, el nivel de acceso y disponibilidad de alimentos es crítico y las posibilidades de obtener los mismos vía compra de alimentos es poco viable por la falta de fuentes de generación de ingresos, su nivel de dependencia de la ayuda alimentaria es crítica y se agravó desde la crisis sanitaria del Coronavirus Covid-19, debido a las disposiciones y restricciones de libertad de locomoción impuestas en todo el país. </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Las familias de la comunidad, han manifestado su constante preocupación por la inexistencia de suficiente comida para el consumo familiar, asimismo mencionan que consumen menos variedad de alimentos que antes y comen menos, reduciendo a 2 tiempos de comida diarios.</w:t>
      </w:r>
    </w:p>
    <w:p w:rsidR="006F15C0" w:rsidRPr="00185F67" w:rsidRDefault="006F15C0">
      <w:pPr>
        <w:pBdr>
          <w:top w:val="nil"/>
          <w:left w:val="nil"/>
          <w:bottom w:val="nil"/>
          <w:right w:val="nil"/>
          <w:between w:val="nil"/>
        </w:pBdr>
        <w:spacing w:after="0"/>
        <w:jc w:val="both"/>
        <w:rPr>
          <w:rFonts w:ascii="Cambria" w:eastAsia="Cambria" w:hAnsi="Cambria" w:cs="Cambria"/>
          <w:color w:val="000000" w:themeColor="text1"/>
        </w:rPr>
      </w:pPr>
    </w:p>
    <w:p w:rsidR="006F15C0" w:rsidRPr="00185F67" w:rsidRDefault="005214F8">
      <w:pPr>
        <w:pBdr>
          <w:top w:val="nil"/>
          <w:left w:val="nil"/>
          <w:bottom w:val="nil"/>
          <w:right w:val="nil"/>
          <w:between w:val="nil"/>
        </w:pBd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Derecho al disfrute del más alto nivel posible de salud física y mental [Artículo 12 del párrafo 1 del PIDESC]</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Las condiciones de hacinamiento e insalubridad en las que viven las personas que integran la comunidad, la </w:t>
      </w:r>
      <w:r w:rsidRPr="00185F67">
        <w:rPr>
          <w:rFonts w:ascii="Cambria" w:eastAsia="Cambria" w:hAnsi="Cambria" w:cs="Cambria"/>
          <w:b/>
          <w:color w:val="000000" w:themeColor="text1"/>
        </w:rPr>
        <w:t>falta de acceso a agua potable,</w:t>
      </w:r>
      <w:r w:rsidRPr="00185F67">
        <w:rPr>
          <w:rFonts w:ascii="Cambria" w:eastAsia="Cambria" w:hAnsi="Cambria" w:cs="Cambria"/>
          <w:color w:val="000000" w:themeColor="text1"/>
        </w:rPr>
        <w:t xml:space="preserve"> la baja práctica de higiene por la falta de agua y el uso de letrinas comunitarias, </w:t>
      </w:r>
      <w:r w:rsidRPr="00185F67">
        <w:rPr>
          <w:rFonts w:ascii="Cambria" w:eastAsia="Cambria" w:hAnsi="Cambria" w:cs="Cambria"/>
          <w:b/>
          <w:color w:val="000000" w:themeColor="text1"/>
        </w:rPr>
        <w:t>ha desencadenado en la comunidad una serie de enfermedades infecciosas, dermatológicas, parasitismo, respiratorias y gastrointestinales</w:t>
      </w:r>
      <w:r w:rsidRPr="00185F67">
        <w:rPr>
          <w:rFonts w:ascii="Cambria" w:eastAsia="Cambria" w:hAnsi="Cambria" w:cs="Cambria"/>
          <w:color w:val="000000" w:themeColor="text1"/>
        </w:rPr>
        <w:t xml:space="preserve">. Asimismo,  en el mes de febrero del año en curso, se reportó un brote   epidémico de paludismo, el cual conjuntamente con  dengue han surgido nuevamente en la comunidad, a inicios del presente mes. </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Entre las personas fallecidas podemos citar a la señora </w:t>
      </w:r>
      <w:r w:rsidRPr="00185F67">
        <w:rPr>
          <w:color w:val="000000" w:themeColor="text1"/>
        </w:rPr>
        <w:t>Bartola Ramírez de 61, quien perdió</w:t>
      </w:r>
      <w:r w:rsidRPr="00185F67">
        <w:rPr>
          <w:rFonts w:ascii="Cambria" w:eastAsia="Cambria" w:hAnsi="Cambria" w:cs="Cambria"/>
          <w:color w:val="000000" w:themeColor="text1"/>
        </w:rPr>
        <w:t xml:space="preserve"> la vida en el Hospital de San Benito, Petén en </w:t>
      </w:r>
      <w:r w:rsidRPr="00185F67">
        <w:rPr>
          <w:color w:val="000000" w:themeColor="text1"/>
        </w:rPr>
        <w:t>marzo de 2019</w:t>
      </w:r>
      <w:r w:rsidRPr="00185F67">
        <w:rPr>
          <w:rFonts w:ascii="Cambria" w:eastAsia="Cambria" w:hAnsi="Cambria" w:cs="Cambria"/>
          <w:color w:val="000000" w:themeColor="text1"/>
        </w:rPr>
        <w:t xml:space="preserve">, a causa de  “sepsis pulmonar y neumonía por hongos”. El hospital no les entregó el certificado médico de defunción a los familiares. </w:t>
      </w:r>
      <w:r w:rsidRPr="00185F67">
        <w:rPr>
          <w:color w:val="000000" w:themeColor="text1"/>
        </w:rPr>
        <w:t xml:space="preserve">Ester García Canán y Yesica Pérez González </w:t>
      </w:r>
      <w:r w:rsidRPr="00185F67">
        <w:rPr>
          <w:b/>
          <w:color w:val="000000" w:themeColor="text1"/>
        </w:rPr>
        <w:t>murieron recién nacidas y enterradas en el cementerio de la comunidad de Laguna Larga.</w:t>
      </w:r>
      <w:r w:rsidRPr="00185F67">
        <w:rPr>
          <w:color w:val="000000" w:themeColor="text1"/>
        </w:rPr>
        <w:t xml:space="preserve"> Estas muertes y otras obedece a la falta de asistencia médica oportuna.     </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Las familias no pueden adquirir medicinas ni servicios por su propia cuenta, por el alto costo y la falta de recursos económicos, por lo que dependen únicamente de la cooperación o solidaridad de la sociedad civil de México y del gobierno. Es decir, existe una situación de inaccesibilidad a servicios de salud, los servicios más cercanos se encuentran en el lado del Estado de México, el hospital más cercano al campamento está  ubicado en Candelaria, Campeche, México</w:t>
      </w:r>
      <w:r w:rsidRPr="00185F67">
        <w:rPr>
          <w:rFonts w:ascii="Cambria" w:eastAsia="Cambria" w:hAnsi="Cambria" w:cs="Cambria"/>
          <w:color w:val="000000" w:themeColor="text1"/>
          <w:vertAlign w:val="superscript"/>
        </w:rPr>
        <w:footnoteReference w:id="14"/>
      </w:r>
      <w:r w:rsidRPr="00185F67">
        <w:rPr>
          <w:rFonts w:ascii="Cambria" w:eastAsia="Cambria" w:hAnsi="Cambria" w:cs="Cambria"/>
          <w:color w:val="000000" w:themeColor="text1"/>
        </w:rPr>
        <w:t xml:space="preserve">,  a más de 100 kilómetros de distancia, aunado a ello, existe un mal camino de acceso al campamento. Por la situación creada por el Covid-19 en dicho lugar ahora ya no es posible tener acceso al hospital.   </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Las jornadas médicas implementadas por el Estado de Guatemala, han sido pocas e insuficientes en los 3 años del desalojo. En determinadas ocasiones solo han llegado a fumigar el área y a vacunar perros, aduciendo que es una jornada médica en beneficio de las personas, lo cual es falso.  </w:t>
      </w:r>
    </w:p>
    <w:p w:rsidR="00F24AEC" w:rsidRPr="00F24AEC"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Un aspecto de suma preocupación lo constituye la salud mental que está deteriorándose en la población en general.  Las personas manifiestan una angustia por el futuro, además de una profunda tristeza y frustración por la situación de hambre que viven, les avergüenza sentir esta condición y reconocerla, para ellos es una situación denigrante, ellos reconocen que esta situación no era así en su antigua comunidad.</w:t>
      </w:r>
    </w:p>
    <w:p w:rsidR="00F24AEC" w:rsidRPr="00185F67" w:rsidRDefault="00F24AEC">
      <w:pPr>
        <w:pBdr>
          <w:top w:val="nil"/>
          <w:left w:val="nil"/>
          <w:bottom w:val="nil"/>
          <w:right w:val="nil"/>
          <w:between w:val="nil"/>
        </w:pBdr>
        <w:spacing w:after="0"/>
        <w:ind w:left="720"/>
        <w:jc w:val="both"/>
        <w:rPr>
          <w:rFonts w:ascii="Cambria" w:eastAsia="Cambria" w:hAnsi="Cambria" w:cs="Cambria"/>
          <w:color w:val="000000" w:themeColor="text1"/>
        </w:rPr>
      </w:pPr>
    </w:p>
    <w:p w:rsidR="006F15C0" w:rsidRPr="00185F67" w:rsidRDefault="005214F8">
      <w:pPr>
        <w:pBdr>
          <w:top w:val="nil"/>
          <w:left w:val="nil"/>
          <w:bottom w:val="nil"/>
          <w:right w:val="nil"/>
          <w:between w:val="nil"/>
        </w:pBdr>
        <w:spacing w:after="0"/>
        <w:ind w:left="720"/>
        <w:jc w:val="both"/>
        <w:rPr>
          <w:rFonts w:ascii="Cambria" w:eastAsia="Cambria" w:hAnsi="Cambria" w:cs="Cambria"/>
          <w:b/>
          <w:color w:val="000000" w:themeColor="text1"/>
        </w:rPr>
      </w:pPr>
      <w:r w:rsidRPr="00185F67">
        <w:rPr>
          <w:rFonts w:ascii="Cambria" w:eastAsia="Cambria" w:hAnsi="Cambria" w:cs="Cambria"/>
          <w:b/>
          <w:color w:val="000000" w:themeColor="text1"/>
        </w:rPr>
        <w:t>Derecho a la educación [Artículo 13, párrafo 1  del PIDESC]</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En cuanto al tema de la educación, se hace del conocimiento que existen graves dificultades que probablemente impidan que se pueda continuar con las clases normales para niños de nivel primario, que es la única brindada por el Estado. Ello debido a que una de las maestras que impartía clases en el campamento ha decidido presentar su renuncia y abandonar sus labores en la comunidad. Por otra parte, otra de las maestras, según se tiene conocimiento de forma extraoficial, tuvo problemas familiares que no aseguran la continuidad de sus labores y, por lo tanto, el normal desarrollo de las clases impartidas a los niños. </w:t>
      </w:r>
    </w:p>
    <w:p w:rsidR="004E7D4C"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De momento, las clases presenciales a nivel nacional se encuentran suspendidas en virtud del Estado de Calamidad decretado por el Organismo Ejecutivo, derivado de la crisis emergente provocada por la pandemia del coronavirus Covid-19. No obstante lo anterior, en virtud de lo manifestado respecto a la falta de personal docente, la reanudación de las clases en el campamento, una vez superada la emergencia del Coronavirus, continúa siendo incierta. Si bien ahora la educación es de manera virtual, no toda la población puede tener acceso a ella, como el caso concreto en un lugar inhóspito y, si las condiciones de una educación adecuada no existían antes de la pandemia, ahora son más inciertas.  </w:t>
      </w:r>
    </w:p>
    <w:p w:rsidR="004E7D4C" w:rsidRDefault="004E7D4C" w:rsidP="004E7D4C">
      <w:pPr>
        <w:pBdr>
          <w:top w:val="nil"/>
          <w:left w:val="nil"/>
          <w:bottom w:val="nil"/>
          <w:right w:val="nil"/>
          <w:between w:val="nil"/>
        </w:pBdr>
        <w:spacing w:after="0"/>
        <w:jc w:val="both"/>
        <w:rPr>
          <w:rFonts w:ascii="Cambria" w:eastAsia="Cambria" w:hAnsi="Cambria" w:cs="Cambria"/>
          <w:color w:val="000000" w:themeColor="text1"/>
        </w:rPr>
      </w:pPr>
    </w:p>
    <w:p w:rsidR="006F15C0" w:rsidRPr="00185F67" w:rsidRDefault="005214F8" w:rsidP="004E7D4C">
      <w:p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  </w:t>
      </w:r>
    </w:p>
    <w:p w:rsidR="006F15C0" w:rsidRPr="00185F67" w:rsidRDefault="006F15C0">
      <w:pPr>
        <w:spacing w:after="0"/>
        <w:jc w:val="both"/>
        <w:rPr>
          <w:rFonts w:ascii="Cambria" w:eastAsia="Cambria" w:hAnsi="Cambria" w:cs="Cambria"/>
          <w:b/>
          <w:color w:val="000000" w:themeColor="text1"/>
        </w:rPr>
      </w:pPr>
    </w:p>
    <w:p w:rsidR="006F15C0" w:rsidRPr="00185F67" w:rsidRDefault="005214F8">
      <w:pP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Derecho al trabajo [Artículo 6 del PIDESC]</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Todas las familias desplazadas son campesinas, su disponibilidad de alimentos previo al desalojo dependía fundamentalmente su producción de subsistencia, en su mayoría eran productores excedentarios de pepitoria. El desalojo forzoso no solo les quitó su fuente de producción de alimentos para su consumo, sino también su principal fuente de generación de ingresos. Ante la actual situación que vive, las familias han buscado fuentes de empleo, sin embargo, el aislamiento de la comunidad, su lejanía de centros poblados cercanos del lado de Guatemala o México, hace de esta alternativa algo poco viable. Ante tal situación se ven obligados a buscar jornales de trabajo en ranchos ubicados en México, principalmente en ranchos de palma africana, papayeras y limpia de potreros. Las condiciones laborales son deplorables, no reciben el mismo trato que los trabajadores mexicanos, en cuanto a derechos, jornadas laborales y salario, ganan sumas inferiores que un trabajador mexicano, siendo discriminados. La disponibilidad de trabajo es insuficiente para todos los miembros de la comunidad, teniendo que turnarse para que todos puedan ganar algo de dinero, estos extremos se  complican aún más, con la crisis de la  pandemia. </w:t>
      </w:r>
    </w:p>
    <w:p w:rsidR="006F15C0" w:rsidRPr="00185F67" w:rsidRDefault="005214F8">
      <w:pPr>
        <w:pBdr>
          <w:top w:val="nil"/>
          <w:left w:val="nil"/>
          <w:bottom w:val="nil"/>
          <w:right w:val="nil"/>
          <w:between w:val="nil"/>
        </w:pBd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 xml:space="preserve">Situación de los derechos de las mujeres. </w:t>
      </w: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 Este Comité  ha enfatizado la particular vulnerabilidad a los actos de violencia y abuso sexual cuando se quedan sin hogar. En efecto, desde el desplazamiento forzado,  las mujeres de la comunidad han expresado un aumento en el acoso sexual, los hombres realizan comentarios sexuales hacia las niñas y existe una latente preocupación del traslado por las noches de las niñas a las letrinas, se percibe un riesgo elevado de violencia sexual. </w:t>
      </w:r>
    </w:p>
    <w:p w:rsidR="003C2975" w:rsidRPr="004E7D4C"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Respecto a las mujeres en estado de embarazo, se evidencia un alto grado de vulnerabilidad, ya que según el estudio médico denominado: Informe de la situación de salud de campamento de población desplazada Laguna Larga, Guatemala, elaborado por la organización mexicana, Salud y Desarrollo Comunitario A. C.,  se concluyó que: “</w:t>
      </w:r>
      <w:r w:rsidRPr="00185F67">
        <w:rPr>
          <w:rFonts w:ascii="Cambria" w:eastAsia="Cambria" w:hAnsi="Cambria" w:cs="Cambria"/>
          <w:i/>
          <w:color w:val="000000" w:themeColor="text1"/>
        </w:rPr>
        <w:t xml:space="preserve">En el trabajo realizado atendimos a 5 mujeres embarazadas que no llevan un adecuado control prenatal, además 4 de ellas presentan </w:t>
      </w:r>
      <w:r w:rsidRPr="00185F67">
        <w:rPr>
          <w:rFonts w:ascii="Cambria" w:eastAsia="Cambria" w:hAnsi="Cambria" w:cs="Cambria"/>
          <w:b/>
          <w:i/>
          <w:color w:val="000000" w:themeColor="text1"/>
        </w:rPr>
        <w:t>factores de embarazo de alto riesgo</w:t>
      </w:r>
      <w:r w:rsidRPr="00185F67">
        <w:rPr>
          <w:rFonts w:ascii="Cambria" w:eastAsia="Cambria" w:hAnsi="Cambria" w:cs="Cambria"/>
          <w:i/>
          <w:color w:val="000000" w:themeColor="text1"/>
        </w:rPr>
        <w:t xml:space="preserve">(primigestas, menores de edad y/o infecciones vaginales). Si consideramos que un 24% de los nacimiento se han registrado en el Campamento, en condiciones precarias, insalubres, sin acceso a servicios de salud y que se han registrado 5 abortos espóntaneos, podemos concluir que existe un </w:t>
      </w:r>
      <w:r w:rsidRPr="00185F67">
        <w:rPr>
          <w:rFonts w:ascii="Cambria" w:eastAsia="Cambria" w:hAnsi="Cambria" w:cs="Cambria"/>
          <w:b/>
          <w:i/>
          <w:color w:val="000000" w:themeColor="text1"/>
        </w:rPr>
        <w:t>alto riesgo de muerte materno-infanti</w:t>
      </w:r>
      <w:r w:rsidRPr="00185F67">
        <w:rPr>
          <w:rFonts w:ascii="Cambria" w:eastAsia="Cambria" w:hAnsi="Cambria" w:cs="Cambria"/>
          <w:i/>
          <w:color w:val="000000" w:themeColor="text1"/>
        </w:rPr>
        <w:t>l”</w:t>
      </w:r>
      <w:r w:rsidRPr="00185F67">
        <w:rPr>
          <w:rFonts w:ascii="Cambria" w:eastAsia="Cambria" w:hAnsi="Cambria" w:cs="Cambria"/>
          <w:color w:val="000000" w:themeColor="text1"/>
          <w:vertAlign w:val="superscript"/>
        </w:rPr>
        <w:footnoteReference w:id="15"/>
      </w:r>
      <w:r w:rsidRPr="00185F67">
        <w:rPr>
          <w:rFonts w:ascii="Cambria" w:eastAsia="Cambria" w:hAnsi="Cambria" w:cs="Cambria"/>
          <w:color w:val="000000" w:themeColor="text1"/>
        </w:rPr>
        <w:t>.</w:t>
      </w:r>
    </w:p>
    <w:p w:rsidR="006F15C0" w:rsidRPr="00185F67" w:rsidRDefault="006F15C0">
      <w:pPr>
        <w:pBdr>
          <w:top w:val="nil"/>
          <w:left w:val="nil"/>
          <w:bottom w:val="nil"/>
          <w:right w:val="nil"/>
          <w:between w:val="nil"/>
        </w:pBdr>
        <w:spacing w:after="0"/>
        <w:ind w:left="720"/>
        <w:jc w:val="both"/>
        <w:rPr>
          <w:rFonts w:ascii="Cambria" w:eastAsia="Cambria" w:hAnsi="Cambria" w:cs="Cambria"/>
          <w:color w:val="000000" w:themeColor="text1"/>
        </w:rPr>
      </w:pPr>
    </w:p>
    <w:p w:rsidR="006F15C0" w:rsidRPr="00185F67" w:rsidRDefault="005214F8">
      <w:pPr>
        <w:spacing w:after="0"/>
        <w:jc w:val="both"/>
        <w:rPr>
          <w:rFonts w:ascii="Cambria" w:eastAsia="Cambria" w:hAnsi="Cambria" w:cs="Cambria"/>
          <w:b/>
          <w:color w:val="000000" w:themeColor="text1"/>
        </w:rPr>
      </w:pPr>
      <w:r w:rsidRPr="00185F67">
        <w:rPr>
          <w:rFonts w:ascii="Cambria" w:eastAsia="Cambria" w:hAnsi="Cambria" w:cs="Cambria"/>
          <w:b/>
          <w:color w:val="000000" w:themeColor="text1"/>
        </w:rPr>
        <w:t>Sobre el derecho a la vida [Artículo 6, párrafo 1 del PIDCP]</w:t>
      </w:r>
    </w:p>
    <w:p w:rsidR="006F15C0" w:rsidRPr="00185F67" w:rsidRDefault="005214F8" w:rsidP="003C2975">
      <w:pPr>
        <w:numPr>
          <w:ilvl w:val="0"/>
          <w:numId w:val="4"/>
        </w:numPr>
        <w:spacing w:after="0"/>
        <w:jc w:val="both"/>
        <w:rPr>
          <w:rFonts w:ascii="Cambria" w:eastAsia="Cambria" w:hAnsi="Cambria" w:cs="Cambria"/>
          <w:color w:val="000000" w:themeColor="text1"/>
        </w:rPr>
      </w:pPr>
      <w:r w:rsidRPr="00185F67">
        <w:rPr>
          <w:rFonts w:ascii="Cambria" w:eastAsia="Cambria" w:hAnsi="Cambria" w:cs="Cambria"/>
          <w:color w:val="000000" w:themeColor="text1"/>
        </w:rPr>
        <w:t>Debido a que las personas desplazadas de la comunidad, están siendo obligadas a vivir en condiciones no compatibles con la dignidad del ser humano desde hace más de 3 años, lo que ha provocado una crisis humanitaria sin precedentes en el área y lamentablemente desde la ejecución del desalojo se ha registrado el fallecimiento de un total de 10 personas en el campamento, 2 de ellas  mayores de edad, 3 menores de edad y 5 abortos</w:t>
      </w:r>
      <w:r w:rsidRPr="00185F67">
        <w:rPr>
          <w:rFonts w:ascii="Cambria" w:eastAsia="Cambria" w:hAnsi="Cambria" w:cs="Cambria"/>
          <w:color w:val="000000" w:themeColor="text1"/>
          <w:vertAlign w:val="superscript"/>
        </w:rPr>
        <w:footnoteReference w:id="16"/>
      </w:r>
      <w:r w:rsidRPr="00185F67">
        <w:rPr>
          <w:rFonts w:ascii="Cambria" w:eastAsia="Cambria" w:hAnsi="Cambria" w:cs="Cambria"/>
          <w:color w:val="000000" w:themeColor="text1"/>
        </w:rPr>
        <w:t>.</w:t>
      </w:r>
    </w:p>
    <w:p w:rsidR="006F15C0" w:rsidRPr="00185F67" w:rsidRDefault="005214F8" w:rsidP="003C2975">
      <w:pPr>
        <w:numPr>
          <w:ilvl w:val="0"/>
          <w:numId w:val="4"/>
        </w:numPr>
        <w:spacing w:after="0"/>
        <w:jc w:val="both"/>
        <w:rPr>
          <w:rFonts w:ascii="Cambria" w:eastAsia="Cambria" w:hAnsi="Cambria" w:cs="Cambria"/>
          <w:color w:val="000000" w:themeColor="text1"/>
        </w:rPr>
      </w:pPr>
      <w:r w:rsidRPr="00185F67">
        <w:rPr>
          <w:rFonts w:ascii="Cambria" w:eastAsia="Cambria" w:hAnsi="Cambria" w:cs="Cambria"/>
          <w:color w:val="000000" w:themeColor="text1"/>
        </w:rPr>
        <w:t>El día jueves 26 de marzo del 2,020, fue registrada la muerte de un menor de edad, de trece meses, sexo masculino - según consta en certificado de defunción extendido por la Secretaría de Salud de México - NERI OSEAS GUTIERREZ PEREZ, por un cuadro de neumonía aguda. El menor fallecido fue enterrado en el cementerio de la Comunidad. Es un ejemplo, de uno de los fallecimientos que pudieron ser evitados y del cual el Estado de Guatemala fue advertido, si hubiese existido un acceso inmediato y adecuado a los servicios médicos, asimismo como los medicamentos necesarios.</w:t>
      </w:r>
    </w:p>
    <w:p w:rsidR="006F15C0" w:rsidRPr="00185F67" w:rsidRDefault="005214F8" w:rsidP="003C2975">
      <w:pPr>
        <w:numPr>
          <w:ilvl w:val="0"/>
          <w:numId w:val="4"/>
        </w:numP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Todo ello ha provocado en la comunidad multiplicidad de afectaciones que en cierta medida denigran a la persona humana, menoscaban su dignidad e integridad. El sentimiento de olvido y desprecio por parte del Estado, se incrementa cada día en las familias de la comunidad, cada vez  que la grave crisis humanitaria,  cobra la  vida  de un integrante de  la misma. </w:t>
      </w:r>
    </w:p>
    <w:p w:rsidR="006F15C0" w:rsidRPr="00185F67" w:rsidRDefault="006F15C0">
      <w:pPr>
        <w:pBdr>
          <w:top w:val="nil"/>
          <w:left w:val="nil"/>
          <w:bottom w:val="nil"/>
          <w:right w:val="nil"/>
          <w:between w:val="nil"/>
        </w:pBdr>
        <w:spacing w:after="0"/>
        <w:ind w:left="720"/>
        <w:jc w:val="both"/>
        <w:rPr>
          <w:rFonts w:ascii="Cambria" w:eastAsia="Cambria" w:hAnsi="Cambria" w:cs="Cambria"/>
          <w:color w:val="000000" w:themeColor="text1"/>
        </w:rPr>
      </w:pPr>
    </w:p>
    <w:p w:rsidR="006F15C0" w:rsidRPr="00185F67"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Asimismo, no se ha cumplido con conceder especial protección a las madres durante un período de tiempo razonable antes y después del parto. Tampoco se cumple con adoptar medidas de protección y asistencia especial en favor de los niños y adolescentes. Las mujeres en el hogar siempre han desempeñado un rol fundamental para el sostenimiento de la familia, pero aún más en el contexto del desalojo, debido a la mayor carga que representa ante la falta de trabajo y medios para adquirir alimentos, etc. Los derechos de las mujeres se ven altamente afectados, hay que considerar la atención especial que deben tener en situaciones de cuidado especial, desde su período menstrual hasta una enfermedad crónica severa. Si no hay agua potable, no tiene al alcance implementos higiénicos, tanto para ellas como para los bebés, de qué cuidados se pueden hablar.</w:t>
      </w:r>
    </w:p>
    <w:p w:rsidR="006F15C0"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Por todo lo anteriormente considerado, por este medio deseamos llamar la atención al CESCR, sobre la situación de extrema gravedad en la que están siendo sometidos a vivir los miembros de la comunidad Laguna Larga (mujeres, hombres y niñas, niños, adultos mayores) en condiciones inhumanas, padeciendo una crisis humanitaria de dimensiones mayúsculas, y que a pesar de haber acudido a las instancias legales nacionales e internacionales, el Estado</w:t>
      </w:r>
      <w:r w:rsidR="00CA4A49" w:rsidRPr="00185F67">
        <w:rPr>
          <w:rFonts w:ascii="Cambria" w:eastAsia="Cambria" w:hAnsi="Cambria" w:cs="Cambria"/>
          <w:color w:val="000000" w:themeColor="text1"/>
        </w:rPr>
        <w:t xml:space="preserve"> de</w:t>
      </w:r>
      <w:r w:rsidRPr="00185F67">
        <w:rPr>
          <w:rFonts w:ascii="Cambria" w:eastAsia="Cambria" w:hAnsi="Cambria" w:cs="Cambria"/>
          <w:color w:val="000000" w:themeColor="text1"/>
        </w:rPr>
        <w:t xml:space="preserve"> Guatemala sigue siendo indolente ante la situación, en incumplimiento de sus obligaciones internacionales, deshonrando su palabra de cumplir de buena fe </w:t>
      </w:r>
      <w:r w:rsidR="00CA4A49" w:rsidRPr="00185F67">
        <w:rPr>
          <w:rFonts w:ascii="Cambria" w:eastAsia="Cambria" w:hAnsi="Cambria" w:cs="Cambria"/>
          <w:color w:val="000000" w:themeColor="text1"/>
        </w:rPr>
        <w:t>P</w:t>
      </w:r>
      <w:r w:rsidRPr="00185F67">
        <w:rPr>
          <w:rFonts w:ascii="Cambria" w:eastAsia="Cambria" w:hAnsi="Cambria" w:cs="Cambria"/>
          <w:color w:val="000000" w:themeColor="text1"/>
        </w:rPr>
        <w:t xml:space="preserve">actos, </w:t>
      </w:r>
      <w:r w:rsidR="00CA4A49" w:rsidRPr="00185F67">
        <w:rPr>
          <w:rFonts w:ascii="Cambria" w:eastAsia="Cambria" w:hAnsi="Cambria" w:cs="Cambria"/>
          <w:color w:val="000000" w:themeColor="text1"/>
        </w:rPr>
        <w:t>C</w:t>
      </w:r>
      <w:r w:rsidRPr="00185F67">
        <w:rPr>
          <w:rFonts w:ascii="Cambria" w:eastAsia="Cambria" w:hAnsi="Cambria" w:cs="Cambria"/>
          <w:color w:val="000000" w:themeColor="text1"/>
        </w:rPr>
        <w:t xml:space="preserve">onvenciones </w:t>
      </w:r>
      <w:r w:rsidR="00CA4A49" w:rsidRPr="00185F67">
        <w:rPr>
          <w:rFonts w:ascii="Cambria" w:eastAsia="Cambria" w:hAnsi="Cambria" w:cs="Cambria"/>
          <w:color w:val="000000" w:themeColor="text1"/>
        </w:rPr>
        <w:t>y</w:t>
      </w:r>
      <w:r w:rsidRPr="00185F67">
        <w:rPr>
          <w:rFonts w:ascii="Cambria" w:eastAsia="Cambria" w:hAnsi="Cambria" w:cs="Cambria"/>
          <w:color w:val="000000" w:themeColor="text1"/>
        </w:rPr>
        <w:t xml:space="preserve"> </w:t>
      </w:r>
      <w:r w:rsidR="00CA4A49" w:rsidRPr="00185F67">
        <w:rPr>
          <w:rFonts w:ascii="Cambria" w:eastAsia="Cambria" w:hAnsi="Cambria" w:cs="Cambria"/>
          <w:color w:val="000000" w:themeColor="text1"/>
        </w:rPr>
        <w:t>T</w:t>
      </w:r>
      <w:r w:rsidRPr="00185F67">
        <w:rPr>
          <w:rFonts w:ascii="Cambria" w:eastAsia="Cambria" w:hAnsi="Cambria" w:cs="Cambria"/>
          <w:color w:val="000000" w:themeColor="text1"/>
        </w:rPr>
        <w:t xml:space="preserve">ratados en materia de </w:t>
      </w:r>
      <w:r w:rsidR="00CA4A49" w:rsidRPr="00185F67">
        <w:rPr>
          <w:rFonts w:ascii="Cambria" w:eastAsia="Cambria" w:hAnsi="Cambria" w:cs="Cambria"/>
          <w:color w:val="000000" w:themeColor="text1"/>
        </w:rPr>
        <w:t>D</w:t>
      </w:r>
      <w:r w:rsidRPr="00185F67">
        <w:rPr>
          <w:rFonts w:ascii="Cambria" w:eastAsia="Cambria" w:hAnsi="Cambria" w:cs="Cambria"/>
          <w:color w:val="000000" w:themeColor="text1"/>
        </w:rPr>
        <w:t xml:space="preserve">erechos </w:t>
      </w:r>
      <w:r w:rsidR="00CA4A49" w:rsidRPr="00185F67">
        <w:rPr>
          <w:rFonts w:ascii="Cambria" w:eastAsia="Cambria" w:hAnsi="Cambria" w:cs="Cambria"/>
          <w:color w:val="000000" w:themeColor="text1"/>
        </w:rPr>
        <w:t>H</w:t>
      </w:r>
      <w:r w:rsidRPr="00185F67">
        <w:rPr>
          <w:rFonts w:ascii="Cambria" w:eastAsia="Cambria" w:hAnsi="Cambria" w:cs="Cambria"/>
          <w:color w:val="000000" w:themeColor="text1"/>
        </w:rPr>
        <w:t>umanos</w:t>
      </w:r>
      <w:r w:rsidR="00CA4A49" w:rsidRPr="00185F67">
        <w:rPr>
          <w:rFonts w:ascii="Cambria" w:eastAsia="Cambria" w:hAnsi="Cambria" w:cs="Cambria"/>
          <w:color w:val="000000" w:themeColor="text1"/>
        </w:rPr>
        <w:t xml:space="preserve"> que ha suscrito</w:t>
      </w:r>
      <w:r w:rsidRPr="00185F67">
        <w:rPr>
          <w:rFonts w:ascii="Cambria" w:eastAsia="Cambria" w:hAnsi="Cambria" w:cs="Cambria"/>
          <w:color w:val="000000" w:themeColor="text1"/>
        </w:rPr>
        <w:t>. Este caso constituye un caso emblemático, que merece  la atención del Comité pues de este derivan muchos otros más de comunidades en peligro de ser desalojadas y que pone de manifiesto el deficiente cumplimiento del PIDESC.</w:t>
      </w:r>
    </w:p>
    <w:p w:rsidR="003C2975" w:rsidRPr="00185F67" w:rsidRDefault="003C2975" w:rsidP="003C2975">
      <w:pPr>
        <w:pBdr>
          <w:top w:val="nil"/>
          <w:left w:val="nil"/>
          <w:bottom w:val="nil"/>
          <w:right w:val="nil"/>
          <w:between w:val="nil"/>
        </w:pBdr>
        <w:spacing w:after="0"/>
        <w:ind w:left="720"/>
        <w:jc w:val="both"/>
        <w:rPr>
          <w:rFonts w:ascii="Cambria" w:eastAsia="Cambria" w:hAnsi="Cambria" w:cs="Cambria"/>
          <w:color w:val="000000" w:themeColor="text1"/>
        </w:rPr>
      </w:pPr>
    </w:p>
    <w:p w:rsidR="006F15C0" w:rsidRPr="00185F67" w:rsidRDefault="006F15C0">
      <w:pPr>
        <w:pBdr>
          <w:top w:val="nil"/>
          <w:left w:val="nil"/>
          <w:bottom w:val="nil"/>
          <w:right w:val="nil"/>
          <w:between w:val="nil"/>
        </w:pBdr>
        <w:spacing w:after="0"/>
        <w:ind w:left="720"/>
        <w:jc w:val="both"/>
        <w:rPr>
          <w:rFonts w:ascii="Cambria" w:eastAsia="Cambria" w:hAnsi="Cambria" w:cs="Cambria"/>
          <w:color w:val="000000" w:themeColor="text1"/>
        </w:rPr>
      </w:pPr>
    </w:p>
    <w:p w:rsidR="006F15C0" w:rsidRPr="00F24AEC" w:rsidRDefault="005214F8" w:rsidP="003C2975">
      <w:pPr>
        <w:numPr>
          <w:ilvl w:val="0"/>
          <w:numId w:val="4"/>
        </w:numPr>
        <w:pBdr>
          <w:top w:val="nil"/>
          <w:left w:val="nil"/>
          <w:bottom w:val="nil"/>
          <w:right w:val="nil"/>
          <w:between w:val="nil"/>
        </w:pBdr>
        <w:spacing w:after="0"/>
        <w:jc w:val="both"/>
        <w:rPr>
          <w:rFonts w:ascii="Cambria" w:eastAsia="Cambria" w:hAnsi="Cambria" w:cs="Cambria"/>
          <w:color w:val="000000" w:themeColor="text1"/>
          <w:u w:val="single"/>
        </w:rPr>
      </w:pPr>
      <w:r w:rsidRPr="00F24AEC">
        <w:rPr>
          <w:rFonts w:ascii="Cambria" w:eastAsia="Cambria" w:hAnsi="Cambria" w:cs="Cambria"/>
          <w:b/>
          <w:color w:val="000000" w:themeColor="text1"/>
          <w:u w:val="single"/>
        </w:rPr>
        <w:t>PETICIONES:</w:t>
      </w:r>
    </w:p>
    <w:p w:rsidR="006F15C0" w:rsidRPr="00185F67" w:rsidRDefault="006F15C0">
      <w:pPr>
        <w:pBdr>
          <w:top w:val="nil"/>
          <w:left w:val="nil"/>
          <w:bottom w:val="nil"/>
          <w:right w:val="nil"/>
          <w:between w:val="nil"/>
        </w:pBdr>
        <w:spacing w:after="0"/>
        <w:ind w:left="720"/>
        <w:jc w:val="both"/>
        <w:rPr>
          <w:rFonts w:ascii="Cambria" w:eastAsia="Cambria" w:hAnsi="Cambria" w:cs="Cambria"/>
          <w:color w:val="000000" w:themeColor="text1"/>
        </w:rPr>
      </w:pPr>
    </w:p>
    <w:p w:rsidR="00185F67" w:rsidRPr="00F24AEC" w:rsidRDefault="005214F8" w:rsidP="00F24AEC">
      <w:pPr>
        <w:numPr>
          <w:ilvl w:val="0"/>
          <w:numId w:val="1"/>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 xml:space="preserve">Que se tengan por presentados los insumos </w:t>
      </w:r>
      <w:r w:rsidR="00CA4A49" w:rsidRPr="00185F67">
        <w:rPr>
          <w:rFonts w:ascii="Cambria" w:eastAsia="Cambria" w:hAnsi="Cambria" w:cs="Cambria"/>
          <w:color w:val="000000" w:themeColor="text1"/>
        </w:rPr>
        <w:t xml:space="preserve">planteados </w:t>
      </w:r>
      <w:r w:rsidRPr="00185F67">
        <w:rPr>
          <w:rFonts w:ascii="Cambria" w:eastAsia="Cambria" w:hAnsi="Cambria" w:cs="Cambria"/>
          <w:color w:val="000000" w:themeColor="text1"/>
        </w:rPr>
        <w:t xml:space="preserve">por el Bufete Jurídico de Derechos Humanos respecto a la implementación del </w:t>
      </w:r>
      <w:r w:rsidRPr="00185F67">
        <w:rPr>
          <w:rFonts w:ascii="Cambria" w:eastAsia="Cambria" w:hAnsi="Cambria" w:cs="Cambria"/>
          <w:b/>
          <w:bCs/>
          <w:color w:val="000000" w:themeColor="text1"/>
        </w:rPr>
        <w:t>PACTO INTERNACIONAL DE DERECHOS ECONÓMICOS, SOCIALES Y CULTURALES (PIDE</w:t>
      </w:r>
      <w:r w:rsidR="00185F67" w:rsidRPr="00185F67">
        <w:rPr>
          <w:rFonts w:ascii="Cambria" w:eastAsia="Cambria" w:hAnsi="Cambria" w:cs="Cambria"/>
          <w:b/>
          <w:bCs/>
          <w:color w:val="000000" w:themeColor="text1"/>
        </w:rPr>
        <w:t>SC</w:t>
      </w:r>
      <w:r w:rsidRPr="00185F67">
        <w:rPr>
          <w:rFonts w:ascii="Cambria" w:eastAsia="Cambria" w:hAnsi="Cambria" w:cs="Cambria"/>
          <w:b/>
          <w:bCs/>
          <w:color w:val="000000" w:themeColor="text1"/>
        </w:rPr>
        <w:t xml:space="preserve">) </w:t>
      </w:r>
      <w:r w:rsidRPr="00185F67">
        <w:rPr>
          <w:rFonts w:ascii="Cambria" w:eastAsia="Cambria" w:hAnsi="Cambria" w:cs="Cambria"/>
          <w:color w:val="000000" w:themeColor="text1"/>
        </w:rPr>
        <w:t xml:space="preserve">de parte del </w:t>
      </w:r>
      <w:r w:rsidRPr="00185F67">
        <w:rPr>
          <w:rFonts w:ascii="Cambria" w:eastAsia="Cambria" w:hAnsi="Cambria" w:cs="Cambria"/>
          <w:b/>
          <w:bCs/>
          <w:color w:val="000000" w:themeColor="text1"/>
        </w:rPr>
        <w:t>ESTADO DE GUATEMALA.</w:t>
      </w:r>
    </w:p>
    <w:p w:rsidR="006F15C0" w:rsidRPr="00F24AEC" w:rsidRDefault="00F24AEC" w:rsidP="00F24AEC">
      <w:pPr>
        <w:numPr>
          <w:ilvl w:val="0"/>
          <w:numId w:val="1"/>
        </w:numPr>
        <w:pBdr>
          <w:top w:val="nil"/>
          <w:left w:val="nil"/>
          <w:bottom w:val="nil"/>
          <w:right w:val="nil"/>
          <w:between w:val="nil"/>
        </w:pBdr>
        <w:spacing w:after="0"/>
        <w:jc w:val="both"/>
        <w:rPr>
          <w:rFonts w:ascii="Cambria" w:eastAsia="Cambria" w:hAnsi="Cambria" w:cs="Cambria"/>
          <w:color w:val="000000" w:themeColor="text1"/>
        </w:rPr>
      </w:pPr>
      <w:r>
        <w:rPr>
          <w:rFonts w:ascii="Cambria" w:eastAsia="Cambria" w:hAnsi="Cambria" w:cs="Cambria"/>
          <w:color w:val="000000" w:themeColor="text1"/>
        </w:rPr>
        <w:t xml:space="preserve">Que el </w:t>
      </w:r>
      <w:r w:rsidR="00185F67">
        <w:rPr>
          <w:rFonts w:ascii="Cambria" w:eastAsia="Cambria" w:hAnsi="Cambria" w:cs="Cambria"/>
          <w:color w:val="000000" w:themeColor="text1"/>
        </w:rPr>
        <w:t>CESCR</w:t>
      </w:r>
      <w:r>
        <w:rPr>
          <w:rFonts w:ascii="Cambria" w:eastAsia="Cambria" w:hAnsi="Cambria" w:cs="Cambria"/>
          <w:color w:val="000000" w:themeColor="text1"/>
        </w:rPr>
        <w:t>, por constituir éste un primer acercamiento al Comité,</w:t>
      </w:r>
      <w:r w:rsidR="00185F67">
        <w:rPr>
          <w:rFonts w:ascii="Cambria" w:eastAsia="Cambria" w:hAnsi="Cambria" w:cs="Cambria"/>
          <w:color w:val="000000" w:themeColor="text1"/>
        </w:rPr>
        <w:t xml:space="preserve"> mantenga bajo reserva la identidad de los comunitarios cuyo testimonio se incluye en la presente comunicación. </w:t>
      </w:r>
    </w:p>
    <w:p w:rsidR="00185F67" w:rsidRPr="00F24AEC" w:rsidRDefault="00185F67" w:rsidP="00F24AEC">
      <w:pPr>
        <w:numPr>
          <w:ilvl w:val="0"/>
          <w:numId w:val="1"/>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rPr>
        <w:t>Que el CESCR solicite al Estado de Guatemala información respecto a</w:t>
      </w:r>
      <w:r>
        <w:rPr>
          <w:rFonts w:ascii="Cambria" w:eastAsia="Cambria" w:hAnsi="Cambria" w:cs="Cambria"/>
          <w:color w:val="000000" w:themeColor="text1"/>
        </w:rPr>
        <w:t xml:space="preserve"> </w:t>
      </w:r>
      <w:r w:rsidRPr="00185F67">
        <w:rPr>
          <w:rFonts w:ascii="Cambria" w:eastAsia="Cambria" w:hAnsi="Cambria" w:cs="Cambria"/>
          <w:color w:val="000000" w:themeColor="text1"/>
        </w:rPr>
        <w:t>las medidas que ha adoptado para cumplir con sus obligaciones en materia de derechos económicos, sociales y culturales (DESC) en relación a la Comunidad Laguna Larga</w:t>
      </w:r>
      <w:r>
        <w:rPr>
          <w:rFonts w:ascii="Cambria" w:eastAsia="Cambria" w:hAnsi="Cambria" w:cs="Cambria"/>
          <w:color w:val="000000" w:themeColor="text1"/>
        </w:rPr>
        <w:t xml:space="preserve">, en </w:t>
      </w:r>
      <w:r w:rsidRPr="00185F67">
        <w:rPr>
          <w:rFonts w:ascii="Cambria" w:eastAsia="Cambria" w:hAnsi="Cambria" w:cs="Cambria"/>
          <w:color w:val="000000" w:themeColor="text1"/>
        </w:rPr>
        <w:t>cumplimiento de las medidas cautelares otorgadas por la Comisión Interamericana de Derechos Humanos a favor de la referida comunidad.</w:t>
      </w:r>
    </w:p>
    <w:p w:rsidR="006F15C0" w:rsidRPr="00185F67" w:rsidRDefault="005214F8">
      <w:pPr>
        <w:numPr>
          <w:ilvl w:val="0"/>
          <w:numId w:val="1"/>
        </w:numPr>
        <w:pBdr>
          <w:top w:val="nil"/>
          <w:left w:val="nil"/>
          <w:bottom w:val="nil"/>
          <w:right w:val="nil"/>
          <w:between w:val="nil"/>
        </w:pBdr>
        <w:spacing w:after="0"/>
        <w:jc w:val="both"/>
        <w:rPr>
          <w:rFonts w:ascii="Cambria" w:eastAsia="Cambria" w:hAnsi="Cambria" w:cs="Cambria"/>
          <w:color w:val="000000" w:themeColor="text1"/>
        </w:rPr>
      </w:pPr>
      <w:r w:rsidRPr="00185F67">
        <w:rPr>
          <w:rFonts w:ascii="Cambria" w:eastAsia="Cambria" w:hAnsi="Cambria" w:cs="Cambria"/>
          <w:color w:val="000000" w:themeColor="text1"/>
          <w:highlight w:val="white"/>
        </w:rPr>
        <w:t xml:space="preserve">Que en virtud de las violaciones descritas en el caso de la Comunidad desplazada y desalojada Laguna Larga, conforme el artículo 23 del PIDESC, el CESCR pueda recomendar al Estado de Guatemala </w:t>
      </w:r>
      <w:r w:rsidRPr="00185F67">
        <w:rPr>
          <w:rFonts w:ascii="Cambria" w:eastAsia="Cambria" w:hAnsi="Cambria" w:cs="Cambria"/>
          <w:color w:val="000000" w:themeColor="text1"/>
        </w:rPr>
        <w:t>la adopción de medidas encaminadas a resolver la crisis humanitaria que padecen los pobladores de la comunidad, así como el otorgamiento del retorno provisional a sus tierras por razones humanitarias, en tanto se accede a una solución definitiva del asunto o un reasentamiento en condiciones dignas para la Comunidad.</w:t>
      </w:r>
    </w:p>
    <w:p w:rsidR="006F15C0" w:rsidRPr="00185F67" w:rsidRDefault="006F15C0">
      <w:pPr>
        <w:pBdr>
          <w:top w:val="nil"/>
          <w:left w:val="nil"/>
          <w:bottom w:val="nil"/>
          <w:right w:val="nil"/>
          <w:between w:val="nil"/>
        </w:pBdr>
        <w:spacing w:after="0"/>
        <w:ind w:left="720"/>
        <w:jc w:val="both"/>
        <w:rPr>
          <w:rFonts w:ascii="Cambria" w:eastAsia="Cambria" w:hAnsi="Cambria" w:cs="Cambria"/>
          <w:color w:val="000000" w:themeColor="text1"/>
        </w:rPr>
      </w:pPr>
    </w:p>
    <w:p w:rsidR="006F15C0" w:rsidRPr="00185F67" w:rsidRDefault="00F24AEC">
      <w:pPr>
        <w:spacing w:after="0"/>
        <w:jc w:val="both"/>
        <w:rPr>
          <w:rFonts w:ascii="Cambria" w:eastAsia="Cambria" w:hAnsi="Cambria" w:cs="Cambria"/>
          <w:color w:val="000000" w:themeColor="text1"/>
        </w:rPr>
      </w:pPr>
      <w:r w:rsidRPr="00185F67">
        <w:rPr>
          <w:noProof/>
          <w:color w:val="000000" w:themeColor="text1"/>
          <w:lang w:val="en-GB" w:eastAsia="en-GB"/>
        </w:rPr>
        <w:drawing>
          <wp:anchor distT="0" distB="0" distL="0" distR="0" simplePos="0" relativeHeight="251658240" behindDoc="0" locked="0" layoutInCell="1" hidden="0" allowOverlap="1">
            <wp:simplePos x="0" y="0"/>
            <wp:positionH relativeFrom="column">
              <wp:posOffset>1847455</wp:posOffset>
            </wp:positionH>
            <wp:positionV relativeFrom="paragraph">
              <wp:posOffset>112024</wp:posOffset>
            </wp:positionV>
            <wp:extent cx="2111746" cy="877824"/>
            <wp:effectExtent l="0" t="0" r="0" b="0"/>
            <wp:wrapSquare wrapText="bothSides" distT="0" distB="0" distL="0" distR="0"/>
            <wp:docPr id="8" name="image1.png" descr="https://lh5.googleusercontent.com/OQUXiLfx4HlEEDXHaj0wV4LD3CsbHgtD3IkC2j3tBUen_eqBwezgXD7CL3iD3EhdZ3O942q_zi1ghelluqq0MSKcmb_PpNq9mxDgOTR9YtDOajptWdQsZTLBDfvwtZSbAtdv44lg"/>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OQUXiLfx4HlEEDXHaj0wV4LD3CsbHgtD3IkC2j3tBUen_eqBwezgXD7CL3iD3EhdZ3O942q_zi1ghelluqq0MSKcmb_PpNq9mxDgOTR9YtDOajptWdQsZTLBDfvwtZSbAtdv44lg"/>
                    <pic:cNvPicPr preferRelativeResize="0"/>
                  </pic:nvPicPr>
                  <pic:blipFill>
                    <a:blip r:embed="rId9"/>
                    <a:srcRect/>
                    <a:stretch>
                      <a:fillRect/>
                    </a:stretch>
                  </pic:blipFill>
                  <pic:spPr>
                    <a:xfrm>
                      <a:off x="0" y="0"/>
                      <a:ext cx="2111746" cy="877824"/>
                    </a:xfrm>
                    <a:prstGeom prst="rect">
                      <a:avLst/>
                    </a:prstGeom>
                    <a:ln/>
                  </pic:spPr>
                </pic:pic>
              </a:graphicData>
            </a:graphic>
          </wp:anchor>
        </w:drawing>
      </w:r>
    </w:p>
    <w:p w:rsidR="006F15C0" w:rsidRPr="00185F67" w:rsidRDefault="006F15C0">
      <w:pPr>
        <w:spacing w:after="0"/>
        <w:jc w:val="both"/>
        <w:rPr>
          <w:rFonts w:ascii="Cambria" w:eastAsia="Cambria" w:hAnsi="Cambria" w:cs="Cambria"/>
          <w:color w:val="000000" w:themeColor="text1"/>
        </w:rPr>
      </w:pPr>
    </w:p>
    <w:p w:rsidR="006F15C0" w:rsidRPr="00185F67" w:rsidRDefault="006F15C0">
      <w:pPr>
        <w:spacing w:after="0"/>
        <w:jc w:val="both"/>
        <w:rPr>
          <w:rFonts w:ascii="Cambria" w:eastAsia="Cambria" w:hAnsi="Cambria" w:cs="Cambria"/>
          <w:color w:val="000000" w:themeColor="text1"/>
        </w:rPr>
      </w:pPr>
    </w:p>
    <w:p w:rsidR="006F15C0" w:rsidRPr="00185F67" w:rsidRDefault="006F15C0">
      <w:pPr>
        <w:spacing w:after="0"/>
        <w:jc w:val="both"/>
        <w:rPr>
          <w:rFonts w:ascii="Cambria" w:eastAsia="Cambria" w:hAnsi="Cambria" w:cs="Cambria"/>
          <w:color w:val="000000" w:themeColor="text1"/>
        </w:rPr>
      </w:pPr>
    </w:p>
    <w:p w:rsidR="006F15C0" w:rsidRPr="00185F67" w:rsidRDefault="006F15C0">
      <w:pPr>
        <w:spacing w:after="0"/>
        <w:jc w:val="both"/>
        <w:rPr>
          <w:rFonts w:ascii="Cambria" w:eastAsia="Cambria" w:hAnsi="Cambria" w:cs="Cambria"/>
          <w:b/>
          <w:color w:val="000000" w:themeColor="text1"/>
        </w:rPr>
      </w:pPr>
    </w:p>
    <w:p w:rsidR="00F24AEC" w:rsidRDefault="00F24AEC">
      <w:pPr>
        <w:spacing w:after="0"/>
        <w:jc w:val="center"/>
        <w:rPr>
          <w:rFonts w:ascii="Cambria" w:eastAsia="Cambria" w:hAnsi="Cambria" w:cs="Cambria"/>
          <w:b/>
          <w:color w:val="000000" w:themeColor="text1"/>
        </w:rPr>
      </w:pPr>
    </w:p>
    <w:p w:rsidR="006F15C0" w:rsidRPr="00185F67" w:rsidRDefault="005214F8">
      <w:pPr>
        <w:spacing w:after="0"/>
        <w:jc w:val="center"/>
        <w:rPr>
          <w:rFonts w:ascii="Cambria" w:eastAsia="Cambria" w:hAnsi="Cambria" w:cs="Cambria"/>
          <w:b/>
          <w:color w:val="000000" w:themeColor="text1"/>
        </w:rPr>
      </w:pPr>
      <w:r w:rsidRPr="00185F67">
        <w:rPr>
          <w:rFonts w:ascii="Cambria" w:eastAsia="Cambria" w:hAnsi="Cambria" w:cs="Cambria"/>
          <w:b/>
          <w:color w:val="000000" w:themeColor="text1"/>
        </w:rPr>
        <w:t>Edgar Fernando Pérez Archila</w:t>
      </w:r>
    </w:p>
    <w:p w:rsidR="006F15C0" w:rsidRPr="00185F67" w:rsidRDefault="005214F8">
      <w:pPr>
        <w:spacing w:after="0"/>
        <w:jc w:val="center"/>
        <w:rPr>
          <w:rFonts w:ascii="Cambria" w:eastAsia="Cambria" w:hAnsi="Cambria" w:cs="Cambria"/>
          <w:b/>
          <w:color w:val="000000" w:themeColor="text1"/>
        </w:rPr>
      </w:pPr>
      <w:r w:rsidRPr="00185F67">
        <w:rPr>
          <w:rFonts w:ascii="Cambria" w:eastAsia="Cambria" w:hAnsi="Cambria" w:cs="Cambria"/>
          <w:b/>
          <w:color w:val="000000" w:themeColor="text1"/>
        </w:rPr>
        <w:t>Director Ejecutivo</w:t>
      </w:r>
    </w:p>
    <w:p w:rsidR="006F15C0" w:rsidRPr="00185F67" w:rsidRDefault="005214F8">
      <w:pPr>
        <w:spacing w:after="0"/>
        <w:jc w:val="center"/>
        <w:rPr>
          <w:rFonts w:ascii="Cambria" w:eastAsia="Cambria" w:hAnsi="Cambria" w:cs="Cambria"/>
          <w:color w:val="000000" w:themeColor="text1"/>
        </w:rPr>
      </w:pPr>
      <w:r w:rsidRPr="00185F67">
        <w:rPr>
          <w:rFonts w:ascii="Cambria" w:eastAsia="Cambria" w:hAnsi="Cambria" w:cs="Cambria"/>
          <w:b/>
          <w:color w:val="000000" w:themeColor="text1"/>
        </w:rPr>
        <w:t>Asociación Bufete Jurídico de Derechos Humanos</w:t>
      </w:r>
    </w:p>
    <w:sectPr w:rsidR="006F15C0" w:rsidRPr="00185F67">
      <w:headerReference w:type="default" r:id="rId10"/>
      <w:pgSz w:w="11906" w:h="16838"/>
      <w:pgMar w:top="2096"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AB1" w:rsidRDefault="00824AB1">
      <w:pPr>
        <w:spacing w:after="0" w:line="240" w:lineRule="auto"/>
      </w:pPr>
      <w:r>
        <w:separator/>
      </w:r>
    </w:p>
  </w:endnote>
  <w:endnote w:type="continuationSeparator" w:id="0">
    <w:p w:rsidR="00824AB1" w:rsidRDefault="00824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AB1" w:rsidRDefault="00824AB1">
      <w:pPr>
        <w:spacing w:after="0" w:line="240" w:lineRule="auto"/>
      </w:pPr>
      <w:r>
        <w:separator/>
      </w:r>
    </w:p>
  </w:footnote>
  <w:footnote w:type="continuationSeparator" w:id="0">
    <w:p w:rsidR="00824AB1" w:rsidRDefault="00824AB1">
      <w:pPr>
        <w:spacing w:after="0" w:line="240" w:lineRule="auto"/>
      </w:pPr>
      <w:r>
        <w:continuationSeparator/>
      </w:r>
    </w:p>
  </w:footnote>
  <w:footnote w:id="1">
    <w:p w:rsidR="006F15C0" w:rsidRPr="00FB1D67" w:rsidRDefault="005214F8">
      <w:pPr>
        <w:spacing w:after="0" w:line="240" w:lineRule="auto"/>
        <w:jc w:val="both"/>
        <w:rPr>
          <w:rFonts w:ascii="Cambria" w:hAnsi="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Diario de Centro América. </w:t>
      </w:r>
      <w:r w:rsidRPr="00FB1D67">
        <w:rPr>
          <w:rFonts w:ascii="Cambria" w:hAnsi="Cambria"/>
          <w:b/>
          <w:sz w:val="20"/>
          <w:szCs w:val="20"/>
        </w:rPr>
        <w:t xml:space="preserve">Atenderán a comunidades de áreas protegidas en Petén. </w:t>
      </w:r>
      <w:r w:rsidRPr="00FB1D67">
        <w:rPr>
          <w:rFonts w:ascii="Cambria" w:hAnsi="Cambria"/>
          <w:sz w:val="20"/>
          <w:szCs w:val="20"/>
        </w:rPr>
        <w:t xml:space="preserve"> Disponible en: </w:t>
      </w:r>
      <w:hyperlink r:id="rId1">
        <w:r w:rsidRPr="00FB1D67">
          <w:rPr>
            <w:rFonts w:ascii="Cambria" w:hAnsi="Cambria"/>
            <w:color w:val="1155CC"/>
            <w:sz w:val="20"/>
            <w:szCs w:val="20"/>
            <w:u w:val="single"/>
          </w:rPr>
          <w:t>https://dca.gob.gt/noticias-guatemala-diario-centro-america/atenderan-a-comunidades-de-areas-protegidas-en-peten/</w:t>
        </w:r>
      </w:hyperlink>
      <w:r w:rsidRPr="00FB1D67">
        <w:rPr>
          <w:rFonts w:ascii="Cambria" w:hAnsi="Cambria"/>
          <w:sz w:val="20"/>
          <w:szCs w:val="20"/>
        </w:rPr>
        <w:t>.</w:t>
      </w:r>
    </w:p>
  </w:footnote>
  <w:footnote w:id="2">
    <w:p w:rsidR="006F15C0" w:rsidRPr="00FB1D67" w:rsidRDefault="005214F8">
      <w:pPr>
        <w:spacing w:after="0" w:line="240" w:lineRule="auto"/>
        <w:jc w:val="both"/>
        <w:rPr>
          <w:rFonts w:ascii="Cambria" w:eastAsia="Cambria" w:hAnsi="Cambria" w:cs="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w:t>
      </w:r>
      <w:r w:rsidRPr="00FB1D67">
        <w:rPr>
          <w:rFonts w:ascii="Cambria" w:eastAsia="Cambria" w:hAnsi="Cambria" w:cs="Cambria"/>
          <w:sz w:val="20"/>
          <w:szCs w:val="20"/>
        </w:rPr>
        <w:t xml:space="preserve">OACNUDH. Informe del Alto Comisionado de las Naciones Unidas para los Derechos Humanos sobre las actividades de su Oficina en Guatemala 2018.  Párrafo 68. Disponible en: </w:t>
      </w:r>
      <w:hyperlink r:id="rId2">
        <w:r w:rsidRPr="00FB1D67">
          <w:rPr>
            <w:rFonts w:ascii="Cambria" w:eastAsia="Cambria" w:hAnsi="Cambria" w:cs="Cambria"/>
            <w:color w:val="1155CC"/>
            <w:sz w:val="20"/>
            <w:szCs w:val="20"/>
            <w:u w:val="single"/>
          </w:rPr>
          <w:t>https://www.oacnudh.org.gt/images/CONTENIDOS/ARTICULOS/INFORMESANTERIORES/2018.pdf</w:t>
        </w:r>
      </w:hyperlink>
      <w:r w:rsidRPr="00FB1D67">
        <w:rPr>
          <w:rFonts w:ascii="Cambria" w:eastAsia="Cambria" w:hAnsi="Cambria" w:cs="Cambria"/>
          <w:sz w:val="20"/>
          <w:szCs w:val="20"/>
        </w:rPr>
        <w:t>.</w:t>
      </w:r>
    </w:p>
  </w:footnote>
  <w:footnote w:id="3">
    <w:p w:rsidR="006F15C0" w:rsidRPr="00FB1D67" w:rsidRDefault="005214F8">
      <w:pPr>
        <w:spacing w:after="0" w:line="240" w:lineRule="auto"/>
        <w:rPr>
          <w:rFonts w:ascii="Cambria" w:eastAsia="Cambria" w:hAnsi="Cambria" w:cs="Cambria"/>
          <w:sz w:val="20"/>
          <w:szCs w:val="20"/>
        </w:rPr>
      </w:pPr>
      <w:r w:rsidRPr="00FB1D67">
        <w:rPr>
          <w:rFonts w:ascii="Cambria" w:hAnsi="Cambria"/>
          <w:sz w:val="20"/>
          <w:szCs w:val="20"/>
          <w:vertAlign w:val="superscript"/>
        </w:rPr>
        <w:footnoteRef/>
      </w:r>
      <w:r w:rsidRPr="00FB1D67">
        <w:rPr>
          <w:rFonts w:ascii="Cambria" w:eastAsia="Cambria" w:hAnsi="Cambria" w:cs="Cambria"/>
          <w:sz w:val="20"/>
          <w:szCs w:val="20"/>
        </w:rPr>
        <w:t xml:space="preserve"> Información de Censo comunitario, julio 2019.  </w:t>
      </w:r>
    </w:p>
  </w:footnote>
  <w:footnote w:id="4">
    <w:p w:rsidR="006F15C0" w:rsidRPr="00945F68" w:rsidRDefault="005214F8">
      <w:pPr>
        <w:spacing w:after="0" w:line="240" w:lineRule="auto"/>
        <w:rPr>
          <w:rFonts w:ascii="Cambria" w:eastAsia="Cambria" w:hAnsi="Cambria" w:cs="Cambria"/>
          <w:sz w:val="20"/>
          <w:szCs w:val="20"/>
        </w:rPr>
      </w:pPr>
      <w:r w:rsidRPr="00FB1D67">
        <w:rPr>
          <w:rFonts w:ascii="Cambria" w:hAnsi="Cambria"/>
          <w:sz w:val="20"/>
          <w:szCs w:val="20"/>
          <w:vertAlign w:val="superscript"/>
        </w:rPr>
        <w:footnoteRef/>
      </w:r>
      <w:r w:rsidRPr="00FB1D67">
        <w:rPr>
          <w:rFonts w:ascii="Cambria" w:eastAsia="Cambria" w:hAnsi="Cambria" w:cs="Cambria"/>
          <w:sz w:val="20"/>
          <w:szCs w:val="20"/>
        </w:rPr>
        <w:t xml:space="preserve"> CEGSS. </w:t>
      </w:r>
      <w:r w:rsidRPr="00FB1D67">
        <w:rPr>
          <w:rFonts w:ascii="Cambria" w:eastAsia="Cambria" w:hAnsi="Cambria" w:cs="Cambria"/>
          <w:i/>
          <w:sz w:val="20"/>
          <w:szCs w:val="20"/>
        </w:rPr>
        <w:t>Análisis sobre los efectos del desplazamiento forzoso de las familias de la comunidad Laguna Larga: a dos años de su desplazamiento forzado</w:t>
      </w:r>
      <w:r w:rsidRPr="00FB1D67">
        <w:rPr>
          <w:rFonts w:ascii="Cambria" w:eastAsia="Cambria" w:hAnsi="Cambria" w:cs="Cambria"/>
          <w:sz w:val="20"/>
          <w:szCs w:val="20"/>
        </w:rPr>
        <w:t xml:space="preserve">. 2019. </w:t>
      </w:r>
    </w:p>
  </w:footnote>
  <w:footnote w:id="5">
    <w:p w:rsidR="006F15C0" w:rsidRPr="00FB1D67" w:rsidRDefault="005214F8">
      <w:pPr>
        <w:spacing w:after="0" w:line="240" w:lineRule="auto"/>
        <w:jc w:val="both"/>
        <w:rPr>
          <w:rFonts w:ascii="Cambria" w:eastAsia="Cambria" w:hAnsi="Cambria" w:cs="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w:t>
      </w:r>
      <w:r w:rsidRPr="00FB1D67">
        <w:rPr>
          <w:rFonts w:ascii="Cambria" w:eastAsia="Cambria" w:hAnsi="Cambria" w:cs="Cambria"/>
          <w:sz w:val="20"/>
          <w:szCs w:val="20"/>
        </w:rPr>
        <w:t xml:space="preserve"> Comité de los Derechos Sociales, Económicos y Culturales. Observación general N° 7 El derecho a una vivienda adecuada (párrafo 1 del artículo 11 del Pacto): los desalojos forzosos. 16° período de sesiones (1997), párrafo 15.</w:t>
      </w:r>
    </w:p>
  </w:footnote>
  <w:footnote w:id="6">
    <w:p w:rsidR="006F15C0" w:rsidRPr="00FB1D67" w:rsidRDefault="005214F8">
      <w:pPr>
        <w:spacing w:after="0" w:line="240" w:lineRule="auto"/>
        <w:jc w:val="both"/>
        <w:rPr>
          <w:rFonts w:ascii="Cambria" w:eastAsia="Cambria" w:hAnsi="Cambria" w:cs="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w:t>
      </w:r>
      <w:r w:rsidRPr="00FB1D67">
        <w:rPr>
          <w:rFonts w:ascii="Cambria" w:eastAsia="Cambria" w:hAnsi="Cambria" w:cs="Cambria"/>
          <w:sz w:val="20"/>
          <w:szCs w:val="20"/>
        </w:rPr>
        <w:t xml:space="preserve">Plaza Pública. Laguna larga: un desalojo en nombre de la naturaleza. 17 de julio de 2017. Disponible en: </w:t>
      </w:r>
      <w:r w:rsidRPr="00FB1D67">
        <w:rPr>
          <w:rFonts w:ascii="Cambria" w:eastAsia="Cambria" w:hAnsi="Cambria" w:cs="Cambria"/>
          <w:color w:val="0000FF"/>
          <w:sz w:val="20"/>
          <w:szCs w:val="20"/>
        </w:rPr>
        <w:t>https://www.plazapublica.com.gt/content/laguna-larga-un-desalojo-en-nombre-de-la-naturaleza</w:t>
      </w:r>
    </w:p>
  </w:footnote>
  <w:footnote w:id="7">
    <w:p w:rsidR="006F15C0" w:rsidRPr="00FB1D67" w:rsidRDefault="005214F8">
      <w:pPr>
        <w:spacing w:after="0" w:line="240" w:lineRule="auto"/>
        <w:jc w:val="both"/>
        <w:rPr>
          <w:rFonts w:ascii="Cambria" w:hAnsi="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OACNUDH.  Informe del Alto Comisionado de las Naciones Unidas para los Derechos Humanos sobre las actividades de su Oficina en Guatemala 2017.  Párrafo 57. Disponible en:  </w:t>
      </w:r>
      <w:hyperlink r:id="rId3">
        <w:r w:rsidRPr="00FB1D67">
          <w:rPr>
            <w:rFonts w:ascii="Cambria" w:hAnsi="Cambria"/>
            <w:color w:val="1155CC"/>
            <w:sz w:val="20"/>
            <w:szCs w:val="20"/>
            <w:u w:val="single"/>
          </w:rPr>
          <w:t>https://www.oacnudh.org.gt/images/CONTENIDOS/ARTICULOS/INFORMESANTERIORES/2017.pdf</w:t>
        </w:r>
      </w:hyperlink>
    </w:p>
  </w:footnote>
  <w:footnote w:id="8">
    <w:p w:rsidR="003C2975" w:rsidRPr="00FB1D67" w:rsidRDefault="003C2975" w:rsidP="00343A8C">
      <w:pPr>
        <w:pStyle w:val="FootnoteText"/>
        <w:jc w:val="both"/>
        <w:rPr>
          <w:rFonts w:ascii="Cambria" w:hAnsi="Cambria"/>
          <w:lang w:val="es-ES"/>
        </w:rPr>
      </w:pPr>
      <w:r w:rsidRPr="00FB1D67">
        <w:rPr>
          <w:rStyle w:val="FootnoteReference"/>
          <w:rFonts w:ascii="Cambria" w:hAnsi="Cambria"/>
        </w:rPr>
        <w:footnoteRef/>
      </w:r>
      <w:r w:rsidRPr="00FB1D67">
        <w:rPr>
          <w:rFonts w:ascii="Cambria" w:hAnsi="Cambria"/>
        </w:rPr>
        <w:t xml:space="preserve"> </w:t>
      </w:r>
      <w:r w:rsidR="00FB1D67" w:rsidRPr="00FB1D67">
        <w:rPr>
          <w:rFonts w:ascii="Cambria" w:hAnsi="Cambria"/>
          <w:lang w:val="es-ES"/>
        </w:rPr>
        <w:t>Con fecha 08 de septiembre</w:t>
      </w:r>
      <w:r w:rsidR="00343A8C">
        <w:rPr>
          <w:rFonts w:ascii="Cambria" w:hAnsi="Cambria"/>
          <w:lang w:val="es-ES"/>
        </w:rPr>
        <w:t xml:space="preserve"> de 2017,</w:t>
      </w:r>
      <w:r w:rsidR="00FB1D67" w:rsidRPr="00FB1D67">
        <w:rPr>
          <w:rFonts w:ascii="Cambria" w:hAnsi="Cambria"/>
          <w:lang w:val="es-ES"/>
        </w:rPr>
        <w:t xml:space="preserve"> la CIDH otorgó medidas cautelares a favor de la Comunidad Laguna Larga</w:t>
      </w:r>
      <w:r w:rsidR="00343A8C">
        <w:rPr>
          <w:rFonts w:ascii="Cambria" w:hAnsi="Cambria"/>
          <w:lang w:val="es-ES"/>
        </w:rPr>
        <w:t xml:space="preserve">. Ver resolución 36/2017 (MC 412-17). Disponible en: </w:t>
      </w:r>
      <w:hyperlink r:id="rId4" w:history="1">
        <w:r w:rsidR="00343A8C" w:rsidRPr="00ED61CD">
          <w:rPr>
            <w:rStyle w:val="Hyperlink"/>
            <w:rFonts w:ascii="Cambria" w:hAnsi="Cambria"/>
            <w:lang w:val="es-ES"/>
          </w:rPr>
          <w:t>https://www.oas.org/es/cidh/decisiones/pdf/2017/36-17MC412-17GU.pdf</w:t>
        </w:r>
      </w:hyperlink>
      <w:r w:rsidR="00343A8C">
        <w:rPr>
          <w:rFonts w:ascii="Cambria" w:hAnsi="Cambria"/>
          <w:lang w:val="es-ES"/>
        </w:rPr>
        <w:t xml:space="preserve"> </w:t>
      </w:r>
    </w:p>
  </w:footnote>
  <w:footnote w:id="9">
    <w:p w:rsidR="006F15C0" w:rsidRPr="00FB1D67" w:rsidRDefault="005214F8">
      <w:pPr>
        <w:spacing w:after="0" w:line="240" w:lineRule="auto"/>
        <w:jc w:val="both"/>
        <w:rPr>
          <w:rFonts w:ascii="Cambria" w:hAnsi="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Entre los años 2017 y 2018, la Comisión IDH otorgó  cuatro medidas cautelares a comunidades desalojadas de Guatemala: personas desalojadas y desplazadas de la Comunidad Laguna Larga (MC 412/17) en septiembre de 2017, a las familias indígenas de Comunidad  Chaab´il Ch´och’ (MC 860/17), a la Comunidad Maya Q’eqchi "Nueva Semuy Chacchilla” (MC 872-17) y a la Comunidad Maya Q’ueqchi “La Cumbre Sa’kuxhá” (MC 44/18). </w:t>
      </w:r>
    </w:p>
  </w:footnote>
  <w:footnote w:id="10">
    <w:p w:rsidR="006F15C0" w:rsidRPr="00FB1D67" w:rsidRDefault="005214F8">
      <w:pPr>
        <w:spacing w:after="0" w:line="240" w:lineRule="auto"/>
        <w:jc w:val="both"/>
        <w:rPr>
          <w:rFonts w:ascii="Cambria" w:hAnsi="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OEA. Comunicado de prensa. CIDH y expertas de la ONU expresan su preocupación por la situación de desalojos forzosos  y desplazamiento interno en Guatemala. Julio 2018. Disponible en: </w:t>
      </w:r>
      <w:hyperlink r:id="rId5">
        <w:r w:rsidRPr="00FB1D67">
          <w:rPr>
            <w:rFonts w:ascii="Cambria" w:hAnsi="Cambria"/>
            <w:color w:val="1155CC"/>
            <w:sz w:val="20"/>
            <w:szCs w:val="20"/>
            <w:u w:val="single"/>
          </w:rPr>
          <w:t>http://www.oas.org/es/cidh/prensa/comunicados/2018/158.asp</w:t>
        </w:r>
      </w:hyperlink>
    </w:p>
  </w:footnote>
  <w:footnote w:id="11">
    <w:p w:rsidR="006F15C0" w:rsidRPr="00FB1D67" w:rsidRDefault="005214F8">
      <w:pPr>
        <w:spacing w:after="0" w:line="240" w:lineRule="auto"/>
        <w:jc w:val="both"/>
        <w:rPr>
          <w:rFonts w:ascii="Cambria" w:hAnsi="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Comisión Interamericana de Derechos Humanos. Informe de país “Situación de los derechos humanos en Guatemala ”. Párrafo 224. Disponible en: </w:t>
      </w:r>
      <w:hyperlink r:id="rId6">
        <w:r w:rsidRPr="00FB1D67">
          <w:rPr>
            <w:rFonts w:ascii="Cambria" w:hAnsi="Cambria"/>
            <w:color w:val="1155CC"/>
            <w:sz w:val="20"/>
            <w:szCs w:val="20"/>
            <w:u w:val="single"/>
          </w:rPr>
          <w:t>http://www.oas.org/es/cidh/informes/pdfs/Guatemala2017-es.pdf</w:t>
        </w:r>
      </w:hyperlink>
      <w:r w:rsidRPr="00FB1D67">
        <w:rPr>
          <w:rFonts w:ascii="Cambria" w:hAnsi="Cambria"/>
          <w:sz w:val="20"/>
          <w:szCs w:val="20"/>
        </w:rPr>
        <w:t xml:space="preserve">. </w:t>
      </w:r>
    </w:p>
  </w:footnote>
  <w:footnote w:id="12">
    <w:p w:rsidR="006F15C0" w:rsidRPr="00FB1D67" w:rsidRDefault="005214F8">
      <w:pPr>
        <w:spacing w:after="0" w:line="240" w:lineRule="auto"/>
        <w:rPr>
          <w:rFonts w:ascii="Cambria" w:hAnsi="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Catres: cama artesanal plegable. </w:t>
      </w:r>
    </w:p>
  </w:footnote>
  <w:footnote w:id="13">
    <w:p w:rsidR="006F15C0" w:rsidRPr="00FB1D67" w:rsidRDefault="005214F8">
      <w:pPr>
        <w:spacing w:after="0" w:line="240" w:lineRule="auto"/>
        <w:rPr>
          <w:rFonts w:ascii="Cambria" w:hAnsi="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Salud y Desarrollo Comunitario A. C. INFORME DE LA SITUACIÓN DE SALUD DEL CAMPAMENTO DE POBLACIÓN DESPLAZADA “LAGUNA LARGA”, GUATEMALA. Octubre del 2019. </w:t>
      </w:r>
    </w:p>
  </w:footnote>
  <w:footnote w:id="14">
    <w:p w:rsidR="006F15C0" w:rsidRPr="00FB1D67" w:rsidRDefault="005214F8">
      <w:pPr>
        <w:spacing w:after="0" w:line="240" w:lineRule="auto"/>
        <w:rPr>
          <w:rFonts w:ascii="Cambria" w:hAnsi="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El clima de la región es tropical-húmedo con sensación térmica de 32° C durante el día y con descensos hasta 23° C por la noche, con temporadas de lluvia intensa.</w:t>
      </w:r>
    </w:p>
  </w:footnote>
  <w:footnote w:id="15">
    <w:p w:rsidR="006F15C0" w:rsidRPr="00FB1D67" w:rsidRDefault="005214F8">
      <w:pPr>
        <w:spacing w:after="0" w:line="240" w:lineRule="auto"/>
        <w:rPr>
          <w:rFonts w:ascii="Cambria" w:hAnsi="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SADEC.  </w:t>
      </w:r>
      <w:r w:rsidRPr="00FB1D67">
        <w:rPr>
          <w:rFonts w:ascii="Cambria" w:eastAsia="Cambria" w:hAnsi="Cambria" w:cs="Cambria"/>
          <w:sz w:val="20"/>
          <w:szCs w:val="20"/>
        </w:rPr>
        <w:t xml:space="preserve">Informe de la situación de salud de campamento de población desplazada Laguna Larga, Guatemala. Octubre 2019. </w:t>
      </w:r>
    </w:p>
  </w:footnote>
  <w:footnote w:id="16">
    <w:p w:rsidR="006F15C0" w:rsidRPr="00FB1D67" w:rsidRDefault="005214F8">
      <w:pPr>
        <w:spacing w:after="0" w:line="240" w:lineRule="auto"/>
        <w:rPr>
          <w:rFonts w:ascii="Cambria" w:hAnsi="Cambria"/>
          <w:sz w:val="20"/>
          <w:szCs w:val="20"/>
        </w:rPr>
      </w:pPr>
      <w:r w:rsidRPr="00FB1D67">
        <w:rPr>
          <w:rFonts w:ascii="Cambria" w:hAnsi="Cambria"/>
          <w:sz w:val="20"/>
          <w:szCs w:val="20"/>
          <w:vertAlign w:val="superscript"/>
        </w:rPr>
        <w:footnoteRef/>
      </w:r>
      <w:r w:rsidRPr="00FB1D67">
        <w:rPr>
          <w:rFonts w:ascii="Cambria" w:hAnsi="Cambria"/>
          <w:sz w:val="20"/>
          <w:szCs w:val="20"/>
        </w:rPr>
        <w:t xml:space="preserve"> Datos aportados por el Bufete Jurídico de Derechos Humanos.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5C0" w:rsidRDefault="005214F8">
    <w:pPr>
      <w:pBdr>
        <w:top w:val="nil"/>
        <w:left w:val="nil"/>
        <w:bottom w:val="nil"/>
        <w:right w:val="nil"/>
        <w:between w:val="nil"/>
      </w:pBdr>
      <w:tabs>
        <w:tab w:val="center" w:pos="4419"/>
        <w:tab w:val="right" w:pos="8838"/>
      </w:tabs>
      <w:spacing w:after="0" w:line="240" w:lineRule="auto"/>
      <w:jc w:val="right"/>
      <w:rPr>
        <w:rFonts w:eastAsia="Calibri"/>
        <w:color w:val="000000"/>
      </w:rPr>
    </w:pPr>
    <w:r>
      <w:rPr>
        <w:rFonts w:eastAsia="Calibri"/>
        <w:noProof/>
        <w:color w:val="000000"/>
        <w:lang w:val="en-GB" w:eastAsia="en-GB"/>
      </w:rPr>
      <w:drawing>
        <wp:inline distT="0" distB="0" distL="0" distR="0">
          <wp:extent cx="1268536" cy="1138686"/>
          <wp:effectExtent l="0" t="0" r="0" b="0"/>
          <wp:docPr id="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268536" cy="1138686"/>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645A8"/>
    <w:multiLevelType w:val="multilevel"/>
    <w:tmpl w:val="28E8C004"/>
    <w:lvl w:ilvl="0">
      <w:start w:val="1"/>
      <w:numFmt w:val="decimal"/>
      <w:lvlText w:val="%1."/>
      <w:lvlJc w:val="left"/>
      <w:pPr>
        <w:ind w:left="720" w:hanging="360"/>
      </w:pPr>
      <w:rPr>
        <w:b w:val="0"/>
      </w:r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2E70768"/>
    <w:multiLevelType w:val="multilevel"/>
    <w:tmpl w:val="28E8C004"/>
    <w:lvl w:ilvl="0">
      <w:start w:val="1"/>
      <w:numFmt w:val="decimal"/>
      <w:lvlText w:val="%1."/>
      <w:lvlJc w:val="left"/>
      <w:pPr>
        <w:ind w:left="720" w:hanging="360"/>
      </w:pPr>
      <w:rPr>
        <w:b w:val="0"/>
      </w:r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9A662B2"/>
    <w:multiLevelType w:val="multilevel"/>
    <w:tmpl w:val="28E8C004"/>
    <w:lvl w:ilvl="0">
      <w:start w:val="1"/>
      <w:numFmt w:val="decimal"/>
      <w:lvlText w:val="%1."/>
      <w:lvlJc w:val="left"/>
      <w:pPr>
        <w:ind w:left="720" w:hanging="360"/>
      </w:pPr>
      <w:rPr>
        <w:b w:val="0"/>
      </w:r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9D06291"/>
    <w:multiLevelType w:val="multilevel"/>
    <w:tmpl w:val="4CF2689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5C0"/>
    <w:rsid w:val="00030111"/>
    <w:rsid w:val="00146BFF"/>
    <w:rsid w:val="00185F67"/>
    <w:rsid w:val="00343A8C"/>
    <w:rsid w:val="003C2975"/>
    <w:rsid w:val="003C2E07"/>
    <w:rsid w:val="004E4AB6"/>
    <w:rsid w:val="004E7D4C"/>
    <w:rsid w:val="005214F8"/>
    <w:rsid w:val="006F15C0"/>
    <w:rsid w:val="00824AB1"/>
    <w:rsid w:val="0088781F"/>
    <w:rsid w:val="00945F68"/>
    <w:rsid w:val="00CA4A49"/>
    <w:rsid w:val="00D5045C"/>
    <w:rsid w:val="00F24AEC"/>
    <w:rsid w:val="00F32BC9"/>
    <w:rsid w:val="00FB1D6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5E0888-F229-4028-9D21-A693FC15E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GT" w:eastAsia="es-G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24A"/>
    <w:rPr>
      <w:rFonts w:eastAsiaTheme="minorEastAsia"/>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71024A"/>
    <w:pPr>
      <w:ind w:left="720"/>
      <w:contextualSpacing/>
    </w:pPr>
  </w:style>
  <w:style w:type="paragraph" w:styleId="FootnoteText">
    <w:name w:val="footnote text"/>
    <w:basedOn w:val="Normal"/>
    <w:link w:val="FootnoteTextChar"/>
    <w:uiPriority w:val="99"/>
    <w:semiHidden/>
    <w:unhideWhenUsed/>
    <w:rsid w:val="007102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024A"/>
    <w:rPr>
      <w:rFonts w:eastAsiaTheme="minorEastAsia"/>
      <w:sz w:val="20"/>
      <w:szCs w:val="20"/>
      <w:lang w:eastAsia="es-GT"/>
    </w:rPr>
  </w:style>
  <w:style w:type="character" w:styleId="FootnoteReference">
    <w:name w:val="footnote reference"/>
    <w:basedOn w:val="DefaultParagraphFont"/>
    <w:uiPriority w:val="99"/>
    <w:semiHidden/>
    <w:unhideWhenUsed/>
    <w:rsid w:val="0071024A"/>
    <w:rPr>
      <w:vertAlign w:val="superscript"/>
    </w:rPr>
  </w:style>
  <w:style w:type="paragraph" w:customStyle="1" w:styleId="Default">
    <w:name w:val="Default"/>
    <w:rsid w:val="0071024A"/>
    <w:pPr>
      <w:autoSpaceDE w:val="0"/>
      <w:autoSpaceDN w:val="0"/>
      <w:adjustRightInd w:val="0"/>
      <w:spacing w:after="0" w:line="240" w:lineRule="auto"/>
    </w:pPr>
    <w:rPr>
      <w:rFonts w:ascii="Arial" w:eastAsiaTheme="minorEastAsia" w:hAnsi="Arial" w:cs="Arial"/>
      <w:color w:val="000000"/>
      <w:sz w:val="24"/>
      <w:szCs w:val="24"/>
    </w:rPr>
  </w:style>
  <w:style w:type="paragraph" w:styleId="Header">
    <w:name w:val="header"/>
    <w:basedOn w:val="Normal"/>
    <w:link w:val="HeaderChar"/>
    <w:uiPriority w:val="99"/>
    <w:unhideWhenUsed/>
    <w:rsid w:val="0071024A"/>
    <w:pPr>
      <w:tabs>
        <w:tab w:val="center" w:pos="4419"/>
        <w:tab w:val="right" w:pos="8838"/>
      </w:tabs>
      <w:spacing w:after="0" w:line="240" w:lineRule="auto"/>
    </w:pPr>
  </w:style>
  <w:style w:type="character" w:customStyle="1" w:styleId="HeaderChar">
    <w:name w:val="Header Char"/>
    <w:basedOn w:val="DefaultParagraphFont"/>
    <w:link w:val="Header"/>
    <w:uiPriority w:val="99"/>
    <w:rsid w:val="0071024A"/>
    <w:rPr>
      <w:rFonts w:eastAsiaTheme="minorEastAsia"/>
      <w:lang w:eastAsia="es-GT"/>
    </w:rPr>
  </w:style>
  <w:style w:type="paragraph" w:styleId="Footer">
    <w:name w:val="footer"/>
    <w:basedOn w:val="Normal"/>
    <w:link w:val="FooterChar"/>
    <w:uiPriority w:val="99"/>
    <w:unhideWhenUsed/>
    <w:rsid w:val="0071024A"/>
    <w:pPr>
      <w:tabs>
        <w:tab w:val="center" w:pos="4419"/>
        <w:tab w:val="right" w:pos="8838"/>
      </w:tabs>
      <w:spacing w:after="0" w:line="240" w:lineRule="auto"/>
    </w:pPr>
  </w:style>
  <w:style w:type="character" w:customStyle="1" w:styleId="FooterChar">
    <w:name w:val="Footer Char"/>
    <w:basedOn w:val="DefaultParagraphFont"/>
    <w:link w:val="Footer"/>
    <w:uiPriority w:val="99"/>
    <w:rsid w:val="0071024A"/>
    <w:rPr>
      <w:rFonts w:eastAsiaTheme="minorEastAsia"/>
      <w:lang w:eastAsia="es-GT"/>
    </w:rPr>
  </w:style>
  <w:style w:type="paragraph" w:styleId="BalloonText">
    <w:name w:val="Balloon Text"/>
    <w:basedOn w:val="Normal"/>
    <w:link w:val="BalloonTextChar"/>
    <w:uiPriority w:val="99"/>
    <w:semiHidden/>
    <w:unhideWhenUsed/>
    <w:rsid w:val="008B71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114"/>
    <w:rPr>
      <w:rFonts w:ascii="Tahoma" w:eastAsiaTheme="minorEastAsia" w:hAnsi="Tahoma" w:cs="Tahoma"/>
      <w:sz w:val="16"/>
      <w:szCs w:val="16"/>
      <w:lang w:eastAsia="es-GT"/>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343A8C"/>
    <w:rPr>
      <w:color w:val="0000FF" w:themeColor="hyperlink"/>
      <w:u w:val="single"/>
    </w:rPr>
  </w:style>
  <w:style w:type="character" w:customStyle="1" w:styleId="UnresolvedMention">
    <w:name w:val="Unresolved Mention"/>
    <w:basedOn w:val="DefaultParagraphFont"/>
    <w:uiPriority w:val="99"/>
    <w:semiHidden/>
    <w:unhideWhenUsed/>
    <w:rsid w:val="00343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oacnudh.org.gt/images/CONTENIDOS/ARTICULOS/INFORMESANTERIORES/2017.pdf" TargetMode="External"/><Relationship Id="rId2" Type="http://schemas.openxmlformats.org/officeDocument/2006/relationships/hyperlink" Target="https://www.oacnudh.org.gt/images/CONTENIDOS/ARTICULOS/INFORMESANTERIORES/2018.pdf" TargetMode="External"/><Relationship Id="rId1" Type="http://schemas.openxmlformats.org/officeDocument/2006/relationships/hyperlink" Target="https://dca.gob.gt/noticias-guatemala-diario-centro-america/atenderan-a-comunidades-de-areas-protegidas-en-peten/" TargetMode="External"/><Relationship Id="rId6" Type="http://schemas.openxmlformats.org/officeDocument/2006/relationships/hyperlink" Target="http://www.oas.org/es/cidh/informes/pdfs/Guatemala2017-es.pdf" TargetMode="External"/><Relationship Id="rId5" Type="http://schemas.openxmlformats.org/officeDocument/2006/relationships/hyperlink" Target="http://www.oas.org/es/cidh/prensa/comunicados/2018/158.asp" TargetMode="External"/><Relationship Id="rId4" Type="http://schemas.openxmlformats.org/officeDocument/2006/relationships/hyperlink" Target="https://www.oas.org/es/cidh/decisiones/pdf/2017/36-17MC412-17GU.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KtaaehL8GFh9GnquyjP7V8LIAw==">AMUW2mUH6aTAfuQ62hwtkd8/qQbAAHvRQYt02pjuxRNmHu1lRkdg/80Lw1kwCT9LiQDal+n6SaL2FW5WQYm+oOioJug5goKFoPw17o/tg3RIgOnPsM9MF//RdXgDrJi/hTEje769nwHnUwqZ0DQqmVDxIHm7jzXNHxGLbM6GSdizN/2HgYGI0M/ra/vhLDFFK6IgQCnlR82DWAawfhwNMgiYI0c/dYwMsPhOJC99CVi6wurfaa86JKLgvVHO981ACAJzuAFOzHhD934d3OscPOJ6V8lmO6HHmOpNMLmZXnBGGAE+bVVBI/+Lyvb6gla7DOxmra0q5UzAuJHIcT3EBMqjH/1LdIUfcfdDaGZVdtBnH6DtPza7hP6qAHGnyyRvB61d9Aoix1a9LpUPrZH8jtw9z3ZexSyhZdXVbNXQntxEkD4gZFbKqpaE02fn7GtuJYHk/ubJAKf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6B80FC5-E3D4-4752-B28F-F4BE470023AE}">
  <ds:schemaRefs>
    <ds:schemaRef ds:uri="http://schemas.openxmlformats.org/officeDocument/2006/bibliography"/>
  </ds:schemaRefs>
</ds:datastoreItem>
</file>

<file path=customXml/itemProps3.xml><?xml version="1.0" encoding="utf-8"?>
<ds:datastoreItem xmlns:ds="http://schemas.openxmlformats.org/officeDocument/2006/customXml" ds:itemID="{2AD06DAC-9219-4973-91FD-3A3367F05A53}"/>
</file>

<file path=customXml/itemProps4.xml><?xml version="1.0" encoding="utf-8"?>
<ds:datastoreItem xmlns:ds="http://schemas.openxmlformats.org/officeDocument/2006/customXml" ds:itemID="{E35A832D-CE4E-477B-8101-355A301983D1}"/>
</file>

<file path=customXml/itemProps5.xml><?xml version="1.0" encoding="utf-8"?>
<ds:datastoreItem xmlns:ds="http://schemas.openxmlformats.org/officeDocument/2006/customXml" ds:itemID="{C0D1F85B-4E9D-486A-A555-151A75CEE1C7}"/>
</file>

<file path=docProps/app.xml><?xml version="1.0" encoding="utf-8"?>
<Properties xmlns="http://schemas.openxmlformats.org/officeDocument/2006/extended-properties" xmlns:vt="http://schemas.openxmlformats.org/officeDocument/2006/docPropsVTypes">
  <Template>Normal.dotm</Template>
  <TotalTime>0</TotalTime>
  <Pages>10</Pages>
  <Words>3992</Words>
  <Characters>22759</Characters>
  <Application>Microsoft Office Word</Application>
  <DocSecurity>0</DocSecurity>
  <Lines>189</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26698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Martines</dc:creator>
  <cp:lastModifiedBy>Tolaïni Sabine</cp:lastModifiedBy>
  <cp:revision>2</cp:revision>
  <dcterms:created xsi:type="dcterms:W3CDTF">2020-08-18T14:31:00Z</dcterms:created>
  <dcterms:modified xsi:type="dcterms:W3CDTF">2020-08-18T14:31:00Z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