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8F333F" w14:textId="0CE13968" w:rsidR="004534D5" w:rsidRPr="002D648F" w:rsidRDefault="004534D5" w:rsidP="004534D5">
      <w:pPr>
        <w:bidi/>
        <w:spacing w:after="0" w:line="276" w:lineRule="auto"/>
        <w:jc w:val="center"/>
        <w:rPr>
          <w:rFonts w:cstheme="minorHAnsi"/>
          <w:b/>
          <w:bCs/>
          <w:color w:val="FF0000"/>
          <w:sz w:val="28"/>
          <w:szCs w:val="28"/>
          <w:rtl/>
          <w:lang w:bidi="ar-EG"/>
        </w:rPr>
      </w:pPr>
      <w:r w:rsidRPr="002D648F">
        <w:rPr>
          <w:rFonts w:cstheme="minorHAnsi"/>
          <w:b/>
          <w:bCs/>
          <w:color w:val="002465"/>
          <w:sz w:val="28"/>
          <w:szCs w:val="28"/>
          <w:rtl/>
          <w:lang w:bidi="ar-EG"/>
        </w:rPr>
        <w:t xml:space="preserve">تقرير مقدم إلي لجنة القضاء </w:t>
      </w:r>
      <w:r w:rsidRPr="002D648F">
        <w:rPr>
          <w:rFonts w:cstheme="minorHAnsi"/>
          <w:b/>
          <w:bCs/>
          <w:color w:val="002465"/>
          <w:sz w:val="28"/>
          <w:szCs w:val="28"/>
          <w:rtl/>
          <w:lang w:bidi="ar-EG"/>
        </w:rPr>
        <w:t>على</w:t>
      </w:r>
      <w:r w:rsidRPr="002D648F">
        <w:rPr>
          <w:rFonts w:cstheme="minorHAnsi"/>
          <w:b/>
          <w:bCs/>
          <w:color w:val="002465"/>
          <w:sz w:val="28"/>
          <w:szCs w:val="28"/>
          <w:rtl/>
          <w:lang w:bidi="ar-EG"/>
        </w:rPr>
        <w:t xml:space="preserve"> جميع أشكال التمييز العنصري</w:t>
      </w:r>
      <w:r w:rsidRPr="002D648F">
        <w:rPr>
          <w:rFonts w:cstheme="minorHAnsi"/>
          <w:b/>
          <w:bCs/>
          <w:color w:val="002465"/>
          <w:sz w:val="28"/>
          <w:szCs w:val="28"/>
          <w:rtl/>
          <w:lang w:bidi="ar-EG"/>
        </w:rPr>
        <w:t xml:space="preserve"> بخصوص جمهورية </w:t>
      </w:r>
      <w:r w:rsidRPr="002D648F">
        <w:rPr>
          <w:rFonts w:cstheme="minorHAnsi"/>
          <w:b/>
          <w:bCs/>
          <w:color w:val="FF0000"/>
          <w:sz w:val="28"/>
          <w:szCs w:val="28"/>
          <w:rtl/>
          <w:lang w:bidi="ar-EG"/>
        </w:rPr>
        <w:t>العراق</w:t>
      </w:r>
    </w:p>
    <w:p w14:paraId="2EBB75A5" w14:textId="79FE6232" w:rsidR="004534D5" w:rsidRPr="002D648F" w:rsidRDefault="004534D5" w:rsidP="004534D5">
      <w:pPr>
        <w:pBdr>
          <w:bottom w:val="single" w:sz="6" w:space="1" w:color="auto"/>
        </w:pBdr>
        <w:bidi/>
        <w:spacing w:after="0" w:line="276" w:lineRule="auto"/>
        <w:jc w:val="center"/>
        <w:rPr>
          <w:rFonts w:cstheme="minorHAnsi"/>
          <w:sz w:val="24"/>
          <w:szCs w:val="24"/>
          <w:lang w:val="en-GB" w:bidi="ar-EG"/>
        </w:rPr>
      </w:pPr>
      <w:r w:rsidRPr="002D648F">
        <w:rPr>
          <w:rFonts w:cstheme="minorHAnsi"/>
          <w:sz w:val="24"/>
          <w:szCs w:val="24"/>
          <w:rtl/>
          <w:lang w:bidi="ar-EG"/>
        </w:rPr>
        <w:t>يونية 2024</w:t>
      </w:r>
    </w:p>
    <w:p w14:paraId="12AAD551" w14:textId="77777777" w:rsidR="004534D5" w:rsidRPr="002D648F" w:rsidRDefault="004534D5" w:rsidP="004534D5">
      <w:pPr>
        <w:bidi/>
        <w:spacing w:after="0" w:line="276" w:lineRule="auto"/>
        <w:jc w:val="center"/>
        <w:rPr>
          <w:rFonts w:cstheme="minorHAnsi"/>
          <w:b/>
          <w:bCs/>
          <w:sz w:val="24"/>
          <w:szCs w:val="24"/>
          <w:rtl/>
          <w:lang w:bidi="ar-EG"/>
        </w:rPr>
      </w:pPr>
    </w:p>
    <w:p w14:paraId="72B91344" w14:textId="1BF7FD25" w:rsidR="004534D5" w:rsidRPr="002D648F" w:rsidRDefault="004534D5" w:rsidP="004534D5">
      <w:pPr>
        <w:bidi/>
        <w:spacing w:after="200" w:line="276" w:lineRule="auto"/>
        <w:jc w:val="both"/>
        <w:rPr>
          <w:rFonts w:cstheme="minorHAnsi"/>
          <w:sz w:val="24"/>
          <w:szCs w:val="24"/>
          <w:rtl/>
          <w:lang w:bidi="ar-EG"/>
        </w:rPr>
      </w:pPr>
      <w:r w:rsidRPr="002D648F">
        <w:rPr>
          <w:rFonts w:cstheme="minorHAnsi"/>
          <w:sz w:val="24"/>
          <w:szCs w:val="24"/>
          <w:rtl/>
          <w:lang w:bidi="ar-EG"/>
        </w:rPr>
        <w:t xml:space="preserve">تنتهز مؤسسة ماعت للسلام والتنمية وحقوق الإنسان فرصة تقديم هذا التقرير </w:t>
      </w:r>
      <w:r w:rsidRPr="002D648F">
        <w:rPr>
          <w:rFonts w:cstheme="minorHAnsi"/>
          <w:sz w:val="24"/>
          <w:szCs w:val="24"/>
          <w:rtl/>
          <w:lang w:bidi="ar-EG"/>
        </w:rPr>
        <w:t>إلى</w:t>
      </w:r>
      <w:r w:rsidRPr="002D648F">
        <w:rPr>
          <w:rFonts w:cstheme="minorHAnsi"/>
          <w:sz w:val="24"/>
          <w:szCs w:val="24"/>
          <w:rtl/>
          <w:lang w:bidi="ar-EG"/>
        </w:rPr>
        <w:t xml:space="preserve"> لجنة القضاء </w:t>
      </w:r>
      <w:r w:rsidRPr="002D648F">
        <w:rPr>
          <w:rFonts w:cstheme="minorHAnsi"/>
          <w:sz w:val="24"/>
          <w:szCs w:val="24"/>
          <w:rtl/>
          <w:lang w:bidi="ar-EG"/>
        </w:rPr>
        <w:t>على</w:t>
      </w:r>
      <w:r w:rsidRPr="002D648F">
        <w:rPr>
          <w:rFonts w:cstheme="minorHAnsi"/>
          <w:sz w:val="24"/>
          <w:szCs w:val="24"/>
          <w:rtl/>
          <w:lang w:bidi="ar-EG"/>
        </w:rPr>
        <w:t xml:space="preserve"> التمييز العنصري، وذلك من أجل تقييم امتثال الحكومة العراقية لأحكام اتفاقية القضاء </w:t>
      </w:r>
      <w:r w:rsidRPr="002D648F">
        <w:rPr>
          <w:rFonts w:cstheme="minorHAnsi"/>
          <w:sz w:val="24"/>
          <w:szCs w:val="24"/>
          <w:rtl/>
          <w:lang w:bidi="ar-EG"/>
        </w:rPr>
        <w:t>على</w:t>
      </w:r>
      <w:r w:rsidRPr="002D648F">
        <w:rPr>
          <w:rFonts w:cstheme="minorHAnsi"/>
          <w:sz w:val="24"/>
          <w:szCs w:val="24"/>
          <w:rtl/>
          <w:lang w:bidi="ar-EG"/>
        </w:rPr>
        <w:t xml:space="preserve"> جميع أشكال التمييز العنصري، وقد أطلعت مؤسسة ماعت قبل إعداد التقرير الجامع للتقريرين الدوريين السادس والعشرين والسابع والعشرين المقدم من العراق. وتلاحظ مؤسسة ماعت استمرار تحفظ العراق علي المادتين 2( و،</w:t>
      </w:r>
      <w:r w:rsidRPr="002D648F">
        <w:rPr>
          <w:rFonts w:cstheme="minorHAnsi"/>
          <w:sz w:val="24"/>
          <w:szCs w:val="24"/>
          <w:lang w:bidi="ar-EG"/>
        </w:rPr>
        <w:t xml:space="preserve"> </w:t>
      </w:r>
      <w:r w:rsidRPr="002D648F">
        <w:rPr>
          <w:rFonts w:cstheme="minorHAnsi"/>
          <w:sz w:val="24"/>
          <w:szCs w:val="24"/>
          <w:rtl/>
          <w:lang w:bidi="ar-EG"/>
        </w:rPr>
        <w:t>ز) و16</w:t>
      </w:r>
      <w:r w:rsidRPr="002D648F">
        <w:rPr>
          <w:rFonts w:cstheme="minorHAnsi"/>
          <w:sz w:val="24"/>
          <w:szCs w:val="24"/>
          <w:lang w:bidi="ar-EG"/>
        </w:rPr>
        <w:t xml:space="preserve"> </w:t>
      </w:r>
      <w:r w:rsidRPr="002D648F">
        <w:rPr>
          <w:rFonts w:cstheme="minorHAnsi"/>
          <w:sz w:val="24"/>
          <w:szCs w:val="24"/>
          <w:rtl/>
          <w:lang w:bidi="ar-EG"/>
        </w:rPr>
        <w:t>من اتفاقية القضاء علي جميع أشكال التمييز ضد المرأة، والتي تلزمها بإلغاء القوانين والممارسات التمييزية وتحقيق المساواة في كل المسائل المتعلقة بالأسرة والعلاقات الزوجية، وهو ما يعد استمراراً في انتهاك السلطات العراقية للتدابير التي من شأنها المساعدة في حظر التمييز العنصري.</w:t>
      </w:r>
      <w:r w:rsidRPr="002D648F">
        <w:rPr>
          <w:rStyle w:val="FootnoteReference"/>
          <w:rFonts w:cstheme="minorHAnsi"/>
          <w:sz w:val="24"/>
          <w:szCs w:val="24"/>
          <w:rtl/>
          <w:lang w:bidi="ar-EG"/>
        </w:rPr>
        <w:footnoteReference w:id="1"/>
      </w:r>
      <w:r w:rsidRPr="002D648F">
        <w:rPr>
          <w:rFonts w:cstheme="minorHAnsi"/>
          <w:sz w:val="24"/>
          <w:szCs w:val="24"/>
          <w:rtl/>
          <w:lang w:bidi="ar-EG"/>
        </w:rPr>
        <w:t xml:space="preserve"> </w:t>
      </w:r>
      <w:r w:rsidRPr="002D648F">
        <w:rPr>
          <w:rFonts w:cstheme="minorHAnsi"/>
          <w:sz w:val="24"/>
          <w:szCs w:val="24"/>
          <w:rtl/>
          <w:lang w:bidi="ar-EG"/>
        </w:rPr>
        <w:t xml:space="preserve">وترحب مؤسسة ماعت بإطلاق وزارة العمل والشؤون </w:t>
      </w:r>
      <w:r w:rsidRPr="002D648F">
        <w:rPr>
          <w:rFonts w:cstheme="minorHAnsi"/>
          <w:sz w:val="24"/>
          <w:szCs w:val="24"/>
          <w:rtl/>
          <w:lang w:bidi="ar-EG"/>
        </w:rPr>
        <w:t>الاجتماعية</w:t>
      </w:r>
      <w:r w:rsidRPr="002D648F">
        <w:rPr>
          <w:rFonts w:cstheme="minorHAnsi"/>
          <w:sz w:val="24"/>
          <w:szCs w:val="24"/>
          <w:rtl/>
          <w:lang w:bidi="ar-EG"/>
        </w:rPr>
        <w:t xml:space="preserve"> في العراق بالتعاون مع منظمة العمل الدولية "استراتيجية العراق الوطنية لمنع وتقليل عدم المساواة في العمل للأعوام 2024-2028" وتركز الاستراتيجية على تحقيق المساواة بين المرأة والرجل في مكان العمل، من خلال مبادرات تهدف إلى تعزيز مشاركة المرأة وحمايتها، وتعد الإستراتيجية خطوة مهمة نحو تهيئة بيئة عمل في العراق، يتمتع فيها كل فرد بغض النظر عن خلفيته أو ظروفه بفرص متساوية في الحصول على الفرص والمعاملة العادلة،  مع ذلك يناقش التقرير التحديات الإضافية التي تحول دون </w:t>
      </w:r>
      <w:r w:rsidRPr="002D648F">
        <w:rPr>
          <w:rFonts w:cstheme="minorHAnsi"/>
          <w:sz w:val="24"/>
          <w:szCs w:val="24"/>
          <w:rtl/>
          <w:lang w:bidi="ar-EG"/>
        </w:rPr>
        <w:t>الامتثال</w:t>
      </w:r>
      <w:r w:rsidRPr="002D648F">
        <w:rPr>
          <w:rFonts w:cstheme="minorHAnsi"/>
          <w:sz w:val="24"/>
          <w:szCs w:val="24"/>
          <w:rtl/>
          <w:lang w:bidi="ar-EG"/>
        </w:rPr>
        <w:t xml:space="preserve"> الكامل لأحكام </w:t>
      </w:r>
      <w:r w:rsidRPr="002D648F">
        <w:rPr>
          <w:rFonts w:cstheme="minorHAnsi"/>
          <w:sz w:val="24"/>
          <w:szCs w:val="24"/>
          <w:rtl/>
          <w:lang w:bidi="ar-EG"/>
        </w:rPr>
        <w:t>الاتفاقية</w:t>
      </w:r>
      <w:r w:rsidRPr="002D648F">
        <w:rPr>
          <w:rFonts w:cstheme="minorHAnsi"/>
          <w:sz w:val="24"/>
          <w:szCs w:val="24"/>
          <w:rtl/>
          <w:lang w:bidi="ar-EG"/>
        </w:rPr>
        <w:t xml:space="preserve"> وتركز علي وجه التحديد علي امتثال العراق لمواد محددة في </w:t>
      </w:r>
      <w:r w:rsidRPr="002D648F">
        <w:rPr>
          <w:rFonts w:cstheme="minorHAnsi"/>
          <w:sz w:val="24"/>
          <w:szCs w:val="24"/>
          <w:rtl/>
          <w:lang w:bidi="ar-EG"/>
        </w:rPr>
        <w:t>الاتفاقية</w:t>
      </w:r>
      <w:r w:rsidRPr="002D648F">
        <w:rPr>
          <w:rFonts w:cstheme="minorHAnsi"/>
          <w:sz w:val="24"/>
          <w:szCs w:val="24"/>
          <w:rtl/>
          <w:lang w:bidi="ar-EG"/>
        </w:rPr>
        <w:t>.</w:t>
      </w:r>
    </w:p>
    <w:p w14:paraId="7823F852" w14:textId="0A97C3C4" w:rsidR="004534D5" w:rsidRPr="002D648F" w:rsidRDefault="004534D5" w:rsidP="004534D5">
      <w:pPr>
        <w:bidi/>
        <w:spacing w:after="200" w:line="276" w:lineRule="auto"/>
        <w:jc w:val="both"/>
        <w:rPr>
          <w:rFonts w:cstheme="minorHAnsi"/>
          <w:b/>
          <w:bCs/>
          <w:color w:val="ED0000"/>
          <w:sz w:val="28"/>
          <w:szCs w:val="28"/>
          <w:rtl/>
          <w:lang w:bidi="ar-EG"/>
        </w:rPr>
      </w:pPr>
      <w:r w:rsidRPr="002D648F">
        <w:rPr>
          <w:rFonts w:cstheme="minorHAnsi"/>
          <w:b/>
          <w:bCs/>
          <w:color w:val="ED0000"/>
          <w:sz w:val="28"/>
          <w:szCs w:val="28"/>
          <w:rtl/>
          <w:lang w:bidi="ar-EG"/>
        </w:rPr>
        <w:t xml:space="preserve">تعريف </w:t>
      </w:r>
      <w:r w:rsidRPr="002D648F">
        <w:rPr>
          <w:rFonts w:cstheme="minorHAnsi"/>
          <w:b/>
          <w:bCs/>
          <w:color w:val="ED0000"/>
          <w:sz w:val="28"/>
          <w:szCs w:val="28"/>
          <w:rtl/>
          <w:lang w:bidi="ar-EG"/>
        </w:rPr>
        <w:t>التمييز العنصري</w:t>
      </w:r>
      <w:r w:rsidRPr="002D648F">
        <w:rPr>
          <w:rFonts w:cstheme="minorHAnsi"/>
          <w:b/>
          <w:bCs/>
          <w:color w:val="ED0000"/>
          <w:sz w:val="28"/>
          <w:szCs w:val="28"/>
          <w:rtl/>
          <w:lang w:bidi="ar-EG"/>
        </w:rPr>
        <w:t xml:space="preserve"> (المادة </w:t>
      </w:r>
      <w:r w:rsidR="001914B3">
        <w:rPr>
          <w:rFonts w:cstheme="minorHAnsi" w:hint="cs"/>
          <w:b/>
          <w:bCs/>
          <w:color w:val="ED0000"/>
          <w:sz w:val="28"/>
          <w:szCs w:val="28"/>
          <w:rtl/>
          <w:lang w:bidi="ar-EG"/>
        </w:rPr>
        <w:t>1</w:t>
      </w:r>
      <w:r w:rsidRPr="002D648F">
        <w:rPr>
          <w:rFonts w:cstheme="minorHAnsi"/>
          <w:b/>
          <w:bCs/>
          <w:color w:val="ED0000"/>
          <w:sz w:val="28"/>
          <w:szCs w:val="28"/>
          <w:rtl/>
          <w:lang w:bidi="ar-EG"/>
        </w:rPr>
        <w:t>):</w:t>
      </w:r>
    </w:p>
    <w:p w14:paraId="433A6D5C" w14:textId="74D3B06B" w:rsidR="004534D5" w:rsidRDefault="004534D5" w:rsidP="004534D5">
      <w:pPr>
        <w:bidi/>
        <w:spacing w:after="200" w:line="276" w:lineRule="auto"/>
        <w:jc w:val="both"/>
        <w:rPr>
          <w:rFonts w:cstheme="minorHAnsi"/>
          <w:sz w:val="24"/>
          <w:szCs w:val="24"/>
          <w:lang w:bidi="ar-EG"/>
        </w:rPr>
      </w:pPr>
      <w:r w:rsidRPr="002D648F">
        <w:rPr>
          <w:rFonts w:cstheme="minorHAnsi"/>
          <w:sz w:val="24"/>
          <w:szCs w:val="24"/>
          <w:rtl/>
          <w:lang w:bidi="ar-EG"/>
        </w:rPr>
        <w:t xml:space="preserve">يفتقر الدستور العراقي والقوانين المحلية إلي تعريف واضح ومحدد  يتناول التمييز العنصري بعناصره الواردة في  المادة الأولي من </w:t>
      </w:r>
      <w:r w:rsidRPr="002D648F">
        <w:rPr>
          <w:rFonts w:cstheme="minorHAnsi"/>
          <w:sz w:val="24"/>
          <w:szCs w:val="24"/>
          <w:rtl/>
          <w:lang w:bidi="ar-EG"/>
        </w:rPr>
        <w:t>الاتفاقية</w:t>
      </w:r>
      <w:r w:rsidRPr="002D648F">
        <w:rPr>
          <w:rFonts w:cstheme="minorHAnsi"/>
          <w:sz w:val="24"/>
          <w:szCs w:val="24"/>
          <w:rtl/>
          <w:lang w:bidi="ar-EG"/>
        </w:rPr>
        <w:t>،</w:t>
      </w:r>
      <w:r w:rsidRPr="002D648F">
        <w:rPr>
          <w:rFonts w:cstheme="minorHAnsi"/>
          <w:sz w:val="24"/>
          <w:szCs w:val="24"/>
          <w:rtl/>
        </w:rPr>
        <w:t xml:space="preserve"> رغم إن المادة 14 من الدستور العراقي تحظر التمييز </w:t>
      </w:r>
      <w:r w:rsidRPr="002D648F">
        <w:rPr>
          <w:rFonts w:cstheme="minorHAnsi"/>
          <w:sz w:val="24"/>
          <w:szCs w:val="24"/>
          <w:rtl/>
          <w:lang w:bidi="ar-EG"/>
        </w:rPr>
        <w:t xml:space="preserve"> بسبب الجنس أو العرق أو القومية أو الأصل أو اللون أو الدين أو المذهب أو المعتقد أو الرأي أو الوضع الاقتصادي أو </w:t>
      </w:r>
      <w:r w:rsidRPr="002D648F">
        <w:rPr>
          <w:rFonts w:cstheme="minorHAnsi"/>
          <w:sz w:val="24"/>
          <w:szCs w:val="24"/>
          <w:rtl/>
          <w:lang w:bidi="ar-EG"/>
        </w:rPr>
        <w:t>الاجتماعي</w:t>
      </w:r>
      <w:r w:rsidRPr="002D648F">
        <w:rPr>
          <w:rFonts w:cstheme="minorHAnsi"/>
          <w:sz w:val="24"/>
          <w:szCs w:val="24"/>
          <w:rtl/>
          <w:lang w:bidi="ar-EG"/>
        </w:rPr>
        <w:t xml:space="preserve">، وهو ما يتعارض مع التزامات العراق بموجب المادة الأولي من  </w:t>
      </w:r>
      <w:r w:rsidRPr="002D648F">
        <w:rPr>
          <w:rFonts w:cstheme="minorHAnsi"/>
          <w:sz w:val="24"/>
          <w:szCs w:val="24"/>
          <w:rtl/>
          <w:lang w:bidi="ar-EG"/>
        </w:rPr>
        <w:t>الاتفاقية</w:t>
      </w:r>
      <w:r w:rsidRPr="002D648F">
        <w:rPr>
          <w:rFonts w:cstheme="minorHAnsi"/>
          <w:sz w:val="24"/>
          <w:szCs w:val="24"/>
          <w:rtl/>
          <w:lang w:bidi="ar-EG"/>
        </w:rPr>
        <w:t>، والتي وضعت تعريفاً واضحاً ومحدداً ودقيقا للتمييز العنصري بأنه أي تمييز أو استثناء أو تقييد أو تفصيل يستهدف أو يستتبع تعطيل أو عرقلة الاعتراف بحقوق الإنسان والحريات الأساسية</w:t>
      </w:r>
      <w:r w:rsidRPr="002D648F">
        <w:rPr>
          <w:rFonts w:cstheme="minorHAnsi"/>
          <w:sz w:val="24"/>
          <w:szCs w:val="24"/>
          <w:rtl/>
        </w:rPr>
        <w:t xml:space="preserve"> </w:t>
      </w:r>
      <w:r w:rsidRPr="002D648F">
        <w:rPr>
          <w:rFonts w:cstheme="minorHAnsi"/>
          <w:sz w:val="24"/>
          <w:szCs w:val="24"/>
          <w:rtl/>
          <w:lang w:bidi="ar-EG"/>
        </w:rPr>
        <w:t>أو التمتع بها أو ممارستها</w:t>
      </w:r>
      <w:r w:rsidRPr="002D648F">
        <w:rPr>
          <w:rFonts w:cstheme="minorHAnsi"/>
          <w:sz w:val="24"/>
          <w:szCs w:val="24"/>
          <w:rtl/>
        </w:rPr>
        <w:t xml:space="preserve"> </w:t>
      </w:r>
      <w:r w:rsidRPr="002D648F">
        <w:rPr>
          <w:rFonts w:cstheme="minorHAnsi"/>
          <w:sz w:val="24"/>
          <w:szCs w:val="24"/>
          <w:rtl/>
          <w:lang w:bidi="ar-EG"/>
        </w:rPr>
        <w:t xml:space="preserve">في الميدان السياسي أو الاقتصادي أو الاجتماعي أو الثقافي أو في أي ميدان آخر من ميادين الحياة العامة. </w:t>
      </w:r>
      <w:r w:rsidRPr="002D648F">
        <w:rPr>
          <w:rStyle w:val="FootnoteReference"/>
          <w:rFonts w:cstheme="minorHAnsi"/>
          <w:sz w:val="24"/>
          <w:szCs w:val="24"/>
          <w:rtl/>
          <w:lang w:bidi="ar-EG"/>
        </w:rPr>
        <w:footnoteReference w:id="2"/>
      </w:r>
      <w:r w:rsidRPr="002D648F">
        <w:rPr>
          <w:rFonts w:cstheme="minorHAnsi"/>
          <w:sz w:val="24"/>
          <w:szCs w:val="24"/>
          <w:rtl/>
          <w:lang w:bidi="ar-EG"/>
        </w:rPr>
        <w:t xml:space="preserve"> ولذلك تري مؤسسة ماعت </w:t>
      </w:r>
      <w:r w:rsidRPr="002D648F">
        <w:rPr>
          <w:rFonts w:cstheme="minorHAnsi"/>
          <w:sz w:val="24"/>
          <w:szCs w:val="24"/>
          <w:rtl/>
          <w:lang w:bidi="ar-EG"/>
        </w:rPr>
        <w:t>ضرورة في</w:t>
      </w:r>
      <w:r w:rsidRPr="002D648F">
        <w:rPr>
          <w:rFonts w:cstheme="minorHAnsi"/>
          <w:sz w:val="24"/>
          <w:szCs w:val="24"/>
          <w:rtl/>
          <w:lang w:bidi="ar-EG"/>
        </w:rPr>
        <w:t xml:space="preserve"> حث اللجنة للوفد العراقي أثناء المراجعة للتنسيق بين السلطات العراقية المختلفة وبالتحديد السلطة التشريعية وذلك من أجل وضع تعريف واضح ومحدد للتمييز العنصري بما يتفق مع المادة الأولي من </w:t>
      </w:r>
      <w:r w:rsidRPr="002D648F">
        <w:rPr>
          <w:rFonts w:cstheme="minorHAnsi"/>
          <w:sz w:val="24"/>
          <w:szCs w:val="24"/>
          <w:rtl/>
          <w:lang w:bidi="ar-EG"/>
        </w:rPr>
        <w:t>الاتفاقية</w:t>
      </w:r>
      <w:r w:rsidRPr="002D648F">
        <w:rPr>
          <w:rFonts w:cstheme="minorHAnsi"/>
          <w:sz w:val="24"/>
          <w:szCs w:val="24"/>
          <w:rtl/>
          <w:lang w:bidi="ar-EG"/>
        </w:rPr>
        <w:t>.</w:t>
      </w:r>
    </w:p>
    <w:p w14:paraId="47109B49" w14:textId="77777777" w:rsidR="002D648F" w:rsidRPr="002D648F" w:rsidRDefault="002D648F" w:rsidP="002D648F">
      <w:pPr>
        <w:bidi/>
        <w:spacing w:after="200" w:line="276" w:lineRule="auto"/>
        <w:jc w:val="both"/>
        <w:rPr>
          <w:rFonts w:cstheme="minorHAnsi"/>
          <w:sz w:val="24"/>
          <w:szCs w:val="24"/>
          <w:rtl/>
          <w:lang w:bidi="ar-EG"/>
        </w:rPr>
      </w:pPr>
    </w:p>
    <w:p w14:paraId="269C4486" w14:textId="6E96FFE4" w:rsidR="004534D5" w:rsidRPr="002D648F" w:rsidRDefault="004534D5" w:rsidP="004534D5">
      <w:pPr>
        <w:bidi/>
        <w:spacing w:line="276" w:lineRule="auto"/>
        <w:jc w:val="both"/>
        <w:rPr>
          <w:rFonts w:cstheme="minorHAnsi"/>
          <w:b/>
          <w:bCs/>
          <w:color w:val="ED0000"/>
          <w:sz w:val="28"/>
          <w:szCs w:val="28"/>
          <w:rtl/>
          <w:lang w:bidi="ar-EG"/>
        </w:rPr>
      </w:pPr>
      <w:r w:rsidRPr="002D648F">
        <w:rPr>
          <w:rFonts w:cstheme="minorHAnsi"/>
          <w:b/>
          <w:bCs/>
          <w:color w:val="ED0000"/>
          <w:sz w:val="28"/>
          <w:szCs w:val="28"/>
          <w:rtl/>
          <w:lang w:bidi="ar-EG"/>
        </w:rPr>
        <w:lastRenderedPageBreak/>
        <w:t xml:space="preserve">التدابير الرامية لحظر التمييز العنصري (المادة </w:t>
      </w:r>
      <w:r w:rsidR="001914B3">
        <w:rPr>
          <w:rFonts w:cstheme="minorHAnsi" w:hint="cs"/>
          <w:b/>
          <w:bCs/>
          <w:color w:val="ED0000"/>
          <w:sz w:val="28"/>
          <w:szCs w:val="28"/>
          <w:rtl/>
          <w:lang w:bidi="ar-EG"/>
        </w:rPr>
        <w:t>2</w:t>
      </w:r>
      <w:r w:rsidRPr="002D648F">
        <w:rPr>
          <w:rFonts w:cstheme="minorHAnsi"/>
          <w:b/>
          <w:bCs/>
          <w:color w:val="ED0000"/>
          <w:sz w:val="28"/>
          <w:szCs w:val="28"/>
          <w:rtl/>
          <w:lang w:bidi="ar-EG"/>
        </w:rPr>
        <w:t>)</w:t>
      </w:r>
      <w:r w:rsidRPr="002D648F">
        <w:rPr>
          <w:rFonts w:cstheme="minorHAnsi"/>
          <w:b/>
          <w:bCs/>
          <w:color w:val="ED0000"/>
          <w:sz w:val="28"/>
          <w:szCs w:val="28"/>
          <w:rtl/>
          <w:lang w:bidi="ar-EG"/>
        </w:rPr>
        <w:t>:</w:t>
      </w:r>
    </w:p>
    <w:p w14:paraId="53FD7F87" w14:textId="2AA9C391" w:rsidR="004534D5" w:rsidRPr="002D648F" w:rsidRDefault="004534D5" w:rsidP="004534D5">
      <w:pPr>
        <w:bidi/>
        <w:spacing w:line="276" w:lineRule="auto"/>
        <w:jc w:val="both"/>
        <w:rPr>
          <w:rFonts w:cstheme="minorHAnsi"/>
          <w:sz w:val="24"/>
          <w:szCs w:val="24"/>
          <w:rtl/>
          <w:lang w:bidi="ar-EG"/>
        </w:rPr>
      </w:pPr>
      <w:r w:rsidRPr="002D648F">
        <w:rPr>
          <w:rFonts w:cstheme="minorHAnsi"/>
          <w:sz w:val="24"/>
          <w:szCs w:val="24"/>
          <w:rtl/>
          <w:lang w:bidi="ar-EG"/>
        </w:rPr>
        <w:t>أطلعت مؤسسة ماعت علي التدابير المتخذة من قبل الحكومة العراقية وذلك من أجل حظر التمييز العنصري بناء علي أي اعتبارات ومن بين هذه التدابير إنشاء وحدة إدارية في كل وزارة من اجل تمكين المرأة، والحملات التي شاركت فيها الحكومة مع المفوضية العليا لحقوق الإنسان في العراق وتؤكد مؤسسة ماعت للسلام والتنمية وحقوق الإنسان أنه وعلي الرغم من اطلاق العراق الخطة الوطنية لحقوق الإنسان (2021-2025) والتي كان أحد أهم أهدافها اتخاذ المزيد من التدابير الرامية لتحقيق المساواة وحظر التمييز العنصري، إضافة إلي تطوير المنظومة التشريعية العراقية وجعلها متسقة مع الاتفاقيات الدولية واعداد وتطوير السياسات الوطنية الخاصة بحماية وتعزيز حقوق الإنسان وترسيخ الإنجازات الوطنية وبناء القدرات على الصعيد المؤسسي والفردي، فإن تلك الخطة لم تنعكس بشكل فعال علي التدابير الرامية لحظر التمييز العنصري في العراق، مع ذلك لا تزال العديد من الفئات داخل العراق تعاني من أشكال مختلفة من التمييز وعدم المساواة، خاصة أصحاب البشرة السوداء من الأفارقة، حيث يعيش العديد من السكان المنحدرين من أصل أفريقي، وبعضهم عديمي الجنسية، في فقر مدقع</w:t>
      </w:r>
      <w:r w:rsidRPr="002D648F">
        <w:rPr>
          <w:rFonts w:cstheme="minorHAnsi"/>
          <w:sz w:val="24"/>
          <w:szCs w:val="24"/>
          <w:lang w:bidi="ar-EG"/>
        </w:rPr>
        <w:t xml:space="preserve"> </w:t>
      </w:r>
      <w:r w:rsidRPr="002D648F">
        <w:rPr>
          <w:rFonts w:cstheme="minorHAnsi"/>
          <w:sz w:val="24"/>
          <w:szCs w:val="24"/>
          <w:rtl/>
          <w:lang w:bidi="ar-EG"/>
        </w:rPr>
        <w:t xml:space="preserve">مع ارتفاع معدلات الأمية والبطالة بينهم، ويعيش غالبية هؤلاء على الهوامش الجغرافية للتجمعات الحضرية دون تمثيل سياسي حقيقي، ولا مظلة قبلية قوية، علاوة علي وصمة العار المستمرة المتمثلة في تسميتهم العبيد خلال  التفاعلات اليومية. </w:t>
      </w:r>
      <w:r w:rsidRPr="002D648F">
        <w:rPr>
          <w:rStyle w:val="FootnoteReference"/>
          <w:rFonts w:cstheme="minorHAnsi"/>
          <w:sz w:val="24"/>
          <w:szCs w:val="24"/>
          <w:rtl/>
          <w:lang w:bidi="ar-EG"/>
        </w:rPr>
        <w:footnoteReference w:id="3"/>
      </w:r>
      <w:r w:rsidRPr="002D648F">
        <w:rPr>
          <w:rFonts w:cstheme="minorHAnsi"/>
          <w:sz w:val="24"/>
          <w:szCs w:val="24"/>
          <w:rtl/>
          <w:lang w:bidi="ar-EG"/>
        </w:rPr>
        <w:t xml:space="preserve">كما لا يزال أبناء الأقليات الدينية مثل البهائيين يعانون من أشكال التمييز العنصري ضدهم، ولا تزال القوانين التي تقيد حرية الدين والمعتقد بما في ذلك تلك التي تحظر الديانة البهائية </w:t>
      </w:r>
      <w:r w:rsidRPr="002D648F">
        <w:rPr>
          <w:rFonts w:cstheme="minorHAnsi"/>
          <w:sz w:val="24"/>
          <w:szCs w:val="24"/>
          <w:rtl/>
          <w:lang w:bidi="ar-EG"/>
        </w:rPr>
        <w:t>قائمة، ويحظر</w:t>
      </w:r>
      <w:r w:rsidRPr="002D648F">
        <w:rPr>
          <w:rFonts w:cstheme="minorHAnsi"/>
          <w:sz w:val="24"/>
          <w:szCs w:val="24"/>
          <w:rtl/>
          <w:lang w:bidi="ar-EG"/>
        </w:rPr>
        <w:t xml:space="preserve"> القانون الاتحادي العراقي ممارسة الشعائر البهائية، وينص على عقوبة السجن لمدة 10 سنوات لأي شخص يدان بممارستها. </w:t>
      </w:r>
      <w:r w:rsidRPr="002D648F">
        <w:rPr>
          <w:rStyle w:val="FootnoteReference"/>
          <w:rFonts w:cstheme="minorHAnsi"/>
          <w:sz w:val="24"/>
          <w:szCs w:val="24"/>
          <w:rtl/>
          <w:lang w:bidi="ar-EG"/>
        </w:rPr>
        <w:footnoteReference w:id="4"/>
      </w:r>
      <w:r w:rsidRPr="002D648F">
        <w:rPr>
          <w:rFonts w:cstheme="minorHAnsi"/>
          <w:sz w:val="24"/>
          <w:szCs w:val="24"/>
          <w:rtl/>
          <w:lang w:bidi="ar-EG"/>
        </w:rPr>
        <w:t xml:space="preserve"> </w:t>
      </w:r>
    </w:p>
    <w:p w14:paraId="3F123662" w14:textId="78A36AAC" w:rsidR="004534D5" w:rsidRPr="002D648F" w:rsidRDefault="004534D5" w:rsidP="004534D5">
      <w:pPr>
        <w:bidi/>
        <w:spacing w:line="276" w:lineRule="auto"/>
        <w:jc w:val="both"/>
        <w:rPr>
          <w:rFonts w:cstheme="minorHAnsi"/>
          <w:sz w:val="24"/>
          <w:szCs w:val="24"/>
          <w:rtl/>
          <w:lang w:bidi="ar-EG"/>
        </w:rPr>
      </w:pPr>
      <w:r w:rsidRPr="002D648F">
        <w:rPr>
          <w:rFonts w:cstheme="minorHAnsi"/>
          <w:sz w:val="24"/>
          <w:szCs w:val="24"/>
          <w:rtl/>
          <w:lang w:bidi="ar-EG"/>
        </w:rPr>
        <w:t xml:space="preserve">وتلاحظ مؤسسة ماعت عدم وجود قانون عراقي يجرم خطابات الكراهية المنتشرة علي نطاق واسع ضد الأقليات في العراق، بما في ذلك خطابات السياسيين والزعماء الدينيين، وهي خطابات تضاعف أشكال التمييز العنصري ضد تلك الأقليات، وفي أبريل 2023، أصبح الإيزيديون هدفاً لحملة من خطابات الكراهية على وسائل التواصل الاجتماعي بعد اتهامهم بحرق مسجد في منطقة سنجار خلال مظاهرة سلمية ضد عودة العائلات المشتبه في انتمائها إلى تنظيم داعش، وحرضت آلاف المنشورات على وسائل التواصل الاجتماعي على العنف ضدهم ، وهو ما يعني افتقار المجتمع العراقي إلى التسامح واحترام التنوع، والتلاعب بالمشاعر الشعبية، والاستخدام المتعمد للمفاهيم الخاطئة والأساطير لغرس عدم الثقة والكراهية تجاه الأقليات. </w:t>
      </w:r>
      <w:r w:rsidRPr="002D648F">
        <w:rPr>
          <w:rStyle w:val="FootnoteReference"/>
          <w:rFonts w:cstheme="minorHAnsi"/>
          <w:sz w:val="24"/>
          <w:szCs w:val="24"/>
          <w:rtl/>
          <w:lang w:bidi="ar-EG"/>
        </w:rPr>
        <w:footnoteReference w:id="5"/>
      </w:r>
      <w:r w:rsidRPr="002D648F">
        <w:rPr>
          <w:rFonts w:cstheme="minorHAnsi"/>
          <w:sz w:val="24"/>
          <w:szCs w:val="24"/>
          <w:rtl/>
          <w:lang w:bidi="ar-EG"/>
        </w:rPr>
        <w:t xml:space="preserve"> ولاحظت مؤسسة ماعت الممارسات </w:t>
      </w:r>
      <w:r w:rsidRPr="002D648F">
        <w:rPr>
          <w:rFonts w:cstheme="minorHAnsi"/>
          <w:sz w:val="24"/>
          <w:szCs w:val="24"/>
          <w:rtl/>
          <w:lang w:bidi="ar-EG"/>
        </w:rPr>
        <w:t>المنتشرة</w:t>
      </w:r>
      <w:r w:rsidRPr="002D648F">
        <w:rPr>
          <w:rFonts w:cstheme="minorHAnsi"/>
          <w:sz w:val="24"/>
          <w:szCs w:val="24"/>
          <w:rtl/>
          <w:lang w:bidi="ar-EG"/>
        </w:rPr>
        <w:t xml:space="preserve"> </w:t>
      </w:r>
      <w:r w:rsidRPr="002D648F">
        <w:rPr>
          <w:rFonts w:cstheme="minorHAnsi"/>
          <w:sz w:val="24"/>
          <w:szCs w:val="24"/>
          <w:rtl/>
          <w:lang w:bidi="ar-EG"/>
        </w:rPr>
        <w:t>الأخرى</w:t>
      </w:r>
      <w:r w:rsidRPr="002D648F">
        <w:rPr>
          <w:rFonts w:cstheme="minorHAnsi"/>
          <w:sz w:val="24"/>
          <w:szCs w:val="24"/>
          <w:rtl/>
          <w:lang w:bidi="ar-EG"/>
        </w:rPr>
        <w:t xml:space="preserve"> التي يتعرض لها </w:t>
      </w:r>
      <w:r w:rsidRPr="002D648F">
        <w:rPr>
          <w:rFonts w:cstheme="minorHAnsi"/>
          <w:sz w:val="24"/>
          <w:szCs w:val="24"/>
          <w:rtl/>
          <w:lang w:bidi="ar-EG"/>
        </w:rPr>
        <w:t>العراقيين</w:t>
      </w:r>
      <w:r w:rsidRPr="002D648F">
        <w:rPr>
          <w:rFonts w:cstheme="minorHAnsi"/>
          <w:sz w:val="24"/>
          <w:szCs w:val="24"/>
          <w:rtl/>
          <w:lang w:bidi="ar-EG"/>
        </w:rPr>
        <w:t xml:space="preserve"> من اصل أفريقي في مدينة الزبيرة بمحافظة البصرة في العراق حيث أطلقت حملة من قبل بعض الأفراد العراقيين من أصل أفريقي وذلك لمعالجة قضية القمامة، وتنصلت بلدية المدينة من مسؤوليتها عن أكوام القمامة وعزت المسؤولية إلي شركة نفط البصرة والتي افادت بإنها لن تستطيع تحمل تكاليف مشروع لإزالة الكمامة وعلي الرغم من المكاسب التي تحققها الشركة من عائدات النفط الشهرية، وافقت شركة نفط البصرة فقط على امداد مواطني مدينة الزبير، الذي يعيش فيها المواطنين من أصل أفريقي، ببراميل النفط متهالكة لاستخدامها مؤقتًا </w:t>
      </w:r>
      <w:r w:rsidRPr="002D648F">
        <w:rPr>
          <w:rFonts w:cstheme="minorHAnsi"/>
          <w:sz w:val="24"/>
          <w:szCs w:val="24"/>
          <w:rtl/>
          <w:lang w:bidi="ar-EG"/>
        </w:rPr>
        <w:lastRenderedPageBreak/>
        <w:t>في تجميع القمامة</w:t>
      </w:r>
      <w:r w:rsidRPr="002D648F">
        <w:rPr>
          <w:rStyle w:val="FootnoteReference"/>
          <w:rFonts w:cstheme="minorHAnsi"/>
          <w:sz w:val="24"/>
          <w:szCs w:val="24"/>
          <w:rtl/>
          <w:lang w:bidi="ar-EG"/>
        </w:rPr>
        <w:footnoteReference w:id="6"/>
      </w:r>
      <w:r w:rsidRPr="002D648F">
        <w:rPr>
          <w:rFonts w:cstheme="minorHAnsi"/>
          <w:sz w:val="24"/>
          <w:szCs w:val="24"/>
          <w:rtl/>
          <w:lang w:bidi="ar-EG"/>
        </w:rPr>
        <w:t xml:space="preserve">، وبالرغم من قلة التدابير التي اتخذتها الحكومة العراقية والرامية لحظر التمييز العنصري، وتقدر مؤسسة ماعت إطلاق العراق إستراتيجية جديدة تستهدف القضاء علي التمييز وتحقيق المساواة، حيث أطلقت وزارة العمل والشؤون الاجتماعية العراقية ومنظمة العمل الدولية "استراتيجية العراق الوطنية لمنع وتقليل عدم المساواة في العمل للأعوام 2024-2028"، وتركز الاستراتيجية بقوة على تحقيق المساواة بين المرأة والرجل في مكان العمل، من خلال مبادرات تهدف إلى تعزيز مشاركة المرأة وحمايتها، وتعد الإستراتيجية خطوة مهمة نحو خلق بيئة عمل في العراق يتمتع فيها كل فرد بغض النظر عن خلفيته أو ظروفه بفرص متساوية في الحصول على الفرص والمعاملة العادلة، ويهدف البرنامج بشكل أساسي إلى تعزيز المساواة في الوصول إلى التعليم الجيد والتعلم مدى الحياة من خلال تعزيز الشمولية في نظام التعليم، وتحسين فرص تنمية المهارات، ومواءمة التعليم مع احتياجات سوق العمل، وضمان الحماية الكافية لجميع العمال من خلال تعزيز التغطية القانونية، وضمان الامتثال لقوانين العمل، وتعزيز الحوار الاجتماعي. </w:t>
      </w:r>
    </w:p>
    <w:p w14:paraId="38BD2D5C" w14:textId="0A28088A" w:rsidR="004534D5" w:rsidRPr="002D648F" w:rsidRDefault="004534D5" w:rsidP="004534D5">
      <w:pPr>
        <w:bidi/>
        <w:spacing w:line="276" w:lineRule="auto"/>
        <w:jc w:val="both"/>
        <w:rPr>
          <w:rFonts w:cstheme="minorHAnsi"/>
          <w:b/>
          <w:bCs/>
          <w:sz w:val="24"/>
          <w:szCs w:val="24"/>
          <w:rtl/>
          <w:lang w:bidi="ar-EG"/>
        </w:rPr>
      </w:pPr>
      <w:r w:rsidRPr="002D648F">
        <w:rPr>
          <w:rFonts w:cstheme="minorHAnsi"/>
          <w:sz w:val="24"/>
          <w:szCs w:val="24"/>
          <w:rtl/>
          <w:lang w:bidi="ar-EG"/>
        </w:rPr>
        <w:t xml:space="preserve"> كما تمنح الاستراتيجية الأولوية لتحقيق الحماية الاجتماعية الشاملة من خلال توسيع نطاق تغطية الحماية الاجتماعية وضمان الوصول إليها.</w:t>
      </w:r>
      <w:r w:rsidRPr="002D648F">
        <w:rPr>
          <w:rStyle w:val="FootnoteReference"/>
          <w:rFonts w:cstheme="minorHAnsi"/>
          <w:sz w:val="24"/>
          <w:szCs w:val="24"/>
          <w:rtl/>
          <w:lang w:bidi="ar-EG"/>
        </w:rPr>
        <w:footnoteReference w:id="7"/>
      </w:r>
      <w:r w:rsidRPr="002D648F">
        <w:rPr>
          <w:rFonts w:cstheme="minorHAnsi"/>
          <w:sz w:val="24"/>
          <w:szCs w:val="24"/>
          <w:rtl/>
          <w:lang w:bidi="ar-EG"/>
        </w:rPr>
        <w:t xml:space="preserve"> وتلاحظ مؤسسة ماعت أن قانون العقوبات العراقي في المادة 372 اوجب فرض عقوبة الحبس او الغرامة على كل من اعتدى على معتقد او حقر من شعائر طائفة أو دنس أو أتلف بناء</w:t>
      </w:r>
      <w:r w:rsidRPr="002D648F">
        <w:rPr>
          <w:rFonts w:cstheme="minorHAnsi"/>
          <w:sz w:val="24"/>
          <w:szCs w:val="24"/>
          <w:rtl/>
          <w:lang w:bidi="ar-EG"/>
        </w:rPr>
        <w:t xml:space="preserve">ً </w:t>
      </w:r>
      <w:r w:rsidRPr="002D648F">
        <w:rPr>
          <w:rFonts w:cstheme="minorHAnsi"/>
          <w:sz w:val="24"/>
          <w:szCs w:val="24"/>
          <w:rtl/>
          <w:lang w:bidi="ar-EG"/>
        </w:rPr>
        <w:t>أو معبدا</w:t>
      </w:r>
      <w:r w:rsidRPr="002D648F">
        <w:rPr>
          <w:rFonts w:cstheme="minorHAnsi"/>
          <w:sz w:val="24"/>
          <w:szCs w:val="24"/>
          <w:rtl/>
          <w:lang w:bidi="ar-EG"/>
        </w:rPr>
        <w:t>ً</w:t>
      </w:r>
      <w:r w:rsidRPr="002D648F">
        <w:rPr>
          <w:rFonts w:cstheme="minorHAnsi"/>
          <w:sz w:val="24"/>
          <w:szCs w:val="24"/>
          <w:rtl/>
          <w:lang w:bidi="ar-EG"/>
        </w:rPr>
        <w:t>، إلا أنه لم يرق الى حظر التمييز والكراهية تجاه اي اعتداء لمعتقدات وشعائر واماكن العبادة لغير المسلمين .</w:t>
      </w:r>
      <w:r w:rsidRPr="002D648F">
        <w:rPr>
          <w:rStyle w:val="FootnoteReference"/>
          <w:rFonts w:cstheme="minorHAnsi"/>
          <w:sz w:val="24"/>
          <w:szCs w:val="24"/>
          <w:rtl/>
          <w:lang w:bidi="ar-EG"/>
        </w:rPr>
        <w:footnoteReference w:id="8"/>
      </w:r>
      <w:r w:rsidRPr="002D648F">
        <w:rPr>
          <w:rFonts w:cstheme="minorHAnsi"/>
          <w:sz w:val="24"/>
          <w:szCs w:val="24"/>
          <w:rtl/>
          <w:lang w:bidi="ar-EG"/>
        </w:rPr>
        <w:t>وتلاحظ مؤسسة ماعت أنه وعلي الرغم من أن الدستور العراقي يلزم الحكومة بتوفير الرعاية الاجتماعية والأمن الصحي للأشخاص ذوي الإعاقة، وذلك من خلال حمايتهم ضد التمييز وتوفير السكن وبرامج الرعاية الخاصة بهم، ومع ذلك ما برح القانون العراقي لا يحظر التمييز العنصري بشكل كامل ضد الأشخاص ذوي الإعاقات الجسدية أو الذهنية أو العقلية، ورغم وجود نسبة 5% من الوظائف العامة والتي تخصص للأشخاص ذوي الإعاقة، فلا يزال التمييز ضدهم مستمر حتي ال</w:t>
      </w:r>
      <w:r w:rsidRPr="002D648F">
        <w:rPr>
          <w:rFonts w:cstheme="minorHAnsi"/>
          <w:sz w:val="24"/>
          <w:szCs w:val="24"/>
          <w:rtl/>
          <w:lang w:bidi="ar-EG"/>
        </w:rPr>
        <w:t>آ</w:t>
      </w:r>
      <w:r w:rsidRPr="002D648F">
        <w:rPr>
          <w:rFonts w:cstheme="minorHAnsi"/>
          <w:sz w:val="24"/>
          <w:szCs w:val="24"/>
          <w:rtl/>
          <w:lang w:bidi="ar-EG"/>
        </w:rPr>
        <w:t xml:space="preserve">ن، وقد وثقت مؤسسة ماعت احتجاجات واعتصامات عدة للأشخاص ذوي الإعاقة في إقليم كردستان العراق، للمطالبة بعدم التمييز ضدهم خاصة فيما يتعلق بالتوظيف والتنمر المجتمعي والتحرش ضدهم، بما يتفق مع أحكام </w:t>
      </w:r>
      <w:r w:rsidRPr="002D648F">
        <w:rPr>
          <w:rFonts w:cstheme="minorHAnsi"/>
          <w:sz w:val="24"/>
          <w:szCs w:val="24"/>
          <w:rtl/>
          <w:lang w:bidi="ar-EG"/>
        </w:rPr>
        <w:t>الاتفاقية</w:t>
      </w:r>
      <w:r w:rsidRPr="002D648F">
        <w:rPr>
          <w:rFonts w:cstheme="minorHAnsi"/>
          <w:sz w:val="24"/>
          <w:szCs w:val="24"/>
          <w:rtl/>
          <w:lang w:bidi="ar-EG"/>
        </w:rPr>
        <w:t xml:space="preserve"> بجانب مبادئ وأحكام اتفاقية الأشخاص ذوي الإعاقة. </w:t>
      </w:r>
    </w:p>
    <w:p w14:paraId="4C820181" w14:textId="2BA479A6" w:rsidR="004534D5" w:rsidRPr="002D648F" w:rsidRDefault="004534D5" w:rsidP="004534D5">
      <w:pPr>
        <w:bidi/>
        <w:spacing w:after="200" w:line="276" w:lineRule="auto"/>
        <w:jc w:val="both"/>
        <w:rPr>
          <w:rFonts w:cstheme="minorHAnsi"/>
          <w:b/>
          <w:bCs/>
          <w:color w:val="ED0000"/>
          <w:sz w:val="28"/>
          <w:szCs w:val="28"/>
          <w:rtl/>
          <w:lang w:bidi="ar-EG"/>
        </w:rPr>
      </w:pPr>
      <w:r w:rsidRPr="002D648F">
        <w:rPr>
          <w:rFonts w:cstheme="minorHAnsi"/>
          <w:b/>
          <w:bCs/>
          <w:color w:val="ED0000"/>
          <w:sz w:val="28"/>
          <w:szCs w:val="28"/>
          <w:rtl/>
          <w:lang w:bidi="ar-EG"/>
        </w:rPr>
        <w:t>اللجوء</w:t>
      </w:r>
      <w:r w:rsidRPr="002D648F">
        <w:rPr>
          <w:rFonts w:cstheme="minorHAnsi"/>
          <w:b/>
          <w:bCs/>
          <w:color w:val="ED0000"/>
          <w:sz w:val="28"/>
          <w:szCs w:val="28"/>
          <w:rtl/>
          <w:lang w:bidi="ar-EG"/>
        </w:rPr>
        <w:t xml:space="preserve"> </w:t>
      </w:r>
      <w:r w:rsidRPr="002D648F">
        <w:rPr>
          <w:rFonts w:cstheme="minorHAnsi"/>
          <w:b/>
          <w:bCs/>
          <w:color w:val="ED0000"/>
          <w:sz w:val="28"/>
          <w:szCs w:val="28"/>
          <w:rtl/>
          <w:lang w:bidi="ar-EG"/>
        </w:rPr>
        <w:t>إلى</w:t>
      </w:r>
      <w:r w:rsidRPr="002D648F">
        <w:rPr>
          <w:rFonts w:cstheme="minorHAnsi"/>
          <w:b/>
          <w:bCs/>
          <w:color w:val="ED0000"/>
          <w:sz w:val="28"/>
          <w:szCs w:val="28"/>
          <w:rtl/>
          <w:lang w:bidi="ar-EG"/>
        </w:rPr>
        <w:t xml:space="preserve"> المحاكم الوطنية</w:t>
      </w:r>
      <w:r w:rsidR="001914B3">
        <w:rPr>
          <w:rFonts w:cstheme="minorHAnsi" w:hint="cs"/>
          <w:b/>
          <w:bCs/>
          <w:color w:val="ED0000"/>
          <w:sz w:val="28"/>
          <w:szCs w:val="28"/>
          <w:rtl/>
          <w:lang w:bidi="ar-EG"/>
        </w:rPr>
        <w:t xml:space="preserve"> (المادة 6)</w:t>
      </w:r>
      <w:r w:rsidRPr="002D648F">
        <w:rPr>
          <w:rFonts w:cstheme="minorHAnsi"/>
          <w:b/>
          <w:bCs/>
          <w:color w:val="ED0000"/>
          <w:sz w:val="28"/>
          <w:szCs w:val="28"/>
          <w:rtl/>
          <w:lang w:bidi="ar-EG"/>
        </w:rPr>
        <w:t>:</w:t>
      </w:r>
    </w:p>
    <w:p w14:paraId="32809EF6" w14:textId="77777777" w:rsidR="004534D5" w:rsidRPr="002D648F" w:rsidRDefault="004534D5" w:rsidP="004534D5">
      <w:pPr>
        <w:bidi/>
        <w:spacing w:after="200" w:line="276" w:lineRule="auto"/>
        <w:jc w:val="both"/>
        <w:rPr>
          <w:rFonts w:cstheme="minorHAnsi"/>
          <w:sz w:val="24"/>
          <w:szCs w:val="24"/>
          <w:rtl/>
          <w:lang w:bidi="ar-EG"/>
        </w:rPr>
      </w:pPr>
      <w:r w:rsidRPr="002D648F">
        <w:rPr>
          <w:rFonts w:cstheme="minorHAnsi"/>
          <w:sz w:val="24"/>
          <w:szCs w:val="24"/>
          <w:rtl/>
          <w:lang w:bidi="ar-EG"/>
        </w:rPr>
        <w:t>تكفل المحاكم الوطنية العراقية إمكانية اللجوء إليها في بعض قضايا التمييز ضد فئات معينة، فعلي سبيل المثال يكفل قانون العمل العراقي في المادة (8) الحق في اللجوء إلي محكمة العمل أو المحاكم المدنية والجزائية لمواجهة أي مخالفة أو تجاوز لمبدأ تكافؤ الفرص والمساواة في المعاملة أيا كان السبب وعلى وجه الخصوص التمييز بين العمال، سواء كان ذلك تمييزاً مباشر أو غير مباشر في كل ما يتعلق بالتدريب المهني أو التشغيل أو شروط العمل وظروفه.</w:t>
      </w:r>
      <w:r w:rsidRPr="002D648F">
        <w:rPr>
          <w:rStyle w:val="FootnoteReference"/>
          <w:rFonts w:cstheme="minorHAnsi"/>
          <w:sz w:val="24"/>
          <w:szCs w:val="24"/>
          <w:rtl/>
          <w:lang w:bidi="ar-EG"/>
        </w:rPr>
        <w:footnoteReference w:id="9"/>
      </w:r>
      <w:r w:rsidRPr="002D648F">
        <w:rPr>
          <w:rFonts w:cstheme="minorHAnsi"/>
          <w:sz w:val="24"/>
          <w:szCs w:val="24"/>
          <w:rtl/>
          <w:lang w:bidi="ar-EG"/>
        </w:rPr>
        <w:t xml:space="preserve"> وخلال عام 2023 وبالتحديد منذ شهر </w:t>
      </w:r>
      <w:r w:rsidRPr="002D648F">
        <w:rPr>
          <w:rFonts w:cstheme="minorHAnsi"/>
          <w:sz w:val="24"/>
          <w:szCs w:val="24"/>
          <w:rtl/>
          <w:lang w:bidi="ar-EG"/>
        </w:rPr>
        <w:lastRenderedPageBreak/>
        <w:t>يونيو، أصدرت المحاكم العراقية العديد من الأحكام والإجراءات القانونية ضد خطابات الكراهية والعنف، والتي تزيد من التمييز العنصري داخل المجتمع العراقي، واستهدفت تلك الأحكام القضاء علي أحد أخطر أشكال التمييز العنصري وهي خطابات الكراهية، وذلك من أجل إزكاء روح المساواة بين أفراد المجتمعات وتقبل الثقافات والحوار واحترام الرأي الآخر.</w:t>
      </w:r>
      <w:r w:rsidRPr="002D648F">
        <w:rPr>
          <w:rStyle w:val="FootnoteReference"/>
          <w:rFonts w:cstheme="minorHAnsi"/>
          <w:sz w:val="24"/>
          <w:szCs w:val="24"/>
          <w:rtl/>
          <w:lang w:bidi="ar-EG"/>
        </w:rPr>
        <w:footnoteReference w:id="10"/>
      </w:r>
      <w:r w:rsidRPr="002D648F">
        <w:rPr>
          <w:rFonts w:cstheme="minorHAnsi"/>
          <w:sz w:val="24"/>
          <w:szCs w:val="24"/>
          <w:rtl/>
          <w:lang w:bidi="ar-EG"/>
        </w:rPr>
        <w:t xml:space="preserve"> مع ذلك لا تزال تغيب إحصائيات حديثة ومصنفة بخصوص لجوء الأشخاص الذين يتعرضون للتمييز العنصري إلي المحاكم الوطنية وعدد الدعاوي التي تم الفصل فيها والأحكام الصادرة بالتعويض في الأضرار التي لحقت بالأشخاص الذين تعرضوًا لممارسات تميزية. </w:t>
      </w:r>
    </w:p>
    <w:p w14:paraId="57E26F1A" w14:textId="081D642A" w:rsidR="004534D5" w:rsidRPr="002D648F" w:rsidRDefault="004534D5" w:rsidP="004534D5">
      <w:pPr>
        <w:bidi/>
        <w:spacing w:after="200" w:line="276" w:lineRule="auto"/>
        <w:jc w:val="both"/>
        <w:rPr>
          <w:rFonts w:cstheme="minorHAnsi"/>
          <w:b/>
          <w:bCs/>
          <w:color w:val="ED0000"/>
          <w:sz w:val="28"/>
          <w:szCs w:val="28"/>
          <w:rtl/>
          <w:lang w:bidi="ar-EG"/>
        </w:rPr>
      </w:pPr>
      <w:r w:rsidRPr="002D648F">
        <w:rPr>
          <w:rFonts w:cstheme="minorHAnsi"/>
          <w:b/>
          <w:bCs/>
          <w:color w:val="ED0000"/>
          <w:sz w:val="28"/>
          <w:szCs w:val="28"/>
          <w:rtl/>
          <w:lang w:bidi="ar-EG"/>
        </w:rPr>
        <w:t xml:space="preserve"> القضاء عل</w:t>
      </w:r>
      <w:r w:rsidRPr="002D648F">
        <w:rPr>
          <w:rFonts w:cstheme="minorHAnsi"/>
          <w:b/>
          <w:bCs/>
          <w:color w:val="ED0000"/>
          <w:sz w:val="28"/>
          <w:szCs w:val="28"/>
          <w:rtl/>
          <w:lang w:bidi="ar-EG"/>
        </w:rPr>
        <w:t>ى</w:t>
      </w:r>
      <w:r w:rsidRPr="002D648F">
        <w:rPr>
          <w:rFonts w:cstheme="minorHAnsi"/>
          <w:b/>
          <w:bCs/>
          <w:color w:val="ED0000"/>
          <w:sz w:val="28"/>
          <w:szCs w:val="28"/>
          <w:rtl/>
          <w:lang w:bidi="ar-EG"/>
        </w:rPr>
        <w:t xml:space="preserve"> </w:t>
      </w:r>
      <w:r w:rsidRPr="002D648F">
        <w:rPr>
          <w:rFonts w:cstheme="minorHAnsi"/>
          <w:b/>
          <w:bCs/>
          <w:color w:val="ED0000"/>
          <w:sz w:val="28"/>
          <w:szCs w:val="28"/>
          <w:rtl/>
          <w:lang w:bidi="ar-EG"/>
        </w:rPr>
        <w:t>التمييز العنصري</w:t>
      </w:r>
      <w:r w:rsidRPr="002D648F">
        <w:rPr>
          <w:rFonts w:cstheme="minorHAnsi"/>
          <w:b/>
          <w:bCs/>
          <w:color w:val="ED0000"/>
          <w:sz w:val="28"/>
          <w:szCs w:val="28"/>
          <w:rtl/>
          <w:lang w:bidi="ar-EG"/>
        </w:rPr>
        <w:t xml:space="preserve"> في التعليم والتربية والثقافة </w:t>
      </w:r>
      <w:r w:rsidRPr="002D648F">
        <w:rPr>
          <w:rFonts w:cstheme="minorHAnsi"/>
          <w:b/>
          <w:bCs/>
          <w:color w:val="ED0000"/>
          <w:sz w:val="28"/>
          <w:szCs w:val="28"/>
          <w:rtl/>
          <w:lang w:bidi="ar-EG"/>
        </w:rPr>
        <w:t>والإعلام (</w:t>
      </w:r>
      <w:r w:rsidRPr="002D648F">
        <w:rPr>
          <w:rFonts w:cstheme="minorHAnsi"/>
          <w:b/>
          <w:bCs/>
          <w:color w:val="ED0000"/>
          <w:sz w:val="28"/>
          <w:szCs w:val="28"/>
          <w:rtl/>
          <w:lang w:bidi="ar-EG"/>
        </w:rPr>
        <w:t xml:space="preserve">المادة </w:t>
      </w:r>
      <w:r w:rsidR="001914B3">
        <w:rPr>
          <w:rFonts w:cstheme="minorHAnsi" w:hint="cs"/>
          <w:b/>
          <w:bCs/>
          <w:color w:val="ED0000"/>
          <w:sz w:val="28"/>
          <w:szCs w:val="28"/>
          <w:rtl/>
          <w:lang w:bidi="ar-EG"/>
        </w:rPr>
        <w:t>7</w:t>
      </w:r>
      <w:r w:rsidRPr="002D648F">
        <w:rPr>
          <w:rFonts w:cstheme="minorHAnsi"/>
          <w:b/>
          <w:bCs/>
          <w:color w:val="ED0000"/>
          <w:sz w:val="28"/>
          <w:szCs w:val="28"/>
          <w:rtl/>
          <w:lang w:bidi="ar-EG"/>
        </w:rPr>
        <w:t>)</w:t>
      </w:r>
      <w:r w:rsidRPr="002D648F">
        <w:rPr>
          <w:rFonts w:cstheme="minorHAnsi"/>
          <w:b/>
          <w:bCs/>
          <w:color w:val="ED0000"/>
          <w:sz w:val="28"/>
          <w:szCs w:val="28"/>
          <w:rtl/>
          <w:lang w:bidi="ar-EG"/>
        </w:rPr>
        <w:t>:</w:t>
      </w:r>
    </w:p>
    <w:p w14:paraId="24CD1A3B" w14:textId="6A1AE37A" w:rsidR="004534D5" w:rsidRPr="002D648F" w:rsidRDefault="004534D5" w:rsidP="004534D5">
      <w:pPr>
        <w:bidi/>
        <w:spacing w:after="200" w:line="276" w:lineRule="auto"/>
        <w:jc w:val="both"/>
        <w:rPr>
          <w:rFonts w:cstheme="minorHAnsi"/>
          <w:sz w:val="24"/>
          <w:szCs w:val="24"/>
          <w:rtl/>
          <w:lang w:bidi="ar-EG"/>
        </w:rPr>
      </w:pPr>
      <w:r w:rsidRPr="002D648F">
        <w:rPr>
          <w:rFonts w:cstheme="minorHAnsi"/>
          <w:sz w:val="24"/>
          <w:szCs w:val="24"/>
          <w:rtl/>
          <w:lang w:bidi="ar-EG"/>
        </w:rPr>
        <w:t xml:space="preserve">تلاحظ مؤسسة ماعت بإيجابية التطورات التي قامت بها العراق من أجل تنفيذ المادة السابعة من </w:t>
      </w:r>
      <w:r w:rsidRPr="002D648F">
        <w:rPr>
          <w:rFonts w:cstheme="minorHAnsi"/>
          <w:sz w:val="24"/>
          <w:szCs w:val="24"/>
          <w:rtl/>
          <w:lang w:bidi="ar-EG"/>
        </w:rPr>
        <w:t>الاتفاقية</w:t>
      </w:r>
      <w:r w:rsidRPr="002D648F">
        <w:rPr>
          <w:rFonts w:cstheme="minorHAnsi"/>
          <w:sz w:val="24"/>
          <w:szCs w:val="24"/>
          <w:rtl/>
          <w:lang w:bidi="ar-EG"/>
        </w:rPr>
        <w:t xml:space="preserve"> بما في ذلك عقد 42 دورة تدريبية خلال الفترة من 2018 </w:t>
      </w:r>
      <w:r w:rsidRPr="002D648F">
        <w:rPr>
          <w:rFonts w:cstheme="minorHAnsi"/>
          <w:sz w:val="24"/>
          <w:szCs w:val="24"/>
          <w:rtl/>
          <w:lang w:bidi="ar-EG"/>
        </w:rPr>
        <w:t>وحتى</w:t>
      </w:r>
      <w:r w:rsidRPr="002D648F">
        <w:rPr>
          <w:rFonts w:cstheme="minorHAnsi"/>
          <w:sz w:val="24"/>
          <w:szCs w:val="24"/>
          <w:rtl/>
          <w:lang w:bidi="ar-EG"/>
        </w:rPr>
        <w:t xml:space="preserve"> 2021 داخل العراق لموظفي انفاذ القانون في وزارة الداخلية العراقية. كما لاحظت مؤسسة ماعت إن الخطة الوطنية لحقوق الإنسان في العراق 2021-2025 استهدفت زيادة أنشطة التوعية في وسائل الإعلام بمكافحة التمييز العنصري. كما وضعت الإستراتيجية هدفًا ينص عل</w:t>
      </w:r>
      <w:r w:rsidRPr="002D648F">
        <w:rPr>
          <w:rFonts w:cstheme="minorHAnsi"/>
          <w:sz w:val="24"/>
          <w:szCs w:val="24"/>
          <w:rtl/>
          <w:lang w:bidi="ar-EG"/>
        </w:rPr>
        <w:t>ى</w:t>
      </w:r>
      <w:r w:rsidRPr="002D648F">
        <w:rPr>
          <w:rFonts w:cstheme="minorHAnsi"/>
          <w:sz w:val="24"/>
          <w:szCs w:val="24"/>
          <w:rtl/>
          <w:lang w:bidi="ar-EG"/>
        </w:rPr>
        <w:t xml:space="preserve"> جعل العراقيون </w:t>
      </w:r>
      <w:r w:rsidRPr="002D648F">
        <w:rPr>
          <w:rFonts w:cstheme="minorHAnsi"/>
          <w:sz w:val="24"/>
          <w:szCs w:val="24"/>
          <w:rtl/>
          <w:lang w:bidi="ar-EG"/>
        </w:rPr>
        <w:t>متساوون</w:t>
      </w:r>
      <w:r w:rsidRPr="002D648F">
        <w:rPr>
          <w:rFonts w:cstheme="minorHAnsi"/>
          <w:sz w:val="24"/>
          <w:szCs w:val="24"/>
          <w:rtl/>
          <w:lang w:bidi="ar-EG"/>
        </w:rPr>
        <w:t xml:space="preserve"> أمام القانون بدون تمييز </w:t>
      </w:r>
      <w:r w:rsidRPr="002D648F">
        <w:rPr>
          <w:rFonts w:cstheme="minorHAnsi"/>
          <w:sz w:val="24"/>
          <w:szCs w:val="24"/>
          <w:rtl/>
          <w:lang w:bidi="ar-EG"/>
        </w:rPr>
        <w:t>على</w:t>
      </w:r>
      <w:r w:rsidRPr="002D648F">
        <w:rPr>
          <w:rFonts w:cstheme="minorHAnsi"/>
          <w:sz w:val="24"/>
          <w:szCs w:val="24"/>
          <w:rtl/>
          <w:lang w:bidi="ar-EG"/>
        </w:rPr>
        <w:t xml:space="preserve"> أساس الجنس أو العرق أو اللون أو الوضع </w:t>
      </w:r>
      <w:r w:rsidRPr="002D648F">
        <w:rPr>
          <w:rFonts w:cstheme="minorHAnsi"/>
          <w:sz w:val="24"/>
          <w:szCs w:val="24"/>
          <w:rtl/>
          <w:lang w:bidi="ar-EG"/>
        </w:rPr>
        <w:t>الاجتماعي</w:t>
      </w:r>
      <w:r w:rsidRPr="002D648F">
        <w:rPr>
          <w:rStyle w:val="FootnoteReference"/>
          <w:rFonts w:cstheme="minorHAnsi"/>
          <w:sz w:val="24"/>
          <w:szCs w:val="24"/>
          <w:rtl/>
          <w:lang w:bidi="ar-EG"/>
        </w:rPr>
        <w:footnoteReference w:id="11"/>
      </w:r>
      <w:r w:rsidRPr="002D648F">
        <w:rPr>
          <w:rFonts w:cstheme="minorHAnsi"/>
          <w:sz w:val="24"/>
          <w:szCs w:val="24"/>
          <w:rtl/>
          <w:lang w:bidi="ar-EG"/>
        </w:rPr>
        <w:t xml:space="preserve">. مع ذلك أطلعت مؤسسة ماعت </w:t>
      </w:r>
      <w:r w:rsidRPr="002D648F">
        <w:rPr>
          <w:rFonts w:cstheme="minorHAnsi"/>
          <w:sz w:val="24"/>
          <w:szCs w:val="24"/>
          <w:rtl/>
          <w:lang w:bidi="ar-EG"/>
        </w:rPr>
        <w:t>على</w:t>
      </w:r>
      <w:r w:rsidRPr="002D648F">
        <w:rPr>
          <w:rFonts w:cstheme="minorHAnsi"/>
          <w:sz w:val="24"/>
          <w:szCs w:val="24"/>
          <w:rtl/>
          <w:lang w:bidi="ar-EG"/>
        </w:rPr>
        <w:t xml:space="preserve"> تقارير تفيد بإن خطابات الكراهية بما في ذلك الممارسات التمييزية لا تزال سائدة في وسائل الإعلام مع إفلات من العقاب وعدم مساءلة</w:t>
      </w:r>
      <w:r w:rsidRPr="002D648F">
        <w:rPr>
          <w:rStyle w:val="FootnoteReference"/>
          <w:rFonts w:cstheme="minorHAnsi"/>
          <w:sz w:val="24"/>
          <w:szCs w:val="24"/>
          <w:rtl/>
          <w:lang w:bidi="ar-EG"/>
        </w:rPr>
        <w:footnoteReference w:id="12"/>
      </w:r>
      <w:r w:rsidRPr="002D648F">
        <w:rPr>
          <w:rFonts w:cstheme="minorHAnsi"/>
          <w:sz w:val="24"/>
          <w:szCs w:val="24"/>
          <w:rtl/>
          <w:lang w:bidi="ar-EG"/>
        </w:rPr>
        <w:t xml:space="preserve">. وقد وثقت مؤسسة ماعت استمرار التمييز ضد تعليم فئات معينة من الأطفال في العراق، فمنذ عام 2019، لم يتلق الاطفال المشتبه في ارتباطهم بتنظيم داعش تعليمهم، كما طبقت السلطات العراقية قوانين التعويض المالي للعديد من الأسر التي تم تهجيرها أثناء الحرب علي داعش بطريقة تمييزية، حيث تم استبعاد الأسر التي يعتقد أنها تنتمي إلي تنظيم داعش من الحصول علي تلك التعويضات، وهو الأمر الذي ترك العديد من هؤلاء النازحين دون الحصول علي الحد </w:t>
      </w:r>
      <w:r w:rsidRPr="002D648F">
        <w:rPr>
          <w:rFonts w:cstheme="minorHAnsi"/>
          <w:sz w:val="24"/>
          <w:szCs w:val="24"/>
          <w:rtl/>
          <w:lang w:bidi="ar-EG"/>
        </w:rPr>
        <w:t>الأدنى</w:t>
      </w:r>
      <w:r w:rsidRPr="002D648F">
        <w:rPr>
          <w:rFonts w:cstheme="minorHAnsi"/>
          <w:sz w:val="24"/>
          <w:szCs w:val="24"/>
          <w:rtl/>
          <w:lang w:bidi="ar-EG"/>
        </w:rPr>
        <w:t xml:space="preserve"> من الموارد المالية اللازمة للبدء بإعادة بناء حياتهم والقدرة على التعافي، وهو ما أفضي في النهاية إلي تردي أوضاعهم المعيشية، مما حرم العديد من الأطفال المنتمين لتلك الأسر من ممارسة حقهم في التعليم، كما لا تزال  القوانين العراقية ترسخ التمييز ضد الأشخاص عديمي الجنسية، وذلك بشكل أساسي من خلال التمييز ضد المرأة في قوانين الجنسية، وهو ما أدي إلي تحديات كبيرة واجهت عديمي الجنسية  في الوصول إلى أبسط حقوقهم، بما في ذلك الوصول إلى التعليم وفرص العمل وخاصة الحصول علي وظائف في القطاع العام والرعاية الطبية والوصول إلى الوثائق المدنية الضرورية لتسيير الحياة اليومية لهم بشكل طبيعي، </w:t>
      </w:r>
      <w:r w:rsidRPr="002D648F">
        <w:rPr>
          <w:rStyle w:val="FootnoteReference"/>
          <w:rFonts w:cstheme="minorHAnsi"/>
          <w:sz w:val="24"/>
          <w:szCs w:val="24"/>
          <w:rtl/>
          <w:lang w:bidi="ar-EG"/>
        </w:rPr>
        <w:footnoteReference w:id="13"/>
      </w:r>
      <w:r w:rsidRPr="002D648F">
        <w:rPr>
          <w:rFonts w:cstheme="minorHAnsi"/>
          <w:sz w:val="24"/>
          <w:szCs w:val="24"/>
          <w:rtl/>
          <w:lang w:bidi="ar-EG"/>
        </w:rPr>
        <w:t xml:space="preserve"> كما وثقت مؤسسة ماعت وجود عدة عوائق للوصول الى التعليم في العراق، أهمها عدم اتخاذ إجراءات حقيقية لتوفير خدمة الانترنت بأسعار معقولة، بما في ذلك الوصول المجاني والعادل الى الانترنت للمحتوى التعليمي.</w:t>
      </w:r>
      <w:r w:rsidRPr="002D648F">
        <w:rPr>
          <w:rStyle w:val="FootnoteReference"/>
          <w:rFonts w:cstheme="minorHAnsi"/>
          <w:sz w:val="24"/>
          <w:szCs w:val="24"/>
          <w:rtl/>
          <w:lang w:bidi="ar-EG"/>
        </w:rPr>
        <w:footnoteReference w:id="14"/>
      </w:r>
    </w:p>
    <w:p w14:paraId="6B73FE7B" w14:textId="1ED8D540" w:rsidR="004534D5" w:rsidRPr="002D648F" w:rsidRDefault="004534D5" w:rsidP="004534D5">
      <w:pPr>
        <w:bidi/>
        <w:spacing w:after="200" w:line="276" w:lineRule="auto"/>
        <w:jc w:val="both"/>
        <w:rPr>
          <w:rFonts w:cstheme="minorHAnsi"/>
          <w:b/>
          <w:bCs/>
          <w:color w:val="ED0000"/>
          <w:sz w:val="28"/>
          <w:szCs w:val="28"/>
          <w:rtl/>
          <w:lang w:bidi="ar-EG"/>
        </w:rPr>
      </w:pPr>
      <w:r w:rsidRPr="002D648F">
        <w:rPr>
          <w:rFonts w:cstheme="minorHAnsi"/>
          <w:b/>
          <w:bCs/>
          <w:color w:val="ED0000"/>
          <w:sz w:val="28"/>
          <w:szCs w:val="28"/>
          <w:rtl/>
          <w:lang w:bidi="ar-EG"/>
        </w:rPr>
        <w:lastRenderedPageBreak/>
        <w:t>توصي مؤسسة ماعت بال</w:t>
      </w:r>
      <w:r w:rsidRPr="002D648F">
        <w:rPr>
          <w:rFonts w:cstheme="minorHAnsi"/>
          <w:b/>
          <w:bCs/>
          <w:color w:val="ED0000"/>
          <w:sz w:val="28"/>
          <w:szCs w:val="28"/>
          <w:rtl/>
          <w:lang w:bidi="ar-EG"/>
        </w:rPr>
        <w:t>آ</w:t>
      </w:r>
      <w:r w:rsidRPr="002D648F">
        <w:rPr>
          <w:rFonts w:cstheme="minorHAnsi"/>
          <w:b/>
          <w:bCs/>
          <w:color w:val="ED0000"/>
          <w:sz w:val="28"/>
          <w:szCs w:val="28"/>
          <w:rtl/>
          <w:lang w:bidi="ar-EG"/>
        </w:rPr>
        <w:t xml:space="preserve">تي: </w:t>
      </w:r>
    </w:p>
    <w:p w14:paraId="5BF6A599" w14:textId="3DF7825D" w:rsidR="004534D5" w:rsidRPr="002D648F" w:rsidRDefault="004534D5" w:rsidP="004534D5">
      <w:pPr>
        <w:pStyle w:val="ListParagraph"/>
        <w:numPr>
          <w:ilvl w:val="0"/>
          <w:numId w:val="36"/>
        </w:numPr>
        <w:bidi/>
        <w:spacing w:after="200" w:line="276" w:lineRule="auto"/>
        <w:jc w:val="both"/>
        <w:rPr>
          <w:rFonts w:cstheme="minorHAnsi"/>
          <w:sz w:val="24"/>
          <w:szCs w:val="24"/>
          <w:lang w:bidi="ar-EG"/>
        </w:rPr>
      </w:pPr>
      <w:r w:rsidRPr="002D648F">
        <w:rPr>
          <w:rFonts w:cstheme="minorHAnsi"/>
          <w:sz w:val="24"/>
          <w:szCs w:val="24"/>
          <w:rtl/>
          <w:lang w:bidi="ar-EG"/>
        </w:rPr>
        <w:t xml:space="preserve">حث الحكومة العراقية </w:t>
      </w:r>
      <w:r w:rsidRPr="002D648F">
        <w:rPr>
          <w:rFonts w:cstheme="minorHAnsi"/>
          <w:sz w:val="24"/>
          <w:szCs w:val="24"/>
          <w:rtl/>
          <w:lang w:bidi="ar-EG"/>
        </w:rPr>
        <w:t>على</w:t>
      </w:r>
      <w:r w:rsidRPr="002D648F">
        <w:rPr>
          <w:rFonts w:cstheme="minorHAnsi"/>
          <w:sz w:val="24"/>
          <w:szCs w:val="24"/>
          <w:rtl/>
          <w:lang w:bidi="ar-EG"/>
        </w:rPr>
        <w:t xml:space="preserve"> توسيع نطاق اللجوء </w:t>
      </w:r>
      <w:r w:rsidRPr="002D648F">
        <w:rPr>
          <w:rFonts w:cstheme="minorHAnsi"/>
          <w:sz w:val="24"/>
          <w:szCs w:val="24"/>
          <w:rtl/>
          <w:lang w:bidi="ar-EG"/>
        </w:rPr>
        <w:t>إلى</w:t>
      </w:r>
      <w:r w:rsidRPr="002D648F">
        <w:rPr>
          <w:rFonts w:cstheme="minorHAnsi"/>
          <w:sz w:val="24"/>
          <w:szCs w:val="24"/>
          <w:rtl/>
          <w:lang w:bidi="ar-EG"/>
        </w:rPr>
        <w:t xml:space="preserve"> المحاكم الوطنية العراقية لمواجهة الأشكال المختلفة للتمييز العنصري ضد فئات أو مجموعات معينة، بحيث لا يقتصر الأمر </w:t>
      </w:r>
      <w:r w:rsidRPr="002D648F">
        <w:rPr>
          <w:rFonts w:cstheme="minorHAnsi"/>
          <w:sz w:val="24"/>
          <w:szCs w:val="24"/>
          <w:rtl/>
          <w:lang w:bidi="ar-EG"/>
        </w:rPr>
        <w:t>على</w:t>
      </w:r>
      <w:r w:rsidRPr="002D648F">
        <w:rPr>
          <w:rFonts w:cstheme="minorHAnsi"/>
          <w:sz w:val="24"/>
          <w:szCs w:val="24"/>
          <w:rtl/>
          <w:lang w:bidi="ar-EG"/>
        </w:rPr>
        <w:t xml:space="preserve"> المساواة في العمل فقط. </w:t>
      </w:r>
    </w:p>
    <w:p w14:paraId="203BD499" w14:textId="47CC8746" w:rsidR="004534D5" w:rsidRPr="002D648F" w:rsidRDefault="004534D5" w:rsidP="004534D5">
      <w:pPr>
        <w:pStyle w:val="ListParagraph"/>
        <w:numPr>
          <w:ilvl w:val="0"/>
          <w:numId w:val="36"/>
        </w:numPr>
        <w:bidi/>
        <w:spacing w:after="200" w:line="276" w:lineRule="auto"/>
        <w:jc w:val="both"/>
        <w:rPr>
          <w:rFonts w:cstheme="minorHAnsi"/>
          <w:sz w:val="24"/>
          <w:szCs w:val="24"/>
          <w:lang w:bidi="ar-EG"/>
        </w:rPr>
      </w:pPr>
      <w:r w:rsidRPr="002D648F">
        <w:rPr>
          <w:rFonts w:cstheme="minorHAnsi"/>
          <w:sz w:val="24"/>
          <w:szCs w:val="24"/>
          <w:rtl/>
          <w:lang w:bidi="ar-EG"/>
        </w:rPr>
        <w:t xml:space="preserve">حث الحكومة العراقية </w:t>
      </w:r>
      <w:r w:rsidRPr="002D648F">
        <w:rPr>
          <w:rFonts w:cstheme="minorHAnsi"/>
          <w:sz w:val="24"/>
          <w:szCs w:val="24"/>
          <w:rtl/>
          <w:lang w:bidi="ar-EG"/>
        </w:rPr>
        <w:t>على</w:t>
      </w:r>
      <w:r w:rsidRPr="002D648F">
        <w:rPr>
          <w:rFonts w:cstheme="minorHAnsi"/>
          <w:sz w:val="24"/>
          <w:szCs w:val="24"/>
          <w:rtl/>
          <w:lang w:bidi="ar-EG"/>
        </w:rPr>
        <w:t xml:space="preserve"> إيلاء اهتمام خاص للمنحدرين من أصل أفريقي والنظر في وضع تلك الفئة التي تعيش في مدينة الزبير في البصرة.</w:t>
      </w:r>
    </w:p>
    <w:p w14:paraId="3257A848" w14:textId="01C8423A" w:rsidR="004534D5" w:rsidRPr="002D648F" w:rsidRDefault="004534D5" w:rsidP="004534D5">
      <w:pPr>
        <w:pStyle w:val="ListParagraph"/>
        <w:numPr>
          <w:ilvl w:val="0"/>
          <w:numId w:val="36"/>
        </w:numPr>
        <w:bidi/>
        <w:spacing w:after="200" w:line="276" w:lineRule="auto"/>
        <w:jc w:val="both"/>
        <w:rPr>
          <w:rFonts w:cstheme="minorHAnsi"/>
          <w:sz w:val="24"/>
          <w:szCs w:val="24"/>
          <w:lang w:bidi="ar-EG"/>
        </w:rPr>
      </w:pPr>
      <w:r w:rsidRPr="002D648F">
        <w:rPr>
          <w:rFonts w:cstheme="minorHAnsi"/>
          <w:sz w:val="24"/>
          <w:szCs w:val="24"/>
          <w:rtl/>
          <w:lang w:bidi="ar-EG"/>
        </w:rPr>
        <w:t xml:space="preserve">استحداث تعديل تشريعي يضع تعريفًا للتمييز العنصري يتفق مع المادة الأولي من </w:t>
      </w:r>
      <w:r w:rsidRPr="002D648F">
        <w:rPr>
          <w:rFonts w:cstheme="minorHAnsi"/>
          <w:sz w:val="24"/>
          <w:szCs w:val="24"/>
          <w:rtl/>
          <w:lang w:bidi="ar-EG"/>
        </w:rPr>
        <w:t>الاتفاقية</w:t>
      </w:r>
      <w:r w:rsidRPr="002D648F">
        <w:rPr>
          <w:rFonts w:cstheme="minorHAnsi"/>
          <w:sz w:val="24"/>
          <w:szCs w:val="24"/>
          <w:rtl/>
          <w:lang w:bidi="ar-EG"/>
        </w:rPr>
        <w:t>.</w:t>
      </w:r>
    </w:p>
    <w:p w14:paraId="67DF9C8F" w14:textId="192B4FC4" w:rsidR="004534D5" w:rsidRPr="002D648F" w:rsidRDefault="004534D5" w:rsidP="004534D5">
      <w:pPr>
        <w:pStyle w:val="ListParagraph"/>
        <w:numPr>
          <w:ilvl w:val="0"/>
          <w:numId w:val="36"/>
        </w:numPr>
        <w:bidi/>
        <w:spacing w:after="200" w:line="276" w:lineRule="auto"/>
        <w:jc w:val="both"/>
        <w:rPr>
          <w:rFonts w:cstheme="minorHAnsi"/>
          <w:sz w:val="24"/>
          <w:szCs w:val="24"/>
          <w:rtl/>
          <w:lang w:bidi="ar-EG"/>
        </w:rPr>
      </w:pPr>
      <w:r w:rsidRPr="002D648F">
        <w:rPr>
          <w:rFonts w:cstheme="minorHAnsi"/>
          <w:sz w:val="24"/>
          <w:szCs w:val="24"/>
          <w:rtl/>
          <w:lang w:bidi="ar-EG"/>
        </w:rPr>
        <w:t xml:space="preserve">إنشاء منصة لتوثيق </w:t>
      </w:r>
      <w:r w:rsidRPr="002D648F">
        <w:rPr>
          <w:rFonts w:cstheme="minorHAnsi"/>
          <w:sz w:val="24"/>
          <w:szCs w:val="24"/>
          <w:rtl/>
          <w:lang w:bidi="ar-EG"/>
        </w:rPr>
        <w:t>الشكاوى</w:t>
      </w:r>
      <w:r w:rsidRPr="002D648F">
        <w:rPr>
          <w:rFonts w:cstheme="minorHAnsi"/>
          <w:sz w:val="24"/>
          <w:szCs w:val="24"/>
          <w:rtl/>
          <w:lang w:bidi="ar-EG"/>
        </w:rPr>
        <w:t xml:space="preserve"> المتعلقة بممارسات التمييز العنصري في العراق وجعلها متاحة للجمهور.</w:t>
      </w:r>
    </w:p>
    <w:p w14:paraId="088601F4" w14:textId="384AEAE3" w:rsidR="004534D5" w:rsidRPr="002D648F" w:rsidRDefault="004534D5" w:rsidP="004534D5">
      <w:pPr>
        <w:pStyle w:val="ListParagraph"/>
        <w:numPr>
          <w:ilvl w:val="0"/>
          <w:numId w:val="36"/>
        </w:numPr>
        <w:bidi/>
        <w:spacing w:after="200" w:line="276" w:lineRule="auto"/>
        <w:jc w:val="both"/>
        <w:rPr>
          <w:rFonts w:cstheme="minorHAnsi"/>
          <w:sz w:val="24"/>
          <w:szCs w:val="24"/>
          <w:rtl/>
          <w:lang w:bidi="ar-EG"/>
        </w:rPr>
      </w:pPr>
      <w:r w:rsidRPr="002D648F">
        <w:rPr>
          <w:rFonts w:cstheme="minorHAnsi"/>
          <w:sz w:val="24"/>
          <w:szCs w:val="24"/>
          <w:rtl/>
          <w:lang w:bidi="ar-EG"/>
        </w:rPr>
        <w:t xml:space="preserve">تشجيع الحكومة </w:t>
      </w:r>
      <w:r w:rsidRPr="002D648F">
        <w:rPr>
          <w:rFonts w:cstheme="minorHAnsi"/>
          <w:sz w:val="24"/>
          <w:szCs w:val="24"/>
          <w:rtl/>
          <w:lang w:bidi="ar-EG"/>
        </w:rPr>
        <w:t>على</w:t>
      </w:r>
      <w:r w:rsidRPr="002D648F">
        <w:rPr>
          <w:rFonts w:cstheme="minorHAnsi"/>
          <w:sz w:val="24"/>
          <w:szCs w:val="24"/>
          <w:rtl/>
          <w:lang w:bidi="ar-EG"/>
        </w:rPr>
        <w:t xml:space="preserve"> اتخاذ التدابير اللازمة للقضاء </w:t>
      </w:r>
      <w:r w:rsidRPr="002D648F">
        <w:rPr>
          <w:rFonts w:cstheme="minorHAnsi"/>
          <w:sz w:val="24"/>
          <w:szCs w:val="24"/>
          <w:rtl/>
          <w:lang w:bidi="ar-EG"/>
        </w:rPr>
        <w:t>على</w:t>
      </w:r>
      <w:r w:rsidRPr="002D648F">
        <w:rPr>
          <w:rFonts w:cstheme="minorHAnsi"/>
          <w:sz w:val="24"/>
          <w:szCs w:val="24"/>
          <w:rtl/>
          <w:lang w:bidi="ar-EG"/>
        </w:rPr>
        <w:t xml:space="preserve"> التمييز العنصري في التعليم خاصة ضد الأطفال المشتبه في انتماء أسرهم </w:t>
      </w:r>
      <w:r w:rsidRPr="002D648F">
        <w:rPr>
          <w:rFonts w:cstheme="minorHAnsi"/>
          <w:sz w:val="24"/>
          <w:szCs w:val="24"/>
          <w:rtl/>
          <w:lang w:bidi="ar-EG"/>
        </w:rPr>
        <w:t>إلى</w:t>
      </w:r>
      <w:r w:rsidRPr="002D648F">
        <w:rPr>
          <w:rFonts w:cstheme="minorHAnsi"/>
          <w:sz w:val="24"/>
          <w:szCs w:val="24"/>
          <w:rtl/>
          <w:lang w:bidi="ar-EG"/>
        </w:rPr>
        <w:t xml:space="preserve"> تنظيم داعش، ومنح تلك الأسر التعويضات المالية اللازمة لمساعدتهم في تعليم أطفالهم. </w:t>
      </w:r>
    </w:p>
    <w:p w14:paraId="1805A59D" w14:textId="42E0BA36" w:rsidR="004534D5" w:rsidRPr="002D648F" w:rsidRDefault="004534D5" w:rsidP="004534D5">
      <w:pPr>
        <w:pStyle w:val="ListParagraph"/>
        <w:numPr>
          <w:ilvl w:val="0"/>
          <w:numId w:val="36"/>
        </w:numPr>
        <w:bidi/>
        <w:spacing w:after="200" w:line="276" w:lineRule="auto"/>
        <w:jc w:val="both"/>
        <w:rPr>
          <w:rFonts w:cstheme="minorHAnsi"/>
          <w:sz w:val="24"/>
          <w:szCs w:val="24"/>
          <w:lang w:bidi="ar-EG"/>
        </w:rPr>
      </w:pPr>
      <w:r w:rsidRPr="002D648F">
        <w:rPr>
          <w:rFonts w:cstheme="minorHAnsi"/>
          <w:sz w:val="24"/>
          <w:szCs w:val="24"/>
          <w:rtl/>
          <w:lang w:bidi="ar-EG"/>
        </w:rPr>
        <w:t xml:space="preserve">العمل </w:t>
      </w:r>
      <w:r w:rsidRPr="002D648F">
        <w:rPr>
          <w:rFonts w:cstheme="minorHAnsi"/>
          <w:sz w:val="24"/>
          <w:szCs w:val="24"/>
          <w:rtl/>
          <w:lang w:bidi="ar-EG"/>
        </w:rPr>
        <w:t>على</w:t>
      </w:r>
      <w:r w:rsidRPr="002D648F">
        <w:rPr>
          <w:rFonts w:cstheme="minorHAnsi"/>
          <w:sz w:val="24"/>
          <w:szCs w:val="24"/>
          <w:rtl/>
          <w:lang w:bidi="ar-EG"/>
        </w:rPr>
        <w:t xml:space="preserve"> إنهاء جميع ممارسات التمييز العنصري ضد الأشخاص ذوي الإعاقة في العراق.</w:t>
      </w:r>
    </w:p>
    <w:p w14:paraId="2BAF45D0" w14:textId="3E8BF974" w:rsidR="004534D5" w:rsidRPr="002D648F" w:rsidRDefault="004534D5" w:rsidP="004534D5">
      <w:pPr>
        <w:pStyle w:val="ListParagraph"/>
        <w:numPr>
          <w:ilvl w:val="0"/>
          <w:numId w:val="36"/>
        </w:numPr>
        <w:bidi/>
        <w:spacing w:after="200" w:line="276" w:lineRule="auto"/>
        <w:jc w:val="both"/>
        <w:rPr>
          <w:rFonts w:cstheme="minorHAnsi"/>
          <w:sz w:val="24"/>
          <w:szCs w:val="24"/>
          <w:rtl/>
          <w:lang w:bidi="ar-EG"/>
        </w:rPr>
      </w:pPr>
      <w:r w:rsidRPr="002D648F">
        <w:rPr>
          <w:rFonts w:cstheme="minorHAnsi"/>
          <w:sz w:val="24"/>
          <w:szCs w:val="24"/>
          <w:rtl/>
          <w:lang w:bidi="ar-EG"/>
        </w:rPr>
        <w:t xml:space="preserve">العمل </w:t>
      </w:r>
      <w:r w:rsidRPr="002D648F">
        <w:rPr>
          <w:rFonts w:cstheme="minorHAnsi"/>
          <w:sz w:val="24"/>
          <w:szCs w:val="24"/>
          <w:rtl/>
          <w:lang w:bidi="ar-EG"/>
        </w:rPr>
        <w:t>على</w:t>
      </w:r>
      <w:r w:rsidRPr="002D648F">
        <w:rPr>
          <w:rFonts w:cstheme="minorHAnsi"/>
          <w:sz w:val="24"/>
          <w:szCs w:val="24"/>
          <w:rtl/>
          <w:lang w:bidi="ar-EG"/>
        </w:rPr>
        <w:t xml:space="preserve"> وضع برامج متخصصة للحد من خطابات الكراهية والتمييز العنصري.</w:t>
      </w:r>
    </w:p>
    <w:p w14:paraId="0B2E4F0B" w14:textId="6AE9B986" w:rsidR="00F871C7" w:rsidRPr="002D648F" w:rsidRDefault="004534D5" w:rsidP="004534D5">
      <w:pPr>
        <w:pStyle w:val="ListParagraph"/>
        <w:numPr>
          <w:ilvl w:val="0"/>
          <w:numId w:val="36"/>
        </w:numPr>
        <w:bidi/>
        <w:spacing w:after="200" w:line="276" w:lineRule="auto"/>
        <w:jc w:val="both"/>
        <w:rPr>
          <w:rFonts w:cstheme="minorHAnsi"/>
          <w:sz w:val="24"/>
          <w:szCs w:val="24"/>
          <w:rtl/>
          <w:lang w:bidi="ar-EG"/>
        </w:rPr>
      </w:pPr>
      <w:r w:rsidRPr="002D648F">
        <w:rPr>
          <w:rFonts w:cstheme="minorHAnsi"/>
          <w:sz w:val="24"/>
          <w:szCs w:val="24"/>
          <w:rtl/>
          <w:lang w:bidi="ar-EG"/>
        </w:rPr>
        <w:t>العمل علي زيادة برامج التثقيف والتدريب للمكلفين بإنفاذ القانون والموظفين العموميين في العراق.</w:t>
      </w:r>
    </w:p>
    <w:sectPr w:rsidR="00F871C7" w:rsidRPr="002D648F"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526785" w14:textId="77777777" w:rsidR="00DB3089" w:rsidRDefault="00DB3089" w:rsidP="004F6D5A">
      <w:pPr>
        <w:spacing w:after="0" w:line="240" w:lineRule="auto"/>
      </w:pPr>
      <w:r>
        <w:separator/>
      </w:r>
    </w:p>
  </w:endnote>
  <w:endnote w:type="continuationSeparator" w:id="0">
    <w:p w14:paraId="591B383D" w14:textId="77777777" w:rsidR="00DB3089" w:rsidRDefault="00DB3089"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DAFAA" w14:textId="77777777" w:rsidR="00DB3089" w:rsidRDefault="00DB3089" w:rsidP="004F6D5A">
      <w:pPr>
        <w:spacing w:after="0" w:line="240" w:lineRule="auto"/>
      </w:pPr>
      <w:r>
        <w:separator/>
      </w:r>
    </w:p>
  </w:footnote>
  <w:footnote w:type="continuationSeparator" w:id="0">
    <w:p w14:paraId="78B24A17" w14:textId="77777777" w:rsidR="00DB3089" w:rsidRDefault="00DB3089" w:rsidP="004F6D5A">
      <w:pPr>
        <w:spacing w:after="0" w:line="240" w:lineRule="auto"/>
      </w:pPr>
      <w:r>
        <w:continuationSeparator/>
      </w:r>
    </w:p>
  </w:footnote>
  <w:footnote w:id="1">
    <w:p w14:paraId="2DC59D5A" w14:textId="77777777" w:rsidR="004534D5" w:rsidRPr="008A7F76" w:rsidRDefault="004534D5" w:rsidP="004534D5">
      <w:pPr>
        <w:pStyle w:val="FootnoteText"/>
        <w:bidi/>
        <w:rPr>
          <w:rFonts w:asciiTheme="majorBidi" w:hAnsiTheme="majorBidi" w:cstheme="majorBidi"/>
          <w:rtl/>
        </w:rPr>
      </w:pPr>
      <w:r w:rsidRPr="008A7F76">
        <w:rPr>
          <w:rStyle w:val="FootnoteReference"/>
          <w:rFonts w:asciiTheme="majorBidi" w:hAnsiTheme="majorBidi" w:cstheme="majorBidi"/>
        </w:rPr>
        <w:footnoteRef/>
      </w:r>
      <w:r w:rsidRPr="008A7F76">
        <w:rPr>
          <w:rFonts w:asciiTheme="majorBidi" w:hAnsiTheme="majorBidi" w:cstheme="majorBidi"/>
        </w:rPr>
        <w:t xml:space="preserve"> </w:t>
      </w:r>
      <w:r w:rsidRPr="008A7F76">
        <w:rPr>
          <w:rFonts w:asciiTheme="majorBidi" w:hAnsiTheme="majorBidi" w:cstheme="majorBidi"/>
          <w:rtl/>
        </w:rPr>
        <w:t xml:space="preserve">نص التحفظات والإعلانات المقدمة من العراق فيما يخص اتفاقية القضاء على جميع أشكال التمييز ضد المرأة، </w:t>
      </w:r>
      <w:hyperlink r:id="rId1" w:history="1">
        <w:r w:rsidRPr="008A7F76">
          <w:rPr>
            <w:rStyle w:val="Hyperlink"/>
            <w:rFonts w:asciiTheme="majorBidi" w:hAnsiTheme="majorBidi" w:cstheme="majorBidi"/>
          </w:rPr>
          <w:t>https://tinyurl.com/bdvzvspp</w:t>
        </w:r>
      </w:hyperlink>
    </w:p>
    <w:p w14:paraId="11326455" w14:textId="77777777" w:rsidR="004534D5" w:rsidRPr="008A7F76" w:rsidRDefault="004534D5" w:rsidP="004534D5">
      <w:pPr>
        <w:pStyle w:val="FootnoteText"/>
        <w:bidi/>
        <w:rPr>
          <w:rFonts w:asciiTheme="majorBidi" w:hAnsiTheme="majorBidi" w:cstheme="majorBidi"/>
          <w:rtl/>
          <w:lang w:bidi="ar-EG"/>
        </w:rPr>
      </w:pPr>
    </w:p>
  </w:footnote>
  <w:footnote w:id="2">
    <w:p w14:paraId="553FD42A" w14:textId="77777777" w:rsidR="004534D5" w:rsidRPr="008A7F76" w:rsidRDefault="004534D5" w:rsidP="004534D5">
      <w:pPr>
        <w:pStyle w:val="FootnoteText"/>
        <w:bidi/>
        <w:rPr>
          <w:rFonts w:asciiTheme="majorBidi" w:hAnsiTheme="majorBidi" w:cstheme="majorBidi"/>
          <w:rtl/>
        </w:rPr>
      </w:pPr>
      <w:r w:rsidRPr="008A7F76">
        <w:rPr>
          <w:rStyle w:val="FootnoteReference"/>
          <w:rFonts w:asciiTheme="majorBidi" w:hAnsiTheme="majorBidi" w:cstheme="majorBidi"/>
        </w:rPr>
        <w:footnoteRef/>
      </w:r>
      <w:bookmarkStart w:id="0" w:name="_Hlk170911341"/>
      <w:r w:rsidRPr="008A7F76">
        <w:rPr>
          <w:rFonts w:asciiTheme="majorBidi" w:hAnsiTheme="majorBidi" w:cstheme="majorBidi"/>
        </w:rPr>
        <w:t xml:space="preserve"> International Convention on the Elimination of All Forms of Racial Discrimination, article 1, </w:t>
      </w:r>
      <w:hyperlink r:id="rId2" w:history="1">
        <w:r w:rsidRPr="008A7F76">
          <w:rPr>
            <w:rStyle w:val="Hyperlink"/>
            <w:rFonts w:asciiTheme="majorBidi" w:hAnsiTheme="majorBidi" w:cstheme="majorBidi"/>
          </w:rPr>
          <w:t>https://tinyurl.com/bdd9dd8a</w:t>
        </w:r>
      </w:hyperlink>
      <w:bookmarkEnd w:id="0"/>
    </w:p>
  </w:footnote>
  <w:footnote w:id="3">
    <w:p w14:paraId="0CBB2D72" w14:textId="459DA52D" w:rsidR="004534D5" w:rsidRPr="008A7F76" w:rsidRDefault="004534D5" w:rsidP="004534D5">
      <w:pPr>
        <w:pStyle w:val="FootnoteText"/>
        <w:bidi/>
        <w:rPr>
          <w:rFonts w:asciiTheme="majorBidi" w:hAnsiTheme="majorBidi" w:cstheme="majorBidi"/>
          <w:rtl/>
        </w:rPr>
      </w:pPr>
      <w:r w:rsidRPr="008A7F76">
        <w:rPr>
          <w:rStyle w:val="FootnoteReference"/>
          <w:rFonts w:asciiTheme="majorBidi" w:hAnsiTheme="majorBidi" w:cstheme="majorBidi"/>
        </w:rPr>
        <w:footnoteRef/>
      </w:r>
      <w:bookmarkStart w:id="1" w:name="_Hlk170911410"/>
      <w:r w:rsidRPr="008A7F76">
        <w:rPr>
          <w:rFonts w:asciiTheme="majorBidi" w:hAnsiTheme="majorBidi" w:cstheme="majorBidi"/>
        </w:rPr>
        <w:t xml:space="preserve"> Black Iraqis have been invisible for a long time. Their vibrant culture and struggle must be recognized, </w:t>
      </w:r>
      <w:r w:rsidRPr="008A7F76">
        <w:rPr>
          <w:rFonts w:asciiTheme="majorBidi" w:hAnsiTheme="majorBidi" w:cstheme="majorBidi"/>
        </w:rPr>
        <w:t>Atlantic council</w:t>
      </w:r>
      <w:r w:rsidRPr="008A7F76">
        <w:rPr>
          <w:rFonts w:asciiTheme="majorBidi" w:hAnsiTheme="majorBidi" w:cstheme="majorBidi"/>
        </w:rPr>
        <w:t xml:space="preserve">, 24 March, 2023, </w:t>
      </w:r>
      <w:hyperlink r:id="rId3" w:history="1">
        <w:r w:rsidRPr="008A7F76">
          <w:rPr>
            <w:rStyle w:val="Hyperlink"/>
            <w:rFonts w:asciiTheme="majorBidi" w:hAnsiTheme="majorBidi" w:cstheme="majorBidi"/>
          </w:rPr>
          <w:t>https://tinyurl.com/5n6hrwr6</w:t>
        </w:r>
      </w:hyperlink>
      <w:bookmarkEnd w:id="1"/>
    </w:p>
  </w:footnote>
  <w:footnote w:id="4">
    <w:p w14:paraId="03CB2E42" w14:textId="7FE10D8A" w:rsidR="004534D5" w:rsidRPr="008A7F76" w:rsidRDefault="004534D5" w:rsidP="004534D5">
      <w:pPr>
        <w:pStyle w:val="FootnoteText"/>
        <w:bidi/>
        <w:rPr>
          <w:rFonts w:asciiTheme="majorBidi" w:hAnsiTheme="majorBidi" w:cstheme="majorBidi"/>
          <w:rtl/>
        </w:rPr>
      </w:pPr>
      <w:r w:rsidRPr="008A7F76">
        <w:rPr>
          <w:rStyle w:val="FootnoteReference"/>
          <w:rFonts w:asciiTheme="majorBidi" w:hAnsiTheme="majorBidi" w:cstheme="majorBidi"/>
        </w:rPr>
        <w:footnoteRef/>
      </w:r>
      <w:r w:rsidRPr="008A7F76">
        <w:rPr>
          <w:rFonts w:asciiTheme="majorBidi" w:hAnsiTheme="majorBidi" w:cstheme="majorBidi"/>
        </w:rPr>
        <w:t xml:space="preserve"> </w:t>
      </w:r>
      <w:bookmarkStart w:id="2" w:name="_Hlk170911435"/>
      <w:r w:rsidRPr="008A7F76">
        <w:rPr>
          <w:rFonts w:asciiTheme="majorBidi" w:hAnsiTheme="majorBidi" w:cstheme="majorBidi"/>
        </w:rPr>
        <w:t xml:space="preserve">U.S. Strongly Critical of Religious Abuses in Iraq, kurdistan24, 28 </w:t>
      </w:r>
      <w:r w:rsidRPr="008A7F76">
        <w:rPr>
          <w:rFonts w:asciiTheme="majorBidi" w:hAnsiTheme="majorBidi" w:cstheme="majorBidi"/>
        </w:rPr>
        <w:t>June</w:t>
      </w:r>
      <w:r w:rsidRPr="008A7F76">
        <w:rPr>
          <w:rFonts w:asciiTheme="majorBidi" w:hAnsiTheme="majorBidi" w:cstheme="majorBidi"/>
        </w:rPr>
        <w:t xml:space="preserve"> 2024, </w:t>
      </w:r>
      <w:hyperlink r:id="rId4" w:history="1">
        <w:r w:rsidRPr="008A7F76">
          <w:rPr>
            <w:rStyle w:val="Hyperlink"/>
            <w:rFonts w:asciiTheme="majorBidi" w:hAnsiTheme="majorBidi" w:cstheme="majorBidi"/>
          </w:rPr>
          <w:t>https://tinyurl.com/mtuw5fsb</w:t>
        </w:r>
      </w:hyperlink>
      <w:bookmarkEnd w:id="2"/>
    </w:p>
  </w:footnote>
  <w:footnote w:id="5">
    <w:p w14:paraId="24BA442A" w14:textId="77777777" w:rsidR="004534D5" w:rsidRPr="008A7F76" w:rsidRDefault="004534D5" w:rsidP="004534D5">
      <w:pPr>
        <w:pStyle w:val="FootnoteText"/>
        <w:bidi/>
        <w:rPr>
          <w:rFonts w:asciiTheme="majorBidi" w:hAnsiTheme="majorBidi" w:cstheme="majorBidi"/>
          <w:rtl/>
        </w:rPr>
      </w:pPr>
      <w:r w:rsidRPr="008A7F76">
        <w:rPr>
          <w:rStyle w:val="FootnoteReference"/>
          <w:rFonts w:asciiTheme="majorBidi" w:hAnsiTheme="majorBidi" w:cstheme="majorBidi"/>
        </w:rPr>
        <w:footnoteRef/>
      </w:r>
      <w:r w:rsidRPr="008A7F76">
        <w:rPr>
          <w:rFonts w:asciiTheme="majorBidi" w:hAnsiTheme="majorBidi" w:cstheme="majorBidi"/>
        </w:rPr>
        <w:t xml:space="preserve"> </w:t>
      </w:r>
      <w:bookmarkStart w:id="3" w:name="_Hlk170911476"/>
      <w:r w:rsidRPr="008A7F76">
        <w:rPr>
          <w:rFonts w:asciiTheme="majorBidi" w:hAnsiTheme="majorBidi" w:cstheme="majorBidi"/>
        </w:rPr>
        <w:t xml:space="preserve">Addressing challenges to tolerance and religious diversity in Iraq, middle east institute, 5 July, 2023, </w:t>
      </w:r>
      <w:hyperlink r:id="rId5" w:history="1">
        <w:r w:rsidRPr="008A7F76">
          <w:rPr>
            <w:rStyle w:val="Hyperlink"/>
            <w:rFonts w:asciiTheme="majorBidi" w:hAnsiTheme="majorBidi" w:cstheme="majorBidi"/>
          </w:rPr>
          <w:t>https://tinyurl.com/rfkrtbdd</w:t>
        </w:r>
      </w:hyperlink>
      <w:bookmarkEnd w:id="3"/>
    </w:p>
  </w:footnote>
  <w:footnote w:id="6">
    <w:p w14:paraId="18D5BCDA" w14:textId="77777777" w:rsidR="004534D5" w:rsidRPr="008A7F76" w:rsidRDefault="004534D5" w:rsidP="004534D5">
      <w:pPr>
        <w:pStyle w:val="FootnoteText"/>
        <w:bidi/>
        <w:rPr>
          <w:rFonts w:asciiTheme="majorBidi" w:hAnsiTheme="majorBidi" w:cstheme="majorBidi"/>
          <w:rtl/>
          <w:lang w:bidi="ar-EG"/>
        </w:rPr>
      </w:pPr>
      <w:bookmarkStart w:id="4" w:name="_Hlk170911517"/>
      <w:r w:rsidRPr="008A7F76">
        <w:rPr>
          <w:rStyle w:val="FootnoteReference"/>
          <w:rFonts w:asciiTheme="majorBidi" w:hAnsiTheme="majorBidi" w:cstheme="majorBidi"/>
        </w:rPr>
        <w:footnoteRef/>
      </w:r>
      <w:r w:rsidRPr="008A7F76">
        <w:rPr>
          <w:rFonts w:asciiTheme="majorBidi" w:hAnsiTheme="majorBidi" w:cstheme="majorBidi"/>
        </w:rPr>
        <w:t xml:space="preserve"> Legacies of Slavery and Revolt in Iraq’s Port City</w:t>
      </w:r>
      <w:r w:rsidRPr="008A7F76">
        <w:rPr>
          <w:rFonts w:asciiTheme="majorBidi" w:hAnsiTheme="majorBidi" w:cstheme="majorBidi"/>
          <w:rtl/>
        </w:rPr>
        <w:t xml:space="preserve"> </w:t>
      </w:r>
      <w:hyperlink r:id="rId6" w:history="1">
        <w:r w:rsidRPr="008A7F76">
          <w:rPr>
            <w:rStyle w:val="Hyperlink"/>
            <w:rFonts w:asciiTheme="majorBidi" w:hAnsiTheme="majorBidi" w:cstheme="majorBidi"/>
          </w:rPr>
          <w:t>https://peacerep.org/2024/01/09/legacies-of-slavery-and-revolt-in-iraqs-port-city/</w:t>
        </w:r>
      </w:hyperlink>
      <w:r w:rsidRPr="008A7F76">
        <w:rPr>
          <w:rFonts w:asciiTheme="majorBidi" w:hAnsiTheme="majorBidi" w:cstheme="majorBidi"/>
          <w:rtl/>
        </w:rPr>
        <w:t xml:space="preserve"> </w:t>
      </w:r>
      <w:bookmarkEnd w:id="4"/>
    </w:p>
  </w:footnote>
  <w:footnote w:id="7">
    <w:p w14:paraId="5ABAB682" w14:textId="77777777" w:rsidR="004534D5" w:rsidRPr="008A7F76" w:rsidRDefault="004534D5" w:rsidP="004534D5">
      <w:pPr>
        <w:pStyle w:val="FootnoteText"/>
        <w:bidi/>
        <w:rPr>
          <w:rFonts w:asciiTheme="majorBidi" w:hAnsiTheme="majorBidi" w:cstheme="majorBidi"/>
          <w:rtl/>
        </w:rPr>
      </w:pPr>
      <w:r w:rsidRPr="008A7F76">
        <w:rPr>
          <w:rStyle w:val="FootnoteReference"/>
          <w:rFonts w:asciiTheme="majorBidi" w:hAnsiTheme="majorBidi" w:cstheme="majorBidi"/>
        </w:rPr>
        <w:footnoteRef/>
      </w:r>
      <w:bookmarkStart w:id="5" w:name="_Hlk170911549"/>
      <w:r w:rsidRPr="008A7F76">
        <w:rPr>
          <w:rFonts w:asciiTheme="majorBidi" w:hAnsiTheme="majorBidi" w:cstheme="majorBidi"/>
        </w:rPr>
        <w:t xml:space="preserve"> Groundbreaking Iraqi national strategy set to reduce inequalities in the world of work, </w:t>
      </w:r>
      <w:proofErr w:type="spellStart"/>
      <w:r w:rsidRPr="008A7F76">
        <w:rPr>
          <w:rFonts w:asciiTheme="majorBidi" w:hAnsiTheme="majorBidi" w:cstheme="majorBidi"/>
        </w:rPr>
        <w:t>reliefweb</w:t>
      </w:r>
      <w:proofErr w:type="spellEnd"/>
      <w:r w:rsidRPr="008A7F76">
        <w:rPr>
          <w:rFonts w:asciiTheme="majorBidi" w:hAnsiTheme="majorBidi" w:cstheme="majorBidi"/>
        </w:rPr>
        <w:t xml:space="preserve">, 8 Mar 2024, </w:t>
      </w:r>
      <w:hyperlink r:id="rId7" w:history="1">
        <w:r w:rsidRPr="008A7F76">
          <w:rPr>
            <w:rStyle w:val="Hyperlink"/>
            <w:rFonts w:asciiTheme="majorBidi" w:hAnsiTheme="majorBidi" w:cstheme="majorBidi"/>
          </w:rPr>
          <w:t>https://tinyurl.com/4x5yzwxs</w:t>
        </w:r>
      </w:hyperlink>
      <w:bookmarkEnd w:id="5"/>
    </w:p>
  </w:footnote>
  <w:footnote w:id="8">
    <w:p w14:paraId="47F885B9" w14:textId="77777777" w:rsidR="004534D5" w:rsidRPr="008A7F76" w:rsidRDefault="004534D5" w:rsidP="004534D5">
      <w:pPr>
        <w:pStyle w:val="FootnoteText"/>
        <w:bidi/>
        <w:rPr>
          <w:rFonts w:asciiTheme="majorBidi" w:hAnsiTheme="majorBidi" w:cstheme="majorBidi"/>
          <w:rtl/>
          <w:lang w:bidi="ar-EG"/>
        </w:rPr>
      </w:pPr>
      <w:r w:rsidRPr="008A7F76">
        <w:rPr>
          <w:rStyle w:val="FootnoteReference"/>
          <w:rFonts w:asciiTheme="majorBidi" w:hAnsiTheme="majorBidi" w:cstheme="majorBidi"/>
        </w:rPr>
        <w:footnoteRef/>
      </w:r>
      <w:r w:rsidRPr="008A7F76">
        <w:rPr>
          <w:rFonts w:asciiTheme="majorBidi" w:hAnsiTheme="majorBidi" w:cstheme="majorBidi"/>
          <w:rtl/>
          <w:lang w:bidi="ar-EG"/>
        </w:rPr>
        <w:t xml:space="preserve"> قانون العقوبات العراقي رقم 111 لسنة 1969، المعدل، المادة 372، للاطلاع علي باقي المواد انظر الرابط التالي: </w:t>
      </w:r>
      <w:hyperlink r:id="rId8" w:history="1">
        <w:r w:rsidRPr="008A7F76">
          <w:rPr>
            <w:rStyle w:val="Hyperlink"/>
            <w:rFonts w:asciiTheme="majorBidi" w:hAnsiTheme="majorBidi" w:cstheme="majorBidi"/>
            <w:lang w:bidi="ar-EG"/>
          </w:rPr>
          <w:t>https://tinyurl.com/5n6zatcb</w:t>
        </w:r>
      </w:hyperlink>
    </w:p>
  </w:footnote>
  <w:footnote w:id="9">
    <w:p w14:paraId="242EE4A6" w14:textId="77777777" w:rsidR="004534D5" w:rsidRPr="008A7F76" w:rsidRDefault="004534D5" w:rsidP="004534D5">
      <w:pPr>
        <w:pStyle w:val="FootnoteText"/>
        <w:bidi/>
        <w:rPr>
          <w:rFonts w:asciiTheme="majorBidi" w:hAnsiTheme="majorBidi" w:cstheme="majorBidi"/>
          <w:rtl/>
          <w:lang w:bidi="ar-EG"/>
        </w:rPr>
      </w:pPr>
      <w:r w:rsidRPr="008A7F76">
        <w:rPr>
          <w:rStyle w:val="FootnoteReference"/>
          <w:rFonts w:asciiTheme="majorBidi" w:hAnsiTheme="majorBidi" w:cstheme="majorBidi"/>
        </w:rPr>
        <w:footnoteRef/>
      </w:r>
      <w:r>
        <w:rPr>
          <w:rFonts w:asciiTheme="majorBidi" w:hAnsiTheme="majorBidi" w:cstheme="majorBidi" w:hint="cs"/>
          <w:rtl/>
          <w:lang w:bidi="ar-EG"/>
        </w:rPr>
        <w:t xml:space="preserve"> </w:t>
      </w:r>
      <w:r w:rsidRPr="008A7F76">
        <w:rPr>
          <w:rFonts w:asciiTheme="majorBidi" w:hAnsiTheme="majorBidi" w:cstheme="majorBidi"/>
          <w:rtl/>
          <w:lang w:bidi="ar-EG"/>
        </w:rPr>
        <w:t xml:space="preserve">قانون العمل العراقي و حقوق العمال، سمعت بهذا، 15 مارس 2023، </w:t>
      </w:r>
      <w:hyperlink r:id="rId9" w:history="1">
        <w:r w:rsidRPr="008A7F76">
          <w:rPr>
            <w:rStyle w:val="Hyperlink"/>
            <w:rFonts w:asciiTheme="majorBidi" w:hAnsiTheme="majorBidi" w:cstheme="majorBidi"/>
            <w:lang w:bidi="ar-EG"/>
          </w:rPr>
          <w:t>https://tinyurl.com/mnrhsa2s</w:t>
        </w:r>
      </w:hyperlink>
    </w:p>
  </w:footnote>
  <w:footnote w:id="10">
    <w:p w14:paraId="360670FF" w14:textId="77777777" w:rsidR="004534D5" w:rsidRPr="008A7F76" w:rsidRDefault="004534D5" w:rsidP="004534D5">
      <w:pPr>
        <w:pStyle w:val="FootnoteText"/>
        <w:bidi/>
        <w:rPr>
          <w:rFonts w:asciiTheme="majorBidi" w:hAnsiTheme="majorBidi" w:cstheme="majorBidi"/>
          <w:rtl/>
          <w:lang w:bidi="ar-EG"/>
        </w:rPr>
      </w:pPr>
      <w:r w:rsidRPr="008A7F76">
        <w:rPr>
          <w:rStyle w:val="FootnoteReference"/>
          <w:rFonts w:asciiTheme="majorBidi" w:hAnsiTheme="majorBidi" w:cstheme="majorBidi"/>
        </w:rPr>
        <w:footnoteRef/>
      </w:r>
      <w:r>
        <w:rPr>
          <w:rFonts w:asciiTheme="majorBidi" w:hAnsiTheme="majorBidi" w:cstheme="majorBidi" w:hint="cs"/>
          <w:rtl/>
          <w:lang w:bidi="ar-EG"/>
        </w:rPr>
        <w:t xml:space="preserve"> </w:t>
      </w:r>
      <w:r w:rsidRPr="008A7F76">
        <w:rPr>
          <w:rFonts w:asciiTheme="majorBidi" w:hAnsiTheme="majorBidi" w:cstheme="majorBidi"/>
          <w:rtl/>
          <w:lang w:bidi="ar-EG"/>
        </w:rPr>
        <w:t xml:space="preserve">القضاء: المحاكم أصدرت العديد من الأحكام ضد خطاب الكراهية والعنف، 18 يونيو 2023، </w:t>
      </w:r>
      <w:hyperlink r:id="rId10" w:history="1">
        <w:r w:rsidRPr="008A7F76">
          <w:rPr>
            <w:rStyle w:val="Hyperlink"/>
            <w:rFonts w:asciiTheme="majorBidi" w:hAnsiTheme="majorBidi" w:cstheme="majorBidi"/>
            <w:lang w:bidi="ar-EG"/>
          </w:rPr>
          <w:t>https://tinyurl.com/2jxvd644</w:t>
        </w:r>
      </w:hyperlink>
    </w:p>
  </w:footnote>
  <w:footnote w:id="11">
    <w:p w14:paraId="3029C56C" w14:textId="77777777" w:rsidR="004534D5" w:rsidRPr="008A7F76" w:rsidRDefault="004534D5" w:rsidP="004534D5">
      <w:pPr>
        <w:pStyle w:val="FootnoteText"/>
        <w:bidi/>
        <w:rPr>
          <w:rFonts w:asciiTheme="majorBidi" w:hAnsiTheme="majorBidi" w:cstheme="majorBidi"/>
          <w:rtl/>
          <w:lang w:bidi="ar-EG"/>
        </w:rPr>
      </w:pPr>
      <w:r w:rsidRPr="008A7F76">
        <w:rPr>
          <w:rStyle w:val="FootnoteReference"/>
          <w:rFonts w:asciiTheme="majorBidi" w:hAnsiTheme="majorBidi" w:cstheme="majorBidi"/>
        </w:rPr>
        <w:footnoteRef/>
      </w:r>
      <w:r w:rsidRPr="008A7F76">
        <w:rPr>
          <w:rFonts w:asciiTheme="majorBidi" w:hAnsiTheme="majorBidi" w:cstheme="majorBidi"/>
        </w:rPr>
        <w:t xml:space="preserve"> </w:t>
      </w:r>
      <w:r w:rsidRPr="008A7F76">
        <w:rPr>
          <w:rFonts w:asciiTheme="majorBidi" w:hAnsiTheme="majorBidi" w:cstheme="majorBidi"/>
          <w:rtl/>
          <w:lang w:bidi="ar-EG"/>
        </w:rPr>
        <w:t xml:space="preserve"> الخطة الوطنية لحقوق الإنسان في العراق 2021-2025، علي الرابط التالي:</w:t>
      </w:r>
      <w:r w:rsidRPr="008A7F76">
        <w:rPr>
          <w:rFonts w:asciiTheme="majorBidi" w:hAnsiTheme="majorBidi" w:cstheme="majorBidi"/>
        </w:rPr>
        <w:t xml:space="preserve"> </w:t>
      </w:r>
      <w:hyperlink r:id="rId11" w:history="1">
        <w:r w:rsidRPr="008A7F76">
          <w:rPr>
            <w:rStyle w:val="Hyperlink"/>
            <w:rFonts w:asciiTheme="majorBidi" w:hAnsiTheme="majorBidi" w:cstheme="majorBidi"/>
            <w:lang w:bidi="ar-EG"/>
          </w:rPr>
          <w:t>https://www.humanrights.dk/files/media/document/Iraq%20NHRAP%202021-2025%20Arabic.pdf</w:t>
        </w:r>
      </w:hyperlink>
      <w:r w:rsidRPr="008A7F76">
        <w:rPr>
          <w:rFonts w:asciiTheme="majorBidi" w:hAnsiTheme="majorBidi" w:cstheme="majorBidi"/>
          <w:rtl/>
          <w:lang w:bidi="ar-EG"/>
        </w:rPr>
        <w:t xml:space="preserve"> </w:t>
      </w:r>
    </w:p>
  </w:footnote>
  <w:footnote w:id="12">
    <w:p w14:paraId="4D879175" w14:textId="77777777" w:rsidR="004534D5" w:rsidRPr="008A7F76" w:rsidRDefault="004534D5" w:rsidP="004534D5">
      <w:pPr>
        <w:pStyle w:val="FootnoteText"/>
        <w:bidi/>
        <w:rPr>
          <w:rFonts w:asciiTheme="majorBidi" w:hAnsiTheme="majorBidi" w:cstheme="majorBidi"/>
          <w:lang w:bidi="ar-EG"/>
        </w:rPr>
      </w:pPr>
      <w:r w:rsidRPr="008A7F76">
        <w:rPr>
          <w:rStyle w:val="FootnoteReference"/>
          <w:rFonts w:asciiTheme="majorBidi" w:hAnsiTheme="majorBidi" w:cstheme="majorBidi"/>
        </w:rPr>
        <w:footnoteRef/>
      </w:r>
      <w:r w:rsidRPr="008A7F76">
        <w:rPr>
          <w:rFonts w:asciiTheme="majorBidi" w:hAnsiTheme="majorBidi" w:cstheme="majorBidi"/>
        </w:rPr>
        <w:t xml:space="preserve"> </w:t>
      </w:r>
      <w:r w:rsidRPr="008A7F76">
        <w:rPr>
          <w:rFonts w:asciiTheme="majorBidi" w:hAnsiTheme="majorBidi" w:cstheme="majorBidi"/>
          <w:rtl/>
          <w:lang w:bidi="ar-EG"/>
        </w:rPr>
        <w:t xml:space="preserve"> </w:t>
      </w:r>
      <w:bookmarkStart w:id="6" w:name="_Hlk170912179"/>
      <w:r w:rsidRPr="008A7F76">
        <w:rPr>
          <w:rFonts w:asciiTheme="majorBidi" w:hAnsiTheme="majorBidi" w:cstheme="majorBidi"/>
          <w:rtl/>
          <w:lang w:bidi="ar-EG"/>
        </w:rPr>
        <w:t xml:space="preserve">رصد خطاب الكراهية في الإعلام العراقي، </w:t>
      </w:r>
      <w:hyperlink r:id="rId12" w:history="1">
        <w:r w:rsidRPr="008A7F76">
          <w:rPr>
            <w:rStyle w:val="Hyperlink"/>
            <w:rFonts w:asciiTheme="majorBidi" w:hAnsiTheme="majorBidi" w:cstheme="majorBidi"/>
            <w:lang w:bidi="ar-EG"/>
          </w:rPr>
          <w:t>https://tinyurl.com/4ncexwks</w:t>
        </w:r>
      </w:hyperlink>
      <w:r w:rsidRPr="008A7F76">
        <w:rPr>
          <w:rFonts w:asciiTheme="majorBidi" w:hAnsiTheme="majorBidi" w:cstheme="majorBidi"/>
          <w:lang w:bidi="ar-EG"/>
        </w:rPr>
        <w:t xml:space="preserve"> </w:t>
      </w:r>
      <w:bookmarkEnd w:id="6"/>
    </w:p>
  </w:footnote>
  <w:footnote w:id="13">
    <w:p w14:paraId="64E40B72" w14:textId="77777777" w:rsidR="004534D5" w:rsidRPr="008A7F76" w:rsidRDefault="004534D5" w:rsidP="004534D5">
      <w:pPr>
        <w:pStyle w:val="FootnoteText"/>
        <w:bidi/>
        <w:rPr>
          <w:rFonts w:asciiTheme="majorBidi" w:hAnsiTheme="majorBidi" w:cstheme="majorBidi"/>
          <w:rtl/>
        </w:rPr>
      </w:pPr>
      <w:r w:rsidRPr="008A7F76">
        <w:rPr>
          <w:rStyle w:val="FootnoteReference"/>
          <w:rFonts w:asciiTheme="majorBidi" w:hAnsiTheme="majorBidi" w:cstheme="majorBidi"/>
        </w:rPr>
        <w:footnoteRef/>
      </w:r>
      <w:r w:rsidRPr="008A7F76">
        <w:rPr>
          <w:rFonts w:asciiTheme="majorBidi" w:hAnsiTheme="majorBidi" w:cstheme="majorBidi"/>
        </w:rPr>
        <w:t xml:space="preserve"> </w:t>
      </w:r>
      <w:r w:rsidRPr="008A7F76">
        <w:rPr>
          <w:rFonts w:asciiTheme="majorBidi" w:hAnsiTheme="majorBidi" w:cstheme="majorBidi"/>
          <w:rtl/>
        </w:rPr>
        <w:t xml:space="preserve">حقوق الانسان في العراق واقليم كردستان، المرصد، 2023، </w:t>
      </w:r>
      <w:hyperlink r:id="rId13" w:history="1">
        <w:r w:rsidRPr="008A7F76">
          <w:rPr>
            <w:rStyle w:val="Hyperlink"/>
            <w:rFonts w:asciiTheme="majorBidi" w:hAnsiTheme="majorBidi" w:cstheme="majorBidi"/>
          </w:rPr>
          <w:t>https://2u.pw/x03IKafE</w:t>
        </w:r>
      </w:hyperlink>
    </w:p>
  </w:footnote>
  <w:footnote w:id="14">
    <w:p w14:paraId="1B97FB5E" w14:textId="77777777" w:rsidR="004534D5" w:rsidRPr="008A7F76" w:rsidRDefault="004534D5" w:rsidP="004534D5">
      <w:pPr>
        <w:pStyle w:val="FootnoteText"/>
        <w:bidi/>
        <w:rPr>
          <w:rFonts w:asciiTheme="majorBidi" w:hAnsiTheme="majorBidi" w:cstheme="majorBidi"/>
          <w:rtl/>
        </w:rPr>
      </w:pPr>
      <w:r w:rsidRPr="008A7F76">
        <w:rPr>
          <w:rStyle w:val="FootnoteReference"/>
          <w:rFonts w:asciiTheme="majorBidi" w:hAnsiTheme="majorBidi" w:cstheme="majorBidi"/>
        </w:rPr>
        <w:footnoteRef/>
      </w:r>
      <w:r w:rsidRPr="008A7F76">
        <w:rPr>
          <w:rFonts w:asciiTheme="majorBidi" w:hAnsiTheme="majorBidi" w:cstheme="majorBidi"/>
          <w:rtl/>
        </w:rPr>
        <w:t xml:space="preserve"> أطفال العراق بين الانتهاكات وغياب التعليم والزواج غير المسجل فأين حقوقهم؟ العالم الجديد، 28 مارس 2024، </w:t>
      </w:r>
      <w:hyperlink r:id="rId14" w:history="1">
        <w:r w:rsidRPr="008A7F76">
          <w:rPr>
            <w:rStyle w:val="Hyperlink"/>
            <w:rFonts w:asciiTheme="majorBidi" w:hAnsiTheme="majorBidi" w:cstheme="majorBidi"/>
          </w:rPr>
          <w:t>https://tinyurl.com/9hmd3vnd</w:t>
        </w:r>
      </w:hyperlink>
    </w:p>
    <w:p w14:paraId="30930EA8" w14:textId="77777777" w:rsidR="004534D5" w:rsidRPr="008A7F76" w:rsidRDefault="004534D5" w:rsidP="004534D5">
      <w:pPr>
        <w:pStyle w:val="FootnoteText"/>
        <w:bidi/>
        <w:rPr>
          <w:rFonts w:asciiTheme="majorBidi" w:hAnsiTheme="majorBidi" w:cstheme="majorBidi"/>
          <w:rtl/>
          <w:lang w:bidi="ar-EG"/>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F062F"/>
    <w:multiLevelType w:val="hybridMultilevel"/>
    <w:tmpl w:val="E0083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7"/>
  </w:num>
  <w:num w:numId="2" w16cid:durableId="319427900">
    <w:abstractNumId w:val="5"/>
  </w:num>
  <w:num w:numId="3" w16cid:durableId="483819352">
    <w:abstractNumId w:val="2"/>
  </w:num>
  <w:num w:numId="4" w16cid:durableId="1550531087">
    <w:abstractNumId w:val="13"/>
  </w:num>
  <w:num w:numId="5" w16cid:durableId="365302262">
    <w:abstractNumId w:val="4"/>
  </w:num>
  <w:num w:numId="6" w16cid:durableId="1490904455">
    <w:abstractNumId w:val="27"/>
  </w:num>
  <w:num w:numId="7" w16cid:durableId="1975796718">
    <w:abstractNumId w:val="31"/>
  </w:num>
  <w:num w:numId="8" w16cid:durableId="168910388">
    <w:abstractNumId w:val="34"/>
  </w:num>
  <w:num w:numId="9" w16cid:durableId="864364265">
    <w:abstractNumId w:val="25"/>
  </w:num>
  <w:num w:numId="10" w16cid:durableId="1110662610">
    <w:abstractNumId w:val="28"/>
  </w:num>
  <w:num w:numId="11" w16cid:durableId="48504678">
    <w:abstractNumId w:val="21"/>
  </w:num>
  <w:num w:numId="12" w16cid:durableId="1057243330">
    <w:abstractNumId w:val="33"/>
  </w:num>
  <w:num w:numId="13" w16cid:durableId="113838224">
    <w:abstractNumId w:val="19"/>
  </w:num>
  <w:num w:numId="14" w16cid:durableId="1819300015">
    <w:abstractNumId w:val="8"/>
  </w:num>
  <w:num w:numId="15" w16cid:durableId="1354769003">
    <w:abstractNumId w:val="24"/>
  </w:num>
  <w:num w:numId="16" w16cid:durableId="765884069">
    <w:abstractNumId w:val="14"/>
  </w:num>
  <w:num w:numId="17" w16cid:durableId="1830708544">
    <w:abstractNumId w:val="0"/>
  </w:num>
  <w:num w:numId="18" w16cid:durableId="1195772453">
    <w:abstractNumId w:val="18"/>
  </w:num>
  <w:num w:numId="19" w16cid:durableId="116266373">
    <w:abstractNumId w:val="3"/>
  </w:num>
  <w:num w:numId="20" w16cid:durableId="1165899663">
    <w:abstractNumId w:val="10"/>
  </w:num>
  <w:num w:numId="21" w16cid:durableId="1921870603">
    <w:abstractNumId w:val="35"/>
  </w:num>
  <w:num w:numId="22" w16cid:durableId="1106846340">
    <w:abstractNumId w:val="12"/>
  </w:num>
  <w:num w:numId="23" w16cid:durableId="1120413215">
    <w:abstractNumId w:val="16"/>
  </w:num>
  <w:num w:numId="24" w16cid:durableId="884490536">
    <w:abstractNumId w:val="26"/>
  </w:num>
  <w:num w:numId="25" w16cid:durableId="1098991049">
    <w:abstractNumId w:val="29"/>
  </w:num>
  <w:num w:numId="26" w16cid:durableId="631596808">
    <w:abstractNumId w:val="9"/>
  </w:num>
  <w:num w:numId="27" w16cid:durableId="1306087360">
    <w:abstractNumId w:val="7"/>
  </w:num>
  <w:num w:numId="28" w16cid:durableId="909191109">
    <w:abstractNumId w:val="22"/>
  </w:num>
  <w:num w:numId="29" w16cid:durableId="556204899">
    <w:abstractNumId w:val="23"/>
  </w:num>
  <w:num w:numId="30" w16cid:durableId="1668284805">
    <w:abstractNumId w:val="15"/>
  </w:num>
  <w:num w:numId="31" w16cid:durableId="1777868951">
    <w:abstractNumId w:val="20"/>
  </w:num>
  <w:num w:numId="32" w16cid:durableId="1614898655">
    <w:abstractNumId w:val="6"/>
  </w:num>
  <w:num w:numId="33" w16cid:durableId="364449577">
    <w:abstractNumId w:val="11"/>
  </w:num>
  <w:num w:numId="34" w16cid:durableId="248081818">
    <w:abstractNumId w:val="32"/>
  </w:num>
  <w:num w:numId="35" w16cid:durableId="1742749116">
    <w:abstractNumId w:val="30"/>
  </w:num>
  <w:num w:numId="36" w16cid:durableId="1636250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56C09"/>
    <w:rsid w:val="001914B3"/>
    <w:rsid w:val="00196443"/>
    <w:rsid w:val="001D532C"/>
    <w:rsid w:val="001D6213"/>
    <w:rsid w:val="002257CD"/>
    <w:rsid w:val="002305C5"/>
    <w:rsid w:val="00284AAE"/>
    <w:rsid w:val="002876FE"/>
    <w:rsid w:val="002D5B01"/>
    <w:rsid w:val="002D648F"/>
    <w:rsid w:val="003319F3"/>
    <w:rsid w:val="003439F7"/>
    <w:rsid w:val="00360DAB"/>
    <w:rsid w:val="00372B51"/>
    <w:rsid w:val="0038184B"/>
    <w:rsid w:val="003A1F96"/>
    <w:rsid w:val="003A745E"/>
    <w:rsid w:val="004055DB"/>
    <w:rsid w:val="004134D4"/>
    <w:rsid w:val="00414D42"/>
    <w:rsid w:val="00434DDB"/>
    <w:rsid w:val="00436AE3"/>
    <w:rsid w:val="004534D5"/>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105E2"/>
    <w:rsid w:val="00640577"/>
    <w:rsid w:val="006412F6"/>
    <w:rsid w:val="00644785"/>
    <w:rsid w:val="00646A53"/>
    <w:rsid w:val="006807A3"/>
    <w:rsid w:val="00693967"/>
    <w:rsid w:val="00713444"/>
    <w:rsid w:val="0075015E"/>
    <w:rsid w:val="00755B2C"/>
    <w:rsid w:val="00786D2C"/>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D1B73"/>
    <w:rsid w:val="009D1F8F"/>
    <w:rsid w:val="009E290C"/>
    <w:rsid w:val="00A3448D"/>
    <w:rsid w:val="00A37636"/>
    <w:rsid w:val="00A537CE"/>
    <w:rsid w:val="00A81650"/>
    <w:rsid w:val="00A81860"/>
    <w:rsid w:val="00A83C1E"/>
    <w:rsid w:val="00AF7FD1"/>
    <w:rsid w:val="00B01D47"/>
    <w:rsid w:val="00B35D5B"/>
    <w:rsid w:val="00B50DC2"/>
    <w:rsid w:val="00B53978"/>
    <w:rsid w:val="00B66916"/>
    <w:rsid w:val="00B76BA7"/>
    <w:rsid w:val="00BA7411"/>
    <w:rsid w:val="00BB10FB"/>
    <w:rsid w:val="00BB2414"/>
    <w:rsid w:val="00BB2E0C"/>
    <w:rsid w:val="00BC2D2E"/>
    <w:rsid w:val="00C0706B"/>
    <w:rsid w:val="00C34E13"/>
    <w:rsid w:val="00C47923"/>
    <w:rsid w:val="00C86D0C"/>
    <w:rsid w:val="00CC2F15"/>
    <w:rsid w:val="00CC606D"/>
    <w:rsid w:val="00CD3720"/>
    <w:rsid w:val="00CD5381"/>
    <w:rsid w:val="00D01C6A"/>
    <w:rsid w:val="00D11899"/>
    <w:rsid w:val="00D674C8"/>
    <w:rsid w:val="00DB04A9"/>
    <w:rsid w:val="00DB3089"/>
    <w:rsid w:val="00DB5AB9"/>
    <w:rsid w:val="00DC35AC"/>
    <w:rsid w:val="00DE35AB"/>
    <w:rsid w:val="00DF3596"/>
    <w:rsid w:val="00E3117B"/>
    <w:rsid w:val="00E4520A"/>
    <w:rsid w:val="00E45A93"/>
    <w:rsid w:val="00E55456"/>
    <w:rsid w:val="00E94DD0"/>
    <w:rsid w:val="00EA2C34"/>
    <w:rsid w:val="00EA4670"/>
    <w:rsid w:val="00EB7424"/>
    <w:rsid w:val="00ED3ED2"/>
    <w:rsid w:val="00ED7702"/>
    <w:rsid w:val="00EF597D"/>
    <w:rsid w:val="00F533B4"/>
    <w:rsid w:val="00F56B3D"/>
    <w:rsid w:val="00F72F2C"/>
    <w:rsid w:val="00F8429A"/>
    <w:rsid w:val="00F871C7"/>
    <w:rsid w:val="00F94355"/>
    <w:rsid w:val="00F966E7"/>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5n6zatcb" TargetMode="External"/><Relationship Id="rId13" Type="http://schemas.openxmlformats.org/officeDocument/2006/relationships/hyperlink" Target="https://2u.pw/x03IKafE" TargetMode="External"/><Relationship Id="rId3" Type="http://schemas.openxmlformats.org/officeDocument/2006/relationships/hyperlink" Target="https://tinyurl.com/5n6hrwr6" TargetMode="External"/><Relationship Id="rId7" Type="http://schemas.openxmlformats.org/officeDocument/2006/relationships/hyperlink" Target="https://tinyurl.com/4x5yzwxs" TargetMode="External"/><Relationship Id="rId12" Type="http://schemas.openxmlformats.org/officeDocument/2006/relationships/hyperlink" Target="https://tinyurl.com/4ncexwks" TargetMode="External"/><Relationship Id="rId2" Type="http://schemas.openxmlformats.org/officeDocument/2006/relationships/hyperlink" Target="https://tinyurl.com/bdd9dd8a" TargetMode="External"/><Relationship Id="rId1" Type="http://schemas.openxmlformats.org/officeDocument/2006/relationships/hyperlink" Target="https://tinyurl.com/bdvzvspp" TargetMode="External"/><Relationship Id="rId6" Type="http://schemas.openxmlformats.org/officeDocument/2006/relationships/hyperlink" Target="https://peacerep.org/2024/01/09/legacies-of-slavery-and-revolt-in-iraqs-port-city/" TargetMode="External"/><Relationship Id="rId11" Type="http://schemas.openxmlformats.org/officeDocument/2006/relationships/hyperlink" Target="https://www.humanrights.dk/files/media/document/Iraq%20NHRAP%202021-2025%20Arabic.pdf" TargetMode="External"/><Relationship Id="rId5" Type="http://schemas.openxmlformats.org/officeDocument/2006/relationships/hyperlink" Target="https://tinyurl.com/rfkrtbdd" TargetMode="External"/><Relationship Id="rId10" Type="http://schemas.openxmlformats.org/officeDocument/2006/relationships/hyperlink" Target="https://tinyurl.com/2jxvd644" TargetMode="External"/><Relationship Id="rId4" Type="http://schemas.openxmlformats.org/officeDocument/2006/relationships/hyperlink" Target="https://tinyurl.com/mtuw5fsb" TargetMode="External"/><Relationship Id="rId9" Type="http://schemas.openxmlformats.org/officeDocument/2006/relationships/hyperlink" Target="https://tinyurl.com/mnrhsa2s" TargetMode="External"/><Relationship Id="rId14" Type="http://schemas.openxmlformats.org/officeDocument/2006/relationships/hyperlink" Target="https://tinyurl.com/9hmd3v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02245D28-7ECE-442E-A901-1003B72B1387}"/>
</file>

<file path=customXml/itemProps3.xml><?xml version="1.0" encoding="utf-8"?>
<ds:datastoreItem xmlns:ds="http://schemas.openxmlformats.org/officeDocument/2006/customXml" ds:itemID="{869CA743-BD0B-4BAA-925C-F7C6A1CA256B}"/>
</file>

<file path=docProps/app.xml><?xml version="1.0" encoding="utf-8"?>
<Properties xmlns="http://schemas.openxmlformats.org/officeDocument/2006/extended-properties" xmlns:vt="http://schemas.openxmlformats.org/officeDocument/2006/docPropsVTypes">
  <Template>Normal</Template>
  <TotalTime>25</TotalTime>
  <Pages>5</Pages>
  <Words>1648</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3</cp:revision>
  <dcterms:created xsi:type="dcterms:W3CDTF">2024-07-03T11:26:00Z</dcterms:created>
  <dcterms:modified xsi:type="dcterms:W3CDTF">2024-07-03T12:48:00Z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