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D206BD" w14:textId="77777777" w:rsidR="00963B2F" w:rsidRPr="00D67CB2" w:rsidRDefault="00963B2F" w:rsidP="00D67CB2">
      <w:pPr>
        <w:pStyle w:val="NormalWeb"/>
        <w:jc w:val="both"/>
        <w:rPr>
          <w:rFonts w:ascii="Arial" w:hAnsi="Arial" w:cs="Arial"/>
        </w:rPr>
      </w:pPr>
      <w:r>
        <w:rPr>
          <w:rStyle w:val="Textoennegrita"/>
        </w:rPr>
        <w:t>INFORME ALTERNA</w:t>
      </w:r>
      <w:r w:rsidRPr="00D67CB2">
        <w:rPr>
          <w:rStyle w:val="Textoennegrita"/>
          <w:rFonts w:ascii="Arial" w:hAnsi="Arial" w:cs="Arial"/>
        </w:rPr>
        <w:t>TIVO DE LA REGIÓN DE TARAPACÁ AL COMITÉ DE DERECHOS ECONÓMICOS, SOCIALES Y CULTURALES DE NACIONES UNIDAS</w:t>
      </w:r>
    </w:p>
    <w:p w14:paraId="30595209" w14:textId="77777777" w:rsidR="00963B2F" w:rsidRPr="00D67CB2" w:rsidRDefault="00963B2F" w:rsidP="00D67CB2">
      <w:pPr>
        <w:pStyle w:val="NormalWeb"/>
        <w:jc w:val="both"/>
        <w:rPr>
          <w:rFonts w:ascii="Arial" w:hAnsi="Arial" w:cs="Arial"/>
        </w:rPr>
      </w:pPr>
      <w:r w:rsidRPr="00D67CB2">
        <w:rPr>
          <w:rStyle w:val="Textoennegrita"/>
          <w:rFonts w:ascii="Arial" w:hAnsi="Arial" w:cs="Arial"/>
        </w:rPr>
        <w:t>En el marco del 5º Examen Periódico de Chile ante el PIDESC</w:t>
      </w:r>
    </w:p>
    <w:p w14:paraId="6DACE0C8" w14:textId="77777777" w:rsidR="00963B2F" w:rsidRPr="00D67CB2" w:rsidRDefault="00963B2F" w:rsidP="00D67CB2">
      <w:pPr>
        <w:pStyle w:val="NormalWeb"/>
        <w:rPr>
          <w:rFonts w:ascii="Arial" w:hAnsi="Arial" w:cs="Arial"/>
        </w:rPr>
      </w:pPr>
      <w:r w:rsidRPr="00D67CB2">
        <w:rPr>
          <w:rFonts w:ascii="Arial" w:hAnsi="Arial" w:cs="Arial"/>
        </w:rPr>
        <w:t>Presentado por:</w:t>
      </w:r>
      <w:r w:rsidRPr="00D67CB2">
        <w:rPr>
          <w:rFonts w:ascii="Arial" w:hAnsi="Arial" w:cs="Arial"/>
        </w:rPr>
        <w:br/>
        <w:t>Participantes del “Encuentro Interregional de Mujeres Indígenas del Norte: Relatos y desafíos en la defensa del territorio”, Región de Tarapacá</w:t>
      </w:r>
      <w:r w:rsidRPr="00D67CB2">
        <w:rPr>
          <w:rFonts w:ascii="Arial" w:hAnsi="Arial" w:cs="Arial"/>
        </w:rPr>
        <w:br/>
        <w:t>Con el acompañamiento del Instituto Nacional de Derechos Humanos – Sede Regional Tarapacá</w:t>
      </w:r>
    </w:p>
    <w:p w14:paraId="02D44D49" w14:textId="6BFAB600" w:rsidR="00466ACE" w:rsidRDefault="00963B2F" w:rsidP="00D67CB2">
      <w:pPr>
        <w:pStyle w:val="NormalWeb"/>
        <w:rPr>
          <w:rFonts w:ascii="Arial" w:hAnsi="Arial" w:cs="Arial"/>
        </w:rPr>
      </w:pPr>
      <w:r w:rsidRPr="00D67CB2">
        <w:rPr>
          <w:rFonts w:ascii="Arial" w:hAnsi="Arial" w:cs="Arial"/>
        </w:rPr>
        <w:t>Contacto principal:</w:t>
      </w:r>
      <w:r w:rsidRPr="00D67CB2">
        <w:rPr>
          <w:rFonts w:ascii="Arial" w:hAnsi="Arial" w:cs="Arial"/>
        </w:rPr>
        <w:br/>
        <w:t>Erwin Ojeda Copaira</w:t>
      </w:r>
      <w:r w:rsidRPr="00D67CB2">
        <w:rPr>
          <w:rFonts w:ascii="Arial" w:hAnsi="Arial" w:cs="Arial"/>
        </w:rPr>
        <w:br/>
      </w:r>
      <w:r w:rsidR="00466ACE">
        <w:rPr>
          <w:rFonts w:ascii="Arial" w:hAnsi="Arial" w:cs="Arial"/>
        </w:rPr>
        <w:t>Comunero, comunidad indígena de Macaya, Comuna de Pozo Almonte, Provincia del Tamarugal, Región de Tarapacá, Chile</w:t>
      </w:r>
      <w:r w:rsidRPr="00D67CB2">
        <w:rPr>
          <w:rFonts w:ascii="Arial" w:hAnsi="Arial" w:cs="Arial"/>
        </w:rPr>
        <w:br/>
        <w:t xml:space="preserve">Correo: </w:t>
      </w:r>
      <w:hyperlink r:id="rId5" w:history="1">
        <w:r w:rsidR="00466ACE" w:rsidRPr="00A55E0D">
          <w:rPr>
            <w:rStyle w:val="Hipervnculo"/>
            <w:rFonts w:ascii="Arial" w:hAnsi="Arial" w:cs="Arial"/>
          </w:rPr>
          <w:t>Erwinojedac@gmail.com</w:t>
        </w:r>
      </w:hyperlink>
    </w:p>
    <w:p w14:paraId="1C385DBB" w14:textId="4E7F0798" w:rsidR="00963B2F" w:rsidRPr="00D67CB2" w:rsidRDefault="00466ACE" w:rsidP="00D67CB2">
      <w:pPr>
        <w:pStyle w:val="NormalWeb"/>
        <w:rPr>
          <w:rFonts w:ascii="Arial" w:hAnsi="Arial" w:cs="Arial"/>
        </w:rPr>
      </w:pPr>
      <w:r>
        <w:rPr>
          <w:rFonts w:ascii="Arial" w:hAnsi="Arial" w:cs="Arial"/>
        </w:rPr>
        <w:t>Telefono:+56977464474</w:t>
      </w:r>
      <w:r w:rsidR="00963B2F" w:rsidRPr="00D67CB2">
        <w:rPr>
          <w:rFonts w:ascii="Arial" w:hAnsi="Arial" w:cs="Arial"/>
        </w:rPr>
        <w:br/>
        <w:t>País: Chile</w:t>
      </w:r>
    </w:p>
    <w:p w14:paraId="78E9CDCD" w14:textId="77777777" w:rsidR="00963B2F" w:rsidRPr="00963B2F" w:rsidRDefault="00963B2F" w:rsidP="00D67CB2">
      <w:pPr>
        <w:spacing w:before="100" w:beforeAutospacing="1" w:after="100" w:afterAutospacing="1" w:line="240" w:lineRule="auto"/>
        <w:jc w:val="both"/>
        <w:outlineLvl w:val="2"/>
        <w:rPr>
          <w:rFonts w:ascii="Arial" w:eastAsia="Times New Roman" w:hAnsi="Arial" w:cs="Arial"/>
          <w:b/>
          <w:bCs/>
          <w:kern w:val="0"/>
          <w:sz w:val="24"/>
          <w:szCs w:val="24"/>
          <w:lang w:eastAsia="es-CL"/>
          <w14:ligatures w14:val="none"/>
        </w:rPr>
      </w:pPr>
      <w:r w:rsidRPr="00963B2F">
        <w:rPr>
          <w:rFonts w:ascii="Arial" w:eastAsia="Times New Roman" w:hAnsi="Arial" w:cs="Arial"/>
          <w:b/>
          <w:bCs/>
          <w:kern w:val="0"/>
          <w:sz w:val="24"/>
          <w:szCs w:val="24"/>
          <w:lang w:eastAsia="es-CL"/>
          <w14:ligatures w14:val="none"/>
        </w:rPr>
        <w:t>1. INTRODUCCIÓN</w:t>
      </w:r>
    </w:p>
    <w:p w14:paraId="3C892011" w14:textId="77777777" w:rsidR="00963B2F" w:rsidRPr="00963B2F" w:rsidRDefault="00963B2F" w:rsidP="00D67CB2">
      <w:pPr>
        <w:numPr>
          <w:ilvl w:val="0"/>
          <w:numId w:val="3"/>
        </w:numPr>
        <w:spacing w:before="100" w:beforeAutospacing="1" w:after="100" w:afterAutospacing="1" w:line="240" w:lineRule="auto"/>
        <w:jc w:val="both"/>
        <w:rPr>
          <w:rFonts w:ascii="Arial" w:eastAsia="Times New Roman" w:hAnsi="Arial" w:cs="Arial"/>
          <w:kern w:val="0"/>
          <w:sz w:val="24"/>
          <w:szCs w:val="24"/>
          <w:lang w:eastAsia="es-CL"/>
          <w14:ligatures w14:val="none"/>
        </w:rPr>
      </w:pPr>
      <w:r w:rsidRPr="00963B2F">
        <w:rPr>
          <w:rFonts w:ascii="Arial" w:eastAsia="Times New Roman" w:hAnsi="Arial" w:cs="Arial"/>
          <w:kern w:val="0"/>
          <w:sz w:val="24"/>
          <w:szCs w:val="24"/>
          <w:lang w:eastAsia="es-CL"/>
          <w14:ligatures w14:val="none"/>
        </w:rPr>
        <w:t>El presente informe alternativo es presentado por mujeres indígenas de la Región de Tarapacá, participantes del “Encuentro Interregional de Mujeres Indígenas del Norte: Relatos y desafíos en la defensa del territorio”, realizado en la ciudad de Arica los días 26 y 27 de septiembre de 2024. La sistematización fue elaborada por la sede regional Tarapacá del Instituto Nacional de Derechos Humanos (INDH), en base a los acuerdos emanados de tres reuniones de trabajo realizadas los días 3, 9 y 11 de septiembre del mismo año.</w:t>
      </w:r>
    </w:p>
    <w:p w14:paraId="73A009E9" w14:textId="77777777" w:rsidR="00963B2F" w:rsidRPr="00963B2F" w:rsidRDefault="00963B2F" w:rsidP="00D67CB2">
      <w:pPr>
        <w:numPr>
          <w:ilvl w:val="0"/>
          <w:numId w:val="3"/>
        </w:numPr>
        <w:spacing w:before="100" w:beforeAutospacing="1" w:after="100" w:afterAutospacing="1" w:line="240" w:lineRule="auto"/>
        <w:jc w:val="both"/>
        <w:rPr>
          <w:rFonts w:ascii="Arial" w:eastAsia="Times New Roman" w:hAnsi="Arial" w:cs="Arial"/>
          <w:kern w:val="0"/>
          <w:sz w:val="24"/>
          <w:szCs w:val="24"/>
          <w:lang w:eastAsia="es-CL"/>
          <w14:ligatures w14:val="none"/>
        </w:rPr>
      </w:pPr>
      <w:r w:rsidRPr="00963B2F">
        <w:rPr>
          <w:rFonts w:ascii="Arial" w:eastAsia="Times New Roman" w:hAnsi="Arial" w:cs="Arial"/>
          <w:kern w:val="0"/>
          <w:sz w:val="24"/>
          <w:szCs w:val="24"/>
          <w:lang w:eastAsia="es-CL"/>
          <w14:ligatures w14:val="none"/>
        </w:rPr>
        <w:t>El objetivo de este informe es aportar información relevante, actualizada y situada territorialmente al Comité de Derechos Económicos, Sociales y Culturales (CESCR), en el marco del examen del quinto informe periódico del Estado de Chile, contribuyendo desde la sociedad civil al seguimiento y evaluación del cumplimiento del Pacto Internacional de Derechos Económicos, Sociales y Culturales (PIDESC).</w:t>
      </w:r>
    </w:p>
    <w:p w14:paraId="5DA91266" w14:textId="77777777" w:rsidR="00963B2F" w:rsidRPr="00963B2F" w:rsidRDefault="00963B2F" w:rsidP="00D67CB2">
      <w:pPr>
        <w:numPr>
          <w:ilvl w:val="0"/>
          <w:numId w:val="3"/>
        </w:numPr>
        <w:spacing w:before="100" w:beforeAutospacing="1" w:after="100" w:afterAutospacing="1" w:line="240" w:lineRule="auto"/>
        <w:jc w:val="both"/>
        <w:rPr>
          <w:rFonts w:ascii="Arial" w:eastAsia="Times New Roman" w:hAnsi="Arial" w:cs="Arial"/>
          <w:kern w:val="0"/>
          <w:sz w:val="24"/>
          <w:szCs w:val="24"/>
          <w:lang w:eastAsia="es-CL"/>
          <w14:ligatures w14:val="none"/>
        </w:rPr>
      </w:pPr>
      <w:r w:rsidRPr="00963B2F">
        <w:rPr>
          <w:rFonts w:ascii="Arial" w:eastAsia="Times New Roman" w:hAnsi="Arial" w:cs="Arial"/>
          <w:kern w:val="0"/>
          <w:sz w:val="24"/>
          <w:szCs w:val="24"/>
          <w:lang w:eastAsia="es-CL"/>
          <w14:ligatures w14:val="none"/>
        </w:rPr>
        <w:t>El informe se centra en los impactos socioambientales del modelo extractivista sobre los territorios indígenas del norte de Chile, y visibiliza cómo estos afectan el ejercicio efectivo de los derechos culturales, ambientales, a la salud, al agua, a la consulta previa, a la participación política, a un medio ambiente sano, entre otros.</w:t>
      </w:r>
    </w:p>
    <w:p w14:paraId="3A33BC7B" w14:textId="77777777" w:rsidR="00963B2F" w:rsidRPr="00963B2F" w:rsidRDefault="00963B2F" w:rsidP="00D67CB2">
      <w:pPr>
        <w:numPr>
          <w:ilvl w:val="0"/>
          <w:numId w:val="3"/>
        </w:numPr>
        <w:spacing w:before="100" w:beforeAutospacing="1" w:after="100" w:afterAutospacing="1" w:line="240" w:lineRule="auto"/>
        <w:jc w:val="both"/>
        <w:rPr>
          <w:rFonts w:ascii="Arial" w:eastAsia="Times New Roman" w:hAnsi="Arial" w:cs="Arial"/>
          <w:kern w:val="0"/>
          <w:sz w:val="24"/>
          <w:szCs w:val="24"/>
          <w:lang w:eastAsia="es-CL"/>
          <w14:ligatures w14:val="none"/>
        </w:rPr>
      </w:pPr>
      <w:r w:rsidRPr="00963B2F">
        <w:rPr>
          <w:rFonts w:ascii="Arial" w:eastAsia="Times New Roman" w:hAnsi="Arial" w:cs="Arial"/>
          <w:kern w:val="0"/>
          <w:sz w:val="24"/>
          <w:szCs w:val="24"/>
          <w:lang w:eastAsia="es-CL"/>
          <w14:ligatures w14:val="none"/>
        </w:rPr>
        <w:t>Se hace especial énfasis en las experiencias de mujeres indígenas que, desde sus roles comunitarios, han liderado procesos de defensa del territorio, resistido a proyectos extractivos y promovido la cosmovisión de sus pueblos como fundamento para la protección de la vida, los ecosistemas y las prácticas culturales ancestrales.</w:t>
      </w:r>
    </w:p>
    <w:p w14:paraId="6DD283F6" w14:textId="77777777" w:rsidR="00963B2F" w:rsidRPr="00963B2F" w:rsidRDefault="00000000" w:rsidP="00D67CB2">
      <w:pPr>
        <w:spacing w:after="0" w:line="240" w:lineRule="auto"/>
        <w:jc w:val="both"/>
        <w:rPr>
          <w:rFonts w:ascii="Arial" w:eastAsia="Times New Roman" w:hAnsi="Arial" w:cs="Arial"/>
          <w:kern w:val="0"/>
          <w:sz w:val="24"/>
          <w:szCs w:val="24"/>
          <w:lang w:eastAsia="es-CL"/>
          <w14:ligatures w14:val="none"/>
        </w:rPr>
      </w:pPr>
      <w:r>
        <w:rPr>
          <w:rFonts w:ascii="Arial" w:eastAsia="Times New Roman" w:hAnsi="Arial" w:cs="Arial"/>
          <w:kern w:val="0"/>
          <w:sz w:val="24"/>
          <w:szCs w:val="24"/>
          <w:lang w:eastAsia="es-CL"/>
          <w14:ligatures w14:val="none"/>
        </w:rPr>
        <w:lastRenderedPageBreak/>
        <w:pict w14:anchorId="458420C4">
          <v:rect id="_x0000_i1025" style="width:0;height:1.5pt" o:hralign="center" o:hrstd="t" o:hr="t" fillcolor="#a0a0a0" stroked="f"/>
        </w:pict>
      </w:r>
    </w:p>
    <w:p w14:paraId="401D66EF" w14:textId="77777777" w:rsidR="00963B2F" w:rsidRPr="00963B2F" w:rsidRDefault="00963B2F" w:rsidP="00D67CB2">
      <w:pPr>
        <w:spacing w:before="100" w:beforeAutospacing="1" w:after="100" w:afterAutospacing="1" w:line="240" w:lineRule="auto"/>
        <w:jc w:val="both"/>
        <w:outlineLvl w:val="2"/>
        <w:rPr>
          <w:rFonts w:ascii="Arial" w:eastAsia="Times New Roman" w:hAnsi="Arial" w:cs="Arial"/>
          <w:b/>
          <w:bCs/>
          <w:kern w:val="0"/>
          <w:sz w:val="24"/>
          <w:szCs w:val="24"/>
          <w:lang w:eastAsia="es-CL"/>
          <w14:ligatures w14:val="none"/>
        </w:rPr>
      </w:pPr>
      <w:r w:rsidRPr="00963B2F">
        <w:rPr>
          <w:rFonts w:ascii="Segoe UI Emoji" w:eastAsia="Times New Roman" w:hAnsi="Segoe UI Emoji" w:cs="Segoe UI Emoji"/>
          <w:b/>
          <w:bCs/>
          <w:kern w:val="0"/>
          <w:sz w:val="24"/>
          <w:szCs w:val="24"/>
          <w:lang w:eastAsia="es-CL"/>
          <w14:ligatures w14:val="none"/>
        </w:rPr>
        <w:t>🟦</w:t>
      </w:r>
      <w:r w:rsidRPr="00963B2F">
        <w:rPr>
          <w:rFonts w:ascii="Arial" w:eastAsia="Times New Roman" w:hAnsi="Arial" w:cs="Arial"/>
          <w:b/>
          <w:bCs/>
          <w:kern w:val="0"/>
          <w:sz w:val="24"/>
          <w:szCs w:val="24"/>
          <w:lang w:eastAsia="es-CL"/>
          <w14:ligatures w14:val="none"/>
        </w:rPr>
        <w:t xml:space="preserve"> 2. METODOLOGÍA</w:t>
      </w:r>
    </w:p>
    <w:p w14:paraId="4302AE53" w14:textId="77777777" w:rsidR="00963B2F" w:rsidRPr="00963B2F" w:rsidRDefault="00963B2F" w:rsidP="00D67CB2">
      <w:pPr>
        <w:numPr>
          <w:ilvl w:val="0"/>
          <w:numId w:val="4"/>
        </w:numPr>
        <w:spacing w:before="100" w:beforeAutospacing="1" w:after="100" w:afterAutospacing="1" w:line="240" w:lineRule="auto"/>
        <w:jc w:val="both"/>
        <w:rPr>
          <w:rFonts w:ascii="Arial" w:eastAsia="Times New Roman" w:hAnsi="Arial" w:cs="Arial"/>
          <w:kern w:val="0"/>
          <w:sz w:val="24"/>
          <w:szCs w:val="24"/>
          <w:lang w:eastAsia="es-CL"/>
          <w14:ligatures w14:val="none"/>
        </w:rPr>
      </w:pPr>
      <w:r w:rsidRPr="00963B2F">
        <w:rPr>
          <w:rFonts w:ascii="Arial" w:eastAsia="Times New Roman" w:hAnsi="Arial" w:cs="Arial"/>
          <w:kern w:val="0"/>
          <w:sz w:val="24"/>
          <w:szCs w:val="24"/>
          <w:lang w:eastAsia="es-CL"/>
          <w14:ligatures w14:val="none"/>
        </w:rPr>
        <w:t>Este informe se construyó a partir de un proceso colectivo liderado por mujeres indígenas pertenecientes a comunidades Aymara, Quechua y Mapuche residentes en la Región de Tarapacá, quienes participaron activamente en las reuniones preparatorias para el Encuentro Interregional. Las reuniones fueron convocadas por el INDH – sede Tarapacá y permitieron identificar los principales conflictos, estrategias de defensa y propuestas desde los territorios.</w:t>
      </w:r>
    </w:p>
    <w:p w14:paraId="58E67547" w14:textId="44185889" w:rsidR="00963B2F" w:rsidRPr="00963B2F" w:rsidRDefault="00963B2F" w:rsidP="00D67CB2">
      <w:pPr>
        <w:numPr>
          <w:ilvl w:val="0"/>
          <w:numId w:val="4"/>
        </w:numPr>
        <w:spacing w:before="100" w:beforeAutospacing="1" w:after="100" w:afterAutospacing="1" w:line="240" w:lineRule="auto"/>
        <w:jc w:val="both"/>
        <w:rPr>
          <w:rFonts w:ascii="Arial" w:eastAsia="Times New Roman" w:hAnsi="Arial" w:cs="Arial"/>
          <w:kern w:val="0"/>
          <w:sz w:val="24"/>
          <w:szCs w:val="24"/>
          <w:lang w:eastAsia="es-CL"/>
          <w14:ligatures w14:val="none"/>
        </w:rPr>
      </w:pPr>
      <w:r w:rsidRPr="00963B2F">
        <w:rPr>
          <w:rFonts w:ascii="Arial" w:eastAsia="Times New Roman" w:hAnsi="Arial" w:cs="Arial"/>
          <w:kern w:val="0"/>
          <w:sz w:val="24"/>
          <w:szCs w:val="24"/>
          <w:lang w:eastAsia="es-CL"/>
          <w14:ligatures w14:val="none"/>
        </w:rPr>
        <w:t>La información contenida fue sistematizada desde los testimonios y análisis compartidos por las participantes, complementada con fuentes institucionales relevantes, especialmente en causas relacionadas con vulneraciones a los derechos de pueblos originarios.</w:t>
      </w:r>
    </w:p>
    <w:p w14:paraId="1C2DF771" w14:textId="77777777" w:rsidR="00963B2F" w:rsidRPr="00963B2F" w:rsidRDefault="00963B2F" w:rsidP="00D67CB2">
      <w:pPr>
        <w:numPr>
          <w:ilvl w:val="0"/>
          <w:numId w:val="4"/>
        </w:numPr>
        <w:spacing w:before="100" w:beforeAutospacing="1" w:after="100" w:afterAutospacing="1" w:line="240" w:lineRule="auto"/>
        <w:jc w:val="both"/>
        <w:rPr>
          <w:rFonts w:ascii="Arial" w:eastAsia="Times New Roman" w:hAnsi="Arial" w:cs="Arial"/>
          <w:kern w:val="0"/>
          <w:sz w:val="24"/>
          <w:szCs w:val="24"/>
          <w:lang w:eastAsia="es-CL"/>
          <w14:ligatures w14:val="none"/>
        </w:rPr>
      </w:pPr>
      <w:r w:rsidRPr="00963B2F">
        <w:rPr>
          <w:rFonts w:ascii="Arial" w:eastAsia="Times New Roman" w:hAnsi="Arial" w:cs="Arial"/>
          <w:kern w:val="0"/>
          <w:sz w:val="24"/>
          <w:szCs w:val="24"/>
          <w:lang w:eastAsia="es-CL"/>
          <w14:ligatures w14:val="none"/>
        </w:rPr>
        <w:t>La elaboración del informe aplicó un enfoque de derechos humanos, interseccionalidad y pertinencia cultural, incorporando los principios de autodeterminación de los pueblos indígenas, igualdad sustantiva, no discriminación, participación activa, y protección especial de los derechos colectivos.</w:t>
      </w:r>
    </w:p>
    <w:p w14:paraId="2A7A6AF1" w14:textId="77777777" w:rsidR="00963B2F" w:rsidRPr="00963B2F" w:rsidRDefault="00963B2F" w:rsidP="00D67CB2">
      <w:pPr>
        <w:numPr>
          <w:ilvl w:val="0"/>
          <w:numId w:val="4"/>
        </w:numPr>
        <w:spacing w:before="100" w:beforeAutospacing="1" w:after="100" w:afterAutospacing="1" w:line="240" w:lineRule="auto"/>
        <w:jc w:val="both"/>
        <w:rPr>
          <w:rFonts w:ascii="Arial" w:eastAsia="Times New Roman" w:hAnsi="Arial" w:cs="Arial"/>
          <w:kern w:val="0"/>
          <w:sz w:val="24"/>
          <w:szCs w:val="24"/>
          <w:lang w:eastAsia="es-CL"/>
          <w14:ligatures w14:val="none"/>
        </w:rPr>
      </w:pPr>
      <w:r w:rsidRPr="00963B2F">
        <w:rPr>
          <w:rFonts w:ascii="Arial" w:eastAsia="Times New Roman" w:hAnsi="Arial" w:cs="Arial"/>
          <w:kern w:val="0"/>
          <w:sz w:val="24"/>
          <w:szCs w:val="24"/>
          <w:lang w:eastAsia="es-CL"/>
          <w14:ligatures w14:val="none"/>
        </w:rPr>
        <w:t xml:space="preserve">Se utilizó como marco de referencia los estándares internacionales del PIDESC, el Convenio 169 de la OIT, la Declaración de Naciones Unidas sobre los Derechos de los Pueblos Indígenas, así como las </w:t>
      </w:r>
      <w:r w:rsidRPr="00963B2F">
        <w:rPr>
          <w:rFonts w:ascii="Arial" w:eastAsia="Times New Roman" w:hAnsi="Arial" w:cs="Arial"/>
          <w:b/>
          <w:bCs/>
          <w:kern w:val="0"/>
          <w:sz w:val="24"/>
          <w:szCs w:val="24"/>
          <w:lang w:eastAsia="es-CL"/>
          <w14:ligatures w14:val="none"/>
        </w:rPr>
        <w:t>Observaciones Finales del Comité DESC a Chile (2015)</w:t>
      </w:r>
      <w:r w:rsidRPr="00963B2F">
        <w:rPr>
          <w:rFonts w:ascii="Arial" w:eastAsia="Times New Roman" w:hAnsi="Arial" w:cs="Arial"/>
          <w:kern w:val="0"/>
          <w:sz w:val="24"/>
          <w:szCs w:val="24"/>
          <w:lang w:eastAsia="es-CL"/>
          <w14:ligatures w14:val="none"/>
        </w:rPr>
        <w:t xml:space="preserve"> y la </w:t>
      </w:r>
      <w:r w:rsidRPr="00963B2F">
        <w:rPr>
          <w:rFonts w:ascii="Arial" w:eastAsia="Times New Roman" w:hAnsi="Arial" w:cs="Arial"/>
          <w:b/>
          <w:bCs/>
          <w:kern w:val="0"/>
          <w:sz w:val="24"/>
          <w:szCs w:val="24"/>
          <w:lang w:eastAsia="es-CL"/>
          <w14:ligatures w14:val="none"/>
        </w:rPr>
        <w:t>Lista de Cuestiones Previas (2020)</w:t>
      </w:r>
      <w:r w:rsidRPr="00963B2F">
        <w:rPr>
          <w:rFonts w:ascii="Arial" w:eastAsia="Times New Roman" w:hAnsi="Arial" w:cs="Arial"/>
          <w:kern w:val="0"/>
          <w:sz w:val="24"/>
          <w:szCs w:val="24"/>
          <w:lang w:eastAsia="es-CL"/>
          <w14:ligatures w14:val="none"/>
        </w:rPr>
        <w:t>.</w:t>
      </w:r>
    </w:p>
    <w:p w14:paraId="036C4536" w14:textId="77777777" w:rsidR="00963B2F" w:rsidRPr="00D67CB2" w:rsidRDefault="00963B2F" w:rsidP="00D67CB2">
      <w:pPr>
        <w:pStyle w:val="Ttulo3"/>
        <w:jc w:val="both"/>
        <w:rPr>
          <w:rFonts w:ascii="Arial" w:hAnsi="Arial" w:cs="Arial"/>
          <w:sz w:val="24"/>
          <w:szCs w:val="24"/>
        </w:rPr>
      </w:pPr>
      <w:r w:rsidRPr="00D67CB2">
        <w:rPr>
          <w:rFonts w:ascii="Arial" w:hAnsi="Arial" w:cs="Arial"/>
          <w:sz w:val="24"/>
          <w:szCs w:val="24"/>
        </w:rPr>
        <w:t>3. SÍNTESIS DE LOS CONFLICTOS IDENTIFICADOS EN TERRITORIOS DE LA REGIÓN DE TARAPACÁ</w:t>
      </w:r>
    </w:p>
    <w:p w14:paraId="6BA7DE90" w14:textId="77777777" w:rsidR="00963B2F" w:rsidRPr="00D67CB2" w:rsidRDefault="00963B2F" w:rsidP="00D67CB2">
      <w:pPr>
        <w:pStyle w:val="NormalWeb"/>
        <w:numPr>
          <w:ilvl w:val="0"/>
          <w:numId w:val="5"/>
        </w:numPr>
        <w:jc w:val="both"/>
        <w:rPr>
          <w:rFonts w:ascii="Arial" w:hAnsi="Arial" w:cs="Arial"/>
        </w:rPr>
      </w:pPr>
      <w:r w:rsidRPr="00D67CB2">
        <w:rPr>
          <w:rFonts w:ascii="Arial" w:hAnsi="Arial" w:cs="Arial"/>
        </w:rPr>
        <w:t>En la región de Tarapacá, múltiples comunidades indígenas enfrentan conflictos socioambientales vinculados a proyectos mineros, hídricos y energéticos que afectan gravemente sus territorios, derechos colectivos y cosmovisión. Estos conflictos se caracterizan por el incumplimiento de la obligación del Estado de garantizar procesos de consulta previa, la falta de acceso a la justicia ambiental y el debilitamiento de los mecanismos de protección territorial.</w:t>
      </w:r>
    </w:p>
    <w:p w14:paraId="22123220" w14:textId="77777777" w:rsidR="00963B2F" w:rsidRPr="00D67CB2" w:rsidRDefault="00963B2F" w:rsidP="00D67CB2">
      <w:pPr>
        <w:pStyle w:val="NormalWeb"/>
        <w:numPr>
          <w:ilvl w:val="0"/>
          <w:numId w:val="5"/>
        </w:numPr>
        <w:jc w:val="both"/>
        <w:rPr>
          <w:rFonts w:ascii="Arial" w:hAnsi="Arial" w:cs="Arial"/>
        </w:rPr>
      </w:pPr>
      <w:r w:rsidRPr="00D67CB2">
        <w:rPr>
          <w:rFonts w:ascii="Arial" w:hAnsi="Arial" w:cs="Arial"/>
        </w:rPr>
        <w:t>A continuación, se describen casos representativos sistematizados en el marco del encuentro regional y las reuniones preparatorias:</w:t>
      </w:r>
    </w:p>
    <w:p w14:paraId="2F19BA30" w14:textId="77777777" w:rsidR="00963B2F" w:rsidRPr="00D67CB2" w:rsidRDefault="00000000" w:rsidP="00D67CB2">
      <w:pPr>
        <w:jc w:val="both"/>
        <w:rPr>
          <w:rFonts w:ascii="Arial" w:hAnsi="Arial" w:cs="Arial"/>
          <w:sz w:val="24"/>
          <w:szCs w:val="24"/>
        </w:rPr>
      </w:pPr>
      <w:r>
        <w:rPr>
          <w:rFonts w:ascii="Arial" w:hAnsi="Arial" w:cs="Arial"/>
          <w:sz w:val="24"/>
          <w:szCs w:val="24"/>
        </w:rPr>
        <w:pict w14:anchorId="5D81D3EA">
          <v:rect id="_x0000_i1026" style="width:0;height:1.5pt" o:hralign="center" o:hrstd="t" o:hr="t" fillcolor="#a0a0a0" stroked="f"/>
        </w:pict>
      </w:r>
    </w:p>
    <w:p w14:paraId="09087EA2" w14:textId="77777777" w:rsidR="00963B2F" w:rsidRPr="00D67CB2" w:rsidRDefault="00963B2F" w:rsidP="00D67CB2">
      <w:pPr>
        <w:pStyle w:val="Ttulo4"/>
        <w:jc w:val="both"/>
        <w:rPr>
          <w:rFonts w:ascii="Arial" w:hAnsi="Arial" w:cs="Arial"/>
          <w:color w:val="auto"/>
          <w:sz w:val="24"/>
          <w:szCs w:val="24"/>
        </w:rPr>
      </w:pPr>
      <w:r w:rsidRPr="00D67CB2">
        <w:rPr>
          <w:rFonts w:ascii="Arial" w:hAnsi="Arial" w:cs="Arial"/>
          <w:color w:val="auto"/>
          <w:sz w:val="24"/>
          <w:szCs w:val="24"/>
        </w:rPr>
        <w:t xml:space="preserve">a) Comunidad Indígena Aymara de </w:t>
      </w:r>
      <w:r w:rsidRPr="00D67CB2">
        <w:rPr>
          <w:rStyle w:val="Textoennegrita"/>
          <w:rFonts w:ascii="Arial" w:hAnsi="Arial" w:cs="Arial"/>
          <w:b w:val="0"/>
          <w:bCs w:val="0"/>
          <w:color w:val="auto"/>
          <w:sz w:val="24"/>
          <w:szCs w:val="24"/>
        </w:rPr>
        <w:t>Chusmiza-Usmagama</w:t>
      </w:r>
    </w:p>
    <w:p w14:paraId="25EED35C" w14:textId="77777777" w:rsidR="00963B2F" w:rsidRPr="00D67CB2" w:rsidRDefault="00963B2F" w:rsidP="00D67CB2">
      <w:pPr>
        <w:pStyle w:val="NormalWeb"/>
        <w:numPr>
          <w:ilvl w:val="0"/>
          <w:numId w:val="6"/>
        </w:numPr>
        <w:jc w:val="both"/>
        <w:rPr>
          <w:rFonts w:ascii="Arial" w:hAnsi="Arial" w:cs="Arial"/>
        </w:rPr>
      </w:pPr>
      <w:r w:rsidRPr="00D67CB2">
        <w:rPr>
          <w:rFonts w:ascii="Arial" w:hAnsi="Arial" w:cs="Arial"/>
        </w:rPr>
        <w:t xml:space="preserve">Enfrenta una histórica lucha por el reconocimiento de sus derechos sobre las aguas de la quebrada de Tarapacá. El caso se encuentra actualmente en etapa de acuerdo amistoso ante el Sistema Interamericano de DDHH. También fue parte del conflicto por el proyecto </w:t>
      </w:r>
      <w:r w:rsidRPr="00D67CB2">
        <w:rPr>
          <w:rStyle w:val="Textoennegrita"/>
          <w:rFonts w:ascii="Arial" w:hAnsi="Arial" w:cs="Arial"/>
        </w:rPr>
        <w:t>Minera Paguanta</w:t>
      </w:r>
      <w:r w:rsidRPr="00D67CB2">
        <w:rPr>
          <w:rFonts w:ascii="Arial" w:hAnsi="Arial" w:cs="Arial"/>
        </w:rPr>
        <w:t xml:space="preserve">, uno de los </w:t>
      </w:r>
      <w:r w:rsidRPr="00D67CB2">
        <w:rPr>
          <w:rFonts w:ascii="Arial" w:hAnsi="Arial" w:cs="Arial"/>
        </w:rPr>
        <w:lastRenderedPageBreak/>
        <w:t>primeros casos en que tribunales nacionales reconocieron la obligación de consulta indígena en el SEIA, producto de la presión comunitaria.</w:t>
      </w:r>
    </w:p>
    <w:p w14:paraId="562F4756" w14:textId="24F52BC2" w:rsidR="00963B2F" w:rsidRPr="00D67CB2" w:rsidRDefault="00963B2F" w:rsidP="00D67CB2">
      <w:pPr>
        <w:jc w:val="both"/>
        <w:rPr>
          <w:rFonts w:ascii="Arial" w:hAnsi="Arial" w:cs="Arial"/>
          <w:sz w:val="24"/>
          <w:szCs w:val="24"/>
        </w:rPr>
      </w:pPr>
    </w:p>
    <w:p w14:paraId="6ED0A30E" w14:textId="77777777" w:rsidR="00963B2F" w:rsidRPr="00D67CB2" w:rsidRDefault="00963B2F" w:rsidP="00D67CB2">
      <w:pPr>
        <w:pStyle w:val="Ttulo4"/>
        <w:jc w:val="both"/>
        <w:rPr>
          <w:rFonts w:ascii="Arial" w:hAnsi="Arial" w:cs="Arial"/>
          <w:color w:val="auto"/>
          <w:sz w:val="24"/>
          <w:szCs w:val="24"/>
        </w:rPr>
      </w:pPr>
      <w:r w:rsidRPr="00D67CB2">
        <w:rPr>
          <w:rFonts w:ascii="Arial" w:hAnsi="Arial" w:cs="Arial"/>
          <w:color w:val="auto"/>
          <w:sz w:val="24"/>
          <w:szCs w:val="24"/>
        </w:rPr>
        <w:t xml:space="preserve">b) Comunidad Indígena Aymara de </w:t>
      </w:r>
      <w:r w:rsidRPr="00D67CB2">
        <w:rPr>
          <w:rStyle w:val="Textoennegrita"/>
          <w:rFonts w:ascii="Arial" w:hAnsi="Arial" w:cs="Arial"/>
          <w:b w:val="0"/>
          <w:bCs w:val="0"/>
          <w:color w:val="auto"/>
          <w:sz w:val="24"/>
          <w:szCs w:val="24"/>
        </w:rPr>
        <w:t>Huarasiña</w:t>
      </w:r>
    </w:p>
    <w:p w14:paraId="550C30BE" w14:textId="77777777" w:rsidR="00963B2F" w:rsidRPr="00D67CB2" w:rsidRDefault="00963B2F" w:rsidP="00D67CB2">
      <w:pPr>
        <w:pStyle w:val="NormalWeb"/>
        <w:numPr>
          <w:ilvl w:val="0"/>
          <w:numId w:val="7"/>
        </w:numPr>
        <w:jc w:val="both"/>
        <w:rPr>
          <w:rFonts w:ascii="Arial" w:hAnsi="Arial" w:cs="Arial"/>
        </w:rPr>
      </w:pPr>
      <w:r w:rsidRPr="00D67CB2">
        <w:rPr>
          <w:rFonts w:ascii="Arial" w:hAnsi="Arial" w:cs="Arial"/>
        </w:rPr>
        <w:t xml:space="preserve">Afectada por obras públicas ejecutadas por el MOP (vialidad y aguas) que han producido daños patrimoniales, arqueológicos y ambientales. Denuncian ocupación ilegal de tierras por terceros, ausencia de consulta previa y validación por parte del Estado de actores no representativos. Se vincula además al caso del </w:t>
      </w:r>
      <w:r w:rsidRPr="00D67CB2">
        <w:rPr>
          <w:rStyle w:val="Textoennegrita"/>
          <w:rFonts w:ascii="Arial" w:hAnsi="Arial" w:cs="Arial"/>
        </w:rPr>
        <w:t>proyecto Suministro Hídrico Cerro Colorado</w:t>
      </w:r>
      <w:r w:rsidRPr="00D67CB2">
        <w:rPr>
          <w:rFonts w:ascii="Arial" w:hAnsi="Arial" w:cs="Arial"/>
        </w:rPr>
        <w:t>, donde se pretende instalar un ducto de agua salada sobre territorio indígena con alto valor ceremonial y patrimonial.</w:t>
      </w:r>
    </w:p>
    <w:p w14:paraId="4FB6CF26" w14:textId="77777777" w:rsidR="00963B2F" w:rsidRPr="00D67CB2" w:rsidRDefault="00000000" w:rsidP="00D67CB2">
      <w:pPr>
        <w:jc w:val="both"/>
        <w:rPr>
          <w:rFonts w:ascii="Arial" w:hAnsi="Arial" w:cs="Arial"/>
          <w:sz w:val="24"/>
          <w:szCs w:val="24"/>
        </w:rPr>
      </w:pPr>
      <w:r>
        <w:rPr>
          <w:rFonts w:ascii="Arial" w:hAnsi="Arial" w:cs="Arial"/>
          <w:sz w:val="24"/>
          <w:szCs w:val="24"/>
        </w:rPr>
        <w:pict w14:anchorId="4ABECFB7">
          <v:rect id="_x0000_i1027" style="width:0;height:1.5pt" o:hralign="center" o:hrstd="t" o:hr="t" fillcolor="#a0a0a0" stroked="f"/>
        </w:pict>
      </w:r>
    </w:p>
    <w:p w14:paraId="3335D4C0" w14:textId="77777777" w:rsidR="00963B2F" w:rsidRPr="00D67CB2" w:rsidRDefault="00963B2F" w:rsidP="00D67CB2">
      <w:pPr>
        <w:pStyle w:val="Ttulo4"/>
        <w:jc w:val="both"/>
        <w:rPr>
          <w:rFonts w:ascii="Arial" w:hAnsi="Arial" w:cs="Arial"/>
          <w:color w:val="auto"/>
          <w:sz w:val="24"/>
          <w:szCs w:val="24"/>
        </w:rPr>
      </w:pPr>
      <w:r w:rsidRPr="00D67CB2">
        <w:rPr>
          <w:rFonts w:ascii="Arial" w:hAnsi="Arial" w:cs="Arial"/>
          <w:color w:val="auto"/>
          <w:sz w:val="24"/>
          <w:szCs w:val="24"/>
        </w:rPr>
        <w:t xml:space="preserve">c) Comunidad Quechua de </w:t>
      </w:r>
      <w:r w:rsidRPr="00D67CB2">
        <w:rPr>
          <w:rStyle w:val="Textoennegrita"/>
          <w:rFonts w:ascii="Arial" w:hAnsi="Arial" w:cs="Arial"/>
          <w:b w:val="0"/>
          <w:bCs w:val="0"/>
          <w:color w:val="auto"/>
          <w:sz w:val="24"/>
          <w:szCs w:val="24"/>
        </w:rPr>
        <w:t>Miñi Miñe / Cooperativa Apacheta</w:t>
      </w:r>
    </w:p>
    <w:p w14:paraId="332F8B77" w14:textId="77777777" w:rsidR="00963B2F" w:rsidRPr="00D67CB2" w:rsidRDefault="00963B2F" w:rsidP="00D67CB2">
      <w:pPr>
        <w:pStyle w:val="NormalWeb"/>
        <w:numPr>
          <w:ilvl w:val="0"/>
          <w:numId w:val="8"/>
        </w:numPr>
        <w:jc w:val="both"/>
        <w:rPr>
          <w:rFonts w:ascii="Arial" w:hAnsi="Arial" w:cs="Arial"/>
        </w:rPr>
      </w:pPr>
      <w:r w:rsidRPr="00D67CB2">
        <w:rPr>
          <w:rFonts w:ascii="Arial" w:hAnsi="Arial" w:cs="Arial"/>
        </w:rPr>
        <w:t xml:space="preserve">Denuncian las actividades de exploración minera de las empresas </w:t>
      </w:r>
      <w:r w:rsidRPr="00D67CB2">
        <w:rPr>
          <w:rStyle w:val="Textoennegrita"/>
          <w:rFonts w:ascii="Arial" w:hAnsi="Arial" w:cs="Arial"/>
        </w:rPr>
        <w:t>Río Tinto y BHP</w:t>
      </w:r>
      <w:r w:rsidRPr="00D67CB2">
        <w:rPr>
          <w:rFonts w:ascii="Arial" w:hAnsi="Arial" w:cs="Arial"/>
        </w:rPr>
        <w:t xml:space="preserve"> en el cerro ceremonial Mamuta, realizadas sin consulta previa. Acusan impactos materiales (sondajes y caminos) e inmateriales (fragmentación comunitaria, afectación espiritual), además de una omisión estructural del Estado respecto a los criterios de afectación directa establecidos por el derecho internacional.</w:t>
      </w:r>
    </w:p>
    <w:p w14:paraId="4206132C" w14:textId="77777777" w:rsidR="00963B2F" w:rsidRPr="00D67CB2" w:rsidRDefault="00000000" w:rsidP="00D67CB2">
      <w:pPr>
        <w:jc w:val="both"/>
        <w:rPr>
          <w:rFonts w:ascii="Arial" w:hAnsi="Arial" w:cs="Arial"/>
          <w:sz w:val="24"/>
          <w:szCs w:val="24"/>
        </w:rPr>
      </w:pPr>
      <w:r>
        <w:rPr>
          <w:rFonts w:ascii="Arial" w:hAnsi="Arial" w:cs="Arial"/>
          <w:sz w:val="24"/>
          <w:szCs w:val="24"/>
        </w:rPr>
        <w:pict w14:anchorId="15338E87">
          <v:rect id="_x0000_i1028" style="width:0;height:1.5pt" o:hralign="center" o:hrstd="t" o:hr="t" fillcolor="#a0a0a0" stroked="f"/>
        </w:pict>
      </w:r>
    </w:p>
    <w:p w14:paraId="7E1A48A3" w14:textId="77777777" w:rsidR="00963B2F" w:rsidRPr="00D67CB2" w:rsidRDefault="00963B2F" w:rsidP="00D67CB2">
      <w:pPr>
        <w:pStyle w:val="Ttulo4"/>
        <w:jc w:val="both"/>
        <w:rPr>
          <w:rFonts w:ascii="Arial" w:hAnsi="Arial" w:cs="Arial"/>
          <w:color w:val="auto"/>
          <w:sz w:val="24"/>
          <w:szCs w:val="24"/>
        </w:rPr>
      </w:pPr>
      <w:r w:rsidRPr="00D67CB2">
        <w:rPr>
          <w:rFonts w:ascii="Arial" w:hAnsi="Arial" w:cs="Arial"/>
          <w:color w:val="auto"/>
          <w:sz w:val="24"/>
          <w:szCs w:val="24"/>
        </w:rPr>
        <w:t xml:space="preserve">d) Comunidad Indígena Aymara de </w:t>
      </w:r>
      <w:r w:rsidRPr="00D67CB2">
        <w:rPr>
          <w:rStyle w:val="Textoennegrita"/>
          <w:rFonts w:ascii="Arial" w:hAnsi="Arial" w:cs="Arial"/>
          <w:b w:val="0"/>
          <w:bCs w:val="0"/>
          <w:color w:val="auto"/>
          <w:sz w:val="24"/>
          <w:szCs w:val="24"/>
        </w:rPr>
        <w:t>Cancosa / Cooperativa Apacheta</w:t>
      </w:r>
    </w:p>
    <w:p w14:paraId="51618442" w14:textId="77777777" w:rsidR="00963B2F" w:rsidRPr="00D67CB2" w:rsidRDefault="00963B2F" w:rsidP="00D67CB2">
      <w:pPr>
        <w:pStyle w:val="NormalWeb"/>
        <w:numPr>
          <w:ilvl w:val="0"/>
          <w:numId w:val="9"/>
        </w:numPr>
        <w:jc w:val="both"/>
        <w:rPr>
          <w:rFonts w:ascii="Arial" w:hAnsi="Arial" w:cs="Arial"/>
        </w:rPr>
      </w:pPr>
      <w:r w:rsidRPr="00D67CB2">
        <w:rPr>
          <w:rFonts w:ascii="Arial" w:hAnsi="Arial" w:cs="Arial"/>
        </w:rPr>
        <w:t xml:space="preserve">Ha enfrentado desde 1994 los impactos del proyecto </w:t>
      </w:r>
      <w:r w:rsidRPr="00D67CB2">
        <w:rPr>
          <w:rStyle w:val="Textoennegrita"/>
          <w:rFonts w:ascii="Arial" w:hAnsi="Arial" w:cs="Arial"/>
        </w:rPr>
        <w:t>Cerro Colorado</w:t>
      </w:r>
      <w:r w:rsidRPr="00D67CB2">
        <w:rPr>
          <w:rFonts w:ascii="Arial" w:hAnsi="Arial" w:cs="Arial"/>
        </w:rPr>
        <w:t xml:space="preserve"> y la extracción de agua del bofedal de Lagunillas. El Primer Tribunal Ambiental ha emitido pronunciamientos por el mal manejo del acuífero, pero la empresa mantiene operaciones con incumplimientos reiterados. La comunidad denuncia la perpetuación del mito del “progreso minero” frente a la ausencia de beneficios reales y promesas incumplidas.</w:t>
      </w:r>
    </w:p>
    <w:p w14:paraId="251BB94F" w14:textId="77777777" w:rsidR="00963B2F" w:rsidRPr="00D67CB2" w:rsidRDefault="00000000" w:rsidP="00D67CB2">
      <w:pPr>
        <w:jc w:val="both"/>
        <w:rPr>
          <w:rFonts w:ascii="Arial" w:hAnsi="Arial" w:cs="Arial"/>
          <w:sz w:val="24"/>
          <w:szCs w:val="24"/>
        </w:rPr>
      </w:pPr>
      <w:r>
        <w:rPr>
          <w:rFonts w:ascii="Arial" w:hAnsi="Arial" w:cs="Arial"/>
          <w:sz w:val="24"/>
          <w:szCs w:val="24"/>
        </w:rPr>
        <w:pict w14:anchorId="75EF8BDC">
          <v:rect id="_x0000_i1029" style="width:0;height:1.5pt" o:hralign="center" o:hrstd="t" o:hr="t" fillcolor="#a0a0a0" stroked="f"/>
        </w:pict>
      </w:r>
    </w:p>
    <w:p w14:paraId="33A0E3AB" w14:textId="77777777" w:rsidR="00963B2F" w:rsidRPr="00D67CB2" w:rsidRDefault="00963B2F" w:rsidP="00D67CB2">
      <w:pPr>
        <w:pStyle w:val="Ttulo4"/>
        <w:jc w:val="both"/>
        <w:rPr>
          <w:rFonts w:ascii="Arial" w:hAnsi="Arial" w:cs="Arial"/>
          <w:color w:val="auto"/>
          <w:sz w:val="24"/>
          <w:szCs w:val="24"/>
        </w:rPr>
      </w:pPr>
      <w:r w:rsidRPr="00D67CB2">
        <w:rPr>
          <w:rFonts w:ascii="Arial" w:hAnsi="Arial" w:cs="Arial"/>
          <w:color w:val="auto"/>
          <w:sz w:val="24"/>
          <w:szCs w:val="24"/>
        </w:rPr>
        <w:t xml:space="preserve">e) Organización territorial de La Huayca: </w:t>
      </w:r>
      <w:r w:rsidRPr="00D67CB2">
        <w:rPr>
          <w:rStyle w:val="Textoennegrita"/>
          <w:rFonts w:ascii="Arial" w:hAnsi="Arial" w:cs="Arial"/>
          <w:b w:val="0"/>
          <w:bCs w:val="0"/>
          <w:color w:val="auto"/>
          <w:sz w:val="24"/>
          <w:szCs w:val="24"/>
        </w:rPr>
        <w:t>Árbol "No Más Tala de Tamarugos"</w:t>
      </w:r>
    </w:p>
    <w:p w14:paraId="3E4AD40A" w14:textId="77777777" w:rsidR="00963B2F" w:rsidRPr="00D67CB2" w:rsidRDefault="00963B2F" w:rsidP="00D67CB2">
      <w:pPr>
        <w:pStyle w:val="NormalWeb"/>
        <w:numPr>
          <w:ilvl w:val="0"/>
          <w:numId w:val="10"/>
        </w:numPr>
        <w:jc w:val="both"/>
        <w:rPr>
          <w:rFonts w:ascii="Arial" w:hAnsi="Arial" w:cs="Arial"/>
        </w:rPr>
      </w:pPr>
      <w:r w:rsidRPr="00D67CB2">
        <w:rPr>
          <w:rFonts w:ascii="Arial" w:hAnsi="Arial" w:cs="Arial"/>
        </w:rPr>
        <w:t>Denuncian la tala ilegal e industrial de tamarugos para producción de carbón vegetal, sin fiscalización estatal efectiva. Esta actividad ha generado contaminación ambiental severa que afecta la salud de la población. El Estado ha sido omiso en su deber de protección y regulación ambiental, pese a años de denuncias reiteradas.</w:t>
      </w:r>
    </w:p>
    <w:p w14:paraId="57B550F5" w14:textId="77777777" w:rsidR="00963B2F" w:rsidRPr="00D67CB2" w:rsidRDefault="00000000" w:rsidP="00D67CB2">
      <w:pPr>
        <w:jc w:val="both"/>
        <w:rPr>
          <w:rFonts w:ascii="Arial" w:hAnsi="Arial" w:cs="Arial"/>
          <w:sz w:val="24"/>
          <w:szCs w:val="24"/>
        </w:rPr>
      </w:pPr>
      <w:r>
        <w:rPr>
          <w:rFonts w:ascii="Arial" w:hAnsi="Arial" w:cs="Arial"/>
          <w:sz w:val="24"/>
          <w:szCs w:val="24"/>
        </w:rPr>
        <w:pict w14:anchorId="01D56752">
          <v:rect id="_x0000_i1030" style="width:0;height:1.5pt" o:hralign="center" o:hrstd="t" o:hr="t" fillcolor="#a0a0a0" stroked="f"/>
        </w:pict>
      </w:r>
    </w:p>
    <w:p w14:paraId="61EFB239" w14:textId="77777777" w:rsidR="00963B2F" w:rsidRPr="00D67CB2" w:rsidRDefault="00963B2F" w:rsidP="00D67CB2">
      <w:pPr>
        <w:pStyle w:val="Ttulo4"/>
        <w:jc w:val="both"/>
        <w:rPr>
          <w:rFonts w:ascii="Arial" w:hAnsi="Arial" w:cs="Arial"/>
          <w:color w:val="auto"/>
          <w:sz w:val="24"/>
          <w:szCs w:val="24"/>
        </w:rPr>
      </w:pPr>
      <w:r w:rsidRPr="00D67CB2">
        <w:rPr>
          <w:rFonts w:ascii="Arial" w:hAnsi="Arial" w:cs="Arial"/>
          <w:color w:val="auto"/>
          <w:sz w:val="24"/>
          <w:szCs w:val="24"/>
        </w:rPr>
        <w:lastRenderedPageBreak/>
        <w:t xml:space="preserve">f) Comunidad Indígena Aymara de </w:t>
      </w:r>
      <w:r w:rsidRPr="00D67CB2">
        <w:rPr>
          <w:rStyle w:val="Textoennegrita"/>
          <w:rFonts w:ascii="Arial" w:hAnsi="Arial" w:cs="Arial"/>
          <w:b w:val="0"/>
          <w:bCs w:val="0"/>
          <w:color w:val="auto"/>
          <w:sz w:val="24"/>
          <w:szCs w:val="24"/>
        </w:rPr>
        <w:t>Quipisca</w:t>
      </w:r>
    </w:p>
    <w:p w14:paraId="43953223" w14:textId="77777777" w:rsidR="00963B2F" w:rsidRPr="00D67CB2" w:rsidRDefault="00963B2F" w:rsidP="00D67CB2">
      <w:pPr>
        <w:pStyle w:val="NormalWeb"/>
        <w:numPr>
          <w:ilvl w:val="0"/>
          <w:numId w:val="11"/>
        </w:numPr>
        <w:jc w:val="both"/>
        <w:rPr>
          <w:rFonts w:ascii="Arial" w:hAnsi="Arial" w:cs="Arial"/>
        </w:rPr>
      </w:pPr>
      <w:r w:rsidRPr="00D67CB2">
        <w:rPr>
          <w:rFonts w:ascii="Arial" w:hAnsi="Arial" w:cs="Arial"/>
        </w:rPr>
        <w:t xml:space="preserve">Ha sido protagonista del fallo Rol N° 8573-2019 de la Corte Suprema, que reconoció la vulneración de su derecho a la consulta indígena frente a actividades de </w:t>
      </w:r>
      <w:r w:rsidRPr="00D67CB2">
        <w:rPr>
          <w:rStyle w:val="Textoennegrita"/>
          <w:rFonts w:ascii="Arial" w:hAnsi="Arial" w:cs="Arial"/>
        </w:rPr>
        <w:t>Cerro Colorado</w:t>
      </w:r>
      <w:r w:rsidRPr="00D67CB2">
        <w:rPr>
          <w:rFonts w:ascii="Arial" w:hAnsi="Arial" w:cs="Arial"/>
        </w:rPr>
        <w:t>. Sin embargo, los procesos de mitigación y reparación no han resuelto los impactos, generando nuevas judicializaciones. Denuncian discriminación estructural y la persistencia de actividades extractivas ilegales en su cauce fluvial.</w:t>
      </w:r>
    </w:p>
    <w:p w14:paraId="4DB1451A" w14:textId="77777777" w:rsidR="00963B2F" w:rsidRPr="00D67CB2" w:rsidRDefault="00000000" w:rsidP="00D67CB2">
      <w:pPr>
        <w:jc w:val="both"/>
        <w:rPr>
          <w:rFonts w:ascii="Arial" w:hAnsi="Arial" w:cs="Arial"/>
          <w:sz w:val="24"/>
          <w:szCs w:val="24"/>
        </w:rPr>
      </w:pPr>
      <w:r>
        <w:rPr>
          <w:rFonts w:ascii="Arial" w:hAnsi="Arial" w:cs="Arial"/>
          <w:sz w:val="24"/>
          <w:szCs w:val="24"/>
        </w:rPr>
        <w:pict w14:anchorId="72E95395">
          <v:rect id="_x0000_i1031" style="width:0;height:1.5pt" o:hralign="center" o:hrstd="t" o:hr="t" fillcolor="#a0a0a0" stroked="f"/>
        </w:pict>
      </w:r>
    </w:p>
    <w:p w14:paraId="24B4CEDD" w14:textId="77777777" w:rsidR="00963B2F" w:rsidRPr="00D67CB2" w:rsidRDefault="00963B2F" w:rsidP="00D67CB2">
      <w:pPr>
        <w:pStyle w:val="Ttulo4"/>
        <w:jc w:val="both"/>
        <w:rPr>
          <w:rFonts w:ascii="Arial" w:hAnsi="Arial" w:cs="Arial"/>
          <w:color w:val="auto"/>
          <w:sz w:val="24"/>
          <w:szCs w:val="24"/>
        </w:rPr>
      </w:pPr>
      <w:r w:rsidRPr="00D67CB2">
        <w:rPr>
          <w:rFonts w:ascii="Arial" w:hAnsi="Arial" w:cs="Arial"/>
          <w:color w:val="auto"/>
          <w:sz w:val="24"/>
          <w:szCs w:val="24"/>
        </w:rPr>
        <w:t xml:space="preserve">g) Comunidad Quechua de </w:t>
      </w:r>
      <w:r w:rsidRPr="00D67CB2">
        <w:rPr>
          <w:rStyle w:val="Textoennegrita"/>
          <w:rFonts w:ascii="Arial" w:hAnsi="Arial" w:cs="Arial"/>
          <w:b w:val="0"/>
          <w:bCs w:val="0"/>
          <w:color w:val="auto"/>
          <w:sz w:val="24"/>
          <w:szCs w:val="24"/>
        </w:rPr>
        <w:t>Quipisca / Consejo de Salud y Pueblos Originarios</w:t>
      </w:r>
    </w:p>
    <w:p w14:paraId="4770B4A6" w14:textId="77777777" w:rsidR="00963B2F" w:rsidRPr="00D67CB2" w:rsidRDefault="00963B2F" w:rsidP="00D67CB2">
      <w:pPr>
        <w:pStyle w:val="NormalWeb"/>
        <w:numPr>
          <w:ilvl w:val="0"/>
          <w:numId w:val="12"/>
        </w:numPr>
        <w:jc w:val="both"/>
        <w:rPr>
          <w:rFonts w:ascii="Arial" w:hAnsi="Arial" w:cs="Arial"/>
        </w:rPr>
      </w:pPr>
      <w:r w:rsidRPr="00D67CB2">
        <w:rPr>
          <w:rFonts w:ascii="Arial" w:hAnsi="Arial" w:cs="Arial"/>
        </w:rPr>
        <w:t>Alertan sobre la contaminación del agua y el aire derivada de actividades mineras. Denuncian la falta de pertinencia del modelo de salud intercultural, y que el Estado utiliza la participación como forma de validación formal sin impacto en las decisiones. Exigen fiscalización sanitaria real y estudios independientes sobre impactos en la salud.</w:t>
      </w:r>
    </w:p>
    <w:p w14:paraId="49CF1F44" w14:textId="77777777" w:rsidR="00963B2F" w:rsidRPr="00D67CB2" w:rsidRDefault="00000000" w:rsidP="00D67CB2">
      <w:pPr>
        <w:jc w:val="both"/>
        <w:rPr>
          <w:rFonts w:ascii="Arial" w:hAnsi="Arial" w:cs="Arial"/>
          <w:sz w:val="24"/>
          <w:szCs w:val="24"/>
        </w:rPr>
      </w:pPr>
      <w:r>
        <w:rPr>
          <w:rFonts w:ascii="Arial" w:hAnsi="Arial" w:cs="Arial"/>
          <w:sz w:val="24"/>
          <w:szCs w:val="24"/>
        </w:rPr>
        <w:pict w14:anchorId="7C386E11">
          <v:rect id="_x0000_i1032" style="width:0;height:1.5pt" o:hralign="center" o:hrstd="t" o:hr="t" fillcolor="#a0a0a0" stroked="f"/>
        </w:pict>
      </w:r>
    </w:p>
    <w:p w14:paraId="29EF612D" w14:textId="77777777" w:rsidR="00963B2F" w:rsidRPr="00D67CB2" w:rsidRDefault="00963B2F" w:rsidP="00D67CB2">
      <w:pPr>
        <w:pStyle w:val="Ttulo4"/>
        <w:jc w:val="both"/>
        <w:rPr>
          <w:rFonts w:ascii="Arial" w:hAnsi="Arial" w:cs="Arial"/>
          <w:color w:val="auto"/>
          <w:sz w:val="24"/>
          <w:szCs w:val="24"/>
        </w:rPr>
      </w:pPr>
      <w:r w:rsidRPr="00D67CB2">
        <w:rPr>
          <w:rFonts w:ascii="Arial" w:hAnsi="Arial" w:cs="Arial"/>
          <w:color w:val="auto"/>
          <w:sz w:val="24"/>
          <w:szCs w:val="24"/>
        </w:rPr>
        <w:t xml:space="preserve">h) Comunidad Indígena Aymara de </w:t>
      </w:r>
      <w:r w:rsidRPr="00D67CB2">
        <w:rPr>
          <w:rStyle w:val="Textoennegrita"/>
          <w:rFonts w:ascii="Arial" w:hAnsi="Arial" w:cs="Arial"/>
          <w:b w:val="0"/>
          <w:bCs w:val="0"/>
          <w:color w:val="auto"/>
          <w:sz w:val="24"/>
          <w:szCs w:val="24"/>
        </w:rPr>
        <w:t>Macaya</w:t>
      </w:r>
    </w:p>
    <w:p w14:paraId="5F6FBD48" w14:textId="77777777" w:rsidR="00963B2F" w:rsidRPr="00D67CB2" w:rsidRDefault="00963B2F" w:rsidP="00D67CB2">
      <w:pPr>
        <w:pStyle w:val="NormalWeb"/>
        <w:numPr>
          <w:ilvl w:val="0"/>
          <w:numId w:val="13"/>
        </w:numPr>
        <w:jc w:val="both"/>
        <w:rPr>
          <w:rFonts w:ascii="Arial" w:hAnsi="Arial" w:cs="Arial"/>
        </w:rPr>
      </w:pPr>
      <w:r w:rsidRPr="00D67CB2">
        <w:rPr>
          <w:rFonts w:ascii="Arial" w:hAnsi="Arial" w:cs="Arial"/>
        </w:rPr>
        <w:t xml:space="preserve">Se encuentra en alerta por el inminente ingreso de la empresa </w:t>
      </w:r>
      <w:r w:rsidRPr="00D67CB2">
        <w:rPr>
          <w:rStyle w:val="Textoennegrita"/>
          <w:rFonts w:ascii="Arial" w:hAnsi="Arial" w:cs="Arial"/>
        </w:rPr>
        <w:t>Minera HMC S.A.</w:t>
      </w:r>
      <w:r w:rsidRPr="00D67CB2">
        <w:rPr>
          <w:rFonts w:ascii="Arial" w:hAnsi="Arial" w:cs="Arial"/>
        </w:rPr>
        <w:t>. La comunidad denuncia la falta de información clara, ausencia de consulta previa y temor a daños patrimoniales irreparables. No existe información pública suficiente sobre la etapa del proyecto ni evaluación de impactos desde la cosmovisión del pueblo Aymara.</w:t>
      </w:r>
    </w:p>
    <w:p w14:paraId="5CBD6D5D" w14:textId="77777777" w:rsidR="00963B2F" w:rsidRPr="00D67CB2" w:rsidRDefault="00000000" w:rsidP="00D67CB2">
      <w:pPr>
        <w:jc w:val="both"/>
        <w:rPr>
          <w:rFonts w:ascii="Arial" w:hAnsi="Arial" w:cs="Arial"/>
          <w:sz w:val="24"/>
          <w:szCs w:val="24"/>
        </w:rPr>
      </w:pPr>
      <w:r>
        <w:rPr>
          <w:rFonts w:ascii="Arial" w:hAnsi="Arial" w:cs="Arial"/>
          <w:sz w:val="24"/>
          <w:szCs w:val="24"/>
        </w:rPr>
        <w:pict w14:anchorId="1BE38B86">
          <v:rect id="_x0000_i1033" style="width:0;height:1.5pt" o:hralign="center" o:hrstd="t" o:hr="t" fillcolor="#a0a0a0" stroked="f"/>
        </w:pict>
      </w:r>
    </w:p>
    <w:p w14:paraId="6A196C70" w14:textId="77777777" w:rsidR="00963B2F" w:rsidRPr="00D67CB2" w:rsidRDefault="00963B2F" w:rsidP="00D67CB2">
      <w:pPr>
        <w:pStyle w:val="Ttulo4"/>
        <w:jc w:val="both"/>
        <w:rPr>
          <w:rFonts w:ascii="Arial" w:hAnsi="Arial" w:cs="Arial"/>
          <w:color w:val="auto"/>
          <w:sz w:val="24"/>
          <w:szCs w:val="24"/>
        </w:rPr>
      </w:pPr>
      <w:r w:rsidRPr="00D67CB2">
        <w:rPr>
          <w:rFonts w:ascii="Arial" w:hAnsi="Arial" w:cs="Arial"/>
          <w:color w:val="auto"/>
          <w:sz w:val="24"/>
          <w:szCs w:val="24"/>
        </w:rPr>
        <w:t xml:space="preserve">i) Comunidad Indígena Aymara de </w:t>
      </w:r>
      <w:r w:rsidRPr="00D67CB2">
        <w:rPr>
          <w:rStyle w:val="Textoennegrita"/>
          <w:rFonts w:ascii="Arial" w:hAnsi="Arial" w:cs="Arial"/>
          <w:b w:val="0"/>
          <w:bCs w:val="0"/>
          <w:color w:val="auto"/>
          <w:sz w:val="24"/>
          <w:szCs w:val="24"/>
        </w:rPr>
        <w:t>Nama / Comando de Defensa de Camiña</w:t>
      </w:r>
    </w:p>
    <w:p w14:paraId="6C61F4DA" w14:textId="77777777" w:rsidR="00963B2F" w:rsidRPr="00D67CB2" w:rsidRDefault="00963B2F" w:rsidP="00D67CB2">
      <w:pPr>
        <w:pStyle w:val="NormalWeb"/>
        <w:numPr>
          <w:ilvl w:val="0"/>
          <w:numId w:val="14"/>
        </w:numPr>
        <w:jc w:val="both"/>
        <w:rPr>
          <w:rFonts w:ascii="Arial" w:hAnsi="Arial" w:cs="Arial"/>
        </w:rPr>
      </w:pPr>
      <w:r w:rsidRPr="00D67CB2">
        <w:rPr>
          <w:rFonts w:ascii="Arial" w:hAnsi="Arial" w:cs="Arial"/>
        </w:rPr>
        <w:t xml:space="preserve">Se opone al proyecto de explotación de </w:t>
      </w:r>
      <w:r w:rsidRPr="00D67CB2">
        <w:rPr>
          <w:rStyle w:val="Textoennegrita"/>
          <w:rFonts w:ascii="Arial" w:hAnsi="Arial" w:cs="Arial"/>
        </w:rPr>
        <w:t>energía geotérmica “Licancura 3”</w:t>
      </w:r>
      <w:r w:rsidRPr="00D67CB2">
        <w:rPr>
          <w:rFonts w:ascii="Arial" w:hAnsi="Arial" w:cs="Arial"/>
        </w:rPr>
        <w:t>. Pese a haberse realizado una consulta formal, esta fue judicializada por las comunidades por no cumplir estándares internacionales. La Corte Suprema acogió la demanda por considerar el proceso arbitrario (causa Rol 4162–2022), confirmando que el Estado no garantiza aún el consentimiento libre, previo e informado.</w:t>
      </w:r>
    </w:p>
    <w:p w14:paraId="7220A9C4" w14:textId="77777777" w:rsidR="00963B2F" w:rsidRPr="00D67CB2" w:rsidRDefault="00963B2F" w:rsidP="00D67CB2">
      <w:pPr>
        <w:pStyle w:val="Ttulo3"/>
        <w:jc w:val="both"/>
        <w:rPr>
          <w:rFonts w:ascii="Arial" w:hAnsi="Arial" w:cs="Arial"/>
          <w:sz w:val="24"/>
          <w:szCs w:val="24"/>
        </w:rPr>
      </w:pPr>
      <w:r w:rsidRPr="00D67CB2">
        <w:rPr>
          <w:rFonts w:ascii="Arial" w:hAnsi="Arial" w:cs="Arial"/>
          <w:sz w:val="24"/>
          <w:szCs w:val="24"/>
        </w:rPr>
        <w:t>4. ROL DEL ESTADO EN LOS CONFLICTOS SOCIOAMBIENTALES Y SU RELACIÓN CON LOS PUEBLOS ORIGINARIOS</w:t>
      </w:r>
    </w:p>
    <w:p w14:paraId="6A1DCB99" w14:textId="77777777" w:rsidR="00963B2F" w:rsidRPr="00D67CB2" w:rsidRDefault="00963B2F" w:rsidP="00D67CB2">
      <w:pPr>
        <w:pStyle w:val="NormalWeb"/>
        <w:numPr>
          <w:ilvl w:val="0"/>
          <w:numId w:val="15"/>
        </w:numPr>
        <w:jc w:val="both"/>
        <w:rPr>
          <w:rFonts w:ascii="Arial" w:hAnsi="Arial" w:cs="Arial"/>
        </w:rPr>
      </w:pPr>
      <w:r w:rsidRPr="00D67CB2">
        <w:rPr>
          <w:rFonts w:ascii="Arial" w:hAnsi="Arial" w:cs="Arial"/>
        </w:rPr>
        <w:t xml:space="preserve">El rol del Estado en los conflictos socioambientales en Tarapacá ha sido percibido de manera ambigua por las comunidades indígenas: en algunos casos como garante pasivo y, en otros, como facilitador de intereses empresariales. Las mujeres participantes del encuentro señalaron una </w:t>
      </w:r>
      <w:r w:rsidRPr="00D67CB2">
        <w:rPr>
          <w:rFonts w:ascii="Arial" w:hAnsi="Arial" w:cs="Arial"/>
        </w:rPr>
        <w:lastRenderedPageBreak/>
        <w:t>sistemática falta de garantías efectivas para la participación indígena en procesos de toma de decisiones, así como una omisión grave en el cumplimiento de estándares internacionales como el Convenio 169 de la OIT, especialmente en lo referido a la consulta previa, libre e informada.</w:t>
      </w:r>
    </w:p>
    <w:p w14:paraId="1418A60B" w14:textId="77777777" w:rsidR="00963B2F" w:rsidRPr="00D67CB2" w:rsidRDefault="00963B2F" w:rsidP="00D67CB2">
      <w:pPr>
        <w:pStyle w:val="NormalWeb"/>
        <w:numPr>
          <w:ilvl w:val="0"/>
          <w:numId w:val="15"/>
        </w:numPr>
        <w:jc w:val="both"/>
        <w:rPr>
          <w:rFonts w:ascii="Arial" w:hAnsi="Arial" w:cs="Arial"/>
        </w:rPr>
      </w:pPr>
      <w:r w:rsidRPr="00D67CB2">
        <w:rPr>
          <w:rFonts w:ascii="Arial" w:hAnsi="Arial" w:cs="Arial"/>
        </w:rPr>
        <w:t xml:space="preserve">Desde el </w:t>
      </w:r>
      <w:r w:rsidRPr="00D67CB2">
        <w:rPr>
          <w:rStyle w:val="Textoennegrita"/>
          <w:rFonts w:ascii="Arial" w:eastAsiaTheme="majorEastAsia" w:hAnsi="Arial" w:cs="Arial"/>
        </w:rPr>
        <w:t>Poder Ejecutivo</w:t>
      </w:r>
      <w:r w:rsidRPr="00D67CB2">
        <w:rPr>
          <w:rFonts w:ascii="Arial" w:hAnsi="Arial" w:cs="Arial"/>
        </w:rPr>
        <w:t>, se identifica un comportamiento guiado por limitaciones técnicas, falta de sensibilidad intercultural o cálculos políticos. En varios casos, autoridades han entregado legitimidad a organizaciones no representativas de los pueblos, fragmentando la representación comunitaria y debilitando el ejercicio de la autodeterminación.</w:t>
      </w:r>
    </w:p>
    <w:p w14:paraId="10A6B855" w14:textId="77777777" w:rsidR="00963B2F" w:rsidRPr="00D67CB2" w:rsidRDefault="00963B2F" w:rsidP="00D67CB2">
      <w:pPr>
        <w:pStyle w:val="NormalWeb"/>
        <w:numPr>
          <w:ilvl w:val="0"/>
          <w:numId w:val="15"/>
        </w:numPr>
        <w:jc w:val="both"/>
        <w:rPr>
          <w:rFonts w:ascii="Arial" w:hAnsi="Arial" w:cs="Arial"/>
        </w:rPr>
      </w:pPr>
      <w:r w:rsidRPr="00D67CB2">
        <w:rPr>
          <w:rFonts w:ascii="Arial" w:hAnsi="Arial" w:cs="Arial"/>
        </w:rPr>
        <w:t>Se observa también que las promesas del Estado no se condicen con los recursos ni los tiempos institucionales disponibles, generando procesos incompletos, poco participativos o solo formales, como en las consultas indígenas bajo el DS 66, ampliamente cuestionadas por no cumplir con el estándar de consentimiento ni garantizar la incidencia efectiva de las comunidades.</w:t>
      </w:r>
    </w:p>
    <w:p w14:paraId="66FA6187" w14:textId="77777777" w:rsidR="00963B2F" w:rsidRPr="00D67CB2" w:rsidRDefault="00963B2F" w:rsidP="00D67CB2">
      <w:pPr>
        <w:pStyle w:val="NormalWeb"/>
        <w:numPr>
          <w:ilvl w:val="0"/>
          <w:numId w:val="15"/>
        </w:numPr>
        <w:jc w:val="both"/>
        <w:rPr>
          <w:rFonts w:ascii="Arial" w:hAnsi="Arial" w:cs="Arial"/>
        </w:rPr>
      </w:pPr>
      <w:r w:rsidRPr="00D67CB2">
        <w:rPr>
          <w:rFonts w:ascii="Arial" w:hAnsi="Arial" w:cs="Arial"/>
        </w:rPr>
        <w:t xml:space="preserve">En cuanto al </w:t>
      </w:r>
      <w:r w:rsidRPr="00D67CB2">
        <w:rPr>
          <w:rStyle w:val="Textoennegrita"/>
          <w:rFonts w:ascii="Arial" w:eastAsiaTheme="majorEastAsia" w:hAnsi="Arial" w:cs="Arial"/>
        </w:rPr>
        <w:t>Poder Judicial</w:t>
      </w:r>
      <w:r w:rsidRPr="00D67CB2">
        <w:rPr>
          <w:rFonts w:ascii="Arial" w:hAnsi="Arial" w:cs="Arial"/>
        </w:rPr>
        <w:t>, la experiencia ha sido ambivalente. Si bien en algunos casos se ha reconocido la vulneración de derechos —como el fallo de la Corte Suprema a favor de la comunidad de Quipisca (Rol 8573-2019)—, en otros la legislación vigente no permite una adecuada protección, especialmente cuando se trata de actos judiciales no sujetos a revisión, como las concesiones mineras o las prospecciones con impacto “no significativo”.</w:t>
      </w:r>
    </w:p>
    <w:p w14:paraId="2E7C7147" w14:textId="77777777" w:rsidR="00963B2F" w:rsidRPr="00D67CB2" w:rsidRDefault="00963B2F" w:rsidP="00D67CB2">
      <w:pPr>
        <w:pStyle w:val="NormalWeb"/>
        <w:numPr>
          <w:ilvl w:val="0"/>
          <w:numId w:val="15"/>
        </w:numPr>
        <w:jc w:val="both"/>
        <w:rPr>
          <w:rFonts w:ascii="Arial" w:hAnsi="Arial" w:cs="Arial"/>
        </w:rPr>
      </w:pPr>
      <w:r w:rsidRPr="00D67CB2">
        <w:rPr>
          <w:rFonts w:ascii="Arial" w:hAnsi="Arial" w:cs="Arial"/>
        </w:rPr>
        <w:t xml:space="preserve">Las comunidades identifican que el </w:t>
      </w:r>
      <w:r w:rsidRPr="00D67CB2">
        <w:rPr>
          <w:rStyle w:val="Textoennegrita"/>
          <w:rFonts w:ascii="Arial" w:eastAsiaTheme="majorEastAsia" w:hAnsi="Arial" w:cs="Arial"/>
        </w:rPr>
        <w:t>Poder Legislativo</w:t>
      </w:r>
      <w:r w:rsidRPr="00D67CB2">
        <w:rPr>
          <w:rFonts w:ascii="Arial" w:hAnsi="Arial" w:cs="Arial"/>
        </w:rPr>
        <w:t xml:space="preserve"> ha tenido una incidencia pasiva, al no garantizar marcos normativos adecuados que regulen efectivamente los impactos ambientales, los derechos colectivos ni los mecanismos de participación indígena. La falta de actualización del marco legal en relación con los compromisos internacionales ha debilitado la protección efectiva de los pueblos originarios.</w:t>
      </w:r>
    </w:p>
    <w:p w14:paraId="77128695" w14:textId="77777777" w:rsidR="00963B2F" w:rsidRPr="00D67CB2" w:rsidRDefault="00963B2F" w:rsidP="00D67CB2">
      <w:pPr>
        <w:pStyle w:val="NormalWeb"/>
        <w:numPr>
          <w:ilvl w:val="0"/>
          <w:numId w:val="15"/>
        </w:numPr>
        <w:jc w:val="both"/>
        <w:rPr>
          <w:rFonts w:ascii="Arial" w:hAnsi="Arial" w:cs="Arial"/>
        </w:rPr>
      </w:pPr>
      <w:r w:rsidRPr="00D67CB2">
        <w:rPr>
          <w:rFonts w:ascii="Arial" w:hAnsi="Arial" w:cs="Arial"/>
        </w:rPr>
        <w:t>La falta de coherencia entre los tres poderes del Estado, sumada a la validación institucional de actores empresariales sobre los comunitarios, ha permitido la continuidad de un modelo de desarrollo basado en el despojo territorial, sin responsabilidad estatal real frente a sus impactos.</w:t>
      </w:r>
    </w:p>
    <w:p w14:paraId="39930FB9" w14:textId="77777777" w:rsidR="00E0130E" w:rsidRPr="00D67CB2" w:rsidRDefault="00E0130E" w:rsidP="00D67CB2">
      <w:pPr>
        <w:pStyle w:val="Ttulo3"/>
        <w:jc w:val="both"/>
        <w:rPr>
          <w:rFonts w:ascii="Arial" w:hAnsi="Arial" w:cs="Arial"/>
          <w:sz w:val="24"/>
          <w:szCs w:val="24"/>
        </w:rPr>
      </w:pPr>
      <w:r w:rsidRPr="00D67CB2">
        <w:rPr>
          <w:rFonts w:ascii="Arial" w:hAnsi="Arial" w:cs="Arial"/>
          <w:sz w:val="24"/>
          <w:szCs w:val="24"/>
        </w:rPr>
        <w:t>5. COMPORTAMIENTO DE LAS EMPRESAS PRIVADAS Y SU RELACIÓN CON LOS PUEBLOS ORIGINARIOS</w:t>
      </w:r>
    </w:p>
    <w:p w14:paraId="59CEED2B" w14:textId="77777777" w:rsidR="00E0130E" w:rsidRPr="00D67CB2" w:rsidRDefault="00E0130E" w:rsidP="00D67CB2">
      <w:pPr>
        <w:pStyle w:val="NormalWeb"/>
        <w:numPr>
          <w:ilvl w:val="0"/>
          <w:numId w:val="16"/>
        </w:numPr>
        <w:jc w:val="both"/>
        <w:rPr>
          <w:rFonts w:ascii="Arial" w:hAnsi="Arial" w:cs="Arial"/>
        </w:rPr>
      </w:pPr>
      <w:r w:rsidRPr="00D67CB2">
        <w:rPr>
          <w:rFonts w:ascii="Arial" w:hAnsi="Arial" w:cs="Arial"/>
        </w:rPr>
        <w:t>Las comunidades participantes del informe han documentado diversos patrones de conducta empresarial que vulneran derechos económicos, sociales, culturales y ambientales de los pueblos indígenas en Tarapacá. Si bien muchas empresas invocan marcos de sostenibilidad o responsabilidad social empresarial, en la práctica se observan prácticas que refuerzan la desigualdad, la fragmentación social y la captura institucional.</w:t>
      </w:r>
    </w:p>
    <w:p w14:paraId="726D76F7" w14:textId="77777777" w:rsidR="00E0130E" w:rsidRPr="00D67CB2" w:rsidRDefault="00E0130E" w:rsidP="00D67CB2">
      <w:pPr>
        <w:pStyle w:val="NormalWeb"/>
        <w:numPr>
          <w:ilvl w:val="0"/>
          <w:numId w:val="16"/>
        </w:numPr>
        <w:jc w:val="both"/>
        <w:rPr>
          <w:rFonts w:ascii="Arial" w:hAnsi="Arial" w:cs="Arial"/>
        </w:rPr>
      </w:pPr>
      <w:r w:rsidRPr="00D67CB2">
        <w:rPr>
          <w:rFonts w:ascii="Arial" w:hAnsi="Arial" w:cs="Arial"/>
        </w:rPr>
        <w:t xml:space="preserve">Un patrón recurrente es el establecimiento de </w:t>
      </w:r>
      <w:r w:rsidRPr="00D67CB2">
        <w:rPr>
          <w:rStyle w:val="Textoennegrita"/>
          <w:rFonts w:ascii="Arial" w:eastAsiaTheme="majorEastAsia" w:hAnsi="Arial" w:cs="Arial"/>
        </w:rPr>
        <w:t>relaciones asimétricas</w:t>
      </w:r>
      <w:r w:rsidRPr="00D67CB2">
        <w:rPr>
          <w:rFonts w:ascii="Arial" w:hAnsi="Arial" w:cs="Arial"/>
        </w:rPr>
        <w:t xml:space="preserve"> con las comunidades, bajo esquemas de negociación condicionada que no respetan la autodeterminación ni las estructuras propias de representación. Las empresas frecuentemente entablan vínculos con juntas de vecinos, asociaciones funcionales u organizaciones no indígenas para legitimar sus </w:t>
      </w:r>
      <w:r w:rsidRPr="00D67CB2">
        <w:rPr>
          <w:rFonts w:ascii="Arial" w:hAnsi="Arial" w:cs="Arial"/>
        </w:rPr>
        <w:lastRenderedPageBreak/>
        <w:t>proyectos, evitando así cumplir con la obligación de realizar consultas indígenas conforme al Convenio 169 de la OIT.</w:t>
      </w:r>
    </w:p>
    <w:p w14:paraId="6C79D498" w14:textId="77777777" w:rsidR="00E0130E" w:rsidRPr="00D67CB2" w:rsidRDefault="00E0130E" w:rsidP="00D67CB2">
      <w:pPr>
        <w:pStyle w:val="NormalWeb"/>
        <w:numPr>
          <w:ilvl w:val="0"/>
          <w:numId w:val="16"/>
        </w:numPr>
        <w:jc w:val="both"/>
        <w:rPr>
          <w:rFonts w:ascii="Arial" w:hAnsi="Arial" w:cs="Arial"/>
        </w:rPr>
      </w:pPr>
      <w:r w:rsidRPr="00D67CB2">
        <w:rPr>
          <w:rFonts w:ascii="Arial" w:hAnsi="Arial" w:cs="Arial"/>
        </w:rPr>
        <w:t xml:space="preserve">La ejecución de convenios de relacionamiento comunitario —al margen de procesos de evaluación ambiental o consulta previa— constituye otra práctica extendida. Estos acuerdos suelen incluir </w:t>
      </w:r>
      <w:r w:rsidRPr="00D67CB2">
        <w:rPr>
          <w:rStyle w:val="Textoennegrita"/>
          <w:rFonts w:ascii="Arial" w:eastAsiaTheme="majorEastAsia" w:hAnsi="Arial" w:cs="Arial"/>
        </w:rPr>
        <w:t>transferencias monetarias o financiamiento de proyectos menores</w:t>
      </w:r>
      <w:r w:rsidRPr="00D67CB2">
        <w:rPr>
          <w:rFonts w:ascii="Arial" w:hAnsi="Arial" w:cs="Arial"/>
        </w:rPr>
        <w:t>, pero sin transparencia ni participación comunitaria en su formulación. Además, los mecanismos de resolución de conflictos establecidos en dichos convenios muchas veces impiden iniciar acciones administrativas o judiciales, generando cláusulas de confidencialidad que favorecen la impunidad.</w:t>
      </w:r>
    </w:p>
    <w:p w14:paraId="18DDB698" w14:textId="77777777" w:rsidR="00E0130E" w:rsidRPr="00D67CB2" w:rsidRDefault="00E0130E" w:rsidP="00D67CB2">
      <w:pPr>
        <w:pStyle w:val="NormalWeb"/>
        <w:numPr>
          <w:ilvl w:val="0"/>
          <w:numId w:val="16"/>
        </w:numPr>
        <w:jc w:val="both"/>
        <w:rPr>
          <w:rFonts w:ascii="Arial" w:hAnsi="Arial" w:cs="Arial"/>
        </w:rPr>
      </w:pPr>
      <w:r w:rsidRPr="00D67CB2">
        <w:rPr>
          <w:rFonts w:ascii="Arial" w:hAnsi="Arial" w:cs="Arial"/>
        </w:rPr>
        <w:t xml:space="preserve">Las empresas también han sido denunciadas por mantener relaciones de dependencia directa con las comunidades a través de la </w:t>
      </w:r>
      <w:r w:rsidRPr="00D67CB2">
        <w:rPr>
          <w:rStyle w:val="Textoennegrita"/>
          <w:rFonts w:ascii="Arial" w:eastAsiaTheme="majorEastAsia" w:hAnsi="Arial" w:cs="Arial"/>
        </w:rPr>
        <w:t>satisfacción de necesidades básicas</w:t>
      </w:r>
      <w:r w:rsidRPr="00D67CB2">
        <w:rPr>
          <w:rFonts w:ascii="Arial" w:hAnsi="Arial" w:cs="Arial"/>
        </w:rPr>
        <w:t>, como el financiamiento de transporte, conectividad, festividades o incluso acceso a servicios públicos. Esta práctica inhibe la capacidad comunitaria de oponerse a los proyectos, por temor a perder beneficios.</w:t>
      </w:r>
    </w:p>
    <w:p w14:paraId="0CB2A3F0" w14:textId="77777777" w:rsidR="00E0130E" w:rsidRPr="00D67CB2" w:rsidRDefault="00E0130E" w:rsidP="00D67CB2">
      <w:pPr>
        <w:pStyle w:val="NormalWeb"/>
        <w:numPr>
          <w:ilvl w:val="0"/>
          <w:numId w:val="16"/>
        </w:numPr>
        <w:jc w:val="both"/>
        <w:rPr>
          <w:rFonts w:ascii="Arial" w:hAnsi="Arial" w:cs="Arial"/>
        </w:rPr>
      </w:pPr>
      <w:r w:rsidRPr="00D67CB2">
        <w:rPr>
          <w:rFonts w:ascii="Arial" w:hAnsi="Arial" w:cs="Arial"/>
        </w:rPr>
        <w:t>En términos de imagen pública, algunas compañías desarrollan alianzas con fundaciones o programas internacionales —incluso con organismos de Naciones Unidas— para promover su compromiso con la diversidad cultural o la equidad de género, mientras mantienen prácticas abusivas en los territorios. Un ejemplo destacado es el financiamiento por parte de la empresa minera Teck de iniciativas para el “empoderamiento de la mujer indígena”, a pesar de las denuncias en su contra por impactos ambientales severos.</w:t>
      </w:r>
    </w:p>
    <w:p w14:paraId="3C47E2F0" w14:textId="77777777" w:rsidR="00E0130E" w:rsidRPr="00D67CB2" w:rsidRDefault="00E0130E" w:rsidP="00D67CB2">
      <w:pPr>
        <w:pStyle w:val="NormalWeb"/>
        <w:numPr>
          <w:ilvl w:val="0"/>
          <w:numId w:val="16"/>
        </w:numPr>
        <w:jc w:val="both"/>
        <w:rPr>
          <w:rFonts w:ascii="Arial" w:hAnsi="Arial" w:cs="Arial"/>
        </w:rPr>
      </w:pPr>
      <w:r w:rsidRPr="00D67CB2">
        <w:rPr>
          <w:rFonts w:ascii="Arial" w:hAnsi="Arial" w:cs="Arial"/>
        </w:rPr>
        <w:t xml:space="preserve">En casos más graves, se ha registrado el uso de </w:t>
      </w:r>
      <w:r w:rsidRPr="00D67CB2">
        <w:rPr>
          <w:rStyle w:val="Textoennegrita"/>
          <w:rFonts w:ascii="Arial" w:eastAsiaTheme="majorEastAsia" w:hAnsi="Arial" w:cs="Arial"/>
        </w:rPr>
        <w:t>intimidación directa y violencia contra mujeres dirigentes</w:t>
      </w:r>
      <w:r w:rsidRPr="00D67CB2">
        <w:rPr>
          <w:rFonts w:ascii="Arial" w:hAnsi="Arial" w:cs="Arial"/>
        </w:rPr>
        <w:t xml:space="preserve"> que han liderado procesos de oposición a proyectos extractivos. Estas situaciones han incluido amenazas, hostigamientos y conductas que podrían constituir delitos, sin que exista una respuesta efectiva por parte del Estado ni sanciones a las empresas responsables.</w:t>
      </w:r>
    </w:p>
    <w:p w14:paraId="2CD9E63C" w14:textId="77777777" w:rsidR="00E0130E" w:rsidRPr="00D67CB2" w:rsidRDefault="00E0130E" w:rsidP="00D67CB2">
      <w:pPr>
        <w:pStyle w:val="NormalWeb"/>
        <w:numPr>
          <w:ilvl w:val="0"/>
          <w:numId w:val="16"/>
        </w:numPr>
        <w:jc w:val="both"/>
        <w:rPr>
          <w:rFonts w:ascii="Arial" w:hAnsi="Arial" w:cs="Arial"/>
        </w:rPr>
      </w:pPr>
      <w:r w:rsidRPr="00D67CB2">
        <w:rPr>
          <w:rFonts w:ascii="Arial" w:hAnsi="Arial" w:cs="Arial"/>
        </w:rPr>
        <w:t xml:space="preserve">Todo lo anterior configura una vulneración sistemática del </w:t>
      </w:r>
      <w:r w:rsidRPr="00D67CB2">
        <w:rPr>
          <w:rStyle w:val="Textoennegrita"/>
          <w:rFonts w:ascii="Arial" w:eastAsiaTheme="majorEastAsia" w:hAnsi="Arial" w:cs="Arial"/>
        </w:rPr>
        <w:t>principio de debida diligencia en derechos humanos</w:t>
      </w:r>
      <w:r w:rsidRPr="00D67CB2">
        <w:rPr>
          <w:rFonts w:ascii="Arial" w:hAnsi="Arial" w:cs="Arial"/>
        </w:rPr>
        <w:t>, que el Estado de Chile está obligado a garantizar, tal como establece el Comité DESC en su Observación General N.º 24 sobre las obligaciones de los Estados respecto a las empresas en el marco del PIDESC.</w:t>
      </w:r>
    </w:p>
    <w:p w14:paraId="047C79DD" w14:textId="77777777" w:rsidR="00E0130E" w:rsidRPr="00D67CB2" w:rsidRDefault="00E0130E" w:rsidP="00D67CB2">
      <w:pPr>
        <w:pStyle w:val="Ttulo3"/>
        <w:jc w:val="both"/>
        <w:rPr>
          <w:rFonts w:ascii="Arial" w:hAnsi="Arial" w:cs="Arial"/>
          <w:sz w:val="24"/>
          <w:szCs w:val="24"/>
        </w:rPr>
      </w:pPr>
      <w:r w:rsidRPr="00D67CB2">
        <w:rPr>
          <w:rFonts w:ascii="Arial" w:hAnsi="Arial" w:cs="Arial"/>
          <w:sz w:val="24"/>
          <w:szCs w:val="24"/>
        </w:rPr>
        <w:t>6. LA IMPORTANCIA DE LA COSMOVISIÓN DE LOS PUEBLOS INDÍGENAS EN LA PROTECCIÓN Y RESGUARDO DEL TERRITORIO FRENTE AL MODELO EXTRACTIVISTA</w:t>
      </w:r>
    </w:p>
    <w:p w14:paraId="365BD200" w14:textId="77777777" w:rsidR="00E0130E" w:rsidRPr="00D67CB2" w:rsidRDefault="00E0130E" w:rsidP="00D67CB2">
      <w:pPr>
        <w:pStyle w:val="NormalWeb"/>
        <w:numPr>
          <w:ilvl w:val="0"/>
          <w:numId w:val="17"/>
        </w:numPr>
        <w:jc w:val="both"/>
        <w:rPr>
          <w:rFonts w:ascii="Arial" w:hAnsi="Arial" w:cs="Arial"/>
        </w:rPr>
      </w:pPr>
      <w:r w:rsidRPr="00D67CB2">
        <w:rPr>
          <w:rFonts w:ascii="Arial" w:hAnsi="Arial" w:cs="Arial"/>
        </w:rPr>
        <w:t>Para los pueblos indígenas de la región de Tarapacá, el territorio no es únicamente un espacio físico, sino un entramado de relaciones espirituales, ecológicas, culturales e históricas. La tierra, los cerros, los ríos, los bofedales, los mallkus y apachetas no son recursos explotables, sino entidades vivas, sagradas y dotadas de significado profundo. Esta visión se encuentra en la base de su identidad colectiva y del ejercicio de sus derechos culturales, espirituales y comunitarios.</w:t>
      </w:r>
    </w:p>
    <w:p w14:paraId="7B94251C" w14:textId="77777777" w:rsidR="00E0130E" w:rsidRPr="00D67CB2" w:rsidRDefault="00E0130E" w:rsidP="00D67CB2">
      <w:pPr>
        <w:pStyle w:val="NormalWeb"/>
        <w:numPr>
          <w:ilvl w:val="0"/>
          <w:numId w:val="17"/>
        </w:numPr>
        <w:jc w:val="both"/>
        <w:rPr>
          <w:rFonts w:ascii="Arial" w:hAnsi="Arial" w:cs="Arial"/>
        </w:rPr>
      </w:pPr>
      <w:r w:rsidRPr="00D67CB2">
        <w:rPr>
          <w:rFonts w:ascii="Arial" w:hAnsi="Arial" w:cs="Arial"/>
        </w:rPr>
        <w:lastRenderedPageBreak/>
        <w:t>Sin embargo, el modelo extractivista dominante —respaldado por el Estado y las grandes empresas— reduce el territorio a un conjunto de bienes materiales susceptibles de ser explotados económicamente, generando una colisión directa con la cosmovisión indígena. En este contexto, los procesos de evaluación ambiental y consulta previa no consideran adecuadamente los significados simbólicos, espirituales y culturales que los pueblos atribuyen a su entorno.</w:t>
      </w:r>
    </w:p>
    <w:p w14:paraId="7D609E93" w14:textId="77777777" w:rsidR="00E0130E" w:rsidRPr="00D67CB2" w:rsidRDefault="00E0130E" w:rsidP="00D67CB2">
      <w:pPr>
        <w:pStyle w:val="NormalWeb"/>
        <w:numPr>
          <w:ilvl w:val="0"/>
          <w:numId w:val="17"/>
        </w:numPr>
        <w:jc w:val="both"/>
        <w:rPr>
          <w:rFonts w:ascii="Arial" w:hAnsi="Arial" w:cs="Arial"/>
        </w:rPr>
      </w:pPr>
      <w:r w:rsidRPr="00D67CB2">
        <w:rPr>
          <w:rFonts w:ascii="Arial" w:hAnsi="Arial" w:cs="Arial"/>
        </w:rPr>
        <w:t xml:space="preserve">La legislación vigente permite, por ejemplo, que elementos fundamentales de la cosmovisión como los </w:t>
      </w:r>
      <w:r w:rsidRPr="00D67CB2">
        <w:rPr>
          <w:rStyle w:val="Textoennegrita"/>
          <w:rFonts w:ascii="Arial" w:eastAsiaTheme="majorEastAsia" w:hAnsi="Arial" w:cs="Arial"/>
        </w:rPr>
        <w:t>mallkus</w:t>
      </w:r>
      <w:r w:rsidRPr="00D67CB2">
        <w:rPr>
          <w:rFonts w:ascii="Arial" w:hAnsi="Arial" w:cs="Arial"/>
        </w:rPr>
        <w:t xml:space="preserve"> (cerros sagrados), las vertientes o las apachetas, sean evaluados como simples componentes bióticos o abióticos, sin reconocer su dimensión espiritual. Esta incomprensión ha derivado en casos de destrucción irreversible de sitios sagrados, sin reparación ni medidas preventivas adecuadas.</w:t>
      </w:r>
    </w:p>
    <w:p w14:paraId="7EB073E5" w14:textId="77777777" w:rsidR="00E0130E" w:rsidRPr="00D67CB2" w:rsidRDefault="00E0130E" w:rsidP="00D67CB2">
      <w:pPr>
        <w:pStyle w:val="NormalWeb"/>
        <w:numPr>
          <w:ilvl w:val="0"/>
          <w:numId w:val="17"/>
        </w:numPr>
        <w:jc w:val="both"/>
        <w:rPr>
          <w:rFonts w:ascii="Arial" w:hAnsi="Arial" w:cs="Arial"/>
        </w:rPr>
      </w:pPr>
      <w:r w:rsidRPr="00D67CB2">
        <w:rPr>
          <w:rFonts w:ascii="Arial" w:hAnsi="Arial" w:cs="Arial"/>
        </w:rPr>
        <w:t xml:space="preserve">Las mujeres indígenas han destacado cómo la afectación de estos elementos no solo altera la geografía o el paisaje, sino que produce </w:t>
      </w:r>
      <w:r w:rsidRPr="00D67CB2">
        <w:rPr>
          <w:rStyle w:val="Textoennegrita"/>
          <w:rFonts w:ascii="Arial" w:eastAsiaTheme="majorEastAsia" w:hAnsi="Arial" w:cs="Arial"/>
        </w:rPr>
        <w:t>daños profundos en la salud espiritual y psíquica</w:t>
      </w:r>
      <w:r w:rsidRPr="00D67CB2">
        <w:rPr>
          <w:rFonts w:ascii="Arial" w:hAnsi="Arial" w:cs="Arial"/>
        </w:rPr>
        <w:t xml:space="preserve"> de las comunidades, especialmente de las personas mayores y de las y los niños que crecen sin acceso a su cultura viva. La pérdida de estos vínculos afecta también la transmisión intergeneracional de saberes, rituales y memorias comunitarias.</w:t>
      </w:r>
    </w:p>
    <w:p w14:paraId="525B1A31" w14:textId="77777777" w:rsidR="00E0130E" w:rsidRPr="00D67CB2" w:rsidRDefault="00E0130E" w:rsidP="00D67CB2">
      <w:pPr>
        <w:pStyle w:val="NormalWeb"/>
        <w:numPr>
          <w:ilvl w:val="0"/>
          <w:numId w:val="17"/>
        </w:numPr>
        <w:jc w:val="both"/>
        <w:rPr>
          <w:rFonts w:ascii="Arial" w:hAnsi="Arial" w:cs="Arial"/>
        </w:rPr>
      </w:pPr>
      <w:r w:rsidRPr="00D67CB2">
        <w:rPr>
          <w:rFonts w:ascii="Arial" w:hAnsi="Arial" w:cs="Arial"/>
        </w:rPr>
        <w:t>La cosmovisión indígena promueve una relación equilibrada y de reciprocidad con la naturaleza, que contrasta radicalmente con la lógica extractivista que prioriza el lucro. Esta concepción ancestral ofrece alternativas sostenibles y éticas al modelo de desarrollo actual, por lo que su reconocimiento y protección es esencial no solo para los pueblos indígenas, sino para enfrentar la crisis ecológica global.</w:t>
      </w:r>
    </w:p>
    <w:p w14:paraId="0C08A956" w14:textId="61AEFA3F" w:rsidR="00E0130E" w:rsidRPr="00D67CB2" w:rsidRDefault="00E0130E" w:rsidP="00D67CB2">
      <w:pPr>
        <w:pStyle w:val="NormalWeb"/>
        <w:numPr>
          <w:ilvl w:val="0"/>
          <w:numId w:val="17"/>
        </w:numPr>
        <w:jc w:val="both"/>
        <w:rPr>
          <w:rFonts w:ascii="Arial" w:hAnsi="Arial" w:cs="Arial"/>
        </w:rPr>
      </w:pPr>
      <w:r w:rsidRPr="00D67CB2">
        <w:rPr>
          <w:rFonts w:ascii="Arial" w:hAnsi="Arial" w:cs="Arial"/>
        </w:rPr>
        <w:t>El Comité DESC ya ha señalado, en sus observaciones finales de 2015, la necesidad de fortalecer los derechos culturales de los pueblos indígenas, incluyendo el respeto a su diversidad, la promoción del uso de lenguas originarias y la creación de condiciones que permitan el desarrollo de su identidad y espiritualidad</w:t>
      </w:r>
    </w:p>
    <w:p w14:paraId="4355126C" w14:textId="77777777" w:rsidR="00E0130E" w:rsidRPr="00D67CB2" w:rsidRDefault="00E0130E" w:rsidP="00D67CB2">
      <w:pPr>
        <w:pStyle w:val="NormalWeb"/>
        <w:numPr>
          <w:ilvl w:val="0"/>
          <w:numId w:val="17"/>
        </w:numPr>
        <w:jc w:val="both"/>
        <w:rPr>
          <w:rFonts w:ascii="Arial" w:hAnsi="Arial" w:cs="Arial"/>
        </w:rPr>
      </w:pPr>
      <w:r w:rsidRPr="00D67CB2">
        <w:rPr>
          <w:rFonts w:ascii="Arial" w:hAnsi="Arial" w:cs="Arial"/>
        </w:rPr>
        <w:t>La falta de consideración de estos elementos en los proyectos de inversión representa una violación directa al artículo 15 del PIDESC, al tiempo que refuerza la discriminación estructural que históricamente han sufrido los pueblos indígenas en Chile.</w:t>
      </w:r>
    </w:p>
    <w:p w14:paraId="13262ACF" w14:textId="77777777" w:rsidR="00E0130E" w:rsidRPr="00D67CB2" w:rsidRDefault="00E0130E" w:rsidP="00D67CB2">
      <w:pPr>
        <w:pStyle w:val="Ttulo3"/>
        <w:jc w:val="both"/>
        <w:rPr>
          <w:rFonts w:ascii="Arial" w:hAnsi="Arial" w:cs="Arial"/>
          <w:sz w:val="24"/>
          <w:szCs w:val="24"/>
        </w:rPr>
      </w:pPr>
      <w:r w:rsidRPr="00D67CB2">
        <w:rPr>
          <w:rFonts w:ascii="Arial" w:hAnsi="Arial" w:cs="Arial"/>
          <w:sz w:val="24"/>
          <w:szCs w:val="24"/>
        </w:rPr>
        <w:t>7. ESTRATEGIAS Y ACCIONES DE LAS COMUNIDADES INDÍGENAS PARA LA DEFENSA DEL TERRITORIO Y SUS DERECHOS</w:t>
      </w:r>
    </w:p>
    <w:p w14:paraId="3A451460" w14:textId="77777777" w:rsidR="00E0130E" w:rsidRPr="00D67CB2" w:rsidRDefault="00E0130E" w:rsidP="00D67CB2">
      <w:pPr>
        <w:pStyle w:val="NormalWeb"/>
        <w:numPr>
          <w:ilvl w:val="0"/>
          <w:numId w:val="18"/>
        </w:numPr>
        <w:jc w:val="both"/>
        <w:rPr>
          <w:rFonts w:ascii="Arial" w:hAnsi="Arial" w:cs="Arial"/>
        </w:rPr>
      </w:pPr>
      <w:r w:rsidRPr="00D67CB2">
        <w:rPr>
          <w:rFonts w:ascii="Arial" w:hAnsi="Arial" w:cs="Arial"/>
        </w:rPr>
        <w:t>Las comunidades indígenas de la Región de Tarapacá, frente al avance de proyectos extractivos, la omisión del Estado y la presión de actores privados, han impulsado diversas estrategias de resistencia, defensa jurídica, acción comunitaria y movilización política desde sus propios marcos culturales.</w:t>
      </w:r>
    </w:p>
    <w:p w14:paraId="072B842A" w14:textId="77777777" w:rsidR="00E0130E" w:rsidRPr="00D67CB2" w:rsidRDefault="00E0130E" w:rsidP="00D67CB2">
      <w:pPr>
        <w:pStyle w:val="NormalWeb"/>
        <w:numPr>
          <w:ilvl w:val="0"/>
          <w:numId w:val="18"/>
        </w:numPr>
        <w:jc w:val="both"/>
        <w:rPr>
          <w:rFonts w:ascii="Arial" w:hAnsi="Arial" w:cs="Arial"/>
        </w:rPr>
      </w:pPr>
      <w:r w:rsidRPr="00D67CB2">
        <w:rPr>
          <w:rFonts w:ascii="Arial" w:hAnsi="Arial" w:cs="Arial"/>
        </w:rPr>
        <w:t xml:space="preserve">En primer lugar, las mujeres indígenas han asumido roles clave en la </w:t>
      </w:r>
      <w:r w:rsidRPr="00D67CB2">
        <w:rPr>
          <w:rStyle w:val="Textoennegrita"/>
          <w:rFonts w:ascii="Arial" w:eastAsiaTheme="majorEastAsia" w:hAnsi="Arial" w:cs="Arial"/>
        </w:rPr>
        <w:t>recuperación de la memoria territorial y ceremonial</w:t>
      </w:r>
      <w:r w:rsidRPr="00D67CB2">
        <w:rPr>
          <w:rFonts w:ascii="Arial" w:hAnsi="Arial" w:cs="Arial"/>
        </w:rPr>
        <w:t xml:space="preserve">, promoviendo actividades de revitalización espiritual, caminatas comunitarias, ritos en sitios sagrados, talleres de transmisión de conocimientos y redes intercomunitarias para defender la vida. Estas acciones refuerzan el vínculo identitario con el </w:t>
      </w:r>
      <w:r w:rsidRPr="00D67CB2">
        <w:rPr>
          <w:rFonts w:ascii="Arial" w:hAnsi="Arial" w:cs="Arial"/>
        </w:rPr>
        <w:lastRenderedPageBreak/>
        <w:t>territorio y disputan simbólicamente la noción de desarrollo impuesta desde fuera.</w:t>
      </w:r>
    </w:p>
    <w:p w14:paraId="2B79F834" w14:textId="77777777" w:rsidR="00E0130E" w:rsidRPr="00D67CB2" w:rsidRDefault="00E0130E" w:rsidP="00D67CB2">
      <w:pPr>
        <w:pStyle w:val="NormalWeb"/>
        <w:numPr>
          <w:ilvl w:val="0"/>
          <w:numId w:val="18"/>
        </w:numPr>
        <w:jc w:val="both"/>
        <w:rPr>
          <w:rFonts w:ascii="Arial" w:hAnsi="Arial" w:cs="Arial"/>
        </w:rPr>
      </w:pPr>
      <w:r w:rsidRPr="00D67CB2">
        <w:rPr>
          <w:rFonts w:ascii="Arial" w:hAnsi="Arial" w:cs="Arial"/>
        </w:rPr>
        <w:t xml:space="preserve">En el ámbito jurídico, las comunidades han promovido </w:t>
      </w:r>
      <w:r w:rsidRPr="00D67CB2">
        <w:rPr>
          <w:rStyle w:val="Textoennegrita"/>
          <w:rFonts w:ascii="Arial" w:eastAsiaTheme="majorEastAsia" w:hAnsi="Arial" w:cs="Arial"/>
        </w:rPr>
        <w:t>acciones de protección, recursos de reclamación ambiental, juicios por daño ambiental, amparos por consulta indígena, observaciones al SEIA</w:t>
      </w:r>
      <w:r w:rsidRPr="00D67CB2">
        <w:rPr>
          <w:rFonts w:ascii="Arial" w:hAnsi="Arial" w:cs="Arial"/>
        </w:rPr>
        <w:t>, y presentaciones ante el Sistema Interamericano de Derechos Humanos. En estos procesos, han enfrentado serias barreras de acceso a la justicia, entre ellas: lenguaje técnico excluyente, costos elevados, lentitud procesal y discriminación por parte de operadores del sistema.</w:t>
      </w:r>
    </w:p>
    <w:p w14:paraId="0133BE88" w14:textId="77777777" w:rsidR="00E0130E" w:rsidRPr="00D67CB2" w:rsidRDefault="00E0130E" w:rsidP="00D67CB2">
      <w:pPr>
        <w:pStyle w:val="NormalWeb"/>
        <w:numPr>
          <w:ilvl w:val="0"/>
          <w:numId w:val="18"/>
        </w:numPr>
        <w:jc w:val="both"/>
        <w:rPr>
          <w:rFonts w:ascii="Arial" w:hAnsi="Arial" w:cs="Arial"/>
        </w:rPr>
      </w:pPr>
      <w:r w:rsidRPr="00D67CB2">
        <w:rPr>
          <w:rFonts w:ascii="Arial" w:hAnsi="Arial" w:cs="Arial"/>
        </w:rPr>
        <w:t xml:space="preserve">A nivel organizacional, las comunidades han fortalecido la </w:t>
      </w:r>
      <w:r w:rsidRPr="00D67CB2">
        <w:rPr>
          <w:rStyle w:val="Textoennegrita"/>
          <w:rFonts w:ascii="Arial" w:eastAsiaTheme="majorEastAsia" w:hAnsi="Arial" w:cs="Arial"/>
        </w:rPr>
        <w:t>coordinación territorial mediante comandos de defensa, redes de dirigentas, consejos comunitarios y cooperativas indígenas</w:t>
      </w:r>
      <w:r w:rsidRPr="00D67CB2">
        <w:rPr>
          <w:rFonts w:ascii="Arial" w:hAnsi="Arial" w:cs="Arial"/>
        </w:rPr>
        <w:t>, lo que les ha permitido desarrollar vocerías autónomas frente al Estado y las empresas. Estas estructuras han sido fundamentales para articular respuestas colectivas y prevenir la fragmentación interna inducida por actores externos.</w:t>
      </w:r>
    </w:p>
    <w:p w14:paraId="39212081" w14:textId="77777777" w:rsidR="00E0130E" w:rsidRPr="00D67CB2" w:rsidRDefault="00E0130E" w:rsidP="00D67CB2">
      <w:pPr>
        <w:pStyle w:val="NormalWeb"/>
        <w:numPr>
          <w:ilvl w:val="0"/>
          <w:numId w:val="18"/>
        </w:numPr>
        <w:jc w:val="both"/>
        <w:rPr>
          <w:rFonts w:ascii="Arial" w:hAnsi="Arial" w:cs="Arial"/>
        </w:rPr>
      </w:pPr>
      <w:r w:rsidRPr="00D67CB2">
        <w:rPr>
          <w:rFonts w:ascii="Arial" w:hAnsi="Arial" w:cs="Arial"/>
        </w:rPr>
        <w:t xml:space="preserve">Las comunidades también han recurrido a herramientas de </w:t>
      </w:r>
      <w:r w:rsidRPr="00D67CB2">
        <w:rPr>
          <w:rStyle w:val="Textoennegrita"/>
          <w:rFonts w:ascii="Arial" w:eastAsiaTheme="majorEastAsia" w:hAnsi="Arial" w:cs="Arial"/>
        </w:rPr>
        <w:t>cartografía participativa, elaboración de estatutos comunitarios, procesos de regularización territorial, y estrategias comunicacionales propias</w:t>
      </w:r>
      <w:r w:rsidRPr="00D67CB2">
        <w:rPr>
          <w:rFonts w:ascii="Arial" w:hAnsi="Arial" w:cs="Arial"/>
        </w:rPr>
        <w:t xml:space="preserve"> (videos, redes sociales, radios locales), como mecanismos de protección frente a la invisibilización institucional.</w:t>
      </w:r>
    </w:p>
    <w:p w14:paraId="46E8B813" w14:textId="77777777" w:rsidR="00E0130E" w:rsidRPr="00D67CB2" w:rsidRDefault="00E0130E" w:rsidP="00D67CB2">
      <w:pPr>
        <w:pStyle w:val="NormalWeb"/>
        <w:numPr>
          <w:ilvl w:val="0"/>
          <w:numId w:val="18"/>
        </w:numPr>
        <w:jc w:val="both"/>
        <w:rPr>
          <w:rFonts w:ascii="Arial" w:hAnsi="Arial" w:cs="Arial"/>
        </w:rPr>
      </w:pPr>
      <w:r w:rsidRPr="00D67CB2">
        <w:rPr>
          <w:rFonts w:ascii="Arial" w:hAnsi="Arial" w:cs="Arial"/>
        </w:rPr>
        <w:t xml:space="preserve">Varios casos han demostrado el uso eficaz de </w:t>
      </w:r>
      <w:r w:rsidRPr="00D67CB2">
        <w:rPr>
          <w:rStyle w:val="Textoennegrita"/>
          <w:rFonts w:ascii="Arial" w:eastAsiaTheme="majorEastAsia" w:hAnsi="Arial" w:cs="Arial"/>
        </w:rPr>
        <w:t>alianzas estratégicas con universidades, organizaciones de la sociedad civil, medios de comunicación y órganos internacionales de derechos humanos</w:t>
      </w:r>
      <w:r w:rsidRPr="00D67CB2">
        <w:rPr>
          <w:rFonts w:ascii="Arial" w:hAnsi="Arial" w:cs="Arial"/>
        </w:rPr>
        <w:t>, que han fortalecido la legitimidad de sus demandas, han permitido visibilizar vulneraciones y han generado presiones que han frenado o suspendido proyectos extractivos.</w:t>
      </w:r>
    </w:p>
    <w:p w14:paraId="68EA9395" w14:textId="77777777" w:rsidR="00E0130E" w:rsidRPr="00D67CB2" w:rsidRDefault="00E0130E" w:rsidP="00D67CB2">
      <w:pPr>
        <w:pStyle w:val="NormalWeb"/>
        <w:numPr>
          <w:ilvl w:val="0"/>
          <w:numId w:val="18"/>
        </w:numPr>
        <w:jc w:val="both"/>
        <w:rPr>
          <w:rFonts w:ascii="Arial" w:hAnsi="Arial" w:cs="Arial"/>
        </w:rPr>
      </w:pPr>
      <w:r w:rsidRPr="00D67CB2">
        <w:rPr>
          <w:rFonts w:ascii="Arial" w:hAnsi="Arial" w:cs="Arial"/>
        </w:rPr>
        <w:t xml:space="preserve">A pesar de las múltiples dificultades, las mujeres indígenas destacan que sus estrategias de defensa no solo buscan frenar proyectos, sino también proyectar </w:t>
      </w:r>
      <w:r w:rsidRPr="00D67CB2">
        <w:rPr>
          <w:rStyle w:val="Textoennegrita"/>
          <w:rFonts w:ascii="Arial" w:eastAsiaTheme="majorEastAsia" w:hAnsi="Arial" w:cs="Arial"/>
        </w:rPr>
        <w:t>formas propias de vida digna</w:t>
      </w:r>
      <w:r w:rsidRPr="00D67CB2">
        <w:rPr>
          <w:rFonts w:ascii="Arial" w:hAnsi="Arial" w:cs="Arial"/>
        </w:rPr>
        <w:t>, con base en el cuidado, la reciprocidad, la memoria, la espiritualidad y la justicia territorial. Estas experiencias representan una respuesta ética y política al modelo hegemónico de desarrollo.</w:t>
      </w:r>
    </w:p>
    <w:p w14:paraId="0A2C9D70" w14:textId="77777777" w:rsidR="00E0130E" w:rsidRPr="00D67CB2" w:rsidRDefault="00E0130E" w:rsidP="00D67CB2">
      <w:pPr>
        <w:pStyle w:val="NormalWeb"/>
        <w:numPr>
          <w:ilvl w:val="0"/>
          <w:numId w:val="18"/>
        </w:numPr>
        <w:jc w:val="both"/>
        <w:rPr>
          <w:rFonts w:ascii="Arial" w:hAnsi="Arial" w:cs="Arial"/>
        </w:rPr>
      </w:pPr>
      <w:r w:rsidRPr="00D67CB2">
        <w:rPr>
          <w:rFonts w:ascii="Arial" w:hAnsi="Arial" w:cs="Arial"/>
        </w:rPr>
        <w:t>El Estado, sin embargo, no ha reconocido ni valorado adecuadamente estas estrategias. Por el contrario, muchas veces ha criminalizado la protesta, minimizado la dimensión espiritual de las acciones y obstaculizado los esfuerzos de autodeterminación, incumpliendo así sus obligaciones positivas de respetar, proteger y garantizar los derechos colectivos de los pueblos indígenas.</w:t>
      </w:r>
    </w:p>
    <w:p w14:paraId="2C81C041" w14:textId="77777777" w:rsidR="00D67CB2" w:rsidRPr="00D67CB2" w:rsidRDefault="00D67CB2" w:rsidP="00D67CB2">
      <w:pPr>
        <w:pStyle w:val="Ttulo3"/>
        <w:jc w:val="both"/>
        <w:rPr>
          <w:rFonts w:ascii="Arial" w:hAnsi="Arial" w:cs="Arial"/>
          <w:sz w:val="24"/>
          <w:szCs w:val="24"/>
        </w:rPr>
      </w:pPr>
      <w:r w:rsidRPr="00D67CB2">
        <w:rPr>
          <w:rFonts w:ascii="Arial" w:hAnsi="Arial" w:cs="Arial"/>
          <w:sz w:val="24"/>
          <w:szCs w:val="24"/>
        </w:rPr>
        <w:t>8. PARTICIPACIÓN DE MUJERES INDÍGENAS EN LOS PROCESOS DE DEFENSA TERRITORIAL Y ACCESO A DERECHOS</w:t>
      </w:r>
    </w:p>
    <w:p w14:paraId="08B94626" w14:textId="77777777" w:rsidR="00D67CB2" w:rsidRPr="00D67CB2" w:rsidRDefault="00D67CB2" w:rsidP="00D67CB2">
      <w:pPr>
        <w:pStyle w:val="NormalWeb"/>
        <w:numPr>
          <w:ilvl w:val="0"/>
          <w:numId w:val="19"/>
        </w:numPr>
        <w:jc w:val="both"/>
        <w:rPr>
          <w:rFonts w:ascii="Arial" w:hAnsi="Arial" w:cs="Arial"/>
        </w:rPr>
      </w:pPr>
      <w:r w:rsidRPr="00D67CB2">
        <w:rPr>
          <w:rFonts w:ascii="Arial" w:hAnsi="Arial" w:cs="Arial"/>
        </w:rPr>
        <w:t>Las mujeres indígenas de Tarapacá han sido protagonistas en los procesos de defensa territorial, no solo como voceras o dirigentes, sino como portadoras de conocimientos ancestrales, lideresas espirituales, cuidadoras del agua y transmisoras de la memoria cultural de sus pueblos.</w:t>
      </w:r>
    </w:p>
    <w:p w14:paraId="46C4CCB0" w14:textId="77777777" w:rsidR="00D67CB2" w:rsidRPr="00D67CB2" w:rsidRDefault="00D67CB2" w:rsidP="00D67CB2">
      <w:pPr>
        <w:pStyle w:val="NormalWeb"/>
        <w:numPr>
          <w:ilvl w:val="0"/>
          <w:numId w:val="19"/>
        </w:numPr>
        <w:jc w:val="both"/>
        <w:rPr>
          <w:rFonts w:ascii="Arial" w:hAnsi="Arial" w:cs="Arial"/>
        </w:rPr>
      </w:pPr>
      <w:r w:rsidRPr="00D67CB2">
        <w:rPr>
          <w:rFonts w:ascii="Arial" w:hAnsi="Arial" w:cs="Arial"/>
        </w:rPr>
        <w:lastRenderedPageBreak/>
        <w:t>Han desarrollado un liderazgo que se fundamenta en el equilibrio entre el cuidado de la vida, la defensa del territorio y la continuidad cultural, enfrentando con firmeza proyectos extractivos, procesos administrativos injustos y formas de violencia estructural que amenazan su existencia como pueblos.</w:t>
      </w:r>
    </w:p>
    <w:p w14:paraId="06ED4E36" w14:textId="77777777" w:rsidR="00D67CB2" w:rsidRPr="00D67CB2" w:rsidRDefault="00D67CB2" w:rsidP="00D67CB2">
      <w:pPr>
        <w:pStyle w:val="NormalWeb"/>
        <w:numPr>
          <w:ilvl w:val="0"/>
          <w:numId w:val="19"/>
        </w:numPr>
        <w:jc w:val="both"/>
        <w:rPr>
          <w:rFonts w:ascii="Arial" w:hAnsi="Arial" w:cs="Arial"/>
        </w:rPr>
      </w:pPr>
      <w:r w:rsidRPr="00D67CB2">
        <w:rPr>
          <w:rFonts w:ascii="Arial" w:hAnsi="Arial" w:cs="Arial"/>
        </w:rPr>
        <w:t xml:space="preserve">Sin embargo, su participación se da en un contexto de </w:t>
      </w:r>
      <w:r w:rsidRPr="00D67CB2">
        <w:rPr>
          <w:rStyle w:val="Textoennegrita"/>
          <w:rFonts w:ascii="Arial" w:eastAsiaTheme="majorEastAsia" w:hAnsi="Arial" w:cs="Arial"/>
        </w:rPr>
        <w:t>doble discriminación estructural</w:t>
      </w:r>
      <w:r w:rsidRPr="00D67CB2">
        <w:rPr>
          <w:rFonts w:ascii="Arial" w:hAnsi="Arial" w:cs="Arial"/>
        </w:rPr>
        <w:t>: por ser mujeres y por ser indígenas. Esta condición se manifiesta en prácticas institucionales que las invisibilizan, las excluyen de espacios de decisión y reducen sus aportes a dimensiones folclorizadas, sin reconocimiento real de su autoridad comunitaria.</w:t>
      </w:r>
    </w:p>
    <w:p w14:paraId="58DE3207" w14:textId="77777777" w:rsidR="00D67CB2" w:rsidRPr="00D67CB2" w:rsidRDefault="00D67CB2" w:rsidP="00D67CB2">
      <w:pPr>
        <w:pStyle w:val="NormalWeb"/>
        <w:numPr>
          <w:ilvl w:val="0"/>
          <w:numId w:val="19"/>
        </w:numPr>
        <w:jc w:val="both"/>
        <w:rPr>
          <w:rFonts w:ascii="Arial" w:hAnsi="Arial" w:cs="Arial"/>
        </w:rPr>
      </w:pPr>
      <w:r w:rsidRPr="00D67CB2">
        <w:rPr>
          <w:rFonts w:ascii="Arial" w:hAnsi="Arial" w:cs="Arial"/>
        </w:rPr>
        <w:t xml:space="preserve">Las mujeres participantes del encuentro denunciaron la existencia de </w:t>
      </w:r>
      <w:r w:rsidRPr="00D67CB2">
        <w:rPr>
          <w:rStyle w:val="Textoennegrita"/>
          <w:rFonts w:ascii="Arial" w:eastAsiaTheme="majorEastAsia" w:hAnsi="Arial" w:cs="Arial"/>
        </w:rPr>
        <w:t>violencia institucional y simbólica</w:t>
      </w:r>
      <w:r w:rsidRPr="00D67CB2">
        <w:rPr>
          <w:rFonts w:ascii="Arial" w:hAnsi="Arial" w:cs="Arial"/>
        </w:rPr>
        <w:t>, expresada en tratos desiguales por parte de funcionarios públicos, cuestionamientos a su capacidad de representación, discriminación por su forma de hablar o vestir, y una falta total de adecuación cultural en los servicios públicos, especialmente en salud, justicia y educación.</w:t>
      </w:r>
    </w:p>
    <w:p w14:paraId="5F320A29" w14:textId="77777777" w:rsidR="00D67CB2" w:rsidRPr="00D67CB2" w:rsidRDefault="00D67CB2" w:rsidP="00D67CB2">
      <w:pPr>
        <w:pStyle w:val="NormalWeb"/>
        <w:numPr>
          <w:ilvl w:val="0"/>
          <w:numId w:val="19"/>
        </w:numPr>
        <w:jc w:val="both"/>
        <w:rPr>
          <w:rFonts w:ascii="Arial" w:hAnsi="Arial" w:cs="Arial"/>
        </w:rPr>
      </w:pPr>
      <w:r w:rsidRPr="00D67CB2">
        <w:rPr>
          <w:rFonts w:ascii="Arial" w:hAnsi="Arial" w:cs="Arial"/>
        </w:rPr>
        <w:t xml:space="preserve">También se identificaron situaciones de </w:t>
      </w:r>
      <w:r w:rsidRPr="00D67CB2">
        <w:rPr>
          <w:rStyle w:val="Textoennegrita"/>
          <w:rFonts w:ascii="Arial" w:eastAsiaTheme="majorEastAsia" w:hAnsi="Arial" w:cs="Arial"/>
        </w:rPr>
        <w:t>violencia económica y ambiental</w:t>
      </w:r>
      <w:r w:rsidRPr="00D67CB2">
        <w:rPr>
          <w:rFonts w:ascii="Arial" w:hAnsi="Arial" w:cs="Arial"/>
        </w:rPr>
        <w:t xml:space="preserve">, derivadas de la presencia de empresas extractivas que alteran su vida cotidiana, desplazan sus prácticas productivas y generan dependencia material. En algunos casos, se reportó </w:t>
      </w:r>
      <w:r w:rsidRPr="00D67CB2">
        <w:rPr>
          <w:rStyle w:val="Textoennegrita"/>
          <w:rFonts w:ascii="Arial" w:eastAsiaTheme="majorEastAsia" w:hAnsi="Arial" w:cs="Arial"/>
        </w:rPr>
        <w:t>hostigamiento directo, vigilancia y amenazas</w:t>
      </w:r>
      <w:r w:rsidRPr="00D67CB2">
        <w:rPr>
          <w:rFonts w:ascii="Arial" w:hAnsi="Arial" w:cs="Arial"/>
        </w:rPr>
        <w:t xml:space="preserve"> contra mujeres que lideran procesos de oposición a proyectos mineros o energéticos.</w:t>
      </w:r>
    </w:p>
    <w:p w14:paraId="1DBCBC03" w14:textId="77777777" w:rsidR="00D67CB2" w:rsidRPr="00D67CB2" w:rsidRDefault="00D67CB2" w:rsidP="00D67CB2">
      <w:pPr>
        <w:pStyle w:val="NormalWeb"/>
        <w:numPr>
          <w:ilvl w:val="0"/>
          <w:numId w:val="19"/>
        </w:numPr>
        <w:jc w:val="both"/>
        <w:rPr>
          <w:rFonts w:ascii="Arial" w:hAnsi="Arial" w:cs="Arial"/>
        </w:rPr>
      </w:pPr>
      <w:r w:rsidRPr="00D67CB2">
        <w:rPr>
          <w:rFonts w:ascii="Arial" w:hAnsi="Arial" w:cs="Arial"/>
        </w:rPr>
        <w:t xml:space="preserve">A pesar de estas condiciones adversas, las mujeres indígenas han creado </w:t>
      </w:r>
      <w:r w:rsidRPr="00D67CB2">
        <w:rPr>
          <w:rStyle w:val="Textoennegrita"/>
          <w:rFonts w:ascii="Arial" w:eastAsiaTheme="majorEastAsia" w:hAnsi="Arial" w:cs="Arial"/>
        </w:rPr>
        <w:t>espacios autónomos de articulación política</w:t>
      </w:r>
      <w:r w:rsidRPr="00D67CB2">
        <w:rPr>
          <w:rFonts w:ascii="Arial" w:hAnsi="Arial" w:cs="Arial"/>
        </w:rPr>
        <w:t>, como comandos de defensa territorial, redes de mujeres, comités de salud intercultural, centros de sabiduría ancestral, entre otros. Estos espacios no solo permiten organizar la defensa, sino sostener procesos de sanación, autocuidado y formación política desde sus propios saberes.</w:t>
      </w:r>
    </w:p>
    <w:p w14:paraId="6C856EE4" w14:textId="77777777" w:rsidR="00D67CB2" w:rsidRPr="00D67CB2" w:rsidRDefault="00D67CB2" w:rsidP="00D67CB2">
      <w:pPr>
        <w:pStyle w:val="NormalWeb"/>
        <w:numPr>
          <w:ilvl w:val="0"/>
          <w:numId w:val="19"/>
        </w:numPr>
        <w:jc w:val="both"/>
        <w:rPr>
          <w:rFonts w:ascii="Arial" w:hAnsi="Arial" w:cs="Arial"/>
        </w:rPr>
      </w:pPr>
      <w:r w:rsidRPr="00D67CB2">
        <w:rPr>
          <w:rFonts w:ascii="Arial" w:hAnsi="Arial" w:cs="Arial"/>
        </w:rPr>
        <w:t xml:space="preserve">Existen, sin embargo, </w:t>
      </w:r>
      <w:r w:rsidRPr="00D67CB2">
        <w:rPr>
          <w:rStyle w:val="Textoennegrita"/>
          <w:rFonts w:ascii="Arial" w:eastAsiaTheme="majorEastAsia" w:hAnsi="Arial" w:cs="Arial"/>
        </w:rPr>
        <w:t>graves deficiencias en la política pública</w:t>
      </w:r>
      <w:r w:rsidRPr="00D67CB2">
        <w:rPr>
          <w:rFonts w:ascii="Arial" w:hAnsi="Arial" w:cs="Arial"/>
        </w:rPr>
        <w:t xml:space="preserve"> dirigida a mujeres indígenas. Las iniciativas existentes son escasas, fragmentadas, asistencialistas o funcionales al extractivismo. Programas como “Mujer y Minería” o el financiamiento empresarial a proyectos productivos no reconocen el contexto de conflicto ni fortalecen la autonomía política y territorial de las mujeres.</w:t>
      </w:r>
    </w:p>
    <w:p w14:paraId="55FC1CAF" w14:textId="77777777" w:rsidR="00D67CB2" w:rsidRPr="00D67CB2" w:rsidRDefault="00D67CB2" w:rsidP="00D67CB2">
      <w:pPr>
        <w:pStyle w:val="NormalWeb"/>
        <w:numPr>
          <w:ilvl w:val="0"/>
          <w:numId w:val="19"/>
        </w:numPr>
        <w:jc w:val="both"/>
        <w:rPr>
          <w:rFonts w:ascii="Arial" w:hAnsi="Arial" w:cs="Arial"/>
        </w:rPr>
      </w:pPr>
      <w:r w:rsidRPr="00D67CB2">
        <w:rPr>
          <w:rFonts w:ascii="Arial" w:hAnsi="Arial" w:cs="Arial"/>
        </w:rPr>
        <w:t xml:space="preserve">El Comité DESC, en su Observación General N.º 20 sobre no discriminación, ha señalado la necesidad de que los Estados adopten </w:t>
      </w:r>
      <w:r w:rsidRPr="00D67CB2">
        <w:rPr>
          <w:rStyle w:val="Textoennegrita"/>
          <w:rFonts w:ascii="Arial" w:eastAsiaTheme="majorEastAsia" w:hAnsi="Arial" w:cs="Arial"/>
        </w:rPr>
        <w:t>medidas positivas específicas</w:t>
      </w:r>
      <w:r w:rsidRPr="00D67CB2">
        <w:rPr>
          <w:rFonts w:ascii="Arial" w:hAnsi="Arial" w:cs="Arial"/>
        </w:rPr>
        <w:t xml:space="preserve"> para superar la desigualdad estructural. En el caso chileno, estas medidas deben considerar el enfoque de derechos colectivos y el principio de interseccionalidad.</w:t>
      </w:r>
    </w:p>
    <w:p w14:paraId="43E54927" w14:textId="77777777" w:rsidR="00D67CB2" w:rsidRPr="00D67CB2" w:rsidRDefault="00D67CB2" w:rsidP="00D67CB2">
      <w:pPr>
        <w:pStyle w:val="NormalWeb"/>
        <w:numPr>
          <w:ilvl w:val="0"/>
          <w:numId w:val="19"/>
        </w:numPr>
        <w:jc w:val="both"/>
        <w:rPr>
          <w:rFonts w:ascii="Arial" w:hAnsi="Arial" w:cs="Arial"/>
        </w:rPr>
      </w:pPr>
      <w:r w:rsidRPr="00D67CB2">
        <w:rPr>
          <w:rFonts w:ascii="Arial" w:hAnsi="Arial" w:cs="Arial"/>
        </w:rPr>
        <w:t>Las mujeres indígenas de Tarapacá demandan el reconocimiento pleno de su rol como defensoras del territorio y de los derechos humanos, el fortalecimiento de sus organizaciones, protección frente a la violencia de género y ambiental, y el diseño de políticas públicas construidas desde sus propias prioridades.</w:t>
      </w:r>
    </w:p>
    <w:p w14:paraId="5D059545" w14:textId="77777777" w:rsidR="00D67CB2" w:rsidRPr="00D67CB2" w:rsidRDefault="00D67CB2" w:rsidP="00D67CB2">
      <w:pPr>
        <w:pStyle w:val="Ttulo3"/>
        <w:jc w:val="both"/>
        <w:rPr>
          <w:rFonts w:ascii="Arial" w:hAnsi="Arial" w:cs="Arial"/>
          <w:sz w:val="24"/>
          <w:szCs w:val="24"/>
        </w:rPr>
      </w:pPr>
      <w:r w:rsidRPr="00D67CB2">
        <w:rPr>
          <w:rFonts w:ascii="Arial" w:hAnsi="Arial" w:cs="Arial"/>
          <w:sz w:val="24"/>
          <w:szCs w:val="24"/>
        </w:rPr>
        <w:t>9. CONCLUSIONES Y RECOMENDACIONES</w:t>
      </w:r>
    </w:p>
    <w:p w14:paraId="3A3C51D5" w14:textId="77777777" w:rsidR="00D67CB2" w:rsidRPr="00D67CB2" w:rsidRDefault="00D67CB2" w:rsidP="00D67CB2">
      <w:pPr>
        <w:pStyle w:val="NormalWeb"/>
        <w:numPr>
          <w:ilvl w:val="0"/>
          <w:numId w:val="20"/>
        </w:numPr>
        <w:jc w:val="both"/>
        <w:rPr>
          <w:rFonts w:ascii="Arial" w:hAnsi="Arial" w:cs="Arial"/>
        </w:rPr>
      </w:pPr>
      <w:r w:rsidRPr="00D67CB2">
        <w:rPr>
          <w:rFonts w:ascii="Arial" w:hAnsi="Arial" w:cs="Arial"/>
        </w:rPr>
        <w:lastRenderedPageBreak/>
        <w:t>El presente informe ha documentado una serie de situaciones estructurales que afectan gravemente el ejercicio de los derechos económicos, sociales y culturales de los pueblos indígenas de la Región de Tarapacá, en particular de las mujeres. Los principales problemas identificados incluyen:</w:t>
      </w:r>
    </w:p>
    <w:p w14:paraId="371C2315" w14:textId="77777777" w:rsidR="00D67CB2" w:rsidRPr="00D67CB2" w:rsidRDefault="00D67CB2" w:rsidP="00D67CB2">
      <w:pPr>
        <w:pStyle w:val="NormalWeb"/>
        <w:numPr>
          <w:ilvl w:val="0"/>
          <w:numId w:val="21"/>
        </w:numPr>
        <w:jc w:val="both"/>
        <w:rPr>
          <w:rFonts w:ascii="Arial" w:hAnsi="Arial" w:cs="Arial"/>
        </w:rPr>
      </w:pPr>
      <w:r w:rsidRPr="00D67CB2">
        <w:rPr>
          <w:rFonts w:ascii="Arial" w:hAnsi="Arial" w:cs="Arial"/>
        </w:rPr>
        <w:t>La continuidad de un modelo extractivista que vulnera el derecho a la autodeterminación de los pueblos y a disponer libremente de sus recursos naturales (art. 1 del PIDESC).</w:t>
      </w:r>
    </w:p>
    <w:p w14:paraId="4D7ABA24" w14:textId="77777777" w:rsidR="00D67CB2" w:rsidRPr="00D67CB2" w:rsidRDefault="00D67CB2" w:rsidP="00D67CB2">
      <w:pPr>
        <w:pStyle w:val="NormalWeb"/>
        <w:numPr>
          <w:ilvl w:val="0"/>
          <w:numId w:val="21"/>
        </w:numPr>
        <w:jc w:val="both"/>
        <w:rPr>
          <w:rFonts w:ascii="Arial" w:hAnsi="Arial" w:cs="Arial"/>
        </w:rPr>
      </w:pPr>
      <w:r w:rsidRPr="00D67CB2">
        <w:rPr>
          <w:rFonts w:ascii="Arial" w:hAnsi="Arial" w:cs="Arial"/>
        </w:rPr>
        <w:t>La omisión sistemática del deber del Estado de garantizar procesos de consulta previa, libre e informada conforme a estándares internacionales.</w:t>
      </w:r>
    </w:p>
    <w:p w14:paraId="7843C4ED" w14:textId="77777777" w:rsidR="00D67CB2" w:rsidRPr="00D67CB2" w:rsidRDefault="00D67CB2" w:rsidP="00D67CB2">
      <w:pPr>
        <w:pStyle w:val="NormalWeb"/>
        <w:numPr>
          <w:ilvl w:val="0"/>
          <w:numId w:val="21"/>
        </w:numPr>
        <w:jc w:val="both"/>
        <w:rPr>
          <w:rFonts w:ascii="Arial" w:hAnsi="Arial" w:cs="Arial"/>
        </w:rPr>
      </w:pPr>
      <w:r w:rsidRPr="00D67CB2">
        <w:rPr>
          <w:rFonts w:ascii="Arial" w:hAnsi="Arial" w:cs="Arial"/>
        </w:rPr>
        <w:t>La invisibilización y afectación de la cosmovisión, espiritualidad y derechos culturales de los pueblos indígenas (art. 15).</w:t>
      </w:r>
    </w:p>
    <w:p w14:paraId="5AE6ADBC" w14:textId="77777777" w:rsidR="00D67CB2" w:rsidRPr="00D67CB2" w:rsidRDefault="00D67CB2" w:rsidP="00D67CB2">
      <w:pPr>
        <w:pStyle w:val="NormalWeb"/>
        <w:numPr>
          <w:ilvl w:val="0"/>
          <w:numId w:val="21"/>
        </w:numPr>
        <w:jc w:val="both"/>
        <w:rPr>
          <w:rFonts w:ascii="Arial" w:hAnsi="Arial" w:cs="Arial"/>
        </w:rPr>
      </w:pPr>
      <w:r w:rsidRPr="00D67CB2">
        <w:rPr>
          <w:rFonts w:ascii="Arial" w:hAnsi="Arial" w:cs="Arial"/>
        </w:rPr>
        <w:t>La debilidad de las instituciones públicas para fiscalizar los impactos ambientales y proteger efectivamente los territorios indígenas (arts. 11 y 12).</w:t>
      </w:r>
    </w:p>
    <w:p w14:paraId="5EA3E607" w14:textId="77777777" w:rsidR="00D67CB2" w:rsidRPr="00D67CB2" w:rsidRDefault="00D67CB2" w:rsidP="00D67CB2">
      <w:pPr>
        <w:pStyle w:val="NormalWeb"/>
        <w:numPr>
          <w:ilvl w:val="0"/>
          <w:numId w:val="21"/>
        </w:numPr>
        <w:jc w:val="both"/>
        <w:rPr>
          <w:rFonts w:ascii="Arial" w:hAnsi="Arial" w:cs="Arial"/>
        </w:rPr>
      </w:pPr>
      <w:r w:rsidRPr="00D67CB2">
        <w:rPr>
          <w:rFonts w:ascii="Arial" w:hAnsi="Arial" w:cs="Arial"/>
        </w:rPr>
        <w:t>La discriminación estructural hacia mujeres indígenas y la falta de políticas públicas con pertinencia cultural e interseccionalidad (arts. 3 y 10).</w:t>
      </w:r>
    </w:p>
    <w:p w14:paraId="50BC877D" w14:textId="77777777" w:rsidR="00D67CB2" w:rsidRPr="00D67CB2" w:rsidRDefault="00000000" w:rsidP="00D67CB2">
      <w:pPr>
        <w:jc w:val="both"/>
        <w:rPr>
          <w:rFonts w:ascii="Arial" w:hAnsi="Arial" w:cs="Arial"/>
          <w:sz w:val="24"/>
          <w:szCs w:val="24"/>
        </w:rPr>
      </w:pPr>
      <w:r>
        <w:rPr>
          <w:rFonts w:ascii="Arial" w:hAnsi="Arial" w:cs="Arial"/>
          <w:sz w:val="24"/>
          <w:szCs w:val="24"/>
        </w:rPr>
        <w:pict w14:anchorId="1838FB18">
          <v:rect id="_x0000_i1034" style="width:0;height:1.5pt" o:hralign="center" o:hrstd="t" o:hr="t" fillcolor="#a0a0a0" stroked="f"/>
        </w:pict>
      </w:r>
    </w:p>
    <w:p w14:paraId="6BA6A44B" w14:textId="77777777" w:rsidR="00D67CB2" w:rsidRPr="00D67CB2" w:rsidRDefault="00D67CB2" w:rsidP="00D67CB2">
      <w:pPr>
        <w:pStyle w:val="Ttulo4"/>
        <w:jc w:val="both"/>
        <w:rPr>
          <w:rFonts w:ascii="Arial" w:hAnsi="Arial" w:cs="Arial"/>
          <w:sz w:val="24"/>
          <w:szCs w:val="24"/>
        </w:rPr>
      </w:pPr>
      <w:r w:rsidRPr="00D67CB2">
        <w:rPr>
          <w:rFonts w:ascii="Segoe UI Emoji" w:hAnsi="Segoe UI Emoji" w:cs="Segoe UI Emoji"/>
          <w:sz w:val="24"/>
          <w:szCs w:val="24"/>
        </w:rPr>
        <w:t>🔹</w:t>
      </w:r>
      <w:r w:rsidRPr="00D67CB2">
        <w:rPr>
          <w:rFonts w:ascii="Arial" w:hAnsi="Arial" w:cs="Arial"/>
          <w:sz w:val="24"/>
          <w:szCs w:val="24"/>
        </w:rPr>
        <w:t xml:space="preserve"> RECOMENDACIONES AL COMITÉ DESC</w:t>
      </w:r>
    </w:p>
    <w:p w14:paraId="72F9C1EF" w14:textId="77777777" w:rsidR="00D67CB2" w:rsidRPr="00D67CB2" w:rsidRDefault="00D67CB2" w:rsidP="00D67CB2">
      <w:pPr>
        <w:pStyle w:val="NormalWeb"/>
        <w:numPr>
          <w:ilvl w:val="0"/>
          <w:numId w:val="22"/>
        </w:numPr>
        <w:jc w:val="both"/>
        <w:rPr>
          <w:rFonts w:ascii="Arial" w:hAnsi="Arial" w:cs="Arial"/>
        </w:rPr>
      </w:pPr>
      <w:r w:rsidRPr="00D67CB2">
        <w:rPr>
          <w:rFonts w:ascii="Arial" w:hAnsi="Arial" w:cs="Arial"/>
        </w:rPr>
        <w:t>En base a lo expuesto, las mujeres indígenas de Tarapacá solicitan al Comité DESC que, en sus observaciones finales al Estado de Chile, incluya las siguientes recomendaciones:</w:t>
      </w:r>
    </w:p>
    <w:p w14:paraId="7291F538" w14:textId="77777777" w:rsidR="00D67CB2" w:rsidRPr="00D67CB2" w:rsidRDefault="00D67CB2" w:rsidP="00D67CB2">
      <w:pPr>
        <w:pStyle w:val="NormalWeb"/>
        <w:jc w:val="both"/>
        <w:rPr>
          <w:rFonts w:ascii="Arial" w:hAnsi="Arial" w:cs="Arial"/>
        </w:rPr>
      </w:pPr>
      <w:r w:rsidRPr="00D67CB2">
        <w:rPr>
          <w:rStyle w:val="Textoennegrita"/>
          <w:rFonts w:ascii="Arial" w:hAnsi="Arial" w:cs="Arial"/>
        </w:rPr>
        <w:t>Sobre consulta y participación indígena:</w:t>
      </w:r>
    </w:p>
    <w:p w14:paraId="647947DF" w14:textId="77777777" w:rsidR="00D67CB2" w:rsidRPr="00D67CB2" w:rsidRDefault="00D67CB2" w:rsidP="00D67CB2">
      <w:pPr>
        <w:pStyle w:val="NormalWeb"/>
        <w:numPr>
          <w:ilvl w:val="0"/>
          <w:numId w:val="23"/>
        </w:numPr>
        <w:jc w:val="both"/>
        <w:rPr>
          <w:rFonts w:ascii="Arial" w:hAnsi="Arial" w:cs="Arial"/>
        </w:rPr>
      </w:pPr>
      <w:r w:rsidRPr="00D67CB2">
        <w:rPr>
          <w:rFonts w:ascii="Arial" w:hAnsi="Arial" w:cs="Arial"/>
        </w:rPr>
        <w:t>Exigir al Estado la derogación o profunda reforma del Decreto Supremo N.º 66, por no cumplir con los estándares internacionales sobre consulta previa, libre e informada.</w:t>
      </w:r>
    </w:p>
    <w:p w14:paraId="1BC730D2" w14:textId="77777777" w:rsidR="00D67CB2" w:rsidRPr="00D67CB2" w:rsidRDefault="00D67CB2" w:rsidP="00D67CB2">
      <w:pPr>
        <w:pStyle w:val="NormalWeb"/>
        <w:numPr>
          <w:ilvl w:val="0"/>
          <w:numId w:val="23"/>
        </w:numPr>
        <w:jc w:val="both"/>
        <w:rPr>
          <w:rFonts w:ascii="Arial" w:hAnsi="Arial" w:cs="Arial"/>
        </w:rPr>
      </w:pPr>
      <w:r w:rsidRPr="00D67CB2">
        <w:rPr>
          <w:rFonts w:ascii="Arial" w:hAnsi="Arial" w:cs="Arial"/>
        </w:rPr>
        <w:t>Instar al Estado a garantizar el consentimiento libre, previo e informado en todos los proyectos que puedan afectar los territorios indígenas, incluyendo exploraciones y obras menores.</w:t>
      </w:r>
    </w:p>
    <w:p w14:paraId="43A8B6F7" w14:textId="77777777" w:rsidR="00D67CB2" w:rsidRPr="00D67CB2" w:rsidRDefault="00D67CB2" w:rsidP="00D67CB2">
      <w:pPr>
        <w:pStyle w:val="NormalWeb"/>
        <w:jc w:val="both"/>
        <w:rPr>
          <w:rFonts w:ascii="Arial" w:hAnsi="Arial" w:cs="Arial"/>
        </w:rPr>
      </w:pPr>
      <w:r w:rsidRPr="00D67CB2">
        <w:rPr>
          <w:rStyle w:val="Textoennegrita"/>
          <w:rFonts w:ascii="Arial" w:hAnsi="Arial" w:cs="Arial"/>
        </w:rPr>
        <w:t>Sobre empresas y derechos humanos:</w:t>
      </w:r>
    </w:p>
    <w:p w14:paraId="3A7FF0EE" w14:textId="77777777" w:rsidR="00D67CB2" w:rsidRPr="00D67CB2" w:rsidRDefault="00D67CB2" w:rsidP="00D67CB2">
      <w:pPr>
        <w:pStyle w:val="NormalWeb"/>
        <w:numPr>
          <w:ilvl w:val="0"/>
          <w:numId w:val="24"/>
        </w:numPr>
        <w:jc w:val="both"/>
        <w:rPr>
          <w:rFonts w:ascii="Arial" w:hAnsi="Arial" w:cs="Arial"/>
        </w:rPr>
      </w:pPr>
      <w:r w:rsidRPr="00D67CB2">
        <w:rPr>
          <w:rFonts w:ascii="Arial" w:hAnsi="Arial" w:cs="Arial"/>
        </w:rPr>
        <w:t>Requerir al Estado la fiscalización efectiva de las empresas extractivas y la sanción de aquellas que vulneren derechos colectivos o utilicen mecanismos de intimidación o cooptación comunitaria.</w:t>
      </w:r>
    </w:p>
    <w:p w14:paraId="594AB413" w14:textId="77777777" w:rsidR="00D67CB2" w:rsidRPr="00D67CB2" w:rsidRDefault="00D67CB2" w:rsidP="00D67CB2">
      <w:pPr>
        <w:pStyle w:val="NormalWeb"/>
        <w:numPr>
          <w:ilvl w:val="0"/>
          <w:numId w:val="24"/>
        </w:numPr>
        <w:jc w:val="both"/>
        <w:rPr>
          <w:rFonts w:ascii="Arial" w:hAnsi="Arial" w:cs="Arial"/>
        </w:rPr>
      </w:pPr>
      <w:r w:rsidRPr="00D67CB2">
        <w:rPr>
          <w:rFonts w:ascii="Arial" w:hAnsi="Arial" w:cs="Arial"/>
        </w:rPr>
        <w:t>Establecer mecanismos independientes de evaluación de impactos sociales, espirituales y culturales de los proyectos de inversión.</w:t>
      </w:r>
    </w:p>
    <w:p w14:paraId="21EB2009" w14:textId="77777777" w:rsidR="00D67CB2" w:rsidRPr="00D67CB2" w:rsidRDefault="00D67CB2" w:rsidP="00D67CB2">
      <w:pPr>
        <w:pStyle w:val="NormalWeb"/>
        <w:jc w:val="both"/>
        <w:rPr>
          <w:rFonts w:ascii="Arial" w:hAnsi="Arial" w:cs="Arial"/>
        </w:rPr>
      </w:pPr>
      <w:r w:rsidRPr="00D67CB2">
        <w:rPr>
          <w:rStyle w:val="Textoennegrita"/>
          <w:rFonts w:ascii="Arial" w:hAnsi="Arial" w:cs="Arial"/>
        </w:rPr>
        <w:t>Sobre derechos culturales y cosmovisión:</w:t>
      </w:r>
    </w:p>
    <w:p w14:paraId="5438B8A8" w14:textId="77777777" w:rsidR="00D67CB2" w:rsidRPr="00D67CB2" w:rsidRDefault="00D67CB2" w:rsidP="00D67CB2">
      <w:pPr>
        <w:pStyle w:val="NormalWeb"/>
        <w:numPr>
          <w:ilvl w:val="0"/>
          <w:numId w:val="25"/>
        </w:numPr>
        <w:jc w:val="both"/>
        <w:rPr>
          <w:rFonts w:ascii="Arial" w:hAnsi="Arial" w:cs="Arial"/>
        </w:rPr>
      </w:pPr>
      <w:r w:rsidRPr="00D67CB2">
        <w:rPr>
          <w:rFonts w:ascii="Arial" w:hAnsi="Arial" w:cs="Arial"/>
        </w:rPr>
        <w:t>Solicitar el reconocimiento jurídico y administrativo de los sitios sagrados indígenas como parte integral del patrimonio cultural protegido por el Estado.</w:t>
      </w:r>
    </w:p>
    <w:p w14:paraId="2410A393" w14:textId="68693B6A" w:rsidR="00D67CB2" w:rsidRPr="00D67CB2" w:rsidRDefault="00D67CB2" w:rsidP="00D67CB2">
      <w:pPr>
        <w:pStyle w:val="NormalWeb"/>
        <w:numPr>
          <w:ilvl w:val="0"/>
          <w:numId w:val="25"/>
        </w:numPr>
        <w:jc w:val="both"/>
        <w:rPr>
          <w:rFonts w:ascii="Arial" w:hAnsi="Arial" w:cs="Arial"/>
        </w:rPr>
      </w:pPr>
      <w:r w:rsidRPr="00D67CB2">
        <w:rPr>
          <w:rFonts w:ascii="Arial" w:hAnsi="Arial" w:cs="Arial"/>
        </w:rPr>
        <w:lastRenderedPageBreak/>
        <w:t>Instruir al Estado a incorporar la cosmovisión indígena en los procesos de evaluación ambiental y planificación territorial.</w:t>
      </w:r>
    </w:p>
    <w:p w14:paraId="2D5FF34E" w14:textId="77777777" w:rsidR="00D67CB2" w:rsidRPr="00D67CB2" w:rsidRDefault="00D67CB2" w:rsidP="00D67CB2">
      <w:pPr>
        <w:pStyle w:val="NormalWeb"/>
        <w:jc w:val="both"/>
        <w:rPr>
          <w:rFonts w:ascii="Arial" w:hAnsi="Arial" w:cs="Arial"/>
        </w:rPr>
      </w:pPr>
      <w:r w:rsidRPr="00D67CB2">
        <w:rPr>
          <w:rStyle w:val="Textoennegrita"/>
          <w:rFonts w:ascii="Arial" w:hAnsi="Arial" w:cs="Arial"/>
        </w:rPr>
        <w:t>Sobre mujeres indígenas:</w:t>
      </w:r>
    </w:p>
    <w:p w14:paraId="5505B3F4" w14:textId="77777777" w:rsidR="00D67CB2" w:rsidRPr="00D67CB2" w:rsidRDefault="00D67CB2" w:rsidP="00D67CB2">
      <w:pPr>
        <w:pStyle w:val="NormalWeb"/>
        <w:numPr>
          <w:ilvl w:val="0"/>
          <w:numId w:val="27"/>
        </w:numPr>
        <w:jc w:val="both"/>
        <w:rPr>
          <w:rFonts w:ascii="Arial" w:hAnsi="Arial" w:cs="Arial"/>
        </w:rPr>
      </w:pPr>
      <w:r w:rsidRPr="00D67CB2">
        <w:rPr>
          <w:rFonts w:ascii="Arial" w:hAnsi="Arial" w:cs="Arial"/>
        </w:rPr>
        <w:t>Exhortar al Estado a diseñar e implementar políticas públicas específicas para mujeres indígenas, con enfoque de género, interculturalidad y territorialidad, asegurando su participación activa en la formulación de dichas políticas.</w:t>
      </w:r>
    </w:p>
    <w:p w14:paraId="56D56F75" w14:textId="77777777" w:rsidR="00D67CB2" w:rsidRPr="00D67CB2" w:rsidRDefault="00D67CB2" w:rsidP="00D67CB2">
      <w:pPr>
        <w:pStyle w:val="NormalWeb"/>
        <w:numPr>
          <w:ilvl w:val="0"/>
          <w:numId w:val="27"/>
        </w:numPr>
        <w:jc w:val="both"/>
        <w:rPr>
          <w:rFonts w:ascii="Arial" w:hAnsi="Arial" w:cs="Arial"/>
        </w:rPr>
      </w:pPr>
      <w:r w:rsidRPr="00D67CB2">
        <w:rPr>
          <w:rFonts w:ascii="Arial" w:hAnsi="Arial" w:cs="Arial"/>
        </w:rPr>
        <w:t>Solicitar la protección efectiva de mujeres defensoras del territorio frente a amenazas y hostigamientos, y la creación de protocolos de actuación ante violencia ambiental y de género.</w:t>
      </w:r>
    </w:p>
    <w:p w14:paraId="5521B0D9" w14:textId="77777777" w:rsidR="00D67CB2" w:rsidRPr="00D67CB2" w:rsidRDefault="00D67CB2" w:rsidP="00D67CB2">
      <w:pPr>
        <w:pStyle w:val="NormalWeb"/>
        <w:numPr>
          <w:ilvl w:val="0"/>
          <w:numId w:val="28"/>
        </w:numPr>
        <w:jc w:val="both"/>
        <w:rPr>
          <w:rFonts w:ascii="Arial" w:hAnsi="Arial" w:cs="Arial"/>
        </w:rPr>
      </w:pPr>
      <w:r w:rsidRPr="00D67CB2">
        <w:rPr>
          <w:rFonts w:ascii="Arial" w:hAnsi="Arial" w:cs="Arial"/>
        </w:rPr>
        <w:t>Finalmente, las mujeres firmantes reiteran su compromiso con la defensa de la vida, los derechos humanos y la continuidad de los pueblos indígenas como sujetos colectivos de derecho. Confían en que el Comité DESC, en el marco de sus funciones de monitoreo internacional, contribuirá a visibilizar las injusticias denunciadas y exigirá al Estado de Chile adoptar medidas concretas y urgentes.</w:t>
      </w:r>
    </w:p>
    <w:p w14:paraId="3092CB45" w14:textId="77777777" w:rsidR="00495910" w:rsidRDefault="00495910"/>
    <w:p w14:paraId="1B39C82E" w14:textId="77777777" w:rsidR="002A5023" w:rsidRDefault="002A5023"/>
    <w:p w14:paraId="1BC257DC" w14:textId="77777777" w:rsidR="002A5023" w:rsidRDefault="002A5023"/>
    <w:p w14:paraId="10C85E75" w14:textId="77777777" w:rsidR="002A5023" w:rsidRDefault="002A5023"/>
    <w:sectPr w:rsidR="002A502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7DD8"/>
    <w:multiLevelType w:val="multilevel"/>
    <w:tmpl w:val="43B4DA5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F31D0D"/>
    <w:multiLevelType w:val="multilevel"/>
    <w:tmpl w:val="40B0F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E128CA"/>
    <w:multiLevelType w:val="multilevel"/>
    <w:tmpl w:val="0B6A409A"/>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723A10"/>
    <w:multiLevelType w:val="multilevel"/>
    <w:tmpl w:val="739A7AF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F300E1"/>
    <w:multiLevelType w:val="multilevel"/>
    <w:tmpl w:val="D47A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7D4806"/>
    <w:multiLevelType w:val="multilevel"/>
    <w:tmpl w:val="A4A86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206AFB"/>
    <w:multiLevelType w:val="multilevel"/>
    <w:tmpl w:val="F5E0359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01057F"/>
    <w:multiLevelType w:val="multilevel"/>
    <w:tmpl w:val="14926F1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392172"/>
    <w:multiLevelType w:val="multilevel"/>
    <w:tmpl w:val="ADD074BE"/>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8A022B"/>
    <w:multiLevelType w:val="multilevel"/>
    <w:tmpl w:val="CBCCD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454AED"/>
    <w:multiLevelType w:val="multilevel"/>
    <w:tmpl w:val="649E8AB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96679D"/>
    <w:multiLevelType w:val="multilevel"/>
    <w:tmpl w:val="77B28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0B6331"/>
    <w:multiLevelType w:val="multilevel"/>
    <w:tmpl w:val="4DBCA148"/>
    <w:lvl w:ilvl="0">
      <w:start w:val="5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37372B"/>
    <w:multiLevelType w:val="multilevel"/>
    <w:tmpl w:val="38F45EF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EF2025"/>
    <w:multiLevelType w:val="multilevel"/>
    <w:tmpl w:val="D910C8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A37B79"/>
    <w:multiLevelType w:val="multilevel"/>
    <w:tmpl w:val="46583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F46726"/>
    <w:multiLevelType w:val="multilevel"/>
    <w:tmpl w:val="BB7E46F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5E5B25"/>
    <w:multiLevelType w:val="multilevel"/>
    <w:tmpl w:val="D4DC780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514D10"/>
    <w:multiLevelType w:val="multilevel"/>
    <w:tmpl w:val="4E880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2E3453"/>
    <w:multiLevelType w:val="multilevel"/>
    <w:tmpl w:val="349CBB6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415F39"/>
    <w:multiLevelType w:val="multilevel"/>
    <w:tmpl w:val="8AB0E7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98D3387"/>
    <w:multiLevelType w:val="multilevel"/>
    <w:tmpl w:val="EFCE79F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8444A8"/>
    <w:multiLevelType w:val="multilevel"/>
    <w:tmpl w:val="6994C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FC6672"/>
    <w:multiLevelType w:val="multilevel"/>
    <w:tmpl w:val="DE2E091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8C4BD8"/>
    <w:multiLevelType w:val="multilevel"/>
    <w:tmpl w:val="BEBA7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B56FFD"/>
    <w:multiLevelType w:val="multilevel"/>
    <w:tmpl w:val="FFB42FFE"/>
    <w:lvl w:ilvl="0">
      <w:start w:val="5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F542ABB"/>
    <w:multiLevelType w:val="multilevel"/>
    <w:tmpl w:val="EDA09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796F91"/>
    <w:multiLevelType w:val="multilevel"/>
    <w:tmpl w:val="C6D440F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86916D8"/>
    <w:multiLevelType w:val="multilevel"/>
    <w:tmpl w:val="FEC0B76A"/>
    <w:lvl w:ilvl="0">
      <w:start w:val="5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521F79"/>
    <w:multiLevelType w:val="multilevel"/>
    <w:tmpl w:val="4B2C3994"/>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4482723">
    <w:abstractNumId w:val="9"/>
  </w:num>
  <w:num w:numId="2" w16cid:durableId="1224214409">
    <w:abstractNumId w:val="10"/>
  </w:num>
  <w:num w:numId="3" w16cid:durableId="1138379339">
    <w:abstractNumId w:val="15"/>
  </w:num>
  <w:num w:numId="4" w16cid:durableId="1274363408">
    <w:abstractNumId w:val="20"/>
  </w:num>
  <w:num w:numId="5" w16cid:durableId="619144735">
    <w:abstractNumId w:val="14"/>
  </w:num>
  <w:num w:numId="6" w16cid:durableId="1743017629">
    <w:abstractNumId w:val="27"/>
  </w:num>
  <w:num w:numId="7" w16cid:durableId="720442112">
    <w:abstractNumId w:val="3"/>
  </w:num>
  <w:num w:numId="8" w16cid:durableId="1582518191">
    <w:abstractNumId w:val="6"/>
  </w:num>
  <w:num w:numId="9" w16cid:durableId="1241478113">
    <w:abstractNumId w:val="13"/>
  </w:num>
  <w:num w:numId="10" w16cid:durableId="635530131">
    <w:abstractNumId w:val="17"/>
  </w:num>
  <w:num w:numId="11" w16cid:durableId="2107069964">
    <w:abstractNumId w:val="7"/>
  </w:num>
  <w:num w:numId="12" w16cid:durableId="292371312">
    <w:abstractNumId w:val="16"/>
  </w:num>
  <w:num w:numId="13" w16cid:durableId="94710935">
    <w:abstractNumId w:val="0"/>
  </w:num>
  <w:num w:numId="14" w16cid:durableId="2128422493">
    <w:abstractNumId w:val="21"/>
  </w:num>
  <w:num w:numId="15" w16cid:durableId="1805350129">
    <w:abstractNumId w:val="23"/>
  </w:num>
  <w:num w:numId="16" w16cid:durableId="378240162">
    <w:abstractNumId w:val="19"/>
  </w:num>
  <w:num w:numId="17" w16cid:durableId="393283971">
    <w:abstractNumId w:val="29"/>
  </w:num>
  <w:num w:numId="18" w16cid:durableId="1693262666">
    <w:abstractNumId w:val="2"/>
  </w:num>
  <w:num w:numId="19" w16cid:durableId="329527129">
    <w:abstractNumId w:val="8"/>
  </w:num>
  <w:num w:numId="20" w16cid:durableId="1486968573">
    <w:abstractNumId w:val="25"/>
  </w:num>
  <w:num w:numId="21" w16cid:durableId="1956600590">
    <w:abstractNumId w:val="22"/>
  </w:num>
  <w:num w:numId="22" w16cid:durableId="1876312809">
    <w:abstractNumId w:val="28"/>
  </w:num>
  <w:num w:numId="23" w16cid:durableId="2095738019">
    <w:abstractNumId w:val="5"/>
  </w:num>
  <w:num w:numId="24" w16cid:durableId="2038240682">
    <w:abstractNumId w:val="1"/>
  </w:num>
  <w:num w:numId="25" w16cid:durableId="1237321837">
    <w:abstractNumId w:val="18"/>
  </w:num>
  <w:num w:numId="26" w16cid:durableId="366873737">
    <w:abstractNumId w:val="26"/>
  </w:num>
  <w:num w:numId="27" w16cid:durableId="48262159">
    <w:abstractNumId w:val="4"/>
  </w:num>
  <w:num w:numId="28" w16cid:durableId="1770806675">
    <w:abstractNumId w:val="12"/>
  </w:num>
  <w:num w:numId="29" w16cid:durableId="1350066872">
    <w:abstractNumId w:val="11"/>
  </w:num>
  <w:num w:numId="30" w16cid:durableId="4011731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79F"/>
    <w:rsid w:val="001A779F"/>
    <w:rsid w:val="002A5023"/>
    <w:rsid w:val="00466ACE"/>
    <w:rsid w:val="00495910"/>
    <w:rsid w:val="009202BD"/>
    <w:rsid w:val="00963B2F"/>
    <w:rsid w:val="00D67CB2"/>
    <w:rsid w:val="00E0130E"/>
    <w:rsid w:val="00E1718B"/>
    <w:rsid w:val="00E6465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14140"/>
  <w15:chartTrackingRefBased/>
  <w15:docId w15:val="{DEA0A3BD-3610-4E34-90E5-6C5A155A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1A779F"/>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s-CL"/>
      <w14:ligatures w14:val="none"/>
    </w:rPr>
  </w:style>
  <w:style w:type="paragraph" w:styleId="Ttulo4">
    <w:name w:val="heading 4"/>
    <w:basedOn w:val="Normal"/>
    <w:next w:val="Normal"/>
    <w:link w:val="Ttulo4Car"/>
    <w:uiPriority w:val="9"/>
    <w:semiHidden/>
    <w:unhideWhenUsed/>
    <w:qFormat/>
    <w:rsid w:val="00963B2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1A779F"/>
    <w:rPr>
      <w:rFonts w:ascii="Times New Roman" w:eastAsia="Times New Roman" w:hAnsi="Times New Roman" w:cs="Times New Roman"/>
      <w:b/>
      <w:bCs/>
      <w:kern w:val="0"/>
      <w:sz w:val="27"/>
      <w:szCs w:val="27"/>
      <w:lang w:eastAsia="es-CL"/>
      <w14:ligatures w14:val="none"/>
    </w:rPr>
  </w:style>
  <w:style w:type="character" w:styleId="Textoennegrita">
    <w:name w:val="Strong"/>
    <w:basedOn w:val="Fuentedeprrafopredeter"/>
    <w:uiPriority w:val="22"/>
    <w:qFormat/>
    <w:rsid w:val="001A779F"/>
    <w:rPr>
      <w:b/>
      <w:bCs/>
    </w:rPr>
  </w:style>
  <w:style w:type="paragraph" w:styleId="NormalWeb">
    <w:name w:val="Normal (Web)"/>
    <w:basedOn w:val="Normal"/>
    <w:uiPriority w:val="99"/>
    <w:semiHidden/>
    <w:unhideWhenUsed/>
    <w:rsid w:val="001A779F"/>
    <w:pPr>
      <w:spacing w:before="100" w:beforeAutospacing="1" w:after="100" w:afterAutospacing="1" w:line="240" w:lineRule="auto"/>
    </w:pPr>
    <w:rPr>
      <w:rFonts w:ascii="Times New Roman" w:eastAsia="Times New Roman" w:hAnsi="Times New Roman" w:cs="Times New Roman"/>
      <w:kern w:val="0"/>
      <w:sz w:val="24"/>
      <w:szCs w:val="24"/>
      <w:lang w:eastAsia="es-CL"/>
      <w14:ligatures w14:val="none"/>
    </w:rPr>
  </w:style>
  <w:style w:type="character" w:customStyle="1" w:styleId="Ttulo4Car">
    <w:name w:val="Título 4 Car"/>
    <w:basedOn w:val="Fuentedeprrafopredeter"/>
    <w:link w:val="Ttulo4"/>
    <w:uiPriority w:val="9"/>
    <w:semiHidden/>
    <w:rsid w:val="00963B2F"/>
    <w:rPr>
      <w:rFonts w:asciiTheme="majorHAnsi" w:eastAsiaTheme="majorEastAsia" w:hAnsiTheme="majorHAnsi" w:cstheme="majorBidi"/>
      <w:i/>
      <w:iCs/>
      <w:color w:val="2F5496" w:themeColor="accent1" w:themeShade="BF"/>
    </w:rPr>
  </w:style>
  <w:style w:type="character" w:customStyle="1" w:styleId="text-token-text-secondary">
    <w:name w:val="text-token-text-secondary"/>
    <w:basedOn w:val="Fuentedeprrafopredeter"/>
    <w:rsid w:val="00E0130E"/>
  </w:style>
  <w:style w:type="character" w:styleId="nfasis">
    <w:name w:val="Emphasis"/>
    <w:basedOn w:val="Fuentedeprrafopredeter"/>
    <w:uiPriority w:val="20"/>
    <w:qFormat/>
    <w:rsid w:val="002A5023"/>
    <w:rPr>
      <w:i/>
      <w:iCs/>
    </w:rPr>
  </w:style>
  <w:style w:type="character" w:styleId="Hipervnculo">
    <w:name w:val="Hyperlink"/>
    <w:basedOn w:val="Fuentedeprrafopredeter"/>
    <w:uiPriority w:val="99"/>
    <w:unhideWhenUsed/>
    <w:rsid w:val="00466ACE"/>
    <w:rPr>
      <w:color w:val="0563C1" w:themeColor="hyperlink"/>
      <w:u w:val="single"/>
    </w:rPr>
  </w:style>
  <w:style w:type="character" w:styleId="Mencinsinresolver">
    <w:name w:val="Unresolved Mention"/>
    <w:basedOn w:val="Fuentedeprrafopredeter"/>
    <w:uiPriority w:val="99"/>
    <w:semiHidden/>
    <w:unhideWhenUsed/>
    <w:rsid w:val="00466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056337">
      <w:bodyDiv w:val="1"/>
      <w:marLeft w:val="0"/>
      <w:marRight w:val="0"/>
      <w:marTop w:val="0"/>
      <w:marBottom w:val="0"/>
      <w:divBdr>
        <w:top w:val="none" w:sz="0" w:space="0" w:color="auto"/>
        <w:left w:val="none" w:sz="0" w:space="0" w:color="auto"/>
        <w:bottom w:val="none" w:sz="0" w:space="0" w:color="auto"/>
        <w:right w:val="none" w:sz="0" w:space="0" w:color="auto"/>
      </w:divBdr>
    </w:div>
    <w:div w:id="91317808">
      <w:bodyDiv w:val="1"/>
      <w:marLeft w:val="0"/>
      <w:marRight w:val="0"/>
      <w:marTop w:val="0"/>
      <w:marBottom w:val="0"/>
      <w:divBdr>
        <w:top w:val="none" w:sz="0" w:space="0" w:color="auto"/>
        <w:left w:val="none" w:sz="0" w:space="0" w:color="auto"/>
        <w:bottom w:val="none" w:sz="0" w:space="0" w:color="auto"/>
        <w:right w:val="none" w:sz="0" w:space="0" w:color="auto"/>
      </w:divBdr>
    </w:div>
    <w:div w:id="136531054">
      <w:bodyDiv w:val="1"/>
      <w:marLeft w:val="0"/>
      <w:marRight w:val="0"/>
      <w:marTop w:val="0"/>
      <w:marBottom w:val="0"/>
      <w:divBdr>
        <w:top w:val="none" w:sz="0" w:space="0" w:color="auto"/>
        <w:left w:val="none" w:sz="0" w:space="0" w:color="auto"/>
        <w:bottom w:val="none" w:sz="0" w:space="0" w:color="auto"/>
        <w:right w:val="none" w:sz="0" w:space="0" w:color="auto"/>
      </w:divBdr>
    </w:div>
    <w:div w:id="404453152">
      <w:bodyDiv w:val="1"/>
      <w:marLeft w:val="0"/>
      <w:marRight w:val="0"/>
      <w:marTop w:val="0"/>
      <w:marBottom w:val="0"/>
      <w:divBdr>
        <w:top w:val="none" w:sz="0" w:space="0" w:color="auto"/>
        <w:left w:val="none" w:sz="0" w:space="0" w:color="auto"/>
        <w:bottom w:val="none" w:sz="0" w:space="0" w:color="auto"/>
        <w:right w:val="none" w:sz="0" w:space="0" w:color="auto"/>
      </w:divBdr>
    </w:div>
    <w:div w:id="419790440">
      <w:bodyDiv w:val="1"/>
      <w:marLeft w:val="0"/>
      <w:marRight w:val="0"/>
      <w:marTop w:val="0"/>
      <w:marBottom w:val="0"/>
      <w:divBdr>
        <w:top w:val="none" w:sz="0" w:space="0" w:color="auto"/>
        <w:left w:val="none" w:sz="0" w:space="0" w:color="auto"/>
        <w:bottom w:val="none" w:sz="0" w:space="0" w:color="auto"/>
        <w:right w:val="none" w:sz="0" w:space="0" w:color="auto"/>
      </w:divBdr>
    </w:div>
    <w:div w:id="426463861">
      <w:bodyDiv w:val="1"/>
      <w:marLeft w:val="0"/>
      <w:marRight w:val="0"/>
      <w:marTop w:val="0"/>
      <w:marBottom w:val="0"/>
      <w:divBdr>
        <w:top w:val="none" w:sz="0" w:space="0" w:color="auto"/>
        <w:left w:val="none" w:sz="0" w:space="0" w:color="auto"/>
        <w:bottom w:val="none" w:sz="0" w:space="0" w:color="auto"/>
        <w:right w:val="none" w:sz="0" w:space="0" w:color="auto"/>
      </w:divBdr>
    </w:div>
    <w:div w:id="448470664">
      <w:bodyDiv w:val="1"/>
      <w:marLeft w:val="0"/>
      <w:marRight w:val="0"/>
      <w:marTop w:val="0"/>
      <w:marBottom w:val="0"/>
      <w:divBdr>
        <w:top w:val="none" w:sz="0" w:space="0" w:color="auto"/>
        <w:left w:val="none" w:sz="0" w:space="0" w:color="auto"/>
        <w:bottom w:val="none" w:sz="0" w:space="0" w:color="auto"/>
        <w:right w:val="none" w:sz="0" w:space="0" w:color="auto"/>
      </w:divBdr>
    </w:div>
    <w:div w:id="497766044">
      <w:bodyDiv w:val="1"/>
      <w:marLeft w:val="0"/>
      <w:marRight w:val="0"/>
      <w:marTop w:val="0"/>
      <w:marBottom w:val="0"/>
      <w:divBdr>
        <w:top w:val="none" w:sz="0" w:space="0" w:color="auto"/>
        <w:left w:val="none" w:sz="0" w:space="0" w:color="auto"/>
        <w:bottom w:val="none" w:sz="0" w:space="0" w:color="auto"/>
        <w:right w:val="none" w:sz="0" w:space="0" w:color="auto"/>
      </w:divBdr>
    </w:div>
    <w:div w:id="567614890">
      <w:bodyDiv w:val="1"/>
      <w:marLeft w:val="0"/>
      <w:marRight w:val="0"/>
      <w:marTop w:val="0"/>
      <w:marBottom w:val="0"/>
      <w:divBdr>
        <w:top w:val="none" w:sz="0" w:space="0" w:color="auto"/>
        <w:left w:val="none" w:sz="0" w:space="0" w:color="auto"/>
        <w:bottom w:val="none" w:sz="0" w:space="0" w:color="auto"/>
        <w:right w:val="none" w:sz="0" w:space="0" w:color="auto"/>
      </w:divBdr>
    </w:div>
    <w:div w:id="891112202">
      <w:bodyDiv w:val="1"/>
      <w:marLeft w:val="0"/>
      <w:marRight w:val="0"/>
      <w:marTop w:val="0"/>
      <w:marBottom w:val="0"/>
      <w:divBdr>
        <w:top w:val="none" w:sz="0" w:space="0" w:color="auto"/>
        <w:left w:val="none" w:sz="0" w:space="0" w:color="auto"/>
        <w:bottom w:val="none" w:sz="0" w:space="0" w:color="auto"/>
        <w:right w:val="none" w:sz="0" w:space="0" w:color="auto"/>
      </w:divBdr>
    </w:div>
    <w:div w:id="1267884032">
      <w:bodyDiv w:val="1"/>
      <w:marLeft w:val="0"/>
      <w:marRight w:val="0"/>
      <w:marTop w:val="0"/>
      <w:marBottom w:val="0"/>
      <w:divBdr>
        <w:top w:val="none" w:sz="0" w:space="0" w:color="auto"/>
        <w:left w:val="none" w:sz="0" w:space="0" w:color="auto"/>
        <w:bottom w:val="none" w:sz="0" w:space="0" w:color="auto"/>
        <w:right w:val="none" w:sz="0" w:space="0" w:color="auto"/>
      </w:divBdr>
    </w:div>
    <w:div w:id="1566376913">
      <w:bodyDiv w:val="1"/>
      <w:marLeft w:val="0"/>
      <w:marRight w:val="0"/>
      <w:marTop w:val="0"/>
      <w:marBottom w:val="0"/>
      <w:divBdr>
        <w:top w:val="none" w:sz="0" w:space="0" w:color="auto"/>
        <w:left w:val="none" w:sz="0" w:space="0" w:color="auto"/>
        <w:bottom w:val="none" w:sz="0" w:space="0" w:color="auto"/>
        <w:right w:val="none" w:sz="0" w:space="0" w:color="auto"/>
      </w:divBdr>
    </w:div>
    <w:div w:id="1931815995">
      <w:bodyDiv w:val="1"/>
      <w:marLeft w:val="0"/>
      <w:marRight w:val="0"/>
      <w:marTop w:val="0"/>
      <w:marBottom w:val="0"/>
      <w:divBdr>
        <w:top w:val="none" w:sz="0" w:space="0" w:color="auto"/>
        <w:left w:val="none" w:sz="0" w:space="0" w:color="auto"/>
        <w:bottom w:val="none" w:sz="0" w:space="0" w:color="auto"/>
        <w:right w:val="none" w:sz="0" w:space="0" w:color="auto"/>
      </w:divBdr>
    </w:div>
    <w:div w:id="2065332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Erwinojedac@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11</Pages>
  <Words>4065</Words>
  <Characters>22361</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Erwin Ojeda Copaira</dc:creator>
  <cp:keywords/>
  <dc:description/>
  <cp:lastModifiedBy>Erwin Ojeda Copaira</cp:lastModifiedBy>
  <cp:revision>2</cp:revision>
  <dcterms:created xsi:type="dcterms:W3CDTF">2025-08-07T19:09:00Z</dcterms:created>
  <dcterms:modified xsi:type="dcterms:W3CDTF">2025-08-08T15:36:00Z</dcterms:modified>
</cp:coreProperties>
</file>