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1BC" w:rsidRDefault="005B71BC">
      <w:pPr>
        <w:rPr>
          <w:color w:val="000000"/>
          <w:sz w:val="24"/>
          <w:szCs w:val="24"/>
        </w:rPr>
      </w:pPr>
      <w:bookmarkStart w:id="0" w:name="_GoBack"/>
      <w:bookmarkEnd w:id="0"/>
    </w:p>
    <w:p w:rsidR="005B71BC" w:rsidRDefault="003369B5">
      <w:pPr>
        <w:tabs>
          <w:tab w:val="left" w:pos="5790"/>
        </w:tabs>
        <w:rPr>
          <w:sz w:val="24"/>
          <w:szCs w:val="24"/>
        </w:rPr>
      </w:pPr>
      <w:r>
        <w:rPr>
          <w:noProof/>
          <w:lang w:val="en-GB" w:eastAsia="en-GB"/>
        </w:rPr>
        <w:drawing>
          <wp:anchor distT="0" distB="0" distL="0" distR="0" simplePos="0" relativeHeight="17" behindDoc="1" locked="0" layoutInCell="1" allowOverlap="1">
            <wp:simplePos x="0" y="0"/>
            <wp:positionH relativeFrom="column">
              <wp:posOffset>2200275</wp:posOffset>
            </wp:positionH>
            <wp:positionV relativeFrom="paragraph">
              <wp:posOffset>170815</wp:posOffset>
            </wp:positionV>
            <wp:extent cx="1571625" cy="457200"/>
            <wp:effectExtent l="0" t="0" r="0" b="0"/>
            <wp:wrapNone/>
            <wp:docPr id="1" name="Image1" descr="Logo ECO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Logo ECOM 2020"/>
                    <pic:cNvPicPr>
                      <a:picLocks noChangeAspect="1" noChangeArrowheads="1"/>
                    </pic:cNvPicPr>
                  </pic:nvPicPr>
                  <pic:blipFill>
                    <a:blip r:embed="rId8"/>
                    <a:stretch>
                      <a:fillRect/>
                    </a:stretch>
                  </pic:blipFill>
                  <pic:spPr bwMode="auto">
                    <a:xfrm>
                      <a:off x="0" y="0"/>
                      <a:ext cx="1571625" cy="457200"/>
                    </a:xfrm>
                    <a:prstGeom prst="rect">
                      <a:avLst/>
                    </a:prstGeom>
                  </pic:spPr>
                </pic:pic>
              </a:graphicData>
            </a:graphic>
          </wp:anchor>
        </w:drawing>
      </w:r>
      <w:r>
        <w:rPr>
          <w:sz w:val="24"/>
          <w:szCs w:val="24"/>
        </w:rPr>
        <w:tab/>
      </w:r>
    </w:p>
    <w:p w:rsidR="005B71BC" w:rsidRDefault="003369B5">
      <w:pPr>
        <w:tabs>
          <w:tab w:val="left" w:pos="7740"/>
        </w:tabs>
        <w:rPr>
          <w:b/>
        </w:rPr>
      </w:pPr>
      <w:r>
        <w:rPr>
          <w:b/>
          <w:sz w:val="24"/>
          <w:szCs w:val="24"/>
        </w:rPr>
        <w:t xml:space="preserve">                                                                                                                 </w:t>
      </w:r>
      <w:r>
        <w:rPr>
          <w:b/>
          <w:sz w:val="24"/>
          <w:szCs w:val="24"/>
        </w:rPr>
        <w:tab/>
      </w:r>
    </w:p>
    <w:p w:rsidR="005B71BC" w:rsidRDefault="003369B5">
      <w:pPr>
        <w:tabs>
          <w:tab w:val="left" w:pos="8715"/>
        </w:tabs>
        <w:rPr>
          <w:rFonts w:ascii="Tahoma" w:hAnsi="Tahoma" w:cs="Tahoma"/>
          <w:sz w:val="24"/>
          <w:szCs w:val="24"/>
        </w:rPr>
      </w:pPr>
      <w:r>
        <w:rPr>
          <w:rFonts w:ascii="Tahoma" w:hAnsi="Tahoma" w:cs="Tahoma"/>
          <w:sz w:val="24"/>
          <w:szCs w:val="24"/>
        </w:rPr>
        <w:tab/>
      </w:r>
    </w:p>
    <w:p w:rsidR="005B71BC" w:rsidRDefault="005B71BC">
      <w:pPr>
        <w:rPr>
          <w:sz w:val="24"/>
          <w:szCs w:val="24"/>
        </w:rPr>
      </w:pPr>
    </w:p>
    <w:p w:rsidR="005B71BC" w:rsidRDefault="003369B5">
      <w:pPr>
        <w:jc w:val="center"/>
        <w:rPr>
          <w:sz w:val="24"/>
          <w:szCs w:val="24"/>
        </w:rPr>
      </w:pPr>
      <w:r>
        <w:rPr>
          <w:sz w:val="24"/>
          <w:szCs w:val="24"/>
        </w:rPr>
        <w:t xml:space="preserve">                  </w:t>
      </w:r>
    </w:p>
    <w:p w:rsidR="005B71BC" w:rsidRDefault="005B71BC">
      <w:pPr>
        <w:rPr>
          <w:sz w:val="24"/>
          <w:szCs w:val="24"/>
        </w:rPr>
      </w:pPr>
    </w:p>
    <w:p w:rsidR="005B71BC" w:rsidRDefault="005B71BC">
      <w:pPr>
        <w:rPr>
          <w:sz w:val="24"/>
          <w:szCs w:val="24"/>
        </w:rPr>
      </w:pPr>
    </w:p>
    <w:p w:rsidR="005B71BC" w:rsidRDefault="003369B5">
      <w:pPr>
        <w:spacing w:before="120" w:after="120"/>
        <w:jc w:val="center"/>
        <w:rPr>
          <w:rFonts w:ascii="Tahoma" w:hAnsi="Tahoma" w:cs="Tahoma"/>
          <w:b/>
          <w:sz w:val="24"/>
          <w:szCs w:val="24"/>
        </w:rPr>
      </w:pPr>
      <w:r>
        <w:rPr>
          <w:rFonts w:ascii="Tahoma" w:hAnsi="Tahoma" w:cs="Tahoma"/>
          <w:b/>
          <w:sz w:val="32"/>
          <w:szCs w:val="24"/>
        </w:rPr>
        <w:t>Human Rights Violations Based on Sexual Orientation and Gender Identity in Tajikistan</w:t>
      </w:r>
    </w:p>
    <w:p w:rsidR="005B71BC" w:rsidRDefault="005B71BC">
      <w:pPr>
        <w:rPr>
          <w:sz w:val="24"/>
          <w:szCs w:val="24"/>
        </w:rPr>
      </w:pPr>
    </w:p>
    <w:p w:rsidR="005B71BC" w:rsidRDefault="005B71BC">
      <w:pPr>
        <w:rPr>
          <w:rFonts w:ascii="Tahoma" w:hAnsi="Tahoma" w:cs="Tahoma"/>
        </w:rPr>
      </w:pPr>
    </w:p>
    <w:p w:rsidR="005B71BC" w:rsidRDefault="003369B5">
      <w:pPr>
        <w:ind w:right="15"/>
        <w:jc w:val="center"/>
        <w:rPr>
          <w:rFonts w:ascii="Tahoma" w:hAnsi="Tahoma" w:cs="Tahoma"/>
        </w:rPr>
      </w:pPr>
      <w:r>
        <w:rPr>
          <w:rFonts w:ascii="Tahoma" w:hAnsi="Tahoma" w:cs="Tahoma"/>
        </w:rPr>
        <w:t>An “alternative</w:t>
      </w:r>
      <w:r>
        <w:rPr>
          <w:rFonts w:ascii="Tahoma" w:hAnsi="Tahoma" w:cs="Tahoma"/>
          <w:color w:val="000000"/>
        </w:rPr>
        <w:t xml:space="preserve"> report</w:t>
      </w:r>
      <w:r>
        <w:rPr>
          <w:rFonts w:ascii="Tahoma" w:hAnsi="Tahoma" w:cs="Tahoma"/>
        </w:rPr>
        <w:t>”</w:t>
      </w:r>
    </w:p>
    <w:p w:rsidR="005B71BC" w:rsidRDefault="003369B5">
      <w:pPr>
        <w:ind w:right="15"/>
        <w:jc w:val="center"/>
        <w:rPr>
          <w:rFonts w:ascii="Tahoma" w:hAnsi="Tahoma" w:cs="Tahoma"/>
        </w:rPr>
      </w:pPr>
      <w:r>
        <w:rPr>
          <w:rFonts w:ascii="Tahoma" w:hAnsi="Tahoma" w:cs="Tahoma"/>
        </w:rPr>
        <w:t>as a commentary on Report E/C.12/TJK/4</w:t>
      </w:r>
    </w:p>
    <w:p w:rsidR="005B71BC" w:rsidRDefault="003369B5">
      <w:pPr>
        <w:ind w:right="15"/>
        <w:jc w:val="center"/>
        <w:rPr>
          <w:rFonts w:ascii="Tahoma" w:hAnsi="Tahoma" w:cs="Tahoma"/>
        </w:rPr>
      </w:pPr>
      <w:r>
        <w:rPr>
          <w:rFonts w:ascii="Tahoma" w:hAnsi="Tahoma" w:cs="Tahoma"/>
        </w:rPr>
        <w:t>by the Republic of Tajikistan</w:t>
      </w:r>
    </w:p>
    <w:p w:rsidR="005B71BC" w:rsidRDefault="003369B5">
      <w:pPr>
        <w:ind w:right="15"/>
        <w:jc w:val="center"/>
        <w:rPr>
          <w:rFonts w:ascii="Tahoma" w:hAnsi="Tahoma" w:cs="Tahoma"/>
        </w:rPr>
      </w:pPr>
      <w:r>
        <w:rPr>
          <w:rFonts w:ascii="Tahoma" w:hAnsi="Tahoma" w:cs="Tahoma"/>
        </w:rPr>
        <w:t>and as a response to</w:t>
      </w:r>
    </w:p>
    <w:p w:rsidR="005B71BC" w:rsidRDefault="003369B5">
      <w:pPr>
        <w:ind w:right="15"/>
        <w:jc w:val="center"/>
        <w:rPr>
          <w:rFonts w:ascii="Tahoma" w:hAnsi="Tahoma" w:cs="Tahoma"/>
          <w:color w:val="000000"/>
        </w:rPr>
      </w:pPr>
      <w:r>
        <w:rPr>
          <w:rFonts w:ascii="Tahoma" w:hAnsi="Tahoma" w:cs="Tahoma"/>
        </w:rPr>
        <w:t>Concluding Observations E/C.12/TJK/CO/2-3</w:t>
      </w:r>
    </w:p>
    <w:p w:rsidR="005B71BC" w:rsidRDefault="005B71BC">
      <w:pPr>
        <w:ind w:right="15"/>
        <w:jc w:val="center"/>
        <w:rPr>
          <w:color w:val="000000"/>
          <w:sz w:val="20"/>
          <w:szCs w:val="20"/>
        </w:rPr>
      </w:pPr>
    </w:p>
    <w:p w:rsidR="005B71BC" w:rsidRDefault="005B71BC">
      <w:pPr>
        <w:rPr>
          <w:color w:val="000000"/>
          <w:sz w:val="24"/>
          <w:szCs w:val="24"/>
        </w:rPr>
      </w:pPr>
    </w:p>
    <w:p w:rsidR="005B71BC" w:rsidRDefault="005B71BC">
      <w:pPr>
        <w:ind w:left="6140"/>
        <w:rPr>
          <w:color w:val="000000"/>
          <w:sz w:val="20"/>
          <w:szCs w:val="20"/>
        </w:rPr>
      </w:pPr>
    </w:p>
    <w:p w:rsidR="005B71BC" w:rsidRDefault="005B71BC">
      <w:pPr>
        <w:ind w:left="6140"/>
        <w:rPr>
          <w:color w:val="000000"/>
          <w:sz w:val="20"/>
          <w:szCs w:val="20"/>
        </w:rPr>
      </w:pPr>
    </w:p>
    <w:p w:rsidR="005B71BC" w:rsidRDefault="005B71BC">
      <w:pPr>
        <w:rPr>
          <w:color w:val="000000"/>
          <w:sz w:val="24"/>
          <w:szCs w:val="24"/>
        </w:rPr>
      </w:pPr>
    </w:p>
    <w:p w:rsidR="005B71BC" w:rsidRDefault="003369B5">
      <w:pPr>
        <w:jc w:val="center"/>
        <w:rPr>
          <w:rFonts w:ascii="Tahoma" w:hAnsi="Tahoma" w:cs="Tahoma"/>
        </w:rPr>
      </w:pPr>
      <w:r>
        <w:rPr>
          <w:rFonts w:ascii="Tahoma" w:hAnsi="Tahoma" w:cs="Tahoma"/>
        </w:rPr>
        <w:t>67</w:t>
      </w:r>
      <w:r>
        <w:rPr>
          <w:rFonts w:ascii="Tahoma" w:hAnsi="Tahoma" w:cs="Tahoma"/>
          <w:vertAlign w:val="superscript"/>
        </w:rPr>
        <w:t>th</w:t>
      </w:r>
      <w:r>
        <w:rPr>
          <w:rFonts w:ascii="Tahoma" w:hAnsi="Tahoma" w:cs="Tahoma"/>
        </w:rPr>
        <w:t xml:space="preserve"> Pre-Sessional Working Group of the</w:t>
      </w:r>
    </w:p>
    <w:p w:rsidR="005B71BC" w:rsidRDefault="003369B5">
      <w:pPr>
        <w:jc w:val="center"/>
        <w:rPr>
          <w:rFonts w:ascii="Tahoma" w:hAnsi="Tahoma" w:cs="Tahoma"/>
        </w:rPr>
      </w:pPr>
      <w:r>
        <w:rPr>
          <w:rFonts w:ascii="Tahoma" w:hAnsi="Tahoma" w:cs="Tahoma"/>
        </w:rPr>
        <w:t>Committee on Economic, Social, and Cultural Rights</w:t>
      </w:r>
    </w:p>
    <w:p w:rsidR="005B71BC" w:rsidRDefault="003369B5">
      <w:pPr>
        <w:jc w:val="center"/>
        <w:rPr>
          <w:rFonts w:ascii="Tahoma" w:hAnsi="Tahoma" w:cs="Tahoma"/>
        </w:rPr>
      </w:pPr>
      <w:r>
        <w:rPr>
          <w:rFonts w:ascii="Tahoma" w:hAnsi="Tahoma" w:cs="Tahoma"/>
        </w:rPr>
        <w:t>Review of the fourth periodic report of Tajikistan</w:t>
      </w: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rPr>
          <w:color w:val="000000"/>
          <w:sz w:val="24"/>
          <w:szCs w:val="24"/>
        </w:rPr>
      </w:pPr>
    </w:p>
    <w:p w:rsidR="005B71BC" w:rsidRDefault="005B71BC">
      <w:pPr>
        <w:widowControl w:val="0"/>
        <w:spacing w:line="276" w:lineRule="auto"/>
      </w:pPr>
    </w:p>
    <w:p w:rsidR="005B71BC" w:rsidRDefault="005B71BC">
      <w:pPr>
        <w:widowControl w:val="0"/>
        <w:spacing w:line="276" w:lineRule="auto"/>
      </w:pPr>
    </w:p>
    <w:p w:rsidR="005B71BC" w:rsidRDefault="005B71BC">
      <w:pPr>
        <w:widowControl w:val="0"/>
        <w:spacing w:line="276" w:lineRule="auto"/>
      </w:pPr>
    </w:p>
    <w:p w:rsidR="005B71BC" w:rsidRDefault="005B71BC">
      <w:pPr>
        <w:widowControl w:val="0"/>
        <w:spacing w:line="276" w:lineRule="auto"/>
      </w:pPr>
    </w:p>
    <w:p w:rsidR="005B71BC" w:rsidRDefault="005B71BC">
      <w:pPr>
        <w:widowControl w:val="0"/>
        <w:spacing w:line="276" w:lineRule="auto"/>
      </w:pPr>
    </w:p>
    <w:p w:rsidR="005B71BC" w:rsidRDefault="005B71BC">
      <w:pPr>
        <w:widowControl w:val="0"/>
        <w:spacing w:line="276" w:lineRule="auto"/>
      </w:pPr>
    </w:p>
    <w:p w:rsidR="005B71BC" w:rsidRDefault="005B71BC">
      <w:pPr>
        <w:widowControl w:val="0"/>
        <w:spacing w:line="276" w:lineRule="auto"/>
      </w:pPr>
    </w:p>
    <w:p w:rsidR="005B71BC" w:rsidRDefault="003369B5">
      <w:pPr>
        <w:widowControl w:val="0"/>
        <w:spacing w:line="276" w:lineRule="auto"/>
        <w:jc w:val="center"/>
        <w:rPr>
          <w:rFonts w:ascii="Tahoma" w:hAnsi="Tahoma" w:cs="Tahoma"/>
        </w:rPr>
      </w:pPr>
      <w:r>
        <w:rPr>
          <w:rFonts w:ascii="Tahoma" w:hAnsi="Tahoma" w:cs="Tahoma"/>
        </w:rPr>
        <w:t>August 2020</w:t>
      </w:r>
    </w:p>
    <w:p w:rsidR="005B71BC" w:rsidRDefault="005B71BC">
      <w:pPr>
        <w:ind w:right="15"/>
        <w:rPr>
          <w:rFonts w:ascii="Tahoma" w:hAnsi="Tahoma" w:cs="Tahoma"/>
          <w:b/>
          <w:sz w:val="20"/>
        </w:rPr>
      </w:pPr>
    </w:p>
    <w:p w:rsidR="005B71BC" w:rsidRDefault="003369B5">
      <w:pPr>
        <w:ind w:right="15"/>
        <w:rPr>
          <w:rFonts w:ascii="Tahoma" w:hAnsi="Tahoma" w:cs="Tahoma"/>
          <w:sz w:val="20"/>
          <w:szCs w:val="20"/>
        </w:rPr>
      </w:pPr>
      <w:r>
        <w:rPr>
          <w:rFonts w:ascii="Tahoma" w:hAnsi="Tahoma" w:cs="Tahoma"/>
          <w:b/>
          <w:sz w:val="20"/>
        </w:rPr>
        <w:lastRenderedPageBreak/>
        <w:t>Human Rights Violations Based on Sexual Orientation and Gender Identity in Tajikistan</w:t>
      </w:r>
      <w:r>
        <w:rPr>
          <w:rFonts w:ascii="Tahoma" w:hAnsi="Tahoma" w:cs="Tahoma"/>
          <w:b/>
          <w:sz w:val="20"/>
          <w:szCs w:val="20"/>
        </w:rPr>
        <w:t>.</w:t>
      </w:r>
      <w:r>
        <w:rPr>
          <w:rFonts w:ascii="Tahoma" w:hAnsi="Tahoma" w:cs="Tahoma"/>
          <w:sz w:val="20"/>
          <w:szCs w:val="20"/>
        </w:rPr>
        <w:t xml:space="preserve">  </w:t>
      </w:r>
    </w:p>
    <w:p w:rsidR="005B71BC" w:rsidRDefault="003369B5">
      <w:pPr>
        <w:rPr>
          <w:rFonts w:ascii="Tahoma" w:hAnsi="Tahoma" w:cs="Tahoma"/>
          <w:sz w:val="20"/>
          <w:szCs w:val="20"/>
        </w:rPr>
      </w:pPr>
      <w:r>
        <w:rPr>
          <w:rFonts w:ascii="Tahoma" w:hAnsi="Tahoma" w:cs="Tahoma"/>
          <w:sz w:val="20"/>
          <w:szCs w:val="20"/>
        </w:rPr>
        <w:t>An “alternative report” as a commentary on Report E/C.12/TJK/4by the Republic of Tajikistan</w:t>
      </w:r>
    </w:p>
    <w:p w:rsidR="005B71BC" w:rsidRDefault="003369B5">
      <w:pPr>
        <w:rPr>
          <w:rFonts w:ascii="Tahoma" w:hAnsi="Tahoma" w:cs="Tahoma"/>
          <w:sz w:val="20"/>
          <w:szCs w:val="20"/>
        </w:rPr>
      </w:pPr>
      <w:r>
        <w:rPr>
          <w:rFonts w:ascii="Tahoma" w:hAnsi="Tahoma" w:cs="Tahoma"/>
          <w:sz w:val="20"/>
          <w:szCs w:val="20"/>
        </w:rPr>
        <w:t>and as a response to Concluding Observations E/C.12/TJK/CO/2-3. 67th Pre-Sessional Working Group of the Committee on Economic, Social, and Cultural Rights. Review of the fourth periodic report of Tajikistan</w:t>
      </w:r>
    </w:p>
    <w:p w:rsidR="005B71BC" w:rsidRDefault="005B71BC">
      <w:pPr>
        <w:ind w:right="15"/>
        <w:rPr>
          <w:rFonts w:ascii="Tahoma" w:hAnsi="Tahoma" w:cs="Tahoma"/>
          <w:sz w:val="20"/>
          <w:szCs w:val="24"/>
        </w:rPr>
      </w:pPr>
    </w:p>
    <w:p w:rsidR="005B71BC" w:rsidRDefault="005B71BC">
      <w:pPr>
        <w:rPr>
          <w:rFonts w:ascii="Tahoma" w:hAnsi="Tahoma" w:cs="Tahoma"/>
          <w:sz w:val="20"/>
          <w:szCs w:val="24"/>
        </w:rPr>
      </w:pPr>
    </w:p>
    <w:tbl>
      <w:tblPr>
        <w:tblStyle w:val="TableGrid"/>
        <w:tblW w:w="5000" w:type="pct"/>
        <w:tblLook w:val="04A0" w:firstRow="1" w:lastRow="0" w:firstColumn="1" w:lastColumn="0" w:noHBand="0" w:noVBand="1"/>
      </w:tblPr>
      <w:tblGrid>
        <w:gridCol w:w="4608"/>
        <w:gridCol w:w="425"/>
        <w:gridCol w:w="4607"/>
      </w:tblGrid>
      <w:tr w:rsidR="005B71BC">
        <w:tc>
          <w:tcPr>
            <w:tcW w:w="4607" w:type="dxa"/>
            <w:tcBorders>
              <w:top w:val="nil"/>
              <w:left w:val="nil"/>
              <w:bottom w:val="nil"/>
              <w:right w:val="nil"/>
            </w:tcBorders>
            <w:shd w:val="clear" w:color="auto" w:fill="auto"/>
          </w:tcPr>
          <w:p w:rsidR="005B71BC" w:rsidRDefault="003369B5">
            <w:pPr>
              <w:jc w:val="both"/>
              <w:rPr>
                <w:rFonts w:ascii="Tahoma" w:hAnsi="Tahoma" w:cs="Tahoma"/>
                <w:sz w:val="20"/>
              </w:rPr>
            </w:pPr>
            <w:r>
              <w:rPr>
                <w:rFonts w:ascii="Tahoma" w:hAnsi="Tahoma" w:cs="Tahoma"/>
                <w:b/>
                <w:sz w:val="20"/>
              </w:rPr>
              <w:t>ECOM</w:t>
            </w:r>
            <w:r>
              <w:rPr>
                <w:rFonts w:ascii="Tahoma" w:hAnsi="Tahoma" w:cs="Tahoma"/>
                <w:sz w:val="20"/>
              </w:rPr>
              <w:t xml:space="preserve"> - Eurasian Coalition on Health, Rights, Gender and Sexual Diversity</w:t>
            </w:r>
          </w:p>
          <w:p w:rsidR="005B71BC" w:rsidRDefault="007E2282">
            <w:pPr>
              <w:jc w:val="both"/>
            </w:pPr>
            <w:hyperlink r:id="rId9">
              <w:r w:rsidR="003369B5">
                <w:rPr>
                  <w:rStyle w:val="Hyperlink"/>
                  <w:rFonts w:ascii="Tahoma" w:hAnsi="Tahoma" w:cs="Tahoma"/>
                  <w:sz w:val="20"/>
                </w:rPr>
                <w:t>www.ecom.ngo</w:t>
              </w:r>
            </w:hyperlink>
          </w:p>
          <w:p w:rsidR="005B71BC" w:rsidRDefault="003369B5">
            <w:pPr>
              <w:jc w:val="both"/>
              <w:rPr>
                <w:rFonts w:ascii="Tahoma" w:hAnsi="Tahoma" w:cs="Tahoma"/>
                <w:sz w:val="20"/>
              </w:rPr>
            </w:pPr>
            <w:r>
              <w:rPr>
                <w:rFonts w:ascii="Tahoma" w:hAnsi="Tahoma" w:cs="Tahoma"/>
                <w:sz w:val="20"/>
              </w:rPr>
              <w:t>Pärnu mnt 142, Room 13502, </w:t>
            </w:r>
          </w:p>
          <w:p w:rsidR="005B71BC" w:rsidRDefault="003369B5">
            <w:pPr>
              <w:jc w:val="both"/>
              <w:rPr>
                <w:rFonts w:ascii="Tahoma" w:hAnsi="Tahoma" w:cs="Tahoma"/>
                <w:sz w:val="20"/>
              </w:rPr>
            </w:pPr>
            <w:r>
              <w:rPr>
                <w:rFonts w:ascii="Tahoma" w:hAnsi="Tahoma" w:cs="Tahoma"/>
                <w:sz w:val="20"/>
              </w:rPr>
              <w:t>Tallinn, Estonia, 11317</w:t>
            </w:r>
          </w:p>
          <w:p w:rsidR="005B71BC" w:rsidRDefault="003369B5">
            <w:pPr>
              <w:jc w:val="both"/>
              <w:rPr>
                <w:rFonts w:ascii="Tahoma" w:hAnsi="Tahoma" w:cs="Tahoma"/>
                <w:sz w:val="20"/>
                <w:szCs w:val="24"/>
              </w:rPr>
            </w:pPr>
            <w:r>
              <w:rPr>
                <w:rFonts w:ascii="Tahoma" w:hAnsi="Tahoma" w:cs="Tahoma"/>
                <w:sz w:val="20"/>
                <w:szCs w:val="24"/>
              </w:rPr>
              <w:t xml:space="preserve">Contact: Yuri Yoursky </w:t>
            </w:r>
          </w:p>
          <w:p w:rsidR="005B71BC" w:rsidRDefault="003369B5">
            <w:pPr>
              <w:jc w:val="both"/>
            </w:pPr>
            <w:r>
              <w:rPr>
                <w:rFonts w:ascii="Tahoma" w:hAnsi="Tahoma" w:cs="Tahoma"/>
                <w:sz w:val="20"/>
                <w:szCs w:val="24"/>
              </w:rPr>
              <w:t>(</w:t>
            </w:r>
            <w:hyperlink r:id="rId10">
              <w:r>
                <w:rPr>
                  <w:rStyle w:val="Hyperlink"/>
                  <w:rFonts w:ascii="Tahoma" w:hAnsi="Tahoma" w:cs="Tahoma"/>
                  <w:sz w:val="20"/>
                  <w:szCs w:val="24"/>
                </w:rPr>
                <w:t>yuri@ecom.ngo</w:t>
              </w:r>
            </w:hyperlink>
            <w:r>
              <w:rPr>
                <w:rFonts w:ascii="Tahoma" w:hAnsi="Tahoma" w:cs="Tahoma"/>
                <w:sz w:val="20"/>
                <w:szCs w:val="24"/>
              </w:rPr>
              <w:t>)</w:t>
            </w:r>
          </w:p>
          <w:p w:rsidR="005B71BC" w:rsidRDefault="003369B5">
            <w:pPr>
              <w:jc w:val="both"/>
              <w:rPr>
                <w:rFonts w:ascii="Tahoma" w:hAnsi="Tahoma" w:cs="Tahoma"/>
                <w:b/>
                <w:sz w:val="20"/>
                <w:szCs w:val="24"/>
              </w:rPr>
            </w:pPr>
            <w:r>
              <w:rPr>
                <w:rFonts w:ascii="Tahoma" w:hAnsi="Tahoma" w:cs="Tahoma"/>
                <w:b/>
                <w:sz w:val="20"/>
                <w:szCs w:val="24"/>
              </w:rPr>
              <w:t xml:space="preserve"> </w:t>
            </w:r>
          </w:p>
          <w:p w:rsidR="005B71BC" w:rsidRDefault="005B71BC">
            <w:pPr>
              <w:jc w:val="both"/>
              <w:rPr>
                <w:rFonts w:ascii="Tahoma" w:hAnsi="Tahoma" w:cs="Tahoma"/>
                <w:b/>
                <w:sz w:val="20"/>
                <w:szCs w:val="24"/>
              </w:rPr>
            </w:pPr>
          </w:p>
          <w:p w:rsidR="005B71BC" w:rsidRDefault="005B71BC">
            <w:pPr>
              <w:jc w:val="both"/>
              <w:rPr>
                <w:rFonts w:ascii="Tahoma" w:hAnsi="Tahoma" w:cs="Tahoma"/>
                <w:sz w:val="20"/>
                <w:szCs w:val="24"/>
              </w:rPr>
            </w:pPr>
          </w:p>
        </w:tc>
        <w:tc>
          <w:tcPr>
            <w:tcW w:w="5032" w:type="dxa"/>
            <w:gridSpan w:val="2"/>
            <w:tcBorders>
              <w:top w:val="nil"/>
              <w:left w:val="nil"/>
              <w:bottom w:val="nil"/>
              <w:right w:val="nil"/>
            </w:tcBorders>
            <w:shd w:val="clear" w:color="auto" w:fill="auto"/>
          </w:tcPr>
          <w:p w:rsidR="005B71BC" w:rsidRDefault="003369B5">
            <w:pPr>
              <w:ind w:left="393"/>
              <w:jc w:val="both"/>
              <w:rPr>
                <w:rFonts w:ascii="Tahoma" w:hAnsi="Tahoma" w:cs="Tahoma"/>
                <w:b/>
                <w:sz w:val="20"/>
                <w:szCs w:val="20"/>
              </w:rPr>
            </w:pPr>
            <w:r>
              <w:rPr>
                <w:rFonts w:ascii="Tahoma" w:hAnsi="Tahoma" w:cs="Tahoma"/>
                <w:b/>
                <w:sz w:val="20"/>
                <w:szCs w:val="20"/>
              </w:rPr>
              <w:t xml:space="preserve">Anonymous LGBTQI Initiative Group from </w:t>
            </w:r>
            <w:r w:rsidR="00865AAD">
              <w:rPr>
                <w:rFonts w:ascii="Tahoma" w:hAnsi="Tahoma" w:cs="Tahoma"/>
                <w:b/>
                <w:sz w:val="20"/>
                <w:szCs w:val="20"/>
              </w:rPr>
              <w:t>Central Asia</w:t>
            </w:r>
          </w:p>
          <w:p w:rsidR="005B71BC" w:rsidRDefault="005B71BC">
            <w:pPr>
              <w:ind w:left="393"/>
              <w:jc w:val="both"/>
              <w:rPr>
                <w:rFonts w:ascii="Tahoma" w:hAnsi="Tahoma" w:cs="Tahoma"/>
                <w:b/>
                <w:sz w:val="20"/>
                <w:szCs w:val="24"/>
                <w:highlight w:val="yellow"/>
              </w:rPr>
            </w:pPr>
          </w:p>
        </w:tc>
      </w:tr>
      <w:tr w:rsidR="005B71BC">
        <w:tc>
          <w:tcPr>
            <w:tcW w:w="5032" w:type="dxa"/>
            <w:gridSpan w:val="2"/>
            <w:tcBorders>
              <w:top w:val="nil"/>
              <w:left w:val="nil"/>
              <w:bottom w:val="nil"/>
              <w:right w:val="nil"/>
            </w:tcBorders>
            <w:shd w:val="clear" w:color="auto" w:fill="auto"/>
          </w:tcPr>
          <w:p w:rsidR="005B71BC" w:rsidRDefault="005B71BC">
            <w:pPr>
              <w:ind w:left="393"/>
              <w:jc w:val="both"/>
              <w:rPr>
                <w:rFonts w:ascii="Tahoma" w:hAnsi="Tahoma" w:cs="Tahoma"/>
                <w:sz w:val="20"/>
                <w:szCs w:val="20"/>
                <w:highlight w:val="yellow"/>
              </w:rPr>
            </w:pPr>
          </w:p>
        </w:tc>
        <w:tc>
          <w:tcPr>
            <w:tcW w:w="4607" w:type="dxa"/>
            <w:tcBorders>
              <w:top w:val="nil"/>
              <w:left w:val="nil"/>
              <w:bottom w:val="nil"/>
              <w:right w:val="nil"/>
            </w:tcBorders>
          </w:tcPr>
          <w:p w:rsidR="005B71BC" w:rsidRDefault="005B71BC"/>
        </w:tc>
      </w:tr>
    </w:tbl>
    <w:p w:rsidR="005B71BC" w:rsidRDefault="005B71BC">
      <w:pPr>
        <w:rPr>
          <w:rFonts w:ascii="Tahoma" w:hAnsi="Tahoma" w:cs="Tahoma"/>
          <w:sz w:val="20"/>
          <w:szCs w:val="24"/>
        </w:rPr>
      </w:pPr>
    </w:p>
    <w:p w:rsidR="005B71BC" w:rsidRDefault="005B71BC">
      <w:pPr>
        <w:rPr>
          <w:rFonts w:ascii="Tahoma" w:hAnsi="Tahoma" w:cs="Tahoma"/>
          <w:b/>
          <w:szCs w:val="24"/>
        </w:rPr>
      </w:pPr>
    </w:p>
    <w:p w:rsidR="005B71BC" w:rsidRDefault="005B71BC">
      <w:pPr>
        <w:rPr>
          <w:rFonts w:ascii="Tahoma" w:hAnsi="Tahoma" w:cs="Tahoma"/>
        </w:rPr>
      </w:pPr>
    </w:p>
    <w:p w:rsidR="005B71BC" w:rsidRDefault="005B71BC">
      <w:pPr>
        <w:widowControl w:val="0"/>
        <w:spacing w:line="276" w:lineRule="auto"/>
        <w:jc w:val="center"/>
        <w:rPr>
          <w:rFonts w:ascii="Tahoma" w:hAnsi="Tahoma" w:cs="Tahoma"/>
        </w:rPr>
      </w:pPr>
    </w:p>
    <w:p w:rsidR="005B71BC" w:rsidRDefault="003369B5">
      <w:pPr>
        <w:rPr>
          <w:rFonts w:ascii="Tahoma" w:hAnsi="Tahoma" w:cs="Tahoma"/>
        </w:rPr>
      </w:pPr>
      <w:r>
        <w:br w:type="page"/>
      </w:r>
    </w:p>
    <w:p w:rsidR="005B71BC" w:rsidRDefault="005B71BC">
      <w:pPr>
        <w:widowControl w:val="0"/>
        <w:spacing w:line="276" w:lineRule="auto"/>
        <w:jc w:val="center"/>
        <w:rPr>
          <w:rFonts w:ascii="Tahoma" w:hAnsi="Tahoma" w:cs="Tahoma"/>
        </w:rPr>
      </w:pPr>
    </w:p>
    <w:p w:rsidR="005B71BC" w:rsidRDefault="005B71BC">
      <w:pPr>
        <w:sectPr w:rsidR="005B71BC">
          <w:headerReference w:type="default" r:id="rId11"/>
          <w:headerReference w:type="first" r:id="rId12"/>
          <w:pgSz w:w="11906" w:h="16838"/>
          <w:pgMar w:top="1135" w:right="1126" w:bottom="567" w:left="1140" w:header="0" w:footer="0" w:gutter="0"/>
          <w:pgNumType w:start="1"/>
          <w:cols w:space="720"/>
          <w:formProt w:val="0"/>
          <w:titlePg/>
          <w:docGrid w:linePitch="100" w:charSpace="12288"/>
        </w:sectPr>
      </w:pPr>
    </w:p>
    <w:p w:rsidR="005B71BC" w:rsidRDefault="005B71BC"/>
    <w:p w:rsidR="005B71BC" w:rsidRDefault="005B71BC">
      <w:pPr>
        <w:sectPr w:rsidR="005B71BC">
          <w:type w:val="continuous"/>
          <w:pgSz w:w="11906" w:h="16838"/>
          <w:pgMar w:top="1135" w:right="1126" w:bottom="567" w:left="1140" w:header="0" w:footer="0" w:gutter="0"/>
          <w:cols w:space="720"/>
          <w:formProt w:val="0"/>
          <w:docGrid w:linePitch="100" w:charSpace="12288"/>
        </w:sectPr>
      </w:pPr>
    </w:p>
    <w:p w:rsidR="005B71BC" w:rsidRDefault="003369B5">
      <w:r>
        <w:rPr>
          <w:rFonts w:ascii="Tahoma" w:hAnsi="Tahoma" w:cs="Tahoma"/>
          <w:b/>
          <w:szCs w:val="20"/>
        </w:rPr>
        <w:t>Introduction</w:t>
      </w:r>
    </w:p>
    <w:p w:rsidR="005B71BC" w:rsidRDefault="005B71BC">
      <w:pPr>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Tajikistan</w:t>
      </w:r>
      <w:r>
        <w:rPr>
          <w:rFonts w:ascii="Tahoma" w:hAnsi="Tahoma" w:cs="Tahoma"/>
          <w:color w:val="000000"/>
          <w:sz w:val="20"/>
          <w:szCs w:val="20"/>
        </w:rPr>
        <w:t xml:space="preserve"> acceded to the International Covenant on</w:t>
      </w:r>
      <w:r>
        <w:rPr>
          <w:rFonts w:ascii="Tahoma" w:hAnsi="Tahoma" w:cs="Tahoma"/>
          <w:sz w:val="20"/>
          <w:szCs w:val="20"/>
        </w:rPr>
        <w:t xml:space="preserve"> Economic, Social, and Cultural Rights</w:t>
      </w:r>
      <w:r>
        <w:rPr>
          <w:rFonts w:ascii="Tahoma" w:hAnsi="Tahoma" w:cs="Tahoma"/>
          <w:color w:val="000000"/>
          <w:sz w:val="20"/>
          <w:szCs w:val="20"/>
        </w:rPr>
        <w:t xml:space="preserve"> in </w:t>
      </w:r>
      <w:r>
        <w:rPr>
          <w:rFonts w:ascii="Tahoma" w:hAnsi="Tahoma" w:cs="Tahoma"/>
          <w:sz w:val="20"/>
          <w:szCs w:val="20"/>
        </w:rPr>
        <w:t>1999 and has a “State Party” status within the framework of the Covenant</w:t>
      </w:r>
      <w:r>
        <w:rPr>
          <w:rFonts w:ascii="Tahoma" w:hAnsi="Tahoma" w:cs="Tahoma"/>
          <w:color w:val="000000"/>
          <w:sz w:val="20"/>
          <w:szCs w:val="20"/>
        </w:rPr>
        <w:t xml:space="preserve">. </w:t>
      </w:r>
      <w:r>
        <w:rPr>
          <w:rFonts w:ascii="Tahoma" w:hAnsi="Tahoma" w:cs="Tahoma"/>
          <w:sz w:val="20"/>
          <w:szCs w:val="20"/>
        </w:rPr>
        <w:t xml:space="preserve">Tajikistan submitted its fourth periodic report on 30 March 2020, which included its response to the Concluding Observations issued by the Committee on Economic, Social, and Cultural Rights after the State Party’s previous reports in 2015.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The current Alternative Report — a commentary on Report E/C.12/TJK/4 and Concluding Observations E/C.12/TJK/CO/2-3 — is submitted as per the invitation of the Committee on Economic, Social, and Cultural Rights (hereinafter, Committee) that welcomes “alternative reports” from regional NGOs regarding the observation of the International Covenant on Economic, Social, and Cultural Rights (later referred to as Covenant) by a State Party, in this case, by Tajikistan.</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In its Concluding Observations E/C.12/TJK/CO/2-3 (hereinafter, CO), the Committee expressed its concern with Tajikistan’s laws and activities that hinder the freedom of civil society. Particularly, the Committee indicated that “the amendments to the Law on Public Associations of 2007, which provide for further inspection procedures for public associations, and new registration and authorization mechanisms for associations receiving foreign funding, may have an adverse impact on the activities of civil society organizations engaged in the promotion and protection of economic, social and cultural rights” (CO para 10). The Committee had to bring Tajikistan’s attention to the absence of an effective non-discrimination framework. The CO (para 13) emphasised that “[t]he Committee reiterates its previous concluding observations (E/C.12/TJK/CO/1, paras. 14–16) and urges the State party to expedite the adoption of a comprehensive anti-discrimination law that provides a definition of direct and indirect discrimination and includes all the grounds for discrimination set out in article 2, paragraph 2, of the Covenant. In this regard, the Committee draws the attention of the State party to its general comment No. 20 (2009) on non-discrimination in economic, social and cultural rights.” Unfortunately, as visible from Report E/C.12/TJK/4 (hereinafter, Report; para 43-44), Tajikistan remains oblivious to the Committee’s COs and denies adopting the necessary legislation swiftly to ensure all-inclusive non-discrimination for everyone within its borders.</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Before any alternative commentary and reports on the issues regarding the non-equality and discrimination of the LGBT in Tajikistan are provided, ECOM - Eurasian Coalition on Health, Rights, Gender and Sexual Diversity (hereinafter, ECOM) expresses its full comprehension of the state of economic development that the country is in and a wide area of issues the government requires to improve based on the Committee’s Concluding Observations. ECOM is understanding of the insurmountable short-term and long-term effects that the COVID-19 pandemic has induced upon the entire international community, the state of Tajikistan included. We understand the significant financial, mental, and human resources it takes the State Party to tackle the consequences of the said pandemic, deal with its ongoing routine and introduce changes as per the Committee’s recommendations on top of that. ECOM is a regional NGO proficient in working with gay men, other MSM, and trans people specifically in the area of ensuring their right to health, which makes it competent in revealing shortcomings in state healthcare services and offering professional recommendations to amend them since public servants may lack such skills due to not having the necessary training. The other NGO within this alternative-reporting coalition expressed the desire for its identity to remain undisclosed due to security reasons and fear of persecution. With this in mind, the following commentary and reports on the right to health in Tajikistan are provided in the hope to participate in alleviating the burden that befalls gay men, other MSM, and trans people in this country due to the ongoing lack of understanding of and even enmity towards this marginalised group by the general public, and because of the absent legal mechanisms that would help decrease their discrimination and stigma.</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Article 16 section 1 of the Covenant stipulates that “[t]he States Parties to the present Covenant undertake to submit in conformity with this part of the Covenant reports on the measures which they have adopted and the progress made in achieving the observance of the rights recognized herein.” Article 17 section 2 of the Covenant indicates that “[r]eports may indicate factors and difficulties affecting the degree of fulfilment of obligations under the present Covenant.” Having scrutinised the Report, ECOM considers that, within the scope of the right to non-discrimination (Article 2 of the Covenant) and right to health (Article 12 of the Covenant), Tajikistan’s report does not provide the Committee with the ability to grasp the situation with the human rights in terms of LGBT. The given Alternative Report is meant to serve as additional information regarding the wider non-discrimination of the LGBT people in Tajikistan, particularly when it comes to non-discrimination of their right to health, and as an instrument to advance effective positive changes to amend their current underwhelming position.</w:t>
      </w:r>
    </w:p>
    <w:p w:rsidR="005B71BC" w:rsidRDefault="005B71BC">
      <w:pPr>
        <w:tabs>
          <w:tab w:val="left" w:pos="1689"/>
        </w:tabs>
        <w:spacing w:line="242" w:lineRule="auto"/>
        <w:ind w:right="826"/>
        <w:jc w:val="both"/>
        <w:rPr>
          <w:rFonts w:ascii="Tahoma" w:hAnsi="Tahoma" w:cs="Tahoma"/>
          <w:sz w:val="20"/>
          <w:szCs w:val="20"/>
        </w:rPr>
      </w:pPr>
    </w:p>
    <w:p w:rsidR="005B71BC" w:rsidRDefault="003369B5">
      <w:r>
        <w:rPr>
          <w:rFonts w:ascii="Tahoma" w:hAnsi="Tahoma" w:cs="Tahoma"/>
          <w:b/>
          <w:sz w:val="28"/>
          <w:szCs w:val="28"/>
        </w:rPr>
        <w:t>Article 2 — Right to Non-Discrimination</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 xml:space="preserve">The Report (para 43) argues that “the country has a firm policy of non-discrimination on the grounds of race, sex, language, ethnicity, and religion.” Interesting how Tajikistan should claim that when the Committee has already emphasised twice in both of its Concluding Observations that the State Party fails at upholding non-discrimination; that facts and reported cases explicate discrimination of marginalised groups and that alterations to national legislation in that regard are long overdue. CO (para 16), for example, states that “the Committee is concerned about the entrenched gender stereotypes which affect the enjoyment by women of their economic, social and cultural rights and result in significant gender discrimination in all areas of society, particularly in education and employment.” That alone already undermines the mentioned statement by Tajikistan. Nonetheless, ECOM commends the State Party for its results when it comes to equality based on sex. The Report (para 53-56) indicates that training, awareness-raising and educational activities are being held throughout the country to challenge stereotypes about men and women and to strengthen the role of women in Tajikistan society. However, such results seem to bleak across the span of five years since the time of the previous report and when it comes to other marginalised groups, like MSM and trans people.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To say that “the country has a firm policy of non-discrimination on the grounds of race, sex, language, ethnicity, and religion” (Report para 43) is quite remote from the truth, to say the least. Article 17 of the Constitution of Tajikistan states that “[a]ll are equal before the law and the court. The state guarantees the rights and freedoms of everyone, regardless of their nationality, race, sex, language, religion, political beliefs, education, social or property status.”</w:t>
      </w:r>
      <w:r>
        <w:rPr>
          <w:rStyle w:val="FootnoteAnchor"/>
          <w:rFonts w:ascii="Tahoma" w:hAnsi="Tahoma" w:cs="Tahoma"/>
          <w:sz w:val="20"/>
          <w:szCs w:val="20"/>
        </w:rPr>
        <w:footnoteReference w:id="1"/>
      </w:r>
      <w:r>
        <w:rPr>
          <w:rFonts w:ascii="Tahoma" w:hAnsi="Tahoma" w:cs="Tahoma"/>
          <w:sz w:val="20"/>
          <w:szCs w:val="20"/>
        </w:rPr>
        <w:t xml:space="preserve"> This is the finite list of attributes that the Tajikistan Constitution protects within the framework of its non-discrimination legislation. There is no other constitutional or general high-level law that would expand on the grounds protected from discrimination in Tajikistan. Since there is no mention of “other status” or “other grounds,” there is no possibility to expand this list of protected attributes to sexual orientation, gender identity and gender expression (SOGIGE). On the other hand, even if the list had been non-exhaustive, considering the court practice in Tajikistan and other CEECA countries, the justice system would  not have expanded its perception to include SOGIGE because of stigma and systemic discrimination. The Report (para 43) indicates that “[t]he violation of citizens’ equal rights is a criminal offence under article 143 of the Criminal Code.” However, that is not entirely true. Article 143 of the Criminal Code of Tajikistan stipulates: “Intentional direct or indirect violation or limitation of rights and freedoms, or adoption of direct or indirect privileges for citizens based on sex, race, nationality, language, social heritage, personal, property or professional status, residency, religion, beliefs, political partisanship, [or] affiliation with public associations that caused harm to the rights and legal interests of a citizen” are punished by a respective form of liability.</w:t>
      </w:r>
      <w:r>
        <w:rPr>
          <w:rStyle w:val="FootnoteAnchor"/>
          <w:rFonts w:ascii="Tahoma" w:hAnsi="Tahoma" w:cs="Tahoma"/>
          <w:sz w:val="20"/>
          <w:szCs w:val="20"/>
        </w:rPr>
        <w:footnoteReference w:id="2"/>
      </w:r>
      <w:r>
        <w:rPr>
          <w:rFonts w:ascii="Tahoma" w:hAnsi="Tahoma" w:cs="Tahoma"/>
          <w:sz w:val="20"/>
          <w:szCs w:val="20"/>
        </w:rPr>
        <w:t xml:space="preserve"> One can see that not only is the list exhaustive and has no room for interpretation at all, the construction of the article is faulty as well: references to citizenship mean that non-citizens will not have the ability to utilize this article to defend their rights once harm is inflicted on Tajikistan territory. The mentioned article is by no means an effective instrument that protects the equality of all people and cannot be used successfully to both prevent and punish discrimination at large.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Currently, the Tajikistan Criminal Code includes an article that prosecutes people based on “sodomy,” “lesbianism” or other acts of sexual character if such actions are enforced upon the victim or there is a threat of committing such actions in relation to the victim or their close ones while taking advantage of the victim’s vulnerable state. Such actions are also deemed criminal if the victim is coerced to engage in “sodomy,” “lesbianism,” or other acts of sexual character via blackmail, a threat to the victim’s property or by using any kind of authority upon which the victim is dependent on the perpetrator. “Sodomy,” “lesbianism,” and other acts of sexual character are deemed to be a crime also if they are performed by the perpetrator with a person who has not yet reached the age of sixteen, about which the perpetrator was aware or able enough to assess their underage status. All three of these cases are separate articles in the Tajikistan Criminal Code and are included in articles 139, 140, and 141, respectively.</w:t>
      </w:r>
      <w:r>
        <w:rPr>
          <w:rStyle w:val="FootnoteAnchor"/>
          <w:rFonts w:ascii="Tahoma" w:hAnsi="Tahoma" w:cs="Tahoma"/>
          <w:sz w:val="20"/>
          <w:szCs w:val="20"/>
        </w:rPr>
        <w:footnoteReference w:id="3"/>
      </w:r>
      <w:r>
        <w:rPr>
          <w:rFonts w:ascii="Tahoma" w:hAnsi="Tahoma" w:cs="Tahoma"/>
          <w:sz w:val="20"/>
          <w:szCs w:val="20"/>
        </w:rPr>
        <w:t xml:space="preserve"> It should be duly noted that heterosexual rape, non-heterosexual rape, and other coerced actions of sexual character are divided into different articles. Notably, article 138 “Rape” states: “Rape, in other words intercourse with the use of violence or threat of violence against a woman or her close ones or by using the vulnerable state of the woman is punished by imprisonment for three to seven years.”</w:t>
      </w:r>
      <w:r>
        <w:rPr>
          <w:rStyle w:val="FootnoteAnchor"/>
          <w:rFonts w:ascii="Tahoma" w:hAnsi="Tahoma" w:cs="Tahoma"/>
          <w:sz w:val="20"/>
          <w:szCs w:val="20"/>
        </w:rPr>
        <w:footnoteReference w:id="4"/>
      </w:r>
      <w:r>
        <w:rPr>
          <w:rFonts w:ascii="Tahoma" w:hAnsi="Tahoma" w:cs="Tahoma"/>
          <w:sz w:val="20"/>
          <w:szCs w:val="20"/>
        </w:rPr>
        <w:t xml:space="preserve"> Article 139 of the same Criminal Code includes punishment for the same rapist actions only within a non-heterosexual context, and it is punished by imprisonment from 5 (five) to 7 (seven) years.</w:t>
      </w:r>
      <w:r>
        <w:rPr>
          <w:rStyle w:val="FootnoteAnchor"/>
          <w:rFonts w:ascii="Tahoma" w:hAnsi="Tahoma" w:cs="Tahoma"/>
          <w:sz w:val="20"/>
          <w:szCs w:val="20"/>
        </w:rPr>
        <w:footnoteReference w:id="5"/>
      </w:r>
      <w:r>
        <w:rPr>
          <w:rFonts w:ascii="Tahoma" w:hAnsi="Tahoma" w:cs="Tahoma"/>
          <w:sz w:val="20"/>
          <w:szCs w:val="20"/>
        </w:rPr>
        <w:t xml:space="preserve"> With regards to criminal law theory, the more severe lower threshold of non-heterosexual rape means that homosexuality and lesbianism are aggravating circumstances in the context of rape. Subsequently, it means that the Tajikistan law deems homosexuality and lesbianism as a higher threat to the social-legal relations in the country. First of all, all victims of involuntary actions of sexual character are victims of rape. The words “sodomy” and “lesbianism” are degrading in the given context and refer to coercion to same-sex conduct and are placed in separate articles. The Criminal Code should expel the words “sodomy” and “lesbianism” and find a new formulation to protect people regardless of their sex, sexual orientation, gender identity, or gender expression from involuntary sexual actions enacted upon them by perpetrators. Such homophobic terms enforce the public stereotype about consensual same-sex sexual conduct being wrong, or even wrongful, in this case.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 xml:space="preserve">In its Report (para 44), Tajikistan states that “[on] 16 April 2018, an interministerial working group was established to draft a bill on protection against discrimination and to harmonize legislation on equality and the prohibition of all forms of discrimination. This working group, with the support of international organizations (OHCHR, OSCE) and broad consultations with civil society institutions, is conducting a comprehensive analysis of national legislation and examining the practice of other countries in developing policies for protection against discrimination. At the time of writing, a bill had been prepared and was being widely discussed with representatives of State bodies, civil society institutions and international organizations.”  Five years is a very long time to be devising an effective and broad non-discrimination law to adopt. While Tajikistan is stalling and not even providing any reasons for obstacles to adopting the necessary changes (to which the Covenant obliges it to), LGBT people are suffering from severe discrimination, stigma, and violence in the country. The appeal to adopt a law that would ban all forms of discrimination, including based on SOGIGE, is not a whim — people’s lives depend on this law.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It should be also noted that the civil society is also discriminated against by the Tajikistan law. As duly noted by the CO (para 10), “the amendments to the Law on Public Associations of 2007, which provide for further inspection procedures for public associations, and new registration and authorization mechanisms for associations receiving foreign funding, may have an adverse impact on the activities of civil society organizations engaged in the promotion and protection of economic, social and cultural rights.” Such adverse impact is on-hand. NGOs, most often than not, consist of volunteers and people with no or little specific vocation or expertise to govern the special activities that are associated with NGO activity, e.g. advocacy, community mobilisation and building, fundraising, HIV-services, etc. Subsequently, the scrutiny under which the current legislation puts NGOs when it comes to reporting periods and the extents of reporting diverts volunteers from exercising their freedom of association. In addition, LGBT organizations are afraid of persecution on the government’s part, considering how the articles of the criminal code can be twisted and the high levels of stigma that permeate the general public, law-enforcement, and medical workers. While there is no formal ban to register LGBT NGOs in Tajikistan, it is not possible to register an NGO, if in its statutory documents it is mentioned that it works with gay men, other MSM and trans people as it would be considered as a violation of the Law of the Republic of Tajikistan “On Non-Governmental Associations,” in particular article 14 thereof, which sets up restrictions on the establishment and activities of NGOs: “Establishing and running non-governmental associations infringing on the rights and lawful interests of citizens, on public health and morals is prohibited.”</w:t>
      </w:r>
      <w:r>
        <w:rPr>
          <w:rStyle w:val="FootnoteAnchor"/>
          <w:rFonts w:ascii="Tahoma" w:hAnsi="Tahoma" w:cs="Tahoma"/>
          <w:sz w:val="20"/>
          <w:szCs w:val="20"/>
        </w:rPr>
        <w:footnoteReference w:id="6"/>
      </w:r>
      <w:r>
        <w:rPr>
          <w:rFonts w:ascii="Tahoma" w:hAnsi="Tahoma" w:cs="Tahoma"/>
          <w:i/>
          <w:sz w:val="20"/>
          <w:szCs w:val="20"/>
        </w:rPr>
        <w:t xml:space="preserve"> </w:t>
      </w:r>
      <w:r>
        <w:rPr>
          <w:rFonts w:ascii="Tahoma" w:hAnsi="Tahoma" w:cs="Tahoma"/>
          <w:sz w:val="20"/>
          <w:szCs w:val="20"/>
        </w:rPr>
        <w:t xml:space="preserve">Most LGBT organizations are forced to help LGBT persons in secrecy, especially when it comes to HIV as men who have sex with men (MSM) and trans people are at an increased risk of getting infected.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As it stems from the Covenant (Preamble; Article 6 section 2), “Considering the obligation of States under the Charter of the United Nations to promote universal respect for, and observance of, human rights and freedoms [...and that] policies and techniques to achieve steady economic, social and cultural development and full and productive employment under conditions safeguarding fundamental political and economic freedoms to the individual,” enforcing stringent and heavily bureaucratic procedures upon civil society associations goes against the purpose of freedom of assembly and association, which are crucial to promoting the equality of economic, social, and cultural rights. Unsolicited and uber-controlling governmental vigilance has no meaning or necessity when it comes to peaceful civil society activities. Sadly, the civil society space for LGBT (and other disadvantages groups) organizations in Tajikistan is shrinking.</w:t>
      </w:r>
      <w:r>
        <w:rPr>
          <w:rStyle w:val="FootnoteAnchor"/>
          <w:rFonts w:ascii="Tahoma" w:hAnsi="Tahoma" w:cs="Tahoma"/>
          <w:sz w:val="20"/>
          <w:szCs w:val="20"/>
        </w:rPr>
        <w:footnoteReference w:id="7"/>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 xml:space="preserve">Considering the above, Tajikistan virtually has no effective non-discrimination framework that would protect the equality of all. Unfortunately, legislation is not absolute. High levels of stigma towards various disadvantaged groups in Tajikistan, including the LGBT, and the norms in various acts (those governing public organization registration, criminal provisions, healthcare, and others) calls for additional legislative levers that would effectively (not nominally) protect them from discrimination based on their attribute (SOGIGE in the case at hand). While the Tajikistan Constitution may proclaim that everyone is equal before the law and the court, the reality proves otherwise.  </w:t>
      </w:r>
    </w:p>
    <w:p w:rsidR="005B71BC" w:rsidRDefault="005B71BC">
      <w:pPr>
        <w:tabs>
          <w:tab w:val="left" w:pos="1689"/>
        </w:tabs>
        <w:spacing w:line="242" w:lineRule="auto"/>
        <w:ind w:right="826"/>
        <w:jc w:val="both"/>
        <w:rPr>
          <w:rFonts w:ascii="Tahoma" w:hAnsi="Tahoma" w:cs="Tahoma"/>
          <w:sz w:val="20"/>
          <w:szCs w:val="20"/>
        </w:rPr>
      </w:pPr>
    </w:p>
    <w:p w:rsidR="005B71BC" w:rsidRDefault="003369B5">
      <w:r>
        <w:rPr>
          <w:rFonts w:ascii="Tahoma" w:hAnsi="Tahoma" w:cs="Tahoma"/>
          <w:b/>
          <w:sz w:val="28"/>
          <w:szCs w:val="28"/>
        </w:rPr>
        <w:t>Article 12 — Right to Health</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As reported by ECOM’s partner organization in Tajikistan, the State Party allocates special attention to its national programme for HIV-prevention. The Healthcare Code of Tajikistan (article 163), among others, states that people infected with HIV (people living with HIV, PLHIV) and those with AIDS have a set of rights, among which are the right to humane treatment on the society’s part, which excludes degrading human dignity; right to demand secrecy of their HIV status and other confidentiality; free HIV treatment and care; protection from discrimination and discrimination during treatment. Healthcare facilities and medical workers are banned from denying aid to PLHIV and people with AIDS.</w:t>
      </w:r>
      <w:r>
        <w:rPr>
          <w:rStyle w:val="FootnoteAnchor"/>
          <w:rFonts w:ascii="Tahoma" w:hAnsi="Tahoma" w:cs="Tahoma"/>
          <w:sz w:val="20"/>
          <w:szCs w:val="20"/>
        </w:rPr>
        <w:footnoteReference w:id="8"/>
      </w:r>
      <w:r>
        <w:rPr>
          <w:rFonts w:ascii="Tahoma" w:hAnsi="Tahoma" w:cs="Tahoma"/>
          <w:sz w:val="20"/>
          <w:szCs w:val="20"/>
        </w:rPr>
        <w:t xml:space="preserve"> ECOM expresses high regard and commends Tajikistan’s results and efforts when it comes to HIV-prevention for the general population. The Report (para 137-138) reveals that the Tajikistan government has significantly increased the number of HIV centres, the amount of CD4 equipment, general public covered by state HIV-services, introduced express saliva HIV tests (distributed among state and “voluntary organizations”), and other achievements. The Report (para 139) argues that “HIV prevalence among those tested was 0.20 per cent in 2016 and 2017, 0.18 in 2018 and 0.13 per cent in 2019, which indicates that the epidemiological situation for HIV is stable in Tajikistan.” However, there is no ability to understand key population group diversification in terms of HIV in Tajikistan. Key population groups are groups with increased risk of getting infected with HIV, like MSM and trans people, people who inject drugs (PWUD), sex workers, and others. It is there where HIV-prevalence and morbidity lie, which require focused attention, increased effort, express and diverse contextual data collection and HIV-services tailored to those specific communities. In short, Tajikistan’s current methods of collecting HIV-data are not only ineffective but they also damage the population and impede the government’s efforts to combat HIV. For comparison, notably, as pointed out by UNAIDS:</w:t>
      </w:r>
    </w:p>
    <w:p w:rsidR="005B71BC" w:rsidRDefault="003369B5">
      <w:pPr>
        <w:tabs>
          <w:tab w:val="left" w:pos="1689"/>
        </w:tabs>
        <w:spacing w:line="242" w:lineRule="auto"/>
        <w:ind w:left="1418" w:right="826"/>
        <w:jc w:val="both"/>
      </w:pPr>
      <w:r>
        <w:rPr>
          <w:rFonts w:ascii="Tahoma" w:hAnsi="Tahoma" w:cs="Tahoma"/>
          <w:sz w:val="20"/>
          <w:szCs w:val="20"/>
        </w:rPr>
        <w:t xml:space="preserve"> In 2016, Tajikistan had 1300 (&lt;1000 - 2100) new HIV infections and &lt;1000 (&lt;500 - &lt;1000) AIDS-related deaths. There were 14 000 (10 000 - 19 000) people living with HIV in 2016, among whom 30% (23% - 42%) were accessing antiretroviral therapy. Among pregnant women living with HIV, 85% (68% - &gt;95%) were accessing treatment or prophylaxis to prevent transmission of HIV to their children. An estimated &lt;100 (&lt;100 - &lt;100) children were newly infected with HIV due to mother-to-child transmission. Among people living with HIV, approximately 22% (16% - 30%) had suppressed viral loads. The key populations most affected by HIV in Tajikistan are:</w:t>
      </w:r>
    </w:p>
    <w:p w:rsidR="005B71BC" w:rsidRDefault="003369B5">
      <w:pPr>
        <w:numPr>
          <w:ilvl w:val="0"/>
          <w:numId w:val="2"/>
        </w:numPr>
        <w:tabs>
          <w:tab w:val="left" w:pos="1689"/>
        </w:tabs>
        <w:spacing w:line="242" w:lineRule="auto"/>
        <w:ind w:left="1418" w:right="826" w:firstLine="0"/>
        <w:jc w:val="both"/>
      </w:pPr>
      <w:r>
        <w:rPr>
          <w:rFonts w:ascii="Tahoma" w:hAnsi="Tahoma" w:cs="Tahoma"/>
          <w:sz w:val="20"/>
          <w:szCs w:val="20"/>
        </w:rPr>
        <w:t>Sex workers, with an HIV prevalence of 3.5%.</w:t>
      </w:r>
    </w:p>
    <w:p w:rsidR="005B71BC" w:rsidRDefault="003369B5">
      <w:pPr>
        <w:numPr>
          <w:ilvl w:val="0"/>
          <w:numId w:val="2"/>
        </w:numPr>
        <w:tabs>
          <w:tab w:val="left" w:pos="1689"/>
        </w:tabs>
        <w:spacing w:line="242" w:lineRule="auto"/>
        <w:ind w:left="1418" w:right="826" w:firstLine="0"/>
        <w:jc w:val="both"/>
      </w:pPr>
      <w:r>
        <w:rPr>
          <w:rFonts w:ascii="Tahoma" w:hAnsi="Tahoma" w:cs="Tahoma"/>
          <w:sz w:val="20"/>
          <w:szCs w:val="20"/>
        </w:rPr>
        <w:t>Gay men and other men who have sex with men, with an HIV prevalence of 2.7%.</w:t>
      </w:r>
    </w:p>
    <w:p w:rsidR="005B71BC" w:rsidRDefault="003369B5">
      <w:pPr>
        <w:numPr>
          <w:ilvl w:val="0"/>
          <w:numId w:val="2"/>
        </w:numPr>
        <w:tabs>
          <w:tab w:val="left" w:pos="1689"/>
        </w:tabs>
        <w:spacing w:line="242" w:lineRule="auto"/>
        <w:ind w:left="1418" w:right="826" w:firstLine="0"/>
        <w:jc w:val="both"/>
      </w:pPr>
      <w:r>
        <w:rPr>
          <w:rFonts w:ascii="Tahoma" w:hAnsi="Tahoma" w:cs="Tahoma"/>
          <w:sz w:val="20"/>
          <w:szCs w:val="20"/>
        </w:rPr>
        <w:t>People who inject drugs, with an HIV prevalence of 13.5%.</w:t>
      </w:r>
    </w:p>
    <w:p w:rsidR="005B71BC" w:rsidRDefault="003369B5">
      <w:pPr>
        <w:tabs>
          <w:tab w:val="left" w:pos="1689"/>
        </w:tabs>
        <w:spacing w:line="242" w:lineRule="auto"/>
        <w:ind w:left="1418" w:right="826"/>
        <w:jc w:val="both"/>
      </w:pPr>
      <w:r>
        <w:rPr>
          <w:rFonts w:ascii="Tahoma" w:hAnsi="Tahoma" w:cs="Tahoma"/>
          <w:sz w:val="20"/>
          <w:szCs w:val="20"/>
        </w:rPr>
        <w:t>Since 2010, new HIV infections have increased by 23% and AIDS-related deaths have decreased by 5%.</w:t>
      </w:r>
      <w:r>
        <w:rPr>
          <w:rStyle w:val="FootnoteAnchor"/>
          <w:rFonts w:ascii="Tahoma" w:hAnsi="Tahoma" w:cs="Tahoma"/>
          <w:sz w:val="20"/>
          <w:szCs w:val="20"/>
        </w:rPr>
        <w:footnoteReference w:id="9"/>
      </w:r>
      <w:r>
        <w:rPr>
          <w:rFonts w:ascii="Tahoma" w:hAnsi="Tahoma" w:cs="Tahoma"/>
          <w:sz w:val="20"/>
          <w:szCs w:val="20"/>
        </w:rPr>
        <w:t xml:space="preserve"> </w:t>
      </w:r>
    </w:p>
    <w:p w:rsidR="005B71BC" w:rsidRDefault="003369B5">
      <w:pPr>
        <w:tabs>
          <w:tab w:val="left" w:pos="1689"/>
        </w:tabs>
        <w:spacing w:line="242" w:lineRule="auto"/>
        <w:ind w:left="1170" w:right="826"/>
        <w:jc w:val="both"/>
      </w:pPr>
      <w:r>
        <w:rPr>
          <w:rFonts w:ascii="Tahoma" w:hAnsi="Tahoma" w:cs="Tahoma"/>
          <w:sz w:val="20"/>
          <w:szCs w:val="20"/>
        </w:rPr>
        <w:t xml:space="preserve">The present national HIV-prevention legislation in Tajikistan does not gather any data on MSM and trans people and does not have any programmes to provide HIV-services for those disadvantaged communities who have very distinct needs that are diverse from the heteronormative general public. Additionally, as visible from UNAIDS data collection, the reality of HIV prevalence in Tajikistan is very different from what the Tajikistan government thinks it is since its data collection and interpretation are faulty.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The Constitution of Tajikistan Article 5 states: “Life, honour, dignity, and other natural human rights are indefeasible.”</w:t>
      </w:r>
      <w:r>
        <w:rPr>
          <w:rStyle w:val="FootnoteAnchor"/>
          <w:rFonts w:ascii="Tahoma" w:hAnsi="Tahoma" w:cs="Tahoma"/>
          <w:sz w:val="20"/>
          <w:szCs w:val="20"/>
        </w:rPr>
        <w:footnoteReference w:id="10"/>
      </w:r>
      <w:r>
        <w:rPr>
          <w:rFonts w:ascii="Tahoma" w:hAnsi="Tahoma" w:cs="Tahoma"/>
          <w:sz w:val="20"/>
          <w:szCs w:val="20"/>
        </w:rPr>
        <w:t xml:space="preserve"> Article 36 of the Tajikistan Constitution defines that “[e]veryone has the right to healthcare. Everyone, within the boundaries defined by law, has the right to free medical care at state healthcare institutions.”</w:t>
      </w:r>
      <w:r>
        <w:rPr>
          <w:rStyle w:val="FootnoteAnchor"/>
          <w:rFonts w:ascii="Tahoma" w:hAnsi="Tahoma" w:cs="Tahoma"/>
          <w:sz w:val="20"/>
          <w:szCs w:val="20"/>
        </w:rPr>
        <w:footnoteReference w:id="11"/>
      </w:r>
      <w:r>
        <w:rPr>
          <w:rFonts w:ascii="Tahoma" w:hAnsi="Tahoma" w:cs="Tahoma"/>
          <w:sz w:val="20"/>
          <w:szCs w:val="20"/>
        </w:rPr>
        <w:t xml:space="preserve"> Unfortunately, the remnants of normative homophobia from Tajikistan’s past, the systemic homophobia that is still pertinent in governmental institutions, particularly, in law-enforcement and healthcare, require all vestiges of homophobic lexicon being eliminated from the current legislation and anti-discrimination norms to be introduced immediately in order to create a ban on discriminatory actions on the part of civil servants, medical workers and the public. MSM and trans persons are currently experiencing discrimination and abuse on the fundamental level of being denied their constitutional right to healthcare, which infringes their right to health. Because MSM and trans individuals have to live in constant stress and fear of being abused by the general public or civil servants, they are reluctant to turn for medical or legal protection to government institutions. In turn, not only are they forced into the dark by the stigma which already is a danger in itself, the inability to express their sexuality and identity forces them into unsafe life practices, including unsafe sex practice. MSM and trans people cannot acquire satisfactory healthcare services because of the danger to the secrecy of their health, including their HIV/AIDS status, or them being harassed or blackmailed by medical workers or law-enforcement officers. They cannot turn for protection to the police or other law-enforcers because they are afraid of additional abuse they will meet there. The combination of the mentioned factors creates a danger to the lives of MSM and trans people in the short or long run since not only they cannot receive regular healthcare and legal protection because of the danger of harassment, they are also discriminated against in receiving HIV-services that the country is bound to qualitatively provide to all, as per Tajikistan Healthcare Code article 163 para 2.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The right to health is a fundamental right of all people that should be unequivocally protected by all states, including Tajikistan. Article 25 section 1 of the Universal Declaration of Human Rights states that “everyone has the right to a standard of living adequate for the health and well-being of himself and of his family, including [...] medical care and necessary social services [...].”</w:t>
      </w:r>
      <w:r>
        <w:rPr>
          <w:rStyle w:val="FootnoteAnchor"/>
          <w:rFonts w:ascii="Tahoma" w:hAnsi="Tahoma" w:cs="Tahoma"/>
          <w:sz w:val="20"/>
          <w:szCs w:val="20"/>
        </w:rPr>
        <w:footnoteReference w:id="12"/>
      </w:r>
      <w:r>
        <w:rPr>
          <w:rFonts w:ascii="Tahoma" w:hAnsi="Tahoma" w:cs="Tahoma"/>
          <w:sz w:val="20"/>
          <w:szCs w:val="20"/>
        </w:rPr>
        <w:t xml:space="preserve"> In combination with the above-mentioned national and international norms, MSM and trans people are entitled to an adequate, healthy living standard in Tajikistan that should be ensured by the government without discrimination. However, high levels of social stigma and discriminatory practices of medical and law-enforcement institutions in relation to MSM and trans persons obstruct their right to health and, in turn, violate their right to an adequate standard of living and, eventually, endanger their lives. In conformity with the OHCHR Fact Sheet No. 31, among others, the right to health means that “non-discrimination is a key principle in human rights and is crucial to the enjoyment of the right to the highest attainable standard of health. [...] Non-discrimination and equality further imply that States must recognize and provide for the differences and specific needs of groups that generally face particular health challenges, such as higher mortality rates or vulnerability to specific diseases.”</w:t>
      </w:r>
      <w:r>
        <w:rPr>
          <w:rStyle w:val="FootnoteAnchor"/>
          <w:rFonts w:ascii="Tahoma" w:hAnsi="Tahoma" w:cs="Tahoma"/>
          <w:sz w:val="20"/>
          <w:szCs w:val="20"/>
        </w:rPr>
        <w:footnoteReference w:id="13"/>
      </w:r>
      <w:r>
        <w:rPr>
          <w:rFonts w:ascii="Tahoma" w:hAnsi="Tahoma" w:cs="Tahoma"/>
          <w:sz w:val="20"/>
          <w:szCs w:val="20"/>
        </w:rPr>
        <w:t xml:space="preserve"> Because of stigmatization and discrimination, MSM and trans people conclude a minority group that is vulnerable to increased health risks, including higher HIV-risks. Apart from this, the reality of living in perpetual fear of being abused by the general public, medical workers or law-enforcers already contradicts the Preamble of the World Health Organization’s Constitution, which outlines that health is “a state of complete physical, mental and social well-being and not merely the absence of disease or infirmity.”</w:t>
      </w:r>
      <w:r>
        <w:rPr>
          <w:rStyle w:val="FootnoteAnchor"/>
          <w:rFonts w:ascii="Tahoma" w:hAnsi="Tahoma" w:cs="Tahoma"/>
          <w:sz w:val="20"/>
          <w:szCs w:val="20"/>
        </w:rPr>
        <w:footnoteReference w:id="14"/>
      </w:r>
      <w:r>
        <w:rPr>
          <w:rFonts w:ascii="Tahoma" w:hAnsi="Tahoma" w:cs="Tahoma"/>
          <w:sz w:val="20"/>
          <w:szCs w:val="20"/>
        </w:rPr>
        <w:t xml:space="preserve">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In 2017, ECOM’s partner NGO in Tajikistan conducted its own research of cases of discrimination and persecution against MSM and trans people. Only ten (10) people officially reported to this NGO about them being abused in Tajikistan Centres for AIDS and healthcare facilities in several cities in Tajikistan; others were too reluctant to report anything because of being afraid of punishment for speaking out. In accordance with these ten cases, it became apparent that medical workers at Tajikistan Centres for AIDS and healthcare facilities: use homophobic and other degrading language; deny MSM and trans people getting HIV-services and care; forcefully throw them out of the facilities’ premises; extort money for providing HIV-services which are free as per Tajikistan law; breach confidentiality of their HIV status and privacy (SOGI). Whatever the dominant religion and whatever the dominant policy, no democratic morals would ever allow for degradation, humiliation, abuse, and resorting to violence against a peaceful person who is in need of care, especially, the care which is guaranteed by the state to them simply because it is a natural fundamental right.</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The breach of confidentiality when it comes to HIV and SOGI status is an alarming issue in Tajikistan. ECOM’s partner NGO reports that Centres for AIDS that receive HIV/AIDS-positive MSM or trans people know the formula behind the codes that are used for confidentiality and statistical purposes which are relevant for them separately as key population groups. When seeing the code that signifies the status of an MSM or a trans person, adding on to the HIV/AIDS-positive status, medical workers at Centres for AIDS resort to stigmatization and other discriminatory behaviour. Although the coding was designed to protect the people who turn to receive HIV-services, the knowledge of the relevancy of such codes has become a tool for hate in the hands of unconscientious medical workers.</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 xml:space="preserve">For example, one MSM reported to an LGBT NGO that he had been approached by a few policemen who tried to extort 1,000 USD from him and had blackmailed him by threatening to disclose his MSM status. In another case, a young gay male turned to an LGBT NGO based on a recommendation from his friend. This young man had been beaten up and degraded by his neighbours on a number of occasions; they also threatened to disclose his SOGI status. The young gay man did not even think about turning to the police or human rights organizations because of the high level of stigma and because of him thinking that he was somehow at fault for being gay and such social punishment was in order. After speaking to a legal counsel, the young man shared he found out that these attackers were actually acting illegally and learned that, in reality, he was at no fault for being gay and that he had the right to protect himself from such abuse. Because of there being no effective anti-discrimination legislative mechanisms, these victims have no means for remedying their violated rights. Non-heterosexual people are afraid to turn to medical facilities for any kind of medical help, including treating their injuries, or to law-enforcement for protection because they are afraid of receiving further abuse based there. Because of the absence of necessary laws and because of the government’s open homophobic and transphobic policies, medical workers are not afraid to exercise discrimination. Nonetheless, ECOM’s partner NGO on the spot reports that out of the above-mentioned 10 cases, four medical workers were fired and two were reprimanded as a result of the NGO helping the victims with their cases of discrimination. But the harm was already done: disclosure of a person’s HIV and SOGI status has highly detrimental long-term effects for a person’s life in Tajikistan.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 xml:space="preserve">Another highly disturbing issue is the situation with the right to health of MSM and trans people who are in prisons and other detention centres. As per the unofficial data from several NGOs that are engaged in attempts to make HIV-services accessible and available to all populations in Tajikistan detention centres, there is increased stigmatization and abuse present in relation to MSM and trans persons in such facilities. HIV-positive MSM are ostracized to the point of becoming cast-offs who live in utterly degrading conditions somewhere where they can be protected by the jailers from other inmates because confidentiality of their HIV-status had been breached and their “cases” are “marked” respectively. Also, due to coding and other leaks of information during HIV-testing, the sexual orientation and gender identity of MSM gets leaked to the inmate population. Such MSM are then forced to wear women’s clothing and “entertain” the others and are subjected to other violent acts by other inmates. The breach in confidentiality of their SOGI and/or HIV-status creates direct hazard to such people’s health and lives both on the parts of the detention facilities’ employees and inmates to whom the information gets leaked.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Tajikistan, in its Report (para 43), claims that it has a firm policy of non-discrimination. Keeping that in mind, a few facts should be brought to the Committee’s attention. The Helsinki Foundation and the International Partnership for Human Rights reported that Tajikistan, under the pretense “to prevent and combat offences against morality and amoral behaviour” launched operations “Morality” and “Purge” “targeting a wide range of people including LGBTs.”</w:t>
      </w:r>
      <w:r>
        <w:rPr>
          <w:rStyle w:val="FootnoteAnchor"/>
          <w:rFonts w:ascii="Tahoma" w:hAnsi="Tahoma" w:cs="Tahoma"/>
          <w:sz w:val="20"/>
          <w:szCs w:val="20"/>
        </w:rPr>
        <w:footnoteReference w:id="15"/>
      </w:r>
      <w:r>
        <w:rPr>
          <w:rFonts w:ascii="Tahoma" w:hAnsi="Tahoma" w:cs="Tahoma"/>
          <w:sz w:val="20"/>
          <w:szCs w:val="20"/>
        </w:rPr>
        <w:t xml:space="preserve"> Considering the fact that the practice is ongoing, Tajikistan’s claims that equality is ensured and inactivity over the past two reporting periods to adopt an all-inclusive anti-discrimination legislative framework seems intentional. The “campaigns” include seeking out LGBT people and including them in a registry. Not only is such a registry a virtual witch hunt and violates a plethora of fundamental human rights and freedoms by itself, the Tajikistan government has also been proven to use the registry for blackmail, extortion, rape and other abuse of the LGBT via that registry.</w:t>
      </w:r>
      <w:r>
        <w:rPr>
          <w:rStyle w:val="FootnoteAnchor"/>
          <w:rFonts w:ascii="Tahoma" w:hAnsi="Tahoma" w:cs="Tahoma"/>
          <w:sz w:val="20"/>
          <w:szCs w:val="20"/>
        </w:rPr>
        <w:footnoteReference w:id="16"/>
      </w:r>
      <w:r>
        <w:rPr>
          <w:rFonts w:ascii="Tahoma" w:hAnsi="Tahoma" w:cs="Tahoma"/>
          <w:sz w:val="20"/>
          <w:szCs w:val="20"/>
        </w:rPr>
        <w:t xml:space="preserve"> The Report by Helsinki Foundation brings a set of other atrocities the Tajikistan police exercise against the LGBT, like torture, degrading treatment, rape, and others.</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“Радио Озоди” (“Radio Freedom”), in 2019, reported that the Tajik Ombudsman had officially declined all the recommendations of international organizations regarding the enhancement of the human rights situation regarding sexual minorities.</w:t>
      </w:r>
      <w:r>
        <w:rPr>
          <w:rStyle w:val="FootnoteAnchor"/>
          <w:rFonts w:ascii="Tahoma" w:hAnsi="Tahoma" w:cs="Tahoma"/>
          <w:sz w:val="20"/>
          <w:szCs w:val="20"/>
        </w:rPr>
        <w:footnoteReference w:id="17"/>
      </w:r>
      <w:r>
        <w:rPr>
          <w:rFonts w:ascii="Tahoma" w:hAnsi="Tahoma" w:cs="Tahoma"/>
          <w:sz w:val="20"/>
          <w:szCs w:val="20"/>
        </w:rPr>
        <w:t xml:space="preserve"> The Head Psychiatrist of Tajikistan considers homosexuality to be a psychiatric disorder that requires treatment which he and his colleagues provide with a guaranteed result of curing — an opinion he has shared officially.</w:t>
      </w:r>
      <w:r>
        <w:rPr>
          <w:rStyle w:val="FootnoteAnchor"/>
          <w:rFonts w:ascii="Tahoma" w:hAnsi="Tahoma" w:cs="Tahoma"/>
          <w:sz w:val="20"/>
          <w:szCs w:val="20"/>
        </w:rPr>
        <w:footnoteReference w:id="18"/>
      </w:r>
      <w:r>
        <w:rPr>
          <w:rFonts w:ascii="Tahoma" w:hAnsi="Tahoma" w:cs="Tahoma"/>
          <w:sz w:val="20"/>
          <w:szCs w:val="20"/>
        </w:rPr>
        <w:t xml:space="preserve"> Non-consensual medication and forced treatment of homosexuality has been internationally acknowledged as torture and inhumane treatment. In that regard, the Independent Forensic Expert Group has concluded that “[all] practices attempting conversion are inherently humiliating, demeaning and discriminatory. The combined effects of feeling powerless and extreme humiliation generate profound feelings of shame, guilt, self-disgust, and worthlessness, which can result in a damaged self-concept and enduring personality changes. The injury caused by practices of ‘conversion therapy’ begins with the notion that an individual is sick, diseased, and abnormal due to their sexual orientation or gender identity and must therefore be treated. This starts a process of victimization.”</w:t>
      </w:r>
      <w:r>
        <w:rPr>
          <w:rStyle w:val="FootnoteAnchor"/>
          <w:rFonts w:ascii="Tahoma" w:hAnsi="Tahoma" w:cs="Tahoma"/>
          <w:sz w:val="20"/>
          <w:szCs w:val="20"/>
        </w:rPr>
        <w:footnoteReference w:id="19"/>
      </w:r>
      <w:r>
        <w:rPr>
          <w:rFonts w:ascii="Tahoma" w:hAnsi="Tahoma" w:cs="Tahoma"/>
          <w:sz w:val="20"/>
          <w:szCs w:val="20"/>
        </w:rPr>
        <w:t xml:space="preserve"> Considering the fact that the person who is in charge of the Tajikistan policies in psychiatry, Head Psychiatrist, and that the person that is to uphold the high standards of human rights and freedoms, Ombudsman, both consider homosexuality to be a disease or a disorder, the risk for discriminatory and violent policies against the LGBT in Tajikistan is pertinent and growing. Setting the Tajikistan Ombudsman aside, the Head Psychiatrist of Tajikistan falls significantly behind the developments of psychiatry and psychology, since homosexuality was removed from the list of psychiatric and psychological disorders by WHO back in 1992.</w:t>
      </w:r>
      <w:r>
        <w:rPr>
          <w:rStyle w:val="FootnoteAnchor"/>
          <w:rFonts w:ascii="Tahoma" w:hAnsi="Tahoma" w:cs="Tahoma"/>
          <w:sz w:val="20"/>
          <w:szCs w:val="20"/>
        </w:rPr>
        <w:footnoteReference w:id="20"/>
      </w:r>
      <w:r>
        <w:rPr>
          <w:rFonts w:ascii="Tahoma" w:hAnsi="Tahoma" w:cs="Tahoma"/>
          <w:sz w:val="20"/>
          <w:szCs w:val="20"/>
        </w:rPr>
        <w:t xml:space="preserve"> Such high-profile governmental officials who incite hatred and discrimination against a minority group, in this case, against the LGBT, mirror the Tajikistan governments “green light” for homophobic and transphobic policies.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 xml:space="preserve">MSM and trans people, as two internationally acknowledged key population groups when it comes to HIV, have to be included in the Tajikistan national HIV-prevention policy permanently. Currently, apart from the fact that they are not receiving qualitative, accessible, and adequate HIV-services based on their needs, there are no funds allocated to accommodate the particularities of them being a minority group. No funds under the Tajikistan national HIV-prevention policy are allocated to raise the awareness and education of the police and medical workers regarding sexual orientation, gender identity and nuances of working with this vulnerable group, particularly, in terms of HIV-prevention. On top of there being no effective anti-discrimination legislation to protect MSM and trans persons from discrimination based on SOGIGE, there are no policies and funds to educate the medical workers, law-enforcement officers and the general public on these matters and to decrease stigmatization and discrimination on their part.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tabs>
          <w:tab w:val="left" w:pos="1689"/>
        </w:tabs>
        <w:spacing w:line="242" w:lineRule="auto"/>
        <w:ind w:right="826"/>
        <w:jc w:val="both"/>
      </w:pPr>
      <w:r>
        <w:rPr>
          <w:rFonts w:ascii="Tahoma" w:hAnsi="Tahoma" w:cs="Tahoma"/>
          <w:b/>
          <w:sz w:val="28"/>
          <w:szCs w:val="28"/>
        </w:rPr>
        <w:t>Trans People’s Health</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Apart from the issues mentioned above, trans persons in Tajikistan remain to be the most vulnerable minority group, one that is virtually absent from the national legislation. Their personal views on their own lives, in terms of the right to privacy and gender expression, are ignored by the Tajikistan law. Again, as defined by the Preamble of the WHO Constitution, health “is a state of complete physical, mental and social well-being and not merely the absence of disease or infirmity.”</w:t>
      </w:r>
      <w:r>
        <w:rPr>
          <w:rStyle w:val="FootnoteAnchor"/>
          <w:rFonts w:ascii="Tahoma" w:hAnsi="Tahoma" w:cs="Tahoma"/>
          <w:sz w:val="20"/>
          <w:szCs w:val="20"/>
        </w:rPr>
        <w:footnoteReference w:id="21"/>
      </w:r>
      <w:r>
        <w:rPr>
          <w:rFonts w:ascii="Tahoma" w:hAnsi="Tahoma" w:cs="Tahoma"/>
          <w:sz w:val="20"/>
          <w:szCs w:val="20"/>
        </w:rPr>
        <w:t xml:space="preserve"> People are unique in their character, development, and personality. Some are born into a birth-assigned sex in which they feel utterly uncomfortable because their mental state, character, and individuality does not coincide with the socially established behaviour that the society ascribes to either of the two biological human sexes. Behaviour, after all, is something a person develops to communicate their “self” with the world and not something that is inscribed in their DNA automatically. In an exemplary case, </w:t>
      </w:r>
      <w:r>
        <w:rPr>
          <w:rFonts w:ascii="Tahoma" w:hAnsi="Tahoma" w:cs="Tahoma"/>
          <w:i/>
          <w:sz w:val="20"/>
          <w:szCs w:val="20"/>
        </w:rPr>
        <w:t>A.R. Coeriel and M.A.R. Aurik v. The Netherlands</w:t>
      </w:r>
      <w:r>
        <w:rPr>
          <w:rFonts w:ascii="Tahoma" w:hAnsi="Tahoma" w:cs="Tahoma"/>
          <w:sz w:val="20"/>
          <w:szCs w:val="20"/>
        </w:rPr>
        <w:t xml:space="preserve">, the HRCtee observed that, </w:t>
      </w:r>
      <w:r>
        <w:rPr>
          <w:rFonts w:ascii="Tahoma" w:hAnsi="Tahoma" w:cs="Tahoma"/>
          <w:i/>
          <w:sz w:val="20"/>
          <w:szCs w:val="20"/>
        </w:rPr>
        <w:t>inter alia</w:t>
      </w:r>
      <w:r>
        <w:rPr>
          <w:rFonts w:ascii="Tahoma" w:hAnsi="Tahoma" w:cs="Tahoma"/>
          <w:sz w:val="20"/>
          <w:szCs w:val="20"/>
        </w:rPr>
        <w:t>, article 17 of the Covenant includes “the notion of privacy [that] refers to the sphere of a person's life in which he or she can freely express his or her identity, be it by entering into relationships with others or alone.”</w:t>
      </w:r>
      <w:r>
        <w:rPr>
          <w:rStyle w:val="FootnoteAnchor"/>
          <w:rFonts w:ascii="Tahoma" w:hAnsi="Tahoma" w:cs="Tahoma"/>
          <w:sz w:val="20"/>
          <w:szCs w:val="20"/>
        </w:rPr>
        <w:footnoteReference w:id="22"/>
      </w:r>
      <w:r>
        <w:rPr>
          <w:rFonts w:ascii="Tahoma" w:hAnsi="Tahoma" w:cs="Tahoma"/>
          <w:sz w:val="20"/>
          <w:szCs w:val="20"/>
        </w:rPr>
        <w:t xml:space="preserve"> Section 3 Article 10 of the Tajikistan Constitution indicates that “international legal acts, acknowledged by Tajikistan, are a part of the republic’s legal system. In case of a contradiction between the republic’s laws and the acknowledged international legal acts, the norms of the acknowledged legal acts are to be used.”</w:t>
      </w:r>
      <w:r>
        <w:rPr>
          <w:rStyle w:val="FootnoteAnchor"/>
          <w:rFonts w:ascii="Tahoma" w:hAnsi="Tahoma" w:cs="Tahoma"/>
          <w:sz w:val="20"/>
          <w:szCs w:val="20"/>
        </w:rPr>
        <w:footnoteReference w:id="23"/>
      </w:r>
      <w:r>
        <w:rPr>
          <w:rFonts w:ascii="Tahoma" w:hAnsi="Tahoma" w:cs="Tahoma"/>
          <w:sz w:val="20"/>
          <w:szCs w:val="20"/>
        </w:rPr>
        <w:t xml:space="preserve"> The Tajikistan Constitution does not regulate or define its relation to the right to privacy, which means that the general privacy provisions under Tajikistan’s international treaties are to be used.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 xml:space="preserve">Further on, </w:t>
      </w:r>
      <w:r>
        <w:rPr>
          <w:rFonts w:ascii="Tahoma" w:hAnsi="Tahoma" w:cs="Tahoma"/>
          <w:i/>
          <w:sz w:val="20"/>
          <w:szCs w:val="20"/>
        </w:rPr>
        <w:t xml:space="preserve">A.R. Coeriel and M.A.R. Aurik v. The Netherlands </w:t>
      </w:r>
      <w:r>
        <w:rPr>
          <w:rFonts w:ascii="Tahoma" w:hAnsi="Tahoma" w:cs="Tahoma"/>
          <w:sz w:val="20"/>
          <w:szCs w:val="20"/>
        </w:rPr>
        <w:t xml:space="preserve">mentions that “The Committee is of the view that a person's surname constitutes an important component of one's identity and that the protection against arbitrary or unlawful interference with one's privacy includes the protection against arbitrary or unlawful interference with the right to choose and change one’s own name.” Defining one’s name to accommodate one’s desire to communicate with the world as effectively and sustainably as possible in conformity with one’s gender identity and without any express or implied harm to others is crucial in ensuring the protection of such a person’s right to (mental) health and privacy. In </w:t>
      </w:r>
      <w:r>
        <w:rPr>
          <w:rFonts w:ascii="Tahoma" w:hAnsi="Tahoma" w:cs="Tahoma"/>
          <w:i/>
          <w:sz w:val="20"/>
          <w:szCs w:val="20"/>
        </w:rPr>
        <w:t xml:space="preserve">Christine Goodwin v. the UK, </w:t>
      </w:r>
      <w:r>
        <w:rPr>
          <w:rFonts w:ascii="Tahoma" w:hAnsi="Tahoma" w:cs="Tahoma"/>
          <w:sz w:val="20"/>
          <w:szCs w:val="20"/>
        </w:rPr>
        <w:t>the European Court of Human Rights emphasized that “[the] stress and alienation arising from a discordance between the position in society assumed by a post-operative transsexual and the status imposed by law which refuses to recognise the change of gender cannot, in the Court's view, be regarded as a minor inconvenience arising from a formality. A conflict between social reality and law arises which places the transsexual in an anomalous position, in which he or she may experience feelings of vulnerability, humiliation and anxiety.”</w:t>
      </w:r>
      <w:r>
        <w:rPr>
          <w:rStyle w:val="FootnoteAnchor"/>
          <w:rFonts w:ascii="Tahoma" w:hAnsi="Tahoma" w:cs="Tahoma"/>
          <w:sz w:val="20"/>
          <w:szCs w:val="20"/>
        </w:rPr>
        <w:footnoteReference w:id="24"/>
      </w:r>
      <w:r>
        <w:rPr>
          <w:rFonts w:ascii="Tahoma" w:hAnsi="Tahoma" w:cs="Tahoma"/>
          <w:sz w:val="20"/>
          <w:szCs w:val="20"/>
        </w:rPr>
        <w:t xml:space="preserve"> Also, WHO has excluded gender dysphoria from the list of its mental and behavioural disorders.</w:t>
      </w:r>
      <w:r>
        <w:rPr>
          <w:rStyle w:val="FootnoteAnchor"/>
          <w:rFonts w:ascii="Tahoma" w:hAnsi="Tahoma" w:cs="Tahoma"/>
          <w:sz w:val="20"/>
          <w:szCs w:val="20"/>
        </w:rPr>
        <w:footnoteReference w:id="25"/>
      </w:r>
      <w:r>
        <w:rPr>
          <w:rFonts w:ascii="Tahoma" w:hAnsi="Tahoma" w:cs="Tahoma"/>
          <w:sz w:val="20"/>
          <w:szCs w:val="20"/>
        </w:rPr>
        <w:t xml:space="preserve"> The Committee on Economic, Social, and Cultural Rights has stated many times, and officially to boot, that Article 2 includes SOGI. “States parties should ensure that a person’s sexual orientation is not a barrier to realizing Covenant rights, for example, in accessing survivor’s pension rights. In addition, gender identity is recognized as among the prohibited grounds of discrimination; for example, persons who are transgender, transsexual or intersex often face serious human rights violations, such as harassment in schools or in the workplace. Any person, based on the availability of a strong discord between their gender identity that contradicts their birth-assigned sex, should be entitled to opt for another identity that will ensure their healthy development as a human being and the state — Tajikistan — should help them in their transition in the spirit of observing equality of all people before the law and tend to the interests of those who come out as underrepresented.”</w:t>
      </w:r>
      <w:r>
        <w:rPr>
          <w:rStyle w:val="FootnoteAnchor"/>
          <w:rFonts w:ascii="Tahoma" w:hAnsi="Tahoma" w:cs="Tahoma"/>
          <w:sz w:val="20"/>
          <w:szCs w:val="20"/>
        </w:rPr>
        <w:footnoteReference w:id="26"/>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 xml:space="preserve">For the purposes of security, as previously, the name of the organization shall remain undisclosed but the reports forwarded by it to ECOM include exemplary information pertaining to transphobia in Tajikistan. Notably, a trans initiative reported that, after having conducted 40 (fourty) in-depth interviews with trans persons, their responses allowed singling out primary concerns of this minority group: security and access to legal services; access to qualitative medical professionals to receive care, access to gender confirmation procedures. In other words, trans persons in Tajikistan are denied their fundamental rights and freedoms because of discrimination based on gender identity and gender expression.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 xml:space="preserve">At present, Tajikistan law has no procedure that would ensure a trans person’s right to receive a civil document that conforms to their chosen gender identity. There is no legislation that would govern the procedure of gender confirmation and/or sex reassignment in terms of medical, social, and legal assistance. There is no possibility for trans people to acquire civil registrar or other legal documents that would reflect their transition and confirm the gender identity of their choice if they have decided to transition. According to ECOM’s </w:t>
      </w:r>
      <w:r>
        <w:rPr>
          <w:rFonts w:ascii="Tahoma" w:hAnsi="Tahoma" w:cs="Tahoma"/>
          <w:i/>
          <w:sz w:val="20"/>
          <w:szCs w:val="20"/>
        </w:rPr>
        <w:t>Legislative Analysis Related to LGBTQ Rights and HIV in 11 CEECA Countries 2018</w:t>
      </w:r>
      <w:r>
        <w:rPr>
          <w:rFonts w:ascii="Tahoma" w:hAnsi="Tahoma" w:cs="Tahoma"/>
          <w:sz w:val="20"/>
          <w:szCs w:val="20"/>
        </w:rPr>
        <w:t>, the only case when gender reassignment option is mentioned in laws is the Law of the Republic of Tajikistan “On the Civil Registration Procedure.” Article 74 of that law states:</w:t>
      </w:r>
      <w:r>
        <w:rPr>
          <w:rFonts w:ascii="Tahoma" w:hAnsi="Tahoma" w:cs="Tahoma"/>
          <w:i/>
          <w:sz w:val="20"/>
          <w:szCs w:val="20"/>
        </w:rPr>
        <w:t xml:space="preserve"> </w:t>
      </w:r>
      <w:r>
        <w:rPr>
          <w:rFonts w:ascii="Tahoma" w:hAnsi="Tahoma" w:cs="Tahoma"/>
          <w:sz w:val="20"/>
          <w:szCs w:val="20"/>
        </w:rPr>
        <w:t>“Conclusion of the civil registration office on introducing corrections, amendments or additions to the civil status act shall be made by a civil registration body if [...] a document on gender reassignment issued by a healthcare institution in a set format is submitted.” All other aspects remain unsettled as there is no procedure to issue such documents “in the set format,” no agency authorized to issue such documents, and, finally, no set format for such documents to be issued.</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Apart from this, there are also no medical protocols for managing trans patients and no doctors qualified to provide medical services to trans people. Besides, doctors refuse to work with trans people arguing that they lack the necessary regulatory framework, which is why, as reported by trans persons to ECOM, they have to leave for Russia or other countries. In 2019, two trans persons turned to one of the governmental clinics in Dushanbe seeking help from a psychotherapist and an endocrinologist. They required certificates from these two health areas in order to commence their gender transition and to receive other documents which would be necessary later to alter their passports as a result of the transition. “This is no place for the likes of you,” is what these trans persons received in response. After the verbal abuse ended, other, more lenient medical workers said that they could not provide them with the medical assistance and respective documents because the law-enforcement would then question the medical facilities’ workers and trouble would arise.</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The predominant majority of homophobic and transphobic cases remain undocumented or unreported because of high levels of stigma. Developing a comprehensive regulation that would govern the procedure of gender confirmation and gender reassignment is a part of the trans persons’ right to health and privacy. Because of the inability to express themselves, they live in constant stress, anxiety, and misery that turn their lives into living hell because of their fragile and strained mental state which is then translated into their declining physiological state. In addition, they are subjected to transphobia by the general public, medical workers and law-enforcers because neither of those consider them as healthy, adequate human beings Trans. Additionally, trans persons are universally acknowledged as a key population group at an especially high HIV-risk.</w:t>
      </w:r>
      <w:r>
        <w:rPr>
          <w:rStyle w:val="FootnoteAnchor"/>
          <w:rFonts w:ascii="Tahoma" w:hAnsi="Tahoma" w:cs="Tahoma"/>
          <w:sz w:val="20"/>
          <w:szCs w:val="20"/>
        </w:rPr>
        <w:footnoteReference w:id="27"/>
      </w:r>
      <w:r>
        <w:rPr>
          <w:rFonts w:ascii="Tahoma" w:hAnsi="Tahoma" w:cs="Tahoma"/>
          <w:sz w:val="20"/>
          <w:szCs w:val="20"/>
        </w:rPr>
        <w:t xml:space="preserve"> Not only are trans people denied regular civil and medical services, they are also overlooked by the Tajikistan government’s HIV-prevention policy. Tran people cannot receive HIV-service in the same way as heterosexual people come to receive them in Centres for AIDS because they are sure to meet discrimination and abuse there, as reported by cases above.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tabs>
          <w:tab w:val="left" w:pos="1689"/>
        </w:tabs>
        <w:spacing w:line="242" w:lineRule="auto"/>
        <w:ind w:right="826"/>
        <w:jc w:val="both"/>
      </w:pPr>
      <w:r>
        <w:rPr>
          <w:rFonts w:ascii="Tahoma" w:hAnsi="Tahoma" w:cs="Tahoma"/>
          <w:b/>
          <w:sz w:val="28"/>
          <w:szCs w:val="28"/>
        </w:rPr>
        <w:t>Education and Sensitization</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 xml:space="preserve">Article 13 of the Covenant proclaims that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 However, what is really being promoted in Tajikistan when it comes to one’s privacy, freedom of self-determination and sexuality </w:t>
      </w:r>
      <w:r>
        <w:rPr>
          <w:rFonts w:ascii="Tahoma" w:eastAsia="Tahoma" w:hAnsi="Tahoma" w:cs="Tahoma"/>
          <w:sz w:val="20"/>
          <w:szCs w:val="20"/>
        </w:rPr>
        <w:t>—</w:t>
      </w:r>
      <w:r>
        <w:rPr>
          <w:rFonts w:ascii="Tahoma" w:hAnsi="Tahoma" w:cs="Tahoma"/>
          <w:sz w:val="20"/>
          <w:szCs w:val="20"/>
        </w:rPr>
        <w:t xml:space="preserve"> is hate. Topics of sexual and reproductive health are frowned upon during family meetings, in public, in schools, and on television. There is no room for contemporary progressive and scientifically based conversation when it comes to sex education in Tajikistan, although it is crucial to a person’s healthy human development. Not only that, the right to education is inalienable from the right to the highest attainable standard of physical and mental health: “For example, the right to sexual and reproductive health, combined with the right to education (articles 13 and 14) and the right to non-discrimination and equality between men and women (articles 2 (2) and 3), entails a right to education on sexuality and reproduction that is comprehensive, non-discriminatory, evidence-based, scientifically accurate and age appropriate.”</w:t>
      </w:r>
      <w:r>
        <w:rPr>
          <w:rStyle w:val="FootnoteAnchor"/>
          <w:rFonts w:ascii="Tahoma" w:hAnsi="Tahoma" w:cs="Tahoma"/>
          <w:sz w:val="20"/>
          <w:szCs w:val="20"/>
        </w:rPr>
        <w:footnoteReference w:id="28"/>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As per the practice of UN Treaty Bodies, trans men and trans women are considered as men and women, not as something third, and everyone is entitled to the same rights regardless of their SOGIGE status. “The right to sexual and reproductive health entails a set of freedoms and entitlements. The freedoms include the right to make free and responsible decisions and choices, free of violence, coercion and discrimination, regarding matters concerning one’s body and sexual and reproductive health. The entitlements include unhindered access to a whole range of health facilities, goods, services and information, which ensure all people full enjoyment of the right to sexual and reproductive health under article 12 of the Covenant.”</w:t>
      </w:r>
      <w:r>
        <w:rPr>
          <w:rStyle w:val="FootnoteAnchor"/>
          <w:rFonts w:ascii="Tahoma" w:hAnsi="Tahoma" w:cs="Tahoma"/>
          <w:sz w:val="20"/>
          <w:szCs w:val="20"/>
        </w:rPr>
        <w:footnoteReference w:id="29"/>
      </w:r>
      <w:r>
        <w:rPr>
          <w:rFonts w:ascii="Tahoma" w:hAnsi="Tahoma" w:cs="Tahoma"/>
          <w:sz w:val="20"/>
          <w:szCs w:val="20"/>
        </w:rPr>
        <w:t xml:space="preserve"> Nonetheless, topics of sexual and reproductive health are still an area of discomfort and hostility in Tajikistan. As usual, “traditional values” and “morality” are taken up against the LGBT and sex education.</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Morals, family and traditional values universally appreciated by the international community refer to universal principles of kindness, respect for one another, compassion, and peacefulness. The HRC Advisory Committee’s Study A/HRC/22/71 states that “[h]uman rights have moral universality, since human rights are held universally by all persons ‘simply because one is a human being’, and international normative universality, meaning that human rights are universally accepted by Governments through their commitments and obligations under international human rights law.”</w:t>
      </w:r>
      <w:r>
        <w:rPr>
          <w:rStyle w:val="FootnoteAnchor"/>
          <w:rFonts w:ascii="Tahoma" w:hAnsi="Tahoma" w:cs="Tahoma"/>
          <w:sz w:val="20"/>
          <w:szCs w:val="20"/>
        </w:rPr>
        <w:footnoteReference w:id="30"/>
      </w:r>
      <w:r>
        <w:rPr>
          <w:rFonts w:ascii="Tahoma" w:hAnsi="Tahoma" w:cs="Tahoma"/>
          <w:sz w:val="20"/>
          <w:szCs w:val="20"/>
        </w:rPr>
        <w:t xml:space="preserve"> Tajikistan recognized the authority and the rights enclosed in the Covenant of its own free will. Further, the Study explains that “[n]o one may invoke cultural diversity as an excuse to infringe on human rights guaranteed by international law or limit their scope [...to] seek to sanctify differences that run counter to the universality, indivisibility and interdependence of human rights.”</w:t>
      </w:r>
      <w:r>
        <w:rPr>
          <w:rStyle w:val="FootnoteAnchor"/>
          <w:rFonts w:ascii="Tahoma" w:hAnsi="Tahoma" w:cs="Tahoma"/>
          <w:sz w:val="20"/>
          <w:szCs w:val="20"/>
        </w:rPr>
        <w:footnoteReference w:id="31"/>
      </w:r>
      <w:r>
        <w:rPr>
          <w:rFonts w:ascii="Tahoma" w:hAnsi="Tahoma" w:cs="Tahoma"/>
          <w:sz w:val="20"/>
          <w:szCs w:val="20"/>
        </w:rPr>
        <w:t xml:space="preserve"> Therefore, any appellation to the “traditional values” or “family values” or “morality” to limit the rights of the LGBT contradicts the obligations Tajikistan took upon itself under the Covenant and its other human rights international treaties.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 xml:space="preserve">In light of all the mentioned cases, statistics, and legislative analyses, it becomes apparent that the predominant reason for stigma and discrimination of the LGBT in Tajikistan is absence of education and low awareness on the matters of sexual and reproductive health, as well as gender issues and overall SOGI-based awareness. It would be plausible for Tajikistan to tailor national programmes that will focus on educating the medical staff and law-enforcement officers about gender and LGBT issues, and about working with LGBT PLHIV. It also needs to lower the unnecessary legal scrutiny for NGOs and invest in supporting LGBT NGOs financially to raise the awareness about HIV for LGBT and decrease the public stigma. Not only are MSM and trans people undereducated and scared to undergo regular HIV screening and/or treatment and exercise safe sex practices, they are afraid to turn for regular medical or legal aid, fearing abuse. The current alternative report provides more than enough reasons for them to believe that. The State Party needs a unified scientifically based position on the matter which would allow for adopting education and sensitization programmes for its civil servants and medical workers to decrease stigma and increase the effectiveness of human rights observation. </w:t>
      </w:r>
    </w:p>
    <w:p w:rsidR="005B71BC" w:rsidRDefault="005B71BC">
      <w:pPr>
        <w:tabs>
          <w:tab w:val="left" w:pos="1689"/>
        </w:tabs>
        <w:spacing w:line="242" w:lineRule="auto"/>
        <w:ind w:right="826"/>
        <w:jc w:val="both"/>
        <w:rPr>
          <w:rFonts w:ascii="Tahoma" w:hAnsi="Tahoma" w:cs="Tahoma"/>
          <w:sz w:val="20"/>
          <w:szCs w:val="20"/>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When it comes to sex education and SOGI issues awareness, children are often scared to ask questions related to that area; the school staff is undereducated as well. The discriminatory stereotypes that are voiced by the family, media, peers, or other public figures are taken at face value and critical thought is met with hostility. The government needs to adopt a contemporary, scientifically driven educational curriculum regarding sexual and reproductive health and SOGI issues awareness for children at schools, which will not be simply focused on girls not becoming teenage parents. This has to be an awareness-raising and positively educational curriculum that will encompass issues of sexual identity, hygiene, gender, gender identity and expression, sexual orientation, friendliness and non-hostility towards people who have different sexual needs, and, of course, sexual health and reproductive health and safety during sex, and other sex health related issues. The Tajikistan government should also introduce, on a national scale, issues of sexual orientation and gender identity, as well as PLHIV issues, into the mandatory curriculum of medical students of all specializations. It is on these levels, during secondary and higher education, that roots of stigma and discrimination towards LGBT and PLHIV take place. By providing not only the currently working medical and law-enforcement staff with contemporary education and awareness-raising regarding those topics but also educating the future generations based on actual scientific data and not discriminatory stereotypes will result in a broad positive impact across the general public and the LGBT community.</w:t>
      </w:r>
    </w:p>
    <w:p w:rsidR="005B71BC" w:rsidRDefault="005B71BC">
      <w:pPr>
        <w:tabs>
          <w:tab w:val="left" w:pos="1689"/>
        </w:tabs>
        <w:spacing w:line="242" w:lineRule="auto"/>
        <w:ind w:right="826"/>
        <w:jc w:val="both"/>
        <w:rPr>
          <w:rFonts w:ascii="Tahoma" w:hAnsi="Tahoma" w:cs="Tahoma"/>
          <w:sz w:val="18"/>
          <w:szCs w:val="18"/>
        </w:rPr>
      </w:pPr>
    </w:p>
    <w:p w:rsidR="005B71BC" w:rsidRDefault="003369B5">
      <w:pPr>
        <w:tabs>
          <w:tab w:val="left" w:pos="1689"/>
        </w:tabs>
        <w:spacing w:line="242" w:lineRule="auto"/>
        <w:ind w:right="826"/>
        <w:jc w:val="both"/>
      </w:pPr>
      <w:r>
        <w:rPr>
          <w:rFonts w:ascii="Tahoma" w:hAnsi="Tahoma" w:cs="Tahoma"/>
          <w:b/>
          <w:sz w:val="28"/>
          <w:szCs w:val="28"/>
        </w:rPr>
        <w:t>Concluding Note</w:t>
      </w:r>
    </w:p>
    <w:p w:rsidR="005B71BC" w:rsidRDefault="005B71BC">
      <w:pPr>
        <w:tabs>
          <w:tab w:val="left" w:pos="1689"/>
        </w:tabs>
        <w:spacing w:line="242" w:lineRule="auto"/>
        <w:ind w:right="826"/>
        <w:jc w:val="both"/>
        <w:rPr>
          <w:rFonts w:ascii="Tahoma" w:hAnsi="Tahoma" w:cs="Tahoma"/>
          <w:sz w:val="18"/>
          <w:szCs w:val="18"/>
        </w:rPr>
      </w:pPr>
    </w:p>
    <w:p w:rsidR="005B71BC" w:rsidRDefault="003369B5">
      <w:pPr>
        <w:numPr>
          <w:ilvl w:val="1"/>
          <w:numId w:val="1"/>
        </w:numPr>
        <w:tabs>
          <w:tab w:val="left" w:pos="1689"/>
        </w:tabs>
        <w:spacing w:line="242" w:lineRule="auto"/>
        <w:ind w:left="1120" w:right="826" w:firstLine="5"/>
        <w:jc w:val="both"/>
      </w:pPr>
      <w:r>
        <w:rPr>
          <w:rFonts w:ascii="Tahoma" w:hAnsi="Tahoma" w:cs="Tahoma"/>
          <w:sz w:val="20"/>
          <w:szCs w:val="20"/>
        </w:rPr>
        <w:t>Article 1 of the Tajikistan Constitution proudly proclaims: “The Republic of Tajikistan is a sovereign, democratic, legal, secular, and unitarian state. Being a social state, Tajikistan creates the conditions that ensure an exalted life and free development of every person.”</w:t>
      </w:r>
      <w:r>
        <w:rPr>
          <w:rStyle w:val="FootnoteAnchor"/>
          <w:rFonts w:ascii="Tahoma" w:hAnsi="Tahoma" w:cs="Tahoma"/>
          <w:sz w:val="20"/>
          <w:szCs w:val="20"/>
        </w:rPr>
        <w:footnoteReference w:id="32"/>
      </w:r>
      <w:r>
        <w:rPr>
          <w:rFonts w:ascii="Tahoma" w:hAnsi="Tahoma" w:cs="Tahoma"/>
          <w:sz w:val="20"/>
          <w:szCs w:val="20"/>
        </w:rPr>
        <w:t xml:space="preserve"> Being a democratic state does not imply a free-for-all. Laws are created to create boundaries and frameworks for people to live in that would ensure them from delving into chaos, on the one hand, and, on the other, would allow them to thrive. Article 8 of the Constitution governs that “the public life in Tajikistan develops on the premises of political and ideological pluralism.”</w:t>
      </w:r>
      <w:r>
        <w:rPr>
          <w:rStyle w:val="FootnoteAnchor"/>
          <w:rFonts w:ascii="Tahoma" w:hAnsi="Tahoma" w:cs="Tahoma"/>
          <w:sz w:val="20"/>
          <w:szCs w:val="20"/>
        </w:rPr>
        <w:footnoteReference w:id="33"/>
      </w:r>
      <w:r>
        <w:rPr>
          <w:rFonts w:ascii="Tahoma" w:hAnsi="Tahoma" w:cs="Tahoma"/>
          <w:sz w:val="20"/>
          <w:szCs w:val="20"/>
        </w:rPr>
        <w:t xml:space="preserve"> The attempts of the government to conceal the issue of discrimination of the LGBT and its active persecution of them with the use of verbal and physical abuse, extortion, blackmail and non-consensual “therapies” or other actions to “cure” homosexuality are beyond any internationally acknowledged principles of observation of fundamental human rights and freedoms. Based on the Committee’s practice and the Covenant, the LGBT are protected equally like any other people. In light of the above, the LGBT in Tajikistan are denied their right to non-discrimination, right to health, right to privacy, right to education, and right to life, as a result, because the state impedes their natural right to ensure the highest attainable standard of health and development in the Republic of Tajikistan. Because they are denied a framework of protection of their rights based on sexual orientation and gender identity as attributes that are universally protected by the Covenant, the international obligations of which Tajikistan has acknowledged; and because the Tajikistan government persecutes MSM and trans persons under outrageous policies, it allows for the above-mentioned and many more cases of violation to happen to these innocent people who are denied their natural, fundamental rights and freedoms. </w:t>
      </w:r>
    </w:p>
    <w:p w:rsidR="005B71BC" w:rsidRDefault="005B71BC">
      <w:pPr>
        <w:tabs>
          <w:tab w:val="left" w:pos="1689"/>
        </w:tabs>
        <w:spacing w:line="242" w:lineRule="auto"/>
        <w:ind w:right="826"/>
        <w:jc w:val="both"/>
        <w:rPr>
          <w:rFonts w:ascii="Tahoma" w:hAnsi="Tahoma" w:cs="Tahoma"/>
          <w:sz w:val="18"/>
          <w:szCs w:val="18"/>
        </w:rPr>
      </w:pPr>
    </w:p>
    <w:p w:rsidR="005B71BC" w:rsidRDefault="003369B5">
      <w:pPr>
        <w:tabs>
          <w:tab w:val="left" w:pos="1689"/>
        </w:tabs>
        <w:spacing w:line="242" w:lineRule="auto"/>
        <w:ind w:right="826"/>
        <w:jc w:val="both"/>
      </w:pPr>
      <w:r>
        <w:rPr>
          <w:rFonts w:ascii="Tahoma" w:hAnsi="Tahoma" w:cs="Tahoma"/>
          <w:b/>
          <w:sz w:val="28"/>
          <w:szCs w:val="28"/>
        </w:rPr>
        <w:t>Recommendations</w:t>
      </w:r>
    </w:p>
    <w:p w:rsidR="005B71BC" w:rsidRDefault="005B71BC">
      <w:pPr>
        <w:tabs>
          <w:tab w:val="left" w:pos="1689"/>
        </w:tabs>
        <w:spacing w:line="242" w:lineRule="auto"/>
        <w:ind w:right="826"/>
        <w:jc w:val="both"/>
        <w:rPr>
          <w:rFonts w:ascii="Tahoma" w:hAnsi="Tahoma" w:cs="Tahoma"/>
          <w:sz w:val="18"/>
          <w:szCs w:val="18"/>
        </w:rPr>
      </w:pPr>
    </w:p>
    <w:p w:rsidR="005B71BC" w:rsidRDefault="003369B5">
      <w:pPr>
        <w:tabs>
          <w:tab w:val="left" w:pos="1689"/>
        </w:tabs>
        <w:spacing w:line="242" w:lineRule="auto"/>
        <w:ind w:left="1080" w:right="826"/>
        <w:jc w:val="both"/>
      </w:pPr>
      <w:r>
        <w:rPr>
          <w:rFonts w:ascii="Tahoma" w:hAnsi="Tahoma" w:cs="Tahoma"/>
          <w:sz w:val="20"/>
          <w:szCs w:val="20"/>
        </w:rPr>
        <w:t>All things considered, ECOM recommends that the Committee uses its authority over the Republic of Tajikistan and forces it to abide by its international obligations under the Covenant, as well as its other international and national obligations before its people, and that the Committee inquires the Republic of Tajikistan to provide contextual information, including statistics and other figures, names of the laws and respective articles, alterations to national law, programmes and training conducted, and other regarding the following:</w:t>
      </w:r>
    </w:p>
    <w:p w:rsidR="005B71BC" w:rsidRDefault="005B71BC">
      <w:pPr>
        <w:tabs>
          <w:tab w:val="left" w:pos="1689"/>
        </w:tabs>
        <w:spacing w:line="242" w:lineRule="auto"/>
        <w:ind w:left="1080" w:right="826"/>
        <w:jc w:val="both"/>
        <w:rPr>
          <w:rFonts w:ascii="Tahoma" w:hAnsi="Tahoma" w:cs="Tahoma"/>
          <w:sz w:val="20"/>
          <w:szCs w:val="20"/>
        </w:rPr>
      </w:pPr>
    </w:p>
    <w:p w:rsidR="005B71BC" w:rsidRDefault="003369B5">
      <w:pPr>
        <w:numPr>
          <w:ilvl w:val="0"/>
          <w:numId w:val="3"/>
        </w:numPr>
        <w:tabs>
          <w:tab w:val="left" w:pos="1689"/>
        </w:tabs>
        <w:spacing w:line="242" w:lineRule="auto"/>
        <w:ind w:right="826"/>
        <w:jc w:val="both"/>
      </w:pPr>
      <w:r>
        <w:rPr>
          <w:rFonts w:ascii="Tahoma" w:hAnsi="Tahoma" w:cs="Tahoma"/>
          <w:sz w:val="20"/>
          <w:szCs w:val="20"/>
        </w:rPr>
        <w:t>What steps have been taken swiftly develop and pass appropriate, high-profile, general, multi-dimensional legislation in the form of a law that will prohibit any discrimination of all people, including that which is explicitly based on sexual orientation and gender identity, and that such a prohibition would have an open-ended list of grounds that would allow for protection of people from other forms of discrimination not expressly outlined in the law?</w:t>
      </w:r>
    </w:p>
    <w:p w:rsidR="005B71BC" w:rsidRDefault="003369B5">
      <w:pPr>
        <w:numPr>
          <w:ilvl w:val="0"/>
          <w:numId w:val="3"/>
        </w:numPr>
        <w:tabs>
          <w:tab w:val="left" w:pos="1689"/>
        </w:tabs>
        <w:spacing w:line="242" w:lineRule="auto"/>
        <w:ind w:right="826"/>
        <w:jc w:val="both"/>
      </w:pPr>
      <w:r>
        <w:rPr>
          <w:rFonts w:ascii="Tahoma" w:hAnsi="Tahoma" w:cs="Tahoma"/>
          <w:sz w:val="20"/>
          <w:szCs w:val="20"/>
        </w:rPr>
        <w:t>What has been done to promptly adjust its criminal and civil legislation in conformity with such a law on non-discrimination for these areas of law to have a realistic, working legal mechanism for people who are discriminated based on sexual orientation and/or gender identity to be able to reinstate their infringed rights, seek retribution and punishment for those in blame?</w:t>
      </w:r>
    </w:p>
    <w:p w:rsidR="005B71BC" w:rsidRDefault="003369B5">
      <w:pPr>
        <w:numPr>
          <w:ilvl w:val="0"/>
          <w:numId w:val="3"/>
        </w:numPr>
        <w:tabs>
          <w:tab w:val="left" w:pos="1689"/>
        </w:tabs>
        <w:spacing w:line="242" w:lineRule="auto"/>
        <w:ind w:right="826"/>
        <w:jc w:val="both"/>
      </w:pPr>
      <w:r>
        <w:rPr>
          <w:rFonts w:ascii="Tahoma" w:hAnsi="Tahoma" w:cs="Tahoma"/>
          <w:sz w:val="20"/>
          <w:szCs w:val="20"/>
        </w:rPr>
        <w:t>What actions have been undertaken to immediately eliminate the words “sodomy” and “lesbianism” from articles 139, 140, and 141 of the Criminal Code of Tajikistan, as well as it eliminate such words and similar homophobic lexicon from the entirety of its legislation?</w:t>
      </w:r>
    </w:p>
    <w:p w:rsidR="005B71BC" w:rsidRDefault="003369B5">
      <w:pPr>
        <w:numPr>
          <w:ilvl w:val="0"/>
          <w:numId w:val="3"/>
        </w:numPr>
        <w:tabs>
          <w:tab w:val="left" w:pos="1689"/>
        </w:tabs>
        <w:spacing w:line="242" w:lineRule="auto"/>
        <w:ind w:right="826"/>
        <w:jc w:val="both"/>
      </w:pPr>
      <w:r>
        <w:rPr>
          <w:rFonts w:ascii="Tahoma" w:hAnsi="Tahoma" w:cs="Tahoma"/>
          <w:sz w:val="20"/>
          <w:szCs w:val="20"/>
        </w:rPr>
        <w:t>What has been done to alter the section of Tajikistan Criminal Code on crimes against sexual freedom and sexual integrity in a way that would protect all people universally, using gender-neutral language, from all kinds of sexual conduct that forces the victim into non-consensual sexual practices with the perpetrator against their will?</w:t>
      </w:r>
    </w:p>
    <w:p w:rsidR="005B71BC" w:rsidRDefault="003369B5">
      <w:pPr>
        <w:numPr>
          <w:ilvl w:val="0"/>
          <w:numId w:val="3"/>
        </w:numPr>
        <w:tabs>
          <w:tab w:val="left" w:pos="1689"/>
        </w:tabs>
        <w:spacing w:line="242" w:lineRule="auto"/>
        <w:ind w:right="826"/>
        <w:jc w:val="both"/>
      </w:pPr>
      <w:r>
        <w:rPr>
          <w:rFonts w:ascii="Tahoma" w:hAnsi="Tahoma" w:cs="Tahoma"/>
          <w:sz w:val="20"/>
          <w:szCs w:val="20"/>
        </w:rPr>
        <w:t xml:space="preserve">What has been undertaken to introduce sexual orientation and gender identity as aggravating circumstances to all crimes in its Criminal Code that may be committed based on hate based on SOGI? </w:t>
      </w:r>
    </w:p>
    <w:p w:rsidR="005B71BC" w:rsidRDefault="003369B5">
      <w:pPr>
        <w:numPr>
          <w:ilvl w:val="0"/>
          <w:numId w:val="3"/>
        </w:numPr>
        <w:tabs>
          <w:tab w:val="left" w:pos="1689"/>
        </w:tabs>
        <w:spacing w:line="242" w:lineRule="auto"/>
        <w:ind w:right="826"/>
        <w:jc w:val="both"/>
      </w:pPr>
      <w:r>
        <w:rPr>
          <w:rFonts w:ascii="Tahoma" w:hAnsi="Tahoma" w:cs="Tahoma"/>
          <w:sz w:val="20"/>
          <w:szCs w:val="20"/>
        </w:rPr>
        <w:t>What has been done to develop and pass a regulation that would create the ability for trans persons to be able to acquire their gender confirmation, reassignment, and be allowed to transition, once necessary, with respect and dignity while having the chance to officially use the necessary medical procedures and acquire respective civil documents that would confirm their transition and legitimize their transitioned identity?</w:t>
      </w:r>
    </w:p>
    <w:p w:rsidR="005B71BC" w:rsidRDefault="003369B5">
      <w:pPr>
        <w:numPr>
          <w:ilvl w:val="0"/>
          <w:numId w:val="3"/>
        </w:numPr>
        <w:tabs>
          <w:tab w:val="left" w:pos="1689"/>
        </w:tabs>
        <w:spacing w:line="242" w:lineRule="auto"/>
        <w:ind w:right="826"/>
        <w:jc w:val="both"/>
      </w:pPr>
      <w:r>
        <w:rPr>
          <w:rFonts w:ascii="Tahoma" w:hAnsi="Tahoma" w:cs="Tahoma"/>
          <w:sz w:val="20"/>
          <w:szCs w:val="20"/>
        </w:rPr>
        <w:t>What steps have been taken to arrange and carry out comprehensive statewide training events for medical workers of healthcare facilities and law-enforcement officers that would raise their education and awareness about SOGI and HIV issues to lower the social stigma and discrimination related to LGBT?</w:t>
      </w:r>
    </w:p>
    <w:p w:rsidR="005B71BC" w:rsidRDefault="005B71BC">
      <w:pPr>
        <w:shd w:val="clear" w:color="auto" w:fill="FFFFFF"/>
        <w:tabs>
          <w:tab w:val="left" w:pos="1689"/>
        </w:tabs>
        <w:spacing w:line="244" w:lineRule="auto"/>
        <w:ind w:right="826"/>
        <w:jc w:val="both"/>
        <w:rPr>
          <w:rFonts w:ascii="Tahoma" w:hAnsi="Tahoma" w:cs="Tahoma"/>
          <w:color w:val="222222"/>
          <w:sz w:val="20"/>
          <w:szCs w:val="20"/>
        </w:rPr>
      </w:pPr>
    </w:p>
    <w:p w:rsidR="005B71BC" w:rsidRDefault="005B71BC">
      <w:pPr>
        <w:rPr>
          <w:rFonts w:ascii="Tahoma" w:hAnsi="Tahoma" w:cs="Tahoma"/>
          <w:sz w:val="21"/>
          <w:szCs w:val="21"/>
        </w:rPr>
      </w:pPr>
    </w:p>
    <w:p w:rsidR="005B71BC" w:rsidRDefault="005B71BC">
      <w:pPr>
        <w:shd w:val="clear" w:color="auto" w:fill="FFFFFF"/>
        <w:tabs>
          <w:tab w:val="left" w:pos="1689"/>
        </w:tabs>
        <w:spacing w:line="244" w:lineRule="auto"/>
        <w:ind w:right="826"/>
        <w:jc w:val="both"/>
        <w:rPr>
          <w:rFonts w:ascii="Tahoma" w:hAnsi="Tahoma" w:cs="Tahoma"/>
          <w:sz w:val="20"/>
          <w:szCs w:val="20"/>
        </w:rPr>
      </w:pPr>
    </w:p>
    <w:p w:rsidR="005B71BC" w:rsidRDefault="005B71BC">
      <w:pPr>
        <w:tabs>
          <w:tab w:val="left" w:pos="1689"/>
        </w:tabs>
        <w:ind w:left="1440" w:right="826"/>
        <w:jc w:val="both"/>
        <w:rPr>
          <w:sz w:val="18"/>
          <w:szCs w:val="18"/>
        </w:rPr>
      </w:pPr>
    </w:p>
    <w:p w:rsidR="005B71BC" w:rsidRDefault="005B71BC">
      <w:pPr>
        <w:tabs>
          <w:tab w:val="left" w:pos="1689"/>
        </w:tabs>
        <w:ind w:left="1440" w:right="826"/>
        <w:jc w:val="both"/>
      </w:pPr>
    </w:p>
    <w:sectPr w:rsidR="005B71BC">
      <w:type w:val="continuous"/>
      <w:pgSz w:w="11906" w:h="16838"/>
      <w:pgMar w:top="1135" w:right="1126" w:bottom="567" w:left="1140" w:header="0" w:footer="0" w:gutter="0"/>
      <w:cols w:space="720"/>
      <w:formProt w:val="0"/>
      <w:docGrid w:linePitch="10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1F1" w:rsidRDefault="003369B5">
      <w:r>
        <w:separator/>
      </w:r>
    </w:p>
  </w:endnote>
  <w:endnote w:type="continuationSeparator" w:id="0">
    <w:p w:rsidR="003211F1" w:rsidRDefault="00336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altName w:val="Times New Roman"/>
    <w:charset w:val="01"/>
    <w:family w:val="auto"/>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1BC" w:rsidRDefault="003369B5">
      <w:pPr>
        <w:rPr>
          <w:sz w:val="12"/>
        </w:rPr>
      </w:pPr>
      <w:r>
        <w:separator/>
      </w:r>
    </w:p>
  </w:footnote>
  <w:footnote w:type="continuationSeparator" w:id="0">
    <w:p w:rsidR="005B71BC" w:rsidRDefault="003369B5">
      <w:pPr>
        <w:rPr>
          <w:sz w:val="12"/>
        </w:rPr>
      </w:pPr>
      <w:r>
        <w:continuationSeparator/>
      </w:r>
    </w:p>
  </w:footnote>
  <w:footnote w:id="1">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Constitution of the Republic of Tajikistan, </w:t>
      </w:r>
      <w:hyperlink r:id="rId1">
        <w:r w:rsidRPr="003369B5">
          <w:rPr>
            <w:rStyle w:val="Hyperlink"/>
            <w:rFonts w:ascii="Tahoma" w:hAnsi="Tahoma" w:cs="Tahoma"/>
            <w:color w:val="1155CC"/>
            <w:sz w:val="16"/>
            <w:szCs w:val="16"/>
          </w:rPr>
          <w:t>https://www.wipo.int/edocs/lexdocs/laws/ru/tj/tj001ru.pdf</w:t>
        </w:r>
      </w:hyperlink>
      <w:r w:rsidRPr="003369B5">
        <w:rPr>
          <w:rFonts w:ascii="Tahoma" w:hAnsi="Tahoma" w:cs="Tahoma"/>
          <w:sz w:val="16"/>
          <w:szCs w:val="16"/>
        </w:rPr>
        <w:t xml:space="preserve"> </w:t>
      </w:r>
    </w:p>
  </w:footnote>
  <w:footnote w:id="2">
    <w:p w:rsidR="005B71BC"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Criminal Code Of the Republic Of Tajikistan, </w:t>
      </w:r>
      <w:hyperlink r:id="rId2">
        <w:r w:rsidRPr="003369B5">
          <w:rPr>
            <w:rStyle w:val="Hyperlink"/>
            <w:rFonts w:ascii="Tahoma" w:hAnsi="Tahoma" w:cs="Tahoma"/>
            <w:color w:val="1155CC"/>
            <w:sz w:val="16"/>
            <w:szCs w:val="16"/>
          </w:rPr>
          <w:t>https://www.wipo.int/edocs/lexdocs/laws/ru/tj/tj023ru.pdf</w:t>
        </w:r>
      </w:hyperlink>
    </w:p>
  </w:footnote>
  <w:footnote w:id="3">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Criminal Code Of the Republic Of Tajikistan, </w:t>
      </w:r>
      <w:hyperlink r:id="rId3">
        <w:r w:rsidRPr="003369B5">
          <w:rPr>
            <w:rStyle w:val="Hyperlink"/>
            <w:rFonts w:ascii="Tahoma" w:hAnsi="Tahoma" w:cs="Tahoma"/>
            <w:color w:val="1155CC"/>
            <w:sz w:val="16"/>
            <w:szCs w:val="16"/>
          </w:rPr>
          <w:t>https://www.wipo.int/edocs/lexdocs/laws/ru/tj/tj023ru.pdf</w:t>
        </w:r>
      </w:hyperlink>
      <w:r w:rsidRPr="003369B5">
        <w:rPr>
          <w:rFonts w:ascii="Tahoma" w:hAnsi="Tahoma" w:cs="Tahoma"/>
          <w:sz w:val="16"/>
          <w:szCs w:val="16"/>
        </w:rPr>
        <w:t xml:space="preserve"> .</w:t>
      </w:r>
    </w:p>
  </w:footnote>
  <w:footnote w:id="4">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Ibid. </w:t>
      </w:r>
    </w:p>
  </w:footnote>
  <w:footnote w:id="5">
    <w:p w:rsidR="005B71BC" w:rsidRDefault="003369B5">
      <w:pPr>
        <w:rPr>
          <w:sz w:val="18"/>
          <w:szCs w:val="18"/>
        </w:rPr>
      </w:pPr>
      <w:r w:rsidRPr="003369B5">
        <w:rPr>
          <w:rStyle w:val="FootnoteCharacters"/>
          <w:rFonts w:ascii="Tahoma" w:hAnsi="Tahoma" w:cs="Tahoma"/>
          <w:sz w:val="16"/>
          <w:szCs w:val="16"/>
        </w:rPr>
        <w:footnoteRef/>
      </w:r>
      <w:r w:rsidRPr="003369B5">
        <w:rPr>
          <w:rFonts w:ascii="Tahoma" w:hAnsi="Tahoma" w:cs="Tahoma"/>
          <w:sz w:val="16"/>
          <w:szCs w:val="16"/>
        </w:rPr>
        <w:t xml:space="preserve"> Ibid.</w:t>
      </w:r>
    </w:p>
  </w:footnote>
  <w:footnote w:id="6">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w:t>
      </w:r>
      <w:r w:rsidRPr="003369B5">
        <w:rPr>
          <w:rFonts w:ascii="Tahoma" w:hAnsi="Tahoma" w:cs="Tahoma"/>
          <w:sz w:val="16"/>
          <w:szCs w:val="16"/>
          <w:highlight w:val="white"/>
        </w:rPr>
        <w:t>Legislative Analysis Related to LGBTQ Rights and HIV in 11 CEECA Countries 2018.</w:t>
      </w:r>
    </w:p>
  </w:footnote>
  <w:footnote w:id="7">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w:t>
      </w:r>
      <w:r w:rsidRPr="003369B5">
        <w:rPr>
          <w:rFonts w:ascii="Tahoma" w:hAnsi="Tahoma" w:cs="Tahoma"/>
          <w:sz w:val="16"/>
          <w:szCs w:val="16"/>
          <w:highlight w:val="white"/>
        </w:rPr>
        <w:t>Ibid.</w:t>
      </w:r>
    </w:p>
  </w:footnote>
  <w:footnote w:id="8">
    <w:p w:rsidR="005B71BC"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The Healthcare Code of the Republic of Tajikistan, </w:t>
      </w:r>
      <w:hyperlink r:id="rId4" w:anchor="pos=1604;-36" w:history="1">
        <w:r w:rsidRPr="003369B5">
          <w:rPr>
            <w:rStyle w:val="Hyperlink"/>
            <w:rFonts w:ascii="Tahoma" w:hAnsi="Tahoma" w:cs="Tahoma"/>
            <w:color w:val="1155CC"/>
            <w:sz w:val="16"/>
            <w:szCs w:val="16"/>
          </w:rPr>
          <w:t>https://online.zakon.kz/Document/?doc_id=38514256#pos=1604;-36</w:t>
        </w:r>
      </w:hyperlink>
      <w:r>
        <w:rPr>
          <w:rFonts w:ascii="Tahoma" w:hAnsi="Tahoma" w:cs="Tahoma"/>
          <w:sz w:val="16"/>
          <w:szCs w:val="16"/>
        </w:rPr>
        <w:t xml:space="preserve"> </w:t>
      </w:r>
    </w:p>
  </w:footnote>
  <w:footnote w:id="9">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“Tajikistan,” UNAIDS, </w:t>
      </w:r>
      <w:hyperlink r:id="rId5">
        <w:r w:rsidRPr="003369B5">
          <w:rPr>
            <w:rStyle w:val="Hyperlink"/>
            <w:rFonts w:ascii="Tahoma" w:hAnsi="Tahoma" w:cs="Tahoma"/>
            <w:color w:val="1155CC"/>
            <w:sz w:val="16"/>
            <w:szCs w:val="16"/>
          </w:rPr>
          <w:t>https://www.unaids.org/en/regionscountries/countries/tajikistan</w:t>
        </w:r>
      </w:hyperlink>
      <w:r w:rsidRPr="003369B5">
        <w:rPr>
          <w:rFonts w:ascii="Tahoma" w:hAnsi="Tahoma" w:cs="Tahoma"/>
          <w:sz w:val="16"/>
          <w:szCs w:val="16"/>
        </w:rPr>
        <w:t xml:space="preserve"> </w:t>
      </w:r>
    </w:p>
  </w:footnote>
  <w:footnote w:id="10">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Constitution of the Republic of Tajikistan, </w:t>
      </w:r>
      <w:hyperlink r:id="rId6">
        <w:r w:rsidRPr="003369B5">
          <w:rPr>
            <w:rStyle w:val="Hyperlink"/>
            <w:rFonts w:ascii="Tahoma" w:hAnsi="Tahoma" w:cs="Tahoma"/>
            <w:color w:val="1155CC"/>
            <w:sz w:val="16"/>
            <w:szCs w:val="16"/>
          </w:rPr>
          <w:t>https://www.wipo.int/edocs/lexdocs/laws/ru/tj/tj001ru.pdf</w:t>
        </w:r>
      </w:hyperlink>
      <w:r w:rsidRPr="003369B5">
        <w:rPr>
          <w:rFonts w:ascii="Tahoma" w:hAnsi="Tahoma" w:cs="Tahoma"/>
          <w:sz w:val="16"/>
          <w:szCs w:val="16"/>
        </w:rPr>
        <w:t xml:space="preserve"> </w:t>
      </w:r>
    </w:p>
  </w:footnote>
  <w:footnote w:id="11">
    <w:p w:rsidR="005B71BC" w:rsidRDefault="003369B5">
      <w:pPr>
        <w:rPr>
          <w:sz w:val="18"/>
          <w:szCs w:val="18"/>
        </w:rPr>
      </w:pPr>
      <w:r w:rsidRPr="003369B5">
        <w:rPr>
          <w:rStyle w:val="FootnoteCharacters"/>
          <w:rFonts w:ascii="Tahoma" w:hAnsi="Tahoma" w:cs="Tahoma"/>
          <w:sz w:val="16"/>
          <w:szCs w:val="16"/>
        </w:rPr>
        <w:footnoteRef/>
      </w:r>
      <w:r w:rsidRPr="003369B5">
        <w:rPr>
          <w:rFonts w:ascii="Tahoma" w:hAnsi="Tahoma" w:cs="Tahoma"/>
          <w:sz w:val="16"/>
          <w:szCs w:val="16"/>
        </w:rPr>
        <w:t xml:space="preserve"> Ibid.</w:t>
      </w:r>
    </w:p>
  </w:footnote>
  <w:footnote w:id="12">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Universal Declaration of Human Rights, </w:t>
      </w:r>
      <w:hyperlink r:id="rId7">
        <w:r w:rsidRPr="003369B5">
          <w:rPr>
            <w:rStyle w:val="Hyperlink"/>
            <w:rFonts w:ascii="Tahoma" w:hAnsi="Tahoma" w:cs="Tahoma"/>
            <w:color w:val="1155CC"/>
            <w:sz w:val="16"/>
            <w:szCs w:val="16"/>
          </w:rPr>
          <w:t>https://www.un.org/en/universal-declaration-human-rights/</w:t>
        </w:r>
      </w:hyperlink>
      <w:r w:rsidRPr="003369B5">
        <w:rPr>
          <w:rFonts w:ascii="Tahoma" w:hAnsi="Tahoma" w:cs="Tahoma"/>
          <w:sz w:val="16"/>
          <w:szCs w:val="16"/>
        </w:rPr>
        <w:t xml:space="preserve"> </w:t>
      </w:r>
    </w:p>
  </w:footnote>
  <w:footnote w:id="13">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OHCHR Fact Sheet No. 31: Right to Health,  </w:t>
      </w:r>
      <w:hyperlink r:id="rId8">
        <w:r w:rsidRPr="003369B5">
          <w:rPr>
            <w:rStyle w:val="Hyperlink"/>
            <w:rFonts w:ascii="Tahoma" w:hAnsi="Tahoma" w:cs="Tahoma"/>
            <w:color w:val="1155CC"/>
            <w:sz w:val="16"/>
            <w:szCs w:val="16"/>
          </w:rPr>
          <w:t>https://www.ohchr.org/Documents/Publications/Factsheet31.pdf</w:t>
        </w:r>
      </w:hyperlink>
      <w:r w:rsidRPr="003369B5">
        <w:rPr>
          <w:rFonts w:ascii="Tahoma" w:hAnsi="Tahoma" w:cs="Tahoma"/>
          <w:sz w:val="16"/>
          <w:szCs w:val="16"/>
        </w:rPr>
        <w:t>, pp. 4, 7</w:t>
      </w:r>
    </w:p>
  </w:footnote>
  <w:footnote w:id="14">
    <w:p w:rsidR="005B71BC" w:rsidRDefault="003369B5">
      <w:pPr>
        <w:rPr>
          <w:sz w:val="18"/>
          <w:szCs w:val="18"/>
        </w:rPr>
      </w:pPr>
      <w:r w:rsidRPr="003369B5">
        <w:rPr>
          <w:rStyle w:val="FootnoteCharacters"/>
          <w:rFonts w:ascii="Tahoma" w:hAnsi="Tahoma" w:cs="Tahoma"/>
          <w:sz w:val="16"/>
          <w:szCs w:val="16"/>
        </w:rPr>
        <w:footnoteRef/>
      </w:r>
      <w:r w:rsidRPr="003369B5">
        <w:rPr>
          <w:rFonts w:ascii="Tahoma" w:hAnsi="Tahoma" w:cs="Tahoma"/>
          <w:sz w:val="16"/>
          <w:szCs w:val="16"/>
        </w:rPr>
        <w:t xml:space="preserve"> Constitution of WHO, </w:t>
      </w:r>
      <w:hyperlink r:id="rId9">
        <w:r w:rsidRPr="003369B5">
          <w:rPr>
            <w:rStyle w:val="Hyperlink"/>
            <w:rFonts w:ascii="Tahoma" w:hAnsi="Tahoma" w:cs="Tahoma"/>
            <w:color w:val="1155CC"/>
            <w:sz w:val="16"/>
            <w:szCs w:val="16"/>
          </w:rPr>
          <w:t>https://www.who.int/governance/eb/who_constitution_en.pdf</w:t>
        </w:r>
      </w:hyperlink>
      <w:r>
        <w:rPr>
          <w:sz w:val="18"/>
          <w:szCs w:val="18"/>
        </w:rPr>
        <w:t xml:space="preserve"> </w:t>
      </w:r>
    </w:p>
  </w:footnote>
  <w:footnote w:id="15">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LGBT People in Tajikistan: Beaten, Raped, and Exploited by Police, </w:t>
      </w:r>
      <w:hyperlink r:id="rId10">
        <w:r w:rsidRPr="003369B5">
          <w:rPr>
            <w:rStyle w:val="Hyperlink"/>
            <w:rFonts w:ascii="Tahoma" w:hAnsi="Tahoma" w:cs="Tahoma"/>
            <w:color w:val="1155CC"/>
            <w:sz w:val="16"/>
            <w:szCs w:val="16"/>
          </w:rPr>
          <w:t>https://tbinternet.ohchr.org/Treaties/CAT/Shared%20Documents/TJK/INT_CAT_CSS_TJK_30680_E.pdf</w:t>
        </w:r>
      </w:hyperlink>
      <w:r w:rsidRPr="003369B5">
        <w:rPr>
          <w:rFonts w:ascii="Tahoma" w:hAnsi="Tahoma" w:cs="Tahoma"/>
          <w:sz w:val="16"/>
          <w:szCs w:val="16"/>
        </w:rPr>
        <w:t xml:space="preserve"> </w:t>
      </w:r>
    </w:p>
  </w:footnote>
  <w:footnote w:id="16">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Ibid</w:t>
      </w:r>
    </w:p>
  </w:footnote>
  <w:footnote w:id="17">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Радио Озоди (Radio Freedom). “Ombudsman: Tajikistan Rejected Recommendations Regarding The Rights Of Sex Minorities”, 2019. </w:t>
      </w:r>
      <w:hyperlink r:id="rId11">
        <w:r w:rsidRPr="003369B5">
          <w:rPr>
            <w:rStyle w:val="Hyperlink"/>
            <w:rFonts w:ascii="Tahoma" w:hAnsi="Tahoma" w:cs="Tahoma"/>
            <w:color w:val="1155CC"/>
            <w:sz w:val="16"/>
            <w:szCs w:val="16"/>
          </w:rPr>
          <w:t>https://rus.ozodi.org/a/29744170.html</w:t>
        </w:r>
      </w:hyperlink>
      <w:r w:rsidRPr="003369B5">
        <w:rPr>
          <w:rFonts w:ascii="Tahoma" w:hAnsi="Tahoma" w:cs="Tahoma"/>
          <w:sz w:val="16"/>
          <w:szCs w:val="16"/>
        </w:rPr>
        <w:t xml:space="preserve">. </w:t>
      </w:r>
    </w:p>
  </w:footnote>
  <w:footnote w:id="18">
    <w:p w:rsidR="005B71BC"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Ibid</w:t>
      </w:r>
    </w:p>
  </w:footnote>
  <w:footnote w:id="19">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Practices of the So-Called “Conversion Therapy,” UN Independent Expert on SOGI-Based Violence, </w:t>
      </w:r>
      <w:hyperlink r:id="rId12">
        <w:r w:rsidRPr="003369B5">
          <w:rPr>
            <w:rStyle w:val="Hyperlink"/>
            <w:rFonts w:ascii="Tahoma" w:hAnsi="Tahoma" w:cs="Tahoma"/>
            <w:color w:val="1155CC"/>
            <w:sz w:val="16"/>
            <w:szCs w:val="16"/>
          </w:rPr>
          <w:t>https://undocs.org/A/HRC/44/53</w:t>
        </w:r>
      </w:hyperlink>
      <w:r w:rsidRPr="003369B5">
        <w:rPr>
          <w:rFonts w:ascii="Tahoma" w:hAnsi="Tahoma" w:cs="Tahoma"/>
          <w:sz w:val="16"/>
          <w:szCs w:val="16"/>
        </w:rPr>
        <w:t xml:space="preserve"> , para 55</w:t>
      </w:r>
    </w:p>
  </w:footnote>
  <w:footnote w:id="20">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“Declassification of sexual orientation as a mental disorder”, </w:t>
      </w:r>
      <w:hyperlink r:id="rId13">
        <w:r w:rsidRPr="003369B5">
          <w:rPr>
            <w:rStyle w:val="Hyperlink"/>
            <w:rFonts w:ascii="Tahoma" w:hAnsi="Tahoma" w:cs="Tahoma"/>
            <w:color w:val="1155CC"/>
            <w:sz w:val="16"/>
            <w:szCs w:val="16"/>
          </w:rPr>
          <w:t>https://www.who.int/bulletin/volumes/92/9/14-135541/en/</w:t>
        </w:r>
      </w:hyperlink>
      <w:r w:rsidRPr="003369B5">
        <w:rPr>
          <w:rFonts w:ascii="Tahoma" w:hAnsi="Tahoma" w:cs="Tahoma"/>
          <w:sz w:val="16"/>
          <w:szCs w:val="16"/>
        </w:rPr>
        <w:t xml:space="preserve"> </w:t>
      </w:r>
    </w:p>
  </w:footnote>
  <w:footnote w:id="21">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Constitution of WHO, </w:t>
      </w:r>
      <w:hyperlink r:id="rId14">
        <w:r w:rsidRPr="003369B5">
          <w:rPr>
            <w:rStyle w:val="Hyperlink"/>
            <w:rFonts w:ascii="Tahoma" w:hAnsi="Tahoma" w:cs="Tahoma"/>
            <w:color w:val="1155CC"/>
            <w:sz w:val="16"/>
            <w:szCs w:val="16"/>
          </w:rPr>
          <w:t>https://www.who.int/governance/eb/who_constitution_en.pdf</w:t>
        </w:r>
      </w:hyperlink>
      <w:r w:rsidRPr="003369B5">
        <w:rPr>
          <w:rFonts w:ascii="Tahoma" w:hAnsi="Tahoma" w:cs="Tahoma"/>
          <w:sz w:val="16"/>
          <w:szCs w:val="16"/>
        </w:rPr>
        <w:t xml:space="preserve"> </w:t>
      </w:r>
    </w:p>
  </w:footnote>
  <w:footnote w:id="22">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OHCHR Selected Decisions of the HRCtee Under the Optional Protocol, vol. 5, </w:t>
      </w:r>
      <w:hyperlink r:id="rId15">
        <w:r w:rsidRPr="003369B5">
          <w:rPr>
            <w:rStyle w:val="Hyperlink"/>
            <w:rFonts w:ascii="Tahoma" w:hAnsi="Tahoma" w:cs="Tahoma"/>
            <w:color w:val="1155CC"/>
            <w:sz w:val="16"/>
            <w:szCs w:val="16"/>
          </w:rPr>
          <w:t>https://www.ohchr.org/Documents/Publications/SDecisionsVol5en.pdf</w:t>
        </w:r>
      </w:hyperlink>
      <w:r w:rsidRPr="003369B5">
        <w:rPr>
          <w:rFonts w:ascii="Tahoma" w:hAnsi="Tahoma" w:cs="Tahoma"/>
          <w:sz w:val="16"/>
          <w:szCs w:val="16"/>
        </w:rPr>
        <w:t>, p. 75</w:t>
      </w:r>
    </w:p>
  </w:footnote>
  <w:footnote w:id="23">
    <w:p w:rsidR="005B71BC"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Constitution of the Republic of Tajikistan, </w:t>
      </w:r>
      <w:hyperlink r:id="rId16">
        <w:r w:rsidRPr="003369B5">
          <w:rPr>
            <w:rStyle w:val="Hyperlink"/>
            <w:rFonts w:ascii="Tahoma" w:hAnsi="Tahoma" w:cs="Tahoma"/>
            <w:color w:val="1155CC"/>
            <w:sz w:val="16"/>
            <w:szCs w:val="16"/>
          </w:rPr>
          <w:t>https://www.wipo.int/edocs/lexdocs/laws/ru/tj/tj001ru.pdf</w:t>
        </w:r>
      </w:hyperlink>
      <w:r w:rsidRPr="003369B5">
        <w:rPr>
          <w:rFonts w:ascii="Tahoma" w:hAnsi="Tahoma" w:cs="Tahoma"/>
          <w:sz w:val="16"/>
          <w:szCs w:val="16"/>
        </w:rPr>
        <w:t xml:space="preserve"> </w:t>
      </w:r>
    </w:p>
  </w:footnote>
  <w:footnote w:id="24">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Christine Goodwin v. the UK in ECHR, </w:t>
      </w:r>
      <w:hyperlink r:id="rId17" w:anchor="{" w:history="1">
        <w:r w:rsidRPr="003369B5">
          <w:rPr>
            <w:rStyle w:val="Hyperlink"/>
            <w:rFonts w:ascii="Tahoma" w:hAnsi="Tahoma" w:cs="Tahoma"/>
            <w:color w:val="1155CC"/>
            <w:sz w:val="16"/>
            <w:szCs w:val="16"/>
          </w:rPr>
          <w:t>https://hudoc.echr.coe.int/eng#{"itemid":["001-60596</w:t>
        </w:r>
      </w:hyperlink>
      <w:r w:rsidRPr="003369B5">
        <w:rPr>
          <w:rFonts w:ascii="Tahoma" w:hAnsi="Tahoma" w:cs="Tahoma"/>
          <w:sz w:val="16"/>
          <w:szCs w:val="16"/>
        </w:rPr>
        <w:t xml:space="preserve">"]} </w:t>
      </w:r>
    </w:p>
  </w:footnote>
  <w:footnote w:id="25">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“Transgender No Longer Recognised as ‘Disorder’ by WHO”, BBC, </w:t>
      </w:r>
      <w:hyperlink r:id="rId18">
        <w:r w:rsidRPr="003369B5">
          <w:rPr>
            <w:rStyle w:val="Hyperlink"/>
            <w:rFonts w:ascii="Tahoma" w:hAnsi="Tahoma" w:cs="Tahoma"/>
            <w:color w:val="1155CC"/>
            <w:sz w:val="16"/>
            <w:szCs w:val="16"/>
          </w:rPr>
          <w:t>https://www.bbc.com/news/health-48448804</w:t>
        </w:r>
      </w:hyperlink>
      <w:r w:rsidRPr="003369B5">
        <w:rPr>
          <w:rFonts w:ascii="Tahoma" w:hAnsi="Tahoma" w:cs="Tahoma"/>
          <w:sz w:val="16"/>
          <w:szCs w:val="16"/>
        </w:rPr>
        <w:t xml:space="preserve">; ICD-11, WHO, </w:t>
      </w:r>
      <w:hyperlink r:id="rId19" w:anchor="/http://id.who.int/icd/entity/411470068" w:history="1">
        <w:r w:rsidRPr="003369B5">
          <w:rPr>
            <w:rStyle w:val="Hyperlink"/>
            <w:rFonts w:ascii="Tahoma" w:hAnsi="Tahoma" w:cs="Tahoma"/>
            <w:color w:val="1155CC"/>
            <w:sz w:val="16"/>
            <w:szCs w:val="16"/>
          </w:rPr>
          <w:t>https://icd.who.int/browse11/l-m/en#/http://id.who.int/icd/entity/411470068</w:t>
        </w:r>
      </w:hyperlink>
      <w:r w:rsidRPr="003369B5">
        <w:rPr>
          <w:rFonts w:ascii="Tahoma" w:hAnsi="Tahoma" w:cs="Tahoma"/>
          <w:sz w:val="16"/>
          <w:szCs w:val="16"/>
        </w:rPr>
        <w:t xml:space="preserve"> </w:t>
      </w:r>
    </w:p>
  </w:footnote>
  <w:footnote w:id="26">
    <w:p w:rsidR="005B71BC" w:rsidRDefault="003369B5">
      <w:pPr>
        <w:rPr>
          <w:sz w:val="18"/>
          <w:szCs w:val="18"/>
        </w:rPr>
      </w:pPr>
      <w:r w:rsidRPr="003369B5">
        <w:rPr>
          <w:rStyle w:val="FootnoteCharacters"/>
          <w:rFonts w:ascii="Tahoma" w:hAnsi="Tahoma" w:cs="Tahoma"/>
          <w:sz w:val="16"/>
          <w:szCs w:val="16"/>
        </w:rPr>
        <w:footnoteRef/>
      </w:r>
      <w:r w:rsidRPr="003369B5">
        <w:rPr>
          <w:rFonts w:ascii="Tahoma" w:hAnsi="Tahoma" w:cs="Tahoma"/>
          <w:sz w:val="16"/>
          <w:szCs w:val="16"/>
        </w:rPr>
        <w:t xml:space="preserve"> General Comment No.2 E/C.12/GC/20, Committee on Economic, Social, and Economic Rights, </w:t>
      </w:r>
      <w:hyperlink r:id="rId20">
        <w:r w:rsidRPr="003369B5">
          <w:rPr>
            <w:rStyle w:val="Hyperlink"/>
            <w:rFonts w:ascii="Tahoma" w:hAnsi="Tahoma" w:cs="Tahoma"/>
            <w:color w:val="1155CC"/>
            <w:sz w:val="16"/>
            <w:szCs w:val="16"/>
          </w:rPr>
          <w:t>https://www.refworld.org/docid/4a60961f2.html</w:t>
        </w:r>
      </w:hyperlink>
      <w:r>
        <w:rPr>
          <w:sz w:val="18"/>
          <w:szCs w:val="18"/>
        </w:rPr>
        <w:t xml:space="preserve"> </w:t>
      </w:r>
    </w:p>
  </w:footnote>
  <w:footnote w:id="27">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“HIV Prevention, Diagnosis, Treatment and Care for Key Populations,” </w:t>
      </w:r>
      <w:hyperlink r:id="rId21">
        <w:r w:rsidRPr="003369B5">
          <w:rPr>
            <w:rStyle w:val="Hyperlink"/>
            <w:rFonts w:ascii="Tahoma" w:hAnsi="Tahoma" w:cs="Tahoma"/>
            <w:color w:val="1155CC"/>
            <w:sz w:val="16"/>
            <w:szCs w:val="16"/>
          </w:rPr>
          <w:t>https://apps.who.int/iris/bitstream/handle/10665/258967/WHO-HIV-2017.05-eng.pdf;jsessionid=0820526977250B4F83EB63B26DDFF2C2?sequence=1</w:t>
        </w:r>
      </w:hyperlink>
    </w:p>
  </w:footnote>
  <w:footnote w:id="28">
    <w:p w:rsidR="005B71BC"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General Comment No.22, Committee on Economic, Social, and Cultural Rights, </w:t>
      </w:r>
      <w:hyperlink r:id="rId22">
        <w:r w:rsidRPr="003369B5">
          <w:rPr>
            <w:rStyle w:val="Hyperlink"/>
            <w:rFonts w:ascii="Tahoma" w:hAnsi="Tahoma" w:cs="Tahoma"/>
            <w:color w:val="1155CC"/>
            <w:sz w:val="16"/>
            <w:szCs w:val="16"/>
          </w:rPr>
          <w:t>http://docstore.ohchr.org/SelfServices/FilesHandler.ashx?enc=4slQ6QSmlBEDzFEovLCuW1a0Szab0oXTdImnsJZZVQfQejF41Tob4CvIjeTiAP6sGFQktiae1vlbbOAekmaOwDOWsUe7N8TLm%2BP3HJPzxjHySkUoHMavD%2Fpyfcp3Ylzg</w:t>
        </w:r>
      </w:hyperlink>
      <w:r>
        <w:rPr>
          <w:rFonts w:ascii="Tahoma" w:hAnsi="Tahoma" w:cs="Tahoma"/>
          <w:sz w:val="16"/>
          <w:szCs w:val="16"/>
        </w:rPr>
        <w:t xml:space="preserve"> </w:t>
      </w:r>
    </w:p>
  </w:footnote>
  <w:footnote w:id="29">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Ibid. </w:t>
      </w:r>
    </w:p>
  </w:footnote>
  <w:footnote w:id="30">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HRC Advisory Committee’s Study A/HRC/22/71, </w:t>
      </w:r>
      <w:hyperlink r:id="rId23">
        <w:r w:rsidRPr="003369B5">
          <w:rPr>
            <w:rStyle w:val="Hyperlink"/>
            <w:rFonts w:ascii="Tahoma" w:hAnsi="Tahoma" w:cs="Tahoma"/>
            <w:color w:val="1155CC"/>
            <w:sz w:val="16"/>
            <w:szCs w:val="16"/>
          </w:rPr>
          <w:t>https://www.ohchr.org/documents/HRBodies/HRCouncil/AdvisoryCom/Session10/A.HRC.22.71_en.pdf</w:t>
        </w:r>
      </w:hyperlink>
      <w:r w:rsidRPr="003369B5">
        <w:rPr>
          <w:rFonts w:ascii="Tahoma" w:hAnsi="Tahoma" w:cs="Tahoma"/>
          <w:sz w:val="16"/>
          <w:szCs w:val="16"/>
        </w:rPr>
        <w:t xml:space="preserve"> </w:t>
      </w:r>
    </w:p>
  </w:footnote>
  <w:footnote w:id="31">
    <w:p w:rsidR="005B71BC" w:rsidRDefault="003369B5">
      <w:pPr>
        <w:rPr>
          <w:sz w:val="18"/>
          <w:szCs w:val="18"/>
        </w:rPr>
      </w:pPr>
      <w:r w:rsidRPr="003369B5">
        <w:rPr>
          <w:rStyle w:val="FootnoteCharacters"/>
          <w:rFonts w:ascii="Tahoma" w:hAnsi="Tahoma" w:cs="Tahoma"/>
          <w:sz w:val="16"/>
          <w:szCs w:val="16"/>
        </w:rPr>
        <w:footnoteRef/>
      </w:r>
      <w:r w:rsidRPr="003369B5">
        <w:rPr>
          <w:rFonts w:ascii="Tahoma" w:hAnsi="Tahoma" w:cs="Tahoma"/>
          <w:sz w:val="16"/>
          <w:szCs w:val="16"/>
        </w:rPr>
        <w:t xml:space="preserve"> Ibid., para 11</w:t>
      </w:r>
    </w:p>
  </w:footnote>
  <w:footnote w:id="32">
    <w:p w:rsidR="005B71BC" w:rsidRPr="003369B5" w:rsidRDefault="003369B5">
      <w:pPr>
        <w:rPr>
          <w:rFonts w:ascii="Tahoma" w:hAnsi="Tahoma" w:cs="Tahoma"/>
          <w:sz w:val="16"/>
          <w:szCs w:val="16"/>
        </w:rPr>
      </w:pPr>
      <w:r w:rsidRPr="003369B5">
        <w:rPr>
          <w:rStyle w:val="FootnoteCharacters"/>
          <w:rFonts w:ascii="Tahoma" w:hAnsi="Tahoma" w:cs="Tahoma"/>
          <w:sz w:val="16"/>
          <w:szCs w:val="16"/>
        </w:rPr>
        <w:footnoteRef/>
      </w:r>
      <w:r w:rsidRPr="003369B5">
        <w:rPr>
          <w:rFonts w:ascii="Tahoma" w:hAnsi="Tahoma" w:cs="Tahoma"/>
          <w:sz w:val="16"/>
          <w:szCs w:val="16"/>
        </w:rPr>
        <w:t xml:space="preserve"> Constitution of the Republic of Tajikistan, </w:t>
      </w:r>
      <w:hyperlink r:id="rId24">
        <w:r w:rsidRPr="003369B5">
          <w:rPr>
            <w:rStyle w:val="Hyperlink"/>
            <w:rFonts w:ascii="Tahoma" w:hAnsi="Tahoma" w:cs="Tahoma"/>
            <w:color w:val="1155CC"/>
            <w:sz w:val="16"/>
            <w:szCs w:val="16"/>
          </w:rPr>
          <w:t>https://www.wipo.int/edocs/lexdocs/laws/ru/tj/tj001ru.pdf</w:t>
        </w:r>
      </w:hyperlink>
      <w:r w:rsidRPr="003369B5">
        <w:rPr>
          <w:rFonts w:ascii="Tahoma" w:hAnsi="Tahoma" w:cs="Tahoma"/>
          <w:sz w:val="16"/>
          <w:szCs w:val="16"/>
        </w:rPr>
        <w:t xml:space="preserve"> </w:t>
      </w:r>
    </w:p>
  </w:footnote>
  <w:footnote w:id="33">
    <w:p w:rsidR="005B71BC" w:rsidRDefault="003369B5">
      <w:pPr>
        <w:rPr>
          <w:sz w:val="18"/>
          <w:szCs w:val="18"/>
        </w:rPr>
      </w:pPr>
      <w:r w:rsidRPr="003369B5">
        <w:rPr>
          <w:rStyle w:val="FootnoteCharacters"/>
          <w:rFonts w:ascii="Tahoma" w:hAnsi="Tahoma" w:cs="Tahoma"/>
          <w:sz w:val="16"/>
          <w:szCs w:val="16"/>
        </w:rPr>
        <w:footnoteRef/>
      </w:r>
      <w:r w:rsidRPr="003369B5">
        <w:rPr>
          <w:rFonts w:ascii="Tahoma" w:hAnsi="Tahoma" w:cs="Tahoma"/>
          <w:sz w:val="16"/>
          <w:szCs w:val="16"/>
        </w:rPr>
        <w:t xml:space="preserve"> Ibid.</w:t>
      </w:r>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1BC" w:rsidRDefault="003369B5">
    <w:pPr>
      <w:jc w:val="right"/>
      <w:rPr>
        <w:sz w:val="20"/>
        <w:szCs w:val="20"/>
      </w:rPr>
    </w:pPr>
    <w:r>
      <w:rPr>
        <w:noProof/>
        <w:sz w:val="20"/>
        <w:szCs w:val="20"/>
        <w:lang w:val="en-GB" w:eastAsia="en-GB"/>
      </w:rPr>
      <w:drawing>
        <wp:anchor distT="0" distB="0" distL="0" distR="0" simplePos="0" relativeHeight="16" behindDoc="1" locked="0" layoutInCell="1" allowOverlap="1">
          <wp:simplePos x="0" y="0"/>
          <wp:positionH relativeFrom="column">
            <wp:posOffset>1147445</wp:posOffset>
          </wp:positionH>
          <wp:positionV relativeFrom="paragraph">
            <wp:posOffset>635</wp:posOffset>
          </wp:positionV>
          <wp:extent cx="5674360" cy="1069213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7"/>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1BC" w:rsidRDefault="003369B5">
    <w:pPr>
      <w:jc w:val="right"/>
      <w:rPr>
        <w:sz w:val="20"/>
        <w:szCs w:val="20"/>
      </w:rPr>
    </w:pPr>
    <w:r>
      <w:rPr>
        <w:noProof/>
        <w:sz w:val="20"/>
        <w:szCs w:val="20"/>
        <w:lang w:val="en-GB" w:eastAsia="en-GB"/>
      </w:rPr>
      <w:drawing>
        <wp:anchor distT="0" distB="0" distL="0" distR="0" simplePos="0" relativeHeight="2" behindDoc="1" locked="0" layoutInCell="1" allowOverlap="1">
          <wp:simplePos x="0" y="0"/>
          <wp:positionH relativeFrom="column">
            <wp:posOffset>1171575</wp:posOffset>
          </wp:positionH>
          <wp:positionV relativeFrom="paragraph">
            <wp:posOffset>-44450</wp:posOffset>
          </wp:positionV>
          <wp:extent cx="5674360" cy="10692130"/>
          <wp:effectExtent l="0" t="0" r="0" b="0"/>
          <wp:wrapNone/>
          <wp:docPr id="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4"/>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p w:rsidR="005B71BC" w:rsidRDefault="005B71BC">
    <w:pPr>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55645"/>
    <w:multiLevelType w:val="multilevel"/>
    <w:tmpl w:val="BC0C9EDC"/>
    <w:lvl w:ilvl="0">
      <w:start w:val="1"/>
      <w:numFmt w:val="bullet"/>
      <w:lvlText w:val="-"/>
      <w:lvlJc w:val="left"/>
      <w:pPr>
        <w:ind w:left="2880" w:hanging="360"/>
      </w:pPr>
      <w:rPr>
        <w:rFonts w:ascii="OpenSymbol" w:hAnsi="OpenSymbol" w:cs="OpenSymbol" w:hint="default"/>
        <w:strike w:val="0"/>
        <w:dstrike w:val="0"/>
        <w:u w:val="none"/>
        <w:effect w:val="none"/>
      </w:rPr>
    </w:lvl>
    <w:lvl w:ilvl="1">
      <w:start w:val="1"/>
      <w:numFmt w:val="bullet"/>
      <w:lvlText w:val="-"/>
      <w:lvlJc w:val="left"/>
      <w:pPr>
        <w:ind w:left="3600" w:hanging="360"/>
      </w:pPr>
      <w:rPr>
        <w:rFonts w:ascii="OpenSymbol" w:hAnsi="OpenSymbol" w:cs="OpenSymbol" w:hint="default"/>
        <w:strike w:val="0"/>
        <w:dstrike w:val="0"/>
        <w:u w:val="none"/>
        <w:effect w:val="none"/>
      </w:rPr>
    </w:lvl>
    <w:lvl w:ilvl="2">
      <w:start w:val="1"/>
      <w:numFmt w:val="bullet"/>
      <w:lvlText w:val="-"/>
      <w:lvlJc w:val="left"/>
      <w:pPr>
        <w:ind w:left="4320" w:hanging="360"/>
      </w:pPr>
      <w:rPr>
        <w:rFonts w:ascii="OpenSymbol" w:hAnsi="OpenSymbol" w:cs="OpenSymbol" w:hint="default"/>
        <w:strike w:val="0"/>
        <w:dstrike w:val="0"/>
        <w:u w:val="none"/>
        <w:effect w:val="none"/>
      </w:rPr>
    </w:lvl>
    <w:lvl w:ilvl="3">
      <w:start w:val="1"/>
      <w:numFmt w:val="bullet"/>
      <w:lvlText w:val="-"/>
      <w:lvlJc w:val="left"/>
      <w:pPr>
        <w:ind w:left="5040" w:hanging="360"/>
      </w:pPr>
      <w:rPr>
        <w:rFonts w:ascii="OpenSymbol" w:hAnsi="OpenSymbol" w:cs="OpenSymbol" w:hint="default"/>
        <w:strike w:val="0"/>
        <w:dstrike w:val="0"/>
        <w:u w:val="none"/>
        <w:effect w:val="none"/>
      </w:rPr>
    </w:lvl>
    <w:lvl w:ilvl="4">
      <w:start w:val="1"/>
      <w:numFmt w:val="bullet"/>
      <w:lvlText w:val="-"/>
      <w:lvlJc w:val="left"/>
      <w:pPr>
        <w:ind w:left="5760" w:hanging="360"/>
      </w:pPr>
      <w:rPr>
        <w:rFonts w:ascii="OpenSymbol" w:hAnsi="OpenSymbol" w:cs="OpenSymbol" w:hint="default"/>
        <w:strike w:val="0"/>
        <w:dstrike w:val="0"/>
        <w:u w:val="none"/>
        <w:effect w:val="none"/>
      </w:rPr>
    </w:lvl>
    <w:lvl w:ilvl="5">
      <w:start w:val="1"/>
      <w:numFmt w:val="bullet"/>
      <w:lvlText w:val="-"/>
      <w:lvlJc w:val="left"/>
      <w:pPr>
        <w:ind w:left="6480" w:hanging="360"/>
      </w:pPr>
      <w:rPr>
        <w:rFonts w:ascii="OpenSymbol" w:hAnsi="OpenSymbol" w:cs="OpenSymbol" w:hint="default"/>
        <w:strike w:val="0"/>
        <w:dstrike w:val="0"/>
        <w:u w:val="none"/>
        <w:effect w:val="none"/>
      </w:rPr>
    </w:lvl>
    <w:lvl w:ilvl="6">
      <w:start w:val="1"/>
      <w:numFmt w:val="bullet"/>
      <w:lvlText w:val="-"/>
      <w:lvlJc w:val="left"/>
      <w:pPr>
        <w:ind w:left="7200" w:hanging="360"/>
      </w:pPr>
      <w:rPr>
        <w:rFonts w:ascii="OpenSymbol" w:hAnsi="OpenSymbol" w:cs="OpenSymbol" w:hint="default"/>
        <w:strike w:val="0"/>
        <w:dstrike w:val="0"/>
        <w:u w:val="none"/>
        <w:effect w:val="none"/>
      </w:rPr>
    </w:lvl>
    <w:lvl w:ilvl="7">
      <w:start w:val="1"/>
      <w:numFmt w:val="bullet"/>
      <w:lvlText w:val="-"/>
      <w:lvlJc w:val="left"/>
      <w:pPr>
        <w:ind w:left="7920" w:hanging="360"/>
      </w:pPr>
      <w:rPr>
        <w:rFonts w:ascii="OpenSymbol" w:hAnsi="OpenSymbol" w:cs="OpenSymbol" w:hint="default"/>
        <w:strike w:val="0"/>
        <w:dstrike w:val="0"/>
        <w:u w:val="none"/>
        <w:effect w:val="none"/>
      </w:rPr>
    </w:lvl>
    <w:lvl w:ilvl="8">
      <w:start w:val="1"/>
      <w:numFmt w:val="bullet"/>
      <w:lvlText w:val="-"/>
      <w:lvlJc w:val="left"/>
      <w:pPr>
        <w:ind w:left="8640" w:hanging="360"/>
      </w:pPr>
      <w:rPr>
        <w:rFonts w:ascii="OpenSymbol" w:hAnsi="OpenSymbol" w:cs="OpenSymbol" w:hint="default"/>
        <w:strike w:val="0"/>
        <w:dstrike w:val="0"/>
        <w:u w:val="none"/>
        <w:effect w:val="none"/>
      </w:rPr>
    </w:lvl>
  </w:abstractNum>
  <w:abstractNum w:abstractNumId="1" w15:restartNumberingAfterBreak="0">
    <w:nsid w:val="403D1CD8"/>
    <w:multiLevelType w:val="multilevel"/>
    <w:tmpl w:val="7C8441A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53680D69"/>
    <w:multiLevelType w:val="multilevel"/>
    <w:tmpl w:val="4BE4DA0A"/>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3" w15:restartNumberingAfterBreak="0">
    <w:nsid w:val="68042497"/>
    <w:multiLevelType w:val="multilevel"/>
    <w:tmpl w:val="F1748DC0"/>
    <w:lvl w:ilvl="0">
      <w:start w:val="1"/>
      <w:numFmt w:val="bullet"/>
      <w:lvlText w:val="-"/>
      <w:lvlJc w:val="left"/>
      <w:pPr>
        <w:ind w:left="1440" w:hanging="360"/>
      </w:pPr>
      <w:rPr>
        <w:rFonts w:ascii="OpenSymbol" w:hAnsi="OpenSymbol" w:cs="OpenSymbol" w:hint="default"/>
        <w:strike w:val="0"/>
        <w:dstrike w:val="0"/>
        <w:u w:val="none"/>
        <w:effect w:val="none"/>
      </w:rPr>
    </w:lvl>
    <w:lvl w:ilvl="1">
      <w:start w:val="1"/>
      <w:numFmt w:val="bullet"/>
      <w:lvlText w:val="-"/>
      <w:lvlJc w:val="left"/>
      <w:pPr>
        <w:ind w:left="2160" w:hanging="360"/>
      </w:pPr>
      <w:rPr>
        <w:rFonts w:ascii="OpenSymbol" w:hAnsi="OpenSymbol" w:cs="OpenSymbol" w:hint="default"/>
        <w:strike w:val="0"/>
        <w:dstrike w:val="0"/>
        <w:u w:val="none"/>
        <w:effect w:val="none"/>
      </w:rPr>
    </w:lvl>
    <w:lvl w:ilvl="2">
      <w:start w:val="1"/>
      <w:numFmt w:val="bullet"/>
      <w:lvlText w:val="-"/>
      <w:lvlJc w:val="left"/>
      <w:pPr>
        <w:ind w:left="2880" w:hanging="360"/>
      </w:pPr>
      <w:rPr>
        <w:rFonts w:ascii="OpenSymbol" w:hAnsi="OpenSymbol" w:cs="OpenSymbol" w:hint="default"/>
        <w:strike w:val="0"/>
        <w:dstrike w:val="0"/>
        <w:u w:val="none"/>
        <w:effect w:val="none"/>
      </w:rPr>
    </w:lvl>
    <w:lvl w:ilvl="3">
      <w:start w:val="1"/>
      <w:numFmt w:val="bullet"/>
      <w:lvlText w:val="-"/>
      <w:lvlJc w:val="left"/>
      <w:pPr>
        <w:ind w:left="3600" w:hanging="360"/>
      </w:pPr>
      <w:rPr>
        <w:rFonts w:ascii="OpenSymbol" w:hAnsi="OpenSymbol" w:cs="OpenSymbol" w:hint="default"/>
        <w:strike w:val="0"/>
        <w:dstrike w:val="0"/>
        <w:u w:val="none"/>
        <w:effect w:val="none"/>
      </w:rPr>
    </w:lvl>
    <w:lvl w:ilvl="4">
      <w:start w:val="1"/>
      <w:numFmt w:val="bullet"/>
      <w:lvlText w:val="-"/>
      <w:lvlJc w:val="left"/>
      <w:pPr>
        <w:ind w:left="4320" w:hanging="360"/>
      </w:pPr>
      <w:rPr>
        <w:rFonts w:ascii="OpenSymbol" w:hAnsi="OpenSymbol" w:cs="OpenSymbol" w:hint="default"/>
        <w:strike w:val="0"/>
        <w:dstrike w:val="0"/>
        <w:u w:val="none"/>
        <w:effect w:val="none"/>
      </w:rPr>
    </w:lvl>
    <w:lvl w:ilvl="5">
      <w:start w:val="1"/>
      <w:numFmt w:val="bullet"/>
      <w:lvlText w:val="-"/>
      <w:lvlJc w:val="left"/>
      <w:pPr>
        <w:ind w:left="5040" w:hanging="360"/>
      </w:pPr>
      <w:rPr>
        <w:rFonts w:ascii="OpenSymbol" w:hAnsi="OpenSymbol" w:cs="OpenSymbol" w:hint="default"/>
        <w:strike w:val="0"/>
        <w:dstrike w:val="0"/>
        <w:u w:val="none"/>
        <w:effect w:val="none"/>
      </w:rPr>
    </w:lvl>
    <w:lvl w:ilvl="6">
      <w:start w:val="1"/>
      <w:numFmt w:val="bullet"/>
      <w:lvlText w:val="-"/>
      <w:lvlJc w:val="left"/>
      <w:pPr>
        <w:ind w:left="5760" w:hanging="360"/>
      </w:pPr>
      <w:rPr>
        <w:rFonts w:ascii="OpenSymbol" w:hAnsi="OpenSymbol" w:cs="OpenSymbol" w:hint="default"/>
        <w:strike w:val="0"/>
        <w:dstrike w:val="0"/>
        <w:u w:val="none"/>
        <w:effect w:val="none"/>
      </w:rPr>
    </w:lvl>
    <w:lvl w:ilvl="7">
      <w:start w:val="1"/>
      <w:numFmt w:val="bullet"/>
      <w:lvlText w:val="-"/>
      <w:lvlJc w:val="left"/>
      <w:pPr>
        <w:ind w:left="6480" w:hanging="360"/>
      </w:pPr>
      <w:rPr>
        <w:rFonts w:ascii="OpenSymbol" w:hAnsi="OpenSymbol" w:cs="OpenSymbol" w:hint="default"/>
        <w:strike w:val="0"/>
        <w:dstrike w:val="0"/>
        <w:u w:val="none"/>
        <w:effect w:val="none"/>
      </w:rPr>
    </w:lvl>
    <w:lvl w:ilvl="8">
      <w:start w:val="1"/>
      <w:numFmt w:val="bullet"/>
      <w:lvlText w:val="-"/>
      <w:lvlJc w:val="left"/>
      <w:pPr>
        <w:ind w:left="7200" w:hanging="360"/>
      </w:pPr>
      <w:rPr>
        <w:rFonts w:ascii="OpenSymbol" w:hAnsi="OpenSymbol" w:cs="OpenSymbol" w:hint="default"/>
        <w:strike w:val="0"/>
        <w:dstrike w:val="0"/>
        <w:u w:val="none"/>
        <w:effect w:val="no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1BC"/>
    <w:rsid w:val="003211F1"/>
    <w:rsid w:val="003369B5"/>
    <w:rsid w:val="005B71BC"/>
    <w:rsid w:val="007E2282"/>
    <w:rsid w:val="00865AAD"/>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2318D3-DA2C-4C9E-8C25-C30BC414D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6E238A"/>
  </w:style>
  <w:style w:type="character" w:customStyle="1" w:styleId="FooterChar">
    <w:name w:val="Footer Char"/>
    <w:basedOn w:val="DefaultParagraphFont"/>
    <w:link w:val="Footer"/>
    <w:uiPriority w:val="99"/>
    <w:qFormat/>
    <w:rsid w:val="006E238A"/>
  </w:style>
  <w:style w:type="character" w:styleId="Hyperlink">
    <w:name w:val="Hyperlink"/>
    <w:basedOn w:val="DefaultParagraphFont"/>
    <w:uiPriority w:val="99"/>
    <w:unhideWhenUsed/>
    <w:rsid w:val="00C27516"/>
    <w:rPr>
      <w:color w:val="0000FF"/>
      <w:u w:val="single"/>
    </w:rPr>
  </w:style>
  <w:style w:type="character" w:customStyle="1" w:styleId="gd">
    <w:name w:val="gd"/>
    <w:basedOn w:val="DefaultParagraphFont"/>
    <w:qFormat/>
    <w:rsid w:val="003B4EB7"/>
  </w:style>
  <w:style w:type="character" w:customStyle="1" w:styleId="FootnoteTextChar">
    <w:name w:val="Footnote Text Char"/>
    <w:basedOn w:val="DefaultParagraphFont"/>
    <w:link w:val="FootnoteText"/>
    <w:uiPriority w:val="99"/>
    <w:semiHidden/>
    <w:qFormat/>
    <w:rsid w:val="002450D8"/>
    <w:rPr>
      <w:sz w:val="20"/>
      <w:szCs w:val="20"/>
    </w:rPr>
  </w:style>
  <w:style w:type="character" w:customStyle="1" w:styleId="FootnoteCharacters">
    <w:name w:val="Footnote Characters"/>
    <w:basedOn w:val="DefaultParagraphFont"/>
    <w:uiPriority w:val="99"/>
    <w:semiHidden/>
    <w:unhideWhenUsed/>
    <w:qFormat/>
    <w:rsid w:val="002450D8"/>
    <w:rPr>
      <w:vertAlign w:val="superscript"/>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customStyle="1" w:styleId="BalloonTextChar">
    <w:name w:val="Balloon Text Char"/>
    <w:basedOn w:val="DefaultParagraphFont"/>
    <w:link w:val="BalloonText"/>
    <w:uiPriority w:val="99"/>
    <w:semiHidden/>
    <w:qFormat/>
    <w:rsid w:val="00B9658F"/>
    <w:rPr>
      <w:rFonts w:ascii="Segoe UI" w:hAnsi="Segoe UI" w:cs="Segoe UI"/>
      <w:sz w:val="18"/>
      <w:szCs w:val="18"/>
    </w:rPr>
  </w:style>
  <w:style w:type="character" w:styleId="FollowedHyperlink">
    <w:name w:val="FollowedHyperlink"/>
    <w:basedOn w:val="DefaultParagraphFont"/>
    <w:uiPriority w:val="99"/>
    <w:semiHidden/>
    <w:unhideWhenUsed/>
    <w:rsid w:val="00837D82"/>
    <w:rPr>
      <w:color w:val="800080" w:themeColor="followedHyperlink"/>
      <w:u w:val="single"/>
    </w:rPr>
  </w:style>
  <w:style w:type="character" w:customStyle="1" w:styleId="UnresolvedMention1">
    <w:name w:val="Unresolved Mention1"/>
    <w:basedOn w:val="DefaultParagraphFont"/>
    <w:uiPriority w:val="99"/>
    <w:semiHidden/>
    <w:unhideWhenUsed/>
    <w:qFormat/>
    <w:rsid w:val="00837D82"/>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qFormat/>
    <w:pPr>
      <w:keepNext/>
      <w:keepLines/>
      <w:spacing w:before="480" w:after="120"/>
    </w:pPr>
    <w:rPr>
      <w:b/>
      <w:sz w:val="72"/>
      <w:szCs w:val="72"/>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customStyle="1" w:styleId="HeaderandFooter">
    <w:name w:val="Header and Footer"/>
    <w:basedOn w:val="Normal"/>
    <w:qFormat/>
  </w:style>
  <w:style w:type="paragraph" w:styleId="Header">
    <w:name w:val="header"/>
    <w:basedOn w:val="Normal"/>
    <w:link w:val="HeaderChar"/>
    <w:uiPriority w:val="99"/>
    <w:unhideWhenUsed/>
    <w:rsid w:val="006E238A"/>
    <w:pPr>
      <w:tabs>
        <w:tab w:val="center" w:pos="4680"/>
        <w:tab w:val="right" w:pos="9360"/>
      </w:tabs>
    </w:pPr>
  </w:style>
  <w:style w:type="paragraph" w:styleId="Footer">
    <w:name w:val="footer"/>
    <w:basedOn w:val="Normal"/>
    <w:link w:val="FooterChar"/>
    <w:uiPriority w:val="99"/>
    <w:unhideWhenUsed/>
    <w:rsid w:val="006E238A"/>
    <w:pPr>
      <w:tabs>
        <w:tab w:val="center" w:pos="4680"/>
        <w:tab w:val="right" w:pos="9360"/>
      </w:tabs>
    </w:pPr>
  </w:style>
  <w:style w:type="paragraph" w:styleId="ListParagraph">
    <w:name w:val="List Paragraph"/>
    <w:basedOn w:val="Normal"/>
    <w:uiPriority w:val="34"/>
    <w:qFormat/>
    <w:rsid w:val="007008AB"/>
    <w:pPr>
      <w:ind w:left="720"/>
      <w:contextualSpacing/>
    </w:pPr>
  </w:style>
  <w:style w:type="paragraph" w:styleId="FootnoteText">
    <w:name w:val="footnote text"/>
    <w:basedOn w:val="Normal"/>
    <w:link w:val="FootnoteTextChar"/>
    <w:uiPriority w:val="99"/>
    <w:semiHidden/>
    <w:unhideWhenUsed/>
    <w:rsid w:val="002450D8"/>
    <w:rPr>
      <w:sz w:val="20"/>
      <w:szCs w:val="20"/>
    </w:rPr>
  </w:style>
  <w:style w:type="paragraph" w:styleId="CommentText">
    <w:name w:val="annotation text"/>
    <w:basedOn w:val="Normal"/>
    <w:link w:val="CommentTextChar"/>
    <w:uiPriority w:val="99"/>
    <w:semiHidden/>
    <w:unhideWhenUsed/>
    <w:qFormat/>
    <w:rPr>
      <w:sz w:val="20"/>
      <w:szCs w:val="20"/>
    </w:rPr>
  </w:style>
  <w:style w:type="paragraph" w:styleId="BalloonText">
    <w:name w:val="Balloon Text"/>
    <w:basedOn w:val="Normal"/>
    <w:link w:val="BalloonTextChar"/>
    <w:uiPriority w:val="99"/>
    <w:semiHidden/>
    <w:unhideWhenUsed/>
    <w:qFormat/>
    <w:rsid w:val="00B9658F"/>
    <w:rPr>
      <w:rFonts w:ascii="Segoe UI" w:hAnsi="Segoe UI" w:cs="Segoe UI"/>
      <w:sz w:val="18"/>
      <w:szCs w:val="18"/>
    </w:rPr>
  </w:style>
  <w:style w:type="table" w:styleId="TableGrid">
    <w:name w:val="Table Grid"/>
    <w:basedOn w:val="TableNormal"/>
    <w:uiPriority w:val="39"/>
    <w:rsid w:val="00375F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yuri@ecom.ngo" TargetMode="External"/><Relationship Id="rId4" Type="http://schemas.openxmlformats.org/officeDocument/2006/relationships/settings" Target="settings.xml"/><Relationship Id="rId9" Type="http://schemas.openxmlformats.org/officeDocument/2006/relationships/hyperlink" Target="http://www.ecom.ngo/"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Documents/Publications/Factsheet31.pdf" TargetMode="External"/><Relationship Id="rId13" Type="http://schemas.openxmlformats.org/officeDocument/2006/relationships/hyperlink" Target="https://www.who.int/bulletin/volumes/92/9/14-135541/en/" TargetMode="External"/><Relationship Id="rId18" Type="http://schemas.openxmlformats.org/officeDocument/2006/relationships/hyperlink" Target="https://www.bbc.com/news/health-48448804" TargetMode="External"/><Relationship Id="rId3" Type="http://schemas.openxmlformats.org/officeDocument/2006/relationships/hyperlink" Target="https://www.wipo.int/edocs/lexdocs/laws/ru/tj/tj023ru.pdf" TargetMode="External"/><Relationship Id="rId21" Type="http://schemas.openxmlformats.org/officeDocument/2006/relationships/hyperlink" Target="https://apps.who.int/iris/bitstream/handle/10665/258967/WHO-HIV-2017.05-eng.pdf;jsessionid=0820526977250B4F83EB63B26DDFF2C2?sequence=1" TargetMode="External"/><Relationship Id="rId7" Type="http://schemas.openxmlformats.org/officeDocument/2006/relationships/hyperlink" Target="https://www.un.org/en/universal-declaration-human-rights/" TargetMode="External"/><Relationship Id="rId12" Type="http://schemas.openxmlformats.org/officeDocument/2006/relationships/hyperlink" Target="https://undocs.org/A/HRC/44/53" TargetMode="External"/><Relationship Id="rId17" Type="http://schemas.openxmlformats.org/officeDocument/2006/relationships/hyperlink" Target="https://hudoc.echr.coe.int/eng" TargetMode="External"/><Relationship Id="rId2" Type="http://schemas.openxmlformats.org/officeDocument/2006/relationships/hyperlink" Target="https://www.wipo.int/edocs/lexdocs/laws/ru/tj/tj023ru.pdf" TargetMode="External"/><Relationship Id="rId16" Type="http://schemas.openxmlformats.org/officeDocument/2006/relationships/hyperlink" Target="https://www.wipo.int/edocs/lexdocs/laws/ru/tj/tj001ru.pdf" TargetMode="External"/><Relationship Id="rId20" Type="http://schemas.openxmlformats.org/officeDocument/2006/relationships/hyperlink" Target="https://www.refworld.org/docid/4a60961f2.html" TargetMode="External"/><Relationship Id="rId1" Type="http://schemas.openxmlformats.org/officeDocument/2006/relationships/hyperlink" Target="https://www.wipo.int/edocs/lexdocs/laws/ru/tj/tj001ru.pdf" TargetMode="External"/><Relationship Id="rId6" Type="http://schemas.openxmlformats.org/officeDocument/2006/relationships/hyperlink" Target="https://www.wipo.int/edocs/lexdocs/laws/ru/tj/tj001ru.pdf" TargetMode="External"/><Relationship Id="rId11" Type="http://schemas.openxmlformats.org/officeDocument/2006/relationships/hyperlink" Target="https://rus.ozodi.org/a/29744170.html" TargetMode="External"/><Relationship Id="rId24" Type="http://schemas.openxmlformats.org/officeDocument/2006/relationships/hyperlink" Target="https://www.wipo.int/edocs/lexdocs/laws/ru/tj/tj001ru.pdf" TargetMode="External"/><Relationship Id="rId5" Type="http://schemas.openxmlformats.org/officeDocument/2006/relationships/hyperlink" Target="https://www.unaids.org/en/regionscountries/countries/tajikistan" TargetMode="External"/><Relationship Id="rId15" Type="http://schemas.openxmlformats.org/officeDocument/2006/relationships/hyperlink" Target="https://www.ohchr.org/Documents/Publications/SDecisionsVol5en.pdf" TargetMode="External"/><Relationship Id="rId23" Type="http://schemas.openxmlformats.org/officeDocument/2006/relationships/hyperlink" Target="https://www.ohchr.org/documents/HRBodies/HRCouncil/AdvisoryCom/Session10/A.HRC.22.71_en.pdf" TargetMode="External"/><Relationship Id="rId10" Type="http://schemas.openxmlformats.org/officeDocument/2006/relationships/hyperlink" Target="https://tbinternet.ohchr.org/Treaties/CAT/Shared%20Documents/TJK/INT_CAT_CSS_TJK_30680_E.pdf" TargetMode="External"/><Relationship Id="rId19" Type="http://schemas.openxmlformats.org/officeDocument/2006/relationships/hyperlink" Target="https://icd.who.int/browse11/l-m/en" TargetMode="External"/><Relationship Id="rId4" Type="http://schemas.openxmlformats.org/officeDocument/2006/relationships/hyperlink" Target="https://online.zakon.kz/Document/?doc_id=38514256" TargetMode="External"/><Relationship Id="rId9" Type="http://schemas.openxmlformats.org/officeDocument/2006/relationships/hyperlink" Target="https://www.who.int/governance/eb/who_constitution_en.pdf" TargetMode="External"/><Relationship Id="rId14" Type="http://schemas.openxmlformats.org/officeDocument/2006/relationships/hyperlink" Target="https://www.who.int/governance/eb/who_constitution_en.pdf" TargetMode="External"/><Relationship Id="rId22" Type="http://schemas.openxmlformats.org/officeDocument/2006/relationships/hyperlink" Target="http://docstore.ohchr.org/SelfServices/FilesHandler.ashx?enc=4slQ6QSmlBEDzFEovLCuW1a0Szab0oXTdImnsJZZVQfQejF41Tob4CvIjeTiAP6sGFQktiae1vlbbOAekmaOwDOWsUe7N8TLm%2BP3HJPzxjHySkUoHMavD%2Fpyfcp3Ylz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F353C9-227A-4D37-8C67-D532A1384887}">
  <ds:schemaRefs>
    <ds:schemaRef ds:uri="http://schemas.openxmlformats.org/officeDocument/2006/bibliography"/>
  </ds:schemaRefs>
</ds:datastoreItem>
</file>

<file path=customXml/itemProps2.xml><?xml version="1.0" encoding="utf-8"?>
<ds:datastoreItem xmlns:ds="http://schemas.openxmlformats.org/officeDocument/2006/customXml" ds:itemID="{D05918A6-33B7-4956-B5DE-E3F022DE9F84}"/>
</file>

<file path=customXml/itemProps3.xml><?xml version="1.0" encoding="utf-8"?>
<ds:datastoreItem xmlns:ds="http://schemas.openxmlformats.org/officeDocument/2006/customXml" ds:itemID="{508AE65B-18A3-410E-911F-F19060DE93AE}"/>
</file>

<file path=customXml/itemProps4.xml><?xml version="1.0" encoding="utf-8"?>
<ds:datastoreItem xmlns:ds="http://schemas.openxmlformats.org/officeDocument/2006/customXml" ds:itemID="{D6A90715-F12D-4EA4-B8DF-46DC5E31402F}"/>
</file>

<file path=docProps/app.xml><?xml version="1.0" encoding="utf-8"?>
<Properties xmlns="http://schemas.openxmlformats.org/officeDocument/2006/extended-properties" xmlns:vt="http://schemas.openxmlformats.org/officeDocument/2006/docPropsVTypes">
  <Template>Normal.dotm</Template>
  <TotalTime>0</TotalTime>
  <Pages>15</Pages>
  <Words>8276</Words>
  <Characters>47179</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Tolaïni Sabine</cp:lastModifiedBy>
  <cp:revision>2</cp:revision>
  <dcterms:created xsi:type="dcterms:W3CDTF">2020-08-19T11:06:00Z</dcterms:created>
  <dcterms:modified xsi:type="dcterms:W3CDTF">2020-08-19T11:06:00Z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0x010100FAE5DBF0ADA998469064B64F53A76F3C</vt:lpwstr>
  </property>
</Properties>
</file>