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AB5" w:rsidRDefault="00B73AB5" w:rsidP="00B73AB5">
      <w:pPr>
        <w:spacing w:after="0" w:line="240" w:lineRule="auto"/>
        <w:jc w:val="center"/>
        <w:rPr>
          <w:rFonts w:ascii="Arial" w:hAnsi="Arial" w:cs="Arial"/>
          <w:b/>
          <w:sz w:val="24"/>
          <w:szCs w:val="24"/>
        </w:rPr>
      </w:pPr>
      <w:r>
        <w:rPr>
          <w:noProof/>
        </w:rPr>
        <w:drawing>
          <wp:inline distT="0" distB="0" distL="0" distR="0" wp14:anchorId="2507D324" wp14:editId="383BC254">
            <wp:extent cx="1455089" cy="1113183"/>
            <wp:effectExtent l="0" t="0" r="0" b="0"/>
            <wp:docPr id="1" name="Imagen 1" descr="C:\Users\betames\AppData\Local\Microsoft\Windows\Temporary Internet Files\Content.Outlook\JVHUPULM\LOGO CONMEMORATIV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tames\AppData\Local\Microsoft\Windows\Temporary Internet Files\Content.Outlook\JVHUPULM\LOGO CONMEMORATIVO (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3058" cy="1111629"/>
                    </a:xfrm>
                    <a:prstGeom prst="rect">
                      <a:avLst/>
                    </a:prstGeom>
                    <a:noFill/>
                    <a:ln>
                      <a:noFill/>
                    </a:ln>
                  </pic:spPr>
                </pic:pic>
              </a:graphicData>
            </a:graphic>
          </wp:inline>
        </w:drawing>
      </w:r>
    </w:p>
    <w:p w:rsidR="00B73AB5" w:rsidRDefault="00B73AB5" w:rsidP="00014C0F">
      <w:pPr>
        <w:spacing w:after="0" w:line="240" w:lineRule="auto"/>
        <w:jc w:val="both"/>
        <w:rPr>
          <w:rFonts w:ascii="Arial" w:hAnsi="Arial" w:cs="Arial"/>
          <w:b/>
          <w:sz w:val="24"/>
          <w:szCs w:val="24"/>
        </w:rPr>
      </w:pPr>
    </w:p>
    <w:p w:rsidR="00355A08" w:rsidRDefault="00B73AB5" w:rsidP="00355A08">
      <w:pPr>
        <w:spacing w:after="0" w:line="240" w:lineRule="auto"/>
        <w:jc w:val="both"/>
        <w:rPr>
          <w:rFonts w:ascii="Arial" w:hAnsi="Arial" w:cs="Arial"/>
          <w:b/>
          <w:smallCaps/>
          <w:sz w:val="24"/>
          <w:szCs w:val="24"/>
        </w:rPr>
      </w:pPr>
      <w:r w:rsidRPr="00355A08">
        <w:rPr>
          <w:rFonts w:ascii="Arial" w:hAnsi="Arial" w:cs="Arial"/>
          <w:b/>
          <w:smallCaps/>
          <w:color w:val="000000" w:themeColor="text1"/>
          <w:sz w:val="24"/>
          <w:szCs w:val="24"/>
        </w:rPr>
        <w:t xml:space="preserve">Contribución de la Comisión Nacional de los Derechos Humanos de México (CNDH) al </w:t>
      </w:r>
      <w:r w:rsidRPr="00355A08">
        <w:rPr>
          <w:rFonts w:ascii="Arial" w:hAnsi="Arial" w:cs="Arial"/>
          <w:b/>
          <w:smallCaps/>
          <w:sz w:val="24"/>
          <w:szCs w:val="24"/>
        </w:rPr>
        <w:t>Comité de Derechos Humanos</w:t>
      </w:r>
      <w:r w:rsidR="00355A08" w:rsidRPr="00355A08">
        <w:rPr>
          <w:rFonts w:ascii="Arial" w:hAnsi="Arial" w:cs="Arial"/>
          <w:b/>
          <w:smallCaps/>
          <w:color w:val="000000" w:themeColor="text1"/>
          <w:sz w:val="24"/>
          <w:szCs w:val="24"/>
        </w:rPr>
        <w:t xml:space="preserve"> para la elaboración de la lista de cuestiones relativa a la </w:t>
      </w:r>
      <w:r w:rsidR="00355A08" w:rsidRPr="00355A08">
        <w:rPr>
          <w:rFonts w:ascii="Arial" w:hAnsi="Arial" w:cs="Arial"/>
          <w:b/>
          <w:smallCaps/>
          <w:sz w:val="24"/>
          <w:szCs w:val="24"/>
        </w:rPr>
        <w:t>implementación del Pacto Internacional de Derechos</w:t>
      </w:r>
    </w:p>
    <w:p w:rsidR="00B73AB5" w:rsidRPr="00355A08" w:rsidRDefault="00355A08" w:rsidP="00355A08">
      <w:pPr>
        <w:spacing w:after="0" w:line="240" w:lineRule="auto"/>
        <w:jc w:val="center"/>
        <w:rPr>
          <w:rFonts w:ascii="Arial" w:hAnsi="Arial" w:cs="Arial"/>
          <w:b/>
          <w:smallCaps/>
          <w:sz w:val="24"/>
          <w:szCs w:val="24"/>
        </w:rPr>
      </w:pPr>
      <w:r w:rsidRPr="00355A08">
        <w:rPr>
          <w:rFonts w:ascii="Arial" w:hAnsi="Arial" w:cs="Arial"/>
          <w:b/>
          <w:smallCaps/>
          <w:sz w:val="24"/>
          <w:szCs w:val="24"/>
        </w:rPr>
        <w:t>Civiles y Políticos</w:t>
      </w:r>
    </w:p>
    <w:p w:rsidR="00E43A86" w:rsidRPr="002A39BB" w:rsidRDefault="00E43A86" w:rsidP="00014C0F">
      <w:pPr>
        <w:spacing w:after="0" w:line="240" w:lineRule="auto"/>
        <w:jc w:val="both"/>
        <w:rPr>
          <w:rFonts w:ascii="Arial" w:hAnsi="Arial" w:cs="Arial"/>
          <w:color w:val="000000" w:themeColor="text1"/>
          <w:sz w:val="24"/>
          <w:szCs w:val="24"/>
        </w:rPr>
      </w:pPr>
    </w:p>
    <w:p w:rsidR="00AF0F07" w:rsidRPr="00BE092D" w:rsidRDefault="00AF0F07" w:rsidP="00014C0F">
      <w:pPr>
        <w:spacing w:after="0" w:line="240" w:lineRule="auto"/>
        <w:jc w:val="both"/>
        <w:rPr>
          <w:rFonts w:ascii="Arial" w:hAnsi="Arial" w:cs="Arial"/>
          <w:color w:val="000000" w:themeColor="text1"/>
          <w:sz w:val="24"/>
          <w:szCs w:val="24"/>
        </w:rPr>
      </w:pPr>
    </w:p>
    <w:p w:rsidR="00297E6F" w:rsidRPr="00BE092D" w:rsidRDefault="00297E6F" w:rsidP="00014C0F">
      <w:pPr>
        <w:pStyle w:val="Prrafodelista"/>
        <w:numPr>
          <w:ilvl w:val="0"/>
          <w:numId w:val="10"/>
        </w:numPr>
        <w:ind w:left="357" w:hanging="357"/>
        <w:jc w:val="both"/>
        <w:rPr>
          <w:rFonts w:ascii="Arial" w:eastAsia="Calibri" w:hAnsi="Arial" w:cs="Arial"/>
          <w:lang w:val="es-MX" w:eastAsia="en-US"/>
        </w:rPr>
      </w:pPr>
      <w:r w:rsidRPr="00BE092D">
        <w:rPr>
          <w:rFonts w:ascii="Arial" w:eastAsia="Calibri" w:hAnsi="Arial" w:cs="Arial"/>
          <w:lang w:val="es-MX" w:eastAsia="en-US"/>
        </w:rPr>
        <w:t xml:space="preserve">Respecto de </w:t>
      </w:r>
      <w:r w:rsidRPr="00BE092D">
        <w:rPr>
          <w:rFonts w:ascii="Arial" w:eastAsia="Calibri" w:hAnsi="Arial" w:cs="Arial"/>
          <w:b/>
          <w:lang w:val="es-MX" w:eastAsia="en-US"/>
        </w:rPr>
        <w:t>los puntos 4 y 20, relativos a la falta de protección de personas defensoras de derechos humanos y periodistas y la despenalización de la difamación</w:t>
      </w:r>
      <w:r w:rsidRPr="00BE092D">
        <w:rPr>
          <w:rFonts w:ascii="Arial" w:eastAsia="Calibri" w:hAnsi="Arial" w:cs="Arial"/>
          <w:lang w:val="es-MX" w:eastAsia="en-US"/>
        </w:rPr>
        <w:t xml:space="preserve">, puede informarse que mientras en los años 2000 y 2001, el registro de este organismo nacional relativo a periodistas asesinados fue de 4 por cada año, para los años 2008 y 2009, se registraron 12 y 10 homicidios; de ahí que recién haber tomado posesión al frente de la CNDH y considerando el incremento de las agresiones en perjuicio de periodistas y comunicadores en México, el 11 y 12 de febrero de 2010, su Presidente convocó, en coordinación con la Oficina del Alto Comisionado de las Naciones Unidas para los Derechos Humanos en México y la Secretaría de Gobernación, al diálogo </w:t>
      </w:r>
      <w:r w:rsidRPr="00BE092D">
        <w:rPr>
          <w:rFonts w:ascii="Arial" w:eastAsia="Calibri" w:hAnsi="Arial" w:cs="Arial"/>
          <w:i/>
          <w:lang w:val="es-MX" w:eastAsia="en-US"/>
        </w:rPr>
        <w:t>Hacia un Mecanismo de Protección para Periodistas y Personas Defensoras de los Derechos Humanos;</w:t>
      </w:r>
      <w:r w:rsidRPr="00BE092D">
        <w:rPr>
          <w:rFonts w:ascii="Arial" w:eastAsia="Calibri" w:hAnsi="Arial" w:cs="Arial"/>
          <w:lang w:val="es-MX" w:eastAsia="en-US"/>
        </w:rPr>
        <w:t xml:space="preserve"> encuentro que tuvo como objetivo intercambiar ideas para el diseño de un mecanismo de protección en nuestro país, partiendo de la experiencia internacional y buenas prácticas en materia de protección de defensores y periodistas, cuando su vida, integridad física y psicológica se ven amenazadas.</w:t>
      </w:r>
    </w:p>
    <w:p w:rsidR="00297E6F" w:rsidRPr="00BE092D" w:rsidRDefault="00297E6F" w:rsidP="00014C0F">
      <w:pPr>
        <w:pStyle w:val="Prrafodelista"/>
        <w:ind w:left="357"/>
        <w:jc w:val="both"/>
        <w:rPr>
          <w:rFonts w:ascii="Arial" w:eastAsia="Calibri" w:hAnsi="Arial" w:cs="Arial"/>
          <w:lang w:val="es-MX" w:eastAsia="en-US"/>
        </w:rPr>
      </w:pPr>
    </w:p>
    <w:p w:rsidR="00297E6F" w:rsidRPr="00BE092D" w:rsidRDefault="00297E6F" w:rsidP="00014C0F">
      <w:pPr>
        <w:pStyle w:val="Prrafodelista"/>
        <w:ind w:left="357"/>
        <w:jc w:val="both"/>
        <w:rPr>
          <w:rFonts w:ascii="Arial" w:eastAsia="Calibri" w:hAnsi="Arial" w:cs="Arial"/>
          <w:lang w:val="es-MX" w:eastAsia="en-US"/>
        </w:rPr>
      </w:pPr>
      <w:r w:rsidRPr="00BE092D">
        <w:rPr>
          <w:rFonts w:ascii="Arial" w:eastAsia="Calibri" w:hAnsi="Arial" w:cs="Arial"/>
          <w:lang w:val="es-MX" w:eastAsia="en-US"/>
        </w:rPr>
        <w:t>Durante el Diálogo se establecieron principios básicos para el diseño de un mecanismo de protección para periodistas y personas defensoras de los derechos humanos, tales como la eficacia, agilidad, flexibilidad, confiabilidad, capacidad de reacción inmediata y de adaptación.</w:t>
      </w:r>
    </w:p>
    <w:p w:rsidR="00297E6F" w:rsidRPr="00BE092D" w:rsidRDefault="00297E6F" w:rsidP="00014C0F">
      <w:pPr>
        <w:pStyle w:val="Prrafodelista"/>
        <w:ind w:left="357"/>
        <w:jc w:val="both"/>
        <w:rPr>
          <w:rFonts w:ascii="Arial" w:eastAsia="Calibri" w:hAnsi="Arial" w:cs="Arial"/>
          <w:lang w:val="es-MX" w:eastAsia="en-US"/>
        </w:rPr>
      </w:pPr>
    </w:p>
    <w:p w:rsidR="00297E6F" w:rsidRPr="00BE092D" w:rsidRDefault="00297E6F" w:rsidP="00014C0F">
      <w:pPr>
        <w:pStyle w:val="Prrafodelista"/>
        <w:ind w:left="357"/>
        <w:jc w:val="both"/>
        <w:rPr>
          <w:rFonts w:ascii="Arial" w:eastAsia="Calibri" w:hAnsi="Arial" w:cs="Arial"/>
          <w:lang w:val="es-MX" w:eastAsia="en-US"/>
        </w:rPr>
      </w:pPr>
      <w:r w:rsidRPr="00BE092D">
        <w:rPr>
          <w:rFonts w:ascii="Arial" w:eastAsia="Calibri" w:hAnsi="Arial" w:cs="Arial"/>
          <w:lang w:val="es-MX" w:eastAsia="en-US"/>
        </w:rPr>
        <w:t>Se acordó que, en materia de medidas de prevención y protección, resultaba necesario establecer lineamientos de autoprotección y elaborar manuales y/o protocolos de actuación en casos de alto riesgo.</w:t>
      </w:r>
    </w:p>
    <w:p w:rsidR="00297E6F" w:rsidRPr="00BE092D" w:rsidRDefault="00297E6F" w:rsidP="00014C0F">
      <w:pPr>
        <w:pStyle w:val="Prrafodelista"/>
        <w:ind w:left="357"/>
        <w:jc w:val="both"/>
        <w:rPr>
          <w:rFonts w:ascii="Arial" w:eastAsia="Calibri" w:hAnsi="Arial" w:cs="Arial"/>
          <w:lang w:val="es-MX" w:eastAsia="en-US"/>
        </w:rPr>
      </w:pPr>
    </w:p>
    <w:p w:rsidR="00297E6F" w:rsidRPr="00BE092D" w:rsidRDefault="00297E6F" w:rsidP="00014C0F">
      <w:pPr>
        <w:pStyle w:val="Prrafodelista"/>
        <w:ind w:left="357"/>
        <w:jc w:val="both"/>
        <w:rPr>
          <w:rFonts w:ascii="Arial" w:eastAsia="Calibri" w:hAnsi="Arial" w:cs="Arial"/>
          <w:lang w:val="es-MX" w:eastAsia="en-US"/>
        </w:rPr>
      </w:pPr>
      <w:r w:rsidRPr="00BE092D">
        <w:rPr>
          <w:rFonts w:ascii="Arial" w:eastAsia="Calibri" w:hAnsi="Arial" w:cs="Arial"/>
          <w:lang w:val="es-MX" w:eastAsia="en-US"/>
        </w:rPr>
        <w:t xml:space="preserve">Aunado a lo anterior, considerando el aumento de las agresiones en perjuicio de periodistas y comunicadores, y en seguimiento a los acuerdos tomados para diseñar principios para su más eficaz protección, la CNDH diseñó la </w:t>
      </w:r>
      <w:r w:rsidRPr="00BE092D">
        <w:rPr>
          <w:rFonts w:ascii="Arial" w:eastAsia="Calibri" w:hAnsi="Arial" w:cs="Arial"/>
          <w:i/>
          <w:iCs/>
          <w:lang w:val="es-MX" w:eastAsia="en-US"/>
        </w:rPr>
        <w:t>Guía para implementar medidas cautelares en beneficio de periodistas y comunicadores en México</w:t>
      </w:r>
      <w:r w:rsidRPr="00BE092D">
        <w:rPr>
          <w:rFonts w:ascii="Arial" w:eastAsia="Calibri" w:hAnsi="Arial" w:cs="Arial"/>
          <w:lang w:val="es-MX" w:eastAsia="en-US"/>
        </w:rPr>
        <w:t>, con el fin de aportar herramientas a la construcción de un mecanismo de protección eficaz y optimizar la instrumentación de medidas cautelares en beneficio de periodistas y comunicadores.</w:t>
      </w:r>
    </w:p>
    <w:p w:rsidR="00297E6F" w:rsidRPr="00BE092D" w:rsidRDefault="00297E6F" w:rsidP="00014C0F">
      <w:pPr>
        <w:pStyle w:val="Prrafodelista"/>
        <w:ind w:left="357"/>
        <w:jc w:val="both"/>
        <w:rPr>
          <w:rFonts w:ascii="Arial" w:eastAsia="Calibri" w:hAnsi="Arial" w:cs="Arial"/>
          <w:lang w:val="es-MX" w:eastAsia="en-US"/>
        </w:rPr>
      </w:pPr>
    </w:p>
    <w:p w:rsidR="00297E6F" w:rsidRPr="00BE092D" w:rsidRDefault="00297E6F" w:rsidP="00014C0F">
      <w:pPr>
        <w:pStyle w:val="Prrafodelista"/>
        <w:ind w:left="357"/>
        <w:jc w:val="both"/>
        <w:rPr>
          <w:rFonts w:ascii="Arial" w:eastAsia="Calibri" w:hAnsi="Arial" w:cs="Arial"/>
          <w:lang w:val="es-MX" w:eastAsia="en-US"/>
        </w:rPr>
      </w:pPr>
      <w:r w:rsidRPr="00BE092D">
        <w:rPr>
          <w:rFonts w:ascii="Arial" w:eastAsia="Calibri" w:hAnsi="Arial" w:cs="Arial"/>
          <w:lang w:val="es-MX" w:eastAsia="en-US"/>
        </w:rPr>
        <w:t xml:space="preserve">La Guía tiene como objetivo proporcionar lineamientos en relación con las medidas cautelares que pueden solicitarse a las autoridades encargadas de procuración de justicia y seguridad pública a nivel federal y estatal, a fin de evitar la consumación irreparable de las violaciones denunciadas en cada caso particular. Establece los criterios mínimos que se deben seguir para la implementación de medidas cautelares, es decir, las características de los esquemas de protección, la definición de la urgencia, la temporalidad de las medidas. Se establece, asimismo, la necesidad del estudio de riesgo y la modalidad de las medidas, así como los ejes de participación de las fuerzas policiales y la atención psicológica que requerirá la persona defensora. </w:t>
      </w:r>
    </w:p>
    <w:p w:rsidR="00297E6F" w:rsidRPr="00BE092D" w:rsidRDefault="00297E6F" w:rsidP="00014C0F">
      <w:pPr>
        <w:pStyle w:val="Prrafodelista"/>
        <w:ind w:left="357"/>
        <w:jc w:val="both"/>
        <w:rPr>
          <w:rFonts w:ascii="Arial" w:eastAsia="Calibri" w:hAnsi="Arial" w:cs="Arial"/>
          <w:lang w:val="es-MX" w:eastAsia="en-US"/>
        </w:rPr>
      </w:pPr>
    </w:p>
    <w:p w:rsidR="00297E6F" w:rsidRPr="00BE092D" w:rsidRDefault="00297E6F" w:rsidP="00014C0F">
      <w:pPr>
        <w:pStyle w:val="Prrafodelista"/>
        <w:ind w:left="357"/>
        <w:jc w:val="both"/>
        <w:rPr>
          <w:rFonts w:ascii="Arial" w:eastAsia="Calibri" w:hAnsi="Arial" w:cs="Arial"/>
          <w:lang w:val="es-MX" w:eastAsia="en-US"/>
        </w:rPr>
      </w:pPr>
      <w:r w:rsidRPr="00BE092D">
        <w:rPr>
          <w:rFonts w:ascii="Arial" w:eastAsia="Calibri" w:hAnsi="Arial" w:cs="Arial"/>
          <w:lang w:val="es-MX" w:eastAsia="en-US"/>
        </w:rPr>
        <w:t>Además, se establece cómo desarrollar la custodia de las víctimas, la necesidad de proteger su identidad y la información relacionada al caso concreto y se subraya la importancia del seguimiento a la implementación de las medidas adoptadas.</w:t>
      </w:r>
    </w:p>
    <w:p w:rsidR="00297E6F" w:rsidRPr="00BE092D" w:rsidRDefault="00297E6F" w:rsidP="00014C0F">
      <w:pPr>
        <w:pStyle w:val="Prrafodelista"/>
        <w:ind w:left="357"/>
        <w:jc w:val="both"/>
        <w:rPr>
          <w:rFonts w:ascii="Arial" w:eastAsia="Calibri" w:hAnsi="Arial" w:cs="Arial"/>
          <w:lang w:eastAsia="en-US"/>
        </w:rPr>
      </w:pPr>
    </w:p>
    <w:p w:rsidR="00297E6F" w:rsidRPr="00BE092D" w:rsidRDefault="00297E6F" w:rsidP="00014C0F">
      <w:pPr>
        <w:pStyle w:val="Prrafodelista"/>
        <w:ind w:left="357"/>
        <w:jc w:val="both"/>
        <w:rPr>
          <w:rFonts w:ascii="Arial" w:eastAsia="Calibri" w:hAnsi="Arial" w:cs="Arial"/>
          <w:lang w:val="es-MX" w:eastAsia="en-US"/>
        </w:rPr>
      </w:pPr>
      <w:r w:rsidRPr="00BE092D">
        <w:rPr>
          <w:rFonts w:ascii="Arial" w:eastAsia="Calibri" w:hAnsi="Arial" w:cs="Arial"/>
          <w:lang w:eastAsia="en-US"/>
        </w:rPr>
        <w:t xml:space="preserve">El 6 de julio de 2011 se presentó el </w:t>
      </w:r>
      <w:r w:rsidRPr="00BE092D">
        <w:rPr>
          <w:rFonts w:ascii="Arial" w:eastAsia="Calibri" w:hAnsi="Arial" w:cs="Arial"/>
          <w:i/>
          <w:lang w:eastAsia="en-US"/>
        </w:rPr>
        <w:t xml:space="preserve">Informe Especial sobre la situación de las y los defensores de derechos humanos en México, </w:t>
      </w:r>
      <w:r w:rsidRPr="00BE092D">
        <w:rPr>
          <w:rFonts w:ascii="Arial" w:eastAsia="Calibri" w:hAnsi="Arial" w:cs="Arial"/>
          <w:lang w:eastAsia="en-US"/>
        </w:rPr>
        <w:t xml:space="preserve">en el marco de la visita oficial a México de la Alta Comisionada de </w:t>
      </w:r>
      <w:r w:rsidR="00DD1DDC">
        <w:rPr>
          <w:rFonts w:ascii="Arial" w:eastAsia="Calibri" w:hAnsi="Arial" w:cs="Arial"/>
          <w:lang w:eastAsia="en-US"/>
        </w:rPr>
        <w:t xml:space="preserve">las </w:t>
      </w:r>
      <w:r w:rsidRPr="00BE092D">
        <w:rPr>
          <w:rFonts w:ascii="Arial" w:eastAsia="Calibri" w:hAnsi="Arial" w:cs="Arial"/>
          <w:lang w:eastAsia="en-US"/>
        </w:rPr>
        <w:t>Naciones Unidas por los Derechos Humanos, Navi Pillay. En este documento queda evidenciado que e</w:t>
      </w:r>
      <w:r w:rsidRPr="00BE092D">
        <w:rPr>
          <w:rFonts w:ascii="Arial" w:eastAsia="Calibri" w:hAnsi="Arial" w:cs="Arial"/>
          <w:lang w:val="es-MX" w:eastAsia="en-US"/>
        </w:rPr>
        <w:t xml:space="preserve">n los últimos años ha aumentado en nuestro país, de manera considerable, el número de personas dedicadas a la labor de la promoción y defensa de los derechos humanos. Así, mientras que en 1984 existían sólo cuatro organizaciones de derechos humanos, para 1990 el número aumentó a 200 organizaciones, en tanto que, al día en que se emite este documento, según el Registro Federal de la Comisión de Fomento a las Actividades de las Organizaciones de la Sociedad Civil, existen un total de 2,702, aun cuando podrían ser muchas más las que realizan trabajos en la materia. El aumento en el número de personas y organizaciones dedicadas a la defensa de </w:t>
      </w:r>
      <w:r w:rsidR="00406FED">
        <w:rPr>
          <w:rFonts w:ascii="Arial" w:eastAsia="Calibri" w:hAnsi="Arial" w:cs="Arial"/>
          <w:lang w:val="es-MX" w:eastAsia="en-US"/>
        </w:rPr>
        <w:t xml:space="preserve">los </w:t>
      </w:r>
      <w:r w:rsidRPr="00BE092D">
        <w:rPr>
          <w:rFonts w:ascii="Arial" w:eastAsia="Calibri" w:hAnsi="Arial" w:cs="Arial"/>
          <w:lang w:val="es-MX" w:eastAsia="en-US"/>
        </w:rPr>
        <w:t xml:space="preserve">derechos humanos ha </w:t>
      </w:r>
      <w:r w:rsidR="00406FED" w:rsidRPr="00BE092D">
        <w:rPr>
          <w:rFonts w:ascii="Arial" w:eastAsia="Calibri" w:hAnsi="Arial" w:cs="Arial"/>
          <w:lang w:val="es-MX" w:eastAsia="en-US"/>
        </w:rPr>
        <w:t>supuesto</w:t>
      </w:r>
      <w:r w:rsidR="00406FED" w:rsidRPr="00BE092D">
        <w:rPr>
          <w:rFonts w:ascii="Arial" w:eastAsia="Calibri" w:hAnsi="Arial" w:cs="Arial"/>
          <w:lang w:val="es-MX" w:eastAsia="en-US"/>
        </w:rPr>
        <w:t xml:space="preserve"> </w:t>
      </w:r>
      <w:r w:rsidRPr="00BE092D">
        <w:rPr>
          <w:rFonts w:ascii="Arial" w:eastAsia="Calibri" w:hAnsi="Arial" w:cs="Arial"/>
          <w:lang w:val="es-MX" w:eastAsia="en-US"/>
        </w:rPr>
        <w:t>también el incremento de quejas y denuncias con motivo de presuntas violaciones a los derechos humanos en su perjuicio.</w:t>
      </w:r>
    </w:p>
    <w:p w:rsidR="00297E6F" w:rsidRPr="00BE092D" w:rsidRDefault="00297E6F" w:rsidP="00014C0F">
      <w:pPr>
        <w:pStyle w:val="Prrafodelista"/>
        <w:ind w:left="357"/>
        <w:jc w:val="both"/>
        <w:rPr>
          <w:rFonts w:ascii="Arial" w:eastAsia="Calibri" w:hAnsi="Arial" w:cs="Arial"/>
          <w:lang w:val="es-MX" w:eastAsia="en-US"/>
        </w:rPr>
      </w:pPr>
    </w:p>
    <w:p w:rsidR="00297E6F" w:rsidRPr="00BE092D" w:rsidRDefault="00297E6F" w:rsidP="00014C0F">
      <w:pPr>
        <w:pStyle w:val="Prrafodelista"/>
        <w:ind w:left="357"/>
        <w:jc w:val="both"/>
        <w:rPr>
          <w:rFonts w:ascii="Arial" w:eastAsia="Calibri" w:hAnsi="Arial" w:cs="Arial"/>
          <w:lang w:val="es-MX" w:eastAsia="en-US"/>
        </w:rPr>
      </w:pPr>
      <w:r w:rsidRPr="00BE092D">
        <w:rPr>
          <w:rFonts w:ascii="Arial" w:eastAsia="Calibri" w:hAnsi="Arial" w:cs="Arial"/>
          <w:lang w:val="es-MX" w:eastAsia="en-US"/>
        </w:rPr>
        <w:t>De enero de 2005 a mayo de 2011, se registraron en la C</w:t>
      </w:r>
      <w:r w:rsidR="00014C0F">
        <w:rPr>
          <w:rFonts w:ascii="Arial" w:eastAsia="Calibri" w:hAnsi="Arial" w:cs="Arial"/>
          <w:lang w:val="es-MX" w:eastAsia="en-US"/>
        </w:rPr>
        <w:t>NDH</w:t>
      </w:r>
      <w:r w:rsidRPr="00BE092D">
        <w:rPr>
          <w:rFonts w:ascii="Arial" w:eastAsia="Calibri" w:hAnsi="Arial" w:cs="Arial"/>
          <w:lang w:val="es-MX" w:eastAsia="en-US"/>
        </w:rPr>
        <w:t xml:space="preserve"> y en las instancias protectoras de los derechos humanos en México, un total de 523 expedientes relacionados con presuntas violaciones a los derechos humanos de defensores. </w:t>
      </w:r>
    </w:p>
    <w:p w:rsidR="00297E6F" w:rsidRPr="00BE092D" w:rsidRDefault="00297E6F" w:rsidP="00014C0F">
      <w:pPr>
        <w:pStyle w:val="Prrafodelista"/>
        <w:ind w:left="357"/>
        <w:jc w:val="both"/>
        <w:rPr>
          <w:rFonts w:ascii="Arial" w:eastAsia="Calibri" w:hAnsi="Arial" w:cs="Arial"/>
          <w:lang w:val="es-MX" w:eastAsia="en-US"/>
        </w:rPr>
      </w:pPr>
    </w:p>
    <w:p w:rsidR="00297E6F" w:rsidRPr="00BE092D" w:rsidRDefault="00297E6F" w:rsidP="00014C0F">
      <w:pPr>
        <w:pStyle w:val="Prrafodelista"/>
        <w:ind w:left="357"/>
        <w:jc w:val="both"/>
        <w:rPr>
          <w:rFonts w:ascii="Arial" w:eastAsia="Calibri" w:hAnsi="Arial" w:cs="Arial"/>
          <w:lang w:val="es-MX" w:eastAsia="en-US"/>
        </w:rPr>
      </w:pPr>
      <w:r w:rsidRPr="00BE092D">
        <w:rPr>
          <w:rFonts w:ascii="Arial" w:eastAsia="Calibri" w:hAnsi="Arial" w:cs="Arial"/>
          <w:lang w:val="es-MX" w:eastAsia="en-US"/>
        </w:rPr>
        <w:t xml:space="preserve">Por lo que hace a las instancias protectoras de derechos humanos en que se presentaron un mayor número de quejas destacan </w:t>
      </w:r>
      <w:r w:rsidR="00406FED">
        <w:rPr>
          <w:rFonts w:ascii="Arial" w:eastAsia="Calibri" w:hAnsi="Arial" w:cs="Arial"/>
          <w:lang w:val="es-MX" w:eastAsia="en-US"/>
        </w:rPr>
        <w:t>e</w:t>
      </w:r>
      <w:r w:rsidRPr="00BE092D">
        <w:rPr>
          <w:rFonts w:ascii="Arial" w:eastAsia="Calibri" w:hAnsi="Arial" w:cs="Arial"/>
          <w:lang w:val="es-MX" w:eastAsia="en-US"/>
        </w:rPr>
        <w:t>l estado de Jalisco (97), Distrito Federal (46), Chiapas (44), Oaxaca (36) y Chihuahua (28).</w:t>
      </w:r>
    </w:p>
    <w:p w:rsidR="00297E6F" w:rsidRPr="00BE092D" w:rsidRDefault="00297E6F" w:rsidP="00014C0F">
      <w:pPr>
        <w:pStyle w:val="Prrafodelista"/>
        <w:ind w:left="357"/>
        <w:jc w:val="both"/>
        <w:rPr>
          <w:rFonts w:ascii="Arial" w:eastAsia="Calibri" w:hAnsi="Arial" w:cs="Arial"/>
          <w:lang w:val="es-MX" w:eastAsia="en-US"/>
        </w:rPr>
      </w:pPr>
    </w:p>
    <w:p w:rsidR="00297E6F" w:rsidRPr="00BE092D" w:rsidRDefault="00297E6F" w:rsidP="00014C0F">
      <w:pPr>
        <w:pStyle w:val="Prrafodelista"/>
        <w:ind w:left="357"/>
        <w:jc w:val="both"/>
        <w:rPr>
          <w:rFonts w:ascii="Arial" w:eastAsia="Calibri" w:hAnsi="Arial" w:cs="Arial"/>
          <w:lang w:val="es-MX" w:eastAsia="en-US"/>
        </w:rPr>
      </w:pPr>
      <w:r w:rsidRPr="00BE092D">
        <w:rPr>
          <w:rFonts w:ascii="Arial" w:eastAsia="Calibri" w:hAnsi="Arial" w:cs="Arial"/>
          <w:lang w:val="es-MX" w:eastAsia="en-US"/>
        </w:rPr>
        <w:t xml:space="preserve">Los derechos humanos más comúnmente señalados como vulnerados a las personas defensoras de los derechos humanos son los derechos a la vida, a la integridad, seguridad y libertad personales, debido proceso y garantías judiciales, así como libertad de expresión e información, derecho de reunión, libertad de asociación, honra y privacidad, por hechos consistentes en </w:t>
      </w:r>
      <w:r w:rsidRPr="00BE092D">
        <w:rPr>
          <w:rFonts w:ascii="Arial" w:eastAsia="Calibri" w:hAnsi="Arial" w:cs="Arial"/>
          <w:lang w:val="es-MX" w:eastAsia="en-US"/>
        </w:rPr>
        <w:lastRenderedPageBreak/>
        <w:t>intimidación, amenazas, integración irregular o deficiente de la averiguación previa y dilación en la procuración de justicia, privación a la vida, detenciones arbitrarias y cateos ilegales, uso arbitrario de la fuerza pública, así como prestación indebida del servicio público.</w:t>
      </w:r>
    </w:p>
    <w:p w:rsidR="00297E6F" w:rsidRPr="00BE092D" w:rsidRDefault="00297E6F" w:rsidP="0044063D">
      <w:pPr>
        <w:pStyle w:val="Prrafodelista"/>
        <w:ind w:left="357"/>
        <w:jc w:val="both"/>
        <w:rPr>
          <w:rFonts w:ascii="Arial" w:eastAsia="Calibri" w:hAnsi="Arial" w:cs="Arial"/>
          <w:lang w:val="es-MX" w:eastAsia="en-US"/>
        </w:rPr>
      </w:pPr>
    </w:p>
    <w:p w:rsidR="00297E6F" w:rsidRPr="00BE092D" w:rsidRDefault="00297E6F" w:rsidP="0044063D">
      <w:pPr>
        <w:pStyle w:val="Prrafodelista"/>
        <w:ind w:left="357"/>
        <w:jc w:val="both"/>
        <w:rPr>
          <w:rFonts w:ascii="Arial" w:eastAsia="Calibri" w:hAnsi="Arial" w:cs="Arial"/>
          <w:lang w:val="es-MX" w:eastAsia="en-US"/>
        </w:rPr>
      </w:pPr>
      <w:r w:rsidRPr="0044063D">
        <w:rPr>
          <w:rFonts w:ascii="Arial" w:eastAsia="Calibri" w:hAnsi="Arial" w:cs="Arial"/>
          <w:lang w:val="es-MX" w:eastAsia="en-US"/>
        </w:rPr>
        <w:t>En el periodo antes</w:t>
      </w:r>
      <w:r w:rsidRPr="00BE092D">
        <w:rPr>
          <w:rFonts w:ascii="Arial" w:eastAsia="Calibri" w:hAnsi="Arial" w:cs="Arial"/>
          <w:lang w:val="es-MX" w:eastAsia="en-US"/>
        </w:rPr>
        <w:t xml:space="preserve"> referido, en el sistema no jurisdiccional de protección de los derechos humanos en México, se han solicitado 156 medidas cautelares para evitar la consumación de violaciones a los derechos humanos de defensores. Ante la gravedad de los actos u omisiones de las autoridades, se emitieron en las instancias protectoras de derechos humanos, 33 recomendaciones y un Informe Especial relacionados con violaciones a los derechos humanos de defensores de los derechos humanos. Por su parte, las procuradurías generales de justicia de las entidades de la República Mexicana reportan tener conocimiento de 109 casos de delitos cometidos contra defensores de derechos humanos.</w:t>
      </w:r>
    </w:p>
    <w:p w:rsidR="00297E6F" w:rsidRPr="00BE092D" w:rsidRDefault="00297E6F" w:rsidP="0044063D">
      <w:pPr>
        <w:pStyle w:val="Prrafodelista"/>
        <w:ind w:left="357"/>
        <w:jc w:val="both"/>
        <w:rPr>
          <w:rFonts w:ascii="Arial" w:eastAsia="Calibri" w:hAnsi="Arial" w:cs="Arial"/>
          <w:lang w:val="es-MX" w:eastAsia="en-US"/>
        </w:rPr>
      </w:pPr>
    </w:p>
    <w:p w:rsidR="00297E6F" w:rsidRPr="00BE092D" w:rsidRDefault="00297E6F" w:rsidP="0044063D">
      <w:pPr>
        <w:pStyle w:val="Prrafodelista"/>
        <w:ind w:left="357"/>
        <w:jc w:val="both"/>
        <w:rPr>
          <w:rFonts w:ascii="Arial" w:eastAsia="Calibri" w:hAnsi="Arial" w:cs="Arial"/>
          <w:lang w:val="es-MX" w:eastAsia="en-US"/>
        </w:rPr>
      </w:pPr>
      <w:r w:rsidRPr="00BE092D">
        <w:rPr>
          <w:rFonts w:ascii="Arial" w:eastAsia="Calibri" w:hAnsi="Arial" w:cs="Arial"/>
          <w:lang w:val="es-MX" w:eastAsia="en-US"/>
        </w:rPr>
        <w:t>A partir de la investigación, la CNDH emitió 26 propuestas a las autoridades competentes, entre las que destacó la implementación del Mecanismo Nacional de Protección para Defensoras y Defensores de Derechos Humanos; atender medidas cautelares y adoptar acciones efectivas para su cumplimiento; desarrollar, mediante políticas públicas de prevención del delito, elaboradas en coordinación con las autoridades que realizan funciones en materia de seguridad pública, un entorno con el que se garantice la defensa de los derechos humanos sin temor a agresiones; elaborar un Protocolo de Investigación en que se establezcan lineamientos precisos para garantizar el respeto a los principios del debido proceso; impulsar acciones concretas de atención jurídica, psicológica y de rehabilitación en favor de las víctimas; proporcionar información a las instancias protectoras de derechos humanos y elaborar una base de datos interinstitucional, en la cual se registre información respecto de las denuncias formuladas por agresiones cometidas contra defensores.</w:t>
      </w:r>
    </w:p>
    <w:p w:rsidR="00297E6F" w:rsidRPr="00BE092D" w:rsidRDefault="00297E6F" w:rsidP="0044063D">
      <w:pPr>
        <w:pStyle w:val="Prrafodelista"/>
        <w:ind w:left="357"/>
        <w:jc w:val="both"/>
        <w:rPr>
          <w:rFonts w:ascii="Arial" w:eastAsia="Calibri" w:hAnsi="Arial" w:cs="Arial"/>
          <w:lang w:val="es-MX" w:eastAsia="en-US"/>
        </w:rPr>
      </w:pPr>
    </w:p>
    <w:p w:rsidR="00297E6F" w:rsidRPr="00BE092D" w:rsidRDefault="00297E6F" w:rsidP="0044063D">
      <w:pPr>
        <w:pStyle w:val="Prrafodelista"/>
        <w:ind w:left="357"/>
        <w:jc w:val="both"/>
        <w:rPr>
          <w:rFonts w:ascii="Arial" w:eastAsia="Calibri" w:hAnsi="Arial" w:cs="Arial"/>
          <w:bCs/>
          <w:lang w:eastAsia="en-US"/>
        </w:rPr>
      </w:pPr>
      <w:r w:rsidRPr="00BE092D">
        <w:rPr>
          <w:rFonts w:ascii="Arial" w:eastAsia="Calibri" w:hAnsi="Arial" w:cs="Arial"/>
          <w:lang w:eastAsia="en-US"/>
        </w:rPr>
        <w:t xml:space="preserve">Una de las principales consecuencias de la emisión de este Informe Especial, así como de la Guía para la implementación de medidas cautelares, fue que se consideró como un insumo fundamental en el proceso de construcción del </w:t>
      </w:r>
      <w:r w:rsidRPr="00BE092D">
        <w:rPr>
          <w:rFonts w:ascii="Arial" w:eastAsia="Calibri" w:hAnsi="Arial" w:cs="Arial"/>
          <w:i/>
          <w:lang w:eastAsia="en-US"/>
        </w:rPr>
        <w:t>Mecanismo Nacional de Protección para Personas Defensoras de Derechos Humanos y Periodistas</w:t>
      </w:r>
      <w:r w:rsidRPr="00BE092D">
        <w:rPr>
          <w:rFonts w:ascii="Arial" w:eastAsia="Calibri" w:hAnsi="Arial" w:cs="Arial"/>
          <w:lang w:eastAsia="en-US"/>
        </w:rPr>
        <w:t>, contemplado en la Ley en la materia. A raíz de los trabajos realizados, finalmente, e</w:t>
      </w:r>
      <w:r w:rsidRPr="00BE092D">
        <w:rPr>
          <w:rFonts w:ascii="Arial" w:eastAsia="Calibri" w:hAnsi="Arial" w:cs="Arial"/>
          <w:bCs/>
          <w:lang w:eastAsia="en-US"/>
        </w:rPr>
        <w:t xml:space="preserve">l 25 de junio de 2012, se publicó en el Diario Oficial de la Federación (DOF) la </w:t>
      </w:r>
      <w:r w:rsidRPr="00BE092D">
        <w:rPr>
          <w:rFonts w:ascii="Arial" w:eastAsia="Calibri" w:hAnsi="Arial" w:cs="Arial"/>
          <w:bCs/>
          <w:i/>
          <w:lang w:eastAsia="en-US"/>
        </w:rPr>
        <w:t xml:space="preserve">Ley para la Protección de Personas Defensoras de Derechos Humanos y Periodistas </w:t>
      </w:r>
      <w:r w:rsidRPr="00BE092D">
        <w:rPr>
          <w:rFonts w:ascii="Arial" w:eastAsia="Calibri" w:hAnsi="Arial" w:cs="Arial"/>
          <w:bCs/>
          <w:lang w:eastAsia="en-US"/>
        </w:rPr>
        <w:t>en que se estableció un mecanismo de protección, así como un fondo específico para su operación.</w:t>
      </w:r>
    </w:p>
    <w:p w:rsidR="00297E6F" w:rsidRPr="0044063D" w:rsidRDefault="00297E6F" w:rsidP="0044063D">
      <w:pPr>
        <w:pStyle w:val="Prrafodelista"/>
        <w:ind w:left="357"/>
        <w:jc w:val="both"/>
        <w:rPr>
          <w:rFonts w:ascii="Arial" w:eastAsia="Calibri" w:hAnsi="Arial" w:cs="Arial"/>
          <w:bCs/>
          <w:lang w:eastAsia="en-US"/>
        </w:rPr>
      </w:pPr>
    </w:p>
    <w:p w:rsidR="00297E6F" w:rsidRPr="00BE092D" w:rsidRDefault="00297E6F" w:rsidP="0044063D">
      <w:pPr>
        <w:pStyle w:val="Prrafodelista"/>
        <w:ind w:left="357"/>
        <w:jc w:val="both"/>
        <w:rPr>
          <w:rFonts w:ascii="Arial" w:eastAsia="Calibri" w:hAnsi="Arial" w:cs="Arial"/>
          <w:bCs/>
          <w:lang w:val="es-MX" w:eastAsia="en-US"/>
        </w:rPr>
      </w:pPr>
      <w:r w:rsidRPr="00BE092D">
        <w:rPr>
          <w:rFonts w:ascii="Arial" w:eastAsia="Calibri" w:hAnsi="Arial" w:cs="Arial"/>
          <w:bCs/>
          <w:lang w:val="es-MX" w:eastAsia="en-US"/>
        </w:rPr>
        <w:t xml:space="preserve">El mecanismo de protección es el esquema de coordinación y operación establecido en la </w:t>
      </w:r>
      <w:r w:rsidRPr="00BE092D">
        <w:rPr>
          <w:rFonts w:ascii="Arial" w:eastAsia="Calibri" w:hAnsi="Arial" w:cs="Arial"/>
          <w:bCs/>
          <w:i/>
          <w:lang w:val="es-MX" w:eastAsia="en-US"/>
        </w:rPr>
        <w:t>Ley para la Protección de Personas Defensoras de Derechos Humanos y Periodistas</w:t>
      </w:r>
      <w:r w:rsidRPr="00BE092D">
        <w:rPr>
          <w:rFonts w:ascii="Arial" w:eastAsia="Calibri" w:hAnsi="Arial" w:cs="Arial"/>
          <w:bCs/>
          <w:lang w:val="es-MX" w:eastAsia="en-US"/>
        </w:rPr>
        <w:t xml:space="preserve">. Se encuentra constituido por tres órganos: 1) Junta de </w:t>
      </w:r>
      <w:r w:rsidR="00854841">
        <w:rPr>
          <w:rFonts w:ascii="Arial" w:eastAsia="Calibri" w:hAnsi="Arial" w:cs="Arial"/>
          <w:bCs/>
          <w:lang w:val="es-MX" w:eastAsia="en-US"/>
        </w:rPr>
        <w:t>G</w:t>
      </w:r>
      <w:r w:rsidRPr="00BE092D">
        <w:rPr>
          <w:rFonts w:ascii="Arial" w:eastAsia="Calibri" w:hAnsi="Arial" w:cs="Arial"/>
          <w:bCs/>
          <w:lang w:val="es-MX" w:eastAsia="en-US"/>
        </w:rPr>
        <w:t xml:space="preserve">obierno: máxima instancia del mecanismo y principal órgano de toma de decisiones. 2) Consejo consultivo: órgano de consulta de la </w:t>
      </w:r>
      <w:r w:rsidR="00854841">
        <w:rPr>
          <w:rFonts w:ascii="Arial" w:eastAsia="Calibri" w:hAnsi="Arial" w:cs="Arial"/>
          <w:bCs/>
          <w:lang w:val="es-MX" w:eastAsia="en-US"/>
        </w:rPr>
        <w:t>J</w:t>
      </w:r>
      <w:r w:rsidRPr="00BE092D">
        <w:rPr>
          <w:rFonts w:ascii="Arial" w:eastAsia="Calibri" w:hAnsi="Arial" w:cs="Arial"/>
          <w:bCs/>
          <w:lang w:val="es-MX" w:eastAsia="en-US"/>
        </w:rPr>
        <w:t xml:space="preserve">unta de </w:t>
      </w:r>
      <w:r w:rsidR="00854841">
        <w:rPr>
          <w:rFonts w:ascii="Arial" w:eastAsia="Calibri" w:hAnsi="Arial" w:cs="Arial"/>
          <w:bCs/>
          <w:lang w:val="es-MX" w:eastAsia="en-US"/>
        </w:rPr>
        <w:t>G</w:t>
      </w:r>
      <w:r w:rsidRPr="00BE092D">
        <w:rPr>
          <w:rFonts w:ascii="Arial" w:eastAsia="Calibri" w:hAnsi="Arial" w:cs="Arial"/>
          <w:bCs/>
          <w:lang w:val="es-MX" w:eastAsia="en-US"/>
        </w:rPr>
        <w:t xml:space="preserve">obierno, </w:t>
      </w:r>
      <w:r w:rsidRPr="00BE092D">
        <w:rPr>
          <w:rFonts w:ascii="Arial" w:eastAsia="Calibri" w:hAnsi="Arial" w:cs="Arial"/>
          <w:bCs/>
          <w:lang w:val="es-MX" w:eastAsia="en-US"/>
        </w:rPr>
        <w:lastRenderedPageBreak/>
        <w:t>constituido por periodistas, defensores y un académico, y 3) Coordinación ejecutiva: coordina las acciones entre entidades federativas, dependencias de la administración pública federal y organismos autónomos.</w:t>
      </w:r>
    </w:p>
    <w:p w:rsidR="00297E6F" w:rsidRPr="00BE092D" w:rsidRDefault="00297E6F" w:rsidP="0044063D">
      <w:pPr>
        <w:pStyle w:val="Prrafodelista"/>
        <w:ind w:left="357"/>
        <w:jc w:val="both"/>
        <w:rPr>
          <w:rFonts w:ascii="Arial" w:eastAsia="Calibri" w:hAnsi="Arial" w:cs="Arial"/>
          <w:bCs/>
          <w:lang w:val="es-MX" w:eastAsia="en-US"/>
        </w:rPr>
      </w:pPr>
    </w:p>
    <w:p w:rsidR="00297E6F" w:rsidRPr="00BE092D" w:rsidRDefault="00297E6F" w:rsidP="0044063D">
      <w:pPr>
        <w:pStyle w:val="Prrafodelista"/>
        <w:ind w:left="357"/>
        <w:jc w:val="both"/>
        <w:rPr>
          <w:rFonts w:ascii="Arial" w:eastAsia="Calibri" w:hAnsi="Arial" w:cs="Arial"/>
          <w:bCs/>
          <w:lang w:val="es-MX" w:eastAsia="en-US"/>
        </w:rPr>
      </w:pPr>
      <w:r w:rsidRPr="00BE092D">
        <w:rPr>
          <w:rFonts w:ascii="Arial" w:eastAsia="Calibri" w:hAnsi="Arial" w:cs="Arial"/>
          <w:bCs/>
          <w:lang w:val="es-MX" w:eastAsia="en-US"/>
        </w:rPr>
        <w:t xml:space="preserve">La Junta de Gobierno está conformada por nueve personas: cuatro representantes del gobierno federal: uno de la Secretaría de Gobernación, uno de la Procuraduría General de la República, uno de la Secretaría de Relaciones Exteriores y una persona de parte de la instancia de Seguridad Pública (antes Secretaría de Seguridad Pública y ahora Comisión Nacional de Seguridad Pública); cuatro miembros del consejo consultivo: dos personas defensoras y dos periodistas. El noveno miembro de la </w:t>
      </w:r>
      <w:r w:rsidR="00854841">
        <w:rPr>
          <w:rFonts w:ascii="Arial" w:eastAsia="Calibri" w:hAnsi="Arial" w:cs="Arial"/>
          <w:bCs/>
          <w:lang w:val="es-MX" w:eastAsia="en-US"/>
        </w:rPr>
        <w:t>J</w:t>
      </w:r>
      <w:r w:rsidRPr="00BE092D">
        <w:rPr>
          <w:rFonts w:ascii="Arial" w:eastAsia="Calibri" w:hAnsi="Arial" w:cs="Arial"/>
          <w:bCs/>
          <w:lang w:val="es-MX" w:eastAsia="en-US"/>
        </w:rPr>
        <w:t xml:space="preserve">unta de </w:t>
      </w:r>
      <w:r w:rsidR="00854841">
        <w:rPr>
          <w:rFonts w:ascii="Arial" w:eastAsia="Calibri" w:hAnsi="Arial" w:cs="Arial"/>
          <w:bCs/>
          <w:lang w:val="es-MX" w:eastAsia="en-US"/>
        </w:rPr>
        <w:t>G</w:t>
      </w:r>
      <w:r w:rsidRPr="00BE092D">
        <w:rPr>
          <w:rFonts w:ascii="Arial" w:eastAsia="Calibri" w:hAnsi="Arial" w:cs="Arial"/>
          <w:bCs/>
          <w:lang w:val="es-MX" w:eastAsia="en-US"/>
        </w:rPr>
        <w:t>obierno es la Comisión Nacional de los Derechos Humanos.</w:t>
      </w:r>
    </w:p>
    <w:p w:rsidR="00297E6F" w:rsidRPr="00BE092D" w:rsidRDefault="00297E6F" w:rsidP="0044063D">
      <w:pPr>
        <w:pStyle w:val="Prrafodelista"/>
        <w:ind w:left="357"/>
        <w:jc w:val="both"/>
        <w:rPr>
          <w:rFonts w:ascii="Arial" w:eastAsia="Calibri" w:hAnsi="Arial" w:cs="Arial"/>
          <w:lang w:val="es-MX" w:eastAsia="en-US"/>
        </w:rPr>
      </w:pPr>
    </w:p>
    <w:p w:rsidR="00297E6F" w:rsidRPr="00BE092D" w:rsidRDefault="00297E6F" w:rsidP="0044063D">
      <w:pPr>
        <w:pStyle w:val="Prrafodelista"/>
        <w:ind w:left="357"/>
        <w:jc w:val="both"/>
        <w:rPr>
          <w:rFonts w:ascii="Arial" w:eastAsia="Calibri" w:hAnsi="Arial" w:cs="Arial"/>
          <w:lang w:val="es-MX" w:eastAsia="en-US"/>
        </w:rPr>
      </w:pPr>
      <w:r w:rsidRPr="00BE092D">
        <w:rPr>
          <w:rFonts w:ascii="Arial" w:eastAsia="Calibri" w:hAnsi="Arial" w:cs="Arial"/>
          <w:lang w:val="es-MX" w:eastAsia="en-US"/>
        </w:rPr>
        <w:t>Ante la falta de experiencia en evaluación de riesgo por parte de las instancias encargadas al efecto, esta C</w:t>
      </w:r>
      <w:r w:rsidR="0044063D">
        <w:rPr>
          <w:rFonts w:ascii="Arial" w:eastAsia="Calibri" w:hAnsi="Arial" w:cs="Arial"/>
          <w:lang w:val="es-MX" w:eastAsia="en-US"/>
        </w:rPr>
        <w:t>NDH</w:t>
      </w:r>
      <w:r w:rsidRPr="00BE092D">
        <w:rPr>
          <w:rFonts w:ascii="Arial" w:eastAsia="Calibri" w:hAnsi="Arial" w:cs="Arial"/>
          <w:lang w:val="es-MX" w:eastAsia="en-US"/>
        </w:rPr>
        <w:t xml:space="preserve"> se ha dado a la tarea de capacitar en la materia, tanto en cursos que se brindan directamente en instalaciones de algunas dependencias, como a través de foros regionales realizados en coordinación con el Alto Comisionado de las Naciones Unidas para los Derechos Humanos. Se han iniciado una serie de actividades regionales en las que, con la ayuda de expertos en evaluación de riesgo, se pretende fortalecer las capacidades tanto de gobierno como de organismos autónomos de derechos humanos y sociedad civil, para dotarlos de mayores elementos y así generar programas de protección efectivos.</w:t>
      </w:r>
    </w:p>
    <w:p w:rsidR="00297E6F" w:rsidRPr="00BE092D" w:rsidRDefault="00297E6F" w:rsidP="0044063D">
      <w:pPr>
        <w:pStyle w:val="Prrafodelista"/>
        <w:ind w:left="357"/>
        <w:jc w:val="both"/>
        <w:rPr>
          <w:rFonts w:ascii="Arial" w:eastAsia="Calibri" w:hAnsi="Arial" w:cs="Arial"/>
          <w:lang w:val="es-MX" w:eastAsia="en-US"/>
        </w:rPr>
      </w:pPr>
    </w:p>
    <w:p w:rsidR="00297E6F" w:rsidRPr="00BE092D" w:rsidRDefault="00297E6F" w:rsidP="0044063D">
      <w:pPr>
        <w:pStyle w:val="Prrafodelista"/>
        <w:ind w:left="357"/>
        <w:jc w:val="both"/>
        <w:rPr>
          <w:rFonts w:ascii="Arial" w:eastAsia="Calibri" w:hAnsi="Arial" w:cs="Arial"/>
          <w:lang w:val="es-MX" w:eastAsia="en-US"/>
        </w:rPr>
      </w:pPr>
      <w:r w:rsidRPr="00BE092D">
        <w:rPr>
          <w:rFonts w:ascii="Arial" w:eastAsia="Calibri" w:hAnsi="Arial" w:cs="Arial"/>
          <w:lang w:val="es-MX" w:eastAsia="en-US"/>
        </w:rPr>
        <w:t xml:space="preserve">Por otra parte, el registro de las quejas relacionadas con agravios a periodistas tramitadas en esta </w:t>
      </w:r>
      <w:r w:rsidR="0044063D">
        <w:rPr>
          <w:rFonts w:ascii="Arial" w:eastAsia="Calibri" w:hAnsi="Arial" w:cs="Arial"/>
          <w:lang w:val="es-MX" w:eastAsia="en-US"/>
        </w:rPr>
        <w:t>CNDH</w:t>
      </w:r>
      <w:r w:rsidRPr="00BE092D">
        <w:rPr>
          <w:rFonts w:ascii="Arial" w:eastAsia="Calibri" w:hAnsi="Arial" w:cs="Arial"/>
          <w:lang w:val="es-MX" w:eastAsia="en-US"/>
        </w:rPr>
        <w:t>, en el periodo comprendido del año 2000 al 31 de julio de 2013, evidenció que la situación es grave y ha motivado a este organismo a pronunciarse de manera enérgica respecto de estas prácticas que generan un menoscabo en los derechos de los integrantes del sector. Así, el 15 de agosto de 2013 la CNDH emitió la Recomendación General No. 20, sobre agravios a periodistas en México y la impunidad imperante, en la que se estableció que los 842 expedientes integrados en la CNDH en ese periodo, revelan un incremento del 263% en el número de quejas relacionadas con integrantes del sector periodístico respecto de los 232 casos atendidos de 1991 a 1999. Frente a esto, las autoridades encargadas de la seguridad pública y de procurar justicia, tanto del ámbito federal como del estatal, han faltado a su deber de prevenir la comisión del delito y resolver las investigaciones correspondientes, lo que implica, por acción o por omisión, un aliento a la impunidad.</w:t>
      </w:r>
    </w:p>
    <w:p w:rsidR="00297E6F" w:rsidRPr="00BE092D" w:rsidRDefault="00297E6F" w:rsidP="0044063D">
      <w:pPr>
        <w:pStyle w:val="Prrafodelista"/>
        <w:ind w:left="357"/>
        <w:jc w:val="both"/>
        <w:rPr>
          <w:rFonts w:ascii="Arial" w:eastAsia="Calibri" w:hAnsi="Arial" w:cs="Arial"/>
          <w:lang w:val="es-MX" w:eastAsia="en-US"/>
        </w:rPr>
      </w:pPr>
    </w:p>
    <w:p w:rsidR="00297E6F" w:rsidRPr="00BE092D" w:rsidRDefault="00297E6F" w:rsidP="0044063D">
      <w:pPr>
        <w:pStyle w:val="Prrafodelista"/>
        <w:ind w:left="357"/>
        <w:jc w:val="both"/>
        <w:rPr>
          <w:rFonts w:ascii="Arial" w:eastAsia="Calibri" w:hAnsi="Arial" w:cs="Arial"/>
          <w:lang w:val="es-MX" w:eastAsia="en-US"/>
        </w:rPr>
      </w:pPr>
      <w:r w:rsidRPr="00BE092D">
        <w:rPr>
          <w:rFonts w:ascii="Arial" w:eastAsia="Calibri" w:hAnsi="Arial" w:cs="Arial"/>
          <w:lang w:val="es-MX" w:eastAsia="en-US"/>
        </w:rPr>
        <w:t>En ese mismo documento, se señala que la ausencia de resultados para esclarecer los hechos se ve reflejada en que de los 145 casos relacionados con homicidios, desaparecidos y atentados a medios de comunicación de los últimos 13 años, apenas en 27 casos (19%) las procuradurías, federal y estatales</w:t>
      </w:r>
      <w:r w:rsidR="00352B46">
        <w:rPr>
          <w:rFonts w:ascii="Arial" w:eastAsia="Calibri" w:hAnsi="Arial" w:cs="Arial"/>
          <w:lang w:val="es-MX" w:eastAsia="en-US"/>
        </w:rPr>
        <w:t>,</w:t>
      </w:r>
      <w:r w:rsidRPr="00BE092D">
        <w:rPr>
          <w:rFonts w:ascii="Arial" w:eastAsia="Calibri" w:hAnsi="Arial" w:cs="Arial"/>
          <w:lang w:val="es-MX" w:eastAsia="en-US"/>
        </w:rPr>
        <w:t xml:space="preserve"> reportaron haber consignado las averiguaciones previas correspondientes y en tan solo 14 casos (10%) el juez de la causa dictó sentencia condenatoria, en 2 se sobreseyó la causa penal, quedando aún sin </w:t>
      </w:r>
      <w:r w:rsidRPr="00BE092D">
        <w:rPr>
          <w:rFonts w:ascii="Arial" w:eastAsia="Calibri" w:hAnsi="Arial" w:cs="Arial"/>
          <w:lang w:val="es-MX" w:eastAsia="en-US"/>
        </w:rPr>
        <w:lastRenderedPageBreak/>
        <w:t>sentencia 11 de éstos, sumados a los 118 casos sin consignar, lo que implica un considerable 89% como índice de impunidad.</w:t>
      </w:r>
    </w:p>
    <w:p w:rsidR="00297E6F" w:rsidRPr="00BE092D" w:rsidRDefault="00297E6F" w:rsidP="0044063D">
      <w:pPr>
        <w:pStyle w:val="Prrafodelista"/>
        <w:ind w:left="357"/>
        <w:jc w:val="both"/>
        <w:rPr>
          <w:rFonts w:ascii="Arial" w:eastAsia="Calibri" w:hAnsi="Arial" w:cs="Arial"/>
          <w:lang w:val="es-MX" w:eastAsia="en-US"/>
        </w:rPr>
      </w:pPr>
    </w:p>
    <w:p w:rsidR="00297E6F" w:rsidRPr="00BE092D" w:rsidRDefault="00297E6F" w:rsidP="0044063D">
      <w:pPr>
        <w:pStyle w:val="Prrafodelista"/>
        <w:ind w:left="357"/>
        <w:jc w:val="both"/>
        <w:rPr>
          <w:rFonts w:ascii="Arial" w:eastAsia="Calibri" w:hAnsi="Arial" w:cs="Arial"/>
          <w:lang w:eastAsia="en-US"/>
        </w:rPr>
      </w:pPr>
      <w:r w:rsidRPr="00BE092D">
        <w:rPr>
          <w:rFonts w:ascii="Arial" w:eastAsia="Calibri" w:hAnsi="Arial" w:cs="Arial"/>
          <w:lang w:eastAsia="en-US"/>
        </w:rPr>
        <w:t>Cabe señalar que también se han registrado algunos avances para la garantía del derecho a la libertad de expresión e información, que se han logrado gracias a la labor constante de esta CNDH, como son el Decreto mediante el cual se derogaron del Código Penal Federal los delitos de difamación, calumnia e injuria; y el Decreto por el que se adiciona el párrafo segundo de la fracción XXI, del artículo 73 de la Constitución Política de los Estados Unidos Mexicanos, el cual faculta a las autoridades federales a conocer de los delitos del fuero común, cuando éstos tengan conexidad con delitos federales o delitos contra periodistas, personas o instalaciones que afecten, limiten o menoscaben el derecho a la información o las libertades de expresión o imprenta (25 de junio de 2012). Finalmente, destaca que en mayo de 2013 se publicó el Decreto por el que se reforman y adicionan diversas disposiciones, a fin de regular la atracción de delitos cometidos contra de la libertad de expresión por parte de la Procuraduría General de la República.</w:t>
      </w:r>
    </w:p>
    <w:p w:rsidR="00297E6F" w:rsidRPr="00A1542B" w:rsidRDefault="00297E6F" w:rsidP="0044063D">
      <w:pPr>
        <w:pStyle w:val="Prrafodelista"/>
        <w:ind w:left="357"/>
        <w:jc w:val="both"/>
        <w:rPr>
          <w:rFonts w:ascii="Arial" w:eastAsia="Calibri" w:hAnsi="Arial" w:cs="Arial"/>
          <w:lang w:eastAsia="en-US"/>
        </w:rPr>
      </w:pPr>
    </w:p>
    <w:p w:rsidR="00297E6F" w:rsidRPr="00A1542B" w:rsidRDefault="00297E6F" w:rsidP="00C00A49">
      <w:pPr>
        <w:pStyle w:val="Prrafodelista"/>
        <w:numPr>
          <w:ilvl w:val="0"/>
          <w:numId w:val="10"/>
        </w:numPr>
        <w:ind w:left="357" w:hanging="357"/>
        <w:jc w:val="both"/>
        <w:rPr>
          <w:rFonts w:ascii="Arial" w:eastAsia="Calibri" w:hAnsi="Arial" w:cs="Arial"/>
          <w:lang w:val="es-MX" w:eastAsia="en-US"/>
        </w:rPr>
      </w:pPr>
      <w:r w:rsidRPr="00A1542B">
        <w:rPr>
          <w:rFonts w:ascii="Arial" w:eastAsia="Calibri" w:hAnsi="Arial" w:cs="Arial"/>
          <w:b/>
          <w:lang w:val="es-MX" w:eastAsia="en-US"/>
        </w:rPr>
        <w:t>Re</w:t>
      </w:r>
      <w:r w:rsidR="00C15518" w:rsidRPr="00A1542B">
        <w:rPr>
          <w:rFonts w:ascii="Arial" w:eastAsia="Calibri" w:hAnsi="Arial" w:cs="Arial"/>
          <w:b/>
          <w:lang w:val="es-MX" w:eastAsia="en-US"/>
        </w:rPr>
        <w:t xml:space="preserve">specto </w:t>
      </w:r>
      <w:r w:rsidRPr="00A1542B">
        <w:rPr>
          <w:rFonts w:ascii="Arial" w:eastAsia="Calibri" w:hAnsi="Arial" w:cs="Arial"/>
          <w:b/>
          <w:lang w:val="es-MX" w:eastAsia="en-US"/>
        </w:rPr>
        <w:t xml:space="preserve">al punto 5, relacionado con la obligación del Estado para garantizar que las autoridades sean conscientes de los derechos enunciados en el Pacto y de su obligación de garantizar su efectiva aplicación, </w:t>
      </w:r>
      <w:r w:rsidRPr="00A1542B">
        <w:rPr>
          <w:rFonts w:ascii="Arial" w:eastAsia="Calibri" w:hAnsi="Arial" w:cs="Arial"/>
          <w:lang w:val="es-MX" w:eastAsia="en-US"/>
        </w:rPr>
        <w:t>la C</w:t>
      </w:r>
      <w:r w:rsidR="00C00A49" w:rsidRPr="00A1542B">
        <w:rPr>
          <w:rFonts w:ascii="Arial" w:eastAsia="Calibri" w:hAnsi="Arial" w:cs="Arial"/>
          <w:lang w:val="es-MX" w:eastAsia="en-US"/>
        </w:rPr>
        <w:t>NDH</w:t>
      </w:r>
      <w:r w:rsidRPr="00A1542B">
        <w:rPr>
          <w:rFonts w:ascii="Arial" w:eastAsia="Calibri" w:hAnsi="Arial" w:cs="Arial"/>
          <w:lang w:val="es-MX" w:eastAsia="en-US"/>
        </w:rPr>
        <w:t xml:space="preserve"> publicó, en abril de 2012, la cartilla “</w:t>
      </w:r>
      <w:r w:rsidRPr="00A1542B">
        <w:rPr>
          <w:rFonts w:ascii="Arial" w:eastAsia="Calibri" w:hAnsi="Arial" w:cs="Arial"/>
          <w:i/>
          <w:lang w:val="es-MX" w:eastAsia="en-US"/>
        </w:rPr>
        <w:t>Pacto Internacional de Derechos Civiles y Políticos, y su Protocolo Facultativo</w:t>
      </w:r>
      <w:r w:rsidRPr="00A1542B">
        <w:rPr>
          <w:rFonts w:ascii="Arial" w:eastAsia="Calibri" w:hAnsi="Arial" w:cs="Arial"/>
          <w:lang w:val="es-MX" w:eastAsia="en-US"/>
        </w:rPr>
        <w:t>”, que está disponible en internet</w:t>
      </w:r>
      <w:r w:rsidRPr="00A1542B">
        <w:rPr>
          <w:rStyle w:val="Refdenotaalpie"/>
          <w:rFonts w:ascii="Arial" w:eastAsia="Calibri" w:hAnsi="Arial" w:cs="Arial"/>
          <w:lang w:val="es-MX" w:eastAsia="en-US"/>
        </w:rPr>
        <w:footnoteReference w:id="1"/>
      </w:r>
      <w:r w:rsidRPr="00A1542B">
        <w:rPr>
          <w:rFonts w:ascii="Arial" w:eastAsia="Calibri" w:hAnsi="Arial" w:cs="Arial"/>
          <w:lang w:val="es-MX" w:eastAsia="en-US"/>
        </w:rPr>
        <w:t xml:space="preserve"> para su uso y reproducción en talleres de capacitación dirigidos a servidores de los tres niveles de gobierno, así como a miembros de la sociedad civil y personas en general.</w:t>
      </w:r>
    </w:p>
    <w:p w:rsidR="00297E6F" w:rsidRPr="00A1542B" w:rsidRDefault="00297E6F" w:rsidP="00C00A49">
      <w:pPr>
        <w:pStyle w:val="Prrafodelista"/>
        <w:ind w:left="357" w:hanging="357"/>
        <w:jc w:val="both"/>
        <w:rPr>
          <w:rFonts w:ascii="Arial" w:eastAsia="Calibri" w:hAnsi="Arial" w:cs="Arial"/>
          <w:lang w:val="es-MX" w:eastAsia="en-US"/>
        </w:rPr>
      </w:pPr>
    </w:p>
    <w:p w:rsidR="00297E6F" w:rsidRPr="00A1542B" w:rsidRDefault="00297E6F" w:rsidP="00C00A49">
      <w:pPr>
        <w:pStyle w:val="Prrafodelista"/>
        <w:numPr>
          <w:ilvl w:val="0"/>
          <w:numId w:val="10"/>
        </w:numPr>
        <w:ind w:left="357" w:hanging="357"/>
        <w:jc w:val="both"/>
        <w:rPr>
          <w:rFonts w:ascii="Arial" w:eastAsia="Calibri" w:hAnsi="Arial" w:cs="Arial"/>
          <w:lang w:val="es-MX" w:eastAsia="en-US"/>
        </w:rPr>
      </w:pPr>
      <w:r w:rsidRPr="00A1542B">
        <w:rPr>
          <w:rFonts w:ascii="Arial" w:eastAsia="Calibri" w:hAnsi="Arial" w:cs="Arial"/>
          <w:b/>
          <w:lang w:val="es-MX" w:eastAsia="en-US"/>
        </w:rPr>
        <w:t xml:space="preserve">En materia del punto 6, que recomienda al Estado mexicano armonizar el proyecto de Constitución en consonancia con las normas internacionales de derechos humanos, </w:t>
      </w:r>
      <w:r w:rsidRPr="00A1542B">
        <w:rPr>
          <w:rFonts w:ascii="Arial" w:eastAsia="Calibri" w:hAnsi="Arial" w:cs="Arial"/>
          <w:lang w:val="es-MX" w:eastAsia="en-US"/>
        </w:rPr>
        <w:t>destaca la Reforma constitucional en materia de derechos humanos publicada en el Diario Oficial de la Federación el 10 de junio de 2011.</w:t>
      </w:r>
      <w:r w:rsidRPr="00A1542B">
        <w:rPr>
          <w:rFonts w:ascii="Arial" w:hAnsi="Arial" w:cs="Arial"/>
        </w:rPr>
        <w:t xml:space="preserve"> </w:t>
      </w:r>
      <w:r w:rsidRPr="00A1542B">
        <w:rPr>
          <w:rFonts w:ascii="Arial" w:eastAsia="Calibri" w:hAnsi="Arial" w:cs="Arial"/>
          <w:lang w:val="es-MX" w:eastAsia="en-US"/>
        </w:rPr>
        <w:t>Aun cuando, cabe señalar, persisten rezagos en la armonización del derecho interno, federal y local, respecto del contenido de estos instrumentos internacionales, de modo que se logre su plena exigibilidad, sin duda se trata de una de las más importantes reformas en los últimos lustros.</w:t>
      </w:r>
      <w:r w:rsidRPr="00A1542B">
        <w:rPr>
          <w:rFonts w:ascii="Arial" w:eastAsiaTheme="minorHAnsi" w:hAnsi="Arial" w:cs="Arial"/>
          <w:lang w:eastAsia="en-US"/>
        </w:rPr>
        <w:t xml:space="preserve"> </w:t>
      </w:r>
      <w:r w:rsidRPr="00A1542B">
        <w:rPr>
          <w:rFonts w:ascii="Arial" w:eastAsia="Calibri" w:hAnsi="Arial" w:cs="Arial"/>
          <w:lang w:eastAsia="en-US"/>
        </w:rPr>
        <w:t xml:space="preserve">A partir de la reforma, nuestra Carta Magna ya no se refiere a las </w:t>
      </w:r>
      <w:r w:rsidRPr="00A1542B">
        <w:rPr>
          <w:rFonts w:ascii="Arial" w:eastAsia="Calibri" w:hAnsi="Arial" w:cs="Arial"/>
          <w:i/>
          <w:lang w:eastAsia="en-US"/>
        </w:rPr>
        <w:t>garantías individuales</w:t>
      </w:r>
      <w:r w:rsidRPr="00A1542B">
        <w:rPr>
          <w:rFonts w:ascii="Arial" w:eastAsia="Calibri" w:hAnsi="Arial" w:cs="Arial"/>
          <w:lang w:eastAsia="en-US"/>
        </w:rPr>
        <w:t xml:space="preserve"> porque éstas son los mecanismos a través de los cuáles los derechos humanos se hacen valer, por lo que el cambio de denominación en el capítulo primero a “De los derechos humanos y sus garantías” no resulta ocioso.</w:t>
      </w:r>
    </w:p>
    <w:p w:rsidR="00297E6F" w:rsidRPr="00A1542B" w:rsidRDefault="00297E6F" w:rsidP="00C00A49">
      <w:pPr>
        <w:pStyle w:val="Prrafodelista"/>
        <w:ind w:left="357"/>
        <w:rPr>
          <w:rFonts w:ascii="Arial" w:eastAsia="Calibri" w:hAnsi="Arial" w:cs="Arial"/>
          <w:lang w:val="es-MX" w:eastAsia="en-US"/>
        </w:rPr>
      </w:pPr>
    </w:p>
    <w:p w:rsidR="00297E6F" w:rsidRPr="00A1542B" w:rsidRDefault="00297E6F" w:rsidP="00C00A49">
      <w:pPr>
        <w:pStyle w:val="Prrafodelista"/>
        <w:ind w:left="357"/>
        <w:jc w:val="both"/>
        <w:rPr>
          <w:rFonts w:ascii="Arial" w:eastAsia="Calibri" w:hAnsi="Arial" w:cs="Arial"/>
          <w:lang w:eastAsia="en-US"/>
        </w:rPr>
      </w:pPr>
      <w:r w:rsidRPr="00A1542B">
        <w:rPr>
          <w:rFonts w:ascii="Arial" w:eastAsia="Calibri" w:hAnsi="Arial" w:cs="Arial"/>
          <w:lang w:eastAsia="en-US"/>
        </w:rPr>
        <w:t xml:space="preserve">Por otra parte, se reconoce de manera formal y plena la vigencia y aplicación de </w:t>
      </w:r>
      <w:r w:rsidRPr="00A1542B">
        <w:rPr>
          <w:rFonts w:ascii="Arial" w:eastAsia="Calibri" w:hAnsi="Arial" w:cs="Arial"/>
          <w:lang w:val="es-MX" w:eastAsia="en-US"/>
        </w:rPr>
        <w:t xml:space="preserve">tratados internacionales firmados por México en materia de derechos </w:t>
      </w:r>
      <w:r w:rsidRPr="00A1542B">
        <w:rPr>
          <w:rFonts w:ascii="Arial" w:eastAsia="Calibri" w:hAnsi="Arial" w:cs="Arial"/>
          <w:lang w:val="es-MX" w:eastAsia="en-US"/>
        </w:rPr>
        <w:lastRenderedPageBreak/>
        <w:t xml:space="preserve">humanos. De manera que, actualmente, no existe motivo ni justificación alguna para que las autoridades dejen de respetar y velar por la plena vigencia de los derechos humanos reconocidos a nivel internacional. </w:t>
      </w:r>
      <w:r w:rsidRPr="00A1542B">
        <w:rPr>
          <w:rFonts w:ascii="Arial" w:eastAsia="Calibri" w:hAnsi="Arial" w:cs="Arial"/>
          <w:lang w:eastAsia="en-US"/>
        </w:rPr>
        <w:t xml:space="preserve">Con la reforma, todas las normas relativas a derechos humanos se deberán interpretar a la luz de la propia Constitución y de los tratados internacionales, los cuales requieren adoptar una interpretación </w:t>
      </w:r>
      <w:r w:rsidRPr="00A1542B">
        <w:rPr>
          <w:rFonts w:ascii="Arial" w:eastAsia="Calibri" w:hAnsi="Arial" w:cs="Arial"/>
          <w:i/>
          <w:lang w:eastAsia="en-US"/>
        </w:rPr>
        <w:t>pro persona</w:t>
      </w:r>
      <w:r w:rsidRPr="00A1542B">
        <w:rPr>
          <w:rFonts w:ascii="Arial" w:eastAsia="Calibri" w:hAnsi="Arial" w:cs="Arial"/>
          <w:lang w:eastAsia="en-US"/>
        </w:rPr>
        <w:t xml:space="preserve"> que permitirá elegir la norma o tratado que más proteja al titular de un derecho humano.</w:t>
      </w:r>
    </w:p>
    <w:p w:rsidR="00297E6F" w:rsidRPr="00A1542B" w:rsidRDefault="00297E6F" w:rsidP="00C00A49">
      <w:pPr>
        <w:pStyle w:val="Prrafodelista"/>
        <w:ind w:left="357"/>
        <w:jc w:val="both"/>
        <w:rPr>
          <w:rFonts w:ascii="Arial" w:eastAsia="Calibri" w:hAnsi="Arial" w:cs="Arial"/>
          <w:lang w:eastAsia="en-US"/>
        </w:rPr>
      </w:pPr>
    </w:p>
    <w:p w:rsidR="00297E6F" w:rsidRPr="00A1542B" w:rsidRDefault="00297E6F" w:rsidP="00C00A49">
      <w:pPr>
        <w:pStyle w:val="Prrafodelista"/>
        <w:ind w:left="357"/>
        <w:jc w:val="both"/>
        <w:rPr>
          <w:rFonts w:ascii="Arial" w:eastAsia="Calibri" w:hAnsi="Arial" w:cs="Arial"/>
          <w:lang w:eastAsia="en-US"/>
        </w:rPr>
      </w:pPr>
      <w:r w:rsidRPr="00A1542B">
        <w:rPr>
          <w:rFonts w:ascii="Arial" w:eastAsia="Calibri" w:hAnsi="Arial" w:cs="Arial"/>
          <w:lang w:eastAsia="en-US"/>
        </w:rPr>
        <w:t>A partir de la reforma, no existe justificación alguna; todo órgano del Estado debe conocer los derechos humanos y respetarlos. Esto incluye los que comprende el Derecho Internacional de los Derechos Humanos, el Derecho Internacional Humanitario y el Derecho Penal Internacional, los cuales parten del reconocimiento a la dignidad humana e imponen obligaciones a los poderes públicos de respeto, protección y promoción, con la consecuente responsabilidad y sanciones para quienes vulneren las prerrogativas más esenciales de la persona humana.</w:t>
      </w:r>
    </w:p>
    <w:p w:rsidR="00297E6F" w:rsidRPr="00A1542B" w:rsidRDefault="00297E6F" w:rsidP="00C00A49">
      <w:pPr>
        <w:pStyle w:val="Prrafodelista"/>
        <w:ind w:left="357"/>
        <w:jc w:val="both"/>
        <w:rPr>
          <w:rFonts w:ascii="Arial" w:eastAsia="Calibri" w:hAnsi="Arial" w:cs="Arial"/>
          <w:lang w:val="es-MX" w:eastAsia="en-US"/>
        </w:rPr>
      </w:pPr>
    </w:p>
    <w:p w:rsidR="00297E6F" w:rsidRPr="00A1542B" w:rsidRDefault="00297E6F" w:rsidP="004775D7">
      <w:pPr>
        <w:pStyle w:val="Prrafodelista"/>
        <w:numPr>
          <w:ilvl w:val="0"/>
          <w:numId w:val="10"/>
        </w:numPr>
        <w:ind w:left="357" w:hanging="357"/>
        <w:jc w:val="both"/>
        <w:rPr>
          <w:rFonts w:ascii="Arial" w:eastAsia="Calibri" w:hAnsi="Arial" w:cs="Arial"/>
          <w:lang w:val="es-MX" w:eastAsia="en-US"/>
        </w:rPr>
      </w:pPr>
      <w:r w:rsidRPr="00A1542B">
        <w:rPr>
          <w:rFonts w:ascii="Arial" w:eastAsia="Calibri" w:hAnsi="Arial" w:cs="Arial"/>
          <w:b/>
          <w:lang w:val="es-MX" w:eastAsia="en-US"/>
        </w:rPr>
        <w:t>En relación con los puntos 7, 8 y 10 en materia de derechos humanos de las mujeres, igualdad entre mujeres y hombres, combate a la discriminación y a la violencia contra las mujeres,</w:t>
      </w:r>
      <w:r w:rsidRPr="00A1542B">
        <w:rPr>
          <w:rFonts w:ascii="Arial" w:eastAsia="Calibri" w:hAnsi="Arial" w:cs="Arial"/>
          <w:lang w:val="es-MX" w:eastAsia="en-US"/>
        </w:rPr>
        <w:t xml:space="preserve"> este organismo nacional destaca que en su </w:t>
      </w:r>
      <w:r w:rsidRPr="00A1542B">
        <w:rPr>
          <w:rFonts w:ascii="Arial" w:eastAsia="Calibri" w:hAnsi="Arial" w:cs="Arial"/>
          <w:i/>
          <w:lang w:val="es-MX" w:eastAsia="en-US"/>
        </w:rPr>
        <w:t>Quinto Informe Especial sobre el derecho a la igualdad entre mujeres y hombres</w:t>
      </w:r>
      <w:r w:rsidRPr="00A1542B">
        <w:rPr>
          <w:rFonts w:ascii="Arial" w:eastAsia="Calibri" w:hAnsi="Arial" w:cs="Arial"/>
          <w:lang w:val="es-MX" w:eastAsia="en-US"/>
        </w:rPr>
        <w:t xml:space="preserve"> (diciembre de 2013)</w:t>
      </w:r>
      <w:r w:rsidRPr="00A1542B">
        <w:rPr>
          <w:rStyle w:val="Refdenotaalpie"/>
          <w:rFonts w:ascii="Arial" w:eastAsia="Calibri" w:hAnsi="Arial" w:cs="Arial"/>
          <w:lang w:val="es-MX" w:eastAsia="en-US"/>
        </w:rPr>
        <w:footnoteReference w:id="2"/>
      </w:r>
      <w:r w:rsidRPr="00A1542B">
        <w:rPr>
          <w:rFonts w:ascii="Arial" w:eastAsia="Calibri" w:hAnsi="Arial" w:cs="Arial"/>
          <w:lang w:val="es-MX" w:eastAsia="en-US"/>
        </w:rPr>
        <w:t xml:space="preserve"> se dio a conocer que los resultados del monitoreo sobre la armonización de los principios de igualdad entre mujeres y hombres y de no discriminación contemplados en las Constituciones Estatales, mostraron que en 17 entidades se ha realizado ésta, y que la remisión explícita a la Constitución Política de los Estados Unidos Mexicanos es utilizada en nueve ocasiones para el principio de igualdad y en ocho para el de no discriminación. Comparando un principio con el otro respecto del grado de armonización en las legislaciones estatales, destaca que el principio de igualdad entre mujeres y hombres es mayormente considerado en dichas Constituciones, por el contrario, el de no discriminación ni siquiera es considerado en las legislaciones de cuatro entidades federativas.</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Según el monitoreo nacional para la armonización de las leyes de igualdad con la Ley General para la Igualdad entre Mujeres y Hombres</w:t>
      </w:r>
      <w:r w:rsidRPr="00A1542B">
        <w:rPr>
          <w:rStyle w:val="Refdenotaalpie"/>
          <w:rFonts w:ascii="Arial" w:eastAsia="Calibri" w:hAnsi="Arial" w:cs="Arial"/>
          <w:lang w:val="es-MX" w:eastAsia="en-US"/>
        </w:rPr>
        <w:footnoteReference w:id="3"/>
      </w:r>
      <w:r w:rsidRPr="00A1542B">
        <w:rPr>
          <w:rFonts w:ascii="Arial" w:eastAsia="Calibri" w:hAnsi="Arial" w:cs="Arial"/>
          <w:lang w:val="es-MX" w:eastAsia="en-US"/>
        </w:rPr>
        <w:t xml:space="preserve">, a diciembre de 2011, 25 entidades federativas y el Distrito Federal habían armonizado la Ley General para la Igualdad entre Mujeres y Hombres en su legislación local, pero sólo cuatro estados contaban con el reglamento de esta ley: Durango, Morelos, Quintana Roo y Puebla. Esto resulta preocupante debido a que estas leyes no pueden operarse de manera eficiente si no cuentan con el reglamento correspondiente; es decir, en 24 entidades federativas esta ley para la igualdad existe, pero el beneficio directo para mujeres y hombres está limitado. Destaca </w:t>
      </w:r>
      <w:r w:rsidRPr="00A1542B">
        <w:rPr>
          <w:rFonts w:ascii="Arial" w:eastAsia="Calibri" w:hAnsi="Arial" w:cs="Arial"/>
          <w:lang w:val="es-MX" w:eastAsia="en-US"/>
        </w:rPr>
        <w:lastRenderedPageBreak/>
        <w:t xml:space="preserve">que a nivel federal tampoco se ha expedido el </w:t>
      </w:r>
      <w:r w:rsidR="00C15518" w:rsidRPr="00A1542B">
        <w:rPr>
          <w:rFonts w:ascii="Arial" w:eastAsia="Calibri" w:hAnsi="Arial" w:cs="Arial"/>
          <w:lang w:val="es-MX" w:eastAsia="en-US"/>
        </w:rPr>
        <w:t>R</w:t>
      </w:r>
      <w:r w:rsidRPr="00A1542B">
        <w:rPr>
          <w:rFonts w:ascii="Arial" w:eastAsia="Calibri" w:hAnsi="Arial" w:cs="Arial"/>
          <w:lang w:val="es-MX" w:eastAsia="en-US"/>
        </w:rPr>
        <w:t>eglamento de la Ley General para la Igualdad entre Mujeres y Hombres.</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La Ley General para la Igualdad entre Mujeres y Hombres fue reformada y publicada el 14 de noviembre de 2013. Al 31 de diciembre de 2013 no cuenta con Reglamento. Al 31 de diciembre de 2013, sólo Baja California y Tabasco carecen de una ley en la materia.</w:t>
      </w:r>
      <w:r w:rsidRPr="00A1542B">
        <w:rPr>
          <w:rFonts w:ascii="Arial" w:hAnsi="Arial" w:cs="Arial"/>
        </w:rPr>
        <w:t xml:space="preserve"> </w:t>
      </w:r>
      <w:r w:rsidRPr="00A1542B">
        <w:rPr>
          <w:rFonts w:ascii="Arial" w:eastAsia="Calibri" w:hAnsi="Arial" w:cs="Arial"/>
          <w:lang w:val="es-MX" w:eastAsia="en-US"/>
        </w:rPr>
        <w:t>Asimismo, en relación con los reglamentos de las leyes para la igualdad entre mujeres y hombres, al 31 de diciembre de 2013 sólo se han publicado seis: Durango, Morelos, Nayarit, Puebla, Querétaro y Quintana Roo.</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La CNDH monitorea la armonización legislativa de la Ley General de Acceso de las Mujeres a una Vida Libre de Violencia en las legislaciones locales de las entidades federativas, y hasta diciembre de 2011, las 32 entidades federativas cuentan con esta ley específica en su legislación local. Del total de las entidades, 29 cuentan con el reglamento correspondiente y tres carecen de éste (Campeche, Querétaro y Tamaulipas). Al 31 de diciembre de 2013, se realizó la revisión de las medidas de protección en la Ley General de Acceso de las Mujeres a una Vida Libre de Violencia y en sus homólogas estatales, de lo que se desprende que a nivel federal y en 29 entidades se establecen dichas medidas en estos ordenamientos. El estado de Campeche hace un señalamiento sobre las medidas de protección, pero remite a otra ley, Chihuahua no las contempla en ningún ordenamiento y Coahuila no es precisa respecto de las mismas.</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De lo anterior se concluye, que a diferencia de la Ley General para la Igualdad entre Mujeres y Hombres, con la Ley General de Acceso de las Mujeres a una Vida Libre de Violencia, ha existido mayor cumplimiento en términos de armonización y elaboración de los reglamentos correspondientes; sin embargo, es importante mencionar que en varias entidades se incumplen parcialmente los tratados internacionales, por la ausencia de política pública eficaz sobre el tema, la falta de apoyo gubernamental para la instauración de refugios y la falta de armonización real de las leyes contra la violencia.</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Respecto de la promulgación de leyes específicas para prevenir y eliminar la discriminación, además de la Ley Federal para Prevenir y Eliminar la Discriminación, al 31 de diciembre de 2013, 24 entidades han promulgado su respectiva ley. Carecen de ella: Guanajuato, Jalisco, Nuevo León, Oaxaca, Puebla, Sonora, Tabasco y Tlaxcala.</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La CNDH señaló, además, </w:t>
      </w:r>
      <w:r w:rsidR="00C15518" w:rsidRPr="00A1542B">
        <w:rPr>
          <w:rFonts w:ascii="Arial" w:eastAsia="Calibri" w:hAnsi="Arial" w:cs="Arial"/>
          <w:lang w:val="es-MX" w:eastAsia="en-US"/>
        </w:rPr>
        <w:t xml:space="preserve">la </w:t>
      </w:r>
      <w:r w:rsidRPr="00A1542B">
        <w:rPr>
          <w:rFonts w:ascii="Arial" w:eastAsia="Calibri" w:hAnsi="Arial" w:cs="Arial"/>
          <w:lang w:val="es-MX" w:eastAsia="en-US"/>
        </w:rPr>
        <w:t>carencia de políticas públicas con enfoque de género dirigidas a los varones que favorezcan los cambios necesarios para alcanzar la igualdad entre mujeres y hombres.</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Por otra parte, destaca que al mes de diciembre de 2011, en el Código Penal Federal y los Códigos Penales de 11 entidades federativas, se ha tipificado el feminicidio, siendo Guerrero el primero en hacerlo y posteriormente el Estado </w:t>
      </w:r>
      <w:r w:rsidRPr="00A1542B">
        <w:rPr>
          <w:rFonts w:ascii="Arial" w:eastAsia="Calibri" w:hAnsi="Arial" w:cs="Arial"/>
          <w:lang w:val="es-MX" w:eastAsia="en-US"/>
        </w:rPr>
        <w:lastRenderedPageBreak/>
        <w:t xml:space="preserve">de México, Guanajuato, Tamaulipas, Morelos, Distrito Federal, San Luis Potosí, Veracruz, Colima, Chiapas y Durango. Al 31 de diciembre </w:t>
      </w:r>
      <w:r w:rsidR="007D1B27" w:rsidRPr="00A1542B">
        <w:rPr>
          <w:rFonts w:ascii="Arial" w:eastAsia="Calibri" w:hAnsi="Arial" w:cs="Arial"/>
          <w:lang w:val="es-MX" w:eastAsia="en-US"/>
        </w:rPr>
        <w:t xml:space="preserve">de </w:t>
      </w:r>
      <w:r w:rsidRPr="00A1542B">
        <w:rPr>
          <w:rFonts w:ascii="Arial" w:eastAsia="Calibri" w:hAnsi="Arial" w:cs="Arial"/>
          <w:lang w:val="es-MX" w:eastAsia="en-US"/>
        </w:rPr>
        <w:t>2013 no se ha tipificado en Baja California Sur, Chihuahua, Michoacán, Nayarit y Sonora. Chihuahua y Nayarit sí tipifican el homicidio de mujeres.</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En materia de participación política de las mujeres, considerando todos los grupos parlamentarios, en la LXI Legislatura de nuestro país la participación de las mujeres en el Senado es de 22.66 % en comparación con los hombres, es decir, apenas sobrepasa una quinta parte de su conformación. En la Cámara de Diputados los porcentajes generales muestran una proporción de hombres y mujeres mucho más cercana a una tercera parte en comparación con el Senado, es decir, 28% de participación de mujeres. Esto muestra que aún sigue siendo difícil cumplir con las cuotas políticas para los partidos en la conformación de las Cámaras.</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Estas cifras, en el ámbito político partidista, se pueden considerar como un reflejo de la menor participación social de las mujeres en ciertos ámbitos que aún se creen “masculinos” o exclusivos para los hombres debido a las creencias dominantes de género.</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Las proporciones señaladas de una quinta y una tercera parte para las Cámaras de Senadores y Diputados, respectivamente, para el caso de los altos funcionarios del Poder Judicial Federal resulta</w:t>
      </w:r>
      <w:r w:rsidR="007D1B27" w:rsidRPr="00A1542B">
        <w:rPr>
          <w:rFonts w:ascii="Arial" w:eastAsia="Calibri" w:hAnsi="Arial" w:cs="Arial"/>
          <w:lang w:val="es-MX" w:eastAsia="en-US"/>
        </w:rPr>
        <w:t>n</w:t>
      </w:r>
      <w:r w:rsidRPr="00A1542B">
        <w:rPr>
          <w:rFonts w:ascii="Arial" w:eastAsia="Calibri" w:hAnsi="Arial" w:cs="Arial"/>
          <w:lang w:val="es-MX" w:eastAsia="en-US"/>
        </w:rPr>
        <w:t xml:space="preserve"> aún menor</w:t>
      </w:r>
      <w:r w:rsidR="007D1B27" w:rsidRPr="00A1542B">
        <w:rPr>
          <w:rFonts w:ascii="Arial" w:eastAsia="Calibri" w:hAnsi="Arial" w:cs="Arial"/>
          <w:lang w:val="es-MX" w:eastAsia="en-US"/>
        </w:rPr>
        <w:t>es</w:t>
      </w:r>
      <w:r w:rsidRPr="00A1542B">
        <w:rPr>
          <w:rFonts w:ascii="Arial" w:eastAsia="Calibri" w:hAnsi="Arial" w:cs="Arial"/>
          <w:lang w:val="es-MX" w:eastAsia="en-US"/>
        </w:rPr>
        <w:t>. Las cifras de los últimos dos años (2010 y 2011) muestran que la proporción de una tercera parte o más de participación de mujeres en los puestos altos disminuye conforme aumenta el nivel de los funcionarios hasta llegar a ser de menos de una quinta parte para los niveles superiores. Esta distribución diferencial de poder político-público, marcada por una brecha que aumenta proporcionalmente al aumento de jerarquía-autoridad-mando a favor de los hombres, se puede considerar como otra muestra de la desigualdad producto del género que afecta principalmente a las mujeres.</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Esta desigualdad se manifiesta de una forma u otra dependiendo del ámbito social o la institución que se trate, así como del grado de apego a las creencias y estructura dominante de género que tengan éstas.</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La media nacional de 6.5% en la participación política de las mujeres como Presidentas Municipales en cada entidad federativa permite observar que ésta es muy baja y, al mismo tiempo, muestra lo señalado sobre ciertos ámbitos sociales que se creen exclusivos de los hombres, como los puestos de poder más altos en las municipalidades, donde las mujeres están excluidas, en su mayoría. Este caso resulta paradigmático, ya que ni siquiera llega a la cuota de una tercera parte, lo que muestra que los procesos sociales e institucionales en búsqueda de la igualdad entre mujeres y hombres requieren de la revisión y generación de legislaciones y políticas públicas que faciliten este proceso por medio de acciones estratégicas.</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lastRenderedPageBreak/>
        <w:t>Relativo a la discriminación en materia laboral, la CNDH documentó en el Informe Especial en cita, que sobre el sexo de la población económicamente activa (PEA) de 14 años y más, se observa en la media nacional que hay ligeramente más mujeres que hombres y, sin embargo, son los hombres quienes presentan los porcentajes más altos de ocupación en todas las entidades federativas, siendo en algunos casos de más del doble que para las mujeres. Desde el supuesto de la igualdad entre mujeres y hombres se puede observar una situación que desfavorece a las mujeres en la ocupación por sexo. Se puede interpretar como una condición desigual producto de la inequidad de género vigente en el país, en un marco generalizado de desocupación laboral, ya que del total nacional (ambos sexos) de la PEA, casi la mitad se encuentran sin realizar una actividad económica.</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numPr>
          <w:ilvl w:val="0"/>
          <w:numId w:val="10"/>
        </w:numPr>
        <w:ind w:left="357" w:hanging="357"/>
        <w:jc w:val="both"/>
        <w:rPr>
          <w:rFonts w:ascii="Arial" w:eastAsia="Calibri" w:hAnsi="Arial" w:cs="Arial"/>
          <w:lang w:val="es-MX" w:eastAsia="en-US"/>
        </w:rPr>
      </w:pPr>
      <w:r w:rsidRPr="00A1542B">
        <w:rPr>
          <w:rFonts w:ascii="Arial" w:eastAsia="Calibri" w:hAnsi="Arial" w:cs="Arial"/>
          <w:b/>
          <w:lang w:val="es-MX" w:eastAsia="en-US"/>
        </w:rPr>
        <w:t xml:space="preserve">En lo respectivo al punto 11, que aborda la problemática de estados de excepción, </w:t>
      </w:r>
      <w:r w:rsidRPr="00A1542B">
        <w:rPr>
          <w:rFonts w:ascii="Arial" w:eastAsia="Calibri" w:hAnsi="Arial" w:cs="Arial"/>
          <w:lang w:val="es-MX" w:eastAsia="en-US"/>
        </w:rPr>
        <w:t>destaca que la reforma constitucional en materia de derechos humanos reconoce el núcleo duro de los derechos humanos, que no pueden ser suspendidos por ningún motivo.</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En este núcleo se encuentran, entre otros, el derecho a la no discriminación, a la vida, integridad personal, protección a la familia, el nombre, nacionalidad, derechos de la niñez, derechos políticos, prohibición de la pena de muerte, esclavitud, desaparición forzada y tortura.</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En el artículo 29 </w:t>
      </w:r>
      <w:r w:rsidR="004775D7" w:rsidRPr="00A1542B">
        <w:rPr>
          <w:rFonts w:ascii="Arial" w:eastAsia="Calibri" w:hAnsi="Arial" w:cs="Arial"/>
          <w:lang w:val="es-MX" w:eastAsia="en-US"/>
        </w:rPr>
        <w:t>c</w:t>
      </w:r>
      <w:r w:rsidRPr="00A1542B">
        <w:rPr>
          <w:rFonts w:ascii="Arial" w:eastAsia="Calibri" w:hAnsi="Arial" w:cs="Arial"/>
          <w:lang w:val="es-MX" w:eastAsia="en-US"/>
        </w:rPr>
        <w:t>onstitucional se establece que en los casos de invasión, perturbación grave de la paz pública, o de cualquier otro que ponga a la sociedad en grave peligro o conflicto, solamente el Presidente de los Estados Unidos Mexicanos, con la aprobación del Congreso de la Unión o de la Comisión Permanente cuando aqu</w:t>
      </w:r>
      <w:r w:rsidR="004D51FD" w:rsidRPr="00A1542B">
        <w:rPr>
          <w:rFonts w:ascii="Arial" w:eastAsia="Calibri" w:hAnsi="Arial" w:cs="Arial"/>
          <w:lang w:val="es-MX" w:eastAsia="en-US"/>
        </w:rPr>
        <w:t>é</w:t>
      </w:r>
      <w:r w:rsidRPr="00A1542B">
        <w:rPr>
          <w:rFonts w:ascii="Arial" w:eastAsia="Calibri" w:hAnsi="Arial" w:cs="Arial"/>
          <w:lang w:val="es-MX" w:eastAsia="en-US"/>
        </w:rPr>
        <w:t>l no estuviere reunido, podrá restringir o suspender, en todo el país o en lugar determinado, el ejercicio de los derechos y las garantías que fuesen obstáculo para hacer frente, rápida y fácilmente a la situación; pero deberá hacerlo por un tiempo limitado, por medio de prevenciones generales y sin que la restricción o suspensión se contraiga a determinada persona.</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Si la restricción o suspensión tuviese lugar hallándose el Congreso reunido, éste concederá las autorizaciones que estime necesarias para que el Ejecutivo haga frente a la situación; pero si se verificase en tiempo de receso, se convocará de inmediato al Congreso para que las acuerde, especificándose que en los decretos que se expidan, no podrá restringirse ni suspenderse el ejercicio de los derechos a la no discriminación, al reconocimiento de la personalidad jurídica, a la vida, a la integridad personal, a la protección a la familia, al nombre, a la nacionalidad; los derechos de la niñez; los derechos políticos; las libertades de pensamiento, conciencia y de profesar creencia religiosa alguna; el principio de legalidad y retroactividad; la prohibición de la pena de muerte; la prohibición de la esclavitud y la servidumbre; la prohibición de la desaparición forzada y la tortura; ni las garantías judiciales indispensables para la protección de tales derechos.</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La restricción o suspensión del ejercicio de los derechos y garantías debe estar fundada y motivada en los términos establecidos en la Constitución y ser proporcional al peligro a que se hace frente, observando en todo momento los principios de legalidad, racionalidad, proclamación, publicidad y no discriminación. Cuando se ponga fin a la restricción o suspensión del ejercicio de los derechos y garantías, bien sea por cumplirse el plazo o porque así lo decrete el Congreso, todas las medidas legales y administrativas adoptadas durante su vigencia quedarán sin efecto de forma inmediata. El Ejecutivo no puede hacer observaciones al decreto mediante el cual el Congreso revoque la restricción o suspensión.</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4775D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Los decretos expedidos por el Ejecutivo durante la restricción o suspensión serán revisados de oficio e inmediatamente por la Suprema Corte de Justicia de la Nación, la que deberá pronunciarse con la mayor prontitud sobre su constitucionalidad y validez.</w:t>
      </w:r>
    </w:p>
    <w:p w:rsidR="00297E6F" w:rsidRPr="00A1542B" w:rsidRDefault="00297E6F" w:rsidP="004775D7">
      <w:pPr>
        <w:pStyle w:val="Prrafodelista"/>
        <w:ind w:left="357"/>
        <w:jc w:val="both"/>
        <w:rPr>
          <w:rFonts w:ascii="Arial" w:eastAsia="Calibri" w:hAnsi="Arial" w:cs="Arial"/>
          <w:lang w:val="es-MX" w:eastAsia="en-US"/>
        </w:rPr>
      </w:pPr>
    </w:p>
    <w:p w:rsidR="00297E6F" w:rsidRPr="00A1542B" w:rsidRDefault="00297E6F" w:rsidP="00DD6852">
      <w:pPr>
        <w:pStyle w:val="Prrafodelista"/>
        <w:numPr>
          <w:ilvl w:val="0"/>
          <w:numId w:val="10"/>
        </w:numPr>
        <w:ind w:left="357" w:hanging="357"/>
        <w:jc w:val="both"/>
        <w:rPr>
          <w:rFonts w:ascii="Arial" w:eastAsia="Calibri" w:hAnsi="Arial" w:cs="Arial"/>
          <w:lang w:val="es-MX" w:eastAsia="en-US"/>
        </w:rPr>
      </w:pPr>
      <w:r w:rsidRPr="00A1542B">
        <w:rPr>
          <w:rFonts w:ascii="Arial" w:eastAsia="Calibri" w:hAnsi="Arial" w:cs="Arial"/>
          <w:b/>
          <w:lang w:val="es-MX" w:eastAsia="en-US"/>
        </w:rPr>
        <w:t>En relación con el punto 12 en materia de desaparición forzada</w:t>
      </w:r>
      <w:r w:rsidRPr="00A1542B">
        <w:rPr>
          <w:rFonts w:ascii="Arial" w:eastAsia="Calibri" w:hAnsi="Arial" w:cs="Arial"/>
          <w:lang w:val="es-MX" w:eastAsia="en-US"/>
        </w:rPr>
        <w:t>, comunico a usted que c</w:t>
      </w:r>
      <w:r w:rsidRPr="00A1542B">
        <w:rPr>
          <w:rFonts w:ascii="Arial" w:hAnsi="Arial" w:cs="Arial"/>
          <w:lang w:val="es-MX" w:eastAsia="es-MX"/>
        </w:rPr>
        <w:t>on la finalidad de atender los asuntos relacionados con personas reportadas como desaparecidas, extraviadas, ausentes, fallecidas no identificadas y víctimas del delito de secuestro, la CNDH investiga las quejas relativas a personas de las que se desconoce su paradero y cuya desaparición involucra presuntamente la participación de alguna autoridad o servidor público; lo anterior mediante la realización de las acciones necesarias encaminadas a lograr, por una parte, ubicar el paradero del o los agraviados, así como a reunir los elementos de prueba necesarios que permitan conocer la verdad histórica de los acontecimientos que propiciaron su ausencia o desaparición, a fin de emitir la resolución que en Derecho proceda. Para alcanzar ese objetivo, se realizan las gestiones necesarias con la autoridad que, en su caso, haya sido señalada como responsable de vulnerar los Derechos Humanos de los agraviados, y además se solicita la colaboración de todas las autoridades federales, estatales y municipales que puedan aportar datos inherentes a la investigación.</w:t>
      </w:r>
    </w:p>
    <w:p w:rsidR="00297E6F" w:rsidRPr="00A1542B" w:rsidRDefault="00297E6F" w:rsidP="00DD6852">
      <w:pPr>
        <w:pStyle w:val="Prrafodelista"/>
        <w:ind w:left="357"/>
        <w:jc w:val="both"/>
        <w:rPr>
          <w:rFonts w:ascii="Arial" w:eastAsia="Calibri" w:hAnsi="Arial" w:cs="Arial"/>
          <w:lang w:val="es-MX" w:eastAsia="en-US"/>
        </w:rPr>
      </w:pPr>
    </w:p>
    <w:p w:rsidR="00297E6F" w:rsidRPr="00A1542B" w:rsidRDefault="00297E6F" w:rsidP="00DD6852">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A partir del 26 de noviembre de 2009 se incorporó la Unidad Especializada en la Atención a Víctimas del Delito de Secuestro, la cual tiene como finalidad conocer e investigar quejas relacionadas con personas que son objeto de secuestro, observando que el Ministerio Público respete los derechos que tienen reconocidos en su calidad de víctimas del delito.</w:t>
      </w:r>
    </w:p>
    <w:p w:rsidR="00297E6F" w:rsidRPr="00A1542B" w:rsidRDefault="00297E6F" w:rsidP="00DD6852">
      <w:pPr>
        <w:pStyle w:val="Prrafodelista"/>
        <w:ind w:left="357"/>
        <w:jc w:val="both"/>
        <w:rPr>
          <w:rFonts w:ascii="Arial" w:eastAsia="Calibri" w:hAnsi="Arial" w:cs="Arial"/>
          <w:lang w:val="es-MX" w:eastAsia="en-US"/>
        </w:rPr>
      </w:pPr>
    </w:p>
    <w:p w:rsidR="00297E6F" w:rsidRPr="00A1542B" w:rsidRDefault="00297E6F" w:rsidP="00DD6852">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De manera paralela se opera el Sistema de Información Nacional de Personas Extraviadas y Fallecidas (SINPEF), que tiene por objeto la creación de una base de datos que permita identificar, ubicar o localizar a personas reportadas como extraviadas, ausentes o desaparecidas o que incluso fallecieron y no han sido identificados sus cadáveres; para tal efecto, el SINPEF opera mediante tres subsistemas específicos:</w:t>
      </w:r>
    </w:p>
    <w:p w:rsidR="00297E6F" w:rsidRPr="00A1542B" w:rsidRDefault="00297E6F" w:rsidP="00DD6852">
      <w:pPr>
        <w:pStyle w:val="Prrafodelista"/>
        <w:ind w:left="357"/>
        <w:jc w:val="both"/>
        <w:rPr>
          <w:rFonts w:ascii="Arial" w:eastAsia="Calibri" w:hAnsi="Arial" w:cs="Arial"/>
          <w:lang w:val="es-MX" w:eastAsia="en-US"/>
        </w:rPr>
      </w:pPr>
    </w:p>
    <w:p w:rsidR="00297E6F" w:rsidRPr="00A1542B" w:rsidRDefault="00297E6F" w:rsidP="00DD6852">
      <w:pPr>
        <w:pStyle w:val="Prrafodelista"/>
        <w:numPr>
          <w:ilvl w:val="0"/>
          <w:numId w:val="9"/>
        </w:numPr>
        <w:ind w:left="714" w:hanging="357"/>
        <w:jc w:val="both"/>
        <w:rPr>
          <w:rFonts w:ascii="Arial" w:eastAsia="Calibri" w:hAnsi="Arial" w:cs="Arial"/>
          <w:lang w:val="es-MX" w:eastAsia="en-US"/>
        </w:rPr>
      </w:pPr>
      <w:r w:rsidRPr="00A1542B">
        <w:rPr>
          <w:rFonts w:ascii="Arial" w:eastAsia="Calibri" w:hAnsi="Arial" w:cs="Arial"/>
          <w:lang w:val="es-MX" w:eastAsia="en-US"/>
        </w:rPr>
        <w:lastRenderedPageBreak/>
        <w:t>Expedientes de SINPEF: Se registran todos aquellos casos que originalmente fueron materia de investigación (expedientes de queja) o calificados como orientación directa (OD) o remisión por parte de alguna de las Visitadurías Generales de la CNDH.</w:t>
      </w:r>
    </w:p>
    <w:p w:rsidR="00297E6F" w:rsidRPr="00A1542B" w:rsidRDefault="00297E6F" w:rsidP="00DD6852">
      <w:pPr>
        <w:pStyle w:val="Prrafodelista"/>
        <w:ind w:left="357"/>
        <w:jc w:val="both"/>
        <w:rPr>
          <w:rFonts w:ascii="Arial" w:eastAsia="Calibri" w:hAnsi="Arial" w:cs="Arial"/>
          <w:lang w:val="es-MX" w:eastAsia="en-US"/>
        </w:rPr>
      </w:pPr>
    </w:p>
    <w:p w:rsidR="00297E6F" w:rsidRPr="00A1542B" w:rsidRDefault="00297E6F" w:rsidP="00DD6852">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Con el mismo propósito, también se registran en la base de datos las distintas solicitudes de colaboración formuladas por las Comisiones Estatales de Derechos Humanos y por Organismos No Gubernamentales, e incluso por los órganos de procuración de justicia de las distintas entidades federativas de nuestro país.</w:t>
      </w:r>
    </w:p>
    <w:p w:rsidR="00297E6F" w:rsidRPr="00A1542B" w:rsidRDefault="00297E6F" w:rsidP="00DD6852">
      <w:pPr>
        <w:pStyle w:val="Prrafodelista"/>
        <w:ind w:left="357"/>
        <w:jc w:val="both"/>
        <w:rPr>
          <w:rFonts w:ascii="Arial" w:eastAsia="Calibri" w:hAnsi="Arial" w:cs="Arial"/>
          <w:lang w:val="es-MX" w:eastAsia="en-US"/>
        </w:rPr>
      </w:pPr>
    </w:p>
    <w:p w:rsidR="00297E6F" w:rsidRPr="00A1542B" w:rsidRDefault="00297E6F" w:rsidP="00DD6852">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Asimismo, se registran todos aquellos casos que transmite el Grupo de Trabajo sobre Desapariciones Forzadas o Involuntarias de la Organización de las Naciones Unidas al Estado mexicano, y en los que se realizan distintas acciones, encaminadas a lograr ubicar el paradero de los agraviados, así como a reunir las evidencias que, en su caso, permitan conocer los antecedentes históricos de los sucesos que propiciaron la ausencia o desaparición de dichas personas, a fin de determinar lo conducente.</w:t>
      </w:r>
    </w:p>
    <w:p w:rsidR="00297E6F" w:rsidRPr="00A1542B" w:rsidRDefault="00297E6F" w:rsidP="00DD6852">
      <w:pPr>
        <w:pStyle w:val="Prrafodelista"/>
        <w:ind w:left="357"/>
        <w:jc w:val="both"/>
        <w:rPr>
          <w:rFonts w:ascii="Arial" w:eastAsia="Calibri" w:hAnsi="Arial" w:cs="Arial"/>
          <w:lang w:val="es-MX" w:eastAsia="en-US"/>
        </w:rPr>
      </w:pPr>
    </w:p>
    <w:p w:rsidR="00297E6F" w:rsidRPr="00A1542B" w:rsidRDefault="00297E6F" w:rsidP="00DD6852">
      <w:pPr>
        <w:pStyle w:val="Prrafodelista"/>
        <w:numPr>
          <w:ilvl w:val="0"/>
          <w:numId w:val="9"/>
        </w:numPr>
        <w:ind w:left="714" w:hanging="357"/>
        <w:jc w:val="both"/>
        <w:rPr>
          <w:rFonts w:ascii="Arial" w:eastAsia="Calibri" w:hAnsi="Arial" w:cs="Arial"/>
          <w:lang w:val="es-MX" w:eastAsia="en-US"/>
        </w:rPr>
      </w:pPr>
      <w:r w:rsidRPr="00A1542B">
        <w:rPr>
          <w:rFonts w:ascii="Arial" w:eastAsia="Calibri" w:hAnsi="Arial" w:cs="Arial"/>
          <w:bCs/>
          <w:lang w:val="es-MX" w:eastAsia="en-US"/>
        </w:rPr>
        <w:t>Personas Extraviadas, Desaparecidas o Ausentes:</w:t>
      </w:r>
      <w:r w:rsidRPr="00A1542B">
        <w:rPr>
          <w:rFonts w:ascii="Arial" w:eastAsia="Calibri" w:hAnsi="Arial" w:cs="Arial"/>
          <w:b/>
          <w:bCs/>
          <w:lang w:val="es-MX" w:eastAsia="en-US"/>
        </w:rPr>
        <w:t xml:space="preserve"> </w:t>
      </w:r>
      <w:r w:rsidRPr="00A1542B">
        <w:rPr>
          <w:rFonts w:ascii="Arial" w:eastAsia="Calibri" w:hAnsi="Arial" w:cs="Arial"/>
          <w:lang w:val="es-MX" w:eastAsia="en-US"/>
        </w:rPr>
        <w:t>Se registran los antecedentes de personas que se encuentran en esa calidad y que son proporcionados, previas las gestiones que realiza la CNDH, por los titulares de los órganos de procuración de justicia de los 31 estados de la República Mexicana, así como del Distrito Federal.</w:t>
      </w:r>
    </w:p>
    <w:p w:rsidR="00297E6F" w:rsidRPr="00A1542B" w:rsidRDefault="00297E6F" w:rsidP="00DD6852">
      <w:pPr>
        <w:pStyle w:val="Prrafodelista"/>
        <w:ind w:left="357"/>
        <w:jc w:val="both"/>
        <w:rPr>
          <w:rFonts w:ascii="Arial" w:eastAsia="Calibri" w:hAnsi="Arial" w:cs="Arial"/>
          <w:lang w:val="es-MX" w:eastAsia="en-US"/>
        </w:rPr>
      </w:pPr>
    </w:p>
    <w:p w:rsidR="00297E6F" w:rsidRPr="00A1542B" w:rsidRDefault="00297E6F" w:rsidP="00DD6852">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En su momento, se espera contar con una base de datos de personas extraviadas, desaparecidas o ausentes que permita crear una Red a Nivel Nacional para conocer, por una parte, la incidencia que en esa materia se encuentra registrada y, por la otra, realizar puntualmente un cruce de información de los datos existentes, encaminado a brindar a la ciudadanía ese servicio cuando así lo solicite.</w:t>
      </w:r>
    </w:p>
    <w:p w:rsidR="00297E6F" w:rsidRPr="00A1542B" w:rsidRDefault="00297E6F" w:rsidP="00DD6852">
      <w:pPr>
        <w:pStyle w:val="Prrafodelista"/>
        <w:ind w:left="357"/>
        <w:jc w:val="both"/>
        <w:rPr>
          <w:rFonts w:ascii="Arial" w:eastAsia="Calibri" w:hAnsi="Arial" w:cs="Arial"/>
          <w:lang w:val="es-MX" w:eastAsia="en-US"/>
        </w:rPr>
      </w:pPr>
    </w:p>
    <w:p w:rsidR="00297E6F" w:rsidRPr="00A1542B" w:rsidRDefault="00297E6F" w:rsidP="00DD6852">
      <w:pPr>
        <w:pStyle w:val="Prrafodelista"/>
        <w:numPr>
          <w:ilvl w:val="0"/>
          <w:numId w:val="9"/>
        </w:numPr>
        <w:ind w:left="714" w:hanging="357"/>
        <w:jc w:val="both"/>
        <w:rPr>
          <w:rFonts w:ascii="Arial" w:eastAsia="Calibri" w:hAnsi="Arial" w:cs="Arial"/>
          <w:lang w:val="es-MX" w:eastAsia="en-US"/>
        </w:rPr>
      </w:pPr>
      <w:r w:rsidRPr="00A1542B">
        <w:rPr>
          <w:rFonts w:ascii="Arial" w:eastAsia="Calibri" w:hAnsi="Arial" w:cs="Arial"/>
          <w:bCs/>
          <w:lang w:val="es-MX" w:eastAsia="en-US"/>
        </w:rPr>
        <w:t>Personas Fallecidas no Identificadas:</w:t>
      </w:r>
      <w:r w:rsidRPr="00A1542B">
        <w:rPr>
          <w:rFonts w:ascii="Arial" w:eastAsia="Calibri" w:hAnsi="Arial" w:cs="Arial"/>
          <w:b/>
          <w:bCs/>
          <w:lang w:val="es-MX" w:eastAsia="en-US"/>
        </w:rPr>
        <w:t xml:space="preserve"> </w:t>
      </w:r>
      <w:r w:rsidRPr="00A1542B">
        <w:rPr>
          <w:rFonts w:ascii="Arial" w:eastAsia="Calibri" w:hAnsi="Arial" w:cs="Arial"/>
          <w:lang w:val="es-MX" w:eastAsia="en-US"/>
        </w:rPr>
        <w:t>Se registran los antecedentes de personas que se encuentran en esa calidad y que son proporcionados, previas las gestiones que realiza la CNDH, por los titulares de los órganos de procuración y administración de justicia, a quienes indistintamente corresponde coordinar, administrar y supervisar los servicios periciales, así como los servicios médico-forenses de los 31 estados de la República Mexicana y del Distrito Federal.</w:t>
      </w:r>
    </w:p>
    <w:p w:rsidR="00297E6F" w:rsidRPr="00A1542B" w:rsidRDefault="00297E6F" w:rsidP="00DD6852">
      <w:pPr>
        <w:pStyle w:val="Prrafodelista"/>
        <w:ind w:left="357"/>
        <w:jc w:val="both"/>
        <w:rPr>
          <w:rFonts w:ascii="Arial" w:eastAsia="Calibri" w:hAnsi="Arial" w:cs="Arial"/>
          <w:lang w:val="es-MX" w:eastAsia="en-US"/>
        </w:rPr>
      </w:pPr>
    </w:p>
    <w:p w:rsidR="00297E6F" w:rsidRPr="00A1542B" w:rsidRDefault="00297E6F" w:rsidP="00DD6852">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En su momento, se espera contar con una base de datos de personas fallecidas no identificadas que permita crear una Red a Nivel Nacional para conocer, por una parte, la incidencia que en esa materia se encuentra registrada, y, por la otra, realizar puntualmente un cruce de información de los datos existentes, todo esto encaminado a brindar a la ciudadanía ese servicio cuando así lo solicite</w:t>
      </w:r>
    </w:p>
    <w:p w:rsidR="00297E6F" w:rsidRPr="00A1542B" w:rsidRDefault="00297E6F" w:rsidP="00DD6852">
      <w:pPr>
        <w:pStyle w:val="Prrafodelista"/>
        <w:ind w:left="357"/>
        <w:jc w:val="both"/>
        <w:rPr>
          <w:rFonts w:ascii="Arial" w:eastAsia="Calibri" w:hAnsi="Arial" w:cs="Arial"/>
          <w:lang w:val="es-MX" w:eastAsia="en-US"/>
        </w:rPr>
      </w:pPr>
    </w:p>
    <w:p w:rsidR="00297E6F" w:rsidRPr="00A1542B" w:rsidRDefault="00297E6F" w:rsidP="00DD6852">
      <w:pPr>
        <w:pStyle w:val="Prrafodelista"/>
        <w:ind w:left="357"/>
        <w:jc w:val="both"/>
        <w:rPr>
          <w:rFonts w:ascii="Arial" w:eastAsia="Calibri" w:hAnsi="Arial" w:cs="Arial"/>
          <w:lang w:val="es-MX" w:eastAsia="en-US"/>
        </w:rPr>
      </w:pPr>
      <w:r w:rsidRPr="00A1542B">
        <w:rPr>
          <w:rFonts w:ascii="Arial" w:eastAsia="Calibri" w:hAnsi="Arial" w:cs="Arial"/>
          <w:lang w:val="es-MX" w:eastAsia="en-US"/>
        </w:rPr>
        <w:lastRenderedPageBreak/>
        <w:t>Tan sólo en 2013, se tramitaron 37 expedientes de queja, 88 expedientes de orientación directa, 19 de remisión y dos recursos de impugnación. Asimismo, se concluyeron 73 expedientes, nueve de queja, 57 de orientación directa y siete de remisión, con un total de 108 agraviados. Por otra parte, a la fecha se encuentran en trámite 111 expedientes, de los cuales 54 son de queja, 42 de orientación directa, 13 de remisión y dos recursos de impugnación, con un total de 582 agraviados. De igual forma, se tramitaron 11,768 solicitudes de información a diversas autoridades federales (592) y estatales (11,176)</w:t>
      </w:r>
      <w:r w:rsidR="00DD6852" w:rsidRPr="00A1542B">
        <w:rPr>
          <w:rFonts w:ascii="Arial" w:eastAsia="Calibri" w:hAnsi="Arial" w:cs="Arial"/>
          <w:lang w:val="es-MX" w:eastAsia="en-US"/>
        </w:rPr>
        <w:t>.</w:t>
      </w:r>
    </w:p>
    <w:p w:rsidR="00297E6F" w:rsidRPr="00A1542B" w:rsidRDefault="00297E6F" w:rsidP="00DD6852">
      <w:pPr>
        <w:pStyle w:val="Prrafodelista"/>
        <w:ind w:left="357"/>
        <w:jc w:val="both"/>
        <w:rPr>
          <w:rFonts w:ascii="Arial" w:eastAsia="Calibri" w:hAnsi="Arial" w:cs="Arial"/>
          <w:lang w:val="es-MX" w:eastAsia="en-US"/>
        </w:rPr>
      </w:pPr>
    </w:p>
    <w:p w:rsidR="00297E6F" w:rsidRPr="00A1542B" w:rsidRDefault="00297E6F" w:rsidP="00DD6852">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Cabe señalar que en septiembre de 2011, se estableció la Procuraduría Social de Atención a las Víctimas del Delito (PROVÍCTIMA) como organismo descentralizado de la Administración Pública Federal (APF). En noviembre de 2012, PROVÍCTIMA presentó el </w:t>
      </w:r>
      <w:r w:rsidRPr="00A1542B">
        <w:rPr>
          <w:rFonts w:ascii="Arial" w:eastAsia="Calibri" w:hAnsi="Arial" w:cs="Arial"/>
          <w:i/>
          <w:iCs/>
          <w:lang w:val="es-MX" w:eastAsia="en-US"/>
        </w:rPr>
        <w:t>Protocolo de búsqueda inmediata de personas desaparecidas o no localizadas</w:t>
      </w:r>
      <w:r w:rsidRPr="00A1542B">
        <w:rPr>
          <w:rFonts w:ascii="Arial" w:eastAsia="Calibri" w:hAnsi="Arial" w:cs="Arial"/>
          <w:lang w:val="es-MX" w:eastAsia="en-US"/>
        </w:rPr>
        <w:t xml:space="preserve">. En abril de 2012, entró en vigor la Ley del Registro Nacional de Datos de Personas Extraviadas o Desaparecidas. En julio de 2012, se firmó el acuerdo de lanzamiento del </w:t>
      </w:r>
      <w:r w:rsidRPr="00A1542B">
        <w:rPr>
          <w:rFonts w:ascii="Arial" w:eastAsia="Calibri" w:hAnsi="Arial" w:cs="Arial"/>
          <w:i/>
          <w:iCs/>
          <w:lang w:val="es-MX" w:eastAsia="en-US"/>
        </w:rPr>
        <w:t>Protocolo de atención, reacción y coordinación entre autoridades federales, estatales y municipales en caso de extravío de mujeres y niñas en el Municipio de Ciudad Juárez</w:t>
      </w:r>
      <w:r w:rsidRPr="00A1542B">
        <w:rPr>
          <w:rFonts w:ascii="Arial" w:eastAsia="Calibri" w:hAnsi="Arial" w:cs="Arial"/>
          <w:lang w:val="es-MX" w:eastAsia="en-US"/>
        </w:rPr>
        <w:t xml:space="preserve">, conocido como </w:t>
      </w:r>
      <w:r w:rsidRPr="00A1542B">
        <w:rPr>
          <w:rFonts w:ascii="Arial" w:eastAsia="Calibri" w:hAnsi="Arial" w:cs="Arial"/>
          <w:i/>
          <w:iCs/>
          <w:lang w:val="es-MX" w:eastAsia="en-US"/>
        </w:rPr>
        <w:t>Protocolo Alba</w:t>
      </w:r>
      <w:r w:rsidRPr="00A1542B">
        <w:rPr>
          <w:rFonts w:ascii="Arial" w:eastAsia="Calibri" w:hAnsi="Arial" w:cs="Arial"/>
          <w:lang w:val="es-MX" w:eastAsia="en-US"/>
        </w:rPr>
        <w:t>. Finalmente, se creó la Unidad de Búsqueda de Personas Desaparecidas en la PGR, conformada por agentes del ministerio público y personal especializado en atención a víctimas de desaparición.</w:t>
      </w:r>
    </w:p>
    <w:p w:rsidR="00297E6F" w:rsidRPr="00A1542B" w:rsidRDefault="00297E6F" w:rsidP="00DD6852">
      <w:pPr>
        <w:pStyle w:val="Prrafodelista"/>
        <w:ind w:left="357"/>
        <w:jc w:val="both"/>
        <w:rPr>
          <w:rFonts w:ascii="Arial" w:eastAsia="Calibri" w:hAnsi="Arial" w:cs="Arial"/>
          <w:lang w:val="es-MX" w:eastAsia="en-US"/>
        </w:rPr>
      </w:pPr>
    </w:p>
    <w:p w:rsidR="00297E6F" w:rsidRPr="00A1542B" w:rsidRDefault="00297E6F" w:rsidP="00BC2AF1">
      <w:pPr>
        <w:pStyle w:val="Default"/>
        <w:numPr>
          <w:ilvl w:val="0"/>
          <w:numId w:val="10"/>
        </w:numPr>
        <w:ind w:left="357" w:hanging="357"/>
        <w:jc w:val="both"/>
        <w:rPr>
          <w:color w:val="auto"/>
        </w:rPr>
      </w:pPr>
      <w:r w:rsidRPr="00A1542B">
        <w:rPr>
          <w:b/>
          <w:color w:val="auto"/>
        </w:rPr>
        <w:t>Respecto de la recomendación número 13 en el sentido de reforzar las medidas para poner fin a la tortura</w:t>
      </w:r>
      <w:r w:rsidRPr="00A1542B">
        <w:rPr>
          <w:color w:val="auto"/>
        </w:rPr>
        <w:t>, como es de su conocimiento, la CNDH funciona como Mecanismo Nacional de Prevención de la Tortura (MNPT), instaurado en razón de que el 23 de septiembre de 2003 México firmó el Protocolo Facultativo de la Convención contra la Tortura y Otros Tratos o Penas Crueles, Inhumanos o Degradantes; posteriormente, el 11 de abril de 2005, ratificó dicho tratado internacional y entró en vigor el 22 de junio de 2006.</w:t>
      </w:r>
    </w:p>
    <w:p w:rsidR="00297E6F" w:rsidRPr="00A1542B" w:rsidRDefault="00297E6F" w:rsidP="00BC2AF1">
      <w:pPr>
        <w:pStyle w:val="Prrafodelista"/>
        <w:ind w:left="357"/>
        <w:jc w:val="both"/>
        <w:rPr>
          <w:rFonts w:ascii="Arial" w:hAnsi="Arial" w:cs="Arial"/>
        </w:rPr>
      </w:pPr>
    </w:p>
    <w:p w:rsidR="00297E6F" w:rsidRPr="00A1542B" w:rsidRDefault="00297E6F" w:rsidP="00BC2AF1">
      <w:pPr>
        <w:pStyle w:val="Default"/>
        <w:ind w:left="357"/>
        <w:jc w:val="both"/>
        <w:rPr>
          <w:color w:val="auto"/>
        </w:rPr>
      </w:pPr>
      <w:r w:rsidRPr="00A1542B">
        <w:rPr>
          <w:color w:val="auto"/>
        </w:rPr>
        <w:t>En 2010 el MNPT realizó 309 visitas iniciales a diferentes lugares de detención: Agencias del Ministerio Público, Fiscalías y Centros de Arraigo (156); separos de Seguridad Pública o de Juzgados (75); Cárceles Municipales y/o Distritales (39); Centros de Reclusión para Adultos (23); Centros de Internamiento para Adolescentes (9); instituciones psiquiátricas (5) y albergues para la atención de víctimas del delito y/o de asistencia social (2). En 2011, se efectuaron 591 visitas a diferentes lugares de detención, de las cuales 61 corresponden a visitas iniciales y 530 a seguimiento.</w:t>
      </w:r>
    </w:p>
    <w:p w:rsidR="00297E6F" w:rsidRPr="00A1542B" w:rsidRDefault="00297E6F" w:rsidP="00BC2AF1">
      <w:pPr>
        <w:pStyle w:val="Default"/>
        <w:ind w:left="357"/>
        <w:jc w:val="both"/>
        <w:rPr>
          <w:color w:val="auto"/>
        </w:rPr>
      </w:pPr>
    </w:p>
    <w:p w:rsidR="00297E6F" w:rsidRPr="00A1542B" w:rsidRDefault="00297E6F" w:rsidP="00BC2AF1">
      <w:pPr>
        <w:pStyle w:val="Default"/>
        <w:ind w:left="357"/>
        <w:jc w:val="both"/>
        <w:rPr>
          <w:color w:val="auto"/>
        </w:rPr>
      </w:pPr>
      <w:r w:rsidRPr="00A1542B">
        <w:rPr>
          <w:color w:val="auto"/>
        </w:rPr>
        <w:t>Asimismo, en 2012 tuvieron lugar 527 visitas, de las cuales 48 fueron a centros para adultos, 43 a cárceles municipales o distritales, 95 a separos, 67 a centros para adolescentes, 182 a agencias del Ministerio Público, fiscalías, Centros de Arraigo y otros, 4 a albergues para atención a víctimas o asistencia sociales, 3 a áreas de detención en hospitales, 29 a instituciones de salud mental, y 56 a estaciones migratorias.</w:t>
      </w:r>
    </w:p>
    <w:p w:rsidR="00297E6F" w:rsidRPr="00A1542B" w:rsidRDefault="00297E6F" w:rsidP="00BC2AF1">
      <w:pPr>
        <w:pStyle w:val="Default"/>
        <w:ind w:left="357"/>
        <w:jc w:val="both"/>
        <w:rPr>
          <w:color w:val="auto"/>
        </w:rPr>
      </w:pPr>
    </w:p>
    <w:p w:rsidR="00297E6F" w:rsidRPr="00A1542B" w:rsidRDefault="00297E6F" w:rsidP="00BC2AF1">
      <w:pPr>
        <w:pStyle w:val="Default"/>
        <w:ind w:left="357"/>
        <w:jc w:val="both"/>
        <w:rPr>
          <w:color w:val="auto"/>
        </w:rPr>
      </w:pPr>
      <w:r w:rsidRPr="00A1542B">
        <w:rPr>
          <w:color w:val="auto"/>
        </w:rPr>
        <w:lastRenderedPageBreak/>
        <w:t>Finalmente, el año pasado (2013) se realizaron 539 visitas a distintos lugares de detención e internamiento, de las cuales 86 fueron en Centros de Reinserción Social, 17 a Cárceles Municipales o Distritales, 183 a separos de Seguridad Pública o de Juzgados, 9 a Centros de Internamiento para Adolescentes, 227 a Agencias del Ministerio Público, Fiscalías, Centros de Arraigo y otros, 11 a albergues para la Atención de Víctimas de Delitos y/o Asistencia Social y 6 a Instituciones Psiquiátricas.</w:t>
      </w:r>
    </w:p>
    <w:p w:rsidR="00297E6F" w:rsidRPr="00A1542B" w:rsidRDefault="00297E6F" w:rsidP="00BC2AF1">
      <w:pPr>
        <w:pStyle w:val="Default"/>
        <w:ind w:left="357"/>
        <w:jc w:val="both"/>
        <w:rPr>
          <w:color w:val="auto"/>
        </w:rPr>
      </w:pPr>
    </w:p>
    <w:p w:rsidR="00297E6F" w:rsidRPr="00A1542B" w:rsidRDefault="00297E6F" w:rsidP="00BC2AF1">
      <w:pPr>
        <w:pStyle w:val="Default"/>
        <w:ind w:left="357"/>
        <w:jc w:val="both"/>
        <w:rPr>
          <w:color w:val="auto"/>
        </w:rPr>
      </w:pPr>
      <w:r w:rsidRPr="00A1542B">
        <w:rPr>
          <w:color w:val="auto"/>
        </w:rPr>
        <w:t>Relacionado con la autoridad gubernamental, el 1º de diciembre de 2012, el Presidente de la República giró una directiva a la totalidad de las unidades, dependencias e instalaciones del Ejército y Fuerza Aérea, que prohíbe el uso de la tortura, tratos crueles, inhumanos y/o degradantes en toda diligencia o actuación, y reitera el deber de actuar apegados a los derechos humanos.</w:t>
      </w:r>
    </w:p>
    <w:p w:rsidR="00297E6F" w:rsidRPr="00A1542B" w:rsidRDefault="00297E6F" w:rsidP="00BC2AF1">
      <w:pPr>
        <w:pStyle w:val="Default"/>
        <w:ind w:left="357"/>
        <w:jc w:val="both"/>
        <w:rPr>
          <w:color w:val="auto"/>
        </w:rPr>
      </w:pPr>
    </w:p>
    <w:p w:rsidR="00297E6F" w:rsidRPr="00A1542B" w:rsidRDefault="00297E6F" w:rsidP="00BC2AF1">
      <w:pPr>
        <w:pStyle w:val="Default"/>
        <w:ind w:left="357"/>
        <w:jc w:val="both"/>
        <w:rPr>
          <w:color w:val="auto"/>
        </w:rPr>
      </w:pPr>
      <w:r w:rsidRPr="00A1542B">
        <w:rPr>
          <w:color w:val="auto"/>
        </w:rPr>
        <w:t xml:space="preserve">Además, en mayo de 2013, la Conferencia Nacional de Procuración de Justicia (CNPJ) del Sistema Nacional de Seguridad Pública (SNSP) determinó que todas las procuradurías de las entidades federativas implementarían el Protocolo de Estambul e impulsarían un </w:t>
      </w:r>
      <w:r w:rsidRPr="00A1542B">
        <w:rPr>
          <w:i/>
          <w:iCs/>
          <w:color w:val="auto"/>
        </w:rPr>
        <w:t xml:space="preserve">Programa Nacional de Capacitación, </w:t>
      </w:r>
      <w:r w:rsidRPr="00A1542B">
        <w:rPr>
          <w:color w:val="auto"/>
        </w:rPr>
        <w:t>cuya aplicación está en curso.</w:t>
      </w:r>
    </w:p>
    <w:p w:rsidR="00297E6F" w:rsidRPr="00A1542B" w:rsidRDefault="00297E6F" w:rsidP="00BC2AF1">
      <w:pPr>
        <w:pStyle w:val="Prrafodelista"/>
        <w:ind w:left="357"/>
        <w:jc w:val="both"/>
        <w:rPr>
          <w:rFonts w:ascii="Arial" w:eastAsia="Calibri" w:hAnsi="Arial" w:cs="Arial"/>
          <w:lang w:val="es-MX" w:eastAsia="en-US"/>
        </w:rPr>
      </w:pPr>
    </w:p>
    <w:p w:rsidR="00297E6F" w:rsidRPr="00A1542B" w:rsidRDefault="00297E6F" w:rsidP="00EB1C59">
      <w:pPr>
        <w:pStyle w:val="Prrafodelista"/>
        <w:numPr>
          <w:ilvl w:val="0"/>
          <w:numId w:val="10"/>
        </w:numPr>
        <w:autoSpaceDE w:val="0"/>
        <w:autoSpaceDN w:val="0"/>
        <w:adjustRightInd w:val="0"/>
        <w:ind w:left="357" w:hanging="357"/>
        <w:jc w:val="both"/>
        <w:rPr>
          <w:rFonts w:ascii="Arial" w:eastAsia="Calibri" w:hAnsi="Arial" w:cs="Arial"/>
          <w:lang w:eastAsia="en-US"/>
        </w:rPr>
      </w:pPr>
      <w:r w:rsidRPr="00A1542B">
        <w:rPr>
          <w:rFonts w:ascii="Arial" w:eastAsia="Calibri" w:hAnsi="Arial" w:cs="Arial"/>
          <w:b/>
          <w:lang w:val="es-MX" w:eastAsia="en-US"/>
        </w:rPr>
        <w:t>En materia de la aplicación de la reforma del sistema de justicia penal,</w:t>
      </w:r>
      <w:r w:rsidRPr="00A1542B">
        <w:rPr>
          <w:rFonts w:ascii="Arial" w:eastAsia="Calibri" w:hAnsi="Arial" w:cs="Arial"/>
          <w:lang w:val="es-MX" w:eastAsia="en-US"/>
        </w:rPr>
        <w:t xml:space="preserve"> la CNDH informa que este organismo nacional ha realizado actividades de difusión de la reforma, las cuales buscan coadyuvar en una adecuada implementación. En 2011, se organizó el </w:t>
      </w:r>
      <w:r w:rsidRPr="00A1542B">
        <w:rPr>
          <w:rFonts w:ascii="Arial" w:eastAsia="Calibri" w:hAnsi="Arial" w:cs="Arial"/>
          <w:i/>
          <w:lang w:val="es-MX" w:eastAsia="en-US"/>
        </w:rPr>
        <w:t>Foro los Derechos Humanos Indígenas en la Nueva Justicia Penal</w:t>
      </w:r>
      <w:r w:rsidRPr="00A1542B">
        <w:rPr>
          <w:rFonts w:ascii="Arial" w:eastAsia="Calibri" w:hAnsi="Arial" w:cs="Arial"/>
          <w:lang w:val="es-MX" w:eastAsia="en-US"/>
        </w:rPr>
        <w:t xml:space="preserve"> en el estado de Puebla, el cual tuvo como objetivo reflexionar sobre los desarrollos normativos del nuevo sistema penal en su relación con los indígenas, tanto en lo individual como en lo colectivo.</w:t>
      </w:r>
    </w:p>
    <w:p w:rsidR="00297E6F" w:rsidRPr="00A1542B" w:rsidRDefault="00297E6F" w:rsidP="00EB1C59">
      <w:pPr>
        <w:pStyle w:val="Prrafodelista"/>
        <w:autoSpaceDE w:val="0"/>
        <w:autoSpaceDN w:val="0"/>
        <w:adjustRightInd w:val="0"/>
        <w:ind w:left="357"/>
        <w:jc w:val="both"/>
        <w:rPr>
          <w:rFonts w:ascii="Arial" w:eastAsia="Calibri" w:hAnsi="Arial" w:cs="Arial"/>
          <w:lang w:eastAsia="en-US"/>
        </w:rPr>
      </w:pPr>
    </w:p>
    <w:p w:rsidR="00297E6F" w:rsidRPr="00A1542B" w:rsidRDefault="00297E6F" w:rsidP="00EB1C59">
      <w:pPr>
        <w:pStyle w:val="Prrafodelista"/>
        <w:autoSpaceDE w:val="0"/>
        <w:autoSpaceDN w:val="0"/>
        <w:adjustRightInd w:val="0"/>
        <w:ind w:left="357"/>
        <w:jc w:val="both"/>
        <w:rPr>
          <w:rFonts w:ascii="Arial" w:eastAsia="Calibri" w:hAnsi="Arial" w:cs="Arial"/>
          <w:lang w:eastAsia="en-US"/>
        </w:rPr>
      </w:pPr>
      <w:r w:rsidRPr="00A1542B">
        <w:rPr>
          <w:rFonts w:ascii="Arial" w:eastAsia="Calibri" w:hAnsi="Arial" w:cs="Arial"/>
          <w:lang w:eastAsia="en-US"/>
        </w:rPr>
        <w:t xml:space="preserve">Destaca que a raíz de varias recomendaciones emitidas por la CNDH, algunas autoridades federales y estatales han realizado actividades de actualización y capacitación, así como foros relativos a las reformas en cuestión. La recomendación 55/10 llevó a la organización en 2011 de la ponencia </w:t>
      </w:r>
      <w:r w:rsidRPr="00A1542B">
        <w:rPr>
          <w:rFonts w:ascii="Arial" w:eastAsia="Calibri" w:hAnsi="Arial" w:cs="Arial"/>
          <w:i/>
          <w:lang w:eastAsia="en-US"/>
        </w:rPr>
        <w:t>Justicia Restaurativa en el nuevo sistema Acusatorio Adversarial</w:t>
      </w:r>
      <w:r w:rsidRPr="00A1542B">
        <w:rPr>
          <w:rFonts w:ascii="Arial" w:eastAsia="Calibri" w:hAnsi="Arial" w:cs="Arial"/>
          <w:lang w:eastAsia="en-US"/>
        </w:rPr>
        <w:t xml:space="preserve"> impartida a funcionarios de Instituto de Seguridad y Servicios Sociales de los Trabajadores del Estado.</w:t>
      </w:r>
    </w:p>
    <w:p w:rsidR="00297E6F" w:rsidRPr="00A1542B" w:rsidRDefault="00297E6F" w:rsidP="00EB1C59">
      <w:pPr>
        <w:pStyle w:val="Prrafodelista"/>
        <w:autoSpaceDE w:val="0"/>
        <w:autoSpaceDN w:val="0"/>
        <w:adjustRightInd w:val="0"/>
        <w:ind w:left="357"/>
        <w:jc w:val="both"/>
        <w:rPr>
          <w:rFonts w:ascii="Arial" w:eastAsia="Calibri" w:hAnsi="Arial" w:cs="Arial"/>
          <w:lang w:eastAsia="en-US"/>
        </w:rPr>
      </w:pPr>
    </w:p>
    <w:p w:rsidR="00297E6F" w:rsidRPr="00A1542B" w:rsidRDefault="00297E6F" w:rsidP="00EB1C59">
      <w:pPr>
        <w:pStyle w:val="Prrafodelista"/>
        <w:autoSpaceDE w:val="0"/>
        <w:autoSpaceDN w:val="0"/>
        <w:adjustRightInd w:val="0"/>
        <w:ind w:left="357"/>
        <w:jc w:val="both"/>
        <w:rPr>
          <w:rFonts w:ascii="Arial" w:eastAsia="Calibri" w:hAnsi="Arial" w:cs="Arial"/>
          <w:lang w:eastAsia="en-US"/>
        </w:rPr>
      </w:pPr>
      <w:r w:rsidRPr="00A1542B">
        <w:rPr>
          <w:rFonts w:ascii="Arial" w:eastAsia="Calibri" w:hAnsi="Arial" w:cs="Arial"/>
          <w:lang w:eastAsia="en-US"/>
        </w:rPr>
        <w:t xml:space="preserve">Asimismo, a raíz de la Recomendación 59/11 la Secretaría de Seguridad Pública realizó, en 2011, la conferencia </w:t>
      </w:r>
      <w:r w:rsidRPr="00A1542B">
        <w:rPr>
          <w:rFonts w:ascii="Arial" w:eastAsia="Calibri" w:hAnsi="Arial" w:cs="Arial"/>
          <w:i/>
          <w:lang w:eastAsia="en-US"/>
        </w:rPr>
        <w:t>La Intervención del Policía en el Proceso Penal Acusatorio y la defensa de los derechos humanos</w:t>
      </w:r>
      <w:r w:rsidRPr="00A1542B">
        <w:rPr>
          <w:rFonts w:ascii="Arial" w:eastAsia="Calibri" w:hAnsi="Arial" w:cs="Arial"/>
          <w:lang w:eastAsia="en-US"/>
        </w:rPr>
        <w:t xml:space="preserve">; esta recomendación también llevó a que el Gobierno del estado de Tabasco realizara el taller </w:t>
      </w:r>
      <w:r w:rsidRPr="00A1542B">
        <w:rPr>
          <w:rFonts w:ascii="Arial" w:eastAsia="Calibri" w:hAnsi="Arial" w:cs="Arial"/>
          <w:i/>
          <w:lang w:eastAsia="en-US"/>
        </w:rPr>
        <w:t>Intervención de la policía en el sistema acusatorio adversarial</w:t>
      </w:r>
      <w:r w:rsidRPr="00A1542B">
        <w:rPr>
          <w:rFonts w:ascii="Arial" w:eastAsia="Calibri" w:hAnsi="Arial" w:cs="Arial"/>
          <w:lang w:eastAsia="en-US"/>
        </w:rPr>
        <w:t xml:space="preserve"> en 2012. De igual forma, derivado de la Recomendación 11/13, el Gobierno del estado de Chiapas realizó el </w:t>
      </w:r>
      <w:r w:rsidRPr="00A1542B">
        <w:rPr>
          <w:rFonts w:ascii="Arial" w:eastAsia="Calibri" w:hAnsi="Arial" w:cs="Arial"/>
          <w:i/>
          <w:lang w:eastAsia="en-US"/>
        </w:rPr>
        <w:t>Curso para la Policía Investigadora en el Sistema Acusatorio</w:t>
      </w:r>
      <w:r w:rsidRPr="00A1542B">
        <w:rPr>
          <w:rFonts w:ascii="Arial" w:eastAsia="Calibri" w:hAnsi="Arial" w:cs="Arial"/>
          <w:lang w:eastAsia="en-US"/>
        </w:rPr>
        <w:t xml:space="preserve"> que impactó a 150 funcionarios.</w:t>
      </w:r>
    </w:p>
    <w:p w:rsidR="00297E6F" w:rsidRPr="00A1542B" w:rsidRDefault="00297E6F" w:rsidP="00EB1C59">
      <w:pPr>
        <w:pStyle w:val="Prrafodelista"/>
        <w:autoSpaceDE w:val="0"/>
        <w:autoSpaceDN w:val="0"/>
        <w:adjustRightInd w:val="0"/>
        <w:ind w:left="357"/>
        <w:jc w:val="both"/>
        <w:rPr>
          <w:rFonts w:ascii="Arial" w:eastAsia="Calibri" w:hAnsi="Arial" w:cs="Arial"/>
          <w:lang w:eastAsia="en-US"/>
        </w:rPr>
      </w:pPr>
    </w:p>
    <w:p w:rsidR="00297E6F" w:rsidRPr="00A1542B" w:rsidRDefault="00297E6F" w:rsidP="00EB1C59">
      <w:pPr>
        <w:pStyle w:val="Prrafodelista"/>
        <w:autoSpaceDE w:val="0"/>
        <w:autoSpaceDN w:val="0"/>
        <w:adjustRightInd w:val="0"/>
        <w:ind w:left="357"/>
        <w:jc w:val="both"/>
        <w:rPr>
          <w:rFonts w:ascii="Arial" w:eastAsia="Calibri" w:hAnsi="Arial" w:cs="Arial"/>
          <w:lang w:val="es-MX" w:eastAsia="en-US"/>
        </w:rPr>
      </w:pPr>
      <w:r w:rsidRPr="00A1542B">
        <w:rPr>
          <w:rFonts w:ascii="Arial" w:eastAsia="Calibri" w:hAnsi="Arial" w:cs="Arial"/>
          <w:lang w:eastAsia="en-US"/>
        </w:rPr>
        <w:t xml:space="preserve">En relación con el respeto a las garantías procesales, la CNDH emitió la Recomendación 50/11, en la cual determinó que las autoridades judiciales del </w:t>
      </w:r>
      <w:r w:rsidRPr="00A1542B">
        <w:rPr>
          <w:rFonts w:ascii="Arial" w:eastAsia="Calibri" w:hAnsi="Arial" w:cs="Arial"/>
          <w:lang w:eastAsia="en-US"/>
        </w:rPr>
        <w:lastRenderedPageBreak/>
        <w:t xml:space="preserve">estado de Chihuahua </w:t>
      </w:r>
      <w:r w:rsidRPr="00A1542B">
        <w:rPr>
          <w:rFonts w:ascii="Arial" w:eastAsia="Calibri" w:hAnsi="Arial" w:cs="Arial"/>
          <w:lang w:val="es-MX" w:eastAsia="en-US"/>
        </w:rPr>
        <w:t>violaron los derechos de las víctimas y ofendidos del delito, en lo relativo a la integridad, seguridad personal, acceso a la justicia y a la debida procuración de la misma, al omitir otorgar medidas tendientes a garantizar su seguridad y protección y violar el principio de publicidad. En razón de que las víctimas y ofendidos del delito no pudier</w:t>
      </w:r>
      <w:r w:rsidR="004D51FD" w:rsidRPr="00A1542B">
        <w:rPr>
          <w:rFonts w:ascii="Arial" w:eastAsia="Calibri" w:hAnsi="Arial" w:cs="Arial"/>
          <w:lang w:val="es-MX" w:eastAsia="en-US"/>
        </w:rPr>
        <w:t>o</w:t>
      </w:r>
      <w:r w:rsidRPr="00A1542B">
        <w:rPr>
          <w:rFonts w:ascii="Arial" w:eastAsia="Calibri" w:hAnsi="Arial" w:cs="Arial"/>
          <w:lang w:val="es-MX" w:eastAsia="en-US"/>
        </w:rPr>
        <w:t>n presenciar la audiencia, lo cual es una irregularidad atribuible también a los jueces de garantía, ya que es su obligación garantizar que las víctimas y ofendidos del delito estén presentes en el desarrollo del proceso a fin de que puedan hacer valer sus garantías procesales, y al no hacerlo, violaron el principio de publicidad del proceso penal previsto en el acápite del artículo 20 constitucional, y con ello sus derechos al acceso a la justicia y la debida procuración de la misma.</w:t>
      </w:r>
    </w:p>
    <w:p w:rsidR="00297E6F" w:rsidRPr="00A1542B" w:rsidRDefault="00297E6F" w:rsidP="00EB1C59">
      <w:pPr>
        <w:pStyle w:val="Prrafodelista"/>
        <w:autoSpaceDE w:val="0"/>
        <w:autoSpaceDN w:val="0"/>
        <w:adjustRightInd w:val="0"/>
        <w:ind w:left="357"/>
        <w:jc w:val="both"/>
        <w:rPr>
          <w:rFonts w:ascii="Arial" w:eastAsia="Calibri" w:hAnsi="Arial" w:cs="Arial"/>
          <w:lang w:val="es-MX" w:eastAsia="en-US"/>
        </w:rPr>
      </w:pPr>
    </w:p>
    <w:p w:rsidR="00297E6F" w:rsidRPr="00A1542B" w:rsidRDefault="00297E6F" w:rsidP="00EB1C59">
      <w:pPr>
        <w:pStyle w:val="Prrafodelista"/>
        <w:autoSpaceDE w:val="0"/>
        <w:autoSpaceDN w:val="0"/>
        <w:adjustRightInd w:val="0"/>
        <w:ind w:left="357"/>
        <w:jc w:val="both"/>
        <w:rPr>
          <w:rFonts w:ascii="Arial" w:eastAsia="Calibri" w:hAnsi="Arial" w:cs="Arial"/>
          <w:lang w:val="es-MX" w:eastAsia="en-US"/>
        </w:rPr>
      </w:pPr>
      <w:r w:rsidRPr="00A1542B">
        <w:rPr>
          <w:rFonts w:ascii="Arial" w:eastAsia="Calibri" w:hAnsi="Arial" w:cs="Arial"/>
          <w:lang w:val="es-MX" w:eastAsia="en-US"/>
        </w:rPr>
        <w:t>Destaca la recomendación 32/13, la cual fue aceptada por todas las autoridades involucradas, lo que generó -además de la reparación del daño y las acciones legales contra los servidores públicos que violaron los derechos de los quejoso</w:t>
      </w:r>
      <w:r w:rsidR="0041205F" w:rsidRPr="00A1542B">
        <w:rPr>
          <w:rFonts w:ascii="Arial" w:eastAsia="Calibri" w:hAnsi="Arial" w:cs="Arial"/>
          <w:lang w:val="es-MX" w:eastAsia="en-US"/>
        </w:rPr>
        <w:t>s</w:t>
      </w:r>
      <w:r w:rsidRPr="00A1542B">
        <w:rPr>
          <w:rFonts w:ascii="Arial" w:eastAsia="Calibri" w:hAnsi="Arial" w:cs="Arial"/>
          <w:lang w:val="es-MX" w:eastAsia="en-US"/>
        </w:rPr>
        <w:t>- actividades de difusión y capacitación sobre el debido proceso y el principio de presunción de inocencia.</w:t>
      </w:r>
    </w:p>
    <w:p w:rsidR="00297E6F" w:rsidRPr="00A1542B" w:rsidRDefault="00297E6F" w:rsidP="00EB1C59">
      <w:pPr>
        <w:pStyle w:val="Prrafodelista"/>
        <w:autoSpaceDE w:val="0"/>
        <w:autoSpaceDN w:val="0"/>
        <w:adjustRightInd w:val="0"/>
        <w:ind w:left="357"/>
        <w:jc w:val="both"/>
        <w:rPr>
          <w:rFonts w:ascii="Arial" w:eastAsia="Calibri" w:hAnsi="Arial" w:cs="Arial"/>
          <w:lang w:val="es-MX" w:eastAsia="en-US"/>
        </w:rPr>
      </w:pPr>
    </w:p>
    <w:p w:rsidR="00297E6F" w:rsidRPr="00A1542B" w:rsidRDefault="00297E6F" w:rsidP="00EB1C59">
      <w:pPr>
        <w:pStyle w:val="Prrafodelista"/>
        <w:autoSpaceDE w:val="0"/>
        <w:autoSpaceDN w:val="0"/>
        <w:adjustRightInd w:val="0"/>
        <w:ind w:left="357"/>
        <w:jc w:val="both"/>
        <w:rPr>
          <w:rFonts w:ascii="Arial" w:eastAsia="Calibri" w:hAnsi="Arial" w:cs="Arial"/>
          <w:lang w:eastAsia="en-US"/>
        </w:rPr>
      </w:pPr>
      <w:r w:rsidRPr="00A1542B">
        <w:rPr>
          <w:rFonts w:ascii="Arial" w:eastAsia="Calibri" w:hAnsi="Arial" w:cs="Arial"/>
          <w:lang w:val="es-MX" w:eastAsia="en-US"/>
        </w:rPr>
        <w:t xml:space="preserve">El 5 de marzo de 2014 se publicó el Código Nacional de Procedimientos Penales. La CNDH promovió acción de inconstitucionalidad de </w:t>
      </w:r>
      <w:r w:rsidRPr="00A1542B">
        <w:rPr>
          <w:rFonts w:ascii="Arial" w:eastAsia="Calibri" w:hAnsi="Arial" w:cs="Arial"/>
          <w:lang w:eastAsia="en-US"/>
        </w:rPr>
        <w:t xml:space="preserve">13 artículos del nuevo Código, </w:t>
      </w:r>
      <w:r w:rsidRPr="00A1542B">
        <w:rPr>
          <w:rFonts w:ascii="Arial" w:eastAsia="Calibri" w:hAnsi="Arial" w:cs="Arial"/>
          <w:bCs/>
          <w:lang w:eastAsia="en-US"/>
        </w:rPr>
        <w:t xml:space="preserve">relacionados con la geolocalización sin orden judicial de celulares y equipos de cómputo, las atribuciones a policías de investigación y las medidas cautelares que pueden imponerse contra quienes sean acusados de algún delito. La acción </w:t>
      </w:r>
      <w:r w:rsidRPr="00A1542B">
        <w:rPr>
          <w:rFonts w:ascii="Arial" w:eastAsia="Calibri" w:hAnsi="Arial" w:cs="Arial"/>
          <w:lang w:eastAsia="en-US"/>
        </w:rPr>
        <w:t xml:space="preserve">también incluye el artículo 155 que enumera las </w:t>
      </w:r>
      <w:r w:rsidRPr="00A1542B">
        <w:rPr>
          <w:rFonts w:ascii="Arial" w:eastAsia="Calibri" w:hAnsi="Arial" w:cs="Arial"/>
          <w:bCs/>
          <w:lang w:eastAsia="en-US"/>
        </w:rPr>
        <w:t>14 medidas cautelares que los jueces están facultados a imponer a los procesados</w:t>
      </w:r>
      <w:r w:rsidRPr="00A1542B">
        <w:rPr>
          <w:rFonts w:ascii="Arial" w:eastAsia="Calibri" w:hAnsi="Arial" w:cs="Arial"/>
          <w:lang w:eastAsia="en-US"/>
        </w:rPr>
        <w:t>, entre ellas, la obligación del reo de presentarse periódicamente ante el juez, la exhibición de garantías económicas y el embargo de bienes, la prohibición de concurrir a ciertos lugares o reuniones, la separación del domicilio y la colocación de localizadores electrónicos, entre otras medidas.</w:t>
      </w:r>
    </w:p>
    <w:p w:rsidR="00297E6F" w:rsidRPr="00A1542B" w:rsidRDefault="00297E6F" w:rsidP="00EB1C59">
      <w:pPr>
        <w:pStyle w:val="Prrafodelista"/>
        <w:autoSpaceDE w:val="0"/>
        <w:autoSpaceDN w:val="0"/>
        <w:adjustRightInd w:val="0"/>
        <w:ind w:left="357"/>
        <w:jc w:val="both"/>
        <w:rPr>
          <w:rFonts w:ascii="Arial" w:eastAsia="Calibri" w:hAnsi="Arial" w:cs="Arial"/>
          <w:lang w:eastAsia="en-US"/>
        </w:rPr>
      </w:pPr>
    </w:p>
    <w:p w:rsidR="0014298A" w:rsidRPr="00A1542B" w:rsidRDefault="00297E6F" w:rsidP="00EB1C59">
      <w:pPr>
        <w:pStyle w:val="Prrafodelista"/>
        <w:autoSpaceDE w:val="0"/>
        <w:autoSpaceDN w:val="0"/>
        <w:adjustRightInd w:val="0"/>
        <w:ind w:left="357"/>
        <w:jc w:val="both"/>
        <w:rPr>
          <w:rFonts w:ascii="Arial" w:eastAsia="Calibri" w:hAnsi="Arial" w:cs="Arial"/>
          <w:lang w:eastAsia="en-US"/>
        </w:rPr>
      </w:pPr>
      <w:r w:rsidRPr="00A1542B">
        <w:rPr>
          <w:rFonts w:ascii="Arial" w:eastAsia="Calibri" w:hAnsi="Arial" w:cs="Arial"/>
          <w:lang w:eastAsia="en-US"/>
        </w:rPr>
        <w:t>La CNDH impugnó, además, los artículos relacionados con</w:t>
      </w:r>
      <w:r w:rsidRPr="00A1542B">
        <w:rPr>
          <w:rFonts w:ascii="Arial" w:eastAsia="Calibri" w:hAnsi="Arial" w:cs="Arial"/>
          <w:bCs/>
          <w:lang w:eastAsia="en-US"/>
        </w:rPr>
        <w:t xml:space="preserve"> las facultades del Ministerio Público para asegurar cuentas y llevar el registro forzoso de detenidos que no cooperen,</w:t>
      </w:r>
      <w:r w:rsidRPr="00A1542B">
        <w:rPr>
          <w:rFonts w:ascii="Arial" w:eastAsia="Calibri" w:hAnsi="Arial" w:cs="Arial"/>
          <w:lang w:eastAsia="en-US"/>
        </w:rPr>
        <w:t xml:space="preserve"> así como las atribuciones de los jueces para mantener el orden en las audiencias, incluido el arresto hasta por 15 días, y las actuaciones de investigación que no requerirán permiso de los jueces de control.</w:t>
      </w:r>
    </w:p>
    <w:p w:rsidR="0014298A" w:rsidRPr="00A1542B" w:rsidRDefault="0014298A" w:rsidP="00EB1C59">
      <w:pPr>
        <w:pStyle w:val="Prrafodelista"/>
        <w:autoSpaceDE w:val="0"/>
        <w:autoSpaceDN w:val="0"/>
        <w:adjustRightInd w:val="0"/>
        <w:ind w:left="357"/>
        <w:jc w:val="both"/>
        <w:rPr>
          <w:rFonts w:ascii="Arial" w:eastAsia="Calibri" w:hAnsi="Arial" w:cs="Arial"/>
          <w:lang w:eastAsia="en-US"/>
        </w:rPr>
      </w:pPr>
    </w:p>
    <w:p w:rsidR="00297E6F" w:rsidRPr="00A1542B" w:rsidRDefault="00297E6F" w:rsidP="00EB1C59">
      <w:pPr>
        <w:pStyle w:val="Prrafodelista"/>
        <w:autoSpaceDE w:val="0"/>
        <w:autoSpaceDN w:val="0"/>
        <w:adjustRightInd w:val="0"/>
        <w:ind w:left="357"/>
        <w:jc w:val="both"/>
        <w:rPr>
          <w:rFonts w:ascii="Arial" w:eastAsia="Calibri" w:hAnsi="Arial" w:cs="Arial"/>
          <w:lang w:eastAsia="en-US"/>
        </w:rPr>
      </w:pPr>
      <w:r w:rsidRPr="00A1542B">
        <w:rPr>
          <w:rFonts w:ascii="Arial" w:eastAsia="Calibri" w:hAnsi="Arial" w:cs="Arial"/>
          <w:lang w:eastAsia="en-US"/>
        </w:rPr>
        <w:t xml:space="preserve">De acuerdo con los principios de derechos humanos, este organismo nacional considera que </w:t>
      </w:r>
      <w:r w:rsidRPr="00A1542B">
        <w:rPr>
          <w:rFonts w:ascii="Arial" w:eastAsia="Calibri" w:hAnsi="Arial" w:cs="Arial"/>
          <w:bCs/>
          <w:lang w:eastAsia="en-US"/>
        </w:rPr>
        <w:t xml:space="preserve">las operaciones encubiertas, las entrevistas a testigos y las revisiones corporales no pueden realizarse sin control judicial. </w:t>
      </w:r>
      <w:r w:rsidRPr="00A1542B">
        <w:rPr>
          <w:rFonts w:ascii="Arial" w:eastAsia="Calibri" w:hAnsi="Arial" w:cs="Arial"/>
          <w:lang w:eastAsia="en-US"/>
        </w:rPr>
        <w:t>En general, para la CNDH, el Código Nacional de Procedimientos Penales es violatorio de los derechos humanos.</w:t>
      </w:r>
    </w:p>
    <w:p w:rsidR="00297E6F" w:rsidRPr="00A1542B" w:rsidRDefault="00297E6F" w:rsidP="00EB1C59">
      <w:pPr>
        <w:pStyle w:val="Prrafodelista"/>
        <w:autoSpaceDE w:val="0"/>
        <w:autoSpaceDN w:val="0"/>
        <w:adjustRightInd w:val="0"/>
        <w:ind w:left="357"/>
        <w:jc w:val="both"/>
        <w:rPr>
          <w:rFonts w:ascii="Arial" w:eastAsia="Calibri" w:hAnsi="Arial" w:cs="Arial"/>
          <w:lang w:eastAsia="en-US"/>
        </w:rPr>
      </w:pPr>
    </w:p>
    <w:p w:rsidR="00297E6F" w:rsidRPr="00A1542B" w:rsidRDefault="00297E6F" w:rsidP="00EB1C59">
      <w:pPr>
        <w:pStyle w:val="Prrafodelista"/>
        <w:autoSpaceDE w:val="0"/>
        <w:autoSpaceDN w:val="0"/>
        <w:adjustRightInd w:val="0"/>
        <w:ind w:left="357"/>
        <w:jc w:val="both"/>
        <w:rPr>
          <w:rFonts w:ascii="Arial" w:eastAsia="Calibri" w:hAnsi="Arial" w:cs="Arial"/>
          <w:lang w:val="es-MX" w:eastAsia="en-US"/>
        </w:rPr>
      </w:pPr>
      <w:r w:rsidRPr="00A1542B">
        <w:rPr>
          <w:rFonts w:ascii="Arial" w:eastAsia="Calibri" w:hAnsi="Arial" w:cs="Arial"/>
          <w:lang w:eastAsia="en-US"/>
        </w:rPr>
        <w:t xml:space="preserve">Finalmente, cabe señalar que de acuerdo con </w:t>
      </w:r>
      <w:r w:rsidRPr="00A1542B">
        <w:rPr>
          <w:rFonts w:ascii="Arial" w:eastAsia="Calibri" w:hAnsi="Arial" w:cs="Arial"/>
          <w:lang w:val="es-MX" w:eastAsia="en-US"/>
        </w:rPr>
        <w:t xml:space="preserve">la Secretaria de Relaciones Exteriores, hasta mayo del 2013, tres estados operan plenamente el sistema penal acusatorio (Chihuahua, Estado de México y Morelos), diez se encuentran </w:t>
      </w:r>
      <w:r w:rsidRPr="00A1542B">
        <w:rPr>
          <w:rFonts w:ascii="Arial" w:eastAsia="Calibri" w:hAnsi="Arial" w:cs="Arial"/>
          <w:lang w:val="es-MX" w:eastAsia="en-US"/>
        </w:rPr>
        <w:lastRenderedPageBreak/>
        <w:t>en operación parcial, seis en la etapa de entrada en vigencia y 13 en la de planeación.</w:t>
      </w:r>
    </w:p>
    <w:p w:rsidR="00297E6F" w:rsidRPr="00A1542B" w:rsidRDefault="00297E6F" w:rsidP="00EB1C59">
      <w:pPr>
        <w:pStyle w:val="Prrafodelista"/>
        <w:autoSpaceDE w:val="0"/>
        <w:autoSpaceDN w:val="0"/>
        <w:adjustRightInd w:val="0"/>
        <w:ind w:left="357"/>
        <w:jc w:val="both"/>
        <w:rPr>
          <w:rFonts w:ascii="Arial" w:eastAsia="Calibri" w:hAnsi="Arial" w:cs="Arial"/>
          <w:lang w:val="es-MX" w:eastAsia="en-US"/>
        </w:rPr>
      </w:pPr>
    </w:p>
    <w:p w:rsidR="00297E6F" w:rsidRPr="00A1542B" w:rsidRDefault="00297E6F" w:rsidP="0083096B">
      <w:pPr>
        <w:pStyle w:val="Prrafodelista"/>
        <w:numPr>
          <w:ilvl w:val="0"/>
          <w:numId w:val="10"/>
        </w:numPr>
        <w:ind w:left="357" w:hanging="357"/>
        <w:jc w:val="both"/>
        <w:rPr>
          <w:rFonts w:ascii="Arial" w:eastAsia="Calibri" w:hAnsi="Arial" w:cs="Arial"/>
          <w:lang w:val="es-MX" w:eastAsia="en-US"/>
        </w:rPr>
      </w:pPr>
      <w:r w:rsidRPr="00A1542B">
        <w:rPr>
          <w:rFonts w:ascii="Arial" w:eastAsia="Calibri" w:hAnsi="Arial" w:cs="Arial"/>
          <w:b/>
          <w:lang w:val="es-MX" w:eastAsia="en-US"/>
        </w:rPr>
        <w:t>En materia de arraigo (punto 15), y relativo a la recomendación de tomar medidas para eliminar la detención mediante arraigo de la legislación y la práctica,</w:t>
      </w:r>
      <w:r w:rsidRPr="00A1542B">
        <w:rPr>
          <w:rFonts w:ascii="Arial" w:eastAsia="Calibri" w:hAnsi="Arial" w:cs="Arial"/>
          <w:lang w:val="es-MX" w:eastAsia="en-US"/>
        </w:rPr>
        <w:t xml:space="preserve"> la CNDH comparte su beneplácito por la resolución de la Suprema Corte de Justicia de la Nación, por la que ningún estado de la República, ni el Distrito Federal, tienen facultades para legislar en materia de arraigo. Ello derivó de Acciones de Inconstitucionalidad que promovió la C</w:t>
      </w:r>
      <w:r w:rsidR="00C419C0" w:rsidRPr="00A1542B">
        <w:rPr>
          <w:rFonts w:ascii="Arial" w:eastAsia="Calibri" w:hAnsi="Arial" w:cs="Arial"/>
          <w:lang w:val="es-MX" w:eastAsia="en-US"/>
        </w:rPr>
        <w:t>NDH</w:t>
      </w:r>
      <w:r w:rsidRPr="00A1542B">
        <w:rPr>
          <w:rFonts w:ascii="Arial" w:eastAsia="Calibri" w:hAnsi="Arial" w:cs="Arial"/>
          <w:lang w:val="es-MX" w:eastAsia="en-US"/>
        </w:rPr>
        <w:t xml:space="preserve"> contra los poderes ejecutivo y legislativo de los estados de Aguascalientes y de Hidalgo, que habían reformado los artículos 291 de la legislación penal y 132 del Código de Procedimientos Penales respectivamente, que permitían a la autoridad local utilizar el arraigo en delitos graves.</w:t>
      </w:r>
    </w:p>
    <w:p w:rsidR="00297E6F" w:rsidRPr="00A1542B" w:rsidRDefault="00297E6F" w:rsidP="00720637">
      <w:pPr>
        <w:pStyle w:val="Prrafodelista"/>
        <w:ind w:left="357"/>
        <w:jc w:val="both"/>
        <w:rPr>
          <w:rFonts w:ascii="Arial" w:eastAsia="Calibri" w:hAnsi="Arial" w:cs="Arial"/>
          <w:lang w:val="es-MX" w:eastAsia="en-US"/>
        </w:rPr>
      </w:pPr>
    </w:p>
    <w:p w:rsidR="00297E6F" w:rsidRPr="00A1542B" w:rsidRDefault="00297E6F" w:rsidP="0072063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Con esto, las 32 entidades del país se ven obligadas a desistirse de aprobar leyes en la materia. La C</w:t>
      </w:r>
      <w:r w:rsidR="008B4F43" w:rsidRPr="00A1542B">
        <w:rPr>
          <w:rFonts w:ascii="Arial" w:eastAsia="Calibri" w:hAnsi="Arial" w:cs="Arial"/>
          <w:lang w:val="es-MX" w:eastAsia="en-US"/>
        </w:rPr>
        <w:t xml:space="preserve">NDH </w:t>
      </w:r>
      <w:r w:rsidRPr="00A1542B">
        <w:rPr>
          <w:rFonts w:ascii="Arial" w:eastAsia="Calibri" w:hAnsi="Arial" w:cs="Arial"/>
          <w:lang w:val="es-MX" w:eastAsia="en-US"/>
        </w:rPr>
        <w:t xml:space="preserve">fundamentó que con aquellas reformas que consentían la aplicación del arraigo se violaban los artículos 7 y 8 de la Convención Americana sobre Derechos Humanos y 9 del Pacto Internacional de Derechos Civiles y Políticos. Asimismo, se vulneraban los artículos 3, 9 y 13 de la Declaración Universal de los Derechos Humanos, todos los cuales tutelan los derechos a la libertad personal y a la audiencia previa; así como los principios </w:t>
      </w:r>
      <w:r w:rsidRPr="00A1542B">
        <w:rPr>
          <w:rFonts w:ascii="Arial" w:eastAsia="Calibri" w:hAnsi="Arial" w:cs="Arial"/>
          <w:i/>
          <w:iCs/>
          <w:lang w:val="es-MX" w:eastAsia="en-US"/>
        </w:rPr>
        <w:t xml:space="preserve">pro persona, </w:t>
      </w:r>
      <w:r w:rsidRPr="00A1542B">
        <w:rPr>
          <w:rFonts w:ascii="Arial" w:eastAsia="Calibri" w:hAnsi="Arial" w:cs="Arial"/>
          <w:lang w:val="es-MX" w:eastAsia="en-US"/>
        </w:rPr>
        <w:t>seguridad jurídica, legalidad, presunción de inocencia, prohibición de detenciones arbitrarias y debido proceso.</w:t>
      </w:r>
    </w:p>
    <w:p w:rsidR="00297E6F" w:rsidRPr="00A1542B" w:rsidRDefault="00297E6F" w:rsidP="00720637">
      <w:pPr>
        <w:pStyle w:val="Prrafodelista"/>
        <w:ind w:left="357"/>
        <w:jc w:val="both"/>
        <w:rPr>
          <w:rFonts w:ascii="Arial" w:eastAsia="Calibri" w:hAnsi="Arial" w:cs="Arial"/>
          <w:lang w:val="es-MX" w:eastAsia="en-US"/>
        </w:rPr>
      </w:pPr>
    </w:p>
    <w:p w:rsidR="00297E6F" w:rsidRPr="00A1542B" w:rsidRDefault="00297E6F" w:rsidP="0072063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La C</w:t>
      </w:r>
      <w:r w:rsidR="00E5247D" w:rsidRPr="00A1542B">
        <w:rPr>
          <w:rFonts w:ascii="Arial" w:eastAsia="Calibri" w:hAnsi="Arial" w:cs="Arial"/>
          <w:lang w:val="es-MX" w:eastAsia="en-US"/>
        </w:rPr>
        <w:t>NDH</w:t>
      </w:r>
      <w:r w:rsidRPr="00A1542B">
        <w:rPr>
          <w:rFonts w:ascii="Arial" w:eastAsia="Calibri" w:hAnsi="Arial" w:cs="Arial"/>
          <w:lang w:val="es-MX" w:eastAsia="en-US"/>
        </w:rPr>
        <w:t xml:space="preserve"> estimó que los artículos 291 y 132 citados, invadían la competencia exclusiva del Congreso de la Unión, en contradicción de los artículos 16, párrafo octavo, en relación al 73, fracción XXI, de la Constitución federal, partiendo de que el arraigo será procedente sólo en delitos de delincuencia organizada, materia que le compete en exclusiva.</w:t>
      </w:r>
    </w:p>
    <w:p w:rsidR="00297E6F" w:rsidRPr="00A1542B" w:rsidRDefault="00297E6F" w:rsidP="00720637">
      <w:pPr>
        <w:pStyle w:val="Prrafodelista"/>
        <w:ind w:left="357"/>
        <w:jc w:val="both"/>
        <w:rPr>
          <w:rFonts w:ascii="Arial" w:eastAsia="Calibri" w:hAnsi="Arial" w:cs="Arial"/>
          <w:lang w:val="es-MX" w:eastAsia="en-US"/>
        </w:rPr>
      </w:pPr>
    </w:p>
    <w:p w:rsidR="00297E6F" w:rsidRPr="00A1542B" w:rsidRDefault="00297E6F" w:rsidP="00E5247D">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Este Organismo público autónomo confía en que con esta determinación del máximo tribunal del país se fortalezca la protección y seguridad de los derechos humanos de los ciudadanos, ya que considera que el precepto legal que autoriza el arraigo como medida limitativa de la libertad personal y de tránsito de una persona, trae como consecuencia la vulneración de los derechos señalados.</w:t>
      </w:r>
    </w:p>
    <w:p w:rsidR="00720637" w:rsidRPr="00A1542B" w:rsidRDefault="00720637" w:rsidP="00E5247D">
      <w:pPr>
        <w:pStyle w:val="Prrafodelista"/>
        <w:ind w:left="357"/>
        <w:jc w:val="both"/>
        <w:rPr>
          <w:rFonts w:ascii="Arial" w:eastAsia="Calibri" w:hAnsi="Arial" w:cs="Arial"/>
          <w:lang w:val="es-MX" w:eastAsia="en-US"/>
        </w:rPr>
      </w:pPr>
    </w:p>
    <w:p w:rsidR="00297E6F" w:rsidRPr="00A1542B" w:rsidRDefault="00297E6F" w:rsidP="00E5247D">
      <w:pPr>
        <w:pStyle w:val="Default"/>
        <w:ind w:left="357"/>
        <w:jc w:val="both"/>
        <w:rPr>
          <w:color w:val="auto"/>
        </w:rPr>
      </w:pPr>
      <w:r w:rsidRPr="00A1542B">
        <w:rPr>
          <w:color w:val="auto"/>
        </w:rPr>
        <w:t>Cabe destacar que, a nivel local, las legislaturas de los estados de Chiapas y Oaxaca, y del Distrito Federal, han aprobado la eliminación del arraigo</w:t>
      </w:r>
      <w:r w:rsidR="00720637" w:rsidRPr="00A1542B">
        <w:rPr>
          <w:color w:val="auto"/>
        </w:rPr>
        <w:t>.</w:t>
      </w:r>
    </w:p>
    <w:p w:rsidR="00297E6F" w:rsidRPr="00A1542B" w:rsidRDefault="00297E6F" w:rsidP="00E5247D">
      <w:pPr>
        <w:pStyle w:val="Prrafodelista"/>
        <w:ind w:left="357"/>
        <w:jc w:val="both"/>
        <w:rPr>
          <w:rFonts w:ascii="Arial" w:eastAsia="Calibri" w:hAnsi="Arial" w:cs="Arial"/>
          <w:lang w:val="es-MX" w:eastAsia="en-US"/>
        </w:rPr>
      </w:pPr>
    </w:p>
    <w:p w:rsidR="00297E6F" w:rsidRPr="00A1542B" w:rsidRDefault="00297E6F" w:rsidP="00D978AA">
      <w:pPr>
        <w:pStyle w:val="Default"/>
        <w:numPr>
          <w:ilvl w:val="0"/>
          <w:numId w:val="10"/>
        </w:numPr>
        <w:ind w:left="357" w:hanging="357"/>
        <w:jc w:val="both"/>
        <w:rPr>
          <w:color w:val="auto"/>
        </w:rPr>
      </w:pPr>
      <w:r w:rsidRPr="00A1542B">
        <w:rPr>
          <w:b/>
          <w:color w:val="auto"/>
        </w:rPr>
        <w:t>Relativo al punto recomendatorio número 16, sobre la necesidad de armonizar la legislación penitenciaria de los estados, y la necesidad de redoblar esfuerzos para mejorar las condiciones de todos los detenidos</w:t>
      </w:r>
      <w:r w:rsidRPr="00A1542B">
        <w:rPr>
          <w:color w:val="auto"/>
        </w:rPr>
        <w:t>, la CNDH puede informar que los centros de readaptación social de todo el país enfrentan problemas relacionados con el estado de sus instalaciones, la sobrepoblación y el hacinamiento, por ello la CNDH de forma sistemática verifica las condiciones de detención de las personas recluidas.</w:t>
      </w:r>
    </w:p>
    <w:p w:rsidR="00297E6F" w:rsidRPr="00A1542B" w:rsidRDefault="00297E6F" w:rsidP="00904A1B">
      <w:pPr>
        <w:pStyle w:val="Default"/>
        <w:ind w:left="357"/>
        <w:jc w:val="both"/>
        <w:rPr>
          <w:b/>
          <w:color w:val="auto"/>
        </w:rPr>
      </w:pPr>
    </w:p>
    <w:p w:rsidR="00297E6F" w:rsidRPr="00A1542B" w:rsidRDefault="00297E6F" w:rsidP="00904A1B">
      <w:pPr>
        <w:pStyle w:val="Default"/>
        <w:ind w:left="357"/>
        <w:jc w:val="both"/>
        <w:rPr>
          <w:color w:val="auto"/>
        </w:rPr>
      </w:pPr>
      <w:r w:rsidRPr="00A1542B">
        <w:rPr>
          <w:color w:val="auto"/>
        </w:rPr>
        <w:t xml:space="preserve">La CNDH cuenta con una Guía Nacional de Supervisión Penitenciaria que sirve como base para el levantamiento del Diagnóstico Nacional de Supervisión Penitenciaria (DNSP). En 2011 para la realización de ese diagnóstico se realizaron visitas a 100 centros en todas </w:t>
      </w:r>
      <w:r w:rsidR="00332234" w:rsidRPr="00A1542B">
        <w:rPr>
          <w:color w:val="auto"/>
        </w:rPr>
        <w:t xml:space="preserve">las </w:t>
      </w:r>
      <w:r w:rsidRPr="00A1542B">
        <w:rPr>
          <w:color w:val="auto"/>
        </w:rPr>
        <w:t>entidades federativas, en 2012 se visitaron 101 centros y en 2013 fueron 129 los centros visitados.</w:t>
      </w:r>
    </w:p>
    <w:p w:rsidR="00297E6F" w:rsidRPr="00A1542B" w:rsidRDefault="00297E6F" w:rsidP="00904A1B">
      <w:pPr>
        <w:pStyle w:val="Default"/>
        <w:ind w:left="357"/>
        <w:jc w:val="both"/>
        <w:rPr>
          <w:color w:val="auto"/>
        </w:rPr>
      </w:pPr>
    </w:p>
    <w:p w:rsidR="00297E6F" w:rsidRPr="00A1542B" w:rsidRDefault="00297E6F" w:rsidP="00904A1B">
      <w:pPr>
        <w:pStyle w:val="Default"/>
        <w:ind w:left="357"/>
        <w:jc w:val="both"/>
        <w:rPr>
          <w:color w:val="auto"/>
        </w:rPr>
      </w:pPr>
      <w:r w:rsidRPr="00A1542B">
        <w:rPr>
          <w:color w:val="auto"/>
        </w:rPr>
        <w:t>El DNSP de 2013 permitió advertir un incremento en el número de incidentes relacionados con riñas, motines, fugas y homicidios en diferentes centros de reinserción social. Además, los resultados muestran que en 65 de 101 establecimientos existe autogobierno, cifra que representa 4.3 % más con respecto a la reportada en 2011.</w:t>
      </w:r>
    </w:p>
    <w:p w:rsidR="00297E6F" w:rsidRPr="00A1542B" w:rsidRDefault="00297E6F" w:rsidP="00904A1B">
      <w:pPr>
        <w:pStyle w:val="Default"/>
        <w:ind w:left="357"/>
        <w:jc w:val="both"/>
        <w:rPr>
          <w:color w:val="auto"/>
        </w:rPr>
      </w:pPr>
    </w:p>
    <w:p w:rsidR="00297E6F" w:rsidRPr="00A1542B" w:rsidRDefault="00297E6F" w:rsidP="00904A1B">
      <w:pPr>
        <w:pStyle w:val="Default"/>
        <w:ind w:left="357"/>
        <w:jc w:val="both"/>
        <w:rPr>
          <w:i/>
          <w:color w:val="auto"/>
        </w:rPr>
      </w:pPr>
      <w:r w:rsidRPr="00A1542B">
        <w:rPr>
          <w:color w:val="auto"/>
        </w:rPr>
        <w:t xml:space="preserve">En el rubro de difusión, destaca que en 2011 se </w:t>
      </w:r>
      <w:bookmarkStart w:id="0" w:name="_GoBack"/>
      <w:r w:rsidRPr="00A1542B">
        <w:rPr>
          <w:color w:val="auto"/>
        </w:rPr>
        <w:t>publicó</w:t>
      </w:r>
      <w:bookmarkEnd w:id="0"/>
      <w:r w:rsidRPr="00A1542B">
        <w:rPr>
          <w:color w:val="auto"/>
        </w:rPr>
        <w:t xml:space="preserve"> el folleto </w:t>
      </w:r>
      <w:r w:rsidRPr="00A1542B">
        <w:rPr>
          <w:i/>
          <w:color w:val="auto"/>
        </w:rPr>
        <w:t>Las mujeres en reclusión y sus derechos.</w:t>
      </w:r>
    </w:p>
    <w:p w:rsidR="00297E6F" w:rsidRPr="00A1542B" w:rsidRDefault="00297E6F" w:rsidP="00904A1B">
      <w:pPr>
        <w:pStyle w:val="Default"/>
        <w:ind w:left="357"/>
        <w:jc w:val="both"/>
        <w:rPr>
          <w:i/>
          <w:color w:val="auto"/>
        </w:rPr>
      </w:pPr>
    </w:p>
    <w:p w:rsidR="00297E6F" w:rsidRPr="00A1542B" w:rsidRDefault="00297E6F" w:rsidP="00842E84">
      <w:pPr>
        <w:pStyle w:val="Prrafodelista"/>
        <w:numPr>
          <w:ilvl w:val="0"/>
          <w:numId w:val="10"/>
        </w:numPr>
        <w:ind w:left="357" w:hanging="357"/>
        <w:jc w:val="both"/>
        <w:rPr>
          <w:rFonts w:ascii="Arial" w:eastAsia="Calibri" w:hAnsi="Arial" w:cs="Arial"/>
          <w:lang w:val="es-MX" w:eastAsia="en-US"/>
        </w:rPr>
      </w:pPr>
      <w:r w:rsidRPr="00A1542B">
        <w:rPr>
          <w:rFonts w:ascii="Arial" w:eastAsia="Calibri" w:hAnsi="Arial" w:cs="Arial"/>
          <w:b/>
          <w:lang w:val="es-MX" w:eastAsia="en-US"/>
        </w:rPr>
        <w:t>Relativo al punto 17, relacionado con la preocupación en torno al artículo 33 constitucional</w:t>
      </w:r>
      <w:r w:rsidRPr="00A1542B">
        <w:rPr>
          <w:rFonts w:ascii="Arial" w:eastAsia="Calibri" w:hAnsi="Arial" w:cs="Arial"/>
          <w:lang w:val="es-MX" w:eastAsia="en-US"/>
        </w:rPr>
        <w:t>, puede señalarse que l</w:t>
      </w:r>
      <w:r w:rsidRPr="00A1542B">
        <w:rPr>
          <w:rFonts w:ascii="Arial" w:eastAsia="Calibri" w:hAnsi="Arial" w:cs="Arial"/>
          <w:lang w:eastAsia="en-US"/>
        </w:rPr>
        <w:t>a reforma constitucional en materia de derechos humanos del año 2011 modificó el artículo 33 constitucional, a efecto de regular la facultad del Presidente de la República para hacer abandonar el territorio nacional a las personas extranjeras.</w:t>
      </w:r>
    </w:p>
    <w:p w:rsidR="00297E6F" w:rsidRPr="00A1542B" w:rsidRDefault="00297E6F" w:rsidP="00865148">
      <w:pPr>
        <w:pStyle w:val="Prrafodelista"/>
        <w:ind w:left="357"/>
        <w:jc w:val="both"/>
        <w:rPr>
          <w:rFonts w:ascii="Arial" w:eastAsia="Calibri" w:hAnsi="Arial" w:cs="Arial"/>
          <w:lang w:val="es-MX" w:eastAsia="en-US"/>
        </w:rPr>
      </w:pPr>
    </w:p>
    <w:p w:rsidR="00297E6F" w:rsidRPr="00A1542B" w:rsidRDefault="00297E6F" w:rsidP="00865148">
      <w:pPr>
        <w:pStyle w:val="Prrafodelista"/>
        <w:ind w:left="357"/>
        <w:jc w:val="both"/>
        <w:rPr>
          <w:rFonts w:ascii="Arial" w:eastAsia="Calibri" w:hAnsi="Arial" w:cs="Arial"/>
          <w:lang w:val="es-MX" w:eastAsia="en-US"/>
        </w:rPr>
      </w:pPr>
      <w:r w:rsidRPr="00A1542B">
        <w:rPr>
          <w:rFonts w:ascii="Arial" w:eastAsia="Calibri" w:hAnsi="Arial" w:cs="Arial"/>
          <w:lang w:eastAsia="en-US"/>
        </w:rPr>
        <w:t xml:space="preserve">La reforma señala que se debe respetar la “previa audiencia” y que la expulsión solamente procede en los términos que señale la legislación, siempre que se siga el procedimiento que la misma ley establezca. </w:t>
      </w:r>
      <w:r w:rsidRPr="00A1542B">
        <w:rPr>
          <w:rFonts w:ascii="Arial" w:eastAsia="Calibri" w:hAnsi="Arial" w:cs="Arial"/>
          <w:lang w:val="es-MX" w:eastAsia="en-US"/>
        </w:rPr>
        <w:t xml:space="preserve">Con esta reforma se materializa la tradición humanitaria del país, avanzando hacia una protección más adecuada para que las y los migrantes extranjeros no sean expulsados arbitrariamente del país y sean escuchados, tal y como se establece en la Convención Americana </w:t>
      </w:r>
      <w:r w:rsidR="007C1979" w:rsidRPr="00A1542B">
        <w:rPr>
          <w:rFonts w:ascii="Arial" w:eastAsia="Calibri" w:hAnsi="Arial" w:cs="Arial"/>
          <w:lang w:val="es-MX" w:eastAsia="en-US"/>
        </w:rPr>
        <w:t>sobr</w:t>
      </w:r>
      <w:r w:rsidRPr="00A1542B">
        <w:rPr>
          <w:rFonts w:ascii="Arial" w:eastAsia="Calibri" w:hAnsi="Arial" w:cs="Arial"/>
          <w:lang w:val="es-MX" w:eastAsia="en-US"/>
        </w:rPr>
        <w:t>e Derechos Humanos, mediante previa audiencia. Anteriormente esa facultad se insertaba en el campo de lo arbitrario: el extranjero no podía ser oído.</w:t>
      </w:r>
    </w:p>
    <w:p w:rsidR="00297E6F" w:rsidRPr="00A1542B" w:rsidRDefault="00297E6F" w:rsidP="00865148">
      <w:pPr>
        <w:pStyle w:val="Prrafodelista"/>
        <w:ind w:left="357"/>
        <w:jc w:val="both"/>
        <w:rPr>
          <w:rFonts w:ascii="Arial" w:eastAsia="Calibri" w:hAnsi="Arial" w:cs="Arial"/>
          <w:lang w:val="es-MX" w:eastAsia="en-US"/>
        </w:rPr>
      </w:pPr>
    </w:p>
    <w:p w:rsidR="00297E6F" w:rsidRPr="00A1542B" w:rsidRDefault="00297E6F" w:rsidP="00865148">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Al respecto, la CNDH ha llamado a la debida reglamentación de tan trascendente reforma de modo que se determine el lugar y el tiempo que puede durar la detención de un extranjero para efecto de su posible expulsión del territorio nacional.</w:t>
      </w:r>
    </w:p>
    <w:p w:rsidR="00297E6F" w:rsidRPr="00A1542B" w:rsidRDefault="00297E6F" w:rsidP="00865148">
      <w:pPr>
        <w:pStyle w:val="Prrafodelista"/>
        <w:ind w:left="357"/>
        <w:jc w:val="both"/>
        <w:rPr>
          <w:rFonts w:ascii="Arial" w:eastAsia="Calibri" w:hAnsi="Arial" w:cs="Arial"/>
          <w:lang w:val="es-MX" w:eastAsia="en-US"/>
        </w:rPr>
      </w:pPr>
    </w:p>
    <w:p w:rsidR="00297E6F" w:rsidRPr="00A1542B" w:rsidRDefault="00297E6F" w:rsidP="002D5683">
      <w:pPr>
        <w:pStyle w:val="Prrafodelista"/>
        <w:numPr>
          <w:ilvl w:val="0"/>
          <w:numId w:val="10"/>
        </w:numPr>
        <w:ind w:left="357" w:hanging="357"/>
        <w:jc w:val="both"/>
        <w:rPr>
          <w:rFonts w:ascii="Arial" w:eastAsia="Calibri" w:hAnsi="Arial" w:cs="Arial"/>
          <w:lang w:eastAsia="en-US"/>
        </w:rPr>
      </w:pPr>
      <w:r w:rsidRPr="00A1542B">
        <w:rPr>
          <w:rFonts w:ascii="Arial" w:eastAsia="Calibri" w:hAnsi="Arial" w:cs="Arial"/>
          <w:b/>
          <w:lang w:val="es-MX" w:eastAsia="en-US"/>
        </w:rPr>
        <w:t>En materia del punto 18, relacionado con la recomendación de modificar el código de justicia militar con el fin de que la justicia militar no sea competente en casos de violaciones de derechos humanos,</w:t>
      </w:r>
      <w:r w:rsidRPr="00A1542B">
        <w:rPr>
          <w:rFonts w:ascii="Arial" w:hAnsi="Arial" w:cs="Arial"/>
          <w:lang w:val="es-MX" w:eastAsia="es-MX"/>
        </w:rPr>
        <w:t xml:space="preserve"> </w:t>
      </w:r>
      <w:r w:rsidRPr="00A1542B">
        <w:rPr>
          <w:rFonts w:ascii="Arial" w:eastAsia="Calibri" w:hAnsi="Arial" w:cs="Arial"/>
          <w:lang w:eastAsia="en-US"/>
        </w:rPr>
        <w:t xml:space="preserve">destaca que el 9 de agosto de 2013, la CNDH expresó al Congreso de la Unión, mediante una carta dirigida al presidente de la mesa directiva de la Comisión Permanente, la preocupación de que la modificación al artículo 57 del Código de Justicia Militar no sea considerada. Se solicitó modificar el Código de Justicia Militar para que la autoridad civil pueda conocer de delitos cometidos por militares en perjuicio de particulares. La solicitud obedece a que se trata de un precepto contrario al espíritu del artículo 13 de la Constitución Política de los Estados Unidos </w:t>
      </w:r>
      <w:r w:rsidRPr="00A1542B">
        <w:rPr>
          <w:rFonts w:ascii="Arial" w:eastAsia="Calibri" w:hAnsi="Arial" w:cs="Arial"/>
          <w:lang w:eastAsia="en-US"/>
        </w:rPr>
        <w:lastRenderedPageBreak/>
        <w:t xml:space="preserve">Mexicanos, </w:t>
      </w:r>
      <w:r w:rsidR="007C1979" w:rsidRPr="00A1542B">
        <w:rPr>
          <w:rFonts w:ascii="Arial" w:eastAsia="Calibri" w:hAnsi="Arial" w:cs="Arial"/>
          <w:lang w:eastAsia="en-US"/>
        </w:rPr>
        <w:t xml:space="preserve">que </w:t>
      </w:r>
      <w:r w:rsidRPr="00A1542B">
        <w:rPr>
          <w:rFonts w:ascii="Arial" w:eastAsia="Calibri" w:hAnsi="Arial" w:cs="Arial"/>
          <w:lang w:eastAsia="en-US"/>
        </w:rPr>
        <w:t xml:space="preserve">establece con precisión la competencia de tribunales del orden civil: Cuando en un delito o falta del orden militar estuviese </w:t>
      </w:r>
      <w:r w:rsidR="00166D34" w:rsidRPr="00A1542B">
        <w:rPr>
          <w:rFonts w:ascii="Arial" w:eastAsia="Calibri" w:hAnsi="Arial" w:cs="Arial"/>
          <w:lang w:eastAsia="en-US"/>
        </w:rPr>
        <w:t>co</w:t>
      </w:r>
      <w:r w:rsidRPr="00A1542B">
        <w:rPr>
          <w:rFonts w:ascii="Arial" w:eastAsia="Calibri" w:hAnsi="Arial" w:cs="Arial"/>
          <w:lang w:eastAsia="en-US"/>
        </w:rPr>
        <w:t>mplicado un paisano, conocerá del caso la autoridad civil que corresponda.</w:t>
      </w:r>
    </w:p>
    <w:p w:rsidR="005E682E" w:rsidRPr="00A1542B" w:rsidRDefault="005E682E" w:rsidP="002D5683">
      <w:pPr>
        <w:pStyle w:val="Prrafodelista"/>
        <w:ind w:left="357"/>
        <w:jc w:val="both"/>
        <w:rPr>
          <w:rFonts w:ascii="Arial" w:eastAsia="Calibri" w:hAnsi="Arial" w:cs="Arial"/>
          <w:lang w:eastAsia="en-US"/>
        </w:rPr>
      </w:pPr>
    </w:p>
    <w:p w:rsidR="00297E6F" w:rsidRPr="00A1542B" w:rsidRDefault="00297E6F" w:rsidP="002D5683">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La discusión sobre el fuero militar, es un tema que si bien había quedado zanjado a partir de que el pleno de la Suprema Corte de Justicia de la Nación aprobó por unanimidad un criterio orientado al hecho de que dicha jurisdicción establecida en el artículo 57 del Código de Justicia Militar, no podrá operar, bajo ninguna circunstancia, frente a situaciones que vulneren derechos humanos de las personas; actualmente, se sigue enfrentado a ciertas resistencias para que la justicia civil, actúe plenamente ante cualquier abuso cometido por elementos de las fuerzas armadas. </w:t>
      </w:r>
    </w:p>
    <w:p w:rsidR="00297E6F" w:rsidRPr="00A1542B" w:rsidRDefault="00297E6F" w:rsidP="002D5683">
      <w:pPr>
        <w:pStyle w:val="Prrafodelista"/>
        <w:ind w:left="357"/>
        <w:jc w:val="both"/>
        <w:rPr>
          <w:rFonts w:ascii="Arial" w:eastAsia="Calibri" w:hAnsi="Arial" w:cs="Arial"/>
          <w:lang w:val="es-MX" w:eastAsia="en-US"/>
        </w:rPr>
      </w:pPr>
    </w:p>
    <w:p w:rsidR="00297E6F" w:rsidRPr="00A1542B" w:rsidRDefault="00297E6F" w:rsidP="002D5683">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Aún subsisten asuntos en los que persiste la práctica de juzgar a militares en sus tribunales y no llevarlos ante la jurisdicción civil. De igual manera, se encuentran pendientes de que se decline la competencia de la Procuraduría General de Justicia Militar a la Procuraduría General de la Republica, los casos derivados de las recomendaciones: 45/2010, 49/2010, 57/2010, 74/2010, 8/2011, 31/2011, 33/2011, 34/2010, 38/2011, 40/2011, 41/2011, 55/2011 y 60/2011.</w:t>
      </w:r>
    </w:p>
    <w:p w:rsidR="00297E6F" w:rsidRPr="00A1542B" w:rsidRDefault="00297E6F" w:rsidP="002D5683">
      <w:pPr>
        <w:pStyle w:val="Prrafodelista"/>
        <w:ind w:left="357"/>
        <w:jc w:val="both"/>
        <w:rPr>
          <w:rFonts w:ascii="Arial" w:eastAsia="Calibri" w:hAnsi="Arial" w:cs="Arial"/>
          <w:lang w:val="es-MX" w:eastAsia="en-US"/>
        </w:rPr>
      </w:pPr>
    </w:p>
    <w:p w:rsidR="00297E6F" w:rsidRPr="00A1542B" w:rsidRDefault="00297E6F" w:rsidP="002D5683">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Por su parte, destaca el hecho de que la Procuraduría General de Justicia Militar, ha declinado por incompetencia a la Procuraduría General de la República, los casos vinculados con pronunciamientos de la CNDH emitidos por abusos de las fuerzas armadas en las siguientes recomendaciones: 40/2007, 53/2009, 77/2009, 11/2010, 19/2010, 17/2010, 15/2010, 21/2010, 22/2010, 36/2010, 42/2010, 52/2010, 50/2010, 56/2010, 61/2010, 77/2010, 80/2010, 83/2010, 75/2010, 79/2010, 86/2010, 81/2010, 72/2010, 14/2011, 18/2011, 34/2011, 26/2011 43/2011, 49/2011, 52/2011, 59/2011, 66/2011, 63/2011, 72/2011, 87/2011, 10/2012 y 49/2012.</w:t>
      </w:r>
    </w:p>
    <w:p w:rsidR="00297E6F" w:rsidRPr="00A1542B" w:rsidRDefault="00297E6F" w:rsidP="002D5683">
      <w:pPr>
        <w:pStyle w:val="Prrafodelista"/>
        <w:ind w:left="357"/>
        <w:jc w:val="both"/>
        <w:rPr>
          <w:rFonts w:ascii="Arial" w:eastAsia="Calibri" w:hAnsi="Arial" w:cs="Arial"/>
          <w:lang w:val="es-MX" w:eastAsia="en-US"/>
        </w:rPr>
      </w:pPr>
    </w:p>
    <w:p w:rsidR="00297E6F" w:rsidRPr="00A1542B" w:rsidRDefault="00297E6F" w:rsidP="00844512">
      <w:pPr>
        <w:pStyle w:val="Prrafodelista"/>
        <w:numPr>
          <w:ilvl w:val="0"/>
          <w:numId w:val="10"/>
        </w:numPr>
        <w:ind w:left="357" w:hanging="357"/>
        <w:jc w:val="both"/>
        <w:rPr>
          <w:rFonts w:ascii="Arial" w:eastAsia="Calibri" w:hAnsi="Arial" w:cs="Arial"/>
          <w:lang w:val="es-MX" w:eastAsia="en-US"/>
        </w:rPr>
      </w:pPr>
      <w:r w:rsidRPr="00A1542B">
        <w:rPr>
          <w:rFonts w:ascii="Arial" w:eastAsia="Calibri" w:hAnsi="Arial" w:cs="Arial"/>
          <w:b/>
          <w:lang w:val="es-MX" w:eastAsia="en-US"/>
        </w:rPr>
        <w:t>Respecto de la recomendación número 19, para reconocer el derecho de objeción de conciencia al servicio militar</w:t>
      </w:r>
      <w:r w:rsidRPr="00A1542B">
        <w:rPr>
          <w:rFonts w:ascii="Arial" w:eastAsia="Calibri" w:hAnsi="Arial" w:cs="Arial"/>
          <w:lang w:val="es-MX" w:eastAsia="en-US"/>
        </w:rPr>
        <w:t xml:space="preserve">, se puede informar que si bien en la legislación mexicana no se reconoce el derecho a la objeción de conciencia y el servicio militar es obligatorio para todos los mexicanos por nacimiento o naturalización, conforme a la Ley del </w:t>
      </w:r>
      <w:r w:rsidR="00844512" w:rsidRPr="00A1542B">
        <w:rPr>
          <w:rFonts w:ascii="Arial" w:eastAsia="Calibri" w:hAnsi="Arial" w:cs="Arial"/>
          <w:lang w:val="es-MX" w:eastAsia="en-US"/>
        </w:rPr>
        <w:t>S</w:t>
      </w:r>
      <w:r w:rsidRPr="00A1542B">
        <w:rPr>
          <w:rFonts w:ascii="Arial" w:eastAsia="Calibri" w:hAnsi="Arial" w:cs="Arial"/>
          <w:lang w:val="es-MX" w:eastAsia="en-US"/>
        </w:rPr>
        <w:t xml:space="preserve">ervicio </w:t>
      </w:r>
      <w:r w:rsidR="00844512" w:rsidRPr="00A1542B">
        <w:rPr>
          <w:rFonts w:ascii="Arial" w:eastAsia="Calibri" w:hAnsi="Arial" w:cs="Arial"/>
          <w:lang w:val="es-MX" w:eastAsia="en-US"/>
        </w:rPr>
        <w:t>M</w:t>
      </w:r>
      <w:r w:rsidRPr="00A1542B">
        <w:rPr>
          <w:rFonts w:ascii="Arial" w:eastAsia="Calibri" w:hAnsi="Arial" w:cs="Arial"/>
          <w:lang w:val="es-MX" w:eastAsia="en-US"/>
        </w:rPr>
        <w:t xml:space="preserve">ilitar y su reglamento, la Secretaría de la Defensa Nacional está facultada para eximir de dicho servicio a quienes no reúnan los requisitos exigidos para el servicio militar, incluidos los impedimentos físicos, morales o sociales de conformidad con el artículo 10 de la Ley del </w:t>
      </w:r>
      <w:r w:rsidR="00844512" w:rsidRPr="00A1542B">
        <w:rPr>
          <w:rFonts w:ascii="Arial" w:eastAsia="Calibri" w:hAnsi="Arial" w:cs="Arial"/>
          <w:lang w:val="es-MX" w:eastAsia="en-US"/>
        </w:rPr>
        <w:t>S</w:t>
      </w:r>
      <w:r w:rsidRPr="00A1542B">
        <w:rPr>
          <w:rFonts w:ascii="Arial" w:eastAsia="Calibri" w:hAnsi="Arial" w:cs="Arial"/>
          <w:lang w:val="es-MX" w:eastAsia="en-US"/>
        </w:rPr>
        <w:t xml:space="preserve">ervicio </w:t>
      </w:r>
      <w:r w:rsidR="00844512" w:rsidRPr="00A1542B">
        <w:rPr>
          <w:rFonts w:ascii="Arial" w:eastAsia="Calibri" w:hAnsi="Arial" w:cs="Arial"/>
          <w:lang w:val="es-MX" w:eastAsia="en-US"/>
        </w:rPr>
        <w:t>M</w:t>
      </w:r>
      <w:r w:rsidRPr="00A1542B">
        <w:rPr>
          <w:rFonts w:ascii="Arial" w:eastAsia="Calibri" w:hAnsi="Arial" w:cs="Arial"/>
          <w:lang w:val="es-MX" w:eastAsia="en-US"/>
        </w:rPr>
        <w:t>ilitar y su reglamento.</w:t>
      </w:r>
      <w:r w:rsidRPr="00A1542B">
        <w:rPr>
          <w:rFonts w:ascii="Arial" w:hAnsi="Arial" w:cs="Arial"/>
          <w:lang w:val="es-MX" w:eastAsia="es-MX"/>
        </w:rPr>
        <w:t xml:space="preserve"> </w:t>
      </w:r>
      <w:r w:rsidRPr="00A1542B">
        <w:rPr>
          <w:rFonts w:ascii="Arial" w:eastAsia="Calibri" w:hAnsi="Arial" w:cs="Arial"/>
          <w:lang w:val="es-MX" w:eastAsia="en-US"/>
        </w:rPr>
        <w:t>El artículo 10 de la Ley establece lo siguiente: “El reglamento de esta ley fijará las causas que eximirán total o parcialmente del servicio de las armas, e indicará los impedimentos de orden físico, moral y social y la manera de comprobarlos. La Secretaría de la Defensa Nacional, en virtud de esta ley, queda investida de la facultad de eximir del servicio militar a quienes no cumplan los requisitos de la defensa nacional”.</w:t>
      </w:r>
    </w:p>
    <w:p w:rsidR="00297E6F" w:rsidRPr="00A1542B" w:rsidRDefault="00297E6F" w:rsidP="00844512">
      <w:pPr>
        <w:pStyle w:val="Prrafodelista"/>
        <w:ind w:left="357"/>
        <w:jc w:val="both"/>
        <w:rPr>
          <w:rFonts w:ascii="Arial" w:eastAsia="Calibri" w:hAnsi="Arial" w:cs="Arial"/>
          <w:lang w:val="es-MX" w:eastAsia="en-US"/>
        </w:rPr>
      </w:pPr>
    </w:p>
    <w:p w:rsidR="00297E6F" w:rsidRPr="00A1542B" w:rsidRDefault="00297E6F" w:rsidP="00FF1B78">
      <w:pPr>
        <w:pStyle w:val="Prrafodelista"/>
        <w:numPr>
          <w:ilvl w:val="0"/>
          <w:numId w:val="10"/>
        </w:numPr>
        <w:ind w:left="357" w:hanging="357"/>
        <w:jc w:val="both"/>
        <w:rPr>
          <w:rFonts w:ascii="Arial" w:eastAsia="Calibri" w:hAnsi="Arial" w:cs="Arial"/>
          <w:lang w:val="es-MX" w:eastAsia="en-US"/>
        </w:rPr>
      </w:pPr>
      <w:r w:rsidRPr="00A1542B">
        <w:rPr>
          <w:rFonts w:ascii="Arial" w:eastAsia="Calibri" w:hAnsi="Arial" w:cs="Arial"/>
          <w:b/>
          <w:lang w:val="es-MX" w:eastAsia="en-US"/>
        </w:rPr>
        <w:lastRenderedPageBreak/>
        <w:t>En materia de la violencia ejercida contra personas debido a su orientación sexual (punto 21),</w:t>
      </w:r>
      <w:r w:rsidRPr="00A1542B">
        <w:rPr>
          <w:rFonts w:ascii="Arial" w:eastAsia="Calibri" w:hAnsi="Arial" w:cs="Arial"/>
          <w:lang w:val="es-MX" w:eastAsia="en-US"/>
        </w:rPr>
        <w:t xml:space="preserve"> se puede referir que la CNDH emitió el Informe Especial de la Comisión Nacional de los Derechos Humanos sobre violaciones a los derechos humanos y delitos cometidos por homofobia</w:t>
      </w:r>
      <w:r w:rsidRPr="00A1542B">
        <w:rPr>
          <w:rStyle w:val="Refdenotaalpie"/>
          <w:rFonts w:ascii="Arial" w:eastAsia="Calibri" w:hAnsi="Arial" w:cs="Arial"/>
          <w:lang w:val="es-MX" w:eastAsia="en-US"/>
        </w:rPr>
        <w:footnoteReference w:id="4"/>
      </w:r>
      <w:r w:rsidRPr="00A1542B">
        <w:rPr>
          <w:rFonts w:ascii="Arial" w:eastAsia="Calibri" w:hAnsi="Arial" w:cs="Arial"/>
          <w:lang w:val="es-MX" w:eastAsia="en-US"/>
        </w:rPr>
        <w:t>.</w:t>
      </w:r>
    </w:p>
    <w:p w:rsidR="00297E6F" w:rsidRPr="00A1542B" w:rsidRDefault="00297E6F" w:rsidP="002E09CE">
      <w:pPr>
        <w:pStyle w:val="Prrafodelista"/>
        <w:ind w:left="357"/>
        <w:rPr>
          <w:rFonts w:ascii="Arial" w:eastAsia="Calibri" w:hAnsi="Arial" w:cs="Arial"/>
          <w:lang w:val="es-MX" w:eastAsia="en-US"/>
        </w:rPr>
      </w:pPr>
    </w:p>
    <w:p w:rsidR="00297E6F" w:rsidRPr="00A1542B" w:rsidRDefault="00297E6F" w:rsidP="002E09CE">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El trabajo de investigación elaborado implicó la recopilación, sistematización y procesamiento de una serie de información referida principalmente a las violaciones a los derechos humanos y delitos cometidos en contra de la población lésbica, gay, bisexual, travesti, </w:t>
      </w:r>
      <w:proofErr w:type="spellStart"/>
      <w:r w:rsidRPr="00A1542B">
        <w:rPr>
          <w:rFonts w:ascii="Arial" w:eastAsia="Calibri" w:hAnsi="Arial" w:cs="Arial"/>
          <w:lang w:val="es-MX" w:eastAsia="en-US"/>
        </w:rPr>
        <w:t>transgénero</w:t>
      </w:r>
      <w:proofErr w:type="spellEnd"/>
      <w:r w:rsidRPr="00A1542B">
        <w:rPr>
          <w:rFonts w:ascii="Arial" w:eastAsia="Calibri" w:hAnsi="Arial" w:cs="Arial"/>
          <w:lang w:val="es-MX" w:eastAsia="en-US"/>
        </w:rPr>
        <w:t xml:space="preserve"> y transexual (LGBTTT), contenida en 696 expedientes de quejas tramitadas en la CNDH, en los organismos públicos de protección de los derechos humanos del país y en el Consejo Nacional para Prevenir la Discriminación; así como en averiguaciones previas iniciadas en distintas procuradurías generales de justicia en México, en los cuales, la orientación sexual, la identidad o expresión de género fueron motivo de su impulso, durante el periodo comprendido entre el 1 de enero de 1998 al 31 de diciembre de 2008; además de la consulta y análisis de bibliohemerografía sobre temas relacionados con sexualidad, homofobia y género; los informes de organizaciones de la sociedad civil; la legislación, las estadísticas, y las encuestas, así como la difundida en diversos medios de comunicación, entre otras fuentes.</w:t>
      </w:r>
    </w:p>
    <w:p w:rsidR="00297E6F" w:rsidRPr="00A1542B" w:rsidRDefault="00297E6F" w:rsidP="002E09CE">
      <w:pPr>
        <w:pStyle w:val="Prrafodelista"/>
        <w:ind w:left="357"/>
        <w:jc w:val="both"/>
        <w:rPr>
          <w:rFonts w:ascii="Arial" w:eastAsia="Calibri" w:hAnsi="Arial" w:cs="Arial"/>
          <w:lang w:val="es-MX" w:eastAsia="en-US"/>
        </w:rPr>
      </w:pPr>
    </w:p>
    <w:p w:rsidR="00297E6F" w:rsidRPr="00A1542B" w:rsidRDefault="00297E6F" w:rsidP="002E09CE">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Los principales hechos violatorios y delitos denunciados son: discriminación por orientación sexual y/o identidad o expresión de género, ejercicio indebido de la función pública, detención arbitraria, maltrato, incitación a la violencia, injerencia arbitraria y ataques en la vida privada, negligencia e injerencia arbitraria en el derecho al trabajo, negación del servicio mercantil, robo, difamación</w:t>
      </w:r>
      <w:r w:rsidR="00542139" w:rsidRPr="00A1542B">
        <w:rPr>
          <w:rFonts w:ascii="Arial" w:eastAsia="Calibri" w:hAnsi="Arial" w:cs="Arial"/>
          <w:lang w:val="es-MX" w:eastAsia="en-US"/>
        </w:rPr>
        <w:t xml:space="preserve"> y</w:t>
      </w:r>
      <w:r w:rsidRPr="00A1542B">
        <w:rPr>
          <w:rFonts w:ascii="Arial" w:eastAsia="Calibri" w:hAnsi="Arial" w:cs="Arial"/>
          <w:lang w:val="es-MX" w:eastAsia="en-US"/>
        </w:rPr>
        <w:t xml:space="preserve"> falsedad ante autoridades, entre otros.</w:t>
      </w:r>
    </w:p>
    <w:p w:rsidR="00297E6F" w:rsidRPr="00A1542B" w:rsidRDefault="00297E6F" w:rsidP="002E09CE">
      <w:pPr>
        <w:pStyle w:val="Prrafodelista"/>
        <w:ind w:left="357"/>
        <w:jc w:val="both"/>
        <w:rPr>
          <w:rFonts w:ascii="Arial" w:eastAsia="Calibri" w:hAnsi="Arial" w:cs="Arial"/>
          <w:lang w:val="es-MX" w:eastAsia="en-US"/>
        </w:rPr>
      </w:pPr>
    </w:p>
    <w:p w:rsidR="00297E6F" w:rsidRPr="00A1542B" w:rsidRDefault="00297E6F" w:rsidP="002E09CE">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De la investigación sobre los asuntos señalados, se obtuvieron datos en el sentido de que, entre las personas agraviadas, el 12.9 por ciento fueron mujeres y el 84.3 por ciento, hombres; pero el 2.77 por ciento restante no se pudo determinar; lo cual refleja que son los hombres quienes resienten en mayor medida la afectación a sus derechos humanos, debido a su orientación sexual, identidad y/o expresión de género. Respecto a la edad de las víctimas, se observó que ésta oscila entre los 6 y 79 años; sin embargo, la mayor incidencia se da entre los 15 y los 34 años.</w:t>
      </w:r>
    </w:p>
    <w:p w:rsidR="00297E6F" w:rsidRPr="00A1542B" w:rsidRDefault="00297E6F" w:rsidP="002E09CE">
      <w:pPr>
        <w:pStyle w:val="Prrafodelista"/>
        <w:ind w:left="357"/>
        <w:jc w:val="both"/>
        <w:rPr>
          <w:rFonts w:ascii="Arial" w:eastAsia="Calibri" w:hAnsi="Arial" w:cs="Arial"/>
          <w:lang w:val="es-MX" w:eastAsia="en-US"/>
        </w:rPr>
      </w:pPr>
    </w:p>
    <w:p w:rsidR="00297E6F" w:rsidRPr="00A1542B" w:rsidRDefault="00297E6F" w:rsidP="002E09CE">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Se observó también que sobre los hombres gay, se reportó el mayor número de quejas por presunta violación a sus derechos humanos y delitos cometidos en su agravio, al haberse registrado 426 casos, principalmente por discriminación y homicidios, respectivamente, ubicándose en segundo lugar aquellas personas de las que no se pudo especificar su condición; las lesbianas, con 55 casos reportados; los travestistas, con 50, y la población transgénero con 36; y fue en el interior del país en donde se cometieron el </w:t>
      </w:r>
      <w:r w:rsidRPr="00A1542B">
        <w:rPr>
          <w:rFonts w:ascii="Arial" w:eastAsia="Calibri" w:hAnsi="Arial" w:cs="Arial"/>
          <w:lang w:val="es-MX" w:eastAsia="en-US"/>
        </w:rPr>
        <w:lastRenderedPageBreak/>
        <w:t>mayor número de violaciones a los derechos humanos y delitos en contra de la población LGBTTT.</w:t>
      </w:r>
    </w:p>
    <w:p w:rsidR="00297E6F" w:rsidRPr="00A1542B" w:rsidRDefault="00297E6F" w:rsidP="002E09CE">
      <w:pPr>
        <w:pStyle w:val="Prrafodelista"/>
        <w:ind w:left="357"/>
        <w:jc w:val="both"/>
        <w:rPr>
          <w:rFonts w:ascii="Arial" w:eastAsia="Calibri" w:hAnsi="Arial" w:cs="Arial"/>
          <w:lang w:val="es-MX" w:eastAsia="en-US"/>
        </w:rPr>
      </w:pPr>
    </w:p>
    <w:p w:rsidR="00297E6F" w:rsidRPr="00A1542B" w:rsidRDefault="00297E6F" w:rsidP="002E09CE">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De ahí, que, </w:t>
      </w:r>
      <w:r w:rsidR="00542139" w:rsidRPr="00A1542B">
        <w:rPr>
          <w:rFonts w:ascii="Arial" w:eastAsia="Calibri" w:hAnsi="Arial" w:cs="Arial"/>
          <w:lang w:val="es-MX" w:eastAsia="en-US"/>
        </w:rPr>
        <w:t xml:space="preserve">a </w:t>
      </w:r>
      <w:r w:rsidRPr="00A1542B">
        <w:rPr>
          <w:rFonts w:ascii="Arial" w:eastAsia="Calibri" w:hAnsi="Arial" w:cs="Arial"/>
          <w:lang w:val="es-MX" w:eastAsia="en-US"/>
        </w:rPr>
        <w:t xml:space="preserve">fin de garantizar el respeto a los derechos humanos de la población LGBTTT en el sentido más amplio posible, la CNDH considera conveniente el desarrollo de los siguientes aspectos: </w:t>
      </w:r>
    </w:p>
    <w:p w:rsidR="00297E6F" w:rsidRPr="00A1542B" w:rsidRDefault="00297E6F" w:rsidP="002E09CE">
      <w:pPr>
        <w:pStyle w:val="Prrafodelista"/>
        <w:ind w:left="357"/>
        <w:jc w:val="both"/>
        <w:rPr>
          <w:rFonts w:ascii="Arial" w:eastAsia="Calibri" w:hAnsi="Arial" w:cs="Arial"/>
          <w:lang w:val="es-MX" w:eastAsia="en-US"/>
        </w:rPr>
      </w:pPr>
    </w:p>
    <w:p w:rsidR="00DB5F77" w:rsidRPr="00A1542B" w:rsidRDefault="00297E6F" w:rsidP="002E09CE">
      <w:pPr>
        <w:pStyle w:val="Prrafodelista"/>
        <w:numPr>
          <w:ilvl w:val="0"/>
          <w:numId w:val="8"/>
        </w:numPr>
        <w:ind w:left="357" w:firstLine="0"/>
        <w:jc w:val="both"/>
        <w:rPr>
          <w:rFonts w:ascii="Arial" w:eastAsia="Calibri" w:hAnsi="Arial" w:cs="Arial"/>
          <w:lang w:val="es-MX" w:eastAsia="en-US"/>
        </w:rPr>
      </w:pPr>
      <w:r w:rsidRPr="00A1542B">
        <w:rPr>
          <w:rFonts w:ascii="Arial" w:eastAsia="Calibri" w:hAnsi="Arial" w:cs="Arial"/>
          <w:lang w:val="es-MX" w:eastAsia="en-US"/>
        </w:rPr>
        <w:t>Establecer indicadores objetivos, por parte de las instancias encargadas de prevenir la discriminación en México, para informar a la sociedad sobre los datos estadísticos respecto de las violaciones y delitos cometidos en contra de la población LGBTTT, para lograr su plena prevención y eventual erradicación</w:t>
      </w:r>
      <w:r w:rsidR="00DB5F77" w:rsidRPr="00A1542B">
        <w:rPr>
          <w:rFonts w:ascii="Arial" w:eastAsia="Calibri" w:hAnsi="Arial" w:cs="Arial"/>
          <w:lang w:val="es-MX" w:eastAsia="en-US"/>
        </w:rPr>
        <w:t>.</w:t>
      </w:r>
    </w:p>
    <w:p w:rsidR="00DB5F77" w:rsidRPr="00A1542B" w:rsidRDefault="00DB5F77" w:rsidP="00DB5F77">
      <w:pPr>
        <w:pStyle w:val="Prrafodelista"/>
        <w:ind w:left="357"/>
        <w:jc w:val="both"/>
        <w:rPr>
          <w:rFonts w:ascii="Arial" w:eastAsia="Calibri" w:hAnsi="Arial" w:cs="Arial"/>
          <w:lang w:val="es-MX" w:eastAsia="en-US"/>
        </w:rPr>
      </w:pPr>
    </w:p>
    <w:p w:rsidR="00DB5F77" w:rsidRPr="00A1542B" w:rsidRDefault="00297E6F" w:rsidP="002E09CE">
      <w:pPr>
        <w:pStyle w:val="Prrafodelista"/>
        <w:numPr>
          <w:ilvl w:val="0"/>
          <w:numId w:val="8"/>
        </w:numPr>
        <w:ind w:left="357" w:firstLine="0"/>
        <w:jc w:val="both"/>
        <w:rPr>
          <w:rFonts w:ascii="Arial" w:eastAsia="Calibri" w:hAnsi="Arial" w:cs="Arial"/>
          <w:lang w:val="es-MX" w:eastAsia="en-US"/>
        </w:rPr>
      </w:pPr>
      <w:r w:rsidRPr="00A1542B">
        <w:rPr>
          <w:rFonts w:ascii="Arial" w:eastAsia="Calibri" w:hAnsi="Arial" w:cs="Arial"/>
          <w:lang w:val="es-MX" w:eastAsia="en-US"/>
        </w:rPr>
        <w:t>Detectar y eliminar las prácticas institucionales que generan homofobia, y sancionar eficazmente a los servidores públicos que cometan agravios en contra de personas de la población LGBTTT.</w:t>
      </w:r>
    </w:p>
    <w:p w:rsidR="00DB5F77" w:rsidRPr="00A1542B" w:rsidRDefault="00DB5F77" w:rsidP="00DB5F77">
      <w:pPr>
        <w:pStyle w:val="Prrafodelista"/>
        <w:ind w:left="357"/>
        <w:jc w:val="both"/>
        <w:rPr>
          <w:rFonts w:ascii="Arial" w:eastAsia="Calibri" w:hAnsi="Arial" w:cs="Arial"/>
          <w:lang w:val="es-MX" w:eastAsia="en-US"/>
        </w:rPr>
      </w:pPr>
    </w:p>
    <w:p w:rsidR="00297E6F" w:rsidRPr="00A1542B" w:rsidRDefault="00297E6F" w:rsidP="002E09CE">
      <w:pPr>
        <w:pStyle w:val="Prrafodelista"/>
        <w:numPr>
          <w:ilvl w:val="0"/>
          <w:numId w:val="8"/>
        </w:numPr>
        <w:ind w:left="357" w:firstLine="0"/>
        <w:jc w:val="both"/>
        <w:rPr>
          <w:rFonts w:ascii="Arial" w:eastAsia="Calibri" w:hAnsi="Arial" w:cs="Arial"/>
          <w:lang w:val="es-MX" w:eastAsia="en-US"/>
        </w:rPr>
      </w:pPr>
      <w:r w:rsidRPr="00A1542B">
        <w:rPr>
          <w:rFonts w:ascii="Arial" w:eastAsia="Calibri" w:hAnsi="Arial" w:cs="Arial"/>
          <w:lang w:val="es-MX" w:eastAsia="en-US"/>
        </w:rPr>
        <w:t>Asegurar la existencia en las instituciones públicas de un diagnóstico sobre la realidad que en materia de discriminación por homofobia existe en el país, a fin de que las acciones que se emprendan se realicen a partir de la reconstitución del tejido social y</w:t>
      </w:r>
      <w:r w:rsidR="00542139" w:rsidRPr="00A1542B">
        <w:rPr>
          <w:rFonts w:ascii="Arial" w:eastAsia="Calibri" w:hAnsi="Arial" w:cs="Arial"/>
          <w:lang w:val="es-MX" w:eastAsia="en-US"/>
        </w:rPr>
        <w:t>,</w:t>
      </w:r>
      <w:r w:rsidRPr="00A1542B">
        <w:rPr>
          <w:rFonts w:ascii="Arial" w:eastAsia="Calibri" w:hAnsi="Arial" w:cs="Arial"/>
          <w:lang w:val="es-MX" w:eastAsia="en-US"/>
        </w:rPr>
        <w:t xml:space="preserve"> en consecuencia, de la convivencia comunitaria.</w:t>
      </w:r>
    </w:p>
    <w:p w:rsidR="00297E6F" w:rsidRPr="00A1542B" w:rsidRDefault="00297E6F" w:rsidP="002E09CE">
      <w:pPr>
        <w:pStyle w:val="Prrafodelista"/>
        <w:ind w:left="357"/>
        <w:jc w:val="both"/>
        <w:rPr>
          <w:rFonts w:ascii="Arial" w:eastAsia="Calibri" w:hAnsi="Arial" w:cs="Arial"/>
          <w:lang w:val="es-MX" w:eastAsia="en-US"/>
        </w:rPr>
      </w:pPr>
    </w:p>
    <w:p w:rsidR="00297E6F" w:rsidRPr="00A1542B" w:rsidRDefault="00297E6F" w:rsidP="004E4D9B">
      <w:pPr>
        <w:pStyle w:val="Prrafodelista"/>
        <w:numPr>
          <w:ilvl w:val="0"/>
          <w:numId w:val="10"/>
        </w:numPr>
        <w:ind w:left="357" w:hanging="357"/>
        <w:jc w:val="both"/>
        <w:rPr>
          <w:rFonts w:ascii="Arial" w:eastAsia="Calibri" w:hAnsi="Arial" w:cs="Arial"/>
          <w:lang w:val="es-MX" w:eastAsia="en-US"/>
        </w:rPr>
      </w:pPr>
      <w:r w:rsidRPr="00A1542B">
        <w:rPr>
          <w:rFonts w:ascii="Arial" w:eastAsia="Calibri" w:hAnsi="Arial" w:cs="Arial"/>
          <w:b/>
          <w:lang w:val="es-MX" w:eastAsia="en-US"/>
        </w:rPr>
        <w:t>El punto 22 llama al Estado mexicano a garantizar la consulta previa,</w:t>
      </w:r>
      <w:r w:rsidRPr="00A1542B">
        <w:rPr>
          <w:rFonts w:ascii="Arial" w:eastAsia="Calibri" w:hAnsi="Arial" w:cs="Arial"/>
          <w:lang w:val="es-MX" w:eastAsia="en-US"/>
        </w:rPr>
        <w:t xml:space="preserve"> al respecto le informo que la C</w:t>
      </w:r>
      <w:r w:rsidR="004E4D9B" w:rsidRPr="00A1542B">
        <w:rPr>
          <w:rFonts w:ascii="Arial" w:eastAsia="Calibri" w:hAnsi="Arial" w:cs="Arial"/>
          <w:lang w:val="es-MX" w:eastAsia="en-US"/>
        </w:rPr>
        <w:t>NDH</w:t>
      </w:r>
      <w:r w:rsidR="00491947" w:rsidRPr="00A1542B">
        <w:rPr>
          <w:rFonts w:ascii="Arial" w:eastAsia="Calibri" w:hAnsi="Arial" w:cs="Arial"/>
          <w:lang w:val="es-MX" w:eastAsia="en-US"/>
        </w:rPr>
        <w:t xml:space="preserve"> ha intervenido en la investigación de diversas quejas sobre hechos presuntamente violatorios hacia los pueblos indígenas</w:t>
      </w:r>
      <w:r w:rsidR="006D30B5" w:rsidRPr="00A1542B">
        <w:rPr>
          <w:rFonts w:ascii="Arial" w:eastAsia="Calibri" w:hAnsi="Arial" w:cs="Arial"/>
          <w:lang w:val="es-MX" w:eastAsia="en-US"/>
        </w:rPr>
        <w:t>:</w:t>
      </w:r>
      <w:r w:rsidR="00491947" w:rsidRPr="00A1542B">
        <w:rPr>
          <w:rStyle w:val="Refdenotaalpie"/>
          <w:rFonts w:ascii="Arial" w:eastAsia="Calibri" w:hAnsi="Arial" w:cs="Arial"/>
          <w:lang w:val="es-MX" w:eastAsia="en-US"/>
        </w:rPr>
        <w:footnoteReference w:id="5"/>
      </w:r>
    </w:p>
    <w:p w:rsidR="00297E6F" w:rsidRPr="00A1542B" w:rsidRDefault="00297E6F" w:rsidP="00EE7409">
      <w:pPr>
        <w:pStyle w:val="Prrafodelista"/>
        <w:ind w:left="357"/>
        <w:jc w:val="both"/>
        <w:rPr>
          <w:rFonts w:ascii="Arial" w:eastAsia="Calibri" w:hAnsi="Arial" w:cs="Arial"/>
          <w:lang w:val="es-MX" w:eastAsia="en-US"/>
        </w:rPr>
      </w:pPr>
    </w:p>
    <w:p w:rsidR="0073696D" w:rsidRPr="00A1542B" w:rsidRDefault="006D30B5" w:rsidP="0049194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 </w:t>
      </w:r>
      <w:r w:rsidR="0073696D" w:rsidRPr="00A1542B">
        <w:rPr>
          <w:rFonts w:ascii="Arial" w:eastAsia="Calibri" w:hAnsi="Arial" w:cs="Arial"/>
          <w:lang w:val="es-MX" w:eastAsia="en-US"/>
        </w:rPr>
        <w:t xml:space="preserve">Caso del Proyecto de Infraestructura Carretero “Arco Sur de la Ciudad de México”, que pretendía emprender la Secretaría de Comunicaciones y Transportes, sin llevar a cabo el Derecho a la Consulta a los pueblos originarios de Milpa Alta, Xochimilco, Tlalpan, Tláhuac y Magdalena Contreras, en la periferia de la </w:t>
      </w:r>
      <w:r w:rsidRPr="00A1542B">
        <w:rPr>
          <w:rFonts w:ascii="Arial" w:eastAsia="Calibri" w:hAnsi="Arial" w:cs="Arial"/>
          <w:lang w:val="es-MX" w:eastAsia="en-US"/>
        </w:rPr>
        <w:t>C</w:t>
      </w:r>
      <w:r w:rsidR="0073696D" w:rsidRPr="00A1542B">
        <w:rPr>
          <w:rFonts w:ascii="Arial" w:eastAsia="Calibri" w:hAnsi="Arial" w:cs="Arial"/>
          <w:lang w:val="es-MX" w:eastAsia="en-US"/>
        </w:rPr>
        <w:t>iudad de México.</w:t>
      </w:r>
    </w:p>
    <w:p w:rsidR="0073696D" w:rsidRPr="00A1542B" w:rsidRDefault="0073696D" w:rsidP="00491947">
      <w:pPr>
        <w:pStyle w:val="Prrafodelista"/>
        <w:ind w:left="357"/>
        <w:jc w:val="both"/>
        <w:rPr>
          <w:rFonts w:ascii="Arial" w:eastAsia="Calibri" w:hAnsi="Arial" w:cs="Arial"/>
          <w:lang w:val="es-MX" w:eastAsia="en-US"/>
        </w:rPr>
      </w:pPr>
    </w:p>
    <w:p w:rsidR="0073696D" w:rsidRPr="00A1542B" w:rsidRDefault="006D30B5" w:rsidP="0049194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 </w:t>
      </w:r>
      <w:r w:rsidR="0073696D" w:rsidRPr="00A1542B">
        <w:rPr>
          <w:rFonts w:ascii="Arial" w:eastAsia="Calibri" w:hAnsi="Arial" w:cs="Arial"/>
          <w:lang w:val="es-MX" w:eastAsia="en-US"/>
        </w:rPr>
        <w:t xml:space="preserve">Caso sobre la inscripción del canto de la Pirekua, (expresión oral y cultural del pueblo P’urhepecha) ante la UNESCO en la lista representativa del patrimonio cultural intangible de la humanidad, por parte de autoridades federales y locales del </w:t>
      </w:r>
      <w:r w:rsidRPr="00A1542B">
        <w:rPr>
          <w:rFonts w:ascii="Arial" w:eastAsia="Calibri" w:hAnsi="Arial" w:cs="Arial"/>
          <w:lang w:val="es-MX" w:eastAsia="en-US"/>
        </w:rPr>
        <w:t>E</w:t>
      </w:r>
      <w:r w:rsidR="0073696D" w:rsidRPr="00A1542B">
        <w:rPr>
          <w:rFonts w:ascii="Arial" w:eastAsia="Calibri" w:hAnsi="Arial" w:cs="Arial"/>
          <w:lang w:val="es-MX" w:eastAsia="en-US"/>
        </w:rPr>
        <w:t>stado de Michoacán, sin haber consultado a esa población indígena.</w:t>
      </w:r>
    </w:p>
    <w:p w:rsidR="0073696D" w:rsidRPr="00A1542B" w:rsidRDefault="0073696D" w:rsidP="00491947">
      <w:pPr>
        <w:pStyle w:val="Prrafodelista"/>
        <w:ind w:left="357"/>
        <w:jc w:val="both"/>
        <w:rPr>
          <w:rFonts w:ascii="Arial" w:eastAsia="Calibri" w:hAnsi="Arial" w:cs="Arial"/>
          <w:lang w:val="es-MX" w:eastAsia="en-US"/>
        </w:rPr>
      </w:pPr>
    </w:p>
    <w:p w:rsidR="0073696D" w:rsidRPr="00A1542B" w:rsidRDefault="006D30B5" w:rsidP="0049194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 </w:t>
      </w:r>
      <w:r w:rsidR="0073696D" w:rsidRPr="00A1542B">
        <w:rPr>
          <w:rFonts w:ascii="Arial" w:eastAsia="Calibri" w:hAnsi="Arial" w:cs="Arial"/>
          <w:lang w:val="es-MX" w:eastAsia="en-US"/>
        </w:rPr>
        <w:t>Caso del decomiso de pescado curvina, propiedad de la Cooperativa Indígena Cucapá, en Baja California, por parte de la Comisión Nacional de Acuacultura y Pesca, sin orden expedida por autoridad judicial.</w:t>
      </w:r>
    </w:p>
    <w:p w:rsidR="0073696D" w:rsidRPr="00A1542B" w:rsidRDefault="0073696D" w:rsidP="00491947">
      <w:pPr>
        <w:pStyle w:val="Prrafodelista"/>
        <w:ind w:left="357"/>
        <w:jc w:val="both"/>
        <w:rPr>
          <w:rFonts w:ascii="Arial" w:eastAsia="Calibri" w:hAnsi="Arial" w:cs="Arial"/>
          <w:lang w:val="es-MX" w:eastAsia="en-US"/>
        </w:rPr>
      </w:pPr>
    </w:p>
    <w:p w:rsidR="0073696D" w:rsidRPr="00A1542B" w:rsidRDefault="000052DE" w:rsidP="0049194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lastRenderedPageBreak/>
        <w:t xml:space="preserve">- </w:t>
      </w:r>
      <w:r w:rsidR="0073696D" w:rsidRPr="00A1542B">
        <w:rPr>
          <w:rFonts w:ascii="Arial" w:eastAsia="Calibri" w:hAnsi="Arial" w:cs="Arial"/>
          <w:lang w:val="es-MX" w:eastAsia="en-US"/>
        </w:rPr>
        <w:t>Caso sobre la perforación o excavación a cielo abierto por parte de una empresa minera, con la anuencia de las autoridades federales y estatales de Zacatecas, afectando a la población indígena asentada en ese lugar.</w:t>
      </w:r>
    </w:p>
    <w:p w:rsidR="0073696D" w:rsidRPr="00A1542B" w:rsidRDefault="0073696D" w:rsidP="00491947">
      <w:pPr>
        <w:pStyle w:val="Prrafodelista"/>
        <w:ind w:left="357"/>
        <w:jc w:val="both"/>
        <w:rPr>
          <w:rFonts w:ascii="Arial" w:eastAsia="Calibri" w:hAnsi="Arial" w:cs="Arial"/>
          <w:lang w:val="es-MX" w:eastAsia="en-US"/>
        </w:rPr>
      </w:pPr>
    </w:p>
    <w:p w:rsidR="0073696D" w:rsidRPr="00A1542B" w:rsidRDefault="000052DE" w:rsidP="0049194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 </w:t>
      </w:r>
      <w:r w:rsidR="0073696D" w:rsidRPr="00A1542B">
        <w:rPr>
          <w:rFonts w:ascii="Arial" w:eastAsia="Calibri" w:hAnsi="Arial" w:cs="Arial"/>
          <w:lang w:val="es-MX" w:eastAsia="en-US"/>
        </w:rPr>
        <w:t>Caso del Proyecto de la Planta Hidroeléctrica en el Municipio de Olintla, Puebla, donde la comunidad indígena totonaca de esa localidad ha sufrido hostigamientos e intimidaciones por parte de elementos de la policía municipal, para imponer el inicio de la mencionada obra.</w:t>
      </w:r>
    </w:p>
    <w:p w:rsidR="0073696D" w:rsidRPr="00A1542B" w:rsidRDefault="0073696D" w:rsidP="00491947">
      <w:pPr>
        <w:pStyle w:val="Prrafodelista"/>
        <w:ind w:left="357"/>
        <w:jc w:val="both"/>
        <w:rPr>
          <w:rFonts w:ascii="Arial" w:eastAsia="Calibri" w:hAnsi="Arial" w:cs="Arial"/>
          <w:lang w:val="es-MX" w:eastAsia="en-US"/>
        </w:rPr>
      </w:pPr>
    </w:p>
    <w:p w:rsidR="0073696D" w:rsidRPr="00A1542B" w:rsidRDefault="0089318D" w:rsidP="0049194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 </w:t>
      </w:r>
      <w:r w:rsidR="0073696D" w:rsidRPr="00A1542B">
        <w:rPr>
          <w:rFonts w:ascii="Arial" w:eastAsia="Calibri" w:hAnsi="Arial" w:cs="Arial"/>
          <w:lang w:val="es-MX" w:eastAsia="en-US"/>
        </w:rPr>
        <w:t xml:space="preserve">Caso de la prohibición del uso de diversas plantas medicinales para tés, infusiones, aceites vegetales comestibles y suplementos alimenticios, considerados nocivos para la salud por parte de la Secretaría de Salud y la Comisión Federal para la Protección </w:t>
      </w:r>
      <w:r w:rsidRPr="00A1542B">
        <w:rPr>
          <w:rFonts w:ascii="Arial" w:eastAsia="Calibri" w:hAnsi="Arial" w:cs="Arial"/>
          <w:lang w:val="es-MX" w:eastAsia="en-US"/>
        </w:rPr>
        <w:t>c</w:t>
      </w:r>
      <w:r w:rsidR="0073696D" w:rsidRPr="00A1542B">
        <w:rPr>
          <w:rFonts w:ascii="Arial" w:eastAsia="Calibri" w:hAnsi="Arial" w:cs="Arial"/>
          <w:lang w:val="es-MX" w:eastAsia="en-US"/>
        </w:rPr>
        <w:t>ontra Riesgos Sanitarios, sin tomar en cuenta la opinión de las comunidades indígenas, médicos tradicionales y parteras de México.</w:t>
      </w:r>
    </w:p>
    <w:p w:rsidR="0073696D" w:rsidRPr="00A1542B" w:rsidRDefault="0073696D" w:rsidP="00491947">
      <w:pPr>
        <w:pStyle w:val="Prrafodelista"/>
        <w:ind w:left="357"/>
        <w:jc w:val="both"/>
        <w:rPr>
          <w:rFonts w:ascii="Arial" w:eastAsia="Calibri" w:hAnsi="Arial" w:cs="Arial"/>
          <w:lang w:val="es-MX" w:eastAsia="en-US"/>
        </w:rPr>
      </w:pPr>
    </w:p>
    <w:p w:rsidR="0073696D" w:rsidRPr="00A1542B" w:rsidRDefault="0089318D" w:rsidP="0049194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 </w:t>
      </w:r>
      <w:r w:rsidR="0073696D" w:rsidRPr="00A1542B">
        <w:rPr>
          <w:rFonts w:ascii="Arial" w:eastAsia="Calibri" w:hAnsi="Arial" w:cs="Arial"/>
          <w:lang w:val="es-MX" w:eastAsia="en-US"/>
        </w:rPr>
        <w:t xml:space="preserve">Caso de la construcción de un Parque Eólico en el </w:t>
      </w:r>
      <w:r w:rsidRPr="00A1542B">
        <w:rPr>
          <w:rFonts w:ascii="Arial" w:eastAsia="Calibri" w:hAnsi="Arial" w:cs="Arial"/>
          <w:lang w:val="es-MX" w:eastAsia="en-US"/>
        </w:rPr>
        <w:t>E</w:t>
      </w:r>
      <w:r w:rsidR="0073696D" w:rsidRPr="00A1542B">
        <w:rPr>
          <w:rFonts w:ascii="Arial" w:eastAsia="Calibri" w:hAnsi="Arial" w:cs="Arial"/>
          <w:lang w:val="es-MX" w:eastAsia="en-US"/>
        </w:rPr>
        <w:t xml:space="preserve">stado de Oaxaca, por parte de una empresa española que afecta al núcleo de población indígena en las localidades de Álvaro Obregón y San Dionisio del Mar, donde la población está siendo víctima de actos intimidatorios por parte de servidores públicos del gobierno del </w:t>
      </w:r>
      <w:r w:rsidRPr="00A1542B">
        <w:rPr>
          <w:rFonts w:ascii="Arial" w:eastAsia="Calibri" w:hAnsi="Arial" w:cs="Arial"/>
          <w:lang w:val="es-MX" w:eastAsia="en-US"/>
        </w:rPr>
        <w:t>E</w:t>
      </w:r>
      <w:r w:rsidR="0073696D" w:rsidRPr="00A1542B">
        <w:rPr>
          <w:rFonts w:ascii="Arial" w:eastAsia="Calibri" w:hAnsi="Arial" w:cs="Arial"/>
          <w:lang w:val="es-MX" w:eastAsia="en-US"/>
        </w:rPr>
        <w:t>stado y de una empresa para iniciar los trabajos, sin que se les haya respetado su Derecho a la Consulta.</w:t>
      </w:r>
    </w:p>
    <w:p w:rsidR="0073696D" w:rsidRPr="00A1542B" w:rsidRDefault="0073696D" w:rsidP="00491947">
      <w:pPr>
        <w:pStyle w:val="Prrafodelista"/>
        <w:ind w:left="357"/>
        <w:jc w:val="both"/>
        <w:rPr>
          <w:rFonts w:ascii="Arial" w:eastAsia="Calibri" w:hAnsi="Arial" w:cs="Arial"/>
          <w:lang w:val="es-MX" w:eastAsia="en-US"/>
        </w:rPr>
      </w:pPr>
    </w:p>
    <w:p w:rsidR="0073696D" w:rsidRPr="00A1542B" w:rsidRDefault="0073696D" w:rsidP="0049194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Por otro lado, se formularon las Recomendaciones 37/2012 y 56/2012. La primera sobre el Proyecto “Acueducto Independencia”, en Sonora, y la segunda, correspondiente a la violación de los </w:t>
      </w:r>
      <w:r w:rsidR="0089318D" w:rsidRPr="00A1542B">
        <w:rPr>
          <w:rFonts w:ascii="Arial" w:eastAsia="Calibri" w:hAnsi="Arial" w:cs="Arial"/>
          <w:lang w:val="es-MX" w:eastAsia="en-US"/>
        </w:rPr>
        <w:t>derechos humanos co</w:t>
      </w:r>
      <w:r w:rsidRPr="00A1542B">
        <w:rPr>
          <w:rFonts w:ascii="Arial" w:eastAsia="Calibri" w:hAnsi="Arial" w:cs="Arial"/>
          <w:lang w:val="es-MX" w:eastAsia="en-US"/>
        </w:rPr>
        <w:t>lectivos a la Consulta, Uso y Disfrute de los Territorios Indígenas, Identidad Cultural, Medio Ambiente Sano, Agua Potable y Saneamiento</w:t>
      </w:r>
      <w:r w:rsidR="00FD1F92" w:rsidRPr="00A1542B">
        <w:rPr>
          <w:rFonts w:ascii="Arial" w:eastAsia="Calibri" w:hAnsi="Arial" w:cs="Arial"/>
          <w:lang w:val="es-MX" w:eastAsia="en-US"/>
        </w:rPr>
        <w:t>,</w:t>
      </w:r>
      <w:r w:rsidRPr="00A1542B">
        <w:rPr>
          <w:rFonts w:ascii="Arial" w:eastAsia="Calibri" w:hAnsi="Arial" w:cs="Arial"/>
          <w:lang w:val="es-MX" w:eastAsia="en-US"/>
        </w:rPr>
        <w:t xml:space="preserve"> y Protección de la Salud del Pueblo Wixárika en Wirikuta.</w:t>
      </w:r>
    </w:p>
    <w:p w:rsidR="0073696D" w:rsidRPr="00A1542B" w:rsidRDefault="0073696D" w:rsidP="00491947">
      <w:pPr>
        <w:pStyle w:val="Prrafodelista"/>
        <w:ind w:left="357"/>
        <w:jc w:val="both"/>
        <w:rPr>
          <w:rFonts w:ascii="Arial" w:eastAsia="Calibri" w:hAnsi="Arial" w:cs="Arial"/>
          <w:lang w:val="es-MX" w:eastAsia="en-US"/>
        </w:rPr>
      </w:pPr>
    </w:p>
    <w:p w:rsidR="0073696D" w:rsidRPr="00A1542B" w:rsidRDefault="0073696D" w:rsidP="0049194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La Recomendación relativa al caso del Proyecto “Acueducto Independencia”, en el </w:t>
      </w:r>
      <w:r w:rsidR="00FD1F92" w:rsidRPr="00A1542B">
        <w:rPr>
          <w:rFonts w:ascii="Arial" w:eastAsia="Calibri" w:hAnsi="Arial" w:cs="Arial"/>
          <w:lang w:val="es-MX" w:eastAsia="en-US"/>
        </w:rPr>
        <w:t>e</w:t>
      </w:r>
      <w:r w:rsidRPr="00A1542B">
        <w:rPr>
          <w:rFonts w:ascii="Arial" w:eastAsia="Calibri" w:hAnsi="Arial" w:cs="Arial"/>
          <w:lang w:val="es-MX" w:eastAsia="en-US"/>
        </w:rPr>
        <w:t xml:space="preserve">stado de Sonora, fue dirigida en agosto del 2012 al Secretario de Medio Ambiente y Recursos Naturales y al Gobernador del </w:t>
      </w:r>
      <w:r w:rsidR="00A42A4F" w:rsidRPr="00A1542B">
        <w:rPr>
          <w:rFonts w:ascii="Arial" w:eastAsia="Calibri" w:hAnsi="Arial" w:cs="Arial"/>
          <w:lang w:val="es-MX" w:eastAsia="en-US"/>
        </w:rPr>
        <w:t>E</w:t>
      </w:r>
      <w:r w:rsidRPr="00A1542B">
        <w:rPr>
          <w:rFonts w:ascii="Arial" w:eastAsia="Calibri" w:hAnsi="Arial" w:cs="Arial"/>
          <w:lang w:val="es-MX" w:eastAsia="en-US"/>
        </w:rPr>
        <w:t>stado, por la violación a los derechos humanos a la legalidad, la seguridad jurídica, debido proceso, garantía de audiencia y Derecho a la Consulta del pueblo Yaqui en esa entidad federativa. La CNDH acreditó que la Secretaría del Medio Ambiente omitió tomar en cuenta el Derecho a la Consulta del pueblo Yaqui para llevar a cabo el proyecto.</w:t>
      </w:r>
    </w:p>
    <w:p w:rsidR="0073696D" w:rsidRPr="00A1542B" w:rsidRDefault="0073696D" w:rsidP="00491947">
      <w:pPr>
        <w:pStyle w:val="Prrafodelista"/>
        <w:ind w:left="357"/>
        <w:jc w:val="both"/>
        <w:rPr>
          <w:rFonts w:ascii="Arial" w:eastAsia="Calibri" w:hAnsi="Arial" w:cs="Arial"/>
          <w:lang w:val="es-MX" w:eastAsia="en-US"/>
        </w:rPr>
      </w:pPr>
    </w:p>
    <w:p w:rsidR="00013581" w:rsidRPr="00A1542B" w:rsidRDefault="00013581" w:rsidP="00491947">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La CNDH emitió la Recomendación 56/2012 por vulneración a varios derechos humanos colectivos del pueblo indígena </w:t>
      </w:r>
      <w:r w:rsidRPr="00A1542B">
        <w:rPr>
          <w:rFonts w:ascii="Arial" w:eastAsia="Calibri" w:hAnsi="Arial" w:cs="Arial"/>
          <w:i/>
          <w:iCs/>
          <w:lang w:val="es-MX" w:eastAsia="en-US"/>
        </w:rPr>
        <w:t xml:space="preserve">Wixárika </w:t>
      </w:r>
      <w:r w:rsidRPr="00A1542B">
        <w:rPr>
          <w:rFonts w:ascii="Arial" w:eastAsia="Calibri" w:hAnsi="Arial" w:cs="Arial"/>
          <w:lang w:val="es-MX" w:eastAsia="en-US"/>
        </w:rPr>
        <w:t>por parte de autoridades federales, estatales y municipales; en específico, a los derechos a la consulta y participación indígena, uso y disfrute de los territorios indígenas, identidad cultural, a un medio ambiente sano, al agua potable y al saneamiento y a la protección a la salud.</w:t>
      </w:r>
    </w:p>
    <w:p w:rsidR="0073696D" w:rsidRPr="00A1542B" w:rsidRDefault="0073696D" w:rsidP="00491947">
      <w:pPr>
        <w:pStyle w:val="Prrafodelista"/>
        <w:ind w:left="357"/>
        <w:jc w:val="both"/>
        <w:rPr>
          <w:rFonts w:ascii="Arial" w:eastAsia="Calibri" w:hAnsi="Arial" w:cs="Arial"/>
          <w:lang w:val="es-MX" w:eastAsia="en-US"/>
        </w:rPr>
      </w:pPr>
    </w:p>
    <w:p w:rsidR="00297E6F" w:rsidRPr="00A1542B" w:rsidRDefault="00297E6F" w:rsidP="00EE7409">
      <w:pPr>
        <w:pStyle w:val="Prrafodelista"/>
        <w:ind w:left="357"/>
        <w:jc w:val="both"/>
        <w:rPr>
          <w:rFonts w:ascii="Arial" w:eastAsia="Calibri" w:hAnsi="Arial" w:cs="Arial"/>
          <w:lang w:val="es-MX" w:eastAsia="en-US"/>
        </w:rPr>
      </w:pPr>
      <w:r w:rsidRPr="00A1542B">
        <w:rPr>
          <w:rFonts w:ascii="Arial" w:eastAsia="Calibri" w:hAnsi="Arial" w:cs="Arial"/>
          <w:lang w:val="es-MX" w:eastAsia="en-US"/>
        </w:rPr>
        <w:lastRenderedPageBreak/>
        <w:t xml:space="preserve">La queja en la CNDH se basó, principalmente, en que autoridades federales estaban en proceso de otorgar nuevas autorizaciones de explotación minera en </w:t>
      </w:r>
      <w:r w:rsidRPr="00A1542B">
        <w:rPr>
          <w:rFonts w:ascii="Arial" w:eastAsia="Calibri" w:hAnsi="Arial" w:cs="Arial"/>
          <w:i/>
          <w:iCs/>
          <w:lang w:val="es-MX" w:eastAsia="en-US"/>
        </w:rPr>
        <w:t xml:space="preserve">Wirikuta </w:t>
      </w:r>
      <w:r w:rsidRPr="00A1542B">
        <w:rPr>
          <w:rFonts w:ascii="Arial" w:eastAsia="Calibri" w:hAnsi="Arial" w:cs="Arial"/>
          <w:lang w:val="es-MX" w:eastAsia="en-US"/>
        </w:rPr>
        <w:t xml:space="preserve">y que actualmente varias empresas cuentan con concesiones mineras para llevar a cabo sus operaciones en dicha zona. </w:t>
      </w:r>
    </w:p>
    <w:p w:rsidR="00297E6F" w:rsidRPr="00A1542B" w:rsidRDefault="00297E6F" w:rsidP="00EE7409">
      <w:pPr>
        <w:pStyle w:val="Prrafodelista"/>
        <w:ind w:left="357"/>
        <w:jc w:val="both"/>
        <w:rPr>
          <w:rFonts w:ascii="Arial" w:eastAsia="Calibri" w:hAnsi="Arial" w:cs="Arial"/>
          <w:lang w:val="es-MX" w:eastAsia="en-US"/>
        </w:rPr>
      </w:pPr>
    </w:p>
    <w:p w:rsidR="00297E6F" w:rsidRPr="00A1542B" w:rsidRDefault="00297E6F" w:rsidP="00EE7409">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Asimismo, entre otras cuestiones, la CNDH pudo advertir de la información otorgada por la Secretaría de Economía que en el polígono del área natural protegida de </w:t>
      </w:r>
      <w:r w:rsidRPr="00A1542B">
        <w:rPr>
          <w:rFonts w:ascii="Arial" w:eastAsia="Calibri" w:hAnsi="Arial" w:cs="Arial"/>
          <w:i/>
          <w:iCs/>
          <w:lang w:val="es-MX" w:eastAsia="en-US"/>
        </w:rPr>
        <w:t xml:space="preserve">Wirikuta </w:t>
      </w:r>
      <w:r w:rsidRPr="00A1542B">
        <w:rPr>
          <w:rFonts w:ascii="Arial" w:eastAsia="Calibri" w:hAnsi="Arial" w:cs="Arial"/>
          <w:lang w:val="es-MX" w:eastAsia="en-US"/>
        </w:rPr>
        <w:t xml:space="preserve">existen 68 lotes mineros y que a la fecha se tramitan 4 nuevas solicitudes de concesión, situación que pone en peligro la integridad medio ambiental de la zona y que viola los derechos colectivos inherentes al pueblo indígena. Para la CNDH, el hecho de que se tramiten, otorguen y hayan otorgado concesiones mineras en el área de </w:t>
      </w:r>
      <w:r w:rsidRPr="00A1542B">
        <w:rPr>
          <w:rFonts w:ascii="Arial" w:eastAsia="Calibri" w:hAnsi="Arial" w:cs="Arial"/>
          <w:i/>
          <w:iCs/>
          <w:lang w:val="es-MX" w:eastAsia="en-US"/>
        </w:rPr>
        <w:t xml:space="preserve">Wirikuta </w:t>
      </w:r>
      <w:r w:rsidRPr="00A1542B">
        <w:rPr>
          <w:rFonts w:ascii="Arial" w:eastAsia="Calibri" w:hAnsi="Arial" w:cs="Arial"/>
          <w:lang w:val="es-MX" w:eastAsia="en-US"/>
        </w:rPr>
        <w:t xml:space="preserve">sin hacer partícipes de tales procedimientos y decisiones a los </w:t>
      </w:r>
      <w:r w:rsidRPr="00A1542B">
        <w:rPr>
          <w:rFonts w:ascii="Arial" w:eastAsia="Calibri" w:hAnsi="Arial" w:cs="Arial"/>
          <w:i/>
          <w:iCs/>
          <w:lang w:val="es-MX" w:eastAsia="en-US"/>
        </w:rPr>
        <w:t>wixáritar</w:t>
      </w:r>
      <w:r w:rsidRPr="00A1542B">
        <w:rPr>
          <w:rFonts w:ascii="Arial" w:eastAsia="Calibri" w:hAnsi="Arial" w:cs="Arial"/>
          <w:lang w:val="es-MX" w:eastAsia="en-US"/>
        </w:rPr>
        <w:t>i, es una vulneración a sus derechos a la consulta y a la participación previa, libre e informada, a la identidad cultural y al acceso, uso y disfrute de los territorios indígenas.</w:t>
      </w:r>
    </w:p>
    <w:p w:rsidR="00297E6F" w:rsidRPr="00A1542B" w:rsidRDefault="00297E6F" w:rsidP="00EE7409">
      <w:pPr>
        <w:pStyle w:val="Prrafodelista"/>
        <w:ind w:left="357"/>
        <w:jc w:val="both"/>
        <w:rPr>
          <w:rFonts w:ascii="Arial" w:eastAsia="Calibri" w:hAnsi="Arial" w:cs="Arial"/>
          <w:lang w:val="es-MX" w:eastAsia="en-US"/>
        </w:rPr>
      </w:pPr>
    </w:p>
    <w:p w:rsidR="00297E6F" w:rsidRPr="00A1542B" w:rsidRDefault="00297E6F" w:rsidP="00EE7409">
      <w:pPr>
        <w:pStyle w:val="Prrafodelista"/>
        <w:ind w:left="357"/>
        <w:jc w:val="both"/>
        <w:rPr>
          <w:rFonts w:ascii="Arial" w:eastAsia="Calibri" w:hAnsi="Arial" w:cs="Arial"/>
          <w:lang w:val="es-MX" w:eastAsia="en-US"/>
        </w:rPr>
      </w:pPr>
      <w:r w:rsidRPr="00A1542B">
        <w:rPr>
          <w:rFonts w:ascii="Arial" w:eastAsia="Calibri" w:hAnsi="Arial" w:cs="Arial"/>
          <w:lang w:val="es-MX" w:eastAsia="en-US"/>
        </w:rPr>
        <w:t xml:space="preserve">Así, en la Recomendación, la CNDH pide a la Secretaría de Economía analice la viabilidad y subsistencia de las solicitudes de autorizaciones o concesiones mineras que pongan en riesgo el área de </w:t>
      </w:r>
      <w:r w:rsidRPr="00A1542B">
        <w:rPr>
          <w:rFonts w:ascii="Arial" w:eastAsia="Calibri" w:hAnsi="Arial" w:cs="Arial"/>
          <w:i/>
          <w:iCs/>
          <w:lang w:val="es-MX" w:eastAsia="en-US"/>
        </w:rPr>
        <w:t xml:space="preserve">Wirikuta </w:t>
      </w:r>
      <w:r w:rsidRPr="00A1542B">
        <w:rPr>
          <w:rFonts w:ascii="Arial" w:eastAsia="Calibri" w:hAnsi="Arial" w:cs="Arial"/>
          <w:lang w:val="es-MX" w:eastAsia="en-US"/>
        </w:rPr>
        <w:t>y, por ende, los derechos del pueblo Wixárika; en particular, las solicitudes que aún se encuentran en trámite. Asimismo, que garantice la participación de los pueblos originarios durante el trámite y resolución de cualquier concesión o autorización minera susceptible de afectar los intereses o derechos del pueblo indígena, así como que gestione que en la normatividad aplicable en materia minera se busque incluir expresamente el proceso de consulta a los pueblos indígenas y se lleve</w:t>
      </w:r>
      <w:r w:rsidR="00875798" w:rsidRPr="00A1542B">
        <w:rPr>
          <w:rFonts w:ascii="Arial" w:eastAsia="Calibri" w:hAnsi="Arial" w:cs="Arial"/>
          <w:lang w:val="es-MX" w:eastAsia="en-US"/>
        </w:rPr>
        <w:t>n</w:t>
      </w:r>
      <w:r w:rsidRPr="00A1542B">
        <w:rPr>
          <w:rFonts w:ascii="Arial" w:eastAsia="Calibri" w:hAnsi="Arial" w:cs="Arial"/>
          <w:lang w:val="es-MX" w:eastAsia="en-US"/>
        </w:rPr>
        <w:t xml:space="preserve"> a cabo los trámites necesarios a fin de que se promueva la ratificación del Protocolo Facultativo del Pacto Internacional de Derechos Económicos, Sociales y Culturales.</w:t>
      </w:r>
    </w:p>
    <w:p w:rsidR="00297E6F" w:rsidRPr="00A1542B" w:rsidRDefault="00297E6F" w:rsidP="00EE7409">
      <w:pPr>
        <w:pStyle w:val="Prrafodelista"/>
        <w:ind w:left="357"/>
        <w:jc w:val="both"/>
        <w:rPr>
          <w:rFonts w:ascii="Arial" w:eastAsia="Calibri" w:hAnsi="Arial" w:cs="Arial"/>
          <w:lang w:val="es-MX" w:eastAsia="en-US"/>
        </w:rPr>
      </w:pPr>
    </w:p>
    <w:sectPr w:rsidR="00297E6F" w:rsidRPr="00A1542B" w:rsidSect="004652CD">
      <w:headerReference w:type="default" r:id="rId10"/>
      <w:pgSz w:w="12240" w:h="15840"/>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4DC" w:rsidRDefault="000F64DC" w:rsidP="00DA1993">
      <w:pPr>
        <w:spacing w:after="0" w:line="240" w:lineRule="auto"/>
      </w:pPr>
      <w:r>
        <w:separator/>
      </w:r>
    </w:p>
  </w:endnote>
  <w:endnote w:type="continuationSeparator" w:id="0">
    <w:p w:rsidR="000F64DC" w:rsidRDefault="000F64DC" w:rsidP="00DA1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4DC" w:rsidRDefault="000F64DC" w:rsidP="00DA1993">
      <w:pPr>
        <w:spacing w:after="0" w:line="240" w:lineRule="auto"/>
      </w:pPr>
      <w:r>
        <w:separator/>
      </w:r>
    </w:p>
  </w:footnote>
  <w:footnote w:type="continuationSeparator" w:id="0">
    <w:p w:rsidR="000F64DC" w:rsidRDefault="000F64DC" w:rsidP="00DA1993">
      <w:pPr>
        <w:spacing w:after="0" w:line="240" w:lineRule="auto"/>
      </w:pPr>
      <w:r>
        <w:continuationSeparator/>
      </w:r>
    </w:p>
  </w:footnote>
  <w:footnote w:id="1">
    <w:p w:rsidR="00297E6F" w:rsidRPr="008A31C1" w:rsidRDefault="00297E6F" w:rsidP="00297E6F">
      <w:pPr>
        <w:pStyle w:val="Textonotapie"/>
        <w:rPr>
          <w:lang w:val="es-MX"/>
        </w:rPr>
      </w:pPr>
      <w:r>
        <w:rPr>
          <w:rStyle w:val="Refdenotaalpie"/>
        </w:rPr>
        <w:footnoteRef/>
      </w:r>
      <w:r>
        <w:t xml:space="preserve"> </w:t>
      </w:r>
      <w:hyperlink r:id="rId1" w:history="1">
        <w:r w:rsidRPr="00462214">
          <w:rPr>
            <w:rStyle w:val="Hipervnculo"/>
            <w:lang w:val="es-MX"/>
          </w:rPr>
          <w:t>http://www.cndh.org.mx/sites/all/fuentes/documentos/cartillas/7%20cartilla%20pacto%20internacional%20der%20econ%C3%B3micos%20sociales%20culturales.pdf</w:t>
        </w:r>
      </w:hyperlink>
    </w:p>
  </w:footnote>
  <w:footnote w:id="2">
    <w:p w:rsidR="00297E6F" w:rsidRPr="00AD6267" w:rsidRDefault="00297E6F" w:rsidP="00297E6F">
      <w:pPr>
        <w:pStyle w:val="Textonotapie"/>
        <w:rPr>
          <w:lang w:val="es-MX"/>
        </w:rPr>
      </w:pPr>
      <w:r>
        <w:rPr>
          <w:rStyle w:val="Refdenotaalpie"/>
        </w:rPr>
        <w:footnoteRef/>
      </w:r>
      <w:r>
        <w:t xml:space="preserve"> </w:t>
      </w:r>
      <w:hyperlink r:id="rId2" w:history="1">
        <w:r w:rsidRPr="004828C7">
          <w:rPr>
            <w:rStyle w:val="Hipervnculo"/>
          </w:rPr>
          <w:t>http://www.cndh.org.mx/sites/all/fuentes/documentos/programas/mujer/10_InformesEspeciales/10.5/10.5.pdf</w:t>
        </w:r>
      </w:hyperlink>
    </w:p>
  </w:footnote>
  <w:footnote w:id="3">
    <w:p w:rsidR="00297E6F" w:rsidRPr="00FC1570" w:rsidRDefault="00297E6F" w:rsidP="00297E6F">
      <w:pPr>
        <w:pStyle w:val="Textonotapie"/>
        <w:rPr>
          <w:lang w:val="es-MX"/>
        </w:rPr>
      </w:pPr>
      <w:r>
        <w:rPr>
          <w:rStyle w:val="Refdenotaalpie"/>
        </w:rPr>
        <w:footnoteRef/>
      </w:r>
      <w:r>
        <w:t xml:space="preserve"> </w:t>
      </w:r>
      <w:hyperlink r:id="rId3" w:history="1">
        <w:r w:rsidRPr="004828C7">
          <w:rPr>
            <w:rStyle w:val="Hipervnculo"/>
          </w:rPr>
          <w:t>http://www.cndh.org.mx/sites/all/fuentes/documentos/programas/igualdad/2_1_3.pdf</w:t>
        </w:r>
      </w:hyperlink>
    </w:p>
  </w:footnote>
  <w:footnote w:id="4">
    <w:p w:rsidR="00297E6F" w:rsidRPr="00D80226" w:rsidRDefault="00297E6F" w:rsidP="00297E6F">
      <w:pPr>
        <w:pStyle w:val="Textonotapie"/>
        <w:rPr>
          <w:lang w:val="es-MX"/>
        </w:rPr>
      </w:pPr>
      <w:r>
        <w:rPr>
          <w:rStyle w:val="Refdenotaalpie"/>
        </w:rPr>
        <w:footnoteRef/>
      </w:r>
      <w:r>
        <w:t xml:space="preserve"> </w:t>
      </w:r>
      <w:hyperlink r:id="rId4" w:history="1">
        <w:r w:rsidRPr="00654345">
          <w:rPr>
            <w:rStyle w:val="Hipervnculo"/>
          </w:rPr>
          <w:t>http://www.cndh.org.mx/sites/all/fuentes/documentos/informes/especiales/2010_homofobia.pdf</w:t>
        </w:r>
      </w:hyperlink>
    </w:p>
  </w:footnote>
  <w:footnote w:id="5">
    <w:p w:rsidR="00491947" w:rsidRPr="000332EB" w:rsidRDefault="00491947" w:rsidP="00B5482D">
      <w:pPr>
        <w:pStyle w:val="Textonotapie"/>
        <w:jc w:val="both"/>
        <w:rPr>
          <w:lang w:val="es-MX"/>
        </w:rPr>
      </w:pPr>
      <w:r w:rsidRPr="00B5482D">
        <w:rPr>
          <w:rStyle w:val="Refdenotaalpie"/>
          <w:color w:val="000000" w:themeColor="text1"/>
        </w:rPr>
        <w:footnoteRef/>
      </w:r>
      <w:r w:rsidRPr="00B5482D">
        <w:rPr>
          <w:color w:val="000000" w:themeColor="text1"/>
        </w:rPr>
        <w:t xml:space="preserve"> Se retoma información del documento </w:t>
      </w:r>
      <w:r w:rsidRPr="00B5482D">
        <w:rPr>
          <w:color w:val="000000" w:themeColor="text1"/>
          <w:lang w:val="es-MX"/>
        </w:rPr>
        <w:t>“La Comisión Nacional de los Derechos Humanos y la Defensa, Protección y Promoción del Derecho a la Consulta Previa de los Pueblos Indígenas en México”,</w:t>
      </w:r>
      <w:r w:rsidR="000A3291">
        <w:rPr>
          <w:color w:val="000000" w:themeColor="text1"/>
          <w:lang w:val="es-MX"/>
        </w:rPr>
        <w:t xml:space="preserve"> </w:t>
      </w:r>
      <w:r w:rsidRPr="00B5482D">
        <w:rPr>
          <w:color w:val="000000" w:themeColor="text1"/>
          <w:lang w:val="es-MX"/>
        </w:rPr>
        <w:t xml:space="preserve">presentado en el Encuentro Extraordinario de la FIO sobre </w:t>
      </w:r>
      <w:r w:rsidR="000E5377">
        <w:rPr>
          <w:color w:val="000000" w:themeColor="text1"/>
          <w:lang w:val="es-MX"/>
        </w:rPr>
        <w:t>e</w:t>
      </w:r>
      <w:r w:rsidRPr="00B5482D">
        <w:rPr>
          <w:color w:val="000000" w:themeColor="text1"/>
          <w:lang w:val="es-MX"/>
        </w:rPr>
        <w:t>l Derecho a la Consulta Previa a los Pueblos Indígenas: el Rol de los Ombudsman en América Latina. Participación de la CNDH</w:t>
      </w:r>
      <w:r w:rsidR="00410422">
        <w:rPr>
          <w:color w:val="000000" w:themeColor="text1"/>
          <w:lang w:val="es-MX"/>
        </w:rPr>
        <w:t>,</w:t>
      </w:r>
      <w:r w:rsidRPr="00B5482D">
        <w:rPr>
          <w:color w:val="000000" w:themeColor="text1"/>
          <w:lang w:val="es-MX"/>
        </w:rPr>
        <w:t xml:space="preserve"> Lima, Perú, 25 </w:t>
      </w:r>
      <w:r w:rsidR="00B5482D">
        <w:rPr>
          <w:color w:val="000000" w:themeColor="text1"/>
          <w:lang w:val="es-MX"/>
        </w:rPr>
        <w:t>y</w:t>
      </w:r>
      <w:r w:rsidRPr="00B5482D">
        <w:rPr>
          <w:color w:val="000000" w:themeColor="text1"/>
          <w:lang w:val="es-MX"/>
        </w:rPr>
        <w:t xml:space="preserve"> 26 de abril de 2013</w:t>
      </w:r>
      <w:r w:rsidR="00B5482D">
        <w:rPr>
          <w:color w:val="000000" w:themeColor="text1"/>
          <w:lang w:val="es-MX"/>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7394777"/>
      <w:docPartObj>
        <w:docPartGallery w:val="Page Numbers (Top of Page)"/>
        <w:docPartUnique/>
      </w:docPartObj>
    </w:sdtPr>
    <w:sdtEndPr/>
    <w:sdtContent>
      <w:p w:rsidR="00DA1993" w:rsidRDefault="00DA1993">
        <w:pPr>
          <w:pStyle w:val="Encabezado"/>
          <w:jc w:val="center"/>
        </w:pPr>
        <w:r>
          <w:fldChar w:fldCharType="begin"/>
        </w:r>
        <w:r>
          <w:instrText>PAGE   \* MERGEFORMAT</w:instrText>
        </w:r>
        <w:r>
          <w:fldChar w:fldCharType="separate"/>
        </w:r>
        <w:r w:rsidR="00D978AA" w:rsidRPr="00D978AA">
          <w:rPr>
            <w:noProof/>
            <w:lang w:val="es-ES"/>
          </w:rPr>
          <w:t>16</w:t>
        </w:r>
        <w:r>
          <w:fldChar w:fldCharType="end"/>
        </w:r>
      </w:p>
    </w:sdtContent>
  </w:sdt>
  <w:p w:rsidR="00DA1993" w:rsidRDefault="00DA19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612D5"/>
    <w:multiLevelType w:val="hybridMultilevel"/>
    <w:tmpl w:val="730C2D1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290F5D91"/>
    <w:multiLevelType w:val="hybridMultilevel"/>
    <w:tmpl w:val="7CC410B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2B4A6AF0"/>
    <w:multiLevelType w:val="hybridMultilevel"/>
    <w:tmpl w:val="14045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4373E8"/>
    <w:multiLevelType w:val="hybridMultilevel"/>
    <w:tmpl w:val="A100FA4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47F832A5"/>
    <w:multiLevelType w:val="hybridMultilevel"/>
    <w:tmpl w:val="731C78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4D60281B"/>
    <w:multiLevelType w:val="hybridMultilevel"/>
    <w:tmpl w:val="8DC2CB36"/>
    <w:lvl w:ilvl="0" w:tplc="335809E2">
      <w:start w:val="1"/>
      <w:numFmt w:val="lowerLetter"/>
      <w:lvlText w:val="%1)"/>
      <w:lvlJc w:val="left"/>
      <w:pPr>
        <w:ind w:left="9149" w:hanging="360"/>
      </w:pPr>
      <w:rPr>
        <w:rFonts w:hint="default"/>
      </w:rPr>
    </w:lvl>
    <w:lvl w:ilvl="1" w:tplc="080A0019" w:tentative="1">
      <w:start w:val="1"/>
      <w:numFmt w:val="lowerLetter"/>
      <w:lvlText w:val="%2."/>
      <w:lvlJc w:val="left"/>
      <w:pPr>
        <w:ind w:left="9869" w:hanging="360"/>
      </w:pPr>
    </w:lvl>
    <w:lvl w:ilvl="2" w:tplc="080A001B" w:tentative="1">
      <w:start w:val="1"/>
      <w:numFmt w:val="lowerRoman"/>
      <w:lvlText w:val="%3."/>
      <w:lvlJc w:val="right"/>
      <w:pPr>
        <w:ind w:left="10589" w:hanging="180"/>
      </w:pPr>
    </w:lvl>
    <w:lvl w:ilvl="3" w:tplc="080A000F" w:tentative="1">
      <w:start w:val="1"/>
      <w:numFmt w:val="decimal"/>
      <w:lvlText w:val="%4."/>
      <w:lvlJc w:val="left"/>
      <w:pPr>
        <w:ind w:left="11309" w:hanging="360"/>
      </w:pPr>
    </w:lvl>
    <w:lvl w:ilvl="4" w:tplc="080A0019" w:tentative="1">
      <w:start w:val="1"/>
      <w:numFmt w:val="lowerLetter"/>
      <w:lvlText w:val="%5."/>
      <w:lvlJc w:val="left"/>
      <w:pPr>
        <w:ind w:left="12029" w:hanging="360"/>
      </w:pPr>
    </w:lvl>
    <w:lvl w:ilvl="5" w:tplc="080A001B" w:tentative="1">
      <w:start w:val="1"/>
      <w:numFmt w:val="lowerRoman"/>
      <w:lvlText w:val="%6."/>
      <w:lvlJc w:val="right"/>
      <w:pPr>
        <w:ind w:left="12749" w:hanging="180"/>
      </w:pPr>
    </w:lvl>
    <w:lvl w:ilvl="6" w:tplc="080A000F" w:tentative="1">
      <w:start w:val="1"/>
      <w:numFmt w:val="decimal"/>
      <w:lvlText w:val="%7."/>
      <w:lvlJc w:val="left"/>
      <w:pPr>
        <w:ind w:left="13469" w:hanging="360"/>
      </w:pPr>
    </w:lvl>
    <w:lvl w:ilvl="7" w:tplc="080A0019" w:tentative="1">
      <w:start w:val="1"/>
      <w:numFmt w:val="lowerLetter"/>
      <w:lvlText w:val="%8."/>
      <w:lvlJc w:val="left"/>
      <w:pPr>
        <w:ind w:left="14189" w:hanging="360"/>
      </w:pPr>
    </w:lvl>
    <w:lvl w:ilvl="8" w:tplc="080A001B" w:tentative="1">
      <w:start w:val="1"/>
      <w:numFmt w:val="lowerRoman"/>
      <w:lvlText w:val="%9."/>
      <w:lvlJc w:val="right"/>
      <w:pPr>
        <w:ind w:left="14909" w:hanging="180"/>
      </w:pPr>
    </w:lvl>
  </w:abstractNum>
  <w:abstractNum w:abstractNumId="6">
    <w:nsid w:val="508C4553"/>
    <w:multiLevelType w:val="hybridMultilevel"/>
    <w:tmpl w:val="A4A841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6879256E"/>
    <w:multiLevelType w:val="hybridMultilevel"/>
    <w:tmpl w:val="172A0B1A"/>
    <w:lvl w:ilvl="0" w:tplc="B9FCABAA">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
    <w:nsid w:val="69E430C1"/>
    <w:multiLevelType w:val="hybridMultilevel"/>
    <w:tmpl w:val="83AB73F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6AA229A1"/>
    <w:multiLevelType w:val="hybridMultilevel"/>
    <w:tmpl w:val="A100FA4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70831A6E"/>
    <w:multiLevelType w:val="hybridMultilevel"/>
    <w:tmpl w:val="6956971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8"/>
  </w:num>
  <w:num w:numId="3">
    <w:abstractNumId w:val="1"/>
  </w:num>
  <w:num w:numId="4">
    <w:abstractNumId w:val="4"/>
  </w:num>
  <w:num w:numId="5">
    <w:abstractNumId w:val="6"/>
  </w:num>
  <w:num w:numId="6">
    <w:abstractNumId w:val="10"/>
  </w:num>
  <w:num w:numId="7">
    <w:abstractNumId w:val="0"/>
  </w:num>
  <w:num w:numId="8">
    <w:abstractNumId w:val="7"/>
  </w:num>
  <w:num w:numId="9">
    <w:abstractNumId w:val="5"/>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919"/>
    <w:rsid w:val="00000064"/>
    <w:rsid w:val="00001A1C"/>
    <w:rsid w:val="00002972"/>
    <w:rsid w:val="00003F4C"/>
    <w:rsid w:val="000052DE"/>
    <w:rsid w:val="000074B4"/>
    <w:rsid w:val="0001253B"/>
    <w:rsid w:val="00013581"/>
    <w:rsid w:val="00014C0F"/>
    <w:rsid w:val="00020850"/>
    <w:rsid w:val="00027B6B"/>
    <w:rsid w:val="00031B5E"/>
    <w:rsid w:val="00052DB9"/>
    <w:rsid w:val="00054315"/>
    <w:rsid w:val="00054323"/>
    <w:rsid w:val="00055F2B"/>
    <w:rsid w:val="00083347"/>
    <w:rsid w:val="000952E2"/>
    <w:rsid w:val="00097B0B"/>
    <w:rsid w:val="000A1031"/>
    <w:rsid w:val="000A3291"/>
    <w:rsid w:val="000A6B17"/>
    <w:rsid w:val="000B1FE2"/>
    <w:rsid w:val="000C5B70"/>
    <w:rsid w:val="000D3496"/>
    <w:rsid w:val="000D5015"/>
    <w:rsid w:val="000E07AB"/>
    <w:rsid w:val="000E5377"/>
    <w:rsid w:val="000F2858"/>
    <w:rsid w:val="000F4601"/>
    <w:rsid w:val="000F6069"/>
    <w:rsid w:val="000F64DC"/>
    <w:rsid w:val="000F7938"/>
    <w:rsid w:val="00106F45"/>
    <w:rsid w:val="00111167"/>
    <w:rsid w:val="0013769F"/>
    <w:rsid w:val="0014298A"/>
    <w:rsid w:val="00157F1D"/>
    <w:rsid w:val="00162E73"/>
    <w:rsid w:val="00163C43"/>
    <w:rsid w:val="00166D34"/>
    <w:rsid w:val="001764B2"/>
    <w:rsid w:val="00181A43"/>
    <w:rsid w:val="00186E88"/>
    <w:rsid w:val="00192D76"/>
    <w:rsid w:val="00193348"/>
    <w:rsid w:val="001A17E0"/>
    <w:rsid w:val="001A2084"/>
    <w:rsid w:val="001A6571"/>
    <w:rsid w:val="001B53BC"/>
    <w:rsid w:val="001D2395"/>
    <w:rsid w:val="001E240E"/>
    <w:rsid w:val="001F118A"/>
    <w:rsid w:val="001F4927"/>
    <w:rsid w:val="001F4BEA"/>
    <w:rsid w:val="00202A05"/>
    <w:rsid w:val="002115D4"/>
    <w:rsid w:val="002137BC"/>
    <w:rsid w:val="00214098"/>
    <w:rsid w:val="0027265C"/>
    <w:rsid w:val="002765EB"/>
    <w:rsid w:val="0028011A"/>
    <w:rsid w:val="00281DB2"/>
    <w:rsid w:val="00286498"/>
    <w:rsid w:val="00290898"/>
    <w:rsid w:val="00292801"/>
    <w:rsid w:val="002948C0"/>
    <w:rsid w:val="00297E6F"/>
    <w:rsid w:val="002A39BB"/>
    <w:rsid w:val="002C0102"/>
    <w:rsid w:val="002C3A98"/>
    <w:rsid w:val="002D5683"/>
    <w:rsid w:val="002E09CE"/>
    <w:rsid w:val="002F1E4A"/>
    <w:rsid w:val="00300422"/>
    <w:rsid w:val="00306C32"/>
    <w:rsid w:val="003128BF"/>
    <w:rsid w:val="00332234"/>
    <w:rsid w:val="00335A0A"/>
    <w:rsid w:val="00352B46"/>
    <w:rsid w:val="00355A08"/>
    <w:rsid w:val="00365837"/>
    <w:rsid w:val="00374459"/>
    <w:rsid w:val="003764D9"/>
    <w:rsid w:val="003778E9"/>
    <w:rsid w:val="00381283"/>
    <w:rsid w:val="00387446"/>
    <w:rsid w:val="00391236"/>
    <w:rsid w:val="00394BDC"/>
    <w:rsid w:val="003C18D0"/>
    <w:rsid w:val="003E0AFC"/>
    <w:rsid w:val="003E22EC"/>
    <w:rsid w:val="00403C94"/>
    <w:rsid w:val="00406FED"/>
    <w:rsid w:val="00410422"/>
    <w:rsid w:val="0041205F"/>
    <w:rsid w:val="0044063D"/>
    <w:rsid w:val="00441ED5"/>
    <w:rsid w:val="00442CBB"/>
    <w:rsid w:val="0045097B"/>
    <w:rsid w:val="00451624"/>
    <w:rsid w:val="0045353A"/>
    <w:rsid w:val="00464C4A"/>
    <w:rsid w:val="004652CD"/>
    <w:rsid w:val="00473BF5"/>
    <w:rsid w:val="00474154"/>
    <w:rsid w:val="004775D7"/>
    <w:rsid w:val="00480C78"/>
    <w:rsid w:val="00482EFD"/>
    <w:rsid w:val="004909A1"/>
    <w:rsid w:val="00491947"/>
    <w:rsid w:val="004A26A2"/>
    <w:rsid w:val="004A626D"/>
    <w:rsid w:val="004D51FD"/>
    <w:rsid w:val="004E092A"/>
    <w:rsid w:val="004E4A8D"/>
    <w:rsid w:val="004E4D9B"/>
    <w:rsid w:val="004E69CD"/>
    <w:rsid w:val="004F1919"/>
    <w:rsid w:val="004F5171"/>
    <w:rsid w:val="004F51D0"/>
    <w:rsid w:val="00502BAA"/>
    <w:rsid w:val="00506654"/>
    <w:rsid w:val="00506855"/>
    <w:rsid w:val="00513C4E"/>
    <w:rsid w:val="00516965"/>
    <w:rsid w:val="005352B9"/>
    <w:rsid w:val="00542139"/>
    <w:rsid w:val="00546907"/>
    <w:rsid w:val="00551972"/>
    <w:rsid w:val="005920A4"/>
    <w:rsid w:val="005A34A8"/>
    <w:rsid w:val="005A4681"/>
    <w:rsid w:val="005B680B"/>
    <w:rsid w:val="005D3D72"/>
    <w:rsid w:val="005E682E"/>
    <w:rsid w:val="005E7B78"/>
    <w:rsid w:val="00607CF9"/>
    <w:rsid w:val="006148CE"/>
    <w:rsid w:val="006278BE"/>
    <w:rsid w:val="006465B1"/>
    <w:rsid w:val="00655FCB"/>
    <w:rsid w:val="0065664F"/>
    <w:rsid w:val="00672D37"/>
    <w:rsid w:val="00673FDB"/>
    <w:rsid w:val="00683E36"/>
    <w:rsid w:val="00686750"/>
    <w:rsid w:val="006A1E9D"/>
    <w:rsid w:val="006C03B9"/>
    <w:rsid w:val="006C0931"/>
    <w:rsid w:val="006C1DC1"/>
    <w:rsid w:val="006D04AD"/>
    <w:rsid w:val="006D0588"/>
    <w:rsid w:val="006D0B75"/>
    <w:rsid w:val="006D28F4"/>
    <w:rsid w:val="006D30B5"/>
    <w:rsid w:val="006E001F"/>
    <w:rsid w:val="006F7AB8"/>
    <w:rsid w:val="007065DB"/>
    <w:rsid w:val="00720637"/>
    <w:rsid w:val="00726D07"/>
    <w:rsid w:val="0073466D"/>
    <w:rsid w:val="0073696D"/>
    <w:rsid w:val="00736C3D"/>
    <w:rsid w:val="00737880"/>
    <w:rsid w:val="0075057B"/>
    <w:rsid w:val="00756A89"/>
    <w:rsid w:val="00773E43"/>
    <w:rsid w:val="007763ED"/>
    <w:rsid w:val="00783F9C"/>
    <w:rsid w:val="007931A8"/>
    <w:rsid w:val="00793B1A"/>
    <w:rsid w:val="007A357D"/>
    <w:rsid w:val="007B4970"/>
    <w:rsid w:val="007C1475"/>
    <w:rsid w:val="007C1979"/>
    <w:rsid w:val="007D1093"/>
    <w:rsid w:val="007D1B27"/>
    <w:rsid w:val="007E1647"/>
    <w:rsid w:val="007E5333"/>
    <w:rsid w:val="007F4BCD"/>
    <w:rsid w:val="007F55B5"/>
    <w:rsid w:val="00807209"/>
    <w:rsid w:val="0083096B"/>
    <w:rsid w:val="00842E84"/>
    <w:rsid w:val="00844512"/>
    <w:rsid w:val="00854841"/>
    <w:rsid w:val="00861379"/>
    <w:rsid w:val="00865148"/>
    <w:rsid w:val="00875798"/>
    <w:rsid w:val="008868B3"/>
    <w:rsid w:val="00890977"/>
    <w:rsid w:val="0089318D"/>
    <w:rsid w:val="008976AF"/>
    <w:rsid w:val="008B1FD9"/>
    <w:rsid w:val="008B4F43"/>
    <w:rsid w:val="008B7298"/>
    <w:rsid w:val="008E78A0"/>
    <w:rsid w:val="008F545A"/>
    <w:rsid w:val="009012FE"/>
    <w:rsid w:val="00904A1B"/>
    <w:rsid w:val="009176FA"/>
    <w:rsid w:val="009314D7"/>
    <w:rsid w:val="009318B2"/>
    <w:rsid w:val="00934029"/>
    <w:rsid w:val="00943412"/>
    <w:rsid w:val="00960D41"/>
    <w:rsid w:val="00963856"/>
    <w:rsid w:val="00970262"/>
    <w:rsid w:val="00974238"/>
    <w:rsid w:val="00977446"/>
    <w:rsid w:val="00986AD8"/>
    <w:rsid w:val="009877A0"/>
    <w:rsid w:val="009A2B70"/>
    <w:rsid w:val="009C6FD6"/>
    <w:rsid w:val="009E03E4"/>
    <w:rsid w:val="009E5575"/>
    <w:rsid w:val="009F6E56"/>
    <w:rsid w:val="00A014A3"/>
    <w:rsid w:val="00A05C1B"/>
    <w:rsid w:val="00A12883"/>
    <w:rsid w:val="00A134DE"/>
    <w:rsid w:val="00A1542B"/>
    <w:rsid w:val="00A2289F"/>
    <w:rsid w:val="00A308B9"/>
    <w:rsid w:val="00A42A4F"/>
    <w:rsid w:val="00A54E4A"/>
    <w:rsid w:val="00A6102F"/>
    <w:rsid w:val="00A6765A"/>
    <w:rsid w:val="00A912B2"/>
    <w:rsid w:val="00A93A22"/>
    <w:rsid w:val="00AC6749"/>
    <w:rsid w:val="00AC6AD1"/>
    <w:rsid w:val="00AC6C0E"/>
    <w:rsid w:val="00AD7CBA"/>
    <w:rsid w:val="00AE0EDD"/>
    <w:rsid w:val="00AE149F"/>
    <w:rsid w:val="00AE4B71"/>
    <w:rsid w:val="00AE4E1B"/>
    <w:rsid w:val="00AF0F07"/>
    <w:rsid w:val="00AF1ED1"/>
    <w:rsid w:val="00AF61E7"/>
    <w:rsid w:val="00B04320"/>
    <w:rsid w:val="00B05424"/>
    <w:rsid w:val="00B10703"/>
    <w:rsid w:val="00B1446C"/>
    <w:rsid w:val="00B45C79"/>
    <w:rsid w:val="00B509C5"/>
    <w:rsid w:val="00B5482D"/>
    <w:rsid w:val="00B6377E"/>
    <w:rsid w:val="00B64788"/>
    <w:rsid w:val="00B67D47"/>
    <w:rsid w:val="00B73AB5"/>
    <w:rsid w:val="00B755E7"/>
    <w:rsid w:val="00BA32E0"/>
    <w:rsid w:val="00BB5553"/>
    <w:rsid w:val="00BC2AF1"/>
    <w:rsid w:val="00BE092D"/>
    <w:rsid w:val="00BF552B"/>
    <w:rsid w:val="00C00A49"/>
    <w:rsid w:val="00C0524C"/>
    <w:rsid w:val="00C07046"/>
    <w:rsid w:val="00C15518"/>
    <w:rsid w:val="00C1786D"/>
    <w:rsid w:val="00C17928"/>
    <w:rsid w:val="00C419C0"/>
    <w:rsid w:val="00C50BCE"/>
    <w:rsid w:val="00C56DBF"/>
    <w:rsid w:val="00C60287"/>
    <w:rsid w:val="00C77DF1"/>
    <w:rsid w:val="00C77EEB"/>
    <w:rsid w:val="00C87330"/>
    <w:rsid w:val="00C93309"/>
    <w:rsid w:val="00C967D3"/>
    <w:rsid w:val="00CA7793"/>
    <w:rsid w:val="00CA7D05"/>
    <w:rsid w:val="00CB1817"/>
    <w:rsid w:val="00CC284E"/>
    <w:rsid w:val="00CD2349"/>
    <w:rsid w:val="00CD761D"/>
    <w:rsid w:val="00CE00F1"/>
    <w:rsid w:val="00CE7392"/>
    <w:rsid w:val="00CF4D9D"/>
    <w:rsid w:val="00CF69FA"/>
    <w:rsid w:val="00D0600F"/>
    <w:rsid w:val="00D271B6"/>
    <w:rsid w:val="00D3139B"/>
    <w:rsid w:val="00D326DA"/>
    <w:rsid w:val="00D416DB"/>
    <w:rsid w:val="00D439A3"/>
    <w:rsid w:val="00D47E62"/>
    <w:rsid w:val="00D572A2"/>
    <w:rsid w:val="00D608C0"/>
    <w:rsid w:val="00D65528"/>
    <w:rsid w:val="00D740F3"/>
    <w:rsid w:val="00D82C46"/>
    <w:rsid w:val="00D87867"/>
    <w:rsid w:val="00D92377"/>
    <w:rsid w:val="00D978AA"/>
    <w:rsid w:val="00D97E86"/>
    <w:rsid w:val="00DA1993"/>
    <w:rsid w:val="00DB5F77"/>
    <w:rsid w:val="00DC474D"/>
    <w:rsid w:val="00DD1497"/>
    <w:rsid w:val="00DD1DDC"/>
    <w:rsid w:val="00DD3D94"/>
    <w:rsid w:val="00DD40AA"/>
    <w:rsid w:val="00DD6852"/>
    <w:rsid w:val="00E359E9"/>
    <w:rsid w:val="00E4093F"/>
    <w:rsid w:val="00E41AB7"/>
    <w:rsid w:val="00E43A86"/>
    <w:rsid w:val="00E5112C"/>
    <w:rsid w:val="00E51212"/>
    <w:rsid w:val="00E51FA2"/>
    <w:rsid w:val="00E5247D"/>
    <w:rsid w:val="00E52BA4"/>
    <w:rsid w:val="00E54D7C"/>
    <w:rsid w:val="00E6022A"/>
    <w:rsid w:val="00E6547B"/>
    <w:rsid w:val="00E87F66"/>
    <w:rsid w:val="00E93F47"/>
    <w:rsid w:val="00E94F3D"/>
    <w:rsid w:val="00EA0AF0"/>
    <w:rsid w:val="00EB1C59"/>
    <w:rsid w:val="00EB2861"/>
    <w:rsid w:val="00EB4159"/>
    <w:rsid w:val="00EC66F7"/>
    <w:rsid w:val="00ED12A7"/>
    <w:rsid w:val="00ED1DB6"/>
    <w:rsid w:val="00EE7409"/>
    <w:rsid w:val="00EF6940"/>
    <w:rsid w:val="00F11DBF"/>
    <w:rsid w:val="00F16170"/>
    <w:rsid w:val="00F41831"/>
    <w:rsid w:val="00F61460"/>
    <w:rsid w:val="00F7079F"/>
    <w:rsid w:val="00F84BAE"/>
    <w:rsid w:val="00FB12B1"/>
    <w:rsid w:val="00FB4AC2"/>
    <w:rsid w:val="00FB54F0"/>
    <w:rsid w:val="00FC1D72"/>
    <w:rsid w:val="00FD1F92"/>
    <w:rsid w:val="00FD6208"/>
    <w:rsid w:val="00FF1B78"/>
    <w:rsid w:val="00FF25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919"/>
    <w:rPr>
      <w:rFonts w:ascii="Calibri" w:hAnsi="Calibri" w:cs="Calibri"/>
      <w:lang w:eastAsia="es-MX"/>
    </w:rPr>
  </w:style>
  <w:style w:type="paragraph" w:styleId="Ttulo1">
    <w:name w:val="heading 1"/>
    <w:basedOn w:val="Normal"/>
    <w:next w:val="Normal"/>
    <w:link w:val="Ttulo1Car"/>
    <w:qFormat/>
    <w:rsid w:val="004F1919"/>
    <w:pPr>
      <w:keepNext/>
      <w:tabs>
        <w:tab w:val="left" w:pos="4536"/>
      </w:tabs>
      <w:overflowPunct w:val="0"/>
      <w:autoSpaceDE w:val="0"/>
      <w:autoSpaceDN w:val="0"/>
      <w:adjustRightInd w:val="0"/>
      <w:spacing w:after="0" w:line="240" w:lineRule="auto"/>
      <w:ind w:left="4536"/>
      <w:textAlignment w:val="baseline"/>
      <w:outlineLvl w:val="0"/>
    </w:pPr>
    <w:rPr>
      <w:rFonts w:ascii="CG Times" w:eastAsia="Times New Roman" w:hAnsi="CG Times" w:cs="Times New Roman"/>
      <w:b/>
      <w:sz w:val="24"/>
      <w:szCs w:val="20"/>
      <w:lang w:val="es-ES" w:eastAsia="es-ES"/>
    </w:rPr>
  </w:style>
  <w:style w:type="paragraph" w:styleId="Ttulo2">
    <w:name w:val="heading 2"/>
    <w:basedOn w:val="Normal"/>
    <w:next w:val="Normal"/>
    <w:link w:val="Ttulo2Car"/>
    <w:qFormat/>
    <w:rsid w:val="004F1919"/>
    <w:pPr>
      <w:keepNext/>
      <w:spacing w:after="0" w:line="240" w:lineRule="auto"/>
      <w:jc w:val="both"/>
      <w:outlineLvl w:val="1"/>
    </w:pPr>
    <w:rPr>
      <w:rFonts w:ascii="Arial" w:eastAsia="Times New Roman" w:hAnsi="Arial" w:cs="Arial"/>
      <w:b/>
      <w:bCs/>
      <w:sz w:val="24"/>
      <w:szCs w:val="24"/>
      <w:lang w:val="es-ES" w:eastAsia="es-ES"/>
    </w:rPr>
  </w:style>
  <w:style w:type="paragraph" w:styleId="Ttulo3">
    <w:name w:val="heading 3"/>
    <w:basedOn w:val="Normal"/>
    <w:next w:val="Normal"/>
    <w:link w:val="Ttulo3Car"/>
    <w:uiPriority w:val="9"/>
    <w:semiHidden/>
    <w:unhideWhenUsed/>
    <w:qFormat/>
    <w:rsid w:val="00FB54F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F1919"/>
    <w:rPr>
      <w:rFonts w:ascii="CG Times" w:eastAsia="Times New Roman" w:hAnsi="CG Times" w:cs="Times New Roman"/>
      <w:b/>
      <w:sz w:val="24"/>
      <w:szCs w:val="20"/>
      <w:lang w:val="es-ES" w:eastAsia="es-ES"/>
    </w:rPr>
  </w:style>
  <w:style w:type="character" w:customStyle="1" w:styleId="Ttulo2Car">
    <w:name w:val="Título 2 Car"/>
    <w:basedOn w:val="Fuentedeprrafopredeter"/>
    <w:link w:val="Ttulo2"/>
    <w:rsid w:val="004F1919"/>
    <w:rPr>
      <w:rFonts w:ascii="Arial" w:eastAsia="Times New Roman" w:hAnsi="Arial" w:cs="Arial"/>
      <w:b/>
      <w:bCs/>
      <w:sz w:val="24"/>
      <w:szCs w:val="24"/>
      <w:lang w:val="es-ES" w:eastAsia="es-ES"/>
    </w:rPr>
  </w:style>
  <w:style w:type="paragraph" w:styleId="NormalWeb">
    <w:name w:val="Normal (Web)"/>
    <w:basedOn w:val="Normal"/>
    <w:uiPriority w:val="99"/>
    <w:rsid w:val="004F191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3Car">
    <w:name w:val="Título 3 Car"/>
    <w:basedOn w:val="Fuentedeprrafopredeter"/>
    <w:link w:val="Ttulo3"/>
    <w:uiPriority w:val="9"/>
    <w:semiHidden/>
    <w:rsid w:val="00FB54F0"/>
    <w:rPr>
      <w:rFonts w:asciiTheme="majorHAnsi" w:eastAsiaTheme="majorEastAsia" w:hAnsiTheme="majorHAnsi" w:cstheme="majorBidi"/>
      <w:b/>
      <w:bCs/>
      <w:color w:val="4F81BD" w:themeColor="accent1"/>
      <w:lang w:eastAsia="es-MX"/>
    </w:rPr>
  </w:style>
  <w:style w:type="paragraph" w:styleId="Encabezado">
    <w:name w:val="header"/>
    <w:basedOn w:val="Normal"/>
    <w:link w:val="EncabezadoCar"/>
    <w:uiPriority w:val="99"/>
    <w:unhideWhenUsed/>
    <w:rsid w:val="00DA199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A1993"/>
    <w:rPr>
      <w:rFonts w:ascii="Calibri" w:hAnsi="Calibri" w:cs="Calibri"/>
      <w:lang w:eastAsia="es-MX"/>
    </w:rPr>
  </w:style>
  <w:style w:type="paragraph" w:styleId="Piedepgina">
    <w:name w:val="footer"/>
    <w:basedOn w:val="Normal"/>
    <w:link w:val="PiedepginaCar"/>
    <w:uiPriority w:val="99"/>
    <w:unhideWhenUsed/>
    <w:rsid w:val="00DA19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A1993"/>
    <w:rPr>
      <w:rFonts w:ascii="Calibri" w:hAnsi="Calibri" w:cs="Calibri"/>
      <w:lang w:eastAsia="es-MX"/>
    </w:rPr>
  </w:style>
  <w:style w:type="paragraph" w:styleId="Textodeglobo">
    <w:name w:val="Balloon Text"/>
    <w:basedOn w:val="Normal"/>
    <w:link w:val="TextodegloboCar"/>
    <w:uiPriority w:val="99"/>
    <w:semiHidden/>
    <w:unhideWhenUsed/>
    <w:rsid w:val="009318B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318B2"/>
    <w:rPr>
      <w:rFonts w:ascii="Tahoma" w:hAnsi="Tahoma" w:cs="Tahoma"/>
      <w:sz w:val="16"/>
      <w:szCs w:val="16"/>
      <w:lang w:eastAsia="es-MX"/>
    </w:rPr>
  </w:style>
  <w:style w:type="paragraph" w:customStyle="1" w:styleId="Default">
    <w:name w:val="Default"/>
    <w:rsid w:val="00D82C46"/>
    <w:pPr>
      <w:autoSpaceDE w:val="0"/>
      <w:autoSpaceDN w:val="0"/>
      <w:adjustRightInd w:val="0"/>
      <w:spacing w:after="0" w:line="240" w:lineRule="auto"/>
    </w:pPr>
    <w:rPr>
      <w:rFonts w:ascii="Arial" w:hAnsi="Arial" w:cs="Arial"/>
      <w:color w:val="000000"/>
      <w:sz w:val="24"/>
      <w:szCs w:val="24"/>
    </w:rPr>
  </w:style>
  <w:style w:type="paragraph" w:customStyle="1" w:styleId="ANOTACION">
    <w:name w:val="ANOTACION"/>
    <w:basedOn w:val="Normal"/>
    <w:link w:val="ANOTACIONCar"/>
    <w:rsid w:val="00E52BA4"/>
    <w:pPr>
      <w:spacing w:before="101" w:after="101" w:line="216" w:lineRule="atLeast"/>
      <w:jc w:val="center"/>
    </w:pPr>
    <w:rPr>
      <w:rFonts w:ascii="Times New Roman" w:eastAsia="Times New Roman" w:hAnsi="Times New Roman" w:cs="Times New Roman"/>
      <w:b/>
      <w:sz w:val="18"/>
      <w:szCs w:val="20"/>
      <w:lang w:val="es-ES_tradnl" w:eastAsia="es-ES"/>
    </w:rPr>
  </w:style>
  <w:style w:type="character" w:customStyle="1" w:styleId="ANOTACIONCar">
    <w:name w:val="ANOTACION Car"/>
    <w:link w:val="ANOTACION"/>
    <w:locked/>
    <w:rsid w:val="00E52BA4"/>
    <w:rPr>
      <w:rFonts w:ascii="Times New Roman" w:eastAsia="Times New Roman" w:hAnsi="Times New Roman" w:cs="Times New Roman"/>
      <w:b/>
      <w:sz w:val="18"/>
      <w:szCs w:val="20"/>
      <w:lang w:val="es-ES_tradnl" w:eastAsia="es-ES"/>
    </w:rPr>
  </w:style>
  <w:style w:type="character" w:styleId="Hipervnculo">
    <w:name w:val="Hyperlink"/>
    <w:basedOn w:val="Fuentedeprrafopredeter"/>
    <w:uiPriority w:val="99"/>
    <w:unhideWhenUsed/>
    <w:rsid w:val="00861379"/>
    <w:rPr>
      <w:color w:val="0000FF" w:themeColor="hyperlink"/>
      <w:u w:val="single"/>
    </w:rPr>
  </w:style>
  <w:style w:type="paragraph" w:styleId="Prrafodelista">
    <w:name w:val="List Paragraph"/>
    <w:basedOn w:val="Normal"/>
    <w:uiPriority w:val="34"/>
    <w:qFormat/>
    <w:rsid w:val="007E5333"/>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rsid w:val="00297E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297E6F"/>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297E6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919"/>
    <w:rPr>
      <w:rFonts w:ascii="Calibri" w:hAnsi="Calibri" w:cs="Calibri"/>
      <w:lang w:eastAsia="es-MX"/>
    </w:rPr>
  </w:style>
  <w:style w:type="paragraph" w:styleId="Ttulo1">
    <w:name w:val="heading 1"/>
    <w:basedOn w:val="Normal"/>
    <w:next w:val="Normal"/>
    <w:link w:val="Ttulo1Car"/>
    <w:qFormat/>
    <w:rsid w:val="004F1919"/>
    <w:pPr>
      <w:keepNext/>
      <w:tabs>
        <w:tab w:val="left" w:pos="4536"/>
      </w:tabs>
      <w:overflowPunct w:val="0"/>
      <w:autoSpaceDE w:val="0"/>
      <w:autoSpaceDN w:val="0"/>
      <w:adjustRightInd w:val="0"/>
      <w:spacing w:after="0" w:line="240" w:lineRule="auto"/>
      <w:ind w:left="4536"/>
      <w:textAlignment w:val="baseline"/>
      <w:outlineLvl w:val="0"/>
    </w:pPr>
    <w:rPr>
      <w:rFonts w:ascii="CG Times" w:eastAsia="Times New Roman" w:hAnsi="CG Times" w:cs="Times New Roman"/>
      <w:b/>
      <w:sz w:val="24"/>
      <w:szCs w:val="20"/>
      <w:lang w:val="es-ES" w:eastAsia="es-ES"/>
    </w:rPr>
  </w:style>
  <w:style w:type="paragraph" w:styleId="Ttulo2">
    <w:name w:val="heading 2"/>
    <w:basedOn w:val="Normal"/>
    <w:next w:val="Normal"/>
    <w:link w:val="Ttulo2Car"/>
    <w:qFormat/>
    <w:rsid w:val="004F1919"/>
    <w:pPr>
      <w:keepNext/>
      <w:spacing w:after="0" w:line="240" w:lineRule="auto"/>
      <w:jc w:val="both"/>
      <w:outlineLvl w:val="1"/>
    </w:pPr>
    <w:rPr>
      <w:rFonts w:ascii="Arial" w:eastAsia="Times New Roman" w:hAnsi="Arial" w:cs="Arial"/>
      <w:b/>
      <w:bCs/>
      <w:sz w:val="24"/>
      <w:szCs w:val="24"/>
      <w:lang w:val="es-ES" w:eastAsia="es-ES"/>
    </w:rPr>
  </w:style>
  <w:style w:type="paragraph" w:styleId="Ttulo3">
    <w:name w:val="heading 3"/>
    <w:basedOn w:val="Normal"/>
    <w:next w:val="Normal"/>
    <w:link w:val="Ttulo3Car"/>
    <w:uiPriority w:val="9"/>
    <w:semiHidden/>
    <w:unhideWhenUsed/>
    <w:qFormat/>
    <w:rsid w:val="00FB54F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F1919"/>
    <w:rPr>
      <w:rFonts w:ascii="CG Times" w:eastAsia="Times New Roman" w:hAnsi="CG Times" w:cs="Times New Roman"/>
      <w:b/>
      <w:sz w:val="24"/>
      <w:szCs w:val="20"/>
      <w:lang w:val="es-ES" w:eastAsia="es-ES"/>
    </w:rPr>
  </w:style>
  <w:style w:type="character" w:customStyle="1" w:styleId="Ttulo2Car">
    <w:name w:val="Título 2 Car"/>
    <w:basedOn w:val="Fuentedeprrafopredeter"/>
    <w:link w:val="Ttulo2"/>
    <w:rsid w:val="004F1919"/>
    <w:rPr>
      <w:rFonts w:ascii="Arial" w:eastAsia="Times New Roman" w:hAnsi="Arial" w:cs="Arial"/>
      <w:b/>
      <w:bCs/>
      <w:sz w:val="24"/>
      <w:szCs w:val="24"/>
      <w:lang w:val="es-ES" w:eastAsia="es-ES"/>
    </w:rPr>
  </w:style>
  <w:style w:type="paragraph" w:styleId="NormalWeb">
    <w:name w:val="Normal (Web)"/>
    <w:basedOn w:val="Normal"/>
    <w:uiPriority w:val="99"/>
    <w:rsid w:val="004F191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3Car">
    <w:name w:val="Título 3 Car"/>
    <w:basedOn w:val="Fuentedeprrafopredeter"/>
    <w:link w:val="Ttulo3"/>
    <w:uiPriority w:val="9"/>
    <w:semiHidden/>
    <w:rsid w:val="00FB54F0"/>
    <w:rPr>
      <w:rFonts w:asciiTheme="majorHAnsi" w:eastAsiaTheme="majorEastAsia" w:hAnsiTheme="majorHAnsi" w:cstheme="majorBidi"/>
      <w:b/>
      <w:bCs/>
      <w:color w:val="4F81BD" w:themeColor="accent1"/>
      <w:lang w:eastAsia="es-MX"/>
    </w:rPr>
  </w:style>
  <w:style w:type="paragraph" w:styleId="Encabezado">
    <w:name w:val="header"/>
    <w:basedOn w:val="Normal"/>
    <w:link w:val="EncabezadoCar"/>
    <w:uiPriority w:val="99"/>
    <w:unhideWhenUsed/>
    <w:rsid w:val="00DA199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A1993"/>
    <w:rPr>
      <w:rFonts w:ascii="Calibri" w:hAnsi="Calibri" w:cs="Calibri"/>
      <w:lang w:eastAsia="es-MX"/>
    </w:rPr>
  </w:style>
  <w:style w:type="paragraph" w:styleId="Piedepgina">
    <w:name w:val="footer"/>
    <w:basedOn w:val="Normal"/>
    <w:link w:val="PiedepginaCar"/>
    <w:uiPriority w:val="99"/>
    <w:unhideWhenUsed/>
    <w:rsid w:val="00DA19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A1993"/>
    <w:rPr>
      <w:rFonts w:ascii="Calibri" w:hAnsi="Calibri" w:cs="Calibri"/>
      <w:lang w:eastAsia="es-MX"/>
    </w:rPr>
  </w:style>
  <w:style w:type="paragraph" w:styleId="Textodeglobo">
    <w:name w:val="Balloon Text"/>
    <w:basedOn w:val="Normal"/>
    <w:link w:val="TextodegloboCar"/>
    <w:uiPriority w:val="99"/>
    <w:semiHidden/>
    <w:unhideWhenUsed/>
    <w:rsid w:val="009318B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318B2"/>
    <w:rPr>
      <w:rFonts w:ascii="Tahoma" w:hAnsi="Tahoma" w:cs="Tahoma"/>
      <w:sz w:val="16"/>
      <w:szCs w:val="16"/>
      <w:lang w:eastAsia="es-MX"/>
    </w:rPr>
  </w:style>
  <w:style w:type="paragraph" w:customStyle="1" w:styleId="Default">
    <w:name w:val="Default"/>
    <w:rsid w:val="00D82C46"/>
    <w:pPr>
      <w:autoSpaceDE w:val="0"/>
      <w:autoSpaceDN w:val="0"/>
      <w:adjustRightInd w:val="0"/>
      <w:spacing w:after="0" w:line="240" w:lineRule="auto"/>
    </w:pPr>
    <w:rPr>
      <w:rFonts w:ascii="Arial" w:hAnsi="Arial" w:cs="Arial"/>
      <w:color w:val="000000"/>
      <w:sz w:val="24"/>
      <w:szCs w:val="24"/>
    </w:rPr>
  </w:style>
  <w:style w:type="paragraph" w:customStyle="1" w:styleId="ANOTACION">
    <w:name w:val="ANOTACION"/>
    <w:basedOn w:val="Normal"/>
    <w:link w:val="ANOTACIONCar"/>
    <w:rsid w:val="00E52BA4"/>
    <w:pPr>
      <w:spacing w:before="101" w:after="101" w:line="216" w:lineRule="atLeast"/>
      <w:jc w:val="center"/>
    </w:pPr>
    <w:rPr>
      <w:rFonts w:ascii="Times New Roman" w:eastAsia="Times New Roman" w:hAnsi="Times New Roman" w:cs="Times New Roman"/>
      <w:b/>
      <w:sz w:val="18"/>
      <w:szCs w:val="20"/>
      <w:lang w:val="es-ES_tradnl" w:eastAsia="es-ES"/>
    </w:rPr>
  </w:style>
  <w:style w:type="character" w:customStyle="1" w:styleId="ANOTACIONCar">
    <w:name w:val="ANOTACION Car"/>
    <w:link w:val="ANOTACION"/>
    <w:locked/>
    <w:rsid w:val="00E52BA4"/>
    <w:rPr>
      <w:rFonts w:ascii="Times New Roman" w:eastAsia="Times New Roman" w:hAnsi="Times New Roman" w:cs="Times New Roman"/>
      <w:b/>
      <w:sz w:val="18"/>
      <w:szCs w:val="20"/>
      <w:lang w:val="es-ES_tradnl" w:eastAsia="es-ES"/>
    </w:rPr>
  </w:style>
  <w:style w:type="character" w:styleId="Hipervnculo">
    <w:name w:val="Hyperlink"/>
    <w:basedOn w:val="Fuentedeprrafopredeter"/>
    <w:uiPriority w:val="99"/>
    <w:unhideWhenUsed/>
    <w:rsid w:val="00861379"/>
    <w:rPr>
      <w:color w:val="0000FF" w:themeColor="hyperlink"/>
      <w:u w:val="single"/>
    </w:rPr>
  </w:style>
  <w:style w:type="paragraph" w:styleId="Prrafodelista">
    <w:name w:val="List Paragraph"/>
    <w:basedOn w:val="Normal"/>
    <w:uiPriority w:val="34"/>
    <w:qFormat/>
    <w:rsid w:val="007E5333"/>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rsid w:val="00297E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297E6F"/>
    <w:rPr>
      <w:rFonts w:ascii="Times New Roman" w:eastAsia="Times New Roman" w:hAnsi="Times New Roman" w:cs="Times New Roman"/>
      <w:sz w:val="20"/>
      <w:szCs w:val="20"/>
      <w:lang w:val="es-ES" w:eastAsia="es-ES"/>
    </w:rPr>
  </w:style>
  <w:style w:type="character" w:styleId="Refdenotaalpie">
    <w:name w:val="footnote reference"/>
    <w:basedOn w:val="Fuentedeprrafopredeter"/>
    <w:rsid w:val="00297E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29190">
      <w:bodyDiv w:val="1"/>
      <w:marLeft w:val="0"/>
      <w:marRight w:val="0"/>
      <w:marTop w:val="0"/>
      <w:marBottom w:val="0"/>
      <w:divBdr>
        <w:top w:val="none" w:sz="0" w:space="0" w:color="auto"/>
        <w:left w:val="none" w:sz="0" w:space="0" w:color="auto"/>
        <w:bottom w:val="none" w:sz="0" w:space="0" w:color="auto"/>
        <w:right w:val="none" w:sz="0" w:space="0" w:color="auto"/>
      </w:divBdr>
    </w:div>
    <w:div w:id="694036940">
      <w:bodyDiv w:val="1"/>
      <w:marLeft w:val="0"/>
      <w:marRight w:val="0"/>
      <w:marTop w:val="0"/>
      <w:marBottom w:val="0"/>
      <w:divBdr>
        <w:top w:val="none" w:sz="0" w:space="0" w:color="auto"/>
        <w:left w:val="none" w:sz="0" w:space="0" w:color="auto"/>
        <w:bottom w:val="none" w:sz="0" w:space="0" w:color="auto"/>
        <w:right w:val="none" w:sz="0" w:space="0" w:color="auto"/>
      </w:divBdr>
      <w:divsChild>
        <w:div w:id="1040515659">
          <w:marLeft w:val="0"/>
          <w:marRight w:val="0"/>
          <w:marTop w:val="0"/>
          <w:marBottom w:val="0"/>
          <w:divBdr>
            <w:top w:val="none" w:sz="0" w:space="0" w:color="auto"/>
            <w:left w:val="none" w:sz="0" w:space="0" w:color="auto"/>
            <w:bottom w:val="none" w:sz="0" w:space="0" w:color="auto"/>
            <w:right w:val="none" w:sz="0" w:space="0" w:color="auto"/>
          </w:divBdr>
          <w:divsChild>
            <w:div w:id="86667332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875774302">
      <w:bodyDiv w:val="1"/>
      <w:marLeft w:val="0"/>
      <w:marRight w:val="0"/>
      <w:marTop w:val="0"/>
      <w:marBottom w:val="0"/>
      <w:divBdr>
        <w:top w:val="none" w:sz="0" w:space="0" w:color="auto"/>
        <w:left w:val="none" w:sz="0" w:space="0" w:color="auto"/>
        <w:bottom w:val="none" w:sz="0" w:space="0" w:color="auto"/>
        <w:right w:val="none" w:sz="0" w:space="0" w:color="auto"/>
      </w:divBdr>
    </w:div>
    <w:div w:id="1212888894">
      <w:bodyDiv w:val="1"/>
      <w:marLeft w:val="0"/>
      <w:marRight w:val="0"/>
      <w:marTop w:val="0"/>
      <w:marBottom w:val="0"/>
      <w:divBdr>
        <w:top w:val="none" w:sz="0" w:space="0" w:color="auto"/>
        <w:left w:val="none" w:sz="0" w:space="0" w:color="auto"/>
        <w:bottom w:val="none" w:sz="0" w:space="0" w:color="auto"/>
        <w:right w:val="none" w:sz="0" w:space="0" w:color="auto"/>
      </w:divBdr>
    </w:div>
    <w:div w:id="189873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cndh.org.mx/sites/all/fuentes/documentos/programas/igualdad/2_1_3.pdf" TargetMode="External"/><Relationship Id="rId2" Type="http://schemas.openxmlformats.org/officeDocument/2006/relationships/hyperlink" Target="http://www.cndh.org.mx/sites/all/fuentes/documentos/programas/mujer/10_InformesEspeciales/10.5/10.5.pdf" TargetMode="External"/><Relationship Id="rId1" Type="http://schemas.openxmlformats.org/officeDocument/2006/relationships/hyperlink" Target="http://www.cndh.org.mx/sites/all/fuentes/documentos/cartillas/7%20cartilla%20pacto%20internacional%20der%20econ%C3%B3micos%20sociales%20culturales.pdf" TargetMode="External"/><Relationship Id="rId4" Type="http://schemas.openxmlformats.org/officeDocument/2006/relationships/hyperlink" Target="http://www.cndh.org.mx/sites/all/fuentes/documentos/informes/especiales/2010_homofobia.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D18EAE-82E7-4F3A-9428-6236DC273940}"/>
</file>

<file path=customXml/itemProps2.xml><?xml version="1.0" encoding="utf-8"?>
<ds:datastoreItem xmlns:ds="http://schemas.openxmlformats.org/officeDocument/2006/customXml" ds:itemID="{B9724C7E-BE4E-4F17-A434-22A804BFB72A}"/>
</file>

<file path=customXml/itemProps3.xml><?xml version="1.0" encoding="utf-8"?>
<ds:datastoreItem xmlns:ds="http://schemas.openxmlformats.org/officeDocument/2006/customXml" ds:itemID="{7D5EC643-85F8-494B-89C1-02C945229C36}"/>
</file>

<file path=customXml/itemProps4.xml><?xml version="1.0" encoding="utf-8"?>
<ds:datastoreItem xmlns:ds="http://schemas.openxmlformats.org/officeDocument/2006/customXml" ds:itemID="{26D9DBC5-61E7-4EA1-992C-FF56C6C3EA75}"/>
</file>

<file path=docProps/app.xml><?xml version="1.0" encoding="utf-8"?>
<Properties xmlns="http://schemas.openxmlformats.org/officeDocument/2006/extended-properties" xmlns:vt="http://schemas.openxmlformats.org/officeDocument/2006/docPropsVTypes">
  <Template>Normal</Template>
  <TotalTime>94</TotalTime>
  <Pages>21</Pages>
  <Words>9009</Words>
  <Characters>49554</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COMISION NACIONAL DE LOS DERECHOS HUMANOS</Company>
  <LinksUpToDate>false</LinksUpToDate>
  <CharactersWithSpaces>58447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cndh</dc:creator>
  <cp:lastModifiedBy>Beatriz Eugenia Tames Peña</cp:lastModifiedBy>
  <cp:revision>40</cp:revision>
  <cp:lastPrinted>2014-06-03T16:33:00Z</cp:lastPrinted>
  <dcterms:created xsi:type="dcterms:W3CDTF">2014-05-16T23:02:00Z</dcterms:created>
  <dcterms:modified xsi:type="dcterms:W3CDTF">2014-06-03T16:45:00Z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